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38D" w:rsidRPr="002D5F97" w:rsidRDefault="0043238D" w:rsidP="005E5F00">
      <w:pPr>
        <w:spacing w:after="0" w:line="276" w:lineRule="auto"/>
        <w:jc w:val="center"/>
        <w:rPr>
          <w:rFonts w:ascii="Times New Roman" w:hAnsi="Times New Roman" w:cs="Times New Roman"/>
          <w:b/>
          <w:bCs/>
          <w:sz w:val="32"/>
          <w:szCs w:val="32"/>
        </w:rPr>
      </w:pPr>
      <w:r w:rsidRPr="002D5F97">
        <w:rPr>
          <w:rFonts w:ascii="Times New Roman" w:hAnsi="Times New Roman" w:cs="Times New Roman"/>
          <w:b/>
          <w:bCs/>
          <w:sz w:val="32"/>
          <w:szCs w:val="32"/>
        </w:rPr>
        <w:t>Effect of organic and inorganic fertilizers on yield and quality of Carrot</w:t>
      </w:r>
      <w:r w:rsidRPr="002D5F97">
        <w:rPr>
          <w:rFonts w:ascii="Times New Roman" w:hAnsi="Times New Roman" w:cs="Times New Roman"/>
          <w:b/>
          <w:bCs/>
          <w:iCs/>
          <w:sz w:val="32"/>
          <w:szCs w:val="32"/>
        </w:rPr>
        <w:t xml:space="preserve"> (</w:t>
      </w:r>
      <w:r w:rsidRPr="002D5F97">
        <w:rPr>
          <w:rFonts w:ascii="Times New Roman" w:hAnsi="Times New Roman" w:cs="Times New Roman"/>
          <w:b/>
          <w:bCs/>
          <w:i/>
          <w:sz w:val="32"/>
          <w:szCs w:val="32"/>
        </w:rPr>
        <w:t xml:space="preserve">Daucus carota </w:t>
      </w:r>
      <w:r w:rsidRPr="002D5F97">
        <w:rPr>
          <w:rFonts w:ascii="Times New Roman" w:hAnsi="Times New Roman" w:cs="Times New Roman"/>
          <w:b/>
          <w:bCs/>
          <w:iCs/>
          <w:sz w:val="32"/>
          <w:szCs w:val="32"/>
        </w:rPr>
        <w:t>L.)</w:t>
      </w:r>
    </w:p>
    <w:p w:rsidR="002955E4" w:rsidRPr="002D5F97" w:rsidRDefault="002955E4" w:rsidP="00EB6BAF">
      <w:pPr>
        <w:pBdr>
          <w:bottom w:val="single" w:sz="4" w:space="12" w:color="auto"/>
        </w:pBdr>
        <w:jc w:val="center"/>
        <w:rPr>
          <w:rFonts w:ascii="Times New Roman" w:hAnsi="Times New Roman" w:cs="Times New Roman"/>
          <w:b/>
          <w:sz w:val="24"/>
          <w:szCs w:val="24"/>
        </w:rPr>
      </w:pPr>
      <w:bookmarkStart w:id="0" w:name="_GoBack"/>
      <w:bookmarkEnd w:id="0"/>
      <w:r w:rsidRPr="002D5F97">
        <w:rPr>
          <w:rFonts w:ascii="Times New Roman" w:hAnsi="Times New Roman" w:cs="Times New Roman"/>
          <w:b/>
          <w:sz w:val="24"/>
          <w:szCs w:val="24"/>
        </w:rPr>
        <w:t>ABSTRACT</w:t>
      </w:r>
    </w:p>
    <w:p w:rsidR="007F7E47" w:rsidRPr="002D5F97" w:rsidRDefault="003A65AC" w:rsidP="005E5F00">
      <w:pPr>
        <w:spacing w:after="233" w:line="276" w:lineRule="auto"/>
        <w:ind w:right="-46" w:firstLine="284"/>
        <w:jc w:val="both"/>
        <w:rPr>
          <w:rFonts w:ascii="Times New Roman" w:hAnsi="Times New Roman" w:cs="Times New Roman"/>
          <w:sz w:val="24"/>
          <w:szCs w:val="24"/>
        </w:rPr>
      </w:pPr>
      <w:r>
        <w:rPr>
          <w:rFonts w:ascii="Times New Roman" w:hAnsi="Times New Roman" w:cs="Times New Roman"/>
          <w:sz w:val="24"/>
          <w:szCs w:val="24"/>
        </w:rPr>
        <w:t>This</w:t>
      </w:r>
      <w:r w:rsidR="007F7E47" w:rsidRPr="002D5F97">
        <w:rPr>
          <w:rFonts w:ascii="Times New Roman" w:hAnsi="Times New Roman" w:cs="Times New Roman"/>
          <w:sz w:val="24"/>
          <w:szCs w:val="24"/>
        </w:rPr>
        <w:t xml:space="preserve"> study </w:t>
      </w:r>
      <w:r>
        <w:rPr>
          <w:rFonts w:ascii="Times New Roman" w:hAnsi="Times New Roman" w:cs="Times New Roman"/>
          <w:sz w:val="24"/>
          <w:szCs w:val="24"/>
        </w:rPr>
        <w:t xml:space="preserve">was conducted to investigate the effect of organic and inorganic fertilizers on the yield and quality of carrots </w:t>
      </w:r>
      <w:r w:rsidR="007F7E47" w:rsidRPr="002D5F97">
        <w:rPr>
          <w:rFonts w:ascii="Times New Roman" w:hAnsi="Times New Roman" w:cs="Times New Roman"/>
          <w:sz w:val="24"/>
          <w:szCs w:val="24"/>
        </w:rPr>
        <w:t>(</w:t>
      </w:r>
      <w:r w:rsidR="007F7E47" w:rsidRPr="002D5F97">
        <w:rPr>
          <w:rFonts w:ascii="Times New Roman" w:hAnsi="Times New Roman" w:cs="Times New Roman"/>
          <w:i/>
          <w:sz w:val="24"/>
          <w:szCs w:val="24"/>
        </w:rPr>
        <w:t xml:space="preserve">Daucus </w:t>
      </w:r>
      <w:proofErr w:type="spellStart"/>
      <w:r w:rsidR="007F7E47" w:rsidRPr="002D5F97">
        <w:rPr>
          <w:rFonts w:ascii="Times New Roman" w:hAnsi="Times New Roman" w:cs="Times New Roman"/>
          <w:i/>
          <w:sz w:val="24"/>
          <w:szCs w:val="24"/>
        </w:rPr>
        <w:t>carota</w:t>
      </w:r>
      <w:proofErr w:type="spellEnd"/>
      <w:r w:rsidR="007F7E47" w:rsidRPr="002D5F97">
        <w:rPr>
          <w:rFonts w:ascii="Times New Roman" w:hAnsi="Times New Roman" w:cs="Times New Roman"/>
          <w:i/>
          <w:sz w:val="24"/>
          <w:szCs w:val="24"/>
        </w:rPr>
        <w:t xml:space="preserve"> </w:t>
      </w:r>
      <w:r w:rsidR="007F7E47" w:rsidRPr="002D5F97">
        <w:rPr>
          <w:rFonts w:ascii="Times New Roman" w:hAnsi="Times New Roman" w:cs="Times New Roman"/>
          <w:sz w:val="24"/>
          <w:szCs w:val="24"/>
        </w:rPr>
        <w:t xml:space="preserve">L.) under </w:t>
      </w:r>
      <w:proofErr w:type="spellStart"/>
      <w:r>
        <w:rPr>
          <w:rFonts w:ascii="Times New Roman" w:hAnsi="Times New Roman" w:cs="Times New Roman"/>
          <w:sz w:val="24"/>
          <w:szCs w:val="24"/>
        </w:rPr>
        <w:t>B</w:t>
      </w:r>
      <w:r w:rsidR="007F7E47" w:rsidRPr="002D5F97">
        <w:rPr>
          <w:rFonts w:ascii="Times New Roman" w:hAnsi="Times New Roman" w:cs="Times New Roman"/>
          <w:sz w:val="24"/>
          <w:szCs w:val="24"/>
        </w:rPr>
        <w:t>alaghat</w:t>
      </w:r>
      <w:proofErr w:type="spellEnd"/>
      <w:r w:rsidR="007F7E47" w:rsidRPr="002D5F97">
        <w:rPr>
          <w:rFonts w:ascii="Times New Roman" w:hAnsi="Times New Roman" w:cs="Times New Roman"/>
          <w:sz w:val="24"/>
          <w:szCs w:val="24"/>
        </w:rPr>
        <w:t xml:space="preserve"> (M.P.) </w:t>
      </w:r>
      <w:r w:rsidR="0038781B" w:rsidRPr="002D5F97">
        <w:rPr>
          <w:rFonts w:ascii="Times New Roman" w:hAnsi="Times New Roman" w:cs="Times New Roman"/>
          <w:sz w:val="24"/>
          <w:szCs w:val="24"/>
        </w:rPr>
        <w:t>c</w:t>
      </w:r>
      <w:r w:rsidR="007F7E47" w:rsidRPr="002D5F97">
        <w:rPr>
          <w:rFonts w:ascii="Times New Roman" w:hAnsi="Times New Roman" w:cs="Times New Roman"/>
          <w:sz w:val="24"/>
          <w:szCs w:val="24"/>
        </w:rPr>
        <w:t>onditions</w:t>
      </w:r>
      <w:r>
        <w:rPr>
          <w:rFonts w:ascii="Times New Roman" w:hAnsi="Times New Roman" w:cs="Times New Roman"/>
          <w:sz w:val="24"/>
          <w:szCs w:val="24"/>
        </w:rPr>
        <w:t xml:space="preserve"> during the </w:t>
      </w:r>
      <w:r w:rsidRPr="003A65AC">
        <w:rPr>
          <w:rFonts w:ascii="Times New Roman" w:hAnsi="Times New Roman" w:cs="Times New Roman"/>
          <w:i/>
          <w:sz w:val="24"/>
          <w:szCs w:val="24"/>
        </w:rPr>
        <w:t>Rabi</w:t>
      </w:r>
      <w:r>
        <w:rPr>
          <w:rFonts w:ascii="Times New Roman" w:hAnsi="Times New Roman" w:cs="Times New Roman"/>
          <w:sz w:val="24"/>
          <w:szCs w:val="24"/>
        </w:rPr>
        <w:t xml:space="preserve"> season of 2023-24</w:t>
      </w:r>
      <w:r w:rsidR="007F7E47"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S</w:t>
      </w:r>
      <w:r w:rsidR="007F7E47" w:rsidRPr="002D5F97">
        <w:rPr>
          <w:rFonts w:ascii="Times New Roman" w:hAnsi="Times New Roman" w:cs="Times New Roman"/>
          <w:sz w:val="24"/>
          <w:szCs w:val="24"/>
        </w:rPr>
        <w:t>even treatments, including organic</w:t>
      </w:r>
      <w:r w:rsidR="0038781B" w:rsidRPr="002D5F97">
        <w:rPr>
          <w:rFonts w:ascii="Times New Roman" w:hAnsi="Times New Roman" w:cs="Times New Roman"/>
          <w:sz w:val="24"/>
          <w:szCs w:val="24"/>
        </w:rPr>
        <w:t xml:space="preserve"> and</w:t>
      </w:r>
      <w:r w:rsidR="007F7E47" w:rsidRPr="002D5F97">
        <w:rPr>
          <w:rFonts w:ascii="Times New Roman" w:hAnsi="Times New Roman" w:cs="Times New Roman"/>
          <w:sz w:val="24"/>
          <w:szCs w:val="24"/>
        </w:rPr>
        <w:t xml:space="preserve"> inorganic fertilizers application were arranged in a Randomized Complete Block Design (RCBD) with three replications. </w:t>
      </w:r>
    </w:p>
    <w:p w:rsidR="007F7E47" w:rsidRPr="002D5F97" w:rsidRDefault="007F7E47" w:rsidP="005E5F00">
      <w:pPr>
        <w:spacing w:after="0"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Key findings include that 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 xml:space="preserve"> (poultry manure at 15mt/ha) resulted in the least root forking and cracking, enhancing marketability. Among chemical treatments,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showed the best results in terms of reduced root forking and cracking. Growth parameters like plant height and leaf count were significantly enhanced with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tons/ha) and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also demonstrated superior root length, diameter, fresh weight and total yield (331.37 q/ha). Among the inorganic treatments,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yield</w:t>
      </w:r>
      <w:r w:rsidR="0038781B" w:rsidRPr="002D5F97">
        <w:rPr>
          <w:rFonts w:ascii="Times New Roman" w:hAnsi="Times New Roman" w:cs="Times New Roman"/>
          <w:sz w:val="24"/>
          <w:szCs w:val="24"/>
        </w:rPr>
        <w:t>s</w:t>
      </w:r>
      <w:r w:rsidRPr="002D5F97">
        <w:rPr>
          <w:rFonts w:ascii="Times New Roman" w:hAnsi="Times New Roman" w:cs="Times New Roman"/>
          <w:sz w:val="24"/>
          <w:szCs w:val="24"/>
        </w:rPr>
        <w:t xml:space="preserve"> the highest root production (388.82 q/ha). In terms of Total Soluble Solids (TSS) and dry weight,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excelled, followed by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among the chemical treatments. Color, tendernessand root hair count were positively influenced by the treatments with T</w:t>
      </w:r>
      <w:r w:rsidR="0038781B" w:rsidRPr="002D5F97">
        <w:rPr>
          <w:rFonts w:ascii="Times New Roman" w:hAnsi="Times New Roman" w:cs="Times New Roman"/>
          <w:sz w:val="24"/>
          <w:szCs w:val="24"/>
          <w:vertAlign w:val="subscript"/>
        </w:rPr>
        <w:t>6</w:t>
      </w:r>
      <w:r w:rsidR="0038781B" w:rsidRPr="002D5F97">
        <w:rPr>
          <w:rFonts w:ascii="Times New Roman" w:hAnsi="Times New Roman" w:cs="Times New Roman"/>
          <w:sz w:val="24"/>
          <w:szCs w:val="24"/>
        </w:rPr>
        <w:t xml:space="preserve"> (</w:t>
      </w:r>
      <w:r w:rsidRPr="002D5F97">
        <w:rPr>
          <w:rFonts w:ascii="Times New Roman" w:hAnsi="Times New Roman" w:cs="Times New Roman"/>
          <w:sz w:val="24"/>
          <w:szCs w:val="24"/>
        </w:rPr>
        <w:t>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resulting in dark red and tender roots.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10mt ha</w:t>
      </w:r>
      <w:r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 also showed the best keeping quality, lasting 10.75 days at room temperature. Economically,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proved most profitable with a net return of ₹1,48,850/ha and a cost-benefit ratio of 1:4.27, highlighting the potential of combining organic and inorganic fertilizers for enhanced carrot production and profitability. </w:t>
      </w:r>
      <w:r w:rsidR="003F2BD6" w:rsidRPr="002D5F97">
        <w:rPr>
          <w:rFonts w:ascii="Times New Roman" w:hAnsi="Times New Roman" w:cs="Times New Roman"/>
          <w:sz w:val="24"/>
          <w:szCs w:val="24"/>
        </w:rPr>
        <w:t>The experiment aimed to evaluate the effects of various organic and chemical fertilizers on the morphological, yield and quality parameters of carrots, as well as to assess the economic feasibility of different fertilizer treatments.</w:t>
      </w:r>
    </w:p>
    <w:p w:rsidR="002955E4" w:rsidRDefault="002955E4" w:rsidP="005E5F00">
      <w:pPr>
        <w:autoSpaceDE w:val="0"/>
        <w:autoSpaceDN w:val="0"/>
        <w:adjustRightInd w:val="0"/>
        <w:spacing w:before="240" w:after="0" w:line="276" w:lineRule="auto"/>
        <w:ind w:right="-46"/>
        <w:jc w:val="both"/>
        <w:rPr>
          <w:rFonts w:ascii="Times New Roman" w:hAnsi="Times New Roman" w:cs="Times New Roman"/>
          <w:sz w:val="24"/>
          <w:szCs w:val="24"/>
        </w:rPr>
      </w:pPr>
      <w:r w:rsidRPr="002D5F97">
        <w:rPr>
          <w:rFonts w:ascii="Times New Roman" w:hAnsi="Times New Roman" w:cs="Times New Roman"/>
          <w:b/>
          <w:i/>
          <w:sz w:val="24"/>
          <w:szCs w:val="24"/>
        </w:rPr>
        <w:t>Keywords</w:t>
      </w:r>
      <w:r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O</w:t>
      </w:r>
      <w:r w:rsidR="007F7E47" w:rsidRPr="002D5F97">
        <w:rPr>
          <w:rFonts w:ascii="Times New Roman" w:hAnsi="Times New Roman" w:cs="Times New Roman"/>
          <w:sz w:val="24"/>
          <w:szCs w:val="24"/>
        </w:rPr>
        <w:t xml:space="preserve">rganic, </w:t>
      </w:r>
      <w:r w:rsidR="0038781B" w:rsidRPr="002D5F97">
        <w:rPr>
          <w:rFonts w:ascii="Times New Roman" w:hAnsi="Times New Roman" w:cs="Times New Roman"/>
          <w:sz w:val="24"/>
          <w:szCs w:val="24"/>
        </w:rPr>
        <w:t>I</w:t>
      </w:r>
      <w:r w:rsidR="007F7E47" w:rsidRPr="002D5F97">
        <w:rPr>
          <w:rFonts w:ascii="Times New Roman" w:hAnsi="Times New Roman" w:cs="Times New Roman"/>
          <w:sz w:val="24"/>
          <w:szCs w:val="24"/>
        </w:rPr>
        <w:t>norganic</w:t>
      </w:r>
      <w:r w:rsidRPr="002D5F97">
        <w:rPr>
          <w:rFonts w:ascii="Times New Roman" w:hAnsi="Times New Roman" w:cs="Times New Roman"/>
          <w:sz w:val="24"/>
          <w:szCs w:val="24"/>
        </w:rPr>
        <w:t xml:space="preserve">, </w:t>
      </w:r>
      <w:r w:rsidR="0038781B" w:rsidRPr="002D5F97">
        <w:rPr>
          <w:rFonts w:ascii="Times New Roman" w:hAnsi="Times New Roman" w:cs="Times New Roman"/>
          <w:sz w:val="24"/>
          <w:szCs w:val="24"/>
        </w:rPr>
        <w:t>F</w:t>
      </w:r>
      <w:r w:rsidR="003F2BD6">
        <w:rPr>
          <w:rFonts w:ascii="Times New Roman" w:hAnsi="Times New Roman" w:cs="Times New Roman"/>
          <w:sz w:val="24"/>
          <w:szCs w:val="24"/>
        </w:rPr>
        <w:t xml:space="preserve">orking, Vermicompost, </w:t>
      </w:r>
      <w:r w:rsidR="0038781B" w:rsidRPr="002D5F97">
        <w:rPr>
          <w:rFonts w:ascii="Times New Roman" w:hAnsi="Times New Roman" w:cs="Times New Roman"/>
          <w:sz w:val="24"/>
          <w:szCs w:val="24"/>
        </w:rPr>
        <w:t>P</w:t>
      </w:r>
      <w:r w:rsidR="007F7E47" w:rsidRPr="002D5F97">
        <w:rPr>
          <w:rFonts w:ascii="Times New Roman" w:hAnsi="Times New Roman" w:cs="Times New Roman"/>
          <w:sz w:val="24"/>
          <w:szCs w:val="24"/>
        </w:rPr>
        <w:t>rofitability</w:t>
      </w:r>
      <w:r w:rsidR="003F2BD6">
        <w:rPr>
          <w:rFonts w:ascii="Times New Roman" w:hAnsi="Times New Roman" w:cs="Times New Roman"/>
          <w:sz w:val="24"/>
          <w:szCs w:val="24"/>
        </w:rPr>
        <w:t xml:space="preserve"> and </w:t>
      </w:r>
      <w:proofErr w:type="spellStart"/>
      <w:r w:rsidR="003F2BD6" w:rsidRPr="003F2BD6">
        <w:rPr>
          <w:rFonts w:ascii="Times New Roman" w:hAnsi="Times New Roman" w:cs="Times New Roman"/>
          <w:i/>
          <w:sz w:val="24"/>
          <w:szCs w:val="24"/>
        </w:rPr>
        <w:t>Dacus</w:t>
      </w:r>
      <w:proofErr w:type="spellEnd"/>
      <w:r w:rsidR="003F2BD6">
        <w:rPr>
          <w:rFonts w:ascii="Times New Roman" w:hAnsi="Times New Roman" w:cs="Times New Roman"/>
          <w:sz w:val="24"/>
          <w:szCs w:val="24"/>
        </w:rPr>
        <w:t xml:space="preserve"> </w:t>
      </w:r>
      <w:proofErr w:type="spellStart"/>
      <w:r w:rsidR="003F2BD6" w:rsidRPr="003F2BD6">
        <w:rPr>
          <w:rFonts w:ascii="Times New Roman" w:hAnsi="Times New Roman" w:cs="Times New Roman"/>
          <w:i/>
          <w:sz w:val="24"/>
          <w:szCs w:val="24"/>
        </w:rPr>
        <w:t>carota</w:t>
      </w:r>
      <w:proofErr w:type="spellEnd"/>
      <w:r w:rsidR="003F2BD6">
        <w:rPr>
          <w:rFonts w:ascii="Times New Roman" w:hAnsi="Times New Roman" w:cs="Times New Roman"/>
          <w:sz w:val="24"/>
          <w:szCs w:val="24"/>
        </w:rPr>
        <w:t xml:space="preserve"> L.</w:t>
      </w:r>
    </w:p>
    <w:p w:rsidR="002D5F97" w:rsidRDefault="002D5F97" w:rsidP="005E5F00">
      <w:pPr>
        <w:autoSpaceDE w:val="0"/>
        <w:autoSpaceDN w:val="0"/>
        <w:adjustRightInd w:val="0"/>
        <w:spacing w:before="240" w:after="0" w:line="276" w:lineRule="auto"/>
        <w:ind w:right="-46"/>
        <w:jc w:val="both"/>
        <w:rPr>
          <w:rFonts w:ascii="Times New Roman" w:hAnsi="Times New Roman" w:cs="Times New Roman"/>
          <w:sz w:val="24"/>
          <w:szCs w:val="24"/>
        </w:rPr>
      </w:pPr>
    </w:p>
    <w:p w:rsidR="002D5F97" w:rsidRPr="002D5F97" w:rsidRDefault="002D5F97" w:rsidP="005E5F00">
      <w:pPr>
        <w:autoSpaceDE w:val="0"/>
        <w:autoSpaceDN w:val="0"/>
        <w:adjustRightInd w:val="0"/>
        <w:spacing w:before="240" w:after="0" w:line="276" w:lineRule="auto"/>
        <w:ind w:right="-46"/>
        <w:jc w:val="both"/>
        <w:rPr>
          <w:rFonts w:ascii="Times New Roman" w:hAnsi="Times New Roman" w:cs="Times New Roman"/>
          <w:sz w:val="24"/>
          <w:szCs w:val="24"/>
        </w:rPr>
      </w:pPr>
    </w:p>
    <w:p w:rsidR="002955E4" w:rsidRPr="002D5F97" w:rsidRDefault="002955E4" w:rsidP="005E5F00">
      <w:pPr>
        <w:spacing w:before="24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INTRODUCTION</w:t>
      </w:r>
    </w:p>
    <w:p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The carrot, scientifically known as </w:t>
      </w:r>
      <w:r w:rsidRPr="002D5F97">
        <w:rPr>
          <w:rFonts w:ascii="Times New Roman" w:hAnsi="Times New Roman" w:cs="Times New Roman"/>
          <w:i/>
          <w:sz w:val="24"/>
          <w:szCs w:val="24"/>
        </w:rPr>
        <w:t>Daucus carota</w:t>
      </w:r>
      <w:r w:rsidRPr="002D5F97">
        <w:rPr>
          <w:rFonts w:ascii="Times New Roman" w:hAnsi="Times New Roman" w:cs="Times New Roman"/>
          <w:sz w:val="24"/>
          <w:szCs w:val="24"/>
        </w:rPr>
        <w:t xml:space="preserve">, is a member of the </w:t>
      </w:r>
      <w:proofErr w:type="spellStart"/>
      <w:r w:rsidRPr="002D5F97">
        <w:rPr>
          <w:rFonts w:ascii="Times New Roman" w:hAnsi="Times New Roman" w:cs="Times New Roman"/>
          <w:sz w:val="24"/>
          <w:szCs w:val="24"/>
        </w:rPr>
        <w:t>Apiaceae</w:t>
      </w:r>
      <w:proofErr w:type="spellEnd"/>
      <w:r w:rsidRPr="002D5F97">
        <w:rPr>
          <w:rFonts w:ascii="Times New Roman" w:hAnsi="Times New Roman" w:cs="Times New Roman"/>
          <w:sz w:val="24"/>
          <w:szCs w:val="24"/>
        </w:rPr>
        <w:t xml:space="preserve"> family, commonly referred to as the parsley or carrot family. This family includes over 3,700 species, many of which are economically significant. Some well-known plants in the </w:t>
      </w:r>
      <w:proofErr w:type="spellStart"/>
      <w:r w:rsidRPr="002D5F97">
        <w:rPr>
          <w:rFonts w:ascii="Times New Roman" w:hAnsi="Times New Roman" w:cs="Times New Roman"/>
          <w:sz w:val="24"/>
          <w:szCs w:val="24"/>
        </w:rPr>
        <w:t>Apiaceae</w:t>
      </w:r>
      <w:proofErr w:type="spellEnd"/>
      <w:r w:rsidRPr="002D5F97">
        <w:rPr>
          <w:rFonts w:ascii="Times New Roman" w:hAnsi="Times New Roman" w:cs="Times New Roman"/>
          <w:sz w:val="24"/>
          <w:szCs w:val="24"/>
        </w:rPr>
        <w:t xml:space="preserve"> family include fennel, anise, parsnip, celery, </w:t>
      </w:r>
      <w:proofErr w:type="spellStart"/>
      <w:r w:rsidRPr="002D5F97">
        <w:rPr>
          <w:rFonts w:ascii="Times New Roman" w:hAnsi="Times New Roman" w:cs="Times New Roman"/>
          <w:sz w:val="24"/>
          <w:szCs w:val="24"/>
        </w:rPr>
        <w:t>asafoetida</w:t>
      </w:r>
      <w:proofErr w:type="spellEnd"/>
      <w:r w:rsidRPr="002D5F97">
        <w:rPr>
          <w:rFonts w:ascii="Times New Roman" w:hAnsi="Times New Roman" w:cs="Times New Roman"/>
          <w:sz w:val="24"/>
          <w:szCs w:val="24"/>
        </w:rPr>
        <w:t>, caraway, lovage, chervil, coriander, cumin, dill, cow parsley, angelica, parsley and sea holly. These plants are often used for culinary, medicinal and aromatic purposes.</w:t>
      </w:r>
      <w:r w:rsidR="00465739" w:rsidRPr="00465739">
        <w:rPr>
          <w:rFonts w:ascii="Times New Roman" w:hAnsi="Times New Roman" w:cs="Times New Roman"/>
          <w:sz w:val="24"/>
          <w:szCs w:val="24"/>
        </w:rPr>
        <w:t xml:space="preserve"> It is well known for its strong antioxidant content, particularly carotenoids, which have been linked to cancer-fighting ef</w:t>
      </w:r>
      <w:r w:rsidR="00465739">
        <w:rPr>
          <w:rFonts w:ascii="Times New Roman" w:hAnsi="Times New Roman" w:cs="Times New Roman"/>
          <w:sz w:val="24"/>
          <w:szCs w:val="24"/>
        </w:rPr>
        <w:t>fects. Carotenoids, polyphenols</w:t>
      </w:r>
      <w:r w:rsidR="00465739" w:rsidRPr="00465739">
        <w:rPr>
          <w:rFonts w:ascii="Times New Roman" w:hAnsi="Times New Roman" w:cs="Times New Roman"/>
          <w:sz w:val="24"/>
          <w:szCs w:val="24"/>
        </w:rPr>
        <w:t xml:space="preserve"> and vitamins in carrots have been demonstrated to hav</w:t>
      </w:r>
      <w:r w:rsidR="00465739">
        <w:rPr>
          <w:rFonts w:ascii="Times New Roman" w:hAnsi="Times New Roman" w:cs="Times New Roman"/>
          <w:sz w:val="24"/>
          <w:szCs w:val="24"/>
        </w:rPr>
        <w:t>e anticarcinogenic, antioxidant</w:t>
      </w:r>
      <w:r w:rsidR="00465739" w:rsidRPr="00465739">
        <w:rPr>
          <w:rFonts w:ascii="Times New Roman" w:hAnsi="Times New Roman" w:cs="Times New Roman"/>
          <w:sz w:val="24"/>
          <w:szCs w:val="24"/>
        </w:rPr>
        <w:t xml:space="preserve"> and immune-boosting qualities, lending credence to the long-held concept that </w:t>
      </w:r>
      <w:r w:rsidR="00465739" w:rsidRPr="00465739">
        <w:rPr>
          <w:rFonts w:ascii="Times New Roman" w:hAnsi="Times New Roman" w:cs="Times New Roman"/>
          <w:sz w:val="24"/>
          <w:szCs w:val="24"/>
        </w:rPr>
        <w:lastRenderedPageBreak/>
        <w:t xml:space="preserve">carrots are good for eye health. </w:t>
      </w:r>
      <w:r w:rsidR="00465739">
        <w:rPr>
          <w:rFonts w:ascii="Times New Roman" w:hAnsi="Times New Roman" w:cs="Times New Roman"/>
          <w:sz w:val="24"/>
          <w:szCs w:val="24"/>
        </w:rPr>
        <w:t>N</w:t>
      </w:r>
      <w:r w:rsidR="00465739" w:rsidRPr="00465739">
        <w:rPr>
          <w:rFonts w:ascii="Times New Roman" w:hAnsi="Times New Roman" w:cs="Times New Roman"/>
          <w:sz w:val="24"/>
          <w:szCs w:val="24"/>
        </w:rPr>
        <w:t xml:space="preserve">umerous healths benefits, including cholesterol-lowering, anti-diabetic, anti-hypertensive, </w:t>
      </w:r>
      <w:proofErr w:type="spellStart"/>
      <w:r w:rsidR="00465739" w:rsidRPr="00465739">
        <w:rPr>
          <w:rFonts w:ascii="Times New Roman" w:hAnsi="Times New Roman" w:cs="Times New Roman"/>
          <w:sz w:val="24"/>
          <w:szCs w:val="24"/>
        </w:rPr>
        <w:t>reno</w:t>
      </w:r>
      <w:r w:rsidR="00465739">
        <w:rPr>
          <w:rFonts w:ascii="Times New Roman" w:hAnsi="Times New Roman" w:cs="Times New Roman"/>
          <w:sz w:val="24"/>
          <w:szCs w:val="24"/>
        </w:rPr>
        <w:t>protective</w:t>
      </w:r>
      <w:proofErr w:type="spellEnd"/>
      <w:r w:rsidR="00465739">
        <w:rPr>
          <w:rFonts w:ascii="Times New Roman" w:hAnsi="Times New Roman" w:cs="Times New Roman"/>
          <w:sz w:val="24"/>
          <w:szCs w:val="24"/>
        </w:rPr>
        <w:t>, hepatoprotective</w:t>
      </w:r>
      <w:r w:rsidR="00465739" w:rsidRPr="00465739">
        <w:rPr>
          <w:rFonts w:ascii="Times New Roman" w:hAnsi="Times New Roman" w:cs="Times New Roman"/>
          <w:sz w:val="24"/>
          <w:szCs w:val="24"/>
        </w:rPr>
        <w:t xml:space="preserve"> and facilitate the excretion of fats and bile by the liver. Carrot seed extracts have also been shown to have antibacterial, antifungal, anti-inflammatory, cardioprotective, and hepatoprotective effects. Carrot pomace, which contains about 50% -carotene, has been recognized as a valuable byproduct that can be economically helpful for boosting culinary products such as biscuits, bread, and cakes, as well as preparing various functional goods</w:t>
      </w:r>
      <w:r w:rsidR="007C3DD7">
        <w:rPr>
          <w:rFonts w:ascii="Times New Roman" w:hAnsi="Times New Roman" w:cs="Times New Roman"/>
          <w:sz w:val="24"/>
          <w:szCs w:val="24"/>
        </w:rPr>
        <w:t xml:space="preserve"> (Ikram </w:t>
      </w:r>
      <w:r w:rsidR="007C3DD7" w:rsidRPr="007C3DD7">
        <w:rPr>
          <w:rFonts w:ascii="Times New Roman" w:hAnsi="Times New Roman" w:cs="Times New Roman"/>
          <w:i/>
          <w:sz w:val="24"/>
          <w:szCs w:val="24"/>
        </w:rPr>
        <w:t>et al</w:t>
      </w:r>
      <w:r w:rsidR="007C3DD7">
        <w:rPr>
          <w:rFonts w:ascii="Times New Roman" w:hAnsi="Times New Roman" w:cs="Times New Roman"/>
          <w:sz w:val="24"/>
          <w:szCs w:val="24"/>
        </w:rPr>
        <w:t>. 2024)</w:t>
      </w:r>
      <w:r w:rsidR="00465739" w:rsidRPr="00465739">
        <w:rPr>
          <w:rFonts w:ascii="Times New Roman" w:hAnsi="Times New Roman" w:cs="Times New Roman"/>
          <w:sz w:val="24"/>
          <w:szCs w:val="24"/>
        </w:rPr>
        <w:t xml:space="preserve">. </w:t>
      </w:r>
      <w:r w:rsidRPr="002D5F97">
        <w:rPr>
          <w:rFonts w:ascii="Times New Roman" w:hAnsi="Times New Roman" w:cs="Times New Roman"/>
          <w:sz w:val="24"/>
          <w:szCs w:val="24"/>
        </w:rPr>
        <w:t xml:space="preserve">North Africa and Europe are the main </w:t>
      </w:r>
      <w:proofErr w:type="spellStart"/>
      <w:r w:rsidRPr="002D5F97">
        <w:rPr>
          <w:rFonts w:ascii="Times New Roman" w:hAnsi="Times New Roman" w:cs="Times New Roman"/>
          <w:sz w:val="24"/>
          <w:szCs w:val="24"/>
        </w:rPr>
        <w:t>centres</w:t>
      </w:r>
      <w:proofErr w:type="spellEnd"/>
      <w:r w:rsidRPr="002D5F97">
        <w:rPr>
          <w:rFonts w:ascii="Times New Roman" w:hAnsi="Times New Roman" w:cs="Times New Roman"/>
          <w:sz w:val="24"/>
          <w:szCs w:val="24"/>
        </w:rPr>
        <w:t xml:space="preserve">. Throughout the winter, this cool-season crop is cultivated in spring, summer, and fall in temperate regions, as well as tropical and subtropical locations across the globe. </w:t>
      </w:r>
    </w:p>
    <w:p w:rsidR="007F7E47"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Carrot production is based on 62200 hectares of land in India, where 1.15 million </w:t>
      </w:r>
      <w:proofErr w:type="spellStart"/>
      <w:r w:rsidRPr="002D5F97">
        <w:rPr>
          <w:rFonts w:ascii="Times New Roman" w:hAnsi="Times New Roman" w:cs="Times New Roman"/>
          <w:sz w:val="24"/>
          <w:szCs w:val="24"/>
        </w:rPr>
        <w:t>tonnes</w:t>
      </w:r>
      <w:proofErr w:type="spellEnd"/>
      <w:r w:rsidRPr="002D5F97">
        <w:rPr>
          <w:rFonts w:ascii="Times New Roman" w:hAnsi="Times New Roman" w:cs="Times New Roman"/>
          <w:sz w:val="24"/>
          <w:szCs w:val="24"/>
        </w:rPr>
        <w:t xml:space="preserve"> are produced annually (Anonymous, 2024) and 1400 hectares in Madhya Pradesh, where 8.5 </w:t>
      </w:r>
      <w:proofErr w:type="spellStart"/>
      <w:r w:rsidRPr="002D5F97">
        <w:rPr>
          <w:rFonts w:ascii="Times New Roman" w:hAnsi="Times New Roman" w:cs="Times New Roman"/>
          <w:sz w:val="24"/>
          <w:szCs w:val="24"/>
        </w:rPr>
        <w:t>tonnes</w:t>
      </w:r>
      <w:proofErr w:type="spellEnd"/>
      <w:r w:rsidRPr="002D5F97">
        <w:rPr>
          <w:rFonts w:ascii="Times New Roman" w:hAnsi="Times New Roman" w:cs="Times New Roman"/>
          <w:sz w:val="24"/>
          <w:szCs w:val="24"/>
        </w:rPr>
        <w:t xml:space="preserve"> are produced annually. At first, the roots were either purple or yellow in color, long and thin. Roots can have a spherical, conical, or cylindrical form. Being a biennial, the plant grows vegetatively in its first season before setting seed. </w:t>
      </w:r>
    </w:p>
    <w:p w:rsidR="007F7E47" w:rsidRPr="002D5F97" w:rsidRDefault="007F7E47" w:rsidP="005E5F00">
      <w:pPr>
        <w:spacing w:line="276" w:lineRule="auto"/>
        <w:ind w:right="-46"/>
        <w:jc w:val="both"/>
        <w:rPr>
          <w:rFonts w:ascii="Times New Roman" w:hAnsi="Times New Roman" w:cs="Times New Roman"/>
          <w:sz w:val="24"/>
          <w:szCs w:val="24"/>
        </w:rPr>
      </w:pPr>
      <w:r w:rsidRPr="002D5F97">
        <w:rPr>
          <w:rFonts w:ascii="Times New Roman" w:hAnsi="Times New Roman" w:cs="Times New Roman"/>
          <w:sz w:val="24"/>
          <w:szCs w:val="24"/>
        </w:rPr>
        <w:t xml:space="preserve"> Carrots are an essential crop for a healthy diet, making it crucial to ensure their high quality (Radics </w:t>
      </w:r>
      <w:r w:rsidRPr="002D5F97">
        <w:rPr>
          <w:rFonts w:ascii="Times New Roman" w:hAnsi="Times New Roman" w:cs="Times New Roman"/>
          <w:i/>
          <w:sz w:val="24"/>
          <w:szCs w:val="24"/>
        </w:rPr>
        <w:t>et al</w:t>
      </w:r>
      <w:r w:rsidRPr="002D5F97">
        <w:rPr>
          <w:rFonts w:ascii="Times New Roman" w:hAnsi="Times New Roman" w:cs="Times New Roman"/>
          <w:sz w:val="24"/>
          <w:szCs w:val="24"/>
        </w:rPr>
        <w:t>., 2002). They require 100 kg of nitrogen (N), 50 kg of phosphorus (P</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O</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and 180 kg of potassium (K</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O) per hectare as they are highnutrient feeders. </w:t>
      </w:r>
      <w:r w:rsidR="006F5D4B">
        <w:rPr>
          <w:rFonts w:ascii="Times New Roman" w:hAnsi="Times New Roman" w:cs="Times New Roman"/>
          <w:sz w:val="24"/>
          <w:szCs w:val="24"/>
        </w:rPr>
        <w:t>Additionally</w:t>
      </w:r>
      <w:r w:rsidRPr="002D5F97">
        <w:rPr>
          <w:rFonts w:ascii="Times New Roman" w:hAnsi="Times New Roman" w:cs="Times New Roman"/>
          <w:sz w:val="24"/>
          <w:szCs w:val="24"/>
        </w:rPr>
        <w:t>, carrots exhibit high susceptibility to variations in soil moisture and nitrogen levels (</w:t>
      </w:r>
      <w:proofErr w:type="spellStart"/>
      <w:r w:rsidRPr="002D5F97">
        <w:rPr>
          <w:rFonts w:ascii="Times New Roman" w:hAnsi="Times New Roman" w:cs="Times New Roman"/>
          <w:sz w:val="24"/>
          <w:szCs w:val="24"/>
        </w:rPr>
        <w:t>Sunanadarani</w:t>
      </w:r>
      <w:proofErr w:type="spellEnd"/>
      <w:r w:rsidRPr="002D5F97">
        <w:rPr>
          <w:rFonts w:ascii="Times New Roman" w:hAnsi="Times New Roman" w:cs="Times New Roman"/>
          <w:sz w:val="24"/>
          <w:szCs w:val="24"/>
        </w:rPr>
        <w:t xml:space="preserve"> and </w:t>
      </w:r>
      <w:proofErr w:type="spellStart"/>
      <w:r w:rsidRPr="002D5F97">
        <w:rPr>
          <w:rFonts w:ascii="Times New Roman" w:hAnsi="Times New Roman" w:cs="Times New Roman"/>
          <w:sz w:val="24"/>
          <w:szCs w:val="24"/>
        </w:rPr>
        <w:t>Mallareddy</w:t>
      </w:r>
      <w:proofErr w:type="spellEnd"/>
      <w:r w:rsidRPr="002D5F97">
        <w:rPr>
          <w:rFonts w:ascii="Times New Roman" w:hAnsi="Times New Roman" w:cs="Times New Roman"/>
          <w:sz w:val="24"/>
          <w:szCs w:val="24"/>
        </w:rPr>
        <w:t xml:space="preserve">, 2007). Carrot production can be increased by combining organic manures with chemical fertilizers. Carrots and other root vegetables are nutrient-demanding crops, thus organic manures by themselves might not be able to supply enough nutrients. However, it has been shown that increasing the yield of root vegetables can be achieved by combining organic manures with inorganic fertilizers. Although inorganic fertilizers are necessary for plants to grow and develop properly, organic nutrient sources offer benefits such as a steady and slow nutrient release, maintaining the ideal carbon: nitrogen (C: N) ratio, increasing microbial biomass and soil water retention, all without leaving harmful residues (Yadav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2010). Additionally, organic manures have shown positive effects on the quality of various vegetables. Thus, a balanced and integrated approach to nutrient supplementation is vital for quality and sustainable carrot production. In addition, mixing inorganic and organic fertilizers enhances soil aeration and water infiltration, encourages root development, and lessens the chance of floods downstream (Kumar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2014). </w:t>
      </w:r>
    </w:p>
    <w:p w:rsidR="007F7E47" w:rsidRPr="002D5F97" w:rsidRDefault="007F7E47" w:rsidP="005E5F00">
      <w:pPr>
        <w:spacing w:after="52"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India has lost a lot of soil nutrients as a result of the previous thirty years of intense farming with high-yielding cultivars. Additionally, </w:t>
      </w:r>
      <w:r w:rsidR="0038781B" w:rsidRPr="002D5F97">
        <w:rPr>
          <w:rFonts w:ascii="Times New Roman" w:hAnsi="Times New Roman" w:cs="Times New Roman"/>
          <w:sz w:val="24"/>
          <w:szCs w:val="24"/>
        </w:rPr>
        <w:t>the</w:t>
      </w:r>
      <w:r w:rsidRPr="002D5F97">
        <w:rPr>
          <w:rFonts w:ascii="Times New Roman" w:hAnsi="Times New Roman" w:cs="Times New Roman"/>
          <w:sz w:val="24"/>
          <w:szCs w:val="24"/>
        </w:rPr>
        <w:t xml:space="preserve"> inconsistent application of chemical fertilizers by farmers has resulted in a decline in soil quality and levels of organic carbon. Despite being a common organic manure source for field crops, farmyard manure (FYM) is a challenging nutrition source due to its limited supply. It has been suggested that vermicompost is a useful substitute for organic manure. The carrot root has 85% moisture content has a variety of chemical components, such as vitamin A (3150 I.U) and vitamin C (3.0 mg). This makes it an excellent food source for humans. Potassium, calcium, phosphorus, and a number of important micronutrients are all abundant in carrots (Salunkhe and Kadam, 1998). Carrots are known for their Ayurvedic and medicinal properties. They can be consumed cooked or uncooked and are used in pickles, sweets, curries, pies, and other dishes. </w:t>
      </w:r>
      <w:r w:rsidRPr="002D5F97">
        <w:rPr>
          <w:rFonts w:ascii="Times New Roman" w:hAnsi="Times New Roman" w:cs="Times New Roman"/>
          <w:sz w:val="24"/>
          <w:szCs w:val="24"/>
        </w:rPr>
        <w:lastRenderedPageBreak/>
        <w:t xml:space="preserve">Carotene-rich carrot juice is frequently used to </w:t>
      </w:r>
      <w:proofErr w:type="spellStart"/>
      <w:r w:rsidRPr="002D5F97">
        <w:rPr>
          <w:rFonts w:ascii="Times New Roman" w:hAnsi="Times New Roman" w:cs="Times New Roman"/>
          <w:sz w:val="24"/>
          <w:szCs w:val="24"/>
        </w:rPr>
        <w:t>colour</w:t>
      </w:r>
      <w:proofErr w:type="spellEnd"/>
      <w:r w:rsidRPr="002D5F97">
        <w:rPr>
          <w:rFonts w:ascii="Times New Roman" w:hAnsi="Times New Roman" w:cs="Times New Roman"/>
          <w:sz w:val="24"/>
          <w:szCs w:val="24"/>
        </w:rPr>
        <w:t xml:space="preserve"> butter and other food goods. Carotene, a precursor to vitamin A, is especially abundant in </w:t>
      </w:r>
      <w:r w:rsidR="0038781B" w:rsidRPr="002D5F97">
        <w:rPr>
          <w:rFonts w:ascii="Times New Roman" w:hAnsi="Times New Roman" w:cs="Times New Roman"/>
          <w:sz w:val="24"/>
          <w:szCs w:val="24"/>
        </w:rPr>
        <w:t>orange-</w:t>
      </w:r>
      <w:proofErr w:type="spellStart"/>
      <w:r w:rsidR="0038781B" w:rsidRPr="002D5F97">
        <w:rPr>
          <w:rFonts w:ascii="Times New Roman" w:hAnsi="Times New Roman" w:cs="Times New Roman"/>
          <w:sz w:val="24"/>
          <w:szCs w:val="24"/>
        </w:rPr>
        <w:t>coloured</w:t>
      </w:r>
      <w:proofErr w:type="spellEnd"/>
      <w:r w:rsidRPr="002D5F97">
        <w:rPr>
          <w:rFonts w:ascii="Times New Roman" w:hAnsi="Times New Roman" w:cs="Times New Roman"/>
          <w:sz w:val="24"/>
          <w:szCs w:val="24"/>
        </w:rPr>
        <w:t xml:space="preserve"> carrots. They also have notable levels of thiamine and riboflavin. Black carrots are used to make a beverage called kanji, known for its appetite-stimulating properties. Asiatic varieties of carrots have higher levels of anthocyanin pigments but lower carotene content, making them potentially less nutritious. Green carrot leaves are used as fodder and to prepare chicken feed because they are extremely nutrient-dense, high in protein, minerals, and vitamins. </w:t>
      </w:r>
    </w:p>
    <w:p w:rsidR="0038781B" w:rsidRPr="002D5F97" w:rsidRDefault="007F7E47"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Organic manures are unquestionably essential to modern agriculture since they help produce high-quality crops and increase yields per unit area. Investigating more affordable and ecologically friendly sources of nutrients is urgently needed in order to help farmers lessen their dependency on chemical fertilizers, preserve healthy soil, and advance ecological sustainability. In addition to being easily created, Farmers highly </w:t>
      </w:r>
      <w:proofErr w:type="spellStart"/>
      <w:r w:rsidRPr="002D5F97">
        <w:rPr>
          <w:rFonts w:ascii="Times New Roman" w:hAnsi="Times New Roman" w:cs="Times New Roman"/>
          <w:sz w:val="24"/>
          <w:szCs w:val="24"/>
        </w:rPr>
        <w:t>favour</w:t>
      </w:r>
      <w:proofErr w:type="spellEnd"/>
      <w:r w:rsidRPr="002D5F97">
        <w:rPr>
          <w:rFonts w:ascii="Times New Roman" w:hAnsi="Times New Roman" w:cs="Times New Roman"/>
          <w:sz w:val="24"/>
          <w:szCs w:val="24"/>
        </w:rPr>
        <w:t xml:space="preserve"> organic fertilizers like vermicompost, compost, FYM (farmyard manure), and chicken manure. The overuse of chemical pesticides, fungicides, and fertilizers is currently causing the health of the soil to deteriorate, which in turn has an impact on plant health. Most small-scale and marginal farmers in India find it difficult and costly to buy chemical fertilizers. Conversely, organic manures provide a cost-effective and environmentally beneficial substitute. On the other hand, compared to chemical fertilizers, the crop response to organic manures has been noted to be less abrupt and dramatic. However, frequent use of chemical fertilizers can degrade the chemical makeup of the soil and ultimately result in lower yield. In order to maintain the soil's fertility and ensure a balanced supply of nutrients for ideal crop growth, productivity and quality, it is important to use a combination of inorganic and organic fertilizers</w:t>
      </w:r>
      <w:r w:rsidR="00126B60">
        <w:rPr>
          <w:rFonts w:ascii="Times New Roman" w:hAnsi="Times New Roman" w:cs="Times New Roman"/>
          <w:sz w:val="24"/>
          <w:szCs w:val="24"/>
        </w:rPr>
        <w:t xml:space="preserve"> (Singh </w:t>
      </w:r>
      <w:r w:rsidR="00126B60" w:rsidRPr="00126B60">
        <w:rPr>
          <w:rFonts w:ascii="Times New Roman" w:hAnsi="Times New Roman" w:cs="Times New Roman"/>
          <w:i/>
          <w:sz w:val="24"/>
          <w:szCs w:val="24"/>
        </w:rPr>
        <w:t>et</w:t>
      </w:r>
      <w:r w:rsidR="00126B60">
        <w:rPr>
          <w:rFonts w:ascii="Times New Roman" w:hAnsi="Times New Roman" w:cs="Times New Roman"/>
          <w:sz w:val="24"/>
          <w:szCs w:val="24"/>
        </w:rPr>
        <w:t xml:space="preserve"> </w:t>
      </w:r>
      <w:r w:rsidR="00126B60" w:rsidRPr="00126B60">
        <w:rPr>
          <w:rFonts w:ascii="Times New Roman" w:hAnsi="Times New Roman" w:cs="Times New Roman"/>
          <w:i/>
          <w:sz w:val="24"/>
          <w:szCs w:val="24"/>
        </w:rPr>
        <w:t>al</w:t>
      </w:r>
      <w:r w:rsidR="00126B60">
        <w:rPr>
          <w:rFonts w:ascii="Times New Roman" w:hAnsi="Times New Roman" w:cs="Times New Roman"/>
          <w:sz w:val="24"/>
          <w:szCs w:val="24"/>
        </w:rPr>
        <w:t>. 2024)</w:t>
      </w:r>
      <w:r w:rsidRPr="002D5F97">
        <w:rPr>
          <w:rFonts w:ascii="Times New Roman" w:hAnsi="Times New Roman" w:cs="Times New Roman"/>
          <w:sz w:val="24"/>
          <w:szCs w:val="24"/>
        </w:rPr>
        <w:t xml:space="preserve">. </w:t>
      </w:r>
    </w:p>
    <w:p w:rsidR="002955E4" w:rsidRPr="002D5F97" w:rsidRDefault="002955E4" w:rsidP="005E5F00">
      <w:pPr>
        <w:spacing w:after="0" w:line="276" w:lineRule="auto"/>
        <w:ind w:right="-46"/>
        <w:jc w:val="both"/>
        <w:rPr>
          <w:rFonts w:ascii="Times New Roman" w:hAnsi="Times New Roman" w:cs="Times New Roman"/>
          <w:sz w:val="24"/>
          <w:szCs w:val="24"/>
        </w:rPr>
      </w:pPr>
      <w:r w:rsidRPr="002D5F97">
        <w:rPr>
          <w:rFonts w:ascii="Times New Roman" w:hAnsi="Times New Roman" w:cs="Times New Roman"/>
          <w:b/>
          <w:sz w:val="24"/>
          <w:szCs w:val="24"/>
        </w:rPr>
        <w:t>MATERIALS AND METHODS</w:t>
      </w:r>
    </w:p>
    <w:p w:rsidR="002955E4" w:rsidRPr="002D5F97" w:rsidRDefault="002955E4" w:rsidP="005E5F00">
      <w:pPr>
        <w:spacing w:before="240"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 xml:space="preserve">The experiment was carried out at the Research farm of the Department of </w:t>
      </w:r>
      <w:r w:rsidR="00531552" w:rsidRPr="002D5F97">
        <w:rPr>
          <w:rFonts w:ascii="Times New Roman" w:hAnsi="Times New Roman" w:cs="Times New Roman"/>
          <w:sz w:val="24"/>
          <w:szCs w:val="24"/>
        </w:rPr>
        <w:t>Horticulture</w:t>
      </w:r>
      <w:r w:rsidRPr="002D5F97">
        <w:rPr>
          <w:rFonts w:ascii="Times New Roman" w:hAnsi="Times New Roman" w:cs="Times New Roman"/>
          <w:sz w:val="24"/>
          <w:szCs w:val="24"/>
        </w:rPr>
        <w:t xml:space="preserve">, School of Agriculture Science, Technology </w:t>
      </w:r>
      <w:r w:rsidR="00BD1128">
        <w:rPr>
          <w:rFonts w:ascii="Times New Roman" w:hAnsi="Times New Roman" w:cs="Times New Roman"/>
          <w:sz w:val="24"/>
          <w:szCs w:val="24"/>
        </w:rPr>
        <w:t>and</w:t>
      </w:r>
      <w:r w:rsidRPr="002D5F97">
        <w:rPr>
          <w:rFonts w:ascii="Times New Roman" w:hAnsi="Times New Roman" w:cs="Times New Roman"/>
          <w:sz w:val="24"/>
          <w:szCs w:val="24"/>
        </w:rPr>
        <w:t xml:space="preserve"> Research, Sardar Patel University, </w:t>
      </w:r>
      <w:proofErr w:type="spellStart"/>
      <w:r w:rsidRPr="002D5F97">
        <w:rPr>
          <w:rFonts w:ascii="Times New Roman" w:hAnsi="Times New Roman" w:cs="Times New Roman"/>
          <w:sz w:val="24"/>
          <w:szCs w:val="24"/>
        </w:rPr>
        <w:t>Balaghat</w:t>
      </w:r>
      <w:proofErr w:type="spellEnd"/>
      <w:r w:rsidRPr="002D5F97">
        <w:rPr>
          <w:rFonts w:ascii="Times New Roman" w:hAnsi="Times New Roman" w:cs="Times New Roman"/>
          <w:sz w:val="24"/>
          <w:szCs w:val="24"/>
        </w:rPr>
        <w:t xml:space="preserve"> (M.P.). The experiment was conducted in a randomized complete block design with three replications. Different </w:t>
      </w:r>
      <w:r w:rsidR="00531552" w:rsidRPr="002D5F97">
        <w:rPr>
          <w:rFonts w:ascii="Times New Roman" w:hAnsi="Times New Roman" w:cs="Times New Roman"/>
          <w:sz w:val="24"/>
          <w:szCs w:val="24"/>
        </w:rPr>
        <w:t xml:space="preserve">organic and inorganic fertilizers </w:t>
      </w:r>
      <w:r w:rsidR="00282BB7" w:rsidRPr="002D5F97">
        <w:rPr>
          <w:rFonts w:ascii="Times New Roman" w:hAnsi="Times New Roman" w:cs="Times New Roman"/>
          <w:sz w:val="24"/>
          <w:szCs w:val="24"/>
        </w:rPr>
        <w:t>were</w:t>
      </w:r>
      <w:r w:rsidRPr="002D5F97">
        <w:rPr>
          <w:rFonts w:ascii="Times New Roman" w:hAnsi="Times New Roman" w:cs="Times New Roman"/>
          <w:sz w:val="24"/>
          <w:szCs w:val="24"/>
        </w:rPr>
        <w:t xml:space="preserve"> allocated to the plots as per treatments. The seed rate used as </w:t>
      </w:r>
      <w:r w:rsidR="00531552" w:rsidRPr="002D5F97">
        <w:rPr>
          <w:rFonts w:ascii="Times New Roman" w:hAnsi="Times New Roman" w:cs="Times New Roman"/>
          <w:sz w:val="24"/>
          <w:szCs w:val="24"/>
        </w:rPr>
        <w:t>10</w:t>
      </w:r>
      <w:r w:rsidRPr="002D5F97">
        <w:rPr>
          <w:rFonts w:ascii="Times New Roman" w:hAnsi="Times New Roman" w:cs="Times New Roman"/>
          <w:sz w:val="24"/>
          <w:szCs w:val="24"/>
        </w:rPr>
        <w:t xml:space="preserve"> kg/ha for sowing with </w:t>
      </w:r>
      <w:r w:rsidR="00531552" w:rsidRPr="002D5F97">
        <w:rPr>
          <w:rFonts w:ascii="Times New Roman" w:hAnsi="Times New Roman" w:cs="Times New Roman"/>
          <w:sz w:val="24"/>
          <w:szCs w:val="24"/>
        </w:rPr>
        <w:t>3</w:t>
      </w:r>
      <w:r w:rsidRPr="002D5F97">
        <w:rPr>
          <w:rFonts w:ascii="Times New Roman" w:hAnsi="Times New Roman" w:cs="Times New Roman"/>
          <w:sz w:val="24"/>
          <w:szCs w:val="24"/>
        </w:rPr>
        <w:t xml:space="preserve">0 x </w:t>
      </w:r>
      <w:r w:rsidR="00531552" w:rsidRPr="002D5F97">
        <w:rPr>
          <w:rFonts w:ascii="Times New Roman" w:hAnsi="Times New Roman" w:cs="Times New Roman"/>
          <w:sz w:val="24"/>
          <w:szCs w:val="24"/>
        </w:rPr>
        <w:t>8</w:t>
      </w:r>
      <w:r w:rsidRPr="002D5F97">
        <w:rPr>
          <w:rFonts w:ascii="Times New Roman" w:hAnsi="Times New Roman" w:cs="Times New Roman"/>
          <w:sz w:val="24"/>
          <w:szCs w:val="24"/>
        </w:rPr>
        <w:t xml:space="preserve"> cm row-to-row and plant-to-plant distance</w:t>
      </w:r>
      <w:r w:rsidR="00882DF4">
        <w:rPr>
          <w:rFonts w:ascii="Times New Roman" w:hAnsi="Times New Roman" w:cs="Times New Roman"/>
          <w:sz w:val="24"/>
          <w:szCs w:val="24"/>
        </w:rPr>
        <w:t xml:space="preserve"> of variety </w:t>
      </w:r>
      <w:proofErr w:type="spellStart"/>
      <w:r w:rsidR="00882DF4">
        <w:rPr>
          <w:rFonts w:ascii="Times New Roman" w:hAnsi="Times New Roman" w:cs="Times New Roman"/>
          <w:sz w:val="24"/>
          <w:szCs w:val="24"/>
        </w:rPr>
        <w:t>Pusa</w:t>
      </w:r>
      <w:proofErr w:type="spellEnd"/>
      <w:r w:rsidR="00882DF4">
        <w:rPr>
          <w:rFonts w:ascii="Times New Roman" w:hAnsi="Times New Roman" w:cs="Times New Roman"/>
          <w:sz w:val="24"/>
          <w:szCs w:val="24"/>
        </w:rPr>
        <w:t xml:space="preserve"> Kesar</w:t>
      </w:r>
      <w:r w:rsidRPr="002D5F97">
        <w:rPr>
          <w:rFonts w:ascii="Times New Roman" w:hAnsi="Times New Roman" w:cs="Times New Roman"/>
          <w:sz w:val="24"/>
          <w:szCs w:val="24"/>
        </w:rPr>
        <w:t>. The treatments were Control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40:30:40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50:40:50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3</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 xml:space="preserve">60:50:60 N: P: K </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FYM 20 t ha</w:t>
      </w:r>
      <w:r w:rsidR="00531552"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t>
      </w:r>
      <w:r w:rsidR="00531552" w:rsidRPr="002D5F97">
        <w:rPr>
          <w:rFonts w:ascii="Times New Roman" w:hAnsi="Times New Roman" w:cs="Times New Roman"/>
          <w:sz w:val="24"/>
          <w:szCs w:val="24"/>
        </w:rPr>
        <w:t>Vermicompost 10mt ha</w:t>
      </w:r>
      <w:r w:rsidR="00531552" w:rsidRPr="002D5F97">
        <w:rPr>
          <w:rFonts w:ascii="Times New Roman" w:hAnsi="Times New Roman" w:cs="Times New Roman"/>
          <w:sz w:val="24"/>
          <w:szCs w:val="24"/>
          <w:vertAlign w:val="superscript"/>
        </w:rPr>
        <w:t>-1</w:t>
      </w:r>
      <w:r w:rsidRPr="002D5F97">
        <w:rPr>
          <w:rFonts w:ascii="Times New Roman" w:hAnsi="Times New Roman" w:cs="Times New Roman"/>
          <w:color w:val="000000"/>
          <w:sz w:val="24"/>
          <w:szCs w:val="24"/>
        </w:rPr>
        <w:t>(T</w:t>
      </w:r>
      <w:r w:rsidRPr="002D5F97">
        <w:rPr>
          <w:rFonts w:ascii="Times New Roman" w:hAnsi="Times New Roman" w:cs="Times New Roman"/>
          <w:color w:val="000000"/>
          <w:sz w:val="24"/>
          <w:szCs w:val="24"/>
          <w:vertAlign w:val="subscript"/>
        </w:rPr>
        <w:t>6</w:t>
      </w:r>
      <w:r w:rsidRPr="002D5F97">
        <w:rPr>
          <w:rFonts w:ascii="Times New Roman" w:hAnsi="Times New Roman" w:cs="Times New Roman"/>
          <w:color w:val="000000"/>
          <w:sz w:val="24"/>
          <w:szCs w:val="24"/>
        </w:rPr>
        <w:t>) and</w:t>
      </w:r>
      <w:r w:rsidR="00BD1128">
        <w:rPr>
          <w:rFonts w:ascii="Times New Roman" w:hAnsi="Times New Roman" w:cs="Times New Roman"/>
          <w:color w:val="000000"/>
          <w:sz w:val="24"/>
          <w:szCs w:val="24"/>
        </w:rPr>
        <w:t xml:space="preserve"> </w:t>
      </w:r>
      <w:r w:rsidR="00531552" w:rsidRPr="002D5F97">
        <w:rPr>
          <w:rFonts w:ascii="Times New Roman" w:hAnsi="Times New Roman" w:cs="Times New Roman"/>
          <w:sz w:val="24"/>
          <w:szCs w:val="24"/>
        </w:rPr>
        <w:t>Poultry manure 15mt ha</w:t>
      </w:r>
      <w:r w:rsidR="00531552" w:rsidRPr="002D5F97">
        <w:rPr>
          <w:rFonts w:ascii="Times New Roman" w:hAnsi="Times New Roman" w:cs="Times New Roman"/>
          <w:sz w:val="24"/>
          <w:szCs w:val="24"/>
          <w:vertAlign w:val="superscript"/>
        </w:rPr>
        <w:t>-1</w:t>
      </w:r>
      <w:r w:rsidRPr="002D5F97">
        <w:rPr>
          <w:rFonts w:ascii="Times New Roman" w:hAnsi="Times New Roman" w:cs="Times New Roman"/>
          <w:sz w:val="24"/>
          <w:szCs w:val="24"/>
        </w:rPr>
        <w:t>(T</w:t>
      </w:r>
      <w:r w:rsidRPr="002D5F97">
        <w:rPr>
          <w:rFonts w:ascii="Times New Roman" w:hAnsi="Times New Roman" w:cs="Times New Roman"/>
          <w:sz w:val="24"/>
          <w:szCs w:val="24"/>
          <w:vertAlign w:val="subscript"/>
        </w:rPr>
        <w:t>7</w:t>
      </w:r>
      <w:r w:rsidRPr="002D5F97">
        <w:rPr>
          <w:rFonts w:ascii="Times New Roman" w:hAnsi="Times New Roman" w:cs="Times New Roman"/>
          <w:sz w:val="24"/>
          <w:szCs w:val="24"/>
        </w:rPr>
        <w:t xml:space="preserve">).The gross and net plot size was </w:t>
      </w:r>
      <w:r w:rsidR="00531552" w:rsidRPr="002D5F97">
        <w:rPr>
          <w:rFonts w:ascii="Times New Roman" w:hAnsi="Times New Roman" w:cs="Times New Roman"/>
          <w:sz w:val="24"/>
          <w:szCs w:val="24"/>
        </w:rPr>
        <w:t>141.375</w:t>
      </w:r>
      <w:r w:rsidRPr="002D5F97">
        <w:rPr>
          <w:rFonts w:ascii="Times New Roman" w:hAnsi="Times New Roman" w:cs="Times New Roman"/>
          <w:sz w:val="24"/>
          <w:szCs w:val="24"/>
        </w:rPr>
        <w:t xml:space="preserve"> m</w:t>
      </w:r>
      <w:r w:rsidRPr="002D5F97">
        <w:rPr>
          <w:rFonts w:ascii="Times New Roman" w:hAnsi="Times New Roman" w:cs="Times New Roman"/>
          <w:sz w:val="24"/>
          <w:szCs w:val="24"/>
          <w:vertAlign w:val="superscript"/>
        </w:rPr>
        <w:t xml:space="preserve">2 </w:t>
      </w:r>
      <w:r w:rsidRPr="002D5F97">
        <w:rPr>
          <w:rFonts w:ascii="Times New Roman" w:hAnsi="Times New Roman" w:cs="Times New Roman"/>
          <w:sz w:val="24"/>
          <w:szCs w:val="24"/>
        </w:rPr>
        <w:t xml:space="preserve">and </w:t>
      </w:r>
      <w:r w:rsidR="00531552" w:rsidRPr="002D5F97">
        <w:rPr>
          <w:rFonts w:ascii="Times New Roman" w:hAnsi="Times New Roman" w:cs="Times New Roman"/>
          <w:sz w:val="24"/>
          <w:szCs w:val="24"/>
        </w:rPr>
        <w:t>67.50</w:t>
      </w:r>
      <w:r w:rsidRPr="002D5F97">
        <w:rPr>
          <w:rFonts w:ascii="Times New Roman" w:hAnsi="Times New Roman" w:cs="Times New Roman"/>
          <w:sz w:val="24"/>
          <w:szCs w:val="24"/>
        </w:rPr>
        <w:t xml:space="preserve"> m², respectively. The fertilizer grades were applied as per </w:t>
      </w:r>
      <w:r w:rsidR="00531552" w:rsidRPr="002D5F97">
        <w:rPr>
          <w:rFonts w:ascii="Times New Roman" w:hAnsi="Times New Roman" w:cs="Times New Roman"/>
          <w:sz w:val="24"/>
          <w:szCs w:val="24"/>
        </w:rPr>
        <w:t>treatment.</w:t>
      </w:r>
      <w:r w:rsidRPr="002D5F97">
        <w:rPr>
          <w:rFonts w:ascii="Times New Roman" w:hAnsi="Times New Roman" w:cs="Times New Roman"/>
          <w:sz w:val="24"/>
          <w:szCs w:val="24"/>
        </w:rPr>
        <w:t xml:space="preserve"> All the other agronomic practices were applied uniformly to all the treatments. The experiment will be consisting of the following factors along with their respective levels.</w:t>
      </w:r>
    </w:p>
    <w:p w:rsidR="002955E4" w:rsidRPr="002D5F97" w:rsidRDefault="002955E4" w:rsidP="005E5F00">
      <w:pPr>
        <w:spacing w:before="240" w:after="100" w:afterAutospacing="1" w:line="276" w:lineRule="auto"/>
        <w:ind w:right="-46"/>
        <w:jc w:val="both"/>
        <w:rPr>
          <w:rFonts w:ascii="Times New Roman" w:hAnsi="Times New Roman" w:cs="Times New Roman"/>
          <w:b/>
          <w:bCs/>
          <w:sz w:val="24"/>
          <w:szCs w:val="24"/>
        </w:rPr>
      </w:pPr>
      <w:r w:rsidRPr="002D5F97">
        <w:rPr>
          <w:rFonts w:ascii="Times New Roman" w:hAnsi="Times New Roman" w:cs="Times New Roman"/>
          <w:b/>
          <w:bCs/>
          <w:sz w:val="24"/>
          <w:szCs w:val="24"/>
        </w:rPr>
        <w:t>RESULTS AND DISCUSSION</w:t>
      </w:r>
    </w:p>
    <w:p w:rsidR="00F37550" w:rsidRPr="002D5F97" w:rsidRDefault="00D92970" w:rsidP="005E5F00">
      <w:pPr>
        <w:spacing w:line="276" w:lineRule="auto"/>
        <w:ind w:right="-46" w:firstLine="284"/>
        <w:jc w:val="both"/>
        <w:rPr>
          <w:rFonts w:ascii="Times New Roman" w:hAnsi="Times New Roman" w:cs="Times New Roman"/>
          <w:sz w:val="24"/>
          <w:szCs w:val="24"/>
        </w:rPr>
      </w:pPr>
      <w:r w:rsidRPr="00D92970">
        <w:rPr>
          <w:rFonts w:ascii="Times New Roman" w:hAnsi="Times New Roman" w:cs="Times New Roman"/>
          <w:sz w:val="24"/>
          <w:szCs w:val="24"/>
        </w:rPr>
        <w:t xml:space="preserve">This study on carrot growth looked at a number of morphological characteristics, such as the percentage of root </w:t>
      </w:r>
      <w:proofErr w:type="spellStart"/>
      <w:r w:rsidRPr="00D92970">
        <w:rPr>
          <w:rFonts w:ascii="Times New Roman" w:hAnsi="Times New Roman" w:cs="Times New Roman"/>
          <w:sz w:val="24"/>
          <w:szCs w:val="24"/>
        </w:rPr>
        <w:t>forking</w:t>
      </w:r>
      <w:proofErr w:type="spellEnd"/>
      <w:r w:rsidRPr="00D92970">
        <w:rPr>
          <w:rFonts w:ascii="Times New Roman" w:hAnsi="Times New Roman" w:cs="Times New Roman"/>
          <w:sz w:val="24"/>
          <w:szCs w:val="24"/>
        </w:rPr>
        <w:t>,</w:t>
      </w:r>
      <w:r>
        <w:rPr>
          <w:rFonts w:ascii="Times New Roman" w:hAnsi="Times New Roman" w:cs="Times New Roman"/>
          <w:sz w:val="24"/>
          <w:szCs w:val="24"/>
        </w:rPr>
        <w:t xml:space="preserve"> </w:t>
      </w:r>
      <w:r w:rsidR="00F37550" w:rsidRPr="002D5F97">
        <w:rPr>
          <w:rFonts w:ascii="Times New Roman" w:hAnsi="Times New Roman" w:cs="Times New Roman"/>
          <w:sz w:val="24"/>
          <w:szCs w:val="24"/>
        </w:rPr>
        <w:t>root cracking percentage, plant height, leaf count per plant and shoot growth pattern. The results showed that the T</w:t>
      </w:r>
      <w:r w:rsidR="00F37550" w:rsidRPr="002D5F97">
        <w:rPr>
          <w:rFonts w:ascii="Times New Roman" w:hAnsi="Times New Roman" w:cs="Times New Roman"/>
          <w:sz w:val="24"/>
          <w:szCs w:val="24"/>
          <w:vertAlign w:val="subscript"/>
        </w:rPr>
        <w:t>7</w:t>
      </w:r>
      <w:r w:rsidR="00F37550" w:rsidRPr="002D5F97">
        <w:rPr>
          <w:rFonts w:ascii="Times New Roman" w:hAnsi="Times New Roman" w:cs="Times New Roman"/>
          <w:sz w:val="24"/>
          <w:szCs w:val="24"/>
        </w:rPr>
        <w:t xml:space="preserve"> treatment (applying 15 mt</w:t>
      </w:r>
      <w:r w:rsidR="00282BB7" w:rsidRPr="002D5F97">
        <w:rPr>
          <w:rFonts w:ascii="Times New Roman" w:hAnsi="Times New Roman" w:cs="Times New Roman"/>
          <w:sz w:val="24"/>
          <w:szCs w:val="24"/>
        </w:rPr>
        <w:t>/ha</w:t>
      </w:r>
      <w:r w:rsidR="00F37550" w:rsidRPr="002D5F97">
        <w:rPr>
          <w:rFonts w:ascii="Times New Roman" w:hAnsi="Times New Roman" w:cs="Times New Roman"/>
          <w:sz w:val="24"/>
          <w:szCs w:val="24"/>
        </w:rPr>
        <w:t xml:space="preserve"> of poultry manure per hectare) led to the lowest levels of root forking and cracking, making it better than other organic manure treatments and far superior to the untreated control group (T</w:t>
      </w:r>
      <w:r w:rsidR="00F37550" w:rsidRPr="002D5F97">
        <w:rPr>
          <w:rFonts w:ascii="Times New Roman" w:hAnsi="Times New Roman" w:cs="Times New Roman"/>
          <w:sz w:val="24"/>
          <w:szCs w:val="24"/>
          <w:vertAlign w:val="subscript"/>
        </w:rPr>
        <w:t>1</w:t>
      </w:r>
      <w:r w:rsidR="00F37550" w:rsidRPr="002D5F97">
        <w:rPr>
          <w:rFonts w:ascii="Times New Roman" w:hAnsi="Times New Roman" w:cs="Times New Roman"/>
          <w:sz w:val="24"/>
          <w:szCs w:val="24"/>
        </w:rPr>
        <w:t xml:space="preserve">). In </w:t>
      </w:r>
      <w:r w:rsidR="00F37550" w:rsidRPr="002D5F97">
        <w:rPr>
          <w:rFonts w:ascii="Times New Roman" w:hAnsi="Times New Roman" w:cs="Times New Roman"/>
          <w:sz w:val="24"/>
          <w:szCs w:val="24"/>
        </w:rPr>
        <w:lastRenderedPageBreak/>
        <w:t>contrast, the T</w:t>
      </w:r>
      <w:r w:rsidR="00F37550" w:rsidRPr="002D5F97">
        <w:rPr>
          <w:rFonts w:ascii="Times New Roman" w:hAnsi="Times New Roman" w:cs="Times New Roman"/>
          <w:sz w:val="24"/>
          <w:szCs w:val="24"/>
          <w:vertAlign w:val="subscript"/>
        </w:rPr>
        <w:t>5</w:t>
      </w:r>
      <w:r w:rsidR="00F37550" w:rsidRPr="002D5F97">
        <w:rPr>
          <w:rFonts w:ascii="Times New Roman" w:hAnsi="Times New Roman" w:cs="Times New Roman"/>
          <w:sz w:val="24"/>
          <w:szCs w:val="24"/>
        </w:rPr>
        <w:t xml:space="preserve"> treatment (20 tons of farmyard manure per hectare) resulted in the highest levels of root forking and cracking, which are undesirable traits for carrots intended for sale. </w:t>
      </w:r>
    </w:p>
    <w:p w:rsidR="008F1BEF"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These findings align with Walker’s 2004 research. Among chemical fertilizers, the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treatment (60:50:60 N: P: K kg/ha) showed the least amount of root forking and cracking compared to other fertilizer treatments, while the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treatment (40:30:40 N: P: K /ha) had the highest forking and cracking levels. Plant height also showed significant increases at 40, 60, and 80 days after sowing when different combinations of organic manure and chemical fertilizers were used.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which applied 10 mt of vermicompost per hectare, produced the tallest plants compared to other treatments. The shortest plants were observed in treatment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which used 20 tons of farmyard manure per hectare at all three growth stages. These findings align with those from studies by Bruno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(2007), Jeptoo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(2013), Kumar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Ali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Laxmi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and Kankam </w:t>
      </w:r>
      <w:r w:rsidRPr="002D5F97">
        <w:rPr>
          <w:rFonts w:ascii="Times New Roman" w:hAnsi="Times New Roman" w:cs="Times New Roman"/>
          <w:i/>
          <w:sz w:val="24"/>
          <w:szCs w:val="24"/>
        </w:rPr>
        <w:t>et.al</w:t>
      </w:r>
      <w:r w:rsidRPr="002D5F97">
        <w:rPr>
          <w:rFonts w:ascii="Times New Roman" w:hAnsi="Times New Roman" w:cs="Times New Roman"/>
          <w:sz w:val="24"/>
          <w:szCs w:val="24"/>
        </w:rPr>
        <w:t>. (2015). When focusing on chemical fertilizers, treatment T</w:t>
      </w:r>
      <w:r w:rsidRPr="002D5F97">
        <w:rPr>
          <w:rFonts w:ascii="Times New Roman" w:hAnsi="Times New Roman" w:cs="Times New Roman"/>
          <w:sz w:val="24"/>
          <w:szCs w:val="24"/>
          <w:vertAlign w:val="subscript"/>
        </w:rPr>
        <w:t>3</w:t>
      </w:r>
      <w:r w:rsidRPr="002D5F97">
        <w:rPr>
          <w:rFonts w:ascii="Times New Roman" w:hAnsi="Times New Roman" w:cs="Times New Roman"/>
          <w:sz w:val="24"/>
          <w:szCs w:val="24"/>
        </w:rPr>
        <w:t xml:space="preserve"> (60:50:60 N: P: K per hectare) resulted in significantly taller plants at 40, 60 and 80 days after sowing compared to the control treatment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On the other hand, the shortest plant height was recorded in treatment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These results are consistent with findings from Cho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(2000), Thapa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(2003), Kamalakannan and Manivannan (2003), Kumar and Singh (2005), Jilani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(2010)and El-Tohamy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(2011). </w:t>
      </w:r>
    </w:p>
    <w:p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Several yield-related parameters in carrots, such as harvest index percentage, root length, root diameter, fresh root weight and overall root yield per plot and hectare, were studied. For organic manures, treatment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recorded the lowest harvest index of 66.20%, but it was still superior to the other organic manure treatments. On the other hand, the highest harvest index of 68.87% was found in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(FYM at 20 tons per hectare). Among chemical fertilizers, the highest harvest index (65.88%) was observed in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while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per hectare) had the lowest harvest index at 64.36%. Root length was also significantly impacted by the different treatments. T</w:t>
      </w:r>
      <w:r w:rsidRPr="002D5F97">
        <w:rPr>
          <w:rFonts w:ascii="Times New Roman" w:hAnsi="Times New Roman" w:cs="Times New Roman"/>
          <w:sz w:val="24"/>
          <w:szCs w:val="24"/>
          <w:vertAlign w:val="subscript"/>
        </w:rPr>
        <w:t>6</w:t>
      </w:r>
      <w:r w:rsidRPr="002D5F97">
        <w:rPr>
          <w:rFonts w:ascii="Times New Roman" w:hAnsi="Times New Roman" w:cs="Times New Roman"/>
          <w:sz w:val="24"/>
          <w:szCs w:val="24"/>
        </w:rPr>
        <w:t xml:space="preserve"> (vermicompost at 10 mt per hectare) resulted in the longest roots, while T</w:t>
      </w:r>
      <w:r w:rsidRPr="002D5F97">
        <w:rPr>
          <w:rFonts w:ascii="Times New Roman" w:hAnsi="Times New Roman" w:cs="Times New Roman"/>
          <w:sz w:val="24"/>
          <w:szCs w:val="24"/>
          <w:vertAlign w:val="subscript"/>
        </w:rPr>
        <w:t>5</w:t>
      </w:r>
      <w:r w:rsidRPr="002D5F97">
        <w:rPr>
          <w:rFonts w:ascii="Times New Roman" w:hAnsi="Times New Roman" w:cs="Times New Roman"/>
          <w:sz w:val="24"/>
          <w:szCs w:val="24"/>
        </w:rPr>
        <w:t xml:space="preserve"> (FYM at 20 tons per hectare) showed the shortest, though both were statistically similar. These results align with findings by Ahmad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(2005), Bruno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(2007), Kumar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(2014), Laxmi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and Kankam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(2015). </w:t>
      </w:r>
    </w:p>
    <w:p w:rsidR="002955E4" w:rsidRPr="002D5F97" w:rsidRDefault="00F37550" w:rsidP="005E5F00">
      <w:pPr>
        <w:spacing w:after="2" w:line="276" w:lineRule="auto"/>
        <w:ind w:right="-46" w:firstLine="284"/>
        <w:jc w:val="both"/>
        <w:rPr>
          <w:rFonts w:ascii="Times New Roman" w:eastAsia="Times New Roman" w:hAnsi="Times New Roman" w:cs="Times New Roman"/>
          <w:sz w:val="24"/>
          <w:szCs w:val="24"/>
          <w:lang w:eastAsia="en-IN"/>
        </w:rPr>
      </w:pPr>
      <w:r w:rsidRPr="002D5F97">
        <w:rPr>
          <w:rFonts w:ascii="Times New Roman" w:hAnsi="Times New Roman" w:cs="Times New Roman"/>
          <w:sz w:val="24"/>
          <w:szCs w:val="24"/>
        </w:rPr>
        <w:t>In terms of chemical fertilizers, treatment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(60:50:60 N: P: K per hectare) produced thelongest carrot roots, while the shortest roots were recorded in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(75% RDF with40:30:40 N: P: K per hectare). These results align with studies by Balooch</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(1993), Cho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(2000), Ahmed (2000) and El-Tohamy </w:t>
      </w:r>
      <w:r w:rsidRPr="002D5F97">
        <w:rPr>
          <w:rFonts w:ascii="Times New Roman" w:hAnsi="Times New Roman" w:cs="Times New Roman"/>
          <w:i/>
          <w:sz w:val="24"/>
          <w:szCs w:val="24"/>
        </w:rPr>
        <w:t>et.al</w:t>
      </w:r>
      <w:r w:rsidRPr="002D5F97">
        <w:rPr>
          <w:rFonts w:ascii="Times New Roman" w:hAnsi="Times New Roman" w:cs="Times New Roman"/>
          <w:sz w:val="24"/>
          <w:szCs w:val="24"/>
        </w:rPr>
        <w:t xml:space="preserve">. (2011).For greater profits, the key factors are reducing cultivation costs while maximizing the value of the crop. The economic analysis of the treatments demonstrated this. Based on the collected data, the carrot variety </w:t>
      </w:r>
      <w:r w:rsidRPr="002D5F97">
        <w:rPr>
          <w:rFonts w:ascii="Times New Roman" w:hAnsi="Times New Roman" w:cs="Times New Roman"/>
          <w:i/>
          <w:sz w:val="24"/>
          <w:szCs w:val="24"/>
        </w:rPr>
        <w:t xml:space="preserve">Pusa Kesar </w:t>
      </w:r>
      <w:r w:rsidRPr="002D5F97">
        <w:rPr>
          <w:rFonts w:ascii="Times New Roman" w:hAnsi="Times New Roman" w:cs="Times New Roman"/>
          <w:sz w:val="24"/>
          <w:szCs w:val="24"/>
        </w:rPr>
        <w:t xml:space="preserve">produced significantly higher root yields of 388.82q/ha under treatment T4(60:50:60 N: P: K per hectare). This treatment also resulted in the highest net return of ₹1,48,850 per hectare and a cost- benefit ratio 1:4:27. It was followed by treatment T3(50:40:50: N: P: K), which showed a yield of 367.30q/ha, a net return of ₹1,39,440 per hectare, and a cost- benefit ratio of 1:4:15. On the other hand, the lowest cost- benefit ratio was 1:2:58 was recorded in the control treatment T1(no fertilizer), which yielded 200.42q/ha with a lower expenditure of </w:t>
      </w:r>
      <w:r w:rsidRPr="002D5F97">
        <w:rPr>
          <w:rFonts w:ascii="Times New Roman" w:hAnsi="Times New Roman" w:cs="Times New Roman"/>
          <w:sz w:val="24"/>
          <w:szCs w:val="24"/>
        </w:rPr>
        <w:lastRenderedPageBreak/>
        <w:t xml:space="preserve">₹38,800 per hectare compared to the other treatments. The findings align with results from studies by </w:t>
      </w:r>
      <w:proofErr w:type="spellStart"/>
      <w:r w:rsidRPr="002D5F97">
        <w:rPr>
          <w:rFonts w:ascii="Times New Roman" w:hAnsi="Times New Roman" w:cs="Times New Roman"/>
          <w:sz w:val="24"/>
          <w:szCs w:val="24"/>
        </w:rPr>
        <w:t>Kovacik</w:t>
      </w:r>
      <w:proofErr w:type="spellEnd"/>
      <w:r w:rsidRPr="002D5F97">
        <w:rPr>
          <w:rFonts w:ascii="Times New Roman" w:hAnsi="Times New Roman" w:cs="Times New Roman"/>
          <w:sz w:val="24"/>
          <w:szCs w:val="24"/>
        </w:rPr>
        <w:t xml:space="preserve"> and </w:t>
      </w:r>
      <w:proofErr w:type="spellStart"/>
      <w:r w:rsidRPr="002D5F97">
        <w:rPr>
          <w:rFonts w:ascii="Times New Roman" w:hAnsi="Times New Roman" w:cs="Times New Roman"/>
          <w:sz w:val="24"/>
          <w:szCs w:val="24"/>
        </w:rPr>
        <w:t>Lozek</w:t>
      </w:r>
      <w:proofErr w:type="spellEnd"/>
      <w:r w:rsidRPr="002D5F97">
        <w:rPr>
          <w:rFonts w:ascii="Times New Roman" w:hAnsi="Times New Roman" w:cs="Times New Roman"/>
          <w:sz w:val="24"/>
          <w:szCs w:val="24"/>
        </w:rPr>
        <w:t xml:space="preserve"> (1999), Sharma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(2003), Uddin </w:t>
      </w:r>
      <w:r w:rsidRPr="002D5F97">
        <w:rPr>
          <w:rFonts w:ascii="Times New Roman" w:hAnsi="Times New Roman" w:cs="Times New Roman"/>
          <w:i/>
          <w:sz w:val="24"/>
          <w:szCs w:val="24"/>
        </w:rPr>
        <w:t>et al</w:t>
      </w:r>
      <w:r w:rsidRPr="002D5F97">
        <w:rPr>
          <w:rFonts w:ascii="Times New Roman" w:hAnsi="Times New Roman" w:cs="Times New Roman"/>
          <w:sz w:val="24"/>
          <w:szCs w:val="24"/>
        </w:rPr>
        <w:t xml:space="preserve">. (2004)and </w:t>
      </w:r>
      <w:proofErr w:type="spellStart"/>
      <w:r w:rsidRPr="002D5F97">
        <w:rPr>
          <w:rFonts w:ascii="Times New Roman" w:hAnsi="Times New Roman" w:cs="Times New Roman"/>
          <w:sz w:val="24"/>
          <w:szCs w:val="24"/>
        </w:rPr>
        <w:t>Yanthan</w:t>
      </w:r>
      <w:r w:rsidRPr="002D5F97">
        <w:rPr>
          <w:rFonts w:ascii="Times New Roman" w:hAnsi="Times New Roman" w:cs="Times New Roman"/>
          <w:i/>
          <w:sz w:val="24"/>
          <w:szCs w:val="24"/>
        </w:rPr>
        <w:t>et</w:t>
      </w:r>
      <w:proofErr w:type="spellEnd"/>
      <w:r w:rsidRPr="002D5F97">
        <w:rPr>
          <w:rFonts w:ascii="Times New Roman" w:hAnsi="Times New Roman" w:cs="Times New Roman"/>
          <w:i/>
          <w:sz w:val="24"/>
          <w:szCs w:val="24"/>
        </w:rPr>
        <w:t xml:space="preserve"> al</w:t>
      </w:r>
      <w:r w:rsidRPr="002D5F97">
        <w:rPr>
          <w:rFonts w:ascii="Times New Roman" w:hAnsi="Times New Roman" w:cs="Times New Roman"/>
          <w:sz w:val="24"/>
          <w:szCs w:val="24"/>
        </w:rPr>
        <w:t>. (2012).</w:t>
      </w:r>
    </w:p>
    <w:p w:rsidR="002955E4" w:rsidRPr="002D5F97" w:rsidRDefault="002955E4" w:rsidP="005E5F00">
      <w:pPr>
        <w:autoSpaceDE w:val="0"/>
        <w:autoSpaceDN w:val="0"/>
        <w:adjustRightInd w:val="0"/>
        <w:spacing w:before="240" w:after="8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CONCLUSION</w:t>
      </w:r>
    </w:p>
    <w:p w:rsidR="00F37550" w:rsidRPr="002D5F97" w:rsidRDefault="00D309B5" w:rsidP="005E5F00">
      <w:pPr>
        <w:spacing w:line="276" w:lineRule="auto"/>
        <w:ind w:right="-46" w:firstLine="284"/>
        <w:jc w:val="both"/>
        <w:rPr>
          <w:rFonts w:ascii="Times New Roman" w:hAnsi="Times New Roman" w:cs="Times New Roman"/>
          <w:sz w:val="24"/>
          <w:szCs w:val="24"/>
        </w:rPr>
      </w:pPr>
      <w:r w:rsidRPr="00D309B5">
        <w:rPr>
          <w:rFonts w:ascii="Times New Roman" w:hAnsi="Times New Roman" w:cs="Times New Roman"/>
          <w:sz w:val="24"/>
          <w:szCs w:val="24"/>
        </w:rPr>
        <w:t xml:space="preserve">We draw the conclusion that the </w:t>
      </w:r>
      <w:proofErr w:type="spellStart"/>
      <w:r w:rsidRPr="00D309B5">
        <w:rPr>
          <w:rFonts w:ascii="Times New Roman" w:hAnsi="Times New Roman" w:cs="Times New Roman"/>
          <w:sz w:val="24"/>
          <w:szCs w:val="24"/>
        </w:rPr>
        <w:t>Pusa</w:t>
      </w:r>
      <w:proofErr w:type="spellEnd"/>
      <w:r w:rsidRPr="00D309B5">
        <w:rPr>
          <w:rFonts w:ascii="Times New Roman" w:hAnsi="Times New Roman" w:cs="Times New Roman"/>
          <w:sz w:val="24"/>
          <w:szCs w:val="24"/>
        </w:rPr>
        <w:t xml:space="preserve"> </w:t>
      </w:r>
      <w:proofErr w:type="spellStart"/>
      <w:r w:rsidRPr="00D309B5">
        <w:rPr>
          <w:rFonts w:ascii="Times New Roman" w:hAnsi="Times New Roman" w:cs="Times New Roman"/>
          <w:sz w:val="24"/>
          <w:szCs w:val="24"/>
        </w:rPr>
        <w:t>Keshar</w:t>
      </w:r>
      <w:proofErr w:type="spellEnd"/>
      <w:r w:rsidRPr="00D309B5">
        <w:rPr>
          <w:rFonts w:ascii="Times New Roman" w:hAnsi="Times New Roman" w:cs="Times New Roman"/>
          <w:sz w:val="24"/>
          <w:szCs w:val="24"/>
        </w:rPr>
        <w:t xml:space="preserve"> carrot variety (</w:t>
      </w:r>
      <w:r w:rsidRPr="00D309B5">
        <w:rPr>
          <w:rFonts w:ascii="Times New Roman" w:hAnsi="Times New Roman" w:cs="Times New Roman"/>
          <w:i/>
          <w:sz w:val="24"/>
          <w:szCs w:val="24"/>
        </w:rPr>
        <w:t xml:space="preserve">Daucus </w:t>
      </w:r>
      <w:proofErr w:type="spellStart"/>
      <w:r w:rsidRPr="00D309B5">
        <w:rPr>
          <w:rFonts w:ascii="Times New Roman" w:hAnsi="Times New Roman" w:cs="Times New Roman"/>
          <w:i/>
          <w:sz w:val="24"/>
          <w:szCs w:val="24"/>
        </w:rPr>
        <w:t>carota</w:t>
      </w:r>
      <w:proofErr w:type="spellEnd"/>
      <w:r w:rsidRPr="00D309B5">
        <w:rPr>
          <w:rFonts w:ascii="Times New Roman" w:hAnsi="Times New Roman" w:cs="Times New Roman"/>
          <w:sz w:val="24"/>
          <w:szCs w:val="24"/>
        </w:rPr>
        <w:t xml:space="preserve"> L.)performed well in terms of quality, yield, and growth based on this research</w:t>
      </w:r>
      <w:r w:rsidR="00F37550" w:rsidRPr="002D5F97">
        <w:rPr>
          <w:rFonts w:ascii="Times New Roman" w:hAnsi="Times New Roman" w:cs="Times New Roman"/>
          <w:sz w:val="24"/>
          <w:szCs w:val="24"/>
        </w:rPr>
        <w:t xml:space="preserve"> With the highest growth (including plant height and leaf count), yield characteristics (such as root length, root diameter fresh weight of root and total root yield per plot and total yield per hectare,) Treatment T</w:t>
      </w:r>
      <w:r w:rsidR="00F37550" w:rsidRPr="002D5F97">
        <w:rPr>
          <w:rFonts w:ascii="Times New Roman" w:hAnsi="Times New Roman" w:cs="Times New Roman"/>
          <w:sz w:val="24"/>
          <w:szCs w:val="24"/>
          <w:vertAlign w:val="subscript"/>
        </w:rPr>
        <w:t>6</w:t>
      </w:r>
      <w:r w:rsidR="00F37550" w:rsidRPr="002D5F97">
        <w:rPr>
          <w:rFonts w:ascii="Times New Roman" w:hAnsi="Times New Roman" w:cs="Times New Roman"/>
          <w:sz w:val="24"/>
          <w:szCs w:val="24"/>
        </w:rPr>
        <w:t xml:space="preserve"> (vermicompost at 10 mt per hectare) was the most successful of the organic choices. This treatment also achieved the best quality, indicated the highest total soluble solid (TSS), dry root weight, and keeping quality, along with the fewest root hairs compared to other treatments. </w:t>
      </w:r>
    </w:p>
    <w:p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For chemical fertilizers, the application of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(40:30:40 N: P: K per hectare) resulted in significantly improved growth and yield metrics, similar to T6. This treatment also delivered the best quality, with maximum TSS and dry weight, as well as reduced root forking and cracking percentages compared to the control (T</w:t>
      </w:r>
      <w:r w:rsidRPr="002D5F97">
        <w:rPr>
          <w:rFonts w:ascii="Times New Roman" w:hAnsi="Times New Roman" w:cs="Times New Roman"/>
          <w:sz w:val="24"/>
          <w:szCs w:val="24"/>
          <w:vertAlign w:val="subscript"/>
        </w:rPr>
        <w:t>1</w:t>
      </w:r>
      <w:r w:rsidRPr="002D5F97">
        <w:rPr>
          <w:rFonts w:ascii="Times New Roman" w:hAnsi="Times New Roman" w:cs="Times New Roman"/>
          <w:sz w:val="24"/>
          <w:szCs w:val="24"/>
        </w:rPr>
        <w:t>). However, T</w:t>
      </w:r>
      <w:r w:rsidRPr="002D5F97">
        <w:rPr>
          <w:rFonts w:ascii="Times New Roman" w:hAnsi="Times New Roman" w:cs="Times New Roman"/>
          <w:sz w:val="24"/>
          <w:szCs w:val="24"/>
          <w:vertAlign w:val="subscript"/>
        </w:rPr>
        <w:t>2</w:t>
      </w:r>
      <w:r w:rsidRPr="002D5F97">
        <w:rPr>
          <w:rFonts w:ascii="Times New Roman" w:hAnsi="Times New Roman" w:cs="Times New Roman"/>
          <w:sz w:val="24"/>
          <w:szCs w:val="24"/>
        </w:rPr>
        <w:t xml:space="preserve"> (40:30:40 N: P: K per hectare) showed the longest keeping quality and the fewest root hairs. </w:t>
      </w:r>
    </w:p>
    <w:p w:rsidR="00F37550" w:rsidRPr="002D5F97" w:rsidRDefault="00F37550" w:rsidP="005E5F00">
      <w:pPr>
        <w:spacing w:line="276" w:lineRule="auto"/>
        <w:ind w:right="-46" w:firstLine="284"/>
        <w:jc w:val="both"/>
        <w:rPr>
          <w:rFonts w:ascii="Times New Roman" w:hAnsi="Times New Roman" w:cs="Times New Roman"/>
          <w:sz w:val="24"/>
          <w:szCs w:val="24"/>
        </w:rPr>
      </w:pPr>
      <w:r w:rsidRPr="002D5F97">
        <w:rPr>
          <w:rFonts w:ascii="Times New Roman" w:hAnsi="Times New Roman" w:cs="Times New Roman"/>
          <w:sz w:val="24"/>
          <w:szCs w:val="24"/>
        </w:rPr>
        <w:t>Ultimately, the data revealed that treatment T</w:t>
      </w:r>
      <w:r w:rsidRPr="002D5F97">
        <w:rPr>
          <w:rFonts w:ascii="Times New Roman" w:hAnsi="Times New Roman" w:cs="Times New Roman"/>
          <w:sz w:val="24"/>
          <w:szCs w:val="24"/>
          <w:vertAlign w:val="subscript"/>
        </w:rPr>
        <w:t>4</w:t>
      </w:r>
      <w:r w:rsidRPr="002D5F97">
        <w:rPr>
          <w:rFonts w:ascii="Times New Roman" w:hAnsi="Times New Roman" w:cs="Times New Roman"/>
          <w:sz w:val="24"/>
          <w:szCs w:val="24"/>
        </w:rPr>
        <w:t xml:space="preserve"> (40:30:40 N: P: K per hectare) achieved the highest root yield of 388.82 quintals per hectare for the </w:t>
      </w:r>
      <w:r w:rsidRPr="002D5F97">
        <w:rPr>
          <w:rFonts w:ascii="Times New Roman" w:hAnsi="Times New Roman" w:cs="Times New Roman"/>
          <w:iCs/>
          <w:sz w:val="24"/>
          <w:szCs w:val="24"/>
        </w:rPr>
        <w:t>Pusa Kesar</w:t>
      </w:r>
      <w:r w:rsidRPr="002D5F97">
        <w:rPr>
          <w:rFonts w:ascii="Times New Roman" w:hAnsi="Times New Roman" w:cs="Times New Roman"/>
          <w:sz w:val="24"/>
          <w:szCs w:val="24"/>
        </w:rPr>
        <w:t>variety, alongside the best net return of ₹1,48,850 per hectare and a favorable costbenefit ratio of 1:4.27.</w:t>
      </w:r>
    </w:p>
    <w:p w:rsidR="00A0287A" w:rsidRPr="0025172A" w:rsidRDefault="00A0287A" w:rsidP="00A0287A">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rsidR="00A0287A" w:rsidRDefault="00A0287A" w:rsidP="00A0287A">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writing or editing of this manuscript.</w:t>
      </w:r>
    </w:p>
    <w:p w:rsidR="00A0287A" w:rsidRDefault="00A0287A" w:rsidP="00A0287A">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rsidR="00A0287A" w:rsidRPr="00665F7C" w:rsidRDefault="00A0287A" w:rsidP="00A0287A">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rsidR="00DE132D" w:rsidRPr="002D5F97" w:rsidRDefault="002955E4" w:rsidP="005E5F00">
      <w:pPr>
        <w:spacing w:before="240" w:line="276" w:lineRule="auto"/>
        <w:ind w:right="-46"/>
        <w:jc w:val="both"/>
        <w:rPr>
          <w:rFonts w:ascii="Times New Roman" w:hAnsi="Times New Roman" w:cs="Times New Roman"/>
          <w:b/>
          <w:sz w:val="24"/>
          <w:szCs w:val="24"/>
        </w:rPr>
      </w:pPr>
      <w:r w:rsidRPr="002D5F97">
        <w:rPr>
          <w:rFonts w:ascii="Times New Roman" w:hAnsi="Times New Roman" w:cs="Times New Roman"/>
          <w:b/>
          <w:sz w:val="24"/>
          <w:szCs w:val="24"/>
        </w:rPr>
        <w:t>REFERENCES</w:t>
      </w:r>
    </w:p>
    <w:p w:rsidR="00DE132D" w:rsidRPr="002D5F97" w:rsidRDefault="00DE132D" w:rsidP="005E5F00">
      <w:pPr>
        <w:spacing w:before="240" w:after="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Ahmad Zahoor, Nawab, Ali, Ahmad, Mushtaq, </w:t>
      </w:r>
      <w:proofErr w:type="spellStart"/>
      <w:r w:rsidRPr="002D5F97">
        <w:rPr>
          <w:rFonts w:ascii="Times New Roman" w:hAnsi="Times New Roman" w:cs="Times New Roman"/>
          <w:sz w:val="24"/>
          <w:szCs w:val="24"/>
        </w:rPr>
        <w:t>SqeedUlHaq</w:t>
      </w:r>
      <w:proofErr w:type="spellEnd"/>
      <w:r w:rsidRPr="002D5F97">
        <w:rPr>
          <w:rFonts w:ascii="Times New Roman" w:hAnsi="Times New Roman" w:cs="Times New Roman"/>
          <w:sz w:val="24"/>
          <w:szCs w:val="24"/>
        </w:rPr>
        <w:t xml:space="preserve"> and Ahmed </w:t>
      </w:r>
      <w:proofErr w:type="spellStart"/>
      <w:r w:rsidRPr="002D5F97">
        <w:rPr>
          <w:rFonts w:ascii="Times New Roman" w:hAnsi="Times New Roman" w:cs="Times New Roman"/>
          <w:sz w:val="24"/>
          <w:szCs w:val="24"/>
        </w:rPr>
        <w:t>Sohail</w:t>
      </w:r>
      <w:proofErr w:type="spellEnd"/>
      <w:r w:rsidRPr="002D5F97">
        <w:rPr>
          <w:rFonts w:ascii="Times New Roman" w:hAnsi="Times New Roman" w:cs="Times New Roman"/>
          <w:sz w:val="24"/>
          <w:szCs w:val="24"/>
        </w:rPr>
        <w:t xml:space="preserve"> (2005). Yield and economics of carrot production in organic farming. </w:t>
      </w:r>
      <w:r w:rsidRPr="002D5F97">
        <w:rPr>
          <w:rFonts w:ascii="Times New Roman" w:hAnsi="Times New Roman" w:cs="Times New Roman"/>
          <w:i/>
          <w:iCs/>
          <w:sz w:val="24"/>
          <w:szCs w:val="24"/>
        </w:rPr>
        <w:t>Sarhad J. Agriculture</w:t>
      </w:r>
      <w:r w:rsidRPr="002D5F97">
        <w:rPr>
          <w:rFonts w:ascii="Times New Roman" w:hAnsi="Times New Roman" w:cs="Times New Roman"/>
          <w:sz w:val="24"/>
          <w:szCs w:val="24"/>
        </w:rPr>
        <w:t xml:space="preserve">. 21(3): 357- 364.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Ali, M.A., </w:t>
      </w:r>
      <w:proofErr w:type="spellStart"/>
      <w:r w:rsidRPr="002D5F97">
        <w:rPr>
          <w:rFonts w:ascii="Times New Roman" w:hAnsi="Times New Roman" w:cs="Times New Roman"/>
          <w:sz w:val="24"/>
          <w:szCs w:val="24"/>
        </w:rPr>
        <w:t>KhurshidulAlam</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RezowanaNizam</w:t>
      </w:r>
      <w:proofErr w:type="spellEnd"/>
      <w:r w:rsidRPr="002D5F97">
        <w:rPr>
          <w:rFonts w:ascii="Times New Roman" w:hAnsi="Times New Roman" w:cs="Times New Roman"/>
          <w:sz w:val="24"/>
          <w:szCs w:val="24"/>
        </w:rPr>
        <w:t xml:space="preserve">, </w:t>
      </w:r>
      <w:proofErr w:type="spellStart"/>
      <w:r w:rsidRPr="002D5F97">
        <w:rPr>
          <w:rFonts w:ascii="Times New Roman" w:hAnsi="Times New Roman" w:cs="Times New Roman"/>
          <w:sz w:val="24"/>
          <w:szCs w:val="24"/>
        </w:rPr>
        <w:t>Mosfeq</w:t>
      </w:r>
      <w:proofErr w:type="spellEnd"/>
      <w:r w:rsidRPr="002D5F97">
        <w:rPr>
          <w:rFonts w:ascii="Times New Roman" w:hAnsi="Times New Roman" w:cs="Times New Roman"/>
          <w:sz w:val="24"/>
          <w:szCs w:val="24"/>
        </w:rPr>
        <w:t xml:space="preserve">-ul-Hasan, M. and Mollah, M.D.A. (2014). Effect of different sources of organic manure and sowing time on the growth and yield of carrot. </w:t>
      </w:r>
      <w:r w:rsidRPr="002D5F97">
        <w:rPr>
          <w:rFonts w:ascii="Times New Roman" w:hAnsi="Times New Roman" w:cs="Times New Roman"/>
          <w:i/>
          <w:iCs/>
          <w:sz w:val="24"/>
          <w:szCs w:val="24"/>
        </w:rPr>
        <w:t>International Journal of Sustainable Agricultural Technology</w:t>
      </w:r>
      <w:r w:rsidRPr="002D5F97">
        <w:rPr>
          <w:rFonts w:ascii="Times New Roman" w:hAnsi="Times New Roman" w:cs="Times New Roman"/>
          <w:sz w:val="24"/>
          <w:szCs w:val="24"/>
        </w:rPr>
        <w:t xml:space="preserve">. 10 (5): 12- 19. </w:t>
      </w:r>
    </w:p>
    <w:p w:rsidR="00F41020" w:rsidRPr="002D5F97" w:rsidRDefault="00F41020"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lastRenderedPageBreak/>
        <w:t>Anonymous, (2024). Horticultural Statistics at a Glance, Horticulture statistics division department of agriculture, cooperation &amp; farmers welfare ministry of agriculture &amp; farmers welfare government of India.</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xml:space="preserve">, A.F., </w:t>
      </w:r>
      <w:proofErr w:type="spellStart"/>
      <w:r w:rsidRPr="002D5F97">
        <w:rPr>
          <w:rFonts w:ascii="Times New Roman" w:hAnsi="Times New Roman" w:cs="Times New Roman"/>
          <w:sz w:val="24"/>
          <w:szCs w:val="24"/>
        </w:rPr>
        <w:t>Balooch</w:t>
      </w:r>
      <w:proofErr w:type="spellEnd"/>
      <w:r w:rsidRPr="002D5F97">
        <w:rPr>
          <w:rFonts w:ascii="Times New Roman" w:hAnsi="Times New Roman" w:cs="Times New Roman"/>
          <w:sz w:val="24"/>
          <w:szCs w:val="24"/>
        </w:rPr>
        <w:t>, M.A. and Qayyum, S.M. (1993). Influence of phosphorus and potassium fertilizer combination levels with standard dose of nitrogen on the productivity of carrot (</w:t>
      </w:r>
      <w:r w:rsidR="00F41020" w:rsidRPr="002D5F97">
        <w:rPr>
          <w:rFonts w:ascii="Times New Roman" w:hAnsi="Times New Roman" w:cs="Times New Roman"/>
          <w:i/>
          <w:iCs/>
          <w:sz w:val="24"/>
          <w:szCs w:val="24"/>
        </w:rPr>
        <w:t>Dacus carota</w:t>
      </w:r>
      <w:r w:rsidRPr="002D5F97">
        <w:rPr>
          <w:rFonts w:ascii="Times New Roman" w:hAnsi="Times New Roman" w:cs="Times New Roman"/>
          <w:sz w:val="24"/>
          <w:szCs w:val="24"/>
        </w:rPr>
        <w:t xml:space="preserve"> L.). </w:t>
      </w:r>
      <w:r w:rsidRPr="002D5F97">
        <w:rPr>
          <w:rFonts w:ascii="Times New Roman" w:hAnsi="Times New Roman" w:cs="Times New Roman"/>
          <w:i/>
          <w:iCs/>
          <w:sz w:val="24"/>
          <w:szCs w:val="24"/>
        </w:rPr>
        <w:t>Sarhad Journal of Agriculture</w:t>
      </w:r>
      <w:r w:rsidRPr="002D5F97">
        <w:rPr>
          <w:rFonts w:ascii="Times New Roman" w:hAnsi="Times New Roman" w:cs="Times New Roman"/>
          <w:sz w:val="24"/>
          <w:szCs w:val="24"/>
        </w:rPr>
        <w:t xml:space="preserve">. 9 (1): 21-25. </w:t>
      </w:r>
    </w:p>
    <w:p w:rsidR="00F16A26" w:rsidRPr="002D5F97" w:rsidRDefault="00DE132D" w:rsidP="005E5F00">
      <w:pPr>
        <w:spacing w:before="240" w:line="276" w:lineRule="auto"/>
        <w:ind w:left="900" w:right="-46" w:hanging="810"/>
        <w:jc w:val="both"/>
        <w:rPr>
          <w:rFonts w:ascii="Times New Roman" w:hAnsi="Times New Roman" w:cs="Times New Roman"/>
          <w:sz w:val="24"/>
          <w:szCs w:val="24"/>
          <w:lang w:val="en-IN"/>
        </w:rPr>
      </w:pPr>
      <w:r w:rsidRPr="002D5F97">
        <w:rPr>
          <w:rFonts w:ascii="Times New Roman" w:hAnsi="Times New Roman" w:cs="Times New Roman"/>
          <w:sz w:val="24"/>
          <w:szCs w:val="24"/>
          <w:lang w:val="pt-BR"/>
        </w:rPr>
        <w:t xml:space="preserve">Bruno, R.deL.A., Viana, J.S., Silva, V.F.da, Bruno, G.B. and Moura, M.F.de (2007). </w:t>
      </w:r>
      <w:r w:rsidRPr="002D5F97">
        <w:rPr>
          <w:rFonts w:ascii="Times New Roman" w:hAnsi="Times New Roman" w:cs="Times New Roman"/>
          <w:sz w:val="24"/>
          <w:szCs w:val="24"/>
        </w:rPr>
        <w:t xml:space="preserve">Production and quality of seeds and roots of carrot cultivated under organic and mineral fertilization. </w:t>
      </w:r>
      <w:proofErr w:type="spellStart"/>
      <w:r w:rsidRPr="002D5F97">
        <w:rPr>
          <w:rFonts w:ascii="Times New Roman" w:hAnsi="Times New Roman" w:cs="Times New Roman"/>
          <w:i/>
          <w:iCs/>
          <w:sz w:val="24"/>
          <w:szCs w:val="24"/>
          <w:lang w:val="en-IN"/>
        </w:rPr>
        <w:t>HorticulturaBrasileira</w:t>
      </w:r>
      <w:proofErr w:type="spellEnd"/>
      <w:r w:rsidRPr="002D5F97">
        <w:rPr>
          <w:rFonts w:ascii="Times New Roman" w:hAnsi="Times New Roman" w:cs="Times New Roman"/>
          <w:sz w:val="24"/>
          <w:szCs w:val="24"/>
          <w:lang w:val="en-IN"/>
        </w:rPr>
        <w:t xml:space="preserve">. 25 (2): 170-174. </w:t>
      </w:r>
      <w:bookmarkStart w:id="1" w:name="_Hlk198458196"/>
    </w:p>
    <w:p w:rsidR="00F16A26" w:rsidRPr="002D5F97" w:rsidRDefault="00F16A26" w:rsidP="005E5F00">
      <w:pPr>
        <w:spacing w:before="240" w:line="276" w:lineRule="auto"/>
        <w:ind w:left="900" w:right="-46" w:hanging="810"/>
        <w:jc w:val="both"/>
        <w:rPr>
          <w:rFonts w:ascii="Times New Roman" w:hAnsi="Times New Roman" w:cs="Times New Roman"/>
          <w:sz w:val="28"/>
          <w:szCs w:val="28"/>
          <w:lang w:val="en-IN"/>
        </w:rPr>
      </w:pPr>
      <w:r w:rsidRPr="002D5F97">
        <w:rPr>
          <w:rFonts w:ascii="Times New Roman" w:hAnsi="Times New Roman" w:cs="Times New Roman"/>
          <w:sz w:val="24"/>
          <w:szCs w:val="24"/>
        </w:rPr>
        <w:t xml:space="preserve">Cho, N.K., Song, C.K., Oh, T.S., Boo, C.H. and Cho, Y.I. (2000). Effects of nitrogen rate on the growth characters, yield and feed value of Cheju native Danji radish. </w:t>
      </w:r>
      <w:r w:rsidRPr="002D5F97">
        <w:rPr>
          <w:rFonts w:ascii="Times New Roman" w:hAnsi="Times New Roman" w:cs="Times New Roman"/>
          <w:i/>
          <w:iCs/>
          <w:sz w:val="24"/>
          <w:szCs w:val="24"/>
        </w:rPr>
        <w:t>Korean Journal of Animal Science</w:t>
      </w:r>
      <w:r w:rsidRPr="002D5F97">
        <w:rPr>
          <w:rFonts w:ascii="Times New Roman" w:hAnsi="Times New Roman" w:cs="Times New Roman"/>
          <w:sz w:val="24"/>
          <w:szCs w:val="24"/>
        </w:rPr>
        <w:t xml:space="preserve">. 42 (5): 703-710. </w:t>
      </w:r>
    </w:p>
    <w:p w:rsidR="00DE132D" w:rsidRPr="002D5F97" w:rsidRDefault="00DE132D" w:rsidP="005E5F00">
      <w:pPr>
        <w:spacing w:before="240" w:after="155"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El-Tohamy, W.A., El-Abagy, H.M., Badr, M.A., Abou-Hussein, S.D. and Helmy, Y.I. (2011). The influence of foliar application of potassium on yield and quality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plants grown under sandy soil conditions. </w:t>
      </w:r>
      <w:r w:rsidRPr="002D5F97">
        <w:rPr>
          <w:rFonts w:ascii="Times New Roman" w:hAnsi="Times New Roman" w:cs="Times New Roman"/>
          <w:i/>
          <w:iCs/>
          <w:sz w:val="24"/>
          <w:szCs w:val="24"/>
        </w:rPr>
        <w:t>Australian Journal of Basic and Applied Sciences</w:t>
      </w:r>
      <w:r w:rsidRPr="002D5F97">
        <w:rPr>
          <w:rFonts w:ascii="Times New Roman" w:hAnsi="Times New Roman" w:cs="Times New Roman"/>
          <w:sz w:val="24"/>
          <w:szCs w:val="24"/>
        </w:rPr>
        <w:t xml:space="preserve">. 5 (3): 171-174. </w:t>
      </w:r>
      <w:bookmarkEnd w:id="1"/>
    </w:p>
    <w:p w:rsidR="00DE132D"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El-Tohamy, W.A., El-Abagy, H.M., Badr, M.A., Abou-Hussein, S.D. and Helmy, Y.I. (2011). The influence of foliar application of potassium on yield and quality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plants grown under sandy soil conditions. </w:t>
      </w:r>
      <w:r w:rsidRPr="002D5F97">
        <w:rPr>
          <w:rFonts w:ascii="Times New Roman" w:hAnsi="Times New Roman" w:cs="Times New Roman"/>
          <w:i/>
          <w:iCs/>
          <w:sz w:val="24"/>
          <w:szCs w:val="24"/>
        </w:rPr>
        <w:t>Australian Journal of Basic and Applied Sciences</w:t>
      </w:r>
      <w:r w:rsidRPr="002D5F97">
        <w:rPr>
          <w:rFonts w:ascii="Times New Roman" w:hAnsi="Times New Roman" w:cs="Times New Roman"/>
          <w:sz w:val="24"/>
          <w:szCs w:val="24"/>
        </w:rPr>
        <w:t xml:space="preserve">. 5 (3): 171-174. </w:t>
      </w:r>
    </w:p>
    <w:p w:rsidR="007C3DD7" w:rsidRPr="002D5F97" w:rsidRDefault="007C3DD7" w:rsidP="005E5F00">
      <w:pPr>
        <w:spacing w:before="240" w:line="276" w:lineRule="auto"/>
        <w:ind w:left="900" w:right="-46" w:hanging="810"/>
        <w:jc w:val="both"/>
        <w:rPr>
          <w:rFonts w:ascii="Times New Roman" w:hAnsi="Times New Roman" w:cs="Times New Roman"/>
          <w:sz w:val="24"/>
          <w:szCs w:val="24"/>
        </w:rPr>
      </w:pPr>
      <w:r w:rsidRPr="007C3DD7">
        <w:rPr>
          <w:rFonts w:ascii="Times New Roman" w:hAnsi="Times New Roman" w:cs="Times New Roman"/>
          <w:sz w:val="24"/>
          <w:szCs w:val="24"/>
        </w:rPr>
        <w:t xml:space="preserve">Ikram, A., Rasheed, A., Ahmad Khan, A., Khan, R., Ahmad, M., Bashir, R., &amp; Hassan Mohamed, M. (2024). Exploring the health benefits and utility of carrots and carrot pomace: a systematic review. </w:t>
      </w:r>
      <w:r w:rsidRPr="007C3DD7">
        <w:rPr>
          <w:rFonts w:ascii="Times New Roman" w:hAnsi="Times New Roman" w:cs="Times New Roman"/>
          <w:i/>
          <w:sz w:val="24"/>
          <w:szCs w:val="24"/>
        </w:rPr>
        <w:t>International Journal of Food Properties</w:t>
      </w:r>
      <w:r w:rsidRPr="007C3DD7">
        <w:rPr>
          <w:rFonts w:ascii="Times New Roman" w:hAnsi="Times New Roman" w:cs="Times New Roman"/>
          <w:sz w:val="24"/>
          <w:szCs w:val="24"/>
        </w:rPr>
        <w:t>, 27(1), 180–193.</w:t>
      </w:r>
    </w:p>
    <w:p w:rsidR="00DE132D" w:rsidRPr="002D5F97" w:rsidRDefault="00DE132D" w:rsidP="005E5F00">
      <w:pPr>
        <w:spacing w:before="240" w:after="159"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lang w:val="en-IN"/>
        </w:rPr>
        <w:t xml:space="preserve">Jeptoo, A., </w:t>
      </w:r>
      <w:proofErr w:type="spellStart"/>
      <w:r w:rsidRPr="002D5F97">
        <w:rPr>
          <w:rFonts w:ascii="Times New Roman" w:hAnsi="Times New Roman" w:cs="Times New Roman"/>
          <w:sz w:val="24"/>
          <w:szCs w:val="24"/>
          <w:lang w:val="en-IN"/>
        </w:rPr>
        <w:t>Aguyoh</w:t>
      </w:r>
      <w:proofErr w:type="spellEnd"/>
      <w:r w:rsidRPr="002D5F97">
        <w:rPr>
          <w:rFonts w:ascii="Times New Roman" w:hAnsi="Times New Roman" w:cs="Times New Roman"/>
          <w:sz w:val="24"/>
          <w:szCs w:val="24"/>
          <w:lang w:val="en-IN"/>
        </w:rPr>
        <w:t xml:space="preserve">, J.N. and </w:t>
      </w:r>
      <w:proofErr w:type="spellStart"/>
      <w:r w:rsidRPr="002D5F97">
        <w:rPr>
          <w:rFonts w:ascii="Times New Roman" w:hAnsi="Times New Roman" w:cs="Times New Roman"/>
          <w:sz w:val="24"/>
          <w:szCs w:val="24"/>
          <w:lang w:val="en-IN"/>
        </w:rPr>
        <w:t>Saidi</w:t>
      </w:r>
      <w:proofErr w:type="spellEnd"/>
      <w:r w:rsidRPr="002D5F97">
        <w:rPr>
          <w:rFonts w:ascii="Times New Roman" w:hAnsi="Times New Roman" w:cs="Times New Roman"/>
          <w:sz w:val="24"/>
          <w:szCs w:val="24"/>
          <w:lang w:val="en-IN"/>
        </w:rPr>
        <w:t xml:space="preserve">, M. (2013). </w:t>
      </w:r>
      <w:r w:rsidRPr="002D5F97">
        <w:rPr>
          <w:rFonts w:ascii="Times New Roman" w:hAnsi="Times New Roman" w:cs="Times New Roman"/>
          <w:sz w:val="24"/>
          <w:szCs w:val="24"/>
        </w:rPr>
        <w:t xml:space="preserve">Improving carrot yield and quality through the use of bio-slurry manure. </w:t>
      </w:r>
      <w:r w:rsidRPr="002D5F97">
        <w:rPr>
          <w:rFonts w:ascii="Times New Roman" w:hAnsi="Times New Roman" w:cs="Times New Roman"/>
          <w:i/>
          <w:iCs/>
          <w:sz w:val="24"/>
          <w:szCs w:val="24"/>
        </w:rPr>
        <w:t>Sustainable Agriculture Research</w:t>
      </w:r>
      <w:r w:rsidRPr="002D5F97">
        <w:rPr>
          <w:rFonts w:ascii="Times New Roman" w:hAnsi="Times New Roman" w:cs="Times New Roman"/>
          <w:sz w:val="24"/>
          <w:szCs w:val="24"/>
        </w:rPr>
        <w:t xml:space="preserve">. 2 (1): 164-172.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Jilani, M. S., Tariq Burki and Kashif Waseem (2010). Effect of nitrogen on growth and yield of radish.</w:t>
      </w:r>
      <w:r w:rsidRPr="002D5F97">
        <w:rPr>
          <w:rFonts w:ascii="Times New Roman" w:hAnsi="Times New Roman" w:cs="Times New Roman"/>
          <w:i/>
          <w:iCs/>
          <w:sz w:val="24"/>
          <w:szCs w:val="24"/>
        </w:rPr>
        <w:t>Journal of Agricultural Research</w:t>
      </w:r>
      <w:r w:rsidRPr="002D5F97">
        <w:rPr>
          <w:rFonts w:ascii="Times New Roman" w:hAnsi="Times New Roman" w:cs="Times New Roman"/>
          <w:sz w:val="24"/>
          <w:szCs w:val="24"/>
        </w:rPr>
        <w:t xml:space="preserve">. 48 (2): 219-225.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Kamalakannan, S. and Manivannan, K. (2003). Response of radish for grades levels of nitrogen and phosphorus along with biofertilizers. </w:t>
      </w:r>
      <w:r w:rsidRPr="002D5F97">
        <w:rPr>
          <w:rFonts w:ascii="Times New Roman" w:hAnsi="Times New Roman" w:cs="Times New Roman"/>
          <w:i/>
          <w:iCs/>
          <w:sz w:val="24"/>
          <w:szCs w:val="24"/>
        </w:rPr>
        <w:t>South Indian Horticulture</w:t>
      </w:r>
      <w:r w:rsidRPr="002D5F97">
        <w:rPr>
          <w:rFonts w:ascii="Times New Roman" w:hAnsi="Times New Roman" w:cs="Times New Roman"/>
          <w:sz w:val="24"/>
          <w:szCs w:val="24"/>
        </w:rPr>
        <w:t xml:space="preserve">. 51 (1/6): 199-203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Kankam, F., </w:t>
      </w:r>
      <w:proofErr w:type="spellStart"/>
      <w:r w:rsidRPr="002D5F97">
        <w:rPr>
          <w:rFonts w:ascii="Times New Roman" w:hAnsi="Times New Roman" w:cs="Times New Roman"/>
          <w:sz w:val="24"/>
          <w:szCs w:val="24"/>
        </w:rPr>
        <w:t>Sowley</w:t>
      </w:r>
      <w:proofErr w:type="spellEnd"/>
      <w:r w:rsidRPr="002D5F97">
        <w:rPr>
          <w:rFonts w:ascii="Times New Roman" w:hAnsi="Times New Roman" w:cs="Times New Roman"/>
          <w:sz w:val="24"/>
          <w:szCs w:val="24"/>
        </w:rPr>
        <w:t>, E.N.K. and Oppong, N.E. (2015). Effect of poultry manure on the growth, yield and root-knot nematode (Meloidogyne spp.) infestation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Archives of Phytopathology and Plant Protection</w:t>
      </w:r>
      <w:r w:rsidRPr="002D5F97">
        <w:rPr>
          <w:rFonts w:ascii="Times New Roman" w:hAnsi="Times New Roman" w:cs="Times New Roman"/>
          <w:sz w:val="24"/>
          <w:szCs w:val="24"/>
        </w:rPr>
        <w:t xml:space="preserve">. 48 (5): 452-458. </w:t>
      </w:r>
    </w:p>
    <w:p w:rsidR="00F16A26"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lastRenderedPageBreak/>
        <w:t xml:space="preserve">Kankam, F., </w:t>
      </w:r>
      <w:proofErr w:type="spellStart"/>
      <w:r w:rsidRPr="002D5F97">
        <w:rPr>
          <w:rFonts w:ascii="Times New Roman" w:hAnsi="Times New Roman" w:cs="Times New Roman"/>
          <w:sz w:val="24"/>
          <w:szCs w:val="24"/>
        </w:rPr>
        <w:t>Sowley</w:t>
      </w:r>
      <w:proofErr w:type="spellEnd"/>
      <w:r w:rsidRPr="002D5F97">
        <w:rPr>
          <w:rFonts w:ascii="Times New Roman" w:hAnsi="Times New Roman" w:cs="Times New Roman"/>
          <w:sz w:val="24"/>
          <w:szCs w:val="24"/>
        </w:rPr>
        <w:t>, E.N.K. and Oppong, N.E. (2015). Effect of poultry manure on the growth, yield and root-knot nematode (</w:t>
      </w:r>
      <w:r w:rsidRPr="002D5F97">
        <w:rPr>
          <w:rFonts w:ascii="Times New Roman" w:hAnsi="Times New Roman" w:cs="Times New Roman"/>
          <w:i/>
          <w:iCs/>
          <w:sz w:val="24"/>
          <w:szCs w:val="24"/>
        </w:rPr>
        <w:t>Meloidogyne</w:t>
      </w:r>
      <w:r w:rsidRPr="002D5F97">
        <w:rPr>
          <w:rFonts w:ascii="Times New Roman" w:hAnsi="Times New Roman" w:cs="Times New Roman"/>
          <w:sz w:val="24"/>
          <w:szCs w:val="24"/>
        </w:rPr>
        <w:t xml:space="preserve"> spp.) infestation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Archives of Phytopathology and Plant Protection</w:t>
      </w:r>
      <w:r w:rsidRPr="002D5F97">
        <w:rPr>
          <w:rFonts w:ascii="Times New Roman" w:hAnsi="Times New Roman" w:cs="Times New Roman"/>
          <w:sz w:val="24"/>
          <w:szCs w:val="24"/>
        </w:rPr>
        <w:t xml:space="preserve">. 48 (5): 452-458.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Kovacik, P. and </w:t>
      </w:r>
      <w:proofErr w:type="spellStart"/>
      <w:r w:rsidRPr="002D5F97">
        <w:rPr>
          <w:rFonts w:ascii="Times New Roman" w:hAnsi="Times New Roman" w:cs="Times New Roman"/>
          <w:sz w:val="24"/>
          <w:szCs w:val="24"/>
        </w:rPr>
        <w:t>Lozek</w:t>
      </w:r>
      <w:proofErr w:type="spellEnd"/>
      <w:r w:rsidRPr="002D5F97">
        <w:rPr>
          <w:rFonts w:ascii="Times New Roman" w:hAnsi="Times New Roman" w:cs="Times New Roman"/>
          <w:sz w:val="24"/>
          <w:szCs w:val="24"/>
        </w:rPr>
        <w:t xml:space="preserve">, O. (1999). Effect of nitrogen and sucrose on yield of radishes. [Slovakian]. </w:t>
      </w:r>
      <w:proofErr w:type="spellStart"/>
      <w:r w:rsidRPr="002D5F97">
        <w:rPr>
          <w:rFonts w:ascii="Times New Roman" w:hAnsi="Times New Roman" w:cs="Times New Roman"/>
          <w:i/>
          <w:iCs/>
          <w:sz w:val="24"/>
          <w:szCs w:val="24"/>
        </w:rPr>
        <w:t>ActaHorticulturae</w:t>
      </w:r>
      <w:proofErr w:type="spellEnd"/>
      <w:r w:rsidRPr="002D5F97">
        <w:rPr>
          <w:rFonts w:ascii="Times New Roman" w:hAnsi="Times New Roman" w:cs="Times New Roman"/>
          <w:i/>
          <w:iCs/>
          <w:sz w:val="24"/>
          <w:szCs w:val="24"/>
        </w:rPr>
        <w:t xml:space="preserve"> et </w:t>
      </w:r>
      <w:proofErr w:type="spellStart"/>
      <w:r w:rsidRPr="002D5F97">
        <w:rPr>
          <w:rFonts w:ascii="Times New Roman" w:hAnsi="Times New Roman" w:cs="Times New Roman"/>
          <w:i/>
          <w:iCs/>
          <w:sz w:val="24"/>
          <w:szCs w:val="24"/>
        </w:rPr>
        <w:t>Regiotecturae</w:t>
      </w:r>
      <w:proofErr w:type="spellEnd"/>
      <w:r w:rsidRPr="002D5F97">
        <w:rPr>
          <w:rFonts w:ascii="Times New Roman" w:hAnsi="Times New Roman" w:cs="Times New Roman"/>
          <w:sz w:val="24"/>
          <w:szCs w:val="24"/>
        </w:rPr>
        <w:t xml:space="preserve">. 2 (2): 32-35.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p.; Meghwal, P. R. and </w:t>
      </w:r>
      <w:proofErr w:type="spellStart"/>
      <w:r w:rsidRPr="002D5F97">
        <w:rPr>
          <w:rFonts w:ascii="Times New Roman" w:hAnsi="Times New Roman" w:cs="Times New Roman"/>
          <w:sz w:val="24"/>
          <w:szCs w:val="24"/>
        </w:rPr>
        <w:t>Painuli</w:t>
      </w:r>
      <w:proofErr w:type="spellEnd"/>
      <w:r w:rsidRPr="002D5F97">
        <w:rPr>
          <w:rFonts w:ascii="Times New Roman" w:hAnsi="Times New Roman" w:cs="Times New Roman"/>
          <w:sz w:val="24"/>
          <w:szCs w:val="24"/>
        </w:rPr>
        <w:t xml:space="preserve">, D. K. (2014). Effect of organic and inorganic nutrient sources on soil health and quality of carrot. </w:t>
      </w:r>
      <w:r w:rsidRPr="002D5F97">
        <w:rPr>
          <w:rFonts w:ascii="Times New Roman" w:hAnsi="Times New Roman" w:cs="Times New Roman"/>
          <w:i/>
          <w:iCs/>
          <w:sz w:val="24"/>
          <w:szCs w:val="24"/>
        </w:rPr>
        <w:t>Indian J. Horti</w:t>
      </w:r>
      <w:r w:rsidRPr="002D5F97">
        <w:rPr>
          <w:rFonts w:ascii="Times New Roman" w:hAnsi="Times New Roman" w:cs="Times New Roman"/>
          <w:sz w:val="24"/>
          <w:szCs w:val="24"/>
        </w:rPr>
        <w:t xml:space="preserve">. 71(2): 222226.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Kumar, Sandeep, Sutanu Maji, Sanjay Kumar and Singh, H.D. (2014). Efficacy of organic manures on growth and yield of radish (Raphanus sativus L.) cv. Japanese White. </w:t>
      </w:r>
      <w:r w:rsidRPr="002D5F97">
        <w:rPr>
          <w:rFonts w:ascii="Times New Roman" w:hAnsi="Times New Roman" w:cs="Times New Roman"/>
          <w:i/>
          <w:iCs/>
          <w:sz w:val="24"/>
          <w:szCs w:val="24"/>
        </w:rPr>
        <w:t>International Journal of Plant Sciences</w:t>
      </w:r>
      <w:r w:rsidRPr="002D5F97">
        <w:rPr>
          <w:rFonts w:ascii="Times New Roman" w:hAnsi="Times New Roman" w:cs="Times New Roman"/>
          <w:sz w:val="24"/>
          <w:szCs w:val="24"/>
        </w:rPr>
        <w:t xml:space="preserve">. 9 (1): 57-60.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Kumar, Sonu and Singh, R.K. (2005). Effect of nitrogen and phosphorus on the performance of radish (</w:t>
      </w:r>
      <w:r w:rsidRPr="002D5F97">
        <w:rPr>
          <w:rFonts w:ascii="Times New Roman" w:hAnsi="Times New Roman" w:cs="Times New Roman"/>
          <w:i/>
          <w:iCs/>
          <w:sz w:val="24"/>
          <w:szCs w:val="24"/>
        </w:rPr>
        <w:t>Raphanus sativus</w:t>
      </w:r>
      <w:r w:rsidRPr="002D5F97">
        <w:rPr>
          <w:rFonts w:ascii="Times New Roman" w:hAnsi="Times New Roman" w:cs="Times New Roman"/>
          <w:sz w:val="24"/>
          <w:szCs w:val="24"/>
        </w:rPr>
        <w:t xml:space="preserve"> L.) cv. Pusa Himani. </w:t>
      </w:r>
      <w:r w:rsidRPr="002D5F97">
        <w:rPr>
          <w:rFonts w:ascii="Times New Roman" w:hAnsi="Times New Roman" w:cs="Times New Roman"/>
          <w:i/>
          <w:iCs/>
          <w:sz w:val="24"/>
          <w:szCs w:val="24"/>
        </w:rPr>
        <w:t>Advances in Plant Sciences</w:t>
      </w:r>
      <w:r w:rsidRPr="002D5F97">
        <w:rPr>
          <w:rFonts w:ascii="Times New Roman" w:hAnsi="Times New Roman" w:cs="Times New Roman"/>
          <w:sz w:val="24"/>
          <w:szCs w:val="24"/>
        </w:rPr>
        <w:t xml:space="preserve">. 18 (2): 879- 881.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Laxmi, P., Pratap, M. and Rao, A.M. (2014). Effect of residual fertility of preceding marigold crop on growth, yield and nutrient uptake of radish (</w:t>
      </w:r>
      <w:r w:rsidRPr="002D5F97">
        <w:rPr>
          <w:rFonts w:ascii="Times New Roman" w:hAnsi="Times New Roman" w:cs="Times New Roman"/>
          <w:i/>
          <w:iCs/>
          <w:sz w:val="24"/>
          <w:szCs w:val="24"/>
        </w:rPr>
        <w:t>Raphanus sativus</w:t>
      </w:r>
      <w:r w:rsidRPr="002D5F97">
        <w:rPr>
          <w:rFonts w:ascii="Times New Roman" w:hAnsi="Times New Roman" w:cs="Times New Roman"/>
          <w:sz w:val="24"/>
          <w:szCs w:val="24"/>
        </w:rPr>
        <w:t xml:space="preserve"> L.) crop. </w:t>
      </w:r>
      <w:r w:rsidRPr="002D5F97">
        <w:rPr>
          <w:rFonts w:ascii="Times New Roman" w:hAnsi="Times New Roman" w:cs="Times New Roman"/>
          <w:i/>
          <w:iCs/>
          <w:sz w:val="24"/>
          <w:szCs w:val="24"/>
        </w:rPr>
        <w:t>Research on Crops</w:t>
      </w:r>
      <w:r w:rsidRPr="002D5F97">
        <w:rPr>
          <w:rFonts w:ascii="Times New Roman" w:hAnsi="Times New Roman" w:cs="Times New Roman"/>
          <w:sz w:val="24"/>
          <w:szCs w:val="24"/>
        </w:rPr>
        <w:t xml:space="preserve">. 15 (1): 175-179. </w:t>
      </w:r>
    </w:p>
    <w:p w:rsidR="00DE132D" w:rsidRPr="002D5F97" w:rsidRDefault="00DE132D" w:rsidP="005E5F00">
      <w:pPr>
        <w:spacing w:before="240" w:after="278"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Radics, L. and Gal. L. (2002). Weed management in carrot without or with reduced amount of herbicide. </w:t>
      </w:r>
      <w:r w:rsidRPr="002D5F97">
        <w:rPr>
          <w:rFonts w:ascii="Times New Roman" w:hAnsi="Times New Roman" w:cs="Times New Roman"/>
          <w:i/>
          <w:iCs/>
          <w:sz w:val="24"/>
          <w:szCs w:val="24"/>
        </w:rPr>
        <w:t xml:space="preserve">Magy. </w:t>
      </w:r>
      <w:proofErr w:type="spellStart"/>
      <w:r w:rsidRPr="002D5F97">
        <w:rPr>
          <w:rFonts w:ascii="Times New Roman" w:hAnsi="Times New Roman" w:cs="Times New Roman"/>
          <w:i/>
          <w:iCs/>
          <w:sz w:val="24"/>
          <w:szCs w:val="24"/>
        </w:rPr>
        <w:t>GyomkutatasesTehonol</w:t>
      </w:r>
      <w:proofErr w:type="spellEnd"/>
      <w:r w:rsidRPr="002D5F97">
        <w:rPr>
          <w:rFonts w:ascii="Times New Roman" w:hAnsi="Times New Roman" w:cs="Times New Roman"/>
          <w:sz w:val="24"/>
          <w:szCs w:val="24"/>
        </w:rPr>
        <w:t xml:space="preserve">. 2(1): 41-56. </w:t>
      </w:r>
    </w:p>
    <w:p w:rsidR="00DE132D"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Salunkhe, D.K. and Kadam, S.S. (1998). Carrot. Hand book of Vegetable Science and Technology. </w:t>
      </w:r>
      <w:r w:rsidRPr="002D5F97">
        <w:rPr>
          <w:rFonts w:ascii="Times New Roman" w:hAnsi="Times New Roman" w:cs="Times New Roman"/>
          <w:i/>
          <w:iCs/>
          <w:sz w:val="24"/>
          <w:szCs w:val="24"/>
        </w:rPr>
        <w:t>Marcel Dekher Inc. New York</w:t>
      </w:r>
      <w:r w:rsidRPr="002D5F97">
        <w:rPr>
          <w:rFonts w:ascii="Times New Roman" w:hAnsi="Times New Roman" w:cs="Times New Roman"/>
          <w:sz w:val="24"/>
          <w:szCs w:val="24"/>
        </w:rPr>
        <w:t xml:space="preserve">. pp 119-135. </w:t>
      </w:r>
    </w:p>
    <w:p w:rsidR="00ED0AB0" w:rsidRPr="002D5F97" w:rsidRDefault="00ED0AB0" w:rsidP="005E5F00">
      <w:pPr>
        <w:spacing w:before="240" w:line="276" w:lineRule="auto"/>
        <w:ind w:left="900" w:right="-46" w:hanging="810"/>
        <w:jc w:val="both"/>
        <w:rPr>
          <w:rFonts w:ascii="Times New Roman" w:hAnsi="Times New Roman" w:cs="Times New Roman"/>
          <w:sz w:val="24"/>
          <w:szCs w:val="24"/>
        </w:rPr>
      </w:pPr>
      <w:r w:rsidRPr="00ED0AB0">
        <w:rPr>
          <w:rFonts w:ascii="Times New Roman" w:hAnsi="Times New Roman" w:cs="Times New Roman"/>
          <w:sz w:val="24"/>
          <w:szCs w:val="24"/>
        </w:rPr>
        <w:t xml:space="preserve">Singh, K., Sharma, P. K., Singh, Y. V., </w:t>
      </w:r>
      <w:proofErr w:type="spellStart"/>
      <w:r w:rsidRPr="00ED0AB0">
        <w:rPr>
          <w:rFonts w:ascii="Times New Roman" w:hAnsi="Times New Roman" w:cs="Times New Roman"/>
          <w:sz w:val="24"/>
          <w:szCs w:val="24"/>
        </w:rPr>
        <w:t>Barnwal</w:t>
      </w:r>
      <w:proofErr w:type="spellEnd"/>
      <w:r w:rsidRPr="00ED0AB0">
        <w:rPr>
          <w:rFonts w:ascii="Times New Roman" w:hAnsi="Times New Roman" w:cs="Times New Roman"/>
          <w:sz w:val="24"/>
          <w:szCs w:val="24"/>
        </w:rPr>
        <w:t xml:space="preserve">, P. P., Jaiswal, S., Goswami, S., &amp; Deepak. (2024, November 26). Synergistic Effects of Combined Organic and Inorganic Nitrogen on Wheat Nutrient Uptake and Soil Fertility in </w:t>
      </w:r>
      <w:proofErr w:type="spellStart"/>
      <w:r w:rsidRPr="00ED0AB0">
        <w:rPr>
          <w:rFonts w:ascii="Times New Roman" w:hAnsi="Times New Roman" w:cs="Times New Roman"/>
          <w:sz w:val="24"/>
          <w:szCs w:val="24"/>
        </w:rPr>
        <w:t>Inceptisol</w:t>
      </w:r>
      <w:proofErr w:type="spellEnd"/>
      <w:r w:rsidRPr="00ED0AB0">
        <w:rPr>
          <w:rFonts w:ascii="Times New Roman" w:hAnsi="Times New Roman" w:cs="Times New Roman"/>
          <w:sz w:val="24"/>
          <w:szCs w:val="24"/>
        </w:rPr>
        <w:t xml:space="preserve"> of Eastern Uttar Pradesh, India. </w:t>
      </w:r>
      <w:r w:rsidRPr="00ED0AB0">
        <w:rPr>
          <w:rFonts w:ascii="Times New Roman" w:hAnsi="Times New Roman" w:cs="Times New Roman"/>
          <w:i/>
          <w:sz w:val="24"/>
          <w:szCs w:val="24"/>
        </w:rPr>
        <w:t>International Journal of Plant &amp; Soil Science</w:t>
      </w:r>
      <w:r w:rsidRPr="00ED0AB0">
        <w:rPr>
          <w:rFonts w:ascii="Times New Roman" w:hAnsi="Times New Roman" w:cs="Times New Roman"/>
          <w:sz w:val="24"/>
          <w:szCs w:val="24"/>
        </w:rPr>
        <w:t>, 36(11), 441–450.</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Sharma, Akhilesh, Sharma, R.P., Sood, Sonia and Sharma, J.J. (2003). Influence of Integrated use of nitrogen, phosphorus, potassium and farmyard manure on the yield attributing traits and marketable yield of carrot (</w:t>
      </w:r>
      <w:r w:rsidRPr="002D5F97">
        <w:rPr>
          <w:rFonts w:ascii="Times New Roman" w:hAnsi="Times New Roman" w:cs="Times New Roman"/>
          <w:i/>
          <w:iCs/>
          <w:sz w:val="24"/>
          <w:szCs w:val="24"/>
        </w:rPr>
        <w:t>D</w:t>
      </w:r>
      <w:r w:rsidR="00F0541A" w:rsidRPr="002D5F97">
        <w:rPr>
          <w:rFonts w:ascii="Times New Roman" w:hAnsi="Times New Roman" w:cs="Times New Roman"/>
          <w:i/>
          <w:iCs/>
          <w:sz w:val="24"/>
          <w:szCs w:val="24"/>
        </w:rPr>
        <w:t>a</w:t>
      </w:r>
      <w:r w:rsidRPr="002D5F97">
        <w:rPr>
          <w:rFonts w:ascii="Times New Roman" w:hAnsi="Times New Roman" w:cs="Times New Roman"/>
          <w:i/>
          <w:iCs/>
          <w:sz w:val="24"/>
          <w:szCs w:val="24"/>
        </w:rPr>
        <w:t>ucus carota</w:t>
      </w:r>
      <w:r w:rsidRPr="002D5F97">
        <w:rPr>
          <w:rFonts w:ascii="Times New Roman" w:hAnsi="Times New Roman" w:cs="Times New Roman"/>
          <w:sz w:val="24"/>
          <w:szCs w:val="24"/>
        </w:rPr>
        <w:t xml:space="preserve"> L.) under the high hills dry temperate conditions of north western Himalayas. </w:t>
      </w:r>
      <w:r w:rsidRPr="002D5F97">
        <w:rPr>
          <w:rFonts w:ascii="Times New Roman" w:hAnsi="Times New Roman" w:cs="Times New Roman"/>
          <w:i/>
          <w:iCs/>
          <w:sz w:val="24"/>
          <w:szCs w:val="24"/>
        </w:rPr>
        <w:t>Indian Journal of Agricultural Sciences</w:t>
      </w:r>
      <w:r w:rsidRPr="002D5F97">
        <w:rPr>
          <w:rFonts w:ascii="Times New Roman" w:hAnsi="Times New Roman" w:cs="Times New Roman"/>
          <w:sz w:val="24"/>
          <w:szCs w:val="24"/>
        </w:rPr>
        <w:t xml:space="preserve">. 73 (9): 500-503.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proofErr w:type="spellStart"/>
      <w:r w:rsidRPr="002D5F97">
        <w:rPr>
          <w:rFonts w:ascii="Times New Roman" w:hAnsi="Times New Roman" w:cs="Times New Roman"/>
          <w:sz w:val="24"/>
          <w:szCs w:val="24"/>
        </w:rPr>
        <w:t>Sunandarani</w:t>
      </w:r>
      <w:proofErr w:type="spellEnd"/>
      <w:r w:rsidRPr="002D5F97">
        <w:rPr>
          <w:rFonts w:ascii="Times New Roman" w:hAnsi="Times New Roman" w:cs="Times New Roman"/>
          <w:sz w:val="24"/>
          <w:szCs w:val="24"/>
        </w:rPr>
        <w:t xml:space="preserve">, N. and </w:t>
      </w:r>
      <w:proofErr w:type="spellStart"/>
      <w:r w:rsidRPr="002D5F97">
        <w:rPr>
          <w:rFonts w:ascii="Times New Roman" w:hAnsi="Times New Roman" w:cs="Times New Roman"/>
          <w:sz w:val="24"/>
          <w:szCs w:val="24"/>
        </w:rPr>
        <w:t>Mallareddy</w:t>
      </w:r>
      <w:proofErr w:type="spellEnd"/>
      <w:r w:rsidRPr="002D5F97">
        <w:rPr>
          <w:rFonts w:ascii="Times New Roman" w:hAnsi="Times New Roman" w:cs="Times New Roman"/>
          <w:sz w:val="24"/>
          <w:szCs w:val="24"/>
        </w:rPr>
        <w:t>, K. (2007). Effect of different organic manures and inorganic fertilizers on growth, yield and quality of carrot (</w:t>
      </w:r>
      <w:r w:rsidRPr="002D5F97">
        <w:rPr>
          <w:rFonts w:ascii="Times New Roman" w:hAnsi="Times New Roman" w:cs="Times New Roman"/>
          <w:i/>
          <w:sz w:val="24"/>
          <w:szCs w:val="24"/>
        </w:rPr>
        <w:t xml:space="preserve">Daucus carota </w:t>
      </w:r>
      <w:r w:rsidRPr="002D5F97">
        <w:rPr>
          <w:rFonts w:ascii="Times New Roman" w:hAnsi="Times New Roman" w:cs="Times New Roman"/>
          <w:sz w:val="24"/>
          <w:szCs w:val="24"/>
        </w:rPr>
        <w:t xml:space="preserve">L.). </w:t>
      </w:r>
      <w:r w:rsidRPr="002D5F97">
        <w:rPr>
          <w:rFonts w:ascii="Times New Roman" w:hAnsi="Times New Roman" w:cs="Times New Roman"/>
          <w:i/>
          <w:iCs/>
          <w:sz w:val="24"/>
          <w:szCs w:val="24"/>
        </w:rPr>
        <w:t>Karnataka J. Agric. Sci</w:t>
      </w:r>
      <w:r w:rsidRPr="002D5F97">
        <w:rPr>
          <w:rFonts w:ascii="Times New Roman" w:hAnsi="Times New Roman" w:cs="Times New Roman"/>
          <w:sz w:val="24"/>
          <w:szCs w:val="24"/>
        </w:rPr>
        <w:t xml:space="preserve">. 20(3): 686- 688. </w:t>
      </w:r>
    </w:p>
    <w:p w:rsidR="00DE132D" w:rsidRPr="002D5F97" w:rsidRDefault="00DE132D" w:rsidP="005E5F00">
      <w:pPr>
        <w:spacing w:before="240" w:after="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lastRenderedPageBreak/>
        <w:t xml:space="preserve">Thapa, U., </w:t>
      </w:r>
      <w:proofErr w:type="spellStart"/>
      <w:r w:rsidRPr="002D5F97">
        <w:rPr>
          <w:rFonts w:ascii="Times New Roman" w:hAnsi="Times New Roman" w:cs="Times New Roman"/>
          <w:sz w:val="24"/>
          <w:szCs w:val="24"/>
        </w:rPr>
        <w:t>Mohanto</w:t>
      </w:r>
      <w:proofErr w:type="spellEnd"/>
      <w:r w:rsidRPr="002D5F97">
        <w:rPr>
          <w:rFonts w:ascii="Times New Roman" w:hAnsi="Times New Roman" w:cs="Times New Roman"/>
          <w:sz w:val="24"/>
          <w:szCs w:val="24"/>
        </w:rPr>
        <w:t xml:space="preserve">, B., Chattopadhyay, S.B. and </w:t>
      </w:r>
      <w:proofErr w:type="spellStart"/>
      <w:r w:rsidRPr="002D5F97">
        <w:rPr>
          <w:rFonts w:ascii="Times New Roman" w:hAnsi="Times New Roman" w:cs="Times New Roman"/>
          <w:sz w:val="24"/>
          <w:szCs w:val="24"/>
        </w:rPr>
        <w:t>Ghanti</w:t>
      </w:r>
      <w:proofErr w:type="spellEnd"/>
      <w:r w:rsidRPr="002D5F97">
        <w:rPr>
          <w:rFonts w:ascii="Times New Roman" w:hAnsi="Times New Roman" w:cs="Times New Roman"/>
          <w:sz w:val="24"/>
          <w:szCs w:val="24"/>
        </w:rPr>
        <w:t>, P. (2003). Growth and yield of some cultivars of radish (</w:t>
      </w:r>
      <w:r w:rsidRPr="002D5F97">
        <w:rPr>
          <w:rFonts w:ascii="Times New Roman" w:hAnsi="Times New Roman" w:cs="Times New Roman"/>
          <w:i/>
          <w:iCs/>
          <w:sz w:val="24"/>
          <w:szCs w:val="24"/>
        </w:rPr>
        <w:t>Raphanus sativus</w:t>
      </w:r>
      <w:r w:rsidRPr="002D5F97">
        <w:rPr>
          <w:rFonts w:ascii="Times New Roman" w:hAnsi="Times New Roman" w:cs="Times New Roman"/>
          <w:sz w:val="24"/>
          <w:szCs w:val="24"/>
        </w:rPr>
        <w:t xml:space="preserve">) with nitrogen levels. </w:t>
      </w:r>
      <w:r w:rsidRPr="002D5F97">
        <w:rPr>
          <w:rFonts w:ascii="Times New Roman" w:hAnsi="Times New Roman" w:cs="Times New Roman"/>
          <w:i/>
          <w:iCs/>
          <w:sz w:val="24"/>
          <w:szCs w:val="24"/>
        </w:rPr>
        <w:t>Environment and Ecology</w:t>
      </w:r>
      <w:r w:rsidRPr="002D5F97">
        <w:rPr>
          <w:rFonts w:ascii="Times New Roman" w:hAnsi="Times New Roman" w:cs="Times New Roman"/>
          <w:sz w:val="24"/>
          <w:szCs w:val="24"/>
        </w:rPr>
        <w:t xml:space="preserve">. 21 (4): 836-838.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rPr>
        <w:t xml:space="preserve">Uddin, A.S.M.M., Hoque, A.K.M.S., </w:t>
      </w:r>
      <w:proofErr w:type="spellStart"/>
      <w:r w:rsidRPr="002D5F97">
        <w:rPr>
          <w:rFonts w:ascii="Times New Roman" w:hAnsi="Times New Roman" w:cs="Times New Roman"/>
          <w:sz w:val="24"/>
          <w:szCs w:val="24"/>
        </w:rPr>
        <w:t>Shahiduzzaman</w:t>
      </w:r>
      <w:proofErr w:type="spellEnd"/>
      <w:r w:rsidRPr="002D5F97">
        <w:rPr>
          <w:rFonts w:ascii="Times New Roman" w:hAnsi="Times New Roman" w:cs="Times New Roman"/>
          <w:sz w:val="24"/>
          <w:szCs w:val="24"/>
        </w:rPr>
        <w:t xml:space="preserve">, M., Sarker, P.C., Patwary, M.M.A. and </w:t>
      </w:r>
      <w:proofErr w:type="spellStart"/>
      <w:r w:rsidRPr="002D5F97">
        <w:rPr>
          <w:rFonts w:ascii="Times New Roman" w:hAnsi="Times New Roman" w:cs="Times New Roman"/>
          <w:sz w:val="24"/>
          <w:szCs w:val="24"/>
        </w:rPr>
        <w:t>Shiblee</w:t>
      </w:r>
      <w:proofErr w:type="spellEnd"/>
      <w:r w:rsidRPr="002D5F97">
        <w:rPr>
          <w:rFonts w:ascii="Times New Roman" w:hAnsi="Times New Roman" w:cs="Times New Roman"/>
          <w:sz w:val="24"/>
          <w:szCs w:val="24"/>
        </w:rPr>
        <w:t xml:space="preserve">, S.M.A. (2004). Effect of nutrients on the yield of carrot. </w:t>
      </w:r>
      <w:r w:rsidRPr="002D5F97">
        <w:rPr>
          <w:rFonts w:ascii="Times New Roman" w:hAnsi="Times New Roman" w:cs="Times New Roman"/>
          <w:i/>
          <w:iCs/>
          <w:sz w:val="24"/>
          <w:szCs w:val="24"/>
        </w:rPr>
        <w:t>Pakistan Journal of Biological Sciences</w:t>
      </w:r>
      <w:r w:rsidRPr="002D5F97">
        <w:rPr>
          <w:rFonts w:ascii="Times New Roman" w:hAnsi="Times New Roman" w:cs="Times New Roman"/>
          <w:sz w:val="24"/>
          <w:szCs w:val="24"/>
        </w:rPr>
        <w:t xml:space="preserve">. 7 (8): 1407-1409. </w:t>
      </w:r>
    </w:p>
    <w:p w:rsidR="00DE132D" w:rsidRPr="002D5F97" w:rsidRDefault="00DE132D" w:rsidP="005E5F00">
      <w:pPr>
        <w:spacing w:before="240" w:after="21" w:line="276" w:lineRule="auto"/>
        <w:ind w:left="900" w:right="-46" w:hanging="810"/>
        <w:jc w:val="both"/>
        <w:rPr>
          <w:rFonts w:ascii="Times New Roman" w:hAnsi="Times New Roman" w:cs="Times New Roman"/>
          <w:sz w:val="24"/>
          <w:szCs w:val="24"/>
        </w:rPr>
      </w:pPr>
      <w:r w:rsidRPr="002D5F97">
        <w:rPr>
          <w:rFonts w:ascii="Times New Roman" w:hAnsi="Times New Roman" w:cs="Times New Roman"/>
          <w:sz w:val="24"/>
          <w:szCs w:val="24"/>
          <w:lang w:val="en-IN"/>
        </w:rPr>
        <w:t xml:space="preserve">Yadav, S. K.; Khokar, U.V. and Yadav, R.P. (2010). </w:t>
      </w:r>
      <w:r w:rsidRPr="002D5F97">
        <w:rPr>
          <w:rFonts w:ascii="Times New Roman" w:hAnsi="Times New Roman" w:cs="Times New Roman"/>
          <w:sz w:val="24"/>
          <w:szCs w:val="24"/>
        </w:rPr>
        <w:t xml:space="preserve">Integrated nutrient management for strawberry cultivation. </w:t>
      </w:r>
      <w:r w:rsidRPr="002D5F97">
        <w:rPr>
          <w:rFonts w:ascii="Times New Roman" w:hAnsi="Times New Roman" w:cs="Times New Roman"/>
          <w:i/>
          <w:iCs/>
          <w:sz w:val="24"/>
          <w:szCs w:val="24"/>
        </w:rPr>
        <w:t>Indian J. Horti</w:t>
      </w:r>
      <w:r w:rsidRPr="002D5F97">
        <w:rPr>
          <w:rFonts w:ascii="Times New Roman" w:hAnsi="Times New Roman" w:cs="Times New Roman"/>
          <w:sz w:val="24"/>
          <w:szCs w:val="24"/>
        </w:rPr>
        <w:t xml:space="preserve">. 67(4): 445-449. </w:t>
      </w:r>
    </w:p>
    <w:p w:rsidR="00DE132D" w:rsidRPr="002D5F97" w:rsidRDefault="00DE132D" w:rsidP="005E5F00">
      <w:pPr>
        <w:spacing w:before="240" w:line="276" w:lineRule="auto"/>
        <w:ind w:left="900" w:right="-46" w:hanging="810"/>
        <w:jc w:val="both"/>
        <w:rPr>
          <w:rFonts w:ascii="Times New Roman" w:hAnsi="Times New Roman" w:cs="Times New Roman"/>
          <w:sz w:val="24"/>
          <w:szCs w:val="24"/>
        </w:rPr>
        <w:sectPr w:rsidR="00DE132D" w:rsidRPr="002D5F97" w:rsidSect="0038781B">
          <w:type w:val="continuous"/>
          <w:pgSz w:w="11906" w:h="16838" w:code="9"/>
          <w:pgMar w:top="1440" w:right="1440" w:bottom="1440" w:left="1440" w:header="708" w:footer="708" w:gutter="0"/>
          <w:cols w:space="708"/>
          <w:docGrid w:linePitch="360"/>
        </w:sectPr>
      </w:pPr>
      <w:proofErr w:type="spellStart"/>
      <w:r w:rsidRPr="002D5F97">
        <w:rPr>
          <w:rFonts w:ascii="Times New Roman" w:hAnsi="Times New Roman" w:cs="Times New Roman"/>
          <w:sz w:val="24"/>
          <w:szCs w:val="24"/>
        </w:rPr>
        <w:t>Yanthan</w:t>
      </w:r>
      <w:proofErr w:type="spellEnd"/>
      <w:r w:rsidRPr="002D5F97">
        <w:rPr>
          <w:rFonts w:ascii="Times New Roman" w:hAnsi="Times New Roman" w:cs="Times New Roman"/>
          <w:sz w:val="24"/>
          <w:szCs w:val="24"/>
        </w:rPr>
        <w:t xml:space="preserve">, T.S., Singh, V.B., </w:t>
      </w:r>
      <w:proofErr w:type="spellStart"/>
      <w:r w:rsidRPr="002D5F97">
        <w:rPr>
          <w:rFonts w:ascii="Times New Roman" w:hAnsi="Times New Roman" w:cs="Times New Roman"/>
          <w:sz w:val="24"/>
          <w:szCs w:val="24"/>
        </w:rPr>
        <w:t>Kanaujia</w:t>
      </w:r>
      <w:proofErr w:type="spellEnd"/>
      <w:r w:rsidRPr="002D5F97">
        <w:rPr>
          <w:rFonts w:ascii="Times New Roman" w:hAnsi="Times New Roman" w:cs="Times New Roman"/>
          <w:sz w:val="24"/>
          <w:szCs w:val="24"/>
        </w:rPr>
        <w:t>, S.P. and Singh, A.K. (2012). Effect of integrated nutrient management on growth, yield and nutrient uptake by turnip (</w:t>
      </w:r>
      <w:r w:rsidRPr="002D5F97">
        <w:rPr>
          <w:rFonts w:ascii="Times New Roman" w:hAnsi="Times New Roman" w:cs="Times New Roman"/>
          <w:i/>
          <w:iCs/>
          <w:sz w:val="24"/>
          <w:szCs w:val="24"/>
        </w:rPr>
        <w:t>Brassica rapa</w:t>
      </w:r>
      <w:r w:rsidRPr="002D5F97">
        <w:rPr>
          <w:rFonts w:ascii="Times New Roman" w:hAnsi="Times New Roman" w:cs="Times New Roman"/>
          <w:sz w:val="24"/>
          <w:szCs w:val="24"/>
        </w:rPr>
        <w:t xml:space="preserve"> L.) cv. </w:t>
      </w:r>
      <w:proofErr w:type="spellStart"/>
      <w:r w:rsidRPr="002D5F97">
        <w:rPr>
          <w:rFonts w:ascii="Times New Roman" w:hAnsi="Times New Roman" w:cs="Times New Roman"/>
          <w:sz w:val="24"/>
          <w:szCs w:val="24"/>
        </w:rPr>
        <w:t>Pusasweti</w:t>
      </w:r>
      <w:proofErr w:type="spellEnd"/>
      <w:r w:rsidRPr="002D5F97">
        <w:rPr>
          <w:rFonts w:ascii="Times New Roman" w:hAnsi="Times New Roman" w:cs="Times New Roman"/>
          <w:sz w:val="24"/>
          <w:szCs w:val="24"/>
        </w:rPr>
        <w:t xml:space="preserve"> and their economics. </w:t>
      </w:r>
      <w:r w:rsidRPr="002D5F97">
        <w:rPr>
          <w:rFonts w:ascii="Times New Roman" w:hAnsi="Times New Roman" w:cs="Times New Roman"/>
          <w:i/>
          <w:iCs/>
          <w:sz w:val="24"/>
          <w:szCs w:val="24"/>
        </w:rPr>
        <w:t>Journal of Soils and Crops</w:t>
      </w:r>
      <w:r w:rsidRPr="002D5F97">
        <w:rPr>
          <w:rFonts w:ascii="Times New Roman" w:hAnsi="Times New Roman" w:cs="Times New Roman"/>
          <w:sz w:val="24"/>
          <w:szCs w:val="24"/>
        </w:rPr>
        <w:t>. 22 (1): 1-9.</w:t>
      </w:r>
    </w:p>
    <w:p w:rsidR="002955E4" w:rsidRPr="002D5F97" w:rsidRDefault="00D82A8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b/>
          <w:bCs/>
          <w:sz w:val="24"/>
          <w:szCs w:val="24"/>
        </w:rPr>
        <w:lastRenderedPageBreak/>
        <w:t>Table</w:t>
      </w:r>
      <w:r w:rsidR="002955E4" w:rsidRPr="002D5F97">
        <w:rPr>
          <w:rFonts w:ascii="Times New Roman" w:hAnsi="Times New Roman" w:cs="Times New Roman"/>
          <w:b/>
          <w:bCs/>
          <w:sz w:val="24"/>
          <w:szCs w:val="24"/>
        </w:rPr>
        <w:t xml:space="preserve"> 1: </w:t>
      </w:r>
      <w:r w:rsidR="00691AD9" w:rsidRPr="002D5F97">
        <w:rPr>
          <w:rFonts w:ascii="Times New Roman" w:hAnsi="Times New Roman" w:cs="Times New Roman"/>
          <w:b/>
          <w:sz w:val="24"/>
          <w:szCs w:val="24"/>
        </w:rPr>
        <w:t>Effect of organic and inorganic fertilizers on yield and quality of Carrot(</w:t>
      </w:r>
      <w:r w:rsidR="00691AD9" w:rsidRPr="002D5F97">
        <w:rPr>
          <w:rFonts w:ascii="Times New Roman" w:hAnsi="Times New Roman" w:cs="Times New Roman"/>
          <w:b/>
          <w:i/>
          <w:sz w:val="24"/>
          <w:szCs w:val="24"/>
        </w:rPr>
        <w:t xml:space="preserve">Daucus carota </w:t>
      </w:r>
      <w:r w:rsidR="00691AD9" w:rsidRPr="002D5F97">
        <w:rPr>
          <w:rFonts w:ascii="Times New Roman" w:hAnsi="Times New Roman" w:cs="Times New Roman"/>
          <w:b/>
          <w:sz w:val="24"/>
          <w:szCs w:val="24"/>
        </w:rPr>
        <w:t>L</w:t>
      </w:r>
      <w:r w:rsidR="00691AD9" w:rsidRPr="002D5F97">
        <w:rPr>
          <w:rFonts w:ascii="Times New Roman" w:hAnsi="Times New Roman" w:cs="Times New Roman"/>
          <w:b/>
          <w:i/>
          <w:sz w:val="24"/>
          <w:szCs w:val="24"/>
        </w:rPr>
        <w:t>.</w:t>
      </w:r>
      <w:r w:rsidR="00670325" w:rsidRPr="002D5F97">
        <w:rPr>
          <w:rFonts w:ascii="Times New Roman" w:hAnsi="Times New Roman" w:cs="Times New Roman"/>
          <w:b/>
          <w:iCs/>
          <w:sz w:val="24"/>
          <w:szCs w:val="24"/>
        </w:rPr>
        <w:t>)</w:t>
      </w:r>
    </w:p>
    <w:tbl>
      <w:tblPr>
        <w:tblStyle w:val="TableGrid"/>
        <w:tblpPr w:leftFromText="180" w:rightFromText="180" w:vertAnchor="page" w:horzAnchor="margin" w:tblpXSpec="center" w:tblpY="2531"/>
        <w:tblW w:w="16021" w:type="dxa"/>
        <w:tblLayout w:type="fixed"/>
        <w:tblLook w:val="04A0" w:firstRow="1" w:lastRow="0" w:firstColumn="1" w:lastColumn="0" w:noHBand="0" w:noVBand="1"/>
      </w:tblPr>
      <w:tblGrid>
        <w:gridCol w:w="1458"/>
        <w:gridCol w:w="3420"/>
        <w:gridCol w:w="990"/>
        <w:gridCol w:w="1186"/>
        <w:gridCol w:w="974"/>
        <w:gridCol w:w="1146"/>
        <w:gridCol w:w="1134"/>
        <w:gridCol w:w="1208"/>
        <w:gridCol w:w="1208"/>
        <w:gridCol w:w="1099"/>
        <w:gridCol w:w="1099"/>
        <w:gridCol w:w="1099"/>
      </w:tblGrid>
      <w:tr w:rsidR="00F0541A" w:rsidRPr="002D5F97" w:rsidTr="00F0541A">
        <w:trPr>
          <w:trHeight w:val="566"/>
        </w:trPr>
        <w:tc>
          <w:tcPr>
            <w:tcW w:w="1458" w:type="dxa"/>
          </w:tcPr>
          <w:p w:rsidR="00F0541A" w:rsidRPr="002D5F97" w:rsidRDefault="00F0541A" w:rsidP="005E5F00">
            <w:pPr>
              <w:spacing w:line="276" w:lineRule="auto"/>
              <w:jc w:val="center"/>
              <w:rPr>
                <w:rFonts w:ascii="Times New Roman" w:hAnsi="Times New Roman" w:cs="Times New Roman"/>
                <w:b/>
                <w:sz w:val="24"/>
                <w:szCs w:val="24"/>
              </w:rPr>
            </w:pPr>
            <w:r w:rsidRPr="002D5F97">
              <w:rPr>
                <w:rFonts w:ascii="Times New Roman" w:hAnsi="Times New Roman" w:cs="Times New Roman"/>
                <w:b/>
                <w:sz w:val="24"/>
                <w:szCs w:val="24"/>
              </w:rPr>
              <w:t>Notations</w:t>
            </w:r>
          </w:p>
        </w:tc>
        <w:tc>
          <w:tcPr>
            <w:tcW w:w="3420" w:type="dxa"/>
          </w:tcPr>
          <w:p w:rsidR="00F0541A" w:rsidRPr="002D5F97" w:rsidRDefault="00F0541A" w:rsidP="005E5F00">
            <w:pPr>
              <w:spacing w:line="276" w:lineRule="auto"/>
              <w:jc w:val="center"/>
              <w:rPr>
                <w:rFonts w:ascii="Times New Roman" w:hAnsi="Times New Roman" w:cs="Times New Roman"/>
                <w:b/>
                <w:sz w:val="24"/>
                <w:szCs w:val="24"/>
              </w:rPr>
            </w:pPr>
            <w:r w:rsidRPr="002D5F97">
              <w:rPr>
                <w:rFonts w:ascii="Times New Roman" w:hAnsi="Times New Roman" w:cs="Times New Roman"/>
                <w:b/>
                <w:sz w:val="24"/>
                <w:szCs w:val="24"/>
              </w:rPr>
              <w:t>Treatment</w:t>
            </w:r>
          </w:p>
        </w:tc>
        <w:tc>
          <w:tcPr>
            <w:tcW w:w="990" w:type="dxa"/>
          </w:tcPr>
          <w:p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forking (%) </w:t>
            </w:r>
          </w:p>
        </w:tc>
        <w:tc>
          <w:tcPr>
            <w:tcW w:w="1186" w:type="dxa"/>
          </w:tcPr>
          <w:p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cracking (%) </w:t>
            </w:r>
          </w:p>
        </w:tc>
        <w:tc>
          <w:tcPr>
            <w:tcW w:w="974" w:type="dxa"/>
          </w:tcPr>
          <w:p w:rsidR="00F0541A" w:rsidRPr="002D5F97" w:rsidRDefault="00F0541A" w:rsidP="005E5F00">
            <w:pPr>
              <w:spacing w:line="276" w:lineRule="auto"/>
              <w:rPr>
                <w:rFonts w:ascii="Times New Roman" w:hAnsi="Times New Roman" w:cs="Times New Roman"/>
                <w:sz w:val="24"/>
                <w:szCs w:val="24"/>
              </w:rPr>
            </w:pPr>
            <w:r w:rsidRPr="002D5F97">
              <w:rPr>
                <w:rFonts w:ascii="Times New Roman" w:hAnsi="Times New Roman" w:cs="Times New Roman"/>
                <w:b/>
                <w:sz w:val="24"/>
                <w:szCs w:val="24"/>
              </w:rPr>
              <w:t>Plant height (cm)</w:t>
            </w:r>
          </w:p>
        </w:tc>
        <w:tc>
          <w:tcPr>
            <w:tcW w:w="1146" w:type="dxa"/>
          </w:tcPr>
          <w:p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Number of leaves / plant</w:t>
            </w:r>
          </w:p>
        </w:tc>
        <w:tc>
          <w:tcPr>
            <w:tcW w:w="1134" w:type="dxa"/>
          </w:tcPr>
          <w:p w:rsidR="00F0541A" w:rsidRPr="002D5F97" w:rsidRDefault="00F0541A" w:rsidP="005E5F00">
            <w:pPr>
              <w:spacing w:line="276" w:lineRule="auto"/>
              <w:rPr>
                <w:rFonts w:ascii="Times New Roman" w:eastAsia="Times New Roman" w:hAnsi="Times New Roman" w:cs="Times New Roman"/>
                <w:b/>
                <w:bCs/>
                <w:color w:val="000000"/>
                <w:sz w:val="24"/>
                <w:szCs w:val="24"/>
                <w:lang w:eastAsia="en-IN"/>
              </w:rPr>
            </w:pPr>
            <w:r w:rsidRPr="002D5F97">
              <w:rPr>
                <w:rFonts w:ascii="Times New Roman" w:hAnsi="Times New Roman" w:cs="Times New Roman"/>
                <w:b/>
                <w:sz w:val="24"/>
                <w:szCs w:val="24"/>
              </w:rPr>
              <w:t xml:space="preserve">Harvest index (%) </w:t>
            </w:r>
          </w:p>
        </w:tc>
        <w:tc>
          <w:tcPr>
            <w:tcW w:w="1208" w:type="dxa"/>
          </w:tcPr>
          <w:p w:rsidR="00F0541A" w:rsidRPr="002D5F97" w:rsidRDefault="00F0541A" w:rsidP="005E5F00">
            <w:pPr>
              <w:spacing w:line="276" w:lineRule="auto"/>
              <w:rPr>
                <w:rFonts w:ascii="Times New Roman" w:eastAsia="Times New Roman" w:hAnsi="Times New Roman" w:cs="Times New Roman"/>
                <w:b/>
                <w:bCs/>
                <w:color w:val="000000"/>
                <w:sz w:val="24"/>
                <w:szCs w:val="24"/>
                <w:lang w:eastAsia="en-IN"/>
              </w:rPr>
            </w:pPr>
            <w:r w:rsidRPr="002D5F97">
              <w:rPr>
                <w:rFonts w:ascii="Times New Roman" w:hAnsi="Times New Roman" w:cs="Times New Roman"/>
                <w:b/>
                <w:sz w:val="24"/>
                <w:szCs w:val="24"/>
              </w:rPr>
              <w:t xml:space="preserve">Root Length (cm) </w:t>
            </w:r>
          </w:p>
        </w:tc>
        <w:tc>
          <w:tcPr>
            <w:tcW w:w="1208" w:type="dxa"/>
          </w:tcPr>
          <w:p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Root diameter (cm) </w:t>
            </w:r>
          </w:p>
        </w:tc>
        <w:tc>
          <w:tcPr>
            <w:tcW w:w="1099" w:type="dxa"/>
          </w:tcPr>
          <w:p w:rsidR="00F0541A" w:rsidRPr="002D5F97" w:rsidRDefault="00F0541A" w:rsidP="005E5F00">
            <w:pPr>
              <w:spacing w:line="276" w:lineRule="auto"/>
              <w:rPr>
                <w:rFonts w:ascii="Times New Roman" w:eastAsia="Times New Roman" w:hAnsi="Times New Roman" w:cs="Times New Roman"/>
                <w:b/>
                <w:bCs/>
                <w:sz w:val="24"/>
                <w:szCs w:val="24"/>
              </w:rPr>
            </w:pPr>
            <w:r w:rsidRPr="002D5F97">
              <w:rPr>
                <w:rFonts w:ascii="Times New Roman" w:hAnsi="Times New Roman" w:cs="Times New Roman"/>
                <w:b/>
                <w:sz w:val="24"/>
                <w:szCs w:val="24"/>
              </w:rPr>
              <w:t xml:space="preserve">Root yield hectare-1 (q) </w:t>
            </w:r>
          </w:p>
        </w:tc>
        <w:tc>
          <w:tcPr>
            <w:tcW w:w="1099" w:type="dxa"/>
          </w:tcPr>
          <w:p w:rsidR="00F0541A" w:rsidRPr="002D5F97" w:rsidRDefault="00F0541A" w:rsidP="005E5F00">
            <w:pPr>
              <w:spacing w:line="276" w:lineRule="auto"/>
              <w:rPr>
                <w:rFonts w:ascii="Times New Roman" w:eastAsia="Times New Roman" w:hAnsi="Times New Roman" w:cs="Times New Roman"/>
                <w:b/>
                <w:bCs/>
                <w:sz w:val="24"/>
                <w:szCs w:val="24"/>
              </w:rPr>
            </w:pPr>
            <w:r w:rsidRPr="002D5F97">
              <w:rPr>
                <w:rFonts w:ascii="Times New Roman" w:hAnsi="Times New Roman" w:cs="Times New Roman"/>
                <w:b/>
                <w:sz w:val="24"/>
                <w:szCs w:val="24"/>
              </w:rPr>
              <w:t>Total Soluble Solids (</w:t>
            </w:r>
            <w:proofErr w:type="spellStart"/>
            <w:r w:rsidRPr="002D5F97">
              <w:rPr>
                <w:rFonts w:ascii="Times New Roman" w:hAnsi="Times New Roman" w:cs="Times New Roman"/>
                <w:b/>
                <w:sz w:val="24"/>
                <w:szCs w:val="24"/>
                <w:vertAlign w:val="superscript"/>
              </w:rPr>
              <w:t>o</w:t>
            </w:r>
            <w:r w:rsidRPr="002D5F97">
              <w:rPr>
                <w:rFonts w:ascii="Times New Roman" w:hAnsi="Times New Roman" w:cs="Times New Roman"/>
                <w:b/>
                <w:sz w:val="24"/>
                <w:szCs w:val="24"/>
              </w:rPr>
              <w:t>Brix</w:t>
            </w:r>
            <w:proofErr w:type="spellEnd"/>
            <w:r w:rsidRPr="002D5F97">
              <w:rPr>
                <w:rFonts w:ascii="Times New Roman" w:hAnsi="Times New Roman" w:cs="Times New Roman"/>
                <w:b/>
                <w:sz w:val="24"/>
                <w:szCs w:val="24"/>
              </w:rPr>
              <w:t xml:space="preserve">) </w:t>
            </w:r>
          </w:p>
        </w:tc>
        <w:tc>
          <w:tcPr>
            <w:tcW w:w="1099" w:type="dxa"/>
          </w:tcPr>
          <w:p w:rsidR="00F0541A" w:rsidRPr="002D5F97" w:rsidRDefault="00F0541A" w:rsidP="005E5F00">
            <w:pPr>
              <w:spacing w:line="276" w:lineRule="auto"/>
              <w:rPr>
                <w:rFonts w:ascii="Times New Roman" w:hAnsi="Times New Roman" w:cs="Times New Roman"/>
                <w:b/>
                <w:sz w:val="24"/>
                <w:szCs w:val="24"/>
              </w:rPr>
            </w:pPr>
            <w:r w:rsidRPr="002D5F97">
              <w:rPr>
                <w:rFonts w:ascii="Times New Roman" w:hAnsi="Times New Roman" w:cs="Times New Roman"/>
                <w:b/>
                <w:sz w:val="24"/>
                <w:szCs w:val="24"/>
              </w:rPr>
              <w:t xml:space="preserve">C:B ratio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1</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Control </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9.50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5.03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44.57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14.63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76.53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22.57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3.49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200.42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7.17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2.58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2</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40:30:40 N: P: K </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4.23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3.87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57.72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19.10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65.36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25.74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5.04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337.96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7.83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3.94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3</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50:40:50 N: P: K </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4.57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2.31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58.97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20.29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65.92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26.19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5.23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367.30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8.00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4.15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4</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60:50:60 N: P: K </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3.81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1.63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60.57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21.08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64.36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27.73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5.40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388.82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8.83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4.27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5</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FYM 20 t ha</w:t>
            </w:r>
            <w:r w:rsidRPr="002D5F97">
              <w:rPr>
                <w:rFonts w:ascii="Times New Roman" w:hAnsi="Times New Roman" w:cs="Times New Roman"/>
                <w:b/>
                <w:bCs/>
                <w:sz w:val="24"/>
                <w:szCs w:val="24"/>
                <w:vertAlign w:val="superscript"/>
              </w:rPr>
              <w:t>-1</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7.88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3.48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50.25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15.03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68.87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22.94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4.11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261.38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9.00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3.08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6</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Vermicompost 10mt ha</w:t>
            </w:r>
            <w:r w:rsidRPr="002D5F97">
              <w:rPr>
                <w:rFonts w:ascii="Times New Roman" w:hAnsi="Times New Roman" w:cs="Times New Roman"/>
                <w:b/>
                <w:bCs/>
                <w:sz w:val="24"/>
                <w:szCs w:val="24"/>
                <w:vertAlign w:val="superscript"/>
              </w:rPr>
              <w:t>-1</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6.53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2.63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53.80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19.85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66.20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23.59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4.39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331.37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9.67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3.96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T</w:t>
            </w:r>
            <w:r w:rsidRPr="002D5F97">
              <w:rPr>
                <w:rFonts w:ascii="Times New Roman" w:hAnsi="Times New Roman" w:cs="Times New Roman"/>
                <w:b/>
                <w:bCs/>
                <w:sz w:val="24"/>
                <w:szCs w:val="24"/>
                <w:vertAlign w:val="subscript"/>
              </w:rPr>
              <w:t>7</w:t>
            </w: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Poultry manure 15mt ha</w:t>
            </w:r>
            <w:r w:rsidRPr="002D5F97">
              <w:rPr>
                <w:rFonts w:ascii="Times New Roman" w:hAnsi="Times New Roman" w:cs="Times New Roman"/>
                <w:b/>
                <w:bCs/>
                <w:sz w:val="24"/>
                <w:szCs w:val="24"/>
                <w:vertAlign w:val="superscript"/>
              </w:rPr>
              <w:t xml:space="preserve"> 1</w:t>
            </w:r>
          </w:p>
        </w:tc>
        <w:tc>
          <w:tcPr>
            <w:tcW w:w="990"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4.12 </w:t>
            </w:r>
          </w:p>
        </w:tc>
        <w:tc>
          <w:tcPr>
            <w:tcW w:w="1186"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2.49 </w:t>
            </w:r>
          </w:p>
        </w:tc>
        <w:tc>
          <w:tcPr>
            <w:tcW w:w="97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52.63 </w:t>
            </w:r>
          </w:p>
        </w:tc>
        <w:tc>
          <w:tcPr>
            <w:tcW w:w="1146"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15.40 </w:t>
            </w:r>
          </w:p>
        </w:tc>
        <w:tc>
          <w:tcPr>
            <w:tcW w:w="1134"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67.17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23.16 </w:t>
            </w:r>
          </w:p>
        </w:tc>
        <w:tc>
          <w:tcPr>
            <w:tcW w:w="1208"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4.25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312.93 </w:t>
            </w:r>
          </w:p>
        </w:tc>
        <w:tc>
          <w:tcPr>
            <w:tcW w:w="1099" w:type="dxa"/>
          </w:tcPr>
          <w:p w:rsidR="00F0541A" w:rsidRPr="002D5F97" w:rsidRDefault="00F0541A" w:rsidP="005E5F00">
            <w:pPr>
              <w:spacing w:line="276" w:lineRule="auto"/>
              <w:jc w:val="center"/>
              <w:rPr>
                <w:rFonts w:ascii="Times New Roman" w:hAnsi="Times New Roman" w:cs="Times New Roman"/>
                <w:color w:val="000000"/>
                <w:sz w:val="24"/>
                <w:szCs w:val="24"/>
              </w:rPr>
            </w:pPr>
            <w:r w:rsidRPr="002D5F97">
              <w:rPr>
                <w:rFonts w:ascii="Times New Roman" w:hAnsi="Times New Roman" w:cs="Times New Roman"/>
                <w:sz w:val="24"/>
                <w:szCs w:val="24"/>
              </w:rPr>
              <w:t xml:space="preserve">9.13 </w:t>
            </w:r>
          </w:p>
        </w:tc>
        <w:tc>
          <w:tcPr>
            <w:tcW w:w="1099" w:type="dxa"/>
          </w:tcPr>
          <w:p w:rsidR="00F0541A" w:rsidRPr="002D5F97" w:rsidRDefault="00F0541A" w:rsidP="005E5F00">
            <w:pPr>
              <w:spacing w:line="276" w:lineRule="auto"/>
              <w:jc w:val="center"/>
              <w:rPr>
                <w:rFonts w:ascii="Times New Roman" w:hAnsi="Times New Roman" w:cs="Times New Roman"/>
                <w:sz w:val="24"/>
                <w:szCs w:val="24"/>
              </w:rPr>
            </w:pPr>
            <w:r w:rsidRPr="002D5F97">
              <w:rPr>
                <w:rFonts w:ascii="Times New Roman" w:hAnsi="Times New Roman" w:cs="Times New Roman"/>
                <w:sz w:val="24"/>
                <w:szCs w:val="24"/>
              </w:rPr>
              <w:t xml:space="preserve">1: 3.90 </w:t>
            </w: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proofErr w:type="spellStart"/>
            <w:r w:rsidRPr="002D5F97">
              <w:rPr>
                <w:rFonts w:ascii="Times New Roman" w:hAnsi="Times New Roman" w:cs="Times New Roman"/>
                <w:b/>
                <w:bCs/>
                <w:sz w:val="24"/>
                <w:szCs w:val="24"/>
              </w:rPr>
              <w:t>SEm</w:t>
            </w:r>
            <w:proofErr w:type="spellEnd"/>
            <w:r w:rsidRPr="002D5F97">
              <w:rPr>
                <w:rFonts w:ascii="Times New Roman" w:hAnsi="Times New Roman" w:cs="Times New Roman"/>
                <w:b/>
                <w:bCs/>
                <w:sz w:val="24"/>
                <w:szCs w:val="24"/>
              </w:rPr>
              <w:t xml:space="preserve">± </w:t>
            </w:r>
          </w:p>
        </w:tc>
        <w:tc>
          <w:tcPr>
            <w:tcW w:w="990"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0.35 </w:t>
            </w:r>
          </w:p>
        </w:tc>
        <w:tc>
          <w:tcPr>
            <w:tcW w:w="1186"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974"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0.49 </w:t>
            </w:r>
          </w:p>
        </w:tc>
        <w:tc>
          <w:tcPr>
            <w:tcW w:w="1146"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0.63 </w:t>
            </w:r>
          </w:p>
        </w:tc>
        <w:tc>
          <w:tcPr>
            <w:tcW w:w="1134"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0.11 </w:t>
            </w:r>
          </w:p>
        </w:tc>
        <w:tc>
          <w:tcPr>
            <w:tcW w:w="1208"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0.53 </w:t>
            </w:r>
          </w:p>
        </w:tc>
        <w:tc>
          <w:tcPr>
            <w:tcW w:w="120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0.13 </w:t>
            </w:r>
          </w:p>
        </w:tc>
        <w:tc>
          <w:tcPr>
            <w:tcW w:w="1099"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12.17 </w:t>
            </w:r>
          </w:p>
        </w:tc>
        <w:tc>
          <w:tcPr>
            <w:tcW w:w="1099"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1099" w:type="dxa"/>
          </w:tcPr>
          <w:p w:rsidR="00F0541A" w:rsidRPr="002D5F97" w:rsidRDefault="00F0541A" w:rsidP="005E5F00">
            <w:pPr>
              <w:spacing w:line="276" w:lineRule="auto"/>
              <w:jc w:val="center"/>
              <w:rPr>
                <w:rFonts w:ascii="Times New Roman" w:hAnsi="Times New Roman" w:cs="Times New Roman"/>
                <w:b/>
                <w:sz w:val="24"/>
                <w:szCs w:val="24"/>
              </w:rPr>
            </w:pPr>
          </w:p>
        </w:tc>
      </w:tr>
      <w:tr w:rsidR="00F0541A" w:rsidRPr="002D5F97" w:rsidTr="00F0541A">
        <w:trPr>
          <w:trHeight w:val="107"/>
        </w:trPr>
        <w:tc>
          <w:tcPr>
            <w:tcW w:w="1458" w:type="dxa"/>
          </w:tcPr>
          <w:p w:rsidR="00F0541A" w:rsidRPr="002D5F97" w:rsidRDefault="00F0541A" w:rsidP="005E5F00">
            <w:pPr>
              <w:spacing w:line="276" w:lineRule="auto"/>
              <w:jc w:val="center"/>
              <w:rPr>
                <w:rFonts w:ascii="Times New Roman" w:hAnsi="Times New Roman" w:cs="Times New Roman"/>
                <w:b/>
                <w:bCs/>
                <w:sz w:val="24"/>
                <w:szCs w:val="24"/>
              </w:rPr>
            </w:pPr>
          </w:p>
        </w:tc>
        <w:tc>
          <w:tcPr>
            <w:tcW w:w="3420"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C.D. at 5% level </w:t>
            </w:r>
          </w:p>
        </w:tc>
        <w:tc>
          <w:tcPr>
            <w:tcW w:w="990"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1.04 </w:t>
            </w:r>
          </w:p>
        </w:tc>
        <w:tc>
          <w:tcPr>
            <w:tcW w:w="1186"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1.01 </w:t>
            </w:r>
          </w:p>
        </w:tc>
        <w:tc>
          <w:tcPr>
            <w:tcW w:w="974"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1.47 </w:t>
            </w:r>
          </w:p>
        </w:tc>
        <w:tc>
          <w:tcPr>
            <w:tcW w:w="1146"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0.63 </w:t>
            </w:r>
          </w:p>
        </w:tc>
        <w:tc>
          <w:tcPr>
            <w:tcW w:w="1134"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0.34 </w:t>
            </w:r>
          </w:p>
        </w:tc>
        <w:tc>
          <w:tcPr>
            <w:tcW w:w="1208"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1.58 </w:t>
            </w:r>
          </w:p>
        </w:tc>
        <w:tc>
          <w:tcPr>
            <w:tcW w:w="1208" w:type="dxa"/>
          </w:tcPr>
          <w:p w:rsidR="00F0541A" w:rsidRPr="002D5F97" w:rsidRDefault="00F0541A" w:rsidP="005E5F00">
            <w:pPr>
              <w:spacing w:line="276" w:lineRule="auto"/>
              <w:jc w:val="center"/>
              <w:rPr>
                <w:rFonts w:ascii="Times New Roman" w:hAnsi="Times New Roman" w:cs="Times New Roman"/>
                <w:b/>
                <w:bCs/>
                <w:sz w:val="24"/>
                <w:szCs w:val="24"/>
              </w:rPr>
            </w:pPr>
            <w:r w:rsidRPr="002D5F97">
              <w:rPr>
                <w:rFonts w:ascii="Times New Roman" w:hAnsi="Times New Roman" w:cs="Times New Roman"/>
                <w:b/>
                <w:bCs/>
                <w:sz w:val="24"/>
                <w:szCs w:val="24"/>
              </w:rPr>
              <w:t xml:space="preserve">0.39 </w:t>
            </w:r>
          </w:p>
        </w:tc>
        <w:tc>
          <w:tcPr>
            <w:tcW w:w="1099"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36.16 </w:t>
            </w:r>
          </w:p>
        </w:tc>
        <w:tc>
          <w:tcPr>
            <w:tcW w:w="1099" w:type="dxa"/>
          </w:tcPr>
          <w:p w:rsidR="00F0541A" w:rsidRPr="002D5F97" w:rsidRDefault="00F0541A" w:rsidP="005E5F00">
            <w:pPr>
              <w:spacing w:line="276" w:lineRule="auto"/>
              <w:jc w:val="center"/>
              <w:rPr>
                <w:rFonts w:ascii="Times New Roman" w:eastAsia="Times New Roman" w:hAnsi="Times New Roman" w:cs="Times New Roman"/>
                <w:b/>
                <w:bCs/>
                <w:sz w:val="24"/>
                <w:szCs w:val="24"/>
              </w:rPr>
            </w:pPr>
            <w:r w:rsidRPr="002D5F97">
              <w:rPr>
                <w:rFonts w:ascii="Times New Roman" w:hAnsi="Times New Roman" w:cs="Times New Roman"/>
                <w:b/>
                <w:bCs/>
                <w:sz w:val="24"/>
                <w:szCs w:val="24"/>
              </w:rPr>
              <w:t xml:space="preserve">1.01 </w:t>
            </w:r>
          </w:p>
        </w:tc>
        <w:tc>
          <w:tcPr>
            <w:tcW w:w="1099" w:type="dxa"/>
          </w:tcPr>
          <w:p w:rsidR="00F0541A" w:rsidRPr="002D5F97" w:rsidRDefault="00F0541A" w:rsidP="005E5F00">
            <w:pPr>
              <w:spacing w:line="276" w:lineRule="auto"/>
              <w:jc w:val="center"/>
              <w:rPr>
                <w:rFonts w:ascii="Times New Roman" w:hAnsi="Times New Roman" w:cs="Times New Roman"/>
                <w:b/>
                <w:sz w:val="24"/>
                <w:szCs w:val="24"/>
              </w:rPr>
            </w:pPr>
          </w:p>
        </w:tc>
      </w:tr>
    </w:tbl>
    <w:p w:rsidR="00F0541A" w:rsidRPr="002D5F97" w:rsidRDefault="00F0541A" w:rsidP="005E5F00">
      <w:pPr>
        <w:spacing w:before="240" w:line="276" w:lineRule="auto"/>
        <w:jc w:val="both"/>
        <w:rPr>
          <w:rFonts w:ascii="Times New Roman" w:hAnsi="Times New Roman" w:cs="Times New Roman"/>
          <w:b/>
          <w:bCs/>
          <w:iCs/>
          <w:sz w:val="24"/>
          <w:szCs w:val="24"/>
        </w:rPr>
      </w:pPr>
    </w:p>
    <w:p w:rsidR="00AC5A1C" w:rsidRPr="002D5F97" w:rsidRDefault="00AC5A1C" w:rsidP="005E5F00">
      <w:pPr>
        <w:spacing w:before="240" w:line="276" w:lineRule="auto"/>
        <w:rPr>
          <w:rFonts w:ascii="Times New Roman" w:hAnsi="Times New Roman" w:cs="Times New Roman"/>
          <w:sz w:val="24"/>
          <w:szCs w:val="24"/>
        </w:rPr>
      </w:pPr>
    </w:p>
    <w:p w:rsidR="00D82A89" w:rsidRPr="002D5F97" w:rsidRDefault="00D82A89" w:rsidP="005E5F00">
      <w:pPr>
        <w:spacing w:before="240" w:line="276" w:lineRule="auto"/>
        <w:rPr>
          <w:rFonts w:ascii="Times New Roman" w:hAnsi="Times New Roman" w:cs="Times New Roman"/>
          <w:sz w:val="24"/>
          <w:szCs w:val="24"/>
        </w:rPr>
      </w:pPr>
    </w:p>
    <w:p w:rsidR="00D82A89" w:rsidRPr="002D5F97" w:rsidRDefault="00D82A89" w:rsidP="005E5F00">
      <w:pPr>
        <w:spacing w:before="240" w:line="276" w:lineRule="auto"/>
        <w:rPr>
          <w:rFonts w:ascii="Times New Roman" w:hAnsi="Times New Roman" w:cs="Times New Roman"/>
          <w:sz w:val="24"/>
          <w:szCs w:val="24"/>
        </w:rPr>
      </w:pPr>
    </w:p>
    <w:p w:rsidR="00D82A89" w:rsidRPr="002D5F97" w:rsidRDefault="00D82A89" w:rsidP="005E5F00">
      <w:pPr>
        <w:spacing w:before="240" w:line="276" w:lineRule="auto"/>
        <w:rPr>
          <w:rFonts w:ascii="Times New Roman" w:hAnsi="Times New Roman" w:cs="Times New Roman"/>
          <w:sz w:val="24"/>
          <w:szCs w:val="24"/>
        </w:rPr>
      </w:pPr>
    </w:p>
    <w:p w:rsidR="00D82A89" w:rsidRPr="002D5F97" w:rsidRDefault="00D82A89" w:rsidP="005E5F00">
      <w:pPr>
        <w:spacing w:before="240" w:line="276" w:lineRule="auto"/>
        <w:rPr>
          <w:rFonts w:ascii="Times New Roman" w:hAnsi="Times New Roman" w:cs="Times New Roman"/>
          <w:sz w:val="24"/>
          <w:szCs w:val="24"/>
        </w:rPr>
      </w:pPr>
    </w:p>
    <w:p w:rsidR="00D82A89" w:rsidRPr="002D5F97" w:rsidRDefault="008C430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noProof/>
        </w:rPr>
        <w:lastRenderedPageBreak/>
        <w:drawing>
          <wp:anchor distT="0" distB="0" distL="114300" distR="114300" simplePos="0" relativeHeight="251657216" behindDoc="0" locked="0" layoutInCell="1" allowOverlap="1">
            <wp:simplePos x="0" y="0"/>
            <wp:positionH relativeFrom="margin">
              <wp:posOffset>236855</wp:posOffset>
            </wp:positionH>
            <wp:positionV relativeFrom="margin">
              <wp:posOffset>524510</wp:posOffset>
            </wp:positionV>
            <wp:extent cx="8736965" cy="3851910"/>
            <wp:effectExtent l="0" t="0" r="0" b="0"/>
            <wp:wrapSquare wrapText="bothSides"/>
            <wp:docPr id="163002521" name="Chart 1">
              <a:extLst xmlns:a="http://schemas.openxmlformats.org/drawingml/2006/main">
                <a:ext uri="{FF2B5EF4-FFF2-40B4-BE49-F238E27FC236}">
                  <a16:creationId xmlns:a16="http://schemas.microsoft.com/office/drawing/2014/main" id="{781ECF1F-0BAA-DF73-3FF5-825B7AD41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sidR="00D82A89" w:rsidRPr="002D5F97">
        <w:rPr>
          <w:rFonts w:ascii="Times New Roman" w:hAnsi="Times New Roman" w:cs="Times New Roman"/>
          <w:b/>
          <w:bCs/>
          <w:sz w:val="24"/>
          <w:szCs w:val="24"/>
        </w:rPr>
        <w:t>Figure 1</w:t>
      </w:r>
      <w:r w:rsidRPr="002D5F97">
        <w:rPr>
          <w:rFonts w:ascii="Times New Roman" w:hAnsi="Times New Roman" w:cs="Times New Roman"/>
          <w:b/>
          <w:bCs/>
          <w:sz w:val="24"/>
          <w:szCs w:val="24"/>
        </w:rPr>
        <w:t>a</w:t>
      </w:r>
      <w:r w:rsidR="00D82A89" w:rsidRPr="002D5F97">
        <w:rPr>
          <w:rFonts w:ascii="Times New Roman" w:hAnsi="Times New Roman" w:cs="Times New Roman"/>
          <w:b/>
          <w:bCs/>
          <w:sz w:val="24"/>
          <w:szCs w:val="24"/>
        </w:rPr>
        <w:t xml:space="preserve">: </w:t>
      </w:r>
      <w:r w:rsidR="00D82A89" w:rsidRPr="002D5F97">
        <w:rPr>
          <w:rFonts w:ascii="Times New Roman" w:hAnsi="Times New Roman" w:cs="Times New Roman"/>
          <w:b/>
          <w:sz w:val="24"/>
          <w:szCs w:val="24"/>
        </w:rPr>
        <w:t xml:space="preserve">Effect of organic and inorganic fertilizers on </w:t>
      </w:r>
      <w:r w:rsidRPr="002D5F97">
        <w:rPr>
          <w:rFonts w:ascii="Times New Roman" w:hAnsi="Times New Roman" w:cs="Times New Roman"/>
          <w:b/>
          <w:sz w:val="24"/>
          <w:szCs w:val="24"/>
        </w:rPr>
        <w:t>root forking, root cracking, plant height and number of leaves</w:t>
      </w:r>
      <w:r w:rsidR="00D82A89" w:rsidRPr="002D5F97">
        <w:rPr>
          <w:rFonts w:ascii="Times New Roman" w:hAnsi="Times New Roman" w:cs="Times New Roman"/>
          <w:b/>
          <w:sz w:val="24"/>
          <w:szCs w:val="24"/>
        </w:rPr>
        <w:t xml:space="preserve"> Carrot(</w:t>
      </w:r>
      <w:r w:rsidR="00D82A89" w:rsidRPr="002D5F97">
        <w:rPr>
          <w:rFonts w:ascii="Times New Roman" w:hAnsi="Times New Roman" w:cs="Times New Roman"/>
          <w:b/>
          <w:i/>
          <w:sz w:val="24"/>
          <w:szCs w:val="24"/>
        </w:rPr>
        <w:t xml:space="preserve">Daucus carota </w:t>
      </w:r>
      <w:r w:rsidR="00D82A89" w:rsidRPr="002D5F97">
        <w:rPr>
          <w:rFonts w:ascii="Times New Roman" w:hAnsi="Times New Roman" w:cs="Times New Roman"/>
          <w:b/>
          <w:sz w:val="24"/>
          <w:szCs w:val="24"/>
        </w:rPr>
        <w:t>L</w:t>
      </w:r>
      <w:r w:rsidR="00D82A89" w:rsidRPr="002D5F97">
        <w:rPr>
          <w:rFonts w:ascii="Times New Roman" w:hAnsi="Times New Roman" w:cs="Times New Roman"/>
          <w:b/>
          <w:i/>
          <w:sz w:val="24"/>
          <w:szCs w:val="24"/>
        </w:rPr>
        <w:t>.</w:t>
      </w:r>
      <w:r w:rsidR="00D82A89" w:rsidRPr="002D5F97">
        <w:rPr>
          <w:rFonts w:ascii="Times New Roman" w:hAnsi="Times New Roman" w:cs="Times New Roman"/>
          <w:b/>
          <w:iCs/>
          <w:sz w:val="24"/>
          <w:szCs w:val="24"/>
        </w:rPr>
        <w:t>)</w:t>
      </w:r>
    </w:p>
    <w:p w:rsidR="00D82A89" w:rsidRPr="002D5F97" w:rsidRDefault="00D82A89" w:rsidP="005E5F00">
      <w:pPr>
        <w:spacing w:before="240" w:line="276" w:lineRule="auto"/>
        <w:rPr>
          <w:rFonts w:ascii="Times New Roman" w:hAnsi="Times New Roman" w:cs="Times New Roman"/>
          <w:sz w:val="24"/>
          <w:szCs w:val="24"/>
        </w:rPr>
      </w:pPr>
    </w:p>
    <w:p w:rsidR="008C4309" w:rsidRPr="002D5F97" w:rsidRDefault="008C4309" w:rsidP="005E5F00">
      <w:pPr>
        <w:spacing w:before="240" w:line="276" w:lineRule="auto"/>
        <w:rPr>
          <w:rFonts w:ascii="Times New Roman" w:hAnsi="Times New Roman" w:cs="Times New Roman"/>
          <w:sz w:val="24"/>
          <w:szCs w:val="24"/>
        </w:rPr>
      </w:pPr>
    </w:p>
    <w:p w:rsidR="008C4309" w:rsidRPr="002D5F97" w:rsidRDefault="008C4309" w:rsidP="005E5F00">
      <w:pPr>
        <w:spacing w:before="240" w:line="276" w:lineRule="auto"/>
        <w:rPr>
          <w:rFonts w:ascii="Times New Roman" w:hAnsi="Times New Roman" w:cs="Times New Roman"/>
          <w:sz w:val="24"/>
          <w:szCs w:val="24"/>
        </w:rPr>
      </w:pPr>
    </w:p>
    <w:p w:rsidR="008C4309" w:rsidRPr="002D5F97" w:rsidRDefault="008C4309" w:rsidP="005E5F00">
      <w:pPr>
        <w:spacing w:before="240" w:line="276" w:lineRule="auto"/>
        <w:rPr>
          <w:rFonts w:ascii="Times New Roman" w:hAnsi="Times New Roman" w:cs="Times New Roman"/>
          <w:sz w:val="24"/>
          <w:szCs w:val="24"/>
        </w:rPr>
      </w:pPr>
    </w:p>
    <w:p w:rsidR="008C4309" w:rsidRPr="002D5F97" w:rsidRDefault="008C4309" w:rsidP="005E5F00">
      <w:pPr>
        <w:spacing w:before="240" w:line="276" w:lineRule="auto"/>
        <w:jc w:val="center"/>
        <w:rPr>
          <w:rFonts w:ascii="Times New Roman" w:hAnsi="Times New Roman" w:cs="Times New Roman"/>
          <w:b/>
          <w:iCs/>
          <w:sz w:val="24"/>
          <w:szCs w:val="24"/>
        </w:rPr>
      </w:pPr>
      <w:r w:rsidRPr="002D5F97">
        <w:rPr>
          <w:rFonts w:ascii="Times New Roman" w:hAnsi="Times New Roman" w:cs="Times New Roman"/>
          <w:b/>
          <w:bCs/>
          <w:sz w:val="24"/>
          <w:szCs w:val="24"/>
        </w:rPr>
        <w:lastRenderedPageBreak/>
        <w:t xml:space="preserve">Figure 1b: </w:t>
      </w:r>
      <w:r w:rsidRPr="002D5F97">
        <w:rPr>
          <w:rFonts w:ascii="Times New Roman" w:hAnsi="Times New Roman" w:cs="Times New Roman"/>
          <w:b/>
          <w:sz w:val="24"/>
          <w:szCs w:val="24"/>
        </w:rPr>
        <w:t>Effect of organic and inorganic fertilizers on harvest index, root length, root diameter, root yield/hectare and TSS of Carrot(</w:t>
      </w:r>
      <w:r w:rsidRPr="002D5F97">
        <w:rPr>
          <w:rFonts w:ascii="Times New Roman" w:hAnsi="Times New Roman" w:cs="Times New Roman"/>
          <w:b/>
          <w:i/>
          <w:sz w:val="24"/>
          <w:szCs w:val="24"/>
        </w:rPr>
        <w:t xml:space="preserve">Daucus carota </w:t>
      </w:r>
      <w:r w:rsidRPr="002D5F97">
        <w:rPr>
          <w:rFonts w:ascii="Times New Roman" w:hAnsi="Times New Roman" w:cs="Times New Roman"/>
          <w:b/>
          <w:sz w:val="24"/>
          <w:szCs w:val="24"/>
        </w:rPr>
        <w:t>L</w:t>
      </w:r>
      <w:r w:rsidRPr="002D5F97">
        <w:rPr>
          <w:rFonts w:ascii="Times New Roman" w:hAnsi="Times New Roman" w:cs="Times New Roman"/>
          <w:b/>
          <w:i/>
          <w:sz w:val="24"/>
          <w:szCs w:val="24"/>
        </w:rPr>
        <w:t>.</w:t>
      </w:r>
      <w:r w:rsidRPr="002D5F97">
        <w:rPr>
          <w:rFonts w:ascii="Times New Roman" w:hAnsi="Times New Roman" w:cs="Times New Roman"/>
          <w:b/>
          <w:iCs/>
          <w:sz w:val="24"/>
          <w:szCs w:val="24"/>
        </w:rPr>
        <w:t>)</w:t>
      </w:r>
    </w:p>
    <w:p w:rsidR="008C4309" w:rsidRPr="002D5F97" w:rsidRDefault="008C4309" w:rsidP="005E5F00">
      <w:pPr>
        <w:spacing w:before="240" w:line="276" w:lineRule="auto"/>
        <w:rPr>
          <w:rFonts w:ascii="Times New Roman" w:hAnsi="Times New Roman" w:cs="Times New Roman"/>
          <w:sz w:val="24"/>
          <w:szCs w:val="24"/>
        </w:rPr>
      </w:pPr>
    </w:p>
    <w:p w:rsidR="008C4309" w:rsidRPr="002D5F97" w:rsidRDefault="008C4309" w:rsidP="005E5F00">
      <w:pPr>
        <w:tabs>
          <w:tab w:val="left" w:pos="7493"/>
        </w:tabs>
        <w:spacing w:before="240" w:line="276" w:lineRule="auto"/>
        <w:rPr>
          <w:rFonts w:ascii="Times New Roman" w:hAnsi="Times New Roman" w:cs="Times New Roman"/>
          <w:sz w:val="24"/>
          <w:szCs w:val="24"/>
        </w:rPr>
      </w:pPr>
      <w:r w:rsidRPr="002D5F97">
        <w:rPr>
          <w:rFonts w:ascii="Times New Roman" w:hAnsi="Times New Roman" w:cs="Times New Roman"/>
          <w:noProof/>
        </w:rPr>
        <w:drawing>
          <wp:anchor distT="0" distB="0" distL="114300" distR="114300" simplePos="0" relativeHeight="251660288" behindDoc="0" locked="0" layoutInCell="1" allowOverlap="1">
            <wp:simplePos x="0" y="0"/>
            <wp:positionH relativeFrom="margin">
              <wp:align>center</wp:align>
            </wp:positionH>
            <wp:positionV relativeFrom="margin">
              <wp:align>center</wp:align>
            </wp:positionV>
            <wp:extent cx="8550910" cy="4191000"/>
            <wp:effectExtent l="0" t="0" r="0" b="0"/>
            <wp:wrapSquare wrapText="bothSides"/>
            <wp:docPr id="2111894828" name="Chart 1">
              <a:extLst xmlns:a="http://schemas.openxmlformats.org/drawingml/2006/main">
                <a:ext uri="{FF2B5EF4-FFF2-40B4-BE49-F238E27FC236}">
                  <a16:creationId xmlns:a16="http://schemas.microsoft.com/office/drawing/2014/main" id="{5755B72A-461A-B3C6-BE9B-0331133EA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2D5F97">
        <w:rPr>
          <w:rFonts w:ascii="Times New Roman" w:hAnsi="Times New Roman" w:cs="Times New Roman"/>
          <w:sz w:val="24"/>
          <w:szCs w:val="24"/>
        </w:rPr>
        <w:tab/>
      </w:r>
    </w:p>
    <w:sectPr w:rsidR="008C4309" w:rsidRPr="002D5F97" w:rsidSect="00F0541A">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0FE6"/>
    <w:rsid w:val="000504B6"/>
    <w:rsid w:val="0007411C"/>
    <w:rsid w:val="00126B60"/>
    <w:rsid w:val="00170F7A"/>
    <w:rsid w:val="00282BB7"/>
    <w:rsid w:val="002955E4"/>
    <w:rsid w:val="002D5F97"/>
    <w:rsid w:val="003370B8"/>
    <w:rsid w:val="0038781B"/>
    <w:rsid w:val="003A65AC"/>
    <w:rsid w:val="003C4188"/>
    <w:rsid w:val="003F2BD6"/>
    <w:rsid w:val="00430BAC"/>
    <w:rsid w:val="0043238D"/>
    <w:rsid w:val="0043777A"/>
    <w:rsid w:val="00465739"/>
    <w:rsid w:val="00517AAC"/>
    <w:rsid w:val="00531552"/>
    <w:rsid w:val="005C3CB5"/>
    <w:rsid w:val="005E5F00"/>
    <w:rsid w:val="0064715C"/>
    <w:rsid w:val="00670325"/>
    <w:rsid w:val="00691AD9"/>
    <w:rsid w:val="006C5DCD"/>
    <w:rsid w:val="006D14F9"/>
    <w:rsid w:val="006F5D4B"/>
    <w:rsid w:val="00745A96"/>
    <w:rsid w:val="00793605"/>
    <w:rsid w:val="007C3DD7"/>
    <w:rsid w:val="007E2B2E"/>
    <w:rsid w:val="007E3A93"/>
    <w:rsid w:val="007E491B"/>
    <w:rsid w:val="007F7E47"/>
    <w:rsid w:val="00822AB2"/>
    <w:rsid w:val="00827934"/>
    <w:rsid w:val="00867CA8"/>
    <w:rsid w:val="00882DF4"/>
    <w:rsid w:val="008B3479"/>
    <w:rsid w:val="008C4309"/>
    <w:rsid w:val="008D0FE6"/>
    <w:rsid w:val="008F1BEF"/>
    <w:rsid w:val="00950970"/>
    <w:rsid w:val="009C0BCF"/>
    <w:rsid w:val="00A0287A"/>
    <w:rsid w:val="00A261D7"/>
    <w:rsid w:val="00A74AC4"/>
    <w:rsid w:val="00AC5A1C"/>
    <w:rsid w:val="00AD67DD"/>
    <w:rsid w:val="00B74881"/>
    <w:rsid w:val="00B95663"/>
    <w:rsid w:val="00BD1128"/>
    <w:rsid w:val="00C04AA5"/>
    <w:rsid w:val="00C77E1A"/>
    <w:rsid w:val="00CE73CA"/>
    <w:rsid w:val="00D309B5"/>
    <w:rsid w:val="00D47FBF"/>
    <w:rsid w:val="00D82A89"/>
    <w:rsid w:val="00D92970"/>
    <w:rsid w:val="00D948DA"/>
    <w:rsid w:val="00DB6413"/>
    <w:rsid w:val="00DE132D"/>
    <w:rsid w:val="00EB6BAF"/>
    <w:rsid w:val="00ED0AB0"/>
    <w:rsid w:val="00ED7C99"/>
    <w:rsid w:val="00F0541A"/>
    <w:rsid w:val="00F112EE"/>
    <w:rsid w:val="00F16A26"/>
    <w:rsid w:val="00F37550"/>
    <w:rsid w:val="00F41020"/>
    <w:rsid w:val="00F65A2F"/>
    <w:rsid w:val="00FA2EB7"/>
    <w:rsid w:val="00FB2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610369-1709-44DB-BB75-49CD6F31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5E4"/>
    <w:rPr>
      <w:kern w:val="0"/>
      <w:lang w:val="en-US"/>
    </w:rPr>
  </w:style>
  <w:style w:type="paragraph" w:styleId="Heading1">
    <w:name w:val="heading 1"/>
    <w:basedOn w:val="Normal"/>
    <w:next w:val="Normal"/>
    <w:link w:val="Heading1Char"/>
    <w:uiPriority w:val="9"/>
    <w:qFormat/>
    <w:rsid w:val="008D0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E6"/>
    <w:rPr>
      <w:rFonts w:eastAsiaTheme="majorEastAsia" w:cstheme="majorBidi"/>
      <w:color w:val="272727" w:themeColor="text1" w:themeTint="D8"/>
    </w:rPr>
  </w:style>
  <w:style w:type="paragraph" w:styleId="Title">
    <w:name w:val="Title"/>
    <w:basedOn w:val="Normal"/>
    <w:next w:val="Normal"/>
    <w:link w:val="TitleChar"/>
    <w:uiPriority w:val="10"/>
    <w:qFormat/>
    <w:rsid w:val="008D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E6"/>
    <w:pPr>
      <w:spacing w:before="160"/>
      <w:jc w:val="center"/>
    </w:pPr>
    <w:rPr>
      <w:i/>
      <w:iCs/>
      <w:color w:val="404040" w:themeColor="text1" w:themeTint="BF"/>
    </w:rPr>
  </w:style>
  <w:style w:type="character" w:customStyle="1" w:styleId="QuoteChar">
    <w:name w:val="Quote Char"/>
    <w:basedOn w:val="DefaultParagraphFont"/>
    <w:link w:val="Quote"/>
    <w:uiPriority w:val="29"/>
    <w:rsid w:val="008D0FE6"/>
    <w:rPr>
      <w:i/>
      <w:iCs/>
      <w:color w:val="404040" w:themeColor="text1" w:themeTint="BF"/>
    </w:rPr>
  </w:style>
  <w:style w:type="paragraph" w:styleId="ListParagraph">
    <w:name w:val="List Paragraph"/>
    <w:basedOn w:val="Normal"/>
    <w:uiPriority w:val="34"/>
    <w:qFormat/>
    <w:rsid w:val="008D0FE6"/>
    <w:pPr>
      <w:ind w:left="720"/>
      <w:contextualSpacing/>
    </w:pPr>
  </w:style>
  <w:style w:type="character" w:styleId="IntenseEmphasis">
    <w:name w:val="Intense Emphasis"/>
    <w:basedOn w:val="DefaultParagraphFont"/>
    <w:uiPriority w:val="21"/>
    <w:qFormat/>
    <w:rsid w:val="008D0FE6"/>
    <w:rPr>
      <w:i/>
      <w:iCs/>
      <w:color w:val="2F5496" w:themeColor="accent1" w:themeShade="BF"/>
    </w:rPr>
  </w:style>
  <w:style w:type="paragraph" w:styleId="IntenseQuote">
    <w:name w:val="Intense Quote"/>
    <w:basedOn w:val="Normal"/>
    <w:next w:val="Normal"/>
    <w:link w:val="IntenseQuoteChar"/>
    <w:uiPriority w:val="30"/>
    <w:qFormat/>
    <w:rsid w:val="008D0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FE6"/>
    <w:rPr>
      <w:i/>
      <w:iCs/>
      <w:color w:val="2F5496" w:themeColor="accent1" w:themeShade="BF"/>
    </w:rPr>
  </w:style>
  <w:style w:type="character" w:styleId="IntenseReference">
    <w:name w:val="Intense Reference"/>
    <w:basedOn w:val="DefaultParagraphFont"/>
    <w:uiPriority w:val="32"/>
    <w:qFormat/>
    <w:rsid w:val="008D0FE6"/>
    <w:rPr>
      <w:b/>
      <w:bCs/>
      <w:smallCaps/>
      <w:color w:val="2F5496" w:themeColor="accent1" w:themeShade="BF"/>
      <w:spacing w:val="5"/>
    </w:rPr>
  </w:style>
  <w:style w:type="paragraph" w:customStyle="1" w:styleId="TableParagraph">
    <w:name w:val="Table Paragraph"/>
    <w:basedOn w:val="Normal"/>
    <w:uiPriority w:val="1"/>
    <w:qFormat/>
    <w:rsid w:val="002955E4"/>
    <w:pPr>
      <w:widowControl w:val="0"/>
      <w:autoSpaceDE w:val="0"/>
      <w:autoSpaceDN w:val="0"/>
      <w:spacing w:after="0" w:line="240" w:lineRule="auto"/>
    </w:pPr>
    <w:rPr>
      <w:rFonts w:ascii="Microsoft Sans Serif" w:eastAsia="Microsoft Sans Serif" w:hAnsi="Microsoft Sans Serif" w:cs="Microsoft Sans Serif"/>
    </w:rPr>
  </w:style>
  <w:style w:type="table" w:styleId="TableGrid">
    <w:name w:val="Table Grid"/>
    <w:basedOn w:val="TableNormal"/>
    <w:uiPriority w:val="39"/>
    <w:qFormat/>
    <w:rsid w:val="002955E4"/>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5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2D5F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Root forking (%) </c:v>
                </c:pt>
              </c:strCache>
            </c:strRef>
          </c:tx>
          <c:spPr>
            <a:solidFill>
              <a:schemeClr val="accent1"/>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9.5</c:v>
                </c:pt>
                <c:pt idx="1">
                  <c:v>4.2300000000000004</c:v>
                </c:pt>
                <c:pt idx="2">
                  <c:v>4.57</c:v>
                </c:pt>
                <c:pt idx="3">
                  <c:v>3.8099999999999992</c:v>
                </c:pt>
                <c:pt idx="4">
                  <c:v>7.88</c:v>
                </c:pt>
                <c:pt idx="5">
                  <c:v>6.53</c:v>
                </c:pt>
                <c:pt idx="6">
                  <c:v>4.1199999999999983</c:v>
                </c:pt>
              </c:numCache>
            </c:numRef>
          </c:val>
          <c:extLst>
            <c:ext xmlns:c16="http://schemas.microsoft.com/office/drawing/2014/chart" uri="{C3380CC4-5D6E-409C-BE32-E72D297353CC}">
              <c16:uniqueId val="{00000000-92A2-4571-893F-98DA5C17DBCF}"/>
            </c:ext>
          </c:extLst>
        </c:ser>
        <c:ser>
          <c:idx val="1"/>
          <c:order val="1"/>
          <c:tx>
            <c:strRef>
              <c:f>Sheet1!$D$1</c:f>
              <c:strCache>
                <c:ptCount val="1"/>
                <c:pt idx="0">
                  <c:v>Root cracking (%) </c:v>
                </c:pt>
              </c:strCache>
            </c:strRef>
          </c:tx>
          <c:spPr>
            <a:solidFill>
              <a:schemeClr val="accent2"/>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5.03</c:v>
                </c:pt>
                <c:pt idx="1">
                  <c:v>3.8699999999999997</c:v>
                </c:pt>
                <c:pt idx="2">
                  <c:v>2.3099999999999992</c:v>
                </c:pt>
                <c:pt idx="3">
                  <c:v>1.6300000000000001</c:v>
                </c:pt>
                <c:pt idx="4">
                  <c:v>3.48</c:v>
                </c:pt>
                <c:pt idx="5">
                  <c:v>2.63</c:v>
                </c:pt>
                <c:pt idx="6">
                  <c:v>2.4899999999999998</c:v>
                </c:pt>
              </c:numCache>
            </c:numRef>
          </c:val>
          <c:extLst>
            <c:ext xmlns:c16="http://schemas.microsoft.com/office/drawing/2014/chart" uri="{C3380CC4-5D6E-409C-BE32-E72D297353CC}">
              <c16:uniqueId val="{00000001-92A2-4571-893F-98DA5C17DBCF}"/>
            </c:ext>
          </c:extLst>
        </c:ser>
        <c:ser>
          <c:idx val="2"/>
          <c:order val="2"/>
          <c:tx>
            <c:strRef>
              <c:f>Sheet1!$E$1</c:f>
              <c:strCache>
                <c:ptCount val="1"/>
                <c:pt idx="0">
                  <c:v>Plant height (cm)</c:v>
                </c:pt>
              </c:strCache>
            </c:strRef>
          </c:tx>
          <c:spPr>
            <a:solidFill>
              <a:schemeClr val="accent3"/>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44.57</c:v>
                </c:pt>
                <c:pt idx="1">
                  <c:v>57.720000000000013</c:v>
                </c:pt>
                <c:pt idx="2">
                  <c:v>58.97</c:v>
                </c:pt>
                <c:pt idx="3">
                  <c:v>60.57</c:v>
                </c:pt>
                <c:pt idx="4">
                  <c:v>50.25</c:v>
                </c:pt>
                <c:pt idx="5">
                  <c:v>53.8</c:v>
                </c:pt>
                <c:pt idx="6">
                  <c:v>52.63</c:v>
                </c:pt>
              </c:numCache>
            </c:numRef>
          </c:val>
          <c:extLst>
            <c:ext xmlns:c16="http://schemas.microsoft.com/office/drawing/2014/chart" uri="{C3380CC4-5D6E-409C-BE32-E72D297353CC}">
              <c16:uniqueId val="{00000002-92A2-4571-893F-98DA5C17DBCF}"/>
            </c:ext>
          </c:extLst>
        </c:ser>
        <c:ser>
          <c:idx val="3"/>
          <c:order val="3"/>
          <c:tx>
            <c:strRef>
              <c:f>Sheet1!$F$1</c:f>
              <c:strCache>
                <c:ptCount val="1"/>
                <c:pt idx="0">
                  <c:v>Number of leaves / plant</c:v>
                </c:pt>
              </c:strCache>
            </c:strRef>
          </c:tx>
          <c:spPr>
            <a:solidFill>
              <a:schemeClr val="accent4"/>
            </a:solidFill>
            <a:ln>
              <a:noFill/>
            </a:ln>
            <a:effectLst/>
          </c:spPr>
          <c:invertIfNegative val="0"/>
          <c:cat>
            <c:strRef>
              <c:f>Sheet1!$B$2:$B$8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14.63</c:v>
                </c:pt>
                <c:pt idx="1">
                  <c:v>19.100000000000001</c:v>
                </c:pt>
                <c:pt idx="2">
                  <c:v>20.29</c:v>
                </c:pt>
                <c:pt idx="3">
                  <c:v>21.08</c:v>
                </c:pt>
                <c:pt idx="4">
                  <c:v>15.03</c:v>
                </c:pt>
                <c:pt idx="5">
                  <c:v>19.850000000000001</c:v>
                </c:pt>
                <c:pt idx="6">
                  <c:v>15.4</c:v>
                </c:pt>
              </c:numCache>
            </c:numRef>
          </c:val>
          <c:extLst>
            <c:ext xmlns:c16="http://schemas.microsoft.com/office/drawing/2014/chart" uri="{C3380CC4-5D6E-409C-BE32-E72D297353CC}">
              <c16:uniqueId val="{00000003-92A2-4571-893F-98DA5C17DBCF}"/>
            </c:ext>
          </c:extLst>
        </c:ser>
        <c:dLbls>
          <c:showLegendKey val="0"/>
          <c:showVal val="0"/>
          <c:showCatName val="0"/>
          <c:showSerName val="0"/>
          <c:showPercent val="0"/>
          <c:showBubbleSize val="0"/>
        </c:dLbls>
        <c:gapWidth val="219"/>
        <c:overlap val="-27"/>
        <c:axId val="93319552"/>
        <c:axId val="93321088"/>
      </c:barChart>
      <c:catAx>
        <c:axId val="9331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21088"/>
        <c:crosses val="autoZero"/>
        <c:auto val="1"/>
        <c:lblAlgn val="ctr"/>
        <c:lblOffset val="100"/>
        <c:noMultiLvlLbl val="0"/>
      </c:catAx>
      <c:valAx>
        <c:axId val="9332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1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Sheet2!$G$1</c:f>
              <c:strCache>
                <c:ptCount val="1"/>
                <c:pt idx="0">
                  <c:v>Harvest index (%) </c:v>
                </c:pt>
              </c:strCache>
            </c:strRef>
          </c:tx>
          <c:spPr>
            <a:solidFill>
              <a:schemeClr val="accent1"/>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Sheet2!$G$2:$G$8</c:f>
              <c:numCache>
                <c:formatCode>General</c:formatCode>
                <c:ptCount val="7"/>
                <c:pt idx="0">
                  <c:v>76.53</c:v>
                </c:pt>
                <c:pt idx="1">
                  <c:v>65.36</c:v>
                </c:pt>
                <c:pt idx="2">
                  <c:v>65.92</c:v>
                </c:pt>
                <c:pt idx="3">
                  <c:v>64.36</c:v>
                </c:pt>
                <c:pt idx="4">
                  <c:v>68.86999999999999</c:v>
                </c:pt>
                <c:pt idx="5">
                  <c:v>66.2</c:v>
                </c:pt>
                <c:pt idx="6">
                  <c:v>67.169999999999987</c:v>
                </c:pt>
              </c:numCache>
            </c:numRef>
          </c:val>
          <c:extLst>
            <c:ext xmlns:c16="http://schemas.microsoft.com/office/drawing/2014/chart" uri="{C3380CC4-5D6E-409C-BE32-E72D297353CC}">
              <c16:uniqueId val="{00000000-6CA7-40DE-97A2-E9B387DB0AA5}"/>
            </c:ext>
          </c:extLst>
        </c:ser>
        <c:ser>
          <c:idx val="1"/>
          <c:order val="1"/>
          <c:tx>
            <c:strRef>
              <c:f>Sheet2!$H$1</c:f>
              <c:strCache>
                <c:ptCount val="1"/>
                <c:pt idx="0">
                  <c:v>Root Length (cm) </c:v>
                </c:pt>
              </c:strCache>
            </c:strRef>
          </c:tx>
          <c:spPr>
            <a:solidFill>
              <a:schemeClr val="accent2"/>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Sheet2!$H$2:$H$8</c:f>
              <c:numCache>
                <c:formatCode>General</c:formatCode>
                <c:ptCount val="7"/>
                <c:pt idx="0">
                  <c:v>22.57</c:v>
                </c:pt>
                <c:pt idx="1">
                  <c:v>25.74</c:v>
                </c:pt>
                <c:pt idx="2">
                  <c:v>26.19</c:v>
                </c:pt>
                <c:pt idx="3">
                  <c:v>27.73</c:v>
                </c:pt>
                <c:pt idx="4">
                  <c:v>22.939999999999994</c:v>
                </c:pt>
                <c:pt idx="5">
                  <c:v>23.59</c:v>
                </c:pt>
                <c:pt idx="6">
                  <c:v>23.16</c:v>
                </c:pt>
              </c:numCache>
            </c:numRef>
          </c:val>
          <c:extLst>
            <c:ext xmlns:c16="http://schemas.microsoft.com/office/drawing/2014/chart" uri="{C3380CC4-5D6E-409C-BE32-E72D297353CC}">
              <c16:uniqueId val="{00000001-6CA7-40DE-97A2-E9B387DB0AA5}"/>
            </c:ext>
          </c:extLst>
        </c:ser>
        <c:ser>
          <c:idx val="2"/>
          <c:order val="2"/>
          <c:tx>
            <c:strRef>
              <c:f>Sheet2!$I$1</c:f>
              <c:strCache>
                <c:ptCount val="1"/>
                <c:pt idx="0">
                  <c:v>Root diameter (cm) </c:v>
                </c:pt>
              </c:strCache>
            </c:strRef>
          </c:tx>
          <c:spPr>
            <a:solidFill>
              <a:schemeClr val="accent3"/>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Sheet2!$I$2:$I$8</c:f>
              <c:numCache>
                <c:formatCode>General</c:formatCode>
                <c:ptCount val="7"/>
                <c:pt idx="0">
                  <c:v>3.4899999999999998</c:v>
                </c:pt>
                <c:pt idx="1">
                  <c:v>5.04</c:v>
                </c:pt>
                <c:pt idx="2">
                  <c:v>5.23</c:v>
                </c:pt>
                <c:pt idx="3">
                  <c:v>5.4</c:v>
                </c:pt>
                <c:pt idx="4">
                  <c:v>4.1099999999999985</c:v>
                </c:pt>
                <c:pt idx="5">
                  <c:v>4.3899999999999997</c:v>
                </c:pt>
                <c:pt idx="6">
                  <c:v>4.25</c:v>
                </c:pt>
              </c:numCache>
            </c:numRef>
          </c:val>
          <c:extLst>
            <c:ext xmlns:c16="http://schemas.microsoft.com/office/drawing/2014/chart" uri="{C3380CC4-5D6E-409C-BE32-E72D297353CC}">
              <c16:uniqueId val="{00000002-6CA7-40DE-97A2-E9B387DB0AA5}"/>
            </c:ext>
          </c:extLst>
        </c:ser>
        <c:ser>
          <c:idx val="3"/>
          <c:order val="3"/>
          <c:tx>
            <c:strRef>
              <c:f>Sheet2!$J$1</c:f>
              <c:strCache>
                <c:ptCount val="1"/>
                <c:pt idx="0">
                  <c:v>Root yield hectare-1 (q) </c:v>
                </c:pt>
              </c:strCache>
            </c:strRef>
          </c:tx>
          <c:spPr>
            <a:solidFill>
              <a:schemeClr val="accent4"/>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Sheet2!$J$2:$J$8</c:f>
              <c:numCache>
                <c:formatCode>General</c:formatCode>
                <c:ptCount val="7"/>
                <c:pt idx="0">
                  <c:v>200.42000000000004</c:v>
                </c:pt>
                <c:pt idx="1">
                  <c:v>337.96</c:v>
                </c:pt>
                <c:pt idx="2">
                  <c:v>367.3</c:v>
                </c:pt>
                <c:pt idx="3">
                  <c:v>388.82</c:v>
                </c:pt>
                <c:pt idx="4">
                  <c:v>261.38</c:v>
                </c:pt>
                <c:pt idx="5">
                  <c:v>331.37</c:v>
                </c:pt>
                <c:pt idx="6">
                  <c:v>312.92999999999989</c:v>
                </c:pt>
              </c:numCache>
            </c:numRef>
          </c:val>
          <c:extLst>
            <c:ext xmlns:c16="http://schemas.microsoft.com/office/drawing/2014/chart" uri="{C3380CC4-5D6E-409C-BE32-E72D297353CC}">
              <c16:uniqueId val="{00000003-6CA7-40DE-97A2-E9B387DB0AA5}"/>
            </c:ext>
          </c:extLst>
        </c:ser>
        <c:ser>
          <c:idx val="4"/>
          <c:order val="4"/>
          <c:tx>
            <c:strRef>
              <c:f>Sheet2!$K$1</c:f>
              <c:strCache>
                <c:ptCount val="1"/>
                <c:pt idx="0">
                  <c:v>Total Soluble Solids (oBrix) </c:v>
                </c:pt>
              </c:strCache>
            </c:strRef>
          </c:tx>
          <c:spPr>
            <a:solidFill>
              <a:schemeClr val="accent5"/>
            </a:solidFill>
            <a:ln>
              <a:noFill/>
            </a:ln>
            <a:effectLst/>
          </c:spPr>
          <c:invertIfNegative val="0"/>
          <c:cat>
            <c:strRef>
              <c:f>Sheet2!$F$2:$F$8</c:f>
              <c:strCache>
                <c:ptCount val="7"/>
                <c:pt idx="0">
                  <c:v>T1</c:v>
                </c:pt>
                <c:pt idx="1">
                  <c:v>T2</c:v>
                </c:pt>
                <c:pt idx="2">
                  <c:v>T3</c:v>
                </c:pt>
                <c:pt idx="3">
                  <c:v>T4</c:v>
                </c:pt>
                <c:pt idx="4">
                  <c:v>T5</c:v>
                </c:pt>
                <c:pt idx="5">
                  <c:v>T6</c:v>
                </c:pt>
                <c:pt idx="6">
                  <c:v>T7</c:v>
                </c:pt>
              </c:strCache>
            </c:strRef>
          </c:cat>
          <c:val>
            <c:numRef>
              <c:f>Sheet2!$K$2:$K$8</c:f>
              <c:numCache>
                <c:formatCode>General</c:formatCode>
                <c:ptCount val="7"/>
                <c:pt idx="0">
                  <c:v>7.17</c:v>
                </c:pt>
                <c:pt idx="1">
                  <c:v>7.83</c:v>
                </c:pt>
                <c:pt idx="2">
                  <c:v>8</c:v>
                </c:pt>
                <c:pt idx="3">
                  <c:v>8.83</c:v>
                </c:pt>
                <c:pt idx="4">
                  <c:v>9</c:v>
                </c:pt>
                <c:pt idx="5">
                  <c:v>9.67</c:v>
                </c:pt>
                <c:pt idx="6">
                  <c:v>9.1300000000000008</c:v>
                </c:pt>
              </c:numCache>
            </c:numRef>
          </c:val>
          <c:extLst>
            <c:ext xmlns:c16="http://schemas.microsoft.com/office/drawing/2014/chart" uri="{C3380CC4-5D6E-409C-BE32-E72D297353CC}">
              <c16:uniqueId val="{00000004-6CA7-40DE-97A2-E9B387DB0AA5}"/>
            </c:ext>
          </c:extLst>
        </c:ser>
        <c:dLbls>
          <c:showLegendKey val="0"/>
          <c:showVal val="0"/>
          <c:showCatName val="0"/>
          <c:showSerName val="0"/>
          <c:showPercent val="0"/>
          <c:showBubbleSize val="0"/>
        </c:dLbls>
        <c:gapWidth val="219"/>
        <c:overlap val="-27"/>
        <c:axId val="95410048"/>
        <c:axId val="95411584"/>
      </c:barChart>
      <c:catAx>
        <c:axId val="9541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11584"/>
        <c:crosses val="autoZero"/>
        <c:auto val="1"/>
        <c:lblAlgn val="ctr"/>
        <c:lblOffset val="100"/>
        <c:noMultiLvlLbl val="0"/>
      </c:catAx>
      <c:valAx>
        <c:axId val="954115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1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SDI 1137</cp:lastModifiedBy>
  <cp:revision>51</cp:revision>
  <dcterms:created xsi:type="dcterms:W3CDTF">2025-05-10T07:10:00Z</dcterms:created>
  <dcterms:modified xsi:type="dcterms:W3CDTF">2025-08-26T10:50:00Z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92d7640d-23c1-4016-be4b-3b624bf1dbf0</vt:lpwstr>
  </property>
</Properties>
</file>