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24DD" w:rsidRDefault="00A758A6">
      <w:pPr>
        <w:spacing w:line="360" w:lineRule="auto"/>
        <w:jc w:val="center"/>
        <w:rPr>
          <w:rFonts w:ascii="Arial" w:hAnsi="Arial" w:cs="Arial"/>
          <w:b/>
          <w:bCs/>
          <w:sz w:val="28"/>
          <w:szCs w:val="28"/>
        </w:rPr>
      </w:pPr>
      <w:r>
        <w:rPr>
          <w:rFonts w:ascii="Arial" w:hAnsi="Arial" w:cs="Arial"/>
          <w:b/>
          <w:bCs/>
          <w:sz w:val="28"/>
          <w:szCs w:val="28"/>
        </w:rPr>
        <w:t xml:space="preserve">Acute Oral Toxicity Assessment of </w:t>
      </w:r>
      <w:bookmarkStart w:id="0" w:name="_Hlk190980497"/>
      <w:proofErr w:type="spellStart"/>
      <w:r>
        <w:rPr>
          <w:rFonts w:ascii="Arial" w:hAnsi="Arial" w:cs="Arial"/>
          <w:b/>
          <w:bCs/>
          <w:sz w:val="28"/>
          <w:szCs w:val="28"/>
        </w:rPr>
        <w:t>Xlivpro</w:t>
      </w:r>
      <w:proofErr w:type="spellEnd"/>
      <w:r>
        <w:rPr>
          <w:rFonts w:ascii="Arial" w:hAnsi="Arial" w:cs="Arial"/>
          <w:b/>
          <w:bCs/>
          <w:sz w:val="28"/>
          <w:szCs w:val="28"/>
        </w:rPr>
        <w:t xml:space="preserve"> premix </w:t>
      </w:r>
      <w:bookmarkEnd w:id="0"/>
      <w:r>
        <w:rPr>
          <w:rFonts w:ascii="Arial" w:hAnsi="Arial" w:cs="Arial"/>
          <w:b/>
          <w:bCs/>
          <w:sz w:val="28"/>
          <w:szCs w:val="28"/>
        </w:rPr>
        <w:t xml:space="preserve">in Wistar Rats: A Liver protective Herbal Premix </w:t>
      </w:r>
    </w:p>
    <w:p w:rsidR="00DC24DD" w:rsidRDefault="00A758A6">
      <w:pPr>
        <w:jc w:val="both"/>
        <w:rPr>
          <w:rFonts w:ascii="Arial" w:hAnsi="Arial" w:cs="Arial"/>
          <w:b/>
          <w:bCs/>
        </w:rPr>
      </w:pPr>
      <w:r>
        <w:rPr>
          <w:rFonts w:ascii="Arial" w:hAnsi="Arial" w:cs="Arial"/>
          <w:b/>
          <w:bCs/>
        </w:rPr>
        <w:t>ABSTRACT</w:t>
      </w:r>
    </w:p>
    <w:p w:rsidR="00DC24DD" w:rsidRDefault="00A758A6">
      <w:pPr>
        <w:spacing w:line="360" w:lineRule="auto"/>
        <w:jc w:val="both"/>
        <w:rPr>
          <w:rFonts w:ascii="Arial" w:hAnsi="Arial" w:cs="Arial"/>
          <w:sz w:val="20"/>
          <w:szCs w:val="20"/>
          <w:lang w:val="en-IN"/>
        </w:rPr>
      </w:pPr>
      <w:r>
        <w:rPr>
          <w:rFonts w:ascii="Arial" w:hAnsi="Arial" w:cs="Arial"/>
          <w:sz w:val="20"/>
          <w:szCs w:val="20"/>
        </w:rPr>
        <w:t xml:space="preserve">The study was aimed to </w:t>
      </w:r>
      <w:r>
        <w:rPr>
          <w:rFonts w:ascii="Arial" w:hAnsi="Arial" w:cs="Arial"/>
          <w:sz w:val="20"/>
          <w:szCs w:val="20"/>
          <w:lang w:val="en-IN"/>
        </w:rPr>
        <w:t xml:space="preserve">evaluate the acute oral toxicity and safety profile of </w:t>
      </w:r>
      <w:proofErr w:type="spellStart"/>
      <w:r>
        <w:rPr>
          <w:rFonts w:ascii="Arial" w:hAnsi="Arial" w:cs="Arial"/>
          <w:sz w:val="20"/>
          <w:szCs w:val="20"/>
        </w:rPr>
        <w:t>Xlivpro</w:t>
      </w:r>
      <w:proofErr w:type="spellEnd"/>
      <w:r>
        <w:rPr>
          <w:rFonts w:ascii="Arial" w:hAnsi="Arial" w:cs="Arial"/>
          <w:sz w:val="20"/>
          <w:szCs w:val="20"/>
          <w:lang w:val="en-IN"/>
        </w:rPr>
        <w:t xml:space="preserve"> Premix in accordance with OECD-423 guidelines. Experimental study involving the assessment of toxic effects and mortality in adult Wistar rats following oral administration of </w:t>
      </w:r>
      <w:proofErr w:type="spellStart"/>
      <w:r>
        <w:rPr>
          <w:rFonts w:ascii="Arial" w:hAnsi="Arial" w:cs="Arial"/>
          <w:sz w:val="20"/>
          <w:szCs w:val="20"/>
        </w:rPr>
        <w:t>Xlivpro</w:t>
      </w:r>
      <w:proofErr w:type="spellEnd"/>
      <w:r>
        <w:rPr>
          <w:rFonts w:ascii="Arial" w:hAnsi="Arial" w:cs="Arial"/>
          <w:sz w:val="20"/>
          <w:szCs w:val="20"/>
          <w:lang w:val="en-IN"/>
        </w:rPr>
        <w:t xml:space="preserve"> Premix. </w:t>
      </w:r>
      <w:r>
        <w:rPr>
          <w:rFonts w:ascii="Arial" w:hAnsi="Arial" w:cs="Arial"/>
          <w:sz w:val="20"/>
          <w:szCs w:val="20"/>
        </w:rPr>
        <w:t>T</w:t>
      </w:r>
      <w:r>
        <w:rPr>
          <w:rFonts w:ascii="Arial" w:hAnsi="Arial" w:cs="Arial"/>
          <w:sz w:val="20"/>
          <w:szCs w:val="20"/>
          <w:lang w:val="en-IN"/>
        </w:rPr>
        <w:t xml:space="preserve">he study was conducted </w:t>
      </w:r>
      <w:r>
        <w:rPr>
          <w:rFonts w:ascii="Arial" w:hAnsi="Arial" w:cs="Arial"/>
          <w:sz w:val="20"/>
          <w:szCs w:val="20"/>
        </w:rPr>
        <w:t xml:space="preserve">at the Department of Veterinary Pharmacology and Toxicology, Post Graduate Institute of Veterinary and Animal Sciences (PGIVAS), Akola, Maharashtra, India </w:t>
      </w:r>
      <w:r>
        <w:rPr>
          <w:rFonts w:ascii="Arial" w:hAnsi="Arial" w:cs="Arial"/>
          <w:sz w:val="20"/>
          <w:szCs w:val="20"/>
          <w:lang w:val="en-IN"/>
        </w:rPr>
        <w:t xml:space="preserve">over a period of 14 days. Six healthy adult Wistar rats (113–134 grams) were administered </w:t>
      </w:r>
      <w:proofErr w:type="spellStart"/>
      <w:r>
        <w:rPr>
          <w:rFonts w:ascii="Arial" w:hAnsi="Arial" w:cs="Arial"/>
          <w:sz w:val="20"/>
          <w:szCs w:val="20"/>
        </w:rPr>
        <w:t>Xlivpro</w:t>
      </w:r>
      <w:proofErr w:type="spellEnd"/>
      <w:r>
        <w:rPr>
          <w:rFonts w:ascii="Arial" w:hAnsi="Arial" w:cs="Arial"/>
          <w:sz w:val="20"/>
          <w:szCs w:val="20"/>
          <w:lang w:val="en-IN"/>
        </w:rPr>
        <w:t xml:space="preserve"> Premix orally at doses of 300 mg/kg and 2000 mg/kg body weight. Observations for toxic effects and mortality were recorded for 14 days. Blood biochemical parameters including AST, ALT, ALP, and creatinine were measured. At the end of the study, histopathological examinations of vital organs including the heart, liver, kidneys, and lungs were performed. No toxic effects or mortality were observed in </w:t>
      </w:r>
      <w:proofErr w:type="spellStart"/>
      <w:r>
        <w:rPr>
          <w:rFonts w:ascii="Arial" w:hAnsi="Arial" w:cs="Arial"/>
          <w:sz w:val="20"/>
          <w:szCs w:val="20"/>
        </w:rPr>
        <w:t>Xlivpro</w:t>
      </w:r>
      <w:proofErr w:type="spellEnd"/>
      <w:r>
        <w:rPr>
          <w:rFonts w:ascii="Arial" w:hAnsi="Arial" w:cs="Arial"/>
          <w:sz w:val="20"/>
          <w:szCs w:val="20"/>
          <w:lang w:val="en-IN"/>
        </w:rPr>
        <w:t xml:space="preserve">-treated rats during the experimental period. Changes in body weight over the 14-day period remained within normal limits. Biochemical parameters and histopathological evaluations indicated no significant abnormalities. The LD50 of </w:t>
      </w:r>
      <w:proofErr w:type="spellStart"/>
      <w:r>
        <w:rPr>
          <w:rFonts w:ascii="Arial" w:hAnsi="Arial" w:cs="Arial"/>
          <w:sz w:val="20"/>
          <w:szCs w:val="20"/>
        </w:rPr>
        <w:t>Xlivpro</w:t>
      </w:r>
      <w:proofErr w:type="spellEnd"/>
      <w:r>
        <w:rPr>
          <w:rFonts w:ascii="Arial" w:hAnsi="Arial" w:cs="Arial"/>
          <w:sz w:val="20"/>
          <w:szCs w:val="20"/>
          <w:lang w:val="en-IN"/>
        </w:rPr>
        <w:t xml:space="preserve"> Premix exceeded 2000 mg/kg, confirming the safety of formulation.</w:t>
      </w:r>
    </w:p>
    <w:p w:rsidR="00DC24DD" w:rsidRDefault="00A758A6">
      <w:pPr>
        <w:spacing w:line="360" w:lineRule="auto"/>
        <w:jc w:val="both"/>
      </w:pPr>
      <w:r>
        <w:rPr>
          <w:rFonts w:ascii="Arial" w:hAnsi="Arial" w:cs="Arial"/>
          <w:sz w:val="20"/>
          <w:szCs w:val="20"/>
        </w:rPr>
        <w:t xml:space="preserve">Keywords: acute; OECD-423; poultry; Wistar </w:t>
      </w:r>
      <w:proofErr w:type="gramStart"/>
      <w:r>
        <w:rPr>
          <w:rFonts w:ascii="Arial" w:hAnsi="Arial" w:cs="Arial"/>
          <w:sz w:val="20"/>
          <w:szCs w:val="20"/>
        </w:rPr>
        <w:t xml:space="preserve">rat;  </w:t>
      </w:r>
      <w:proofErr w:type="spellStart"/>
      <w:r>
        <w:rPr>
          <w:rFonts w:ascii="Arial" w:hAnsi="Arial" w:cs="Arial"/>
          <w:sz w:val="20"/>
          <w:szCs w:val="20"/>
        </w:rPr>
        <w:t>Xlivpro</w:t>
      </w:r>
      <w:proofErr w:type="spellEnd"/>
      <w:proofErr w:type="gramEnd"/>
      <w:r>
        <w:rPr>
          <w:rFonts w:ascii="Arial" w:hAnsi="Arial" w:cs="Arial"/>
          <w:sz w:val="20"/>
          <w:szCs w:val="20"/>
        </w:rPr>
        <w:t xml:space="preserve"> Premix</w:t>
      </w:r>
    </w:p>
    <w:p w:rsidR="00DC24DD" w:rsidRDefault="00DC24DD">
      <w:pPr>
        <w:jc w:val="both"/>
        <w:rPr>
          <w:rFonts w:ascii="Arial" w:hAnsi="Arial" w:cs="Arial"/>
          <w:sz w:val="24"/>
          <w:szCs w:val="24"/>
        </w:rPr>
      </w:pPr>
    </w:p>
    <w:p w:rsidR="00DC24DD" w:rsidRDefault="00A758A6">
      <w:pPr>
        <w:pStyle w:val="ListParagraph"/>
        <w:numPr>
          <w:ilvl w:val="0"/>
          <w:numId w:val="1"/>
        </w:numPr>
        <w:ind w:left="360"/>
        <w:jc w:val="both"/>
        <w:rPr>
          <w:rFonts w:ascii="Arial" w:hAnsi="Arial" w:cs="Arial"/>
          <w:b/>
          <w:bCs/>
        </w:rPr>
      </w:pPr>
      <w:r>
        <w:rPr>
          <w:rFonts w:ascii="Arial" w:hAnsi="Arial" w:cs="Arial"/>
          <w:b/>
          <w:bCs/>
        </w:rPr>
        <w:t>INTRODUCTION:</w:t>
      </w:r>
    </w:p>
    <w:p w:rsidR="00DC24DD" w:rsidRDefault="00DC24DD">
      <w:pPr>
        <w:pStyle w:val="ListParagraph"/>
        <w:ind w:left="360"/>
        <w:jc w:val="both"/>
        <w:rPr>
          <w:rFonts w:ascii="Arial" w:hAnsi="Arial" w:cs="Arial"/>
          <w:b/>
          <w:bCs/>
        </w:rPr>
      </w:pPr>
    </w:p>
    <w:p w:rsidR="00DC24DD" w:rsidRDefault="00A758A6">
      <w:pPr>
        <w:spacing w:line="360" w:lineRule="auto"/>
        <w:jc w:val="both"/>
        <w:rPr>
          <w:rFonts w:ascii="Arial" w:hAnsi="Arial" w:cs="Arial"/>
          <w:sz w:val="20"/>
          <w:szCs w:val="20"/>
        </w:rPr>
      </w:pPr>
      <w:r>
        <w:rPr>
          <w:rFonts w:ascii="Arial" w:hAnsi="Arial" w:cs="Arial"/>
          <w:sz w:val="20"/>
          <w:szCs w:val="20"/>
        </w:rPr>
        <w:t>Poultry industry holds significant economic importance by generating employment, providing livelihood to small scale farmers, by generating regular income from the sale of eggs and meat, enhancing food security with high-quality protein etc. The total poultry population in India is about 851.81 million according to 20</w:t>
      </w:r>
      <w:r>
        <w:rPr>
          <w:rFonts w:ascii="Arial" w:hAnsi="Arial" w:cs="Arial"/>
          <w:sz w:val="20"/>
          <w:szCs w:val="20"/>
          <w:vertAlign w:val="superscript"/>
        </w:rPr>
        <w:t>th</w:t>
      </w:r>
      <w:r>
        <w:rPr>
          <w:rFonts w:ascii="Arial" w:hAnsi="Arial" w:cs="Arial"/>
          <w:sz w:val="20"/>
          <w:szCs w:val="20"/>
        </w:rPr>
        <w:t xml:space="preserve"> livestock census making it world's fifth-largest producer of chicken and third-largest producer of eggs (BAHS 2023, DAHD-Govt. of India). The health and productivity of poultry rely on optimal feed utilization, increased body weight, absence of disease, and low mortality rates (Singh et al., 2009). Aquaculture, on the other hand, is another rapidly growing and vital sector in the food production industry, with an average annual fish production growth rate of 7.98% recorded during 2022-2023. Currently, India ranks third among the top five fish exporting countries in the world (Handbook on Fisheries statistics 2023).</w:t>
      </w:r>
    </w:p>
    <w:p w:rsidR="00DC24DD" w:rsidRDefault="00A758A6">
      <w:pPr>
        <w:spacing w:line="360" w:lineRule="auto"/>
        <w:jc w:val="both"/>
        <w:rPr>
          <w:rFonts w:ascii="Arial" w:hAnsi="Arial" w:cs="Arial"/>
          <w:sz w:val="20"/>
          <w:szCs w:val="20"/>
        </w:rPr>
      </w:pPr>
      <w:r>
        <w:rPr>
          <w:rFonts w:ascii="Arial" w:hAnsi="Arial" w:cs="Arial"/>
          <w:sz w:val="20"/>
          <w:szCs w:val="20"/>
        </w:rPr>
        <w:t xml:space="preserve">Over the years, the use of antibiotics at sub-therapeutic levels to promote growth and immunity in poultry and aquaculture has become increasingly limited. Since several countries imposes ban on the utilization of antibiotics solely for growth promotion. This move aimed to combat antimicrobial resistance (AMR) and ensure the safety of food products and public health. As an alternative, the use of </w:t>
      </w:r>
      <w:proofErr w:type="spellStart"/>
      <w:r>
        <w:rPr>
          <w:rFonts w:ascii="Arial" w:hAnsi="Arial" w:cs="Arial"/>
          <w:sz w:val="20"/>
          <w:szCs w:val="20"/>
        </w:rPr>
        <w:t>phytobiotics</w:t>
      </w:r>
      <w:proofErr w:type="spellEnd"/>
      <w:r>
        <w:rPr>
          <w:rFonts w:ascii="Arial" w:hAnsi="Arial" w:cs="Arial"/>
          <w:sz w:val="20"/>
          <w:szCs w:val="20"/>
        </w:rPr>
        <w:t xml:space="preserve"> in poultry as well as in aquaculture is emerging as a novel approach. </w:t>
      </w:r>
      <w:proofErr w:type="spellStart"/>
      <w:r>
        <w:rPr>
          <w:rFonts w:ascii="Arial" w:hAnsi="Arial" w:cs="Arial"/>
          <w:sz w:val="20"/>
          <w:szCs w:val="20"/>
        </w:rPr>
        <w:t>Phytobiotics</w:t>
      </w:r>
      <w:proofErr w:type="spellEnd"/>
      <w:r>
        <w:rPr>
          <w:rFonts w:ascii="Arial" w:hAnsi="Arial" w:cs="Arial"/>
          <w:sz w:val="20"/>
          <w:szCs w:val="20"/>
        </w:rPr>
        <w:t xml:space="preserve">, which are plant derivatives such as herbs or plant extracts, or spices, offer a wide range of benefits, including stimulating feed intake, growth, serve as immunomodulators, resulting in reduced mortality (Abbas et al., 2010; </w:t>
      </w:r>
      <w:proofErr w:type="spellStart"/>
      <w:r>
        <w:rPr>
          <w:rFonts w:ascii="Arial" w:hAnsi="Arial" w:cs="Arial"/>
          <w:sz w:val="20"/>
          <w:szCs w:val="20"/>
        </w:rPr>
        <w:t>Grashorn</w:t>
      </w:r>
      <w:proofErr w:type="spellEnd"/>
      <w:r>
        <w:rPr>
          <w:rFonts w:ascii="Arial" w:hAnsi="Arial" w:cs="Arial"/>
          <w:sz w:val="20"/>
          <w:szCs w:val="20"/>
        </w:rPr>
        <w:t>, 2010).</w:t>
      </w:r>
    </w:p>
    <w:p w:rsidR="00DC24DD" w:rsidRDefault="00A758A6">
      <w:pPr>
        <w:spacing w:line="360" w:lineRule="auto"/>
        <w:jc w:val="both"/>
        <w:rPr>
          <w:rFonts w:ascii="Arial" w:hAnsi="Arial" w:cs="Arial"/>
          <w:color w:val="000000" w:themeColor="text1"/>
          <w:sz w:val="20"/>
          <w:szCs w:val="20"/>
        </w:rPr>
      </w:pPr>
      <w:r>
        <w:rPr>
          <w:rFonts w:ascii="Arial" w:hAnsi="Arial" w:cs="Arial"/>
          <w:sz w:val="20"/>
          <w:szCs w:val="20"/>
        </w:rPr>
        <w:t xml:space="preserve">There is increasing scientific evidence supporting the use of plants and their extracts, for medicinal purpose in various animal species. In the poultry, specialized feed ingredients are added to boost </w:t>
      </w:r>
      <w:r>
        <w:rPr>
          <w:rFonts w:ascii="Arial" w:hAnsi="Arial" w:cs="Arial"/>
          <w:sz w:val="20"/>
          <w:szCs w:val="20"/>
        </w:rPr>
        <w:lastRenderedPageBreak/>
        <w:t>growth performance and improve feed conversion ratios (FCR) (</w:t>
      </w:r>
      <w:proofErr w:type="spellStart"/>
      <w:r>
        <w:rPr>
          <w:rFonts w:ascii="Arial" w:hAnsi="Arial" w:cs="Arial"/>
          <w:sz w:val="20"/>
          <w:szCs w:val="20"/>
        </w:rPr>
        <w:t>Babazadeh</w:t>
      </w:r>
      <w:proofErr w:type="spellEnd"/>
      <w:r>
        <w:rPr>
          <w:rFonts w:ascii="Arial" w:hAnsi="Arial" w:cs="Arial"/>
          <w:sz w:val="20"/>
          <w:szCs w:val="20"/>
        </w:rPr>
        <w:t xml:space="preserve"> et al., 2011; Mirza et al., 2016). </w:t>
      </w:r>
      <w:r>
        <w:rPr>
          <w:rFonts w:ascii="Arial" w:hAnsi="Arial" w:cs="Arial"/>
          <w:color w:val="000000" w:themeColor="text1"/>
          <w:sz w:val="20"/>
          <w:szCs w:val="20"/>
        </w:rPr>
        <w:t>In broilers, high-energy diets, coccidiostats, and chemotherapeutic agents, place additional stress on the liver, potentially impairing its growth and function. With the phasing out of antibiotics, herbal liver tonics are being explored as natural alternatives to stimulate liver function, protection from toxins, support regeneration, and enhancing growth and production performance (</w:t>
      </w:r>
      <w:proofErr w:type="spellStart"/>
      <w:r>
        <w:rPr>
          <w:rFonts w:ascii="Arial" w:hAnsi="Arial" w:cs="Arial"/>
          <w:color w:val="000000" w:themeColor="text1"/>
          <w:sz w:val="20"/>
          <w:szCs w:val="20"/>
        </w:rPr>
        <w:t>Hajare</w:t>
      </w:r>
      <w:proofErr w:type="spellEnd"/>
      <w:r>
        <w:rPr>
          <w:rFonts w:ascii="Arial" w:hAnsi="Arial" w:cs="Arial"/>
          <w:color w:val="000000" w:themeColor="text1"/>
          <w:sz w:val="20"/>
          <w:szCs w:val="20"/>
        </w:rPr>
        <w:t xml:space="preserve"> et al., 2020).</w:t>
      </w:r>
      <w:r>
        <w:rPr>
          <w:rFonts w:ascii="Arial" w:hAnsi="Arial" w:cs="Arial"/>
          <w:sz w:val="20"/>
          <w:szCs w:val="20"/>
        </w:rPr>
        <w:t xml:space="preserve"> </w:t>
      </w:r>
      <w:r>
        <w:rPr>
          <w:rFonts w:ascii="Arial" w:hAnsi="Arial" w:cs="Arial"/>
          <w:color w:val="000000" w:themeColor="text1"/>
          <w:sz w:val="20"/>
          <w:szCs w:val="20"/>
        </w:rPr>
        <w:t>In layers, incorporation of liver-supportive herbs in the diet help maintain productivity, improve egg quality, and promote overall health and longevity. In fish, the liver plays a central role in nutrient metabolism, detoxification, bile production, and immune regulation and inclusion of herbal additives supports health and growth in aquaculture.</w:t>
      </w:r>
    </w:p>
    <w:p w:rsidR="00DC24DD" w:rsidRDefault="00A758A6">
      <w:pPr>
        <w:spacing w:line="360" w:lineRule="auto"/>
        <w:jc w:val="both"/>
        <w:rPr>
          <w:rFonts w:ascii="Arial" w:hAnsi="Arial" w:cs="Arial"/>
          <w:sz w:val="20"/>
          <w:szCs w:val="20"/>
        </w:rPr>
      </w:pPr>
      <w:r>
        <w:rPr>
          <w:rFonts w:ascii="Arial" w:hAnsi="Arial" w:cs="Arial"/>
          <w:i/>
          <w:iCs/>
          <w:sz w:val="20"/>
          <w:szCs w:val="20"/>
        </w:rPr>
        <w:t xml:space="preserve">Andrographis </w:t>
      </w:r>
      <w:proofErr w:type="spellStart"/>
      <w:r>
        <w:rPr>
          <w:rFonts w:ascii="Arial" w:hAnsi="Arial" w:cs="Arial"/>
          <w:i/>
          <w:iCs/>
          <w:sz w:val="20"/>
          <w:szCs w:val="20"/>
        </w:rPr>
        <w:t>paniculata</w:t>
      </w:r>
      <w:proofErr w:type="spellEnd"/>
      <w:r>
        <w:rPr>
          <w:rFonts w:ascii="Arial" w:hAnsi="Arial" w:cs="Arial"/>
          <w:sz w:val="20"/>
          <w:szCs w:val="20"/>
        </w:rPr>
        <w:t xml:space="preserve"> has been found to exhibit liver protective effects by enhancing the activity of antioxidant enzymes such as superoxide dismutase, catalase, glutathione peroxidase, and decreasing lipid peroxidase activity. These actions help mitigate the generation of free radicals that can damage liver cells (Shukla et al.,1992 and Trivedi et al., 2001). </w:t>
      </w:r>
      <w:r>
        <w:rPr>
          <w:rFonts w:ascii="Arial" w:hAnsi="Arial" w:cs="Arial"/>
          <w:color w:val="000000" w:themeColor="text1"/>
          <w:sz w:val="20"/>
          <w:szCs w:val="20"/>
        </w:rPr>
        <w:t>It also shows antibacterial, antioxidant and immunostimulant effects in fish (</w:t>
      </w:r>
      <w:proofErr w:type="spellStart"/>
      <w:r>
        <w:rPr>
          <w:rFonts w:ascii="Arial" w:hAnsi="Arial" w:cs="Arial"/>
          <w:color w:val="000000" w:themeColor="text1"/>
          <w:sz w:val="20"/>
          <w:szCs w:val="20"/>
        </w:rPr>
        <w:t>Rosidah</w:t>
      </w:r>
      <w:proofErr w:type="spellEnd"/>
      <w:r>
        <w:rPr>
          <w:rFonts w:ascii="Arial" w:hAnsi="Arial" w:cs="Arial"/>
          <w:color w:val="000000" w:themeColor="text1"/>
          <w:sz w:val="20"/>
          <w:szCs w:val="20"/>
        </w:rPr>
        <w:t xml:space="preserve"> and Diana, 2021). </w:t>
      </w:r>
      <w:proofErr w:type="spellStart"/>
      <w:r>
        <w:rPr>
          <w:rFonts w:ascii="Arial" w:hAnsi="Arial" w:cs="Arial"/>
          <w:i/>
          <w:iCs/>
          <w:sz w:val="20"/>
          <w:szCs w:val="20"/>
        </w:rPr>
        <w:t>Azadirachta</w:t>
      </w:r>
      <w:proofErr w:type="spellEnd"/>
      <w:r>
        <w:rPr>
          <w:rFonts w:ascii="Arial" w:hAnsi="Arial" w:cs="Arial"/>
          <w:i/>
          <w:iCs/>
          <w:sz w:val="20"/>
          <w:szCs w:val="20"/>
        </w:rPr>
        <w:t xml:space="preserve"> </w:t>
      </w:r>
      <w:proofErr w:type="spellStart"/>
      <w:r>
        <w:rPr>
          <w:rFonts w:ascii="Arial" w:hAnsi="Arial" w:cs="Arial"/>
          <w:i/>
          <w:iCs/>
          <w:sz w:val="20"/>
          <w:szCs w:val="20"/>
        </w:rPr>
        <w:t>indica</w:t>
      </w:r>
      <w:proofErr w:type="spellEnd"/>
      <w:r>
        <w:rPr>
          <w:rFonts w:ascii="Arial" w:hAnsi="Arial" w:cs="Arial"/>
          <w:sz w:val="20"/>
          <w:szCs w:val="20"/>
        </w:rPr>
        <w:t xml:space="preserve"> contain triterpenoids, sterols, </w:t>
      </w:r>
      <w:proofErr w:type="spellStart"/>
      <w:r>
        <w:rPr>
          <w:rFonts w:ascii="Arial" w:hAnsi="Arial" w:cs="Arial"/>
          <w:sz w:val="20"/>
          <w:szCs w:val="20"/>
        </w:rPr>
        <w:t>etc</w:t>
      </w:r>
      <w:proofErr w:type="spellEnd"/>
      <w:r>
        <w:rPr>
          <w:rFonts w:ascii="Arial" w:hAnsi="Arial" w:cs="Arial"/>
          <w:sz w:val="20"/>
          <w:szCs w:val="20"/>
        </w:rPr>
        <w:t xml:space="preserve"> which help to manage infections, making them a viable alternative to antibiotics for promoting the health and productivity of poultry, as well as in aquaculture (Patel et al. 2021). </w:t>
      </w:r>
      <w:proofErr w:type="spellStart"/>
      <w:r>
        <w:rPr>
          <w:rFonts w:ascii="Arial" w:hAnsi="Arial" w:cs="Arial"/>
          <w:i/>
          <w:iCs/>
          <w:sz w:val="20"/>
          <w:szCs w:val="20"/>
        </w:rPr>
        <w:t>Boerhaavia</w:t>
      </w:r>
      <w:proofErr w:type="spellEnd"/>
      <w:r>
        <w:rPr>
          <w:rFonts w:ascii="Arial" w:hAnsi="Arial" w:cs="Arial"/>
          <w:i/>
          <w:iCs/>
          <w:sz w:val="20"/>
          <w:szCs w:val="20"/>
        </w:rPr>
        <w:t xml:space="preserve"> </w:t>
      </w:r>
      <w:proofErr w:type="spellStart"/>
      <w:r>
        <w:rPr>
          <w:rFonts w:ascii="Arial" w:hAnsi="Arial" w:cs="Arial"/>
          <w:i/>
          <w:iCs/>
          <w:sz w:val="20"/>
          <w:szCs w:val="20"/>
        </w:rPr>
        <w:t>diffusa</w:t>
      </w:r>
      <w:proofErr w:type="spellEnd"/>
      <w:r>
        <w:rPr>
          <w:rFonts w:ascii="Arial" w:hAnsi="Arial" w:cs="Arial"/>
          <w:sz w:val="20"/>
          <w:szCs w:val="20"/>
        </w:rPr>
        <w:t xml:space="preserve">, which contains </w:t>
      </w:r>
      <w:proofErr w:type="spellStart"/>
      <w:r>
        <w:rPr>
          <w:rFonts w:ascii="Arial" w:hAnsi="Arial" w:cs="Arial"/>
          <w:sz w:val="20"/>
          <w:szCs w:val="20"/>
        </w:rPr>
        <w:t>Boeravinones</w:t>
      </w:r>
      <w:proofErr w:type="spellEnd"/>
      <w:r>
        <w:rPr>
          <w:rFonts w:ascii="Arial" w:hAnsi="Arial" w:cs="Arial"/>
          <w:sz w:val="20"/>
          <w:szCs w:val="20"/>
        </w:rPr>
        <w:t xml:space="preserve"> G and H, demonstrated significant antioxidant and hepatoprotective properties, enhancing the activity of antioxidant enzymes and reducing oxidative stress. This plant also possesses diuretic properties, helping manage fluid balance, and has shown antibacterial activity (</w:t>
      </w:r>
      <w:proofErr w:type="spellStart"/>
      <w:r>
        <w:rPr>
          <w:rFonts w:ascii="Arial" w:hAnsi="Arial" w:cs="Arial"/>
          <w:sz w:val="20"/>
          <w:szCs w:val="20"/>
        </w:rPr>
        <w:t>Somvanshi</w:t>
      </w:r>
      <w:proofErr w:type="spellEnd"/>
      <w:r>
        <w:rPr>
          <w:rFonts w:ascii="Arial" w:hAnsi="Arial" w:cs="Arial"/>
          <w:sz w:val="20"/>
          <w:szCs w:val="20"/>
        </w:rPr>
        <w:t xml:space="preserve"> et al., 2020). Therefore, </w:t>
      </w:r>
      <w:proofErr w:type="spellStart"/>
      <w:r>
        <w:rPr>
          <w:rFonts w:ascii="Arial" w:hAnsi="Arial" w:cs="Arial"/>
          <w:sz w:val="20"/>
          <w:szCs w:val="20"/>
        </w:rPr>
        <w:t>Xlivpro</w:t>
      </w:r>
      <w:proofErr w:type="spellEnd"/>
      <w:r>
        <w:rPr>
          <w:rFonts w:ascii="Arial" w:hAnsi="Arial" w:cs="Arial"/>
          <w:sz w:val="20"/>
          <w:szCs w:val="20"/>
        </w:rPr>
        <w:t xml:space="preserve"> Premix in poultry and aquaculture is recommended for mitigating the damaging effects of aflatoxins, restoring reduced feed intake, improving liver function, and optimizing feed utilization, growth, and production. Considering the high commercial value of </w:t>
      </w:r>
      <w:proofErr w:type="spellStart"/>
      <w:r>
        <w:rPr>
          <w:rFonts w:ascii="Arial" w:hAnsi="Arial" w:cs="Arial"/>
          <w:sz w:val="20"/>
          <w:szCs w:val="20"/>
        </w:rPr>
        <w:t>Xlivpro</w:t>
      </w:r>
      <w:proofErr w:type="spellEnd"/>
      <w:r>
        <w:rPr>
          <w:rFonts w:ascii="Arial" w:hAnsi="Arial" w:cs="Arial"/>
          <w:sz w:val="20"/>
          <w:szCs w:val="20"/>
        </w:rPr>
        <w:t xml:space="preserve"> Premix the present study aimed at studying its safety by determining the acute oral toxicity potential of </w:t>
      </w:r>
      <w:proofErr w:type="spellStart"/>
      <w:r>
        <w:rPr>
          <w:rFonts w:ascii="Arial" w:hAnsi="Arial" w:cs="Arial"/>
          <w:sz w:val="20"/>
          <w:szCs w:val="20"/>
        </w:rPr>
        <w:t>Xlivpro</w:t>
      </w:r>
      <w:proofErr w:type="spellEnd"/>
      <w:r>
        <w:rPr>
          <w:rFonts w:ascii="Arial" w:hAnsi="Arial" w:cs="Arial"/>
          <w:sz w:val="20"/>
          <w:szCs w:val="20"/>
        </w:rPr>
        <w:t xml:space="preserve"> Premix.</w:t>
      </w:r>
    </w:p>
    <w:p w:rsidR="00DC24DD" w:rsidRDefault="00DC24DD">
      <w:pPr>
        <w:pStyle w:val="ListParagraph"/>
        <w:ind w:left="360"/>
        <w:jc w:val="both"/>
        <w:rPr>
          <w:rFonts w:ascii="Arial" w:hAnsi="Arial" w:cs="Arial"/>
          <w:b/>
          <w:bCs/>
        </w:rPr>
      </w:pPr>
    </w:p>
    <w:p w:rsidR="00DC24DD" w:rsidRDefault="00A758A6">
      <w:pPr>
        <w:spacing w:line="360" w:lineRule="auto"/>
        <w:jc w:val="both"/>
        <w:rPr>
          <w:rFonts w:ascii="Arial" w:hAnsi="Arial" w:cs="Arial"/>
          <w:b/>
          <w:bCs/>
        </w:rPr>
      </w:pPr>
      <w:r>
        <w:rPr>
          <w:rFonts w:ascii="Arial" w:hAnsi="Arial" w:cs="Arial"/>
          <w:b/>
          <w:bCs/>
        </w:rPr>
        <w:t>2. MATERIALS AND METHODS</w:t>
      </w:r>
    </w:p>
    <w:p w:rsidR="00DC24DD" w:rsidRDefault="00A758A6">
      <w:pPr>
        <w:spacing w:line="360" w:lineRule="auto"/>
        <w:jc w:val="both"/>
        <w:rPr>
          <w:rFonts w:ascii="Arial" w:hAnsi="Arial" w:cs="Arial"/>
          <w:sz w:val="20"/>
          <w:szCs w:val="20"/>
        </w:rPr>
      </w:pPr>
      <w:r>
        <w:rPr>
          <w:rFonts w:ascii="Arial" w:hAnsi="Arial" w:cs="Arial"/>
          <w:sz w:val="20"/>
          <w:szCs w:val="20"/>
        </w:rPr>
        <w:t xml:space="preserve">The study was conducted at the Department of Veterinary Pharmacology and </w:t>
      </w:r>
      <w:r>
        <w:rPr>
          <w:rFonts w:ascii="Arial" w:hAnsi="Arial" w:cs="Arial"/>
          <w:color w:val="000000" w:themeColor="text1"/>
          <w:sz w:val="20"/>
          <w:szCs w:val="20"/>
        </w:rPr>
        <w:t>Toxicology, Post Graduate Institute of</w:t>
      </w:r>
      <w:r>
        <w:rPr>
          <w:rFonts w:ascii="Arial" w:hAnsi="Arial" w:cs="Arial"/>
          <w:sz w:val="20"/>
          <w:szCs w:val="20"/>
        </w:rPr>
        <w:t xml:space="preserve"> Veterinary and Animal Sciences (</w:t>
      </w:r>
      <w:r>
        <w:rPr>
          <w:rFonts w:ascii="Arial" w:hAnsi="Arial" w:cs="Arial"/>
          <w:color w:val="000000" w:themeColor="text1"/>
          <w:sz w:val="20"/>
          <w:szCs w:val="20"/>
        </w:rPr>
        <w:t>PGIVAS</w:t>
      </w:r>
      <w:r>
        <w:rPr>
          <w:rFonts w:ascii="Arial" w:hAnsi="Arial" w:cs="Arial"/>
          <w:sz w:val="20"/>
          <w:szCs w:val="20"/>
        </w:rPr>
        <w:t>), Akola, Maharashtra, India. The institute is situated at a latitude of 20.70</w:t>
      </w:r>
      <w:r>
        <w:rPr>
          <w:rFonts w:ascii="Arial" w:hAnsi="Arial" w:cs="Arial"/>
          <w:sz w:val="20"/>
          <w:szCs w:val="20"/>
          <w:vertAlign w:val="superscript"/>
        </w:rPr>
        <w:t xml:space="preserve">0 </w:t>
      </w:r>
      <w:r>
        <w:rPr>
          <w:rFonts w:ascii="Arial" w:hAnsi="Arial" w:cs="Arial"/>
          <w:sz w:val="20"/>
          <w:szCs w:val="20"/>
        </w:rPr>
        <w:t>N and a longitude of 77.070</w:t>
      </w:r>
      <w:r>
        <w:rPr>
          <w:rFonts w:ascii="Arial" w:hAnsi="Arial" w:cs="Arial"/>
          <w:sz w:val="20"/>
          <w:szCs w:val="20"/>
          <w:vertAlign w:val="superscript"/>
        </w:rPr>
        <w:t xml:space="preserve">0 </w:t>
      </w:r>
      <w:r>
        <w:rPr>
          <w:rFonts w:ascii="Arial" w:hAnsi="Arial" w:cs="Arial"/>
          <w:sz w:val="20"/>
          <w:szCs w:val="20"/>
        </w:rPr>
        <w:t xml:space="preserve">E, with an elevation between 287 and 316 meters above sea level, and experiences a tropical climate. Six healthy young adults female Wistar rats, weighing 113 to 134 g, were used in this study. The study was conducted from </w:t>
      </w:r>
      <w:r>
        <w:rPr>
          <w:rFonts w:ascii="Arial" w:hAnsi="Arial" w:cs="Arial"/>
          <w:color w:val="000000" w:themeColor="text1"/>
          <w:sz w:val="20"/>
          <w:szCs w:val="20"/>
        </w:rPr>
        <w:t>13</w:t>
      </w:r>
      <w:r>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April to 26</w:t>
      </w:r>
      <w:r>
        <w:rPr>
          <w:rFonts w:ascii="Arial" w:hAnsi="Arial" w:cs="Arial"/>
          <w:color w:val="000000" w:themeColor="text1"/>
          <w:sz w:val="20"/>
          <w:szCs w:val="20"/>
          <w:vertAlign w:val="superscript"/>
        </w:rPr>
        <w:t xml:space="preserve">th </w:t>
      </w:r>
      <w:r>
        <w:rPr>
          <w:rFonts w:ascii="Arial" w:hAnsi="Arial" w:cs="Arial"/>
          <w:color w:val="000000" w:themeColor="text1"/>
          <w:sz w:val="20"/>
          <w:szCs w:val="20"/>
        </w:rPr>
        <w:t>April 2022.</w:t>
      </w:r>
      <w:r>
        <w:rPr>
          <w:rFonts w:ascii="Arial" w:hAnsi="Arial" w:cs="Arial"/>
          <w:color w:val="FF0000"/>
          <w:sz w:val="20"/>
          <w:szCs w:val="20"/>
        </w:rPr>
        <w:t xml:space="preserve"> </w:t>
      </w:r>
      <w:r>
        <w:rPr>
          <w:rFonts w:ascii="Arial" w:hAnsi="Arial" w:cs="Arial"/>
          <w:sz w:val="20"/>
          <w:szCs w:val="20"/>
        </w:rPr>
        <w:t>The animals were acquired from the Laboratory Animal Resource Section at PGIVAS, Akola. A total of four animals in one cage with corn cob as bedding material were used for ease of monitoring. Picric acid was used for animal identification. During the experiment the ambient temperature of 25±2</w:t>
      </w:r>
      <w:r>
        <w:rPr>
          <w:rFonts w:ascii="Arial" w:hAnsi="Arial" w:cs="Arial"/>
          <w:sz w:val="20"/>
          <w:szCs w:val="20"/>
          <w:vertAlign w:val="superscript"/>
        </w:rPr>
        <w:t>0</w:t>
      </w:r>
      <w:r>
        <w:rPr>
          <w:rFonts w:ascii="Arial" w:hAnsi="Arial" w:cs="Arial"/>
          <w:sz w:val="20"/>
          <w:szCs w:val="20"/>
        </w:rPr>
        <w:t xml:space="preserve">C was maintained and humidity was in the range of 50-70% during the experiment period. The animals were kept under a </w:t>
      </w:r>
      <w:proofErr w:type="gramStart"/>
      <w:r>
        <w:rPr>
          <w:rFonts w:ascii="Arial" w:hAnsi="Arial" w:cs="Arial"/>
          <w:sz w:val="20"/>
          <w:szCs w:val="20"/>
        </w:rPr>
        <w:t>12 hour</w:t>
      </w:r>
      <w:proofErr w:type="gramEnd"/>
      <w:r>
        <w:rPr>
          <w:rFonts w:ascii="Arial" w:hAnsi="Arial" w:cs="Arial"/>
          <w:sz w:val="20"/>
          <w:szCs w:val="20"/>
        </w:rPr>
        <w:t xml:space="preserve"> light-dark cycle and had access to standard pelleted feed and water ad libitum. The animals were housed in polypropylene cages 5 days prior to experimentation as a period of acclimatization (OECD, 2001). </w:t>
      </w:r>
      <w:r>
        <w:rPr>
          <w:rFonts w:ascii="Arial" w:hAnsi="Arial"/>
          <w:sz w:val="20"/>
          <w:szCs w:val="20"/>
        </w:rPr>
        <w:t>Before the experiment began, the study protocol was approved (approval no.312/01/2000/03/22, dated 08.04.2022) by the IAEC (312/GO/</w:t>
      </w:r>
      <w:proofErr w:type="spellStart"/>
      <w:r>
        <w:rPr>
          <w:rFonts w:ascii="Arial" w:hAnsi="Arial"/>
          <w:sz w:val="20"/>
          <w:szCs w:val="20"/>
        </w:rPr>
        <w:t>ReBi</w:t>
      </w:r>
      <w:proofErr w:type="spellEnd"/>
      <w:r>
        <w:rPr>
          <w:rFonts w:ascii="Arial" w:hAnsi="Arial"/>
          <w:sz w:val="20"/>
          <w:szCs w:val="20"/>
        </w:rPr>
        <w:t>/2000/CPCSEA) of PGIVAS, Akola.</w:t>
      </w:r>
    </w:p>
    <w:p w:rsidR="00DC24DD" w:rsidRDefault="00A758A6">
      <w:pPr>
        <w:pStyle w:val="ListParagraph"/>
        <w:shd w:val="clear" w:color="auto" w:fill="FFFFFF"/>
        <w:spacing w:before="136" w:after="136" w:line="360" w:lineRule="auto"/>
        <w:ind w:left="-142"/>
        <w:rPr>
          <w:rFonts w:ascii="Arial" w:hAnsi="Arial" w:cs="Arial"/>
          <w:b/>
          <w:color w:val="000000" w:themeColor="text1"/>
          <w:sz w:val="20"/>
          <w:szCs w:val="20"/>
        </w:rPr>
      </w:pPr>
      <w:bookmarkStart w:id="1" w:name="_GoBack"/>
      <w:r>
        <w:rPr>
          <w:rFonts w:ascii="Arial" w:hAnsi="Arial" w:cs="Arial"/>
          <w:b/>
          <w:color w:val="000000" w:themeColor="text1"/>
          <w:sz w:val="20"/>
          <w:szCs w:val="20"/>
        </w:rPr>
        <w:lastRenderedPageBreak/>
        <w:t>Table</w:t>
      </w:r>
      <w:bookmarkEnd w:id="1"/>
      <w:r>
        <w:rPr>
          <w:rFonts w:ascii="Arial" w:hAnsi="Arial" w:cs="Arial"/>
          <w:b/>
          <w:color w:val="000000" w:themeColor="text1"/>
          <w:sz w:val="20"/>
          <w:szCs w:val="20"/>
        </w:rPr>
        <w:t xml:space="preserve"> 1. Design of acute oral toxicity study </w:t>
      </w:r>
    </w:p>
    <w:tbl>
      <w:tblPr>
        <w:tblW w:w="9576" w:type="dxa"/>
        <w:tblCellMar>
          <w:top w:w="34" w:type="dxa"/>
          <w:right w:w="291" w:type="dxa"/>
        </w:tblCellMar>
        <w:tblLook w:val="04A0" w:firstRow="1" w:lastRow="0" w:firstColumn="1" w:lastColumn="0" w:noHBand="0" w:noVBand="1"/>
      </w:tblPr>
      <w:tblGrid>
        <w:gridCol w:w="1833"/>
        <w:gridCol w:w="2361"/>
        <w:gridCol w:w="2296"/>
        <w:gridCol w:w="3086"/>
      </w:tblGrid>
      <w:tr w:rsidR="00DC24DD">
        <w:trPr>
          <w:trHeight w:val="258"/>
        </w:trPr>
        <w:tc>
          <w:tcPr>
            <w:tcW w:w="1833" w:type="dxa"/>
            <w:tcBorders>
              <w:top w:val="single" w:sz="2" w:space="0" w:color="000000"/>
              <w:left w:val="nil"/>
              <w:bottom w:val="single" w:sz="2" w:space="0" w:color="000000"/>
              <w:right w:val="nil"/>
            </w:tcBorders>
          </w:tcPr>
          <w:p w:rsidR="00DC24DD" w:rsidRDefault="00A758A6">
            <w:pPr>
              <w:spacing w:line="360" w:lineRule="auto"/>
              <w:rPr>
                <w:rFonts w:ascii="Arial" w:hAnsi="Arial" w:cs="Arial"/>
                <w:sz w:val="20"/>
                <w:szCs w:val="20"/>
              </w:rPr>
            </w:pPr>
            <w:r>
              <w:rPr>
                <w:rFonts w:ascii="Arial" w:hAnsi="Arial" w:cs="Arial"/>
                <w:sz w:val="20"/>
                <w:szCs w:val="20"/>
              </w:rPr>
              <w:t xml:space="preserve">  Group No.</w:t>
            </w:r>
          </w:p>
        </w:tc>
        <w:tc>
          <w:tcPr>
            <w:tcW w:w="2361" w:type="dxa"/>
            <w:tcBorders>
              <w:top w:val="single" w:sz="2" w:space="0" w:color="000000"/>
              <w:left w:val="nil"/>
              <w:bottom w:val="single" w:sz="2" w:space="0" w:color="000000"/>
              <w:right w:val="nil"/>
            </w:tcBorders>
          </w:tcPr>
          <w:p w:rsidR="00DC24DD" w:rsidRDefault="00A758A6">
            <w:pPr>
              <w:spacing w:line="360" w:lineRule="auto"/>
              <w:rPr>
                <w:rFonts w:ascii="Arial" w:hAnsi="Arial" w:cs="Arial"/>
                <w:sz w:val="20"/>
                <w:szCs w:val="20"/>
              </w:rPr>
            </w:pPr>
            <w:r>
              <w:rPr>
                <w:rFonts w:ascii="Arial" w:hAnsi="Arial" w:cs="Arial"/>
                <w:sz w:val="20"/>
                <w:szCs w:val="20"/>
              </w:rPr>
              <w:t>Type of Study Used</w:t>
            </w:r>
          </w:p>
        </w:tc>
        <w:tc>
          <w:tcPr>
            <w:tcW w:w="2296" w:type="dxa"/>
            <w:tcBorders>
              <w:top w:val="single" w:sz="2" w:space="0" w:color="000000"/>
              <w:left w:val="nil"/>
              <w:bottom w:val="single" w:sz="2" w:space="0" w:color="000000"/>
              <w:right w:val="nil"/>
            </w:tcBorders>
          </w:tcPr>
          <w:p w:rsidR="00DC24DD" w:rsidRDefault="00A758A6">
            <w:pPr>
              <w:spacing w:line="360" w:lineRule="auto"/>
              <w:rPr>
                <w:rFonts w:ascii="Arial" w:hAnsi="Arial" w:cs="Arial"/>
                <w:sz w:val="20"/>
                <w:szCs w:val="20"/>
              </w:rPr>
            </w:pPr>
            <w:r>
              <w:rPr>
                <w:rFonts w:ascii="Arial" w:hAnsi="Arial" w:cs="Arial"/>
                <w:sz w:val="20"/>
                <w:szCs w:val="20"/>
              </w:rPr>
              <w:t xml:space="preserve">Number of Animals </w:t>
            </w:r>
          </w:p>
        </w:tc>
        <w:tc>
          <w:tcPr>
            <w:tcW w:w="3086" w:type="dxa"/>
            <w:tcBorders>
              <w:top w:val="single" w:sz="2" w:space="0" w:color="000000"/>
              <w:left w:val="nil"/>
              <w:bottom w:val="single" w:sz="2" w:space="0" w:color="000000"/>
              <w:right w:val="nil"/>
            </w:tcBorders>
          </w:tcPr>
          <w:p w:rsidR="00DC24DD" w:rsidRDefault="00A758A6">
            <w:pPr>
              <w:spacing w:line="360" w:lineRule="auto"/>
              <w:rPr>
                <w:rFonts w:ascii="Arial" w:hAnsi="Arial" w:cs="Arial"/>
                <w:sz w:val="20"/>
                <w:szCs w:val="20"/>
              </w:rPr>
            </w:pPr>
            <w:r>
              <w:rPr>
                <w:rFonts w:ascii="Arial" w:hAnsi="Arial" w:cs="Arial"/>
                <w:sz w:val="20"/>
                <w:szCs w:val="20"/>
              </w:rPr>
              <w:t>Dose (mg/kg body weight)</w:t>
            </w:r>
          </w:p>
        </w:tc>
      </w:tr>
      <w:tr w:rsidR="00DC24DD">
        <w:trPr>
          <w:trHeight w:val="755"/>
        </w:trPr>
        <w:tc>
          <w:tcPr>
            <w:tcW w:w="1833" w:type="dxa"/>
            <w:tcBorders>
              <w:top w:val="single" w:sz="2" w:space="0" w:color="000000"/>
              <w:left w:val="nil"/>
              <w:bottom w:val="single" w:sz="2" w:space="0" w:color="000000"/>
              <w:right w:val="nil"/>
            </w:tcBorders>
          </w:tcPr>
          <w:p w:rsidR="00DC24DD" w:rsidRDefault="00A758A6">
            <w:pPr>
              <w:spacing w:line="360" w:lineRule="auto"/>
              <w:ind w:firstLine="720"/>
              <w:rPr>
                <w:rFonts w:ascii="Arial" w:hAnsi="Arial" w:cs="Arial"/>
                <w:sz w:val="20"/>
                <w:szCs w:val="20"/>
              </w:rPr>
            </w:pPr>
            <w:r>
              <w:rPr>
                <w:rFonts w:ascii="Arial" w:hAnsi="Arial" w:cs="Arial"/>
                <w:sz w:val="20"/>
                <w:szCs w:val="20"/>
              </w:rPr>
              <w:t>I</w:t>
            </w:r>
          </w:p>
          <w:p w:rsidR="00DC24DD" w:rsidRDefault="00A758A6">
            <w:pPr>
              <w:spacing w:line="360" w:lineRule="auto"/>
              <w:jc w:val="center"/>
              <w:rPr>
                <w:rFonts w:ascii="Arial" w:hAnsi="Arial" w:cs="Arial"/>
                <w:sz w:val="20"/>
                <w:szCs w:val="20"/>
              </w:rPr>
            </w:pPr>
            <w:r>
              <w:rPr>
                <w:rFonts w:ascii="Arial" w:hAnsi="Arial" w:cs="Arial"/>
                <w:sz w:val="20"/>
                <w:szCs w:val="20"/>
              </w:rPr>
              <w:t>II</w:t>
            </w:r>
          </w:p>
          <w:p w:rsidR="00DC24DD" w:rsidRDefault="00A758A6">
            <w:pPr>
              <w:spacing w:line="360" w:lineRule="auto"/>
              <w:jc w:val="center"/>
              <w:rPr>
                <w:rFonts w:ascii="Arial" w:hAnsi="Arial" w:cs="Arial"/>
                <w:sz w:val="20"/>
                <w:szCs w:val="20"/>
              </w:rPr>
            </w:pPr>
            <w:r>
              <w:rPr>
                <w:rFonts w:ascii="Arial" w:hAnsi="Arial" w:cs="Arial"/>
                <w:sz w:val="20"/>
                <w:szCs w:val="20"/>
              </w:rPr>
              <w:t>III</w:t>
            </w:r>
          </w:p>
        </w:tc>
        <w:tc>
          <w:tcPr>
            <w:tcW w:w="2361" w:type="dxa"/>
            <w:tcBorders>
              <w:top w:val="single" w:sz="2" w:space="0" w:color="000000"/>
              <w:left w:val="nil"/>
              <w:bottom w:val="single" w:sz="2" w:space="0" w:color="000000"/>
              <w:right w:val="nil"/>
            </w:tcBorders>
          </w:tcPr>
          <w:p w:rsidR="00DC24DD" w:rsidRDefault="00A758A6">
            <w:pPr>
              <w:spacing w:line="360" w:lineRule="auto"/>
              <w:rPr>
                <w:rFonts w:ascii="Arial" w:hAnsi="Arial" w:cs="Arial"/>
                <w:sz w:val="20"/>
                <w:szCs w:val="20"/>
              </w:rPr>
            </w:pPr>
            <w:r>
              <w:rPr>
                <w:rFonts w:ascii="Arial" w:hAnsi="Arial" w:cs="Arial"/>
                <w:sz w:val="20"/>
                <w:szCs w:val="20"/>
              </w:rPr>
              <w:t>Step 1: Sighting study</w:t>
            </w:r>
          </w:p>
          <w:p w:rsidR="00DC24DD" w:rsidRDefault="00A758A6">
            <w:pPr>
              <w:spacing w:line="360" w:lineRule="auto"/>
              <w:rPr>
                <w:rFonts w:ascii="Arial" w:hAnsi="Arial" w:cs="Arial"/>
                <w:sz w:val="20"/>
                <w:szCs w:val="20"/>
              </w:rPr>
            </w:pPr>
            <w:r>
              <w:rPr>
                <w:rFonts w:ascii="Arial" w:hAnsi="Arial" w:cs="Arial"/>
                <w:sz w:val="20"/>
                <w:szCs w:val="20"/>
              </w:rPr>
              <w:t>Step 2: Sighting study</w:t>
            </w:r>
          </w:p>
          <w:p w:rsidR="00DC24DD" w:rsidRDefault="00A758A6">
            <w:pPr>
              <w:spacing w:line="360" w:lineRule="auto"/>
              <w:rPr>
                <w:rFonts w:ascii="Arial" w:hAnsi="Arial" w:cs="Arial"/>
                <w:sz w:val="20"/>
                <w:szCs w:val="20"/>
              </w:rPr>
            </w:pPr>
            <w:r>
              <w:rPr>
                <w:rFonts w:ascii="Arial" w:hAnsi="Arial" w:cs="Arial"/>
                <w:sz w:val="20"/>
                <w:szCs w:val="20"/>
              </w:rPr>
              <w:t xml:space="preserve">Main study                  </w:t>
            </w:r>
          </w:p>
        </w:tc>
        <w:tc>
          <w:tcPr>
            <w:tcW w:w="2296" w:type="dxa"/>
            <w:tcBorders>
              <w:top w:val="single" w:sz="2" w:space="0" w:color="000000"/>
              <w:left w:val="nil"/>
              <w:bottom w:val="single" w:sz="2" w:space="0" w:color="000000"/>
              <w:right w:val="nil"/>
            </w:tcBorders>
          </w:tcPr>
          <w:p w:rsidR="00DC24DD" w:rsidRDefault="00A758A6">
            <w:pPr>
              <w:spacing w:line="360" w:lineRule="auto"/>
              <w:ind w:firstLine="720"/>
              <w:rPr>
                <w:rFonts w:ascii="Arial" w:hAnsi="Arial" w:cs="Arial"/>
                <w:sz w:val="20"/>
                <w:szCs w:val="20"/>
              </w:rPr>
            </w:pPr>
            <w:r>
              <w:rPr>
                <w:rFonts w:ascii="Arial" w:hAnsi="Arial" w:cs="Arial"/>
                <w:sz w:val="20"/>
                <w:szCs w:val="20"/>
              </w:rPr>
              <w:t>01</w:t>
            </w:r>
          </w:p>
          <w:p w:rsidR="00DC24DD" w:rsidRDefault="00A758A6">
            <w:pPr>
              <w:spacing w:line="360" w:lineRule="auto"/>
              <w:ind w:firstLine="720"/>
              <w:rPr>
                <w:rFonts w:ascii="Arial" w:hAnsi="Arial" w:cs="Arial"/>
                <w:sz w:val="20"/>
                <w:szCs w:val="20"/>
              </w:rPr>
            </w:pPr>
            <w:r>
              <w:rPr>
                <w:rFonts w:ascii="Arial" w:hAnsi="Arial" w:cs="Arial"/>
                <w:sz w:val="20"/>
                <w:szCs w:val="20"/>
              </w:rPr>
              <w:t>01</w:t>
            </w:r>
          </w:p>
          <w:p w:rsidR="00DC24DD" w:rsidRDefault="00A758A6">
            <w:pPr>
              <w:spacing w:line="360" w:lineRule="auto"/>
              <w:ind w:firstLine="720"/>
              <w:rPr>
                <w:rFonts w:ascii="Arial" w:hAnsi="Arial" w:cs="Arial"/>
                <w:sz w:val="20"/>
                <w:szCs w:val="20"/>
              </w:rPr>
            </w:pPr>
            <w:r>
              <w:rPr>
                <w:rFonts w:ascii="Arial" w:hAnsi="Arial" w:cs="Arial"/>
                <w:sz w:val="20"/>
                <w:szCs w:val="20"/>
              </w:rPr>
              <w:t>04</w:t>
            </w:r>
          </w:p>
        </w:tc>
        <w:tc>
          <w:tcPr>
            <w:tcW w:w="3086" w:type="dxa"/>
            <w:tcBorders>
              <w:top w:val="single" w:sz="2" w:space="0" w:color="000000"/>
              <w:left w:val="nil"/>
              <w:bottom w:val="single" w:sz="2" w:space="0" w:color="000000"/>
              <w:right w:val="nil"/>
            </w:tcBorders>
          </w:tcPr>
          <w:p w:rsidR="00DC24DD" w:rsidRDefault="00A758A6">
            <w:pPr>
              <w:spacing w:line="360" w:lineRule="auto"/>
              <w:ind w:firstLine="720"/>
              <w:rPr>
                <w:rFonts w:ascii="Arial" w:hAnsi="Arial" w:cs="Arial"/>
                <w:sz w:val="20"/>
                <w:szCs w:val="20"/>
              </w:rPr>
            </w:pPr>
            <w:r>
              <w:rPr>
                <w:rFonts w:ascii="Arial" w:hAnsi="Arial" w:cs="Arial"/>
                <w:sz w:val="20"/>
                <w:szCs w:val="20"/>
              </w:rPr>
              <w:t>300</w:t>
            </w:r>
          </w:p>
          <w:p w:rsidR="00DC24DD" w:rsidRDefault="00A758A6">
            <w:pPr>
              <w:spacing w:line="360" w:lineRule="auto"/>
              <w:ind w:firstLine="720"/>
              <w:rPr>
                <w:rFonts w:ascii="Arial" w:hAnsi="Arial" w:cs="Arial"/>
                <w:sz w:val="20"/>
                <w:szCs w:val="20"/>
              </w:rPr>
            </w:pPr>
            <w:r>
              <w:rPr>
                <w:rFonts w:ascii="Arial" w:hAnsi="Arial" w:cs="Arial"/>
                <w:sz w:val="20"/>
                <w:szCs w:val="20"/>
              </w:rPr>
              <w:t>2000</w:t>
            </w:r>
          </w:p>
          <w:p w:rsidR="00DC24DD" w:rsidRDefault="00A758A6">
            <w:pPr>
              <w:spacing w:line="360" w:lineRule="auto"/>
              <w:ind w:firstLine="720"/>
              <w:rPr>
                <w:rFonts w:ascii="Arial" w:hAnsi="Arial" w:cs="Arial"/>
                <w:sz w:val="20"/>
                <w:szCs w:val="20"/>
              </w:rPr>
            </w:pPr>
            <w:r>
              <w:rPr>
                <w:rFonts w:ascii="Arial" w:hAnsi="Arial" w:cs="Arial"/>
                <w:sz w:val="20"/>
                <w:szCs w:val="20"/>
              </w:rPr>
              <w:t>2000</w:t>
            </w:r>
          </w:p>
        </w:tc>
      </w:tr>
    </w:tbl>
    <w:p w:rsidR="00DC24DD" w:rsidRDefault="00DC24DD">
      <w:pPr>
        <w:spacing w:line="360" w:lineRule="auto"/>
        <w:rPr>
          <w:rFonts w:ascii="Arial" w:hAnsi="Arial" w:cs="Arial"/>
          <w:sz w:val="20"/>
          <w:szCs w:val="20"/>
        </w:rPr>
      </w:pPr>
    </w:p>
    <w:p w:rsidR="00DC24DD" w:rsidRDefault="00A758A6">
      <w:pPr>
        <w:spacing w:line="360" w:lineRule="auto"/>
        <w:jc w:val="both"/>
        <w:rPr>
          <w:rFonts w:ascii="Arial" w:hAnsi="Arial" w:cs="Arial"/>
          <w:sz w:val="20"/>
          <w:szCs w:val="20"/>
        </w:rPr>
      </w:pPr>
      <w:r>
        <w:rPr>
          <w:rFonts w:ascii="Arial" w:hAnsi="Arial" w:cs="Arial"/>
          <w:sz w:val="20"/>
          <w:szCs w:val="20"/>
        </w:rPr>
        <w:t xml:space="preserve">The rats were divided into three distinct experimental categories (Table 1) and were deprived of food, but not water, overnight prior to dosing. Post-fasting, the weights of all the rats were recorded. The </w:t>
      </w:r>
      <w:proofErr w:type="spellStart"/>
      <w:r>
        <w:rPr>
          <w:rFonts w:ascii="Arial" w:hAnsi="Arial" w:cs="Arial"/>
          <w:sz w:val="20"/>
          <w:szCs w:val="20"/>
        </w:rPr>
        <w:t>Xlivpro</w:t>
      </w:r>
      <w:proofErr w:type="spellEnd"/>
      <w:r>
        <w:rPr>
          <w:rFonts w:ascii="Arial" w:hAnsi="Arial" w:cs="Arial"/>
          <w:sz w:val="20"/>
          <w:szCs w:val="20"/>
        </w:rPr>
        <w:t xml:space="preserve"> Premix test substance (provided by M/s </w:t>
      </w:r>
      <w:bookmarkStart w:id="2" w:name="_Hlk204953256"/>
      <w:proofErr w:type="spellStart"/>
      <w:r>
        <w:rPr>
          <w:rFonts w:ascii="Arial" w:hAnsi="Arial" w:cs="Arial"/>
          <w:sz w:val="20"/>
          <w:szCs w:val="20"/>
        </w:rPr>
        <w:t>Zenex</w:t>
      </w:r>
      <w:proofErr w:type="spellEnd"/>
      <w:r>
        <w:rPr>
          <w:rFonts w:ascii="Arial" w:hAnsi="Arial" w:cs="Arial"/>
          <w:sz w:val="20"/>
          <w:szCs w:val="20"/>
        </w:rPr>
        <w:t xml:space="preserve"> Animal Health India Private </w:t>
      </w:r>
      <w:bookmarkEnd w:id="2"/>
      <w:r>
        <w:rPr>
          <w:rFonts w:ascii="Arial" w:hAnsi="Arial" w:cs="Arial"/>
          <w:sz w:val="20"/>
          <w:szCs w:val="20"/>
        </w:rPr>
        <w:t>Limited) was dissolved in distilled water and administered to one rat each from Group I and Group II, at doses of 300 mg/kg and 2000 mg/kg of body weight, respectively. Observations were made to note any signs of toxicity. Since no toxic symptoms were observed in the sighting study for Group I and Group II, the main study commenced, in which all four rats in Group III were given the test substance at a dose of 2000 mg/kg of body weight. After dosing, rats in Groups I, II, and III were deprived of food for an additional 1-2 hours.</w:t>
      </w:r>
    </w:p>
    <w:p w:rsidR="00DC24DD" w:rsidRDefault="00A758A6">
      <w:pPr>
        <w:spacing w:line="360" w:lineRule="auto"/>
        <w:jc w:val="both"/>
        <w:rPr>
          <w:rFonts w:ascii="Arial" w:hAnsi="Arial" w:cs="Arial"/>
          <w:sz w:val="20"/>
          <w:szCs w:val="20"/>
        </w:rPr>
      </w:pPr>
      <w:r>
        <w:rPr>
          <w:rFonts w:ascii="Arial" w:hAnsi="Arial" w:cs="Arial"/>
          <w:sz w:val="20"/>
          <w:szCs w:val="20"/>
        </w:rPr>
        <w:t>The animals were monitored for any signs of mortality, convulsions, tremors, labored breathing, piloerection, salivation, lethargy, coma, or any other abnormal behaviors. Any changes in body weight, coat condition, eyes, mucous membranes, and behavior were documented. After a 14-day observation period, the animals were euthanized using high thiopental sodium and vital organs (heart, liver, kidneys, and lungs) were collected and preserved in 10% neutral buffered formalin for histopathological examination. Sections of 4-6 µm were prepared using a rotary microtome and stained with H&amp;E stain for histopathological analysis, as per Luna (1968). A sample of 1-2 ml of blood was drawn from the retro-orbital plexus with a capillary tube and collected in EDTA vials for biochemical estimation of alanine transaminase (ALT), aspartate aminotransferase (AST), alkaline phosphatase (ALP)and creatinine.</w:t>
      </w:r>
    </w:p>
    <w:p w:rsidR="00DC24DD" w:rsidRDefault="00DC24DD">
      <w:pPr>
        <w:spacing w:line="360" w:lineRule="auto"/>
        <w:jc w:val="both"/>
        <w:rPr>
          <w:rFonts w:ascii="Arial" w:hAnsi="Arial" w:cs="Arial"/>
          <w:sz w:val="20"/>
          <w:szCs w:val="20"/>
        </w:rPr>
      </w:pPr>
    </w:p>
    <w:p w:rsidR="00DC24DD" w:rsidRDefault="00A758A6">
      <w:pPr>
        <w:spacing w:line="360" w:lineRule="auto"/>
        <w:jc w:val="both"/>
        <w:rPr>
          <w:rFonts w:ascii="Arial" w:hAnsi="Arial" w:cs="Arial"/>
          <w:b/>
          <w:bCs/>
        </w:rPr>
      </w:pPr>
      <w:r>
        <w:rPr>
          <w:rFonts w:ascii="Arial" w:hAnsi="Arial" w:cs="Arial"/>
          <w:b/>
          <w:bCs/>
        </w:rPr>
        <w:t>3. RESULT AND DISCUSSION</w:t>
      </w:r>
    </w:p>
    <w:p w:rsidR="00DC24DD" w:rsidRDefault="00A758A6">
      <w:pPr>
        <w:spacing w:line="360" w:lineRule="auto"/>
        <w:jc w:val="both"/>
        <w:rPr>
          <w:rFonts w:ascii="Arial" w:hAnsi="Arial" w:cs="Arial"/>
          <w:sz w:val="20"/>
          <w:szCs w:val="20"/>
        </w:rPr>
      </w:pPr>
      <w:r>
        <w:rPr>
          <w:rFonts w:ascii="Arial" w:hAnsi="Arial" w:cs="Arial"/>
          <w:sz w:val="20"/>
          <w:szCs w:val="20"/>
        </w:rPr>
        <w:t xml:space="preserve">The body weights of each rat were recorded individually on days 0, 7, and 14 of the study. During this period, rats in the main test group (Group III) exhibited normal increase in body weights (Table 2). Biochemical analysis indicated that the levels of ALT, AST, ALP, and creatinine remained within their respective normal ranges (Table 3). </w:t>
      </w:r>
      <w:proofErr w:type="spellStart"/>
      <w:r>
        <w:rPr>
          <w:rFonts w:ascii="Arial" w:hAnsi="Arial" w:cs="Arial"/>
          <w:sz w:val="20"/>
          <w:szCs w:val="20"/>
        </w:rPr>
        <w:t>Xlivpro</w:t>
      </w:r>
      <w:proofErr w:type="spellEnd"/>
      <w:r>
        <w:rPr>
          <w:rFonts w:ascii="Arial" w:hAnsi="Arial" w:cs="Arial"/>
          <w:sz w:val="20"/>
          <w:szCs w:val="20"/>
        </w:rPr>
        <w:t xml:space="preserve"> Premix orally at a dosage of 2000 mg/kg did not result in any mortality among the rats (Table 4), establishing the LD</w:t>
      </w:r>
      <w:r>
        <w:rPr>
          <w:rFonts w:ascii="Arial" w:hAnsi="Arial" w:cs="Arial"/>
          <w:sz w:val="20"/>
          <w:szCs w:val="20"/>
          <w:vertAlign w:val="subscript"/>
        </w:rPr>
        <w:t>50</w:t>
      </w:r>
      <w:r>
        <w:rPr>
          <w:rFonts w:ascii="Arial" w:hAnsi="Arial" w:cs="Arial"/>
          <w:sz w:val="20"/>
          <w:szCs w:val="20"/>
        </w:rPr>
        <w:t xml:space="preserve"> of the compound to be greater than 2000 mg/kg of body weight. Furthermore, no abnormal symptoms such as tremors, labored breathing, piloerection, convulsions, salivation, lethargy, or coma were observed over the experimental duration of 14 days. In gross histopathological examination no abnormal finding was observed on any of the visceral organs. Additionally, in microscopical examination there were no significant histological abnormalities detected in the heart, liver, kidney, or lungs that could be attributed to the toxicity of the test substance (Fig. 1).</w:t>
      </w:r>
    </w:p>
    <w:p w:rsidR="00DC24DD" w:rsidRDefault="00A758A6">
      <w:pPr>
        <w:spacing w:line="360" w:lineRule="auto"/>
        <w:jc w:val="both"/>
        <w:rPr>
          <w:rFonts w:ascii="Arial" w:hAnsi="Arial" w:cs="Arial"/>
          <w:sz w:val="20"/>
          <w:szCs w:val="20"/>
        </w:rPr>
      </w:pPr>
      <w:proofErr w:type="spellStart"/>
      <w:r>
        <w:rPr>
          <w:rFonts w:ascii="Arial" w:hAnsi="Arial" w:cs="Arial"/>
          <w:sz w:val="20"/>
          <w:szCs w:val="20"/>
        </w:rPr>
        <w:t>Xlivpro</w:t>
      </w:r>
      <w:proofErr w:type="spellEnd"/>
      <w:r>
        <w:rPr>
          <w:rFonts w:ascii="Arial" w:hAnsi="Arial" w:cs="Arial"/>
          <w:sz w:val="20"/>
          <w:szCs w:val="20"/>
        </w:rPr>
        <w:t xml:space="preserve"> Premix </w:t>
      </w:r>
      <w:proofErr w:type="gramStart"/>
      <w:r>
        <w:rPr>
          <w:rFonts w:ascii="Arial" w:hAnsi="Arial" w:cs="Arial"/>
          <w:sz w:val="20"/>
          <w:szCs w:val="20"/>
        </w:rPr>
        <w:t>contains  herbs</w:t>
      </w:r>
      <w:proofErr w:type="gramEnd"/>
      <w:r>
        <w:rPr>
          <w:rFonts w:ascii="Arial" w:hAnsi="Arial" w:cs="Arial"/>
          <w:sz w:val="20"/>
          <w:szCs w:val="20"/>
        </w:rPr>
        <w:t xml:space="preserve"> such as </w:t>
      </w:r>
      <w:r>
        <w:rPr>
          <w:rFonts w:ascii="Arial" w:hAnsi="Arial" w:cs="Arial"/>
          <w:i/>
          <w:iCs/>
          <w:sz w:val="20"/>
          <w:szCs w:val="20"/>
        </w:rPr>
        <w:t xml:space="preserve">Andrographis </w:t>
      </w:r>
      <w:proofErr w:type="spellStart"/>
      <w:r>
        <w:rPr>
          <w:rFonts w:ascii="Arial" w:hAnsi="Arial" w:cs="Arial"/>
          <w:i/>
          <w:iCs/>
          <w:sz w:val="20"/>
          <w:szCs w:val="20"/>
        </w:rPr>
        <w:t>paniculata</w:t>
      </w:r>
      <w:proofErr w:type="spellEnd"/>
      <w:r>
        <w:rPr>
          <w:rFonts w:ascii="Arial" w:hAnsi="Arial" w:cs="Arial"/>
          <w:sz w:val="20"/>
          <w:szCs w:val="20"/>
        </w:rPr>
        <w:t xml:space="preserve">, </w:t>
      </w:r>
      <w:proofErr w:type="spellStart"/>
      <w:r>
        <w:rPr>
          <w:rFonts w:ascii="Arial" w:hAnsi="Arial" w:cs="Arial"/>
          <w:i/>
          <w:iCs/>
          <w:sz w:val="20"/>
          <w:szCs w:val="20"/>
        </w:rPr>
        <w:t>Azadirachta</w:t>
      </w:r>
      <w:proofErr w:type="spellEnd"/>
      <w:r>
        <w:rPr>
          <w:rFonts w:ascii="Arial" w:hAnsi="Arial" w:cs="Arial"/>
          <w:i/>
          <w:iCs/>
          <w:sz w:val="20"/>
          <w:szCs w:val="20"/>
        </w:rPr>
        <w:t xml:space="preserve"> </w:t>
      </w:r>
      <w:proofErr w:type="spellStart"/>
      <w:r>
        <w:rPr>
          <w:rFonts w:ascii="Arial" w:hAnsi="Arial" w:cs="Arial"/>
          <w:i/>
          <w:iCs/>
          <w:sz w:val="20"/>
          <w:szCs w:val="20"/>
        </w:rPr>
        <w:t>indica</w:t>
      </w:r>
      <w:proofErr w:type="spellEnd"/>
      <w:r>
        <w:rPr>
          <w:rFonts w:ascii="Arial" w:hAnsi="Arial" w:cs="Arial"/>
          <w:sz w:val="20"/>
          <w:szCs w:val="20"/>
        </w:rPr>
        <w:t xml:space="preserve">, and </w:t>
      </w:r>
      <w:proofErr w:type="spellStart"/>
      <w:r>
        <w:rPr>
          <w:rFonts w:ascii="Arial" w:hAnsi="Arial" w:cs="Arial"/>
          <w:i/>
          <w:iCs/>
          <w:sz w:val="20"/>
          <w:szCs w:val="20"/>
        </w:rPr>
        <w:t>Boerhaavia</w:t>
      </w:r>
      <w:proofErr w:type="spellEnd"/>
      <w:r>
        <w:rPr>
          <w:rFonts w:ascii="Arial" w:hAnsi="Arial" w:cs="Arial"/>
          <w:i/>
          <w:iCs/>
          <w:sz w:val="20"/>
          <w:szCs w:val="20"/>
        </w:rPr>
        <w:t xml:space="preserve"> </w:t>
      </w:r>
      <w:proofErr w:type="spellStart"/>
      <w:r>
        <w:rPr>
          <w:rFonts w:ascii="Arial" w:hAnsi="Arial" w:cs="Arial"/>
          <w:i/>
          <w:iCs/>
          <w:sz w:val="20"/>
          <w:szCs w:val="20"/>
        </w:rPr>
        <w:t>diffusa</w:t>
      </w:r>
      <w:proofErr w:type="spellEnd"/>
      <w:r>
        <w:rPr>
          <w:rFonts w:ascii="Arial" w:hAnsi="Arial" w:cs="Arial"/>
          <w:sz w:val="20"/>
          <w:szCs w:val="20"/>
        </w:rPr>
        <w:t xml:space="preserve"> which are the key ingredients </w:t>
      </w:r>
      <w:proofErr w:type="spellStart"/>
      <w:r>
        <w:rPr>
          <w:rFonts w:ascii="Arial" w:hAnsi="Arial" w:cs="Arial"/>
          <w:sz w:val="20"/>
          <w:szCs w:val="20"/>
        </w:rPr>
        <w:t>uesd</w:t>
      </w:r>
      <w:proofErr w:type="spellEnd"/>
      <w:r>
        <w:rPr>
          <w:rFonts w:ascii="Arial" w:hAnsi="Arial" w:cs="Arial"/>
          <w:sz w:val="20"/>
          <w:szCs w:val="20"/>
        </w:rPr>
        <w:t xml:space="preserve"> in number of formulations in ayurvedic and Indian </w:t>
      </w:r>
      <w:r>
        <w:rPr>
          <w:rFonts w:ascii="Arial" w:hAnsi="Arial" w:cs="Arial"/>
          <w:sz w:val="20"/>
          <w:szCs w:val="20"/>
        </w:rPr>
        <w:lastRenderedPageBreak/>
        <w:t>traditional medicine</w:t>
      </w:r>
      <w:r>
        <w:rPr>
          <w:rFonts w:ascii="Arial" w:hAnsi="Arial" w:cs="Arial"/>
          <w:i/>
          <w:iCs/>
          <w:sz w:val="20"/>
          <w:szCs w:val="20"/>
        </w:rPr>
        <w:t>.</w:t>
      </w:r>
      <w:r>
        <w:rPr>
          <w:rFonts w:ascii="Arial" w:hAnsi="Arial" w:cs="Arial"/>
          <w:sz w:val="20"/>
          <w:szCs w:val="20"/>
        </w:rPr>
        <w:t xml:space="preserve"> These herbs known to possess hepatoprotective, immunomodulatory, antibacterial and free radical scavenging activities which are important for relieving stress and improving production (Trivedi et al., 2001; </w:t>
      </w:r>
      <w:proofErr w:type="spellStart"/>
      <w:r>
        <w:rPr>
          <w:rFonts w:ascii="Arial" w:hAnsi="Arial" w:cs="Arial"/>
          <w:sz w:val="20"/>
          <w:szCs w:val="20"/>
        </w:rPr>
        <w:t>Somvanshi</w:t>
      </w:r>
      <w:proofErr w:type="spellEnd"/>
      <w:r>
        <w:rPr>
          <w:rFonts w:ascii="Arial" w:hAnsi="Arial" w:cs="Arial"/>
          <w:sz w:val="20"/>
          <w:szCs w:val="20"/>
        </w:rPr>
        <w:t xml:space="preserve"> et al., 2020). </w:t>
      </w:r>
    </w:p>
    <w:p w:rsidR="00DC24DD" w:rsidRDefault="00A758A6">
      <w:pPr>
        <w:spacing w:line="360" w:lineRule="auto"/>
        <w:jc w:val="both"/>
        <w:rPr>
          <w:rStyle w:val="Emphasis"/>
          <w:rFonts w:ascii="Arial" w:eastAsia="Cambria" w:hAnsi="Arial" w:cs="Arial"/>
          <w:color w:val="1B1B1B"/>
          <w:sz w:val="20"/>
          <w:szCs w:val="20"/>
          <w:shd w:val="clear" w:color="auto" w:fill="FFFFFF"/>
        </w:rPr>
      </w:pPr>
      <w:r>
        <w:rPr>
          <w:rStyle w:val="Emphasis"/>
          <w:rFonts w:ascii="Arial" w:eastAsia="Cambria" w:hAnsi="Arial" w:cs="Arial"/>
          <w:color w:val="1B1B1B"/>
          <w:sz w:val="20"/>
          <w:szCs w:val="20"/>
          <w:shd w:val="clear" w:color="auto" w:fill="FFFFFF"/>
        </w:rPr>
        <w:t xml:space="preserve">A. </w:t>
      </w:r>
      <w:proofErr w:type="spellStart"/>
      <w:r>
        <w:rPr>
          <w:rStyle w:val="Emphasis"/>
          <w:rFonts w:ascii="Arial" w:eastAsia="Cambria" w:hAnsi="Arial" w:cs="Arial"/>
          <w:color w:val="1B1B1B"/>
          <w:sz w:val="20"/>
          <w:szCs w:val="20"/>
          <w:shd w:val="clear" w:color="auto" w:fill="FFFFFF"/>
        </w:rPr>
        <w:t>paniculata</w:t>
      </w:r>
      <w:proofErr w:type="spellEnd"/>
      <w:r>
        <w:rPr>
          <w:rFonts w:ascii="Arial" w:eastAsia="Cambria" w:hAnsi="Arial" w:cs="Arial"/>
          <w:color w:val="1B1B1B"/>
          <w:sz w:val="20"/>
          <w:szCs w:val="20"/>
          <w:shd w:val="clear" w:color="auto" w:fill="FFFFFF"/>
        </w:rPr>
        <w:t xml:space="preserve"> traditionally called as King of Bitters, </w:t>
      </w:r>
      <w:proofErr w:type="spellStart"/>
      <w:r>
        <w:rPr>
          <w:rFonts w:ascii="Arial" w:eastAsia="Cambria" w:hAnsi="Arial" w:cs="Arial"/>
          <w:color w:val="1B1B1B"/>
          <w:sz w:val="20"/>
          <w:szCs w:val="20"/>
          <w:shd w:val="clear" w:color="auto" w:fill="FFFFFF"/>
        </w:rPr>
        <w:t>Kalmegh</w:t>
      </w:r>
      <w:proofErr w:type="spellEnd"/>
      <w:r>
        <w:rPr>
          <w:rFonts w:ascii="Arial" w:eastAsia="Cambria" w:hAnsi="Arial" w:cs="Arial"/>
          <w:color w:val="1B1B1B"/>
          <w:sz w:val="20"/>
          <w:szCs w:val="20"/>
          <w:shd w:val="clear" w:color="auto" w:fill="FFFFFF"/>
        </w:rPr>
        <w:t xml:space="preserve">, is used in the world as ayurvedic and homeopathic medicine, consisting mainly Andrographolide (flavone), polyphenols, terpenoids (diterpene, lactones, </w:t>
      </w:r>
      <w:proofErr w:type="spellStart"/>
      <w:r>
        <w:rPr>
          <w:rFonts w:ascii="Arial" w:eastAsia="Cambria" w:hAnsi="Arial" w:cs="Arial"/>
          <w:color w:val="1B1B1B"/>
          <w:sz w:val="20"/>
          <w:szCs w:val="20"/>
          <w:shd w:val="clear" w:color="auto" w:fill="FFFFFF"/>
        </w:rPr>
        <w:t>ent</w:t>
      </w:r>
      <w:proofErr w:type="spellEnd"/>
      <w:r>
        <w:rPr>
          <w:rFonts w:ascii="Arial" w:eastAsia="Cambria" w:hAnsi="Arial" w:cs="Arial"/>
          <w:color w:val="1B1B1B"/>
          <w:sz w:val="20"/>
          <w:szCs w:val="20"/>
          <w:shd w:val="clear" w:color="auto" w:fill="FFFFFF"/>
        </w:rPr>
        <w:t xml:space="preserve">-labdane), xanthones, </w:t>
      </w:r>
      <w:proofErr w:type="spellStart"/>
      <w:r>
        <w:rPr>
          <w:rFonts w:ascii="Arial" w:eastAsia="Cambria" w:hAnsi="Arial" w:cs="Arial"/>
          <w:color w:val="1B1B1B"/>
          <w:sz w:val="20"/>
          <w:szCs w:val="20"/>
          <w:shd w:val="clear" w:color="auto" w:fill="FFFFFF"/>
        </w:rPr>
        <w:t>nocordioides</w:t>
      </w:r>
      <w:proofErr w:type="spellEnd"/>
      <w:r>
        <w:rPr>
          <w:rFonts w:ascii="Arial" w:eastAsia="Cambria" w:hAnsi="Arial" w:cs="Arial"/>
          <w:color w:val="1B1B1B"/>
          <w:sz w:val="20"/>
          <w:szCs w:val="20"/>
          <w:shd w:val="clear" w:color="auto" w:fill="FFFFFF"/>
        </w:rPr>
        <w:t>. Andrographolides and their derivatives exhibit immunostimulatory, antiviral, anti-bacterial, anti-inflammatory, anti-platelet aggregation, anti-diabetic, anti-</w:t>
      </w:r>
      <w:proofErr w:type="spellStart"/>
      <w:r>
        <w:rPr>
          <w:rFonts w:ascii="Arial" w:eastAsia="Cambria" w:hAnsi="Arial" w:cs="Arial"/>
          <w:color w:val="1B1B1B"/>
          <w:sz w:val="20"/>
          <w:szCs w:val="20"/>
          <w:shd w:val="clear" w:color="auto" w:fill="FFFFFF"/>
        </w:rPr>
        <w:t>tumour</w:t>
      </w:r>
      <w:proofErr w:type="spellEnd"/>
      <w:r>
        <w:rPr>
          <w:rFonts w:ascii="Arial" w:eastAsia="Cambria" w:hAnsi="Arial" w:cs="Arial"/>
          <w:color w:val="1B1B1B"/>
          <w:sz w:val="20"/>
          <w:szCs w:val="20"/>
          <w:shd w:val="clear" w:color="auto" w:fill="FFFFFF"/>
        </w:rPr>
        <w:t>, anti-microbial and hepatoprotective activity. Andrographolide is the major chemical constituent in </w:t>
      </w:r>
      <w:proofErr w:type="gramStart"/>
      <w:r>
        <w:rPr>
          <w:rFonts w:ascii="Arial" w:eastAsia="Cambria" w:hAnsi="Arial" w:cs="Arial"/>
          <w:color w:val="1B1B1B"/>
          <w:sz w:val="20"/>
          <w:szCs w:val="20"/>
          <w:shd w:val="clear" w:color="auto" w:fill="FFFFFF"/>
        </w:rPr>
        <w:t>a</w:t>
      </w:r>
      <w:proofErr w:type="gramEnd"/>
      <w:r>
        <w:rPr>
          <w:rFonts w:ascii="Arial" w:eastAsia="Cambria" w:hAnsi="Arial" w:cs="Arial"/>
          <w:color w:val="1B1B1B"/>
          <w:sz w:val="20"/>
          <w:szCs w:val="20"/>
          <w:shd w:val="clear" w:color="auto" w:fill="FFFFFF"/>
        </w:rPr>
        <w:t xml:space="preserve"> herb which is found mainly in leaves (</w:t>
      </w:r>
      <w:r>
        <w:rPr>
          <w:rFonts w:ascii="Arial" w:hAnsi="Arial" w:cs="Arial"/>
          <w:sz w:val="20"/>
          <w:szCs w:val="20"/>
        </w:rPr>
        <w:t>Swaroop et al., 2021)</w:t>
      </w:r>
      <w:r>
        <w:rPr>
          <w:rFonts w:ascii="Arial" w:eastAsia="Cambria" w:hAnsi="Arial" w:cs="Arial"/>
          <w:color w:val="1B1B1B"/>
          <w:sz w:val="20"/>
          <w:szCs w:val="20"/>
          <w:shd w:val="clear" w:color="auto" w:fill="FFFFFF"/>
        </w:rPr>
        <w:t xml:space="preserve">. </w:t>
      </w:r>
    </w:p>
    <w:p w:rsidR="00DC24DD" w:rsidRDefault="00A758A6">
      <w:pPr>
        <w:spacing w:line="360" w:lineRule="auto"/>
        <w:jc w:val="both"/>
        <w:rPr>
          <w:rFonts w:ascii="Arial" w:hAnsi="Arial" w:cs="Arial"/>
          <w:sz w:val="20"/>
          <w:szCs w:val="20"/>
        </w:rPr>
      </w:pPr>
      <w:r>
        <w:rPr>
          <w:rStyle w:val="Emphasis"/>
          <w:rFonts w:ascii="Arial" w:eastAsia="Cambria" w:hAnsi="Arial" w:cs="Arial"/>
          <w:color w:val="1B1B1B"/>
          <w:sz w:val="20"/>
          <w:szCs w:val="20"/>
          <w:shd w:val="clear" w:color="auto" w:fill="FFFFFF"/>
        </w:rPr>
        <w:t xml:space="preserve">A. </w:t>
      </w:r>
      <w:proofErr w:type="spellStart"/>
      <w:r>
        <w:rPr>
          <w:rStyle w:val="Emphasis"/>
          <w:rFonts w:ascii="Arial" w:eastAsia="Cambria" w:hAnsi="Arial" w:cs="Arial"/>
          <w:color w:val="1B1B1B"/>
          <w:sz w:val="20"/>
          <w:szCs w:val="20"/>
          <w:shd w:val="clear" w:color="auto" w:fill="FFFFFF"/>
        </w:rPr>
        <w:t>indica</w:t>
      </w:r>
      <w:proofErr w:type="spellEnd"/>
      <w:r>
        <w:rPr>
          <w:rFonts w:ascii="Arial" w:eastAsia="Cambria" w:hAnsi="Arial" w:cs="Arial"/>
          <w:color w:val="1B1B1B"/>
          <w:sz w:val="20"/>
          <w:szCs w:val="20"/>
          <w:shd w:val="clear" w:color="auto" w:fill="FFFFFF"/>
        </w:rPr>
        <w:t xml:space="preserve"> commonly known as Neem has many properties of pharmacology due to its various active constituents like </w:t>
      </w:r>
      <w:proofErr w:type="spellStart"/>
      <w:proofErr w:type="gramStart"/>
      <w:r>
        <w:rPr>
          <w:rFonts w:ascii="Arial" w:eastAsia="Cambria" w:hAnsi="Arial" w:cs="Arial"/>
          <w:color w:val="1B1B1B"/>
          <w:sz w:val="20"/>
          <w:szCs w:val="20"/>
          <w:shd w:val="clear" w:color="auto" w:fill="FFFFFF"/>
        </w:rPr>
        <w:t>azadiracthin</w:t>
      </w:r>
      <w:proofErr w:type="spellEnd"/>
      <w:r>
        <w:rPr>
          <w:rFonts w:ascii="Arial" w:eastAsia="Cambria" w:hAnsi="Arial" w:cs="Arial"/>
          <w:color w:val="1B1B1B"/>
          <w:sz w:val="20"/>
          <w:szCs w:val="20"/>
          <w:shd w:val="clear" w:color="auto" w:fill="FFFFFF"/>
        </w:rPr>
        <w:t> ,</w:t>
      </w:r>
      <w:proofErr w:type="gramEnd"/>
      <w:r>
        <w:rPr>
          <w:rFonts w:ascii="Arial" w:eastAsia="Cambria" w:hAnsi="Arial" w:cs="Arial"/>
          <w:color w:val="1B1B1B"/>
          <w:sz w:val="20"/>
          <w:szCs w:val="20"/>
          <w:shd w:val="clear" w:color="auto" w:fill="FFFFFF"/>
        </w:rPr>
        <w:t xml:space="preserve"> </w:t>
      </w:r>
      <w:proofErr w:type="spellStart"/>
      <w:r>
        <w:rPr>
          <w:rFonts w:ascii="Arial" w:eastAsia="Cambria" w:hAnsi="Arial" w:cs="Arial"/>
          <w:color w:val="1B1B1B"/>
          <w:sz w:val="20"/>
          <w:szCs w:val="20"/>
          <w:shd w:val="clear" w:color="auto" w:fill="FFFFFF"/>
        </w:rPr>
        <w:t>nimbidin</w:t>
      </w:r>
      <w:proofErr w:type="spellEnd"/>
      <w:r>
        <w:rPr>
          <w:rFonts w:ascii="Arial" w:eastAsia="Cambria" w:hAnsi="Arial" w:cs="Arial"/>
          <w:color w:val="1B1B1B"/>
          <w:sz w:val="20"/>
          <w:szCs w:val="20"/>
          <w:shd w:val="clear" w:color="auto" w:fill="FFFFFF"/>
        </w:rPr>
        <w:t xml:space="preserve">, </w:t>
      </w:r>
      <w:proofErr w:type="spellStart"/>
      <w:r>
        <w:rPr>
          <w:rFonts w:ascii="Arial" w:eastAsia="Cambria" w:hAnsi="Arial" w:cs="Arial"/>
          <w:color w:val="1B1B1B"/>
          <w:sz w:val="20"/>
          <w:szCs w:val="20"/>
          <w:shd w:val="clear" w:color="auto" w:fill="FFFFFF"/>
        </w:rPr>
        <w:t>nimbolin</w:t>
      </w:r>
      <w:proofErr w:type="spellEnd"/>
      <w:r>
        <w:rPr>
          <w:rFonts w:ascii="Arial" w:eastAsia="Cambria" w:hAnsi="Arial" w:cs="Arial"/>
          <w:color w:val="1B1B1B"/>
          <w:sz w:val="20"/>
          <w:szCs w:val="20"/>
          <w:shd w:val="clear" w:color="auto" w:fill="FFFFFF"/>
        </w:rPr>
        <w:t xml:space="preserve">, </w:t>
      </w:r>
      <w:proofErr w:type="spellStart"/>
      <w:r>
        <w:rPr>
          <w:rFonts w:ascii="Arial" w:eastAsia="Cambria" w:hAnsi="Arial" w:cs="Arial"/>
          <w:color w:val="1B1B1B"/>
          <w:sz w:val="20"/>
          <w:szCs w:val="20"/>
          <w:shd w:val="clear" w:color="auto" w:fill="FFFFFF"/>
        </w:rPr>
        <w:t>nimbin</w:t>
      </w:r>
      <w:proofErr w:type="spellEnd"/>
      <w:r>
        <w:rPr>
          <w:rFonts w:ascii="Arial" w:eastAsia="Cambria" w:hAnsi="Arial" w:cs="Arial"/>
          <w:color w:val="1B1B1B"/>
          <w:sz w:val="20"/>
          <w:szCs w:val="20"/>
          <w:shd w:val="clear" w:color="auto" w:fill="FFFFFF"/>
        </w:rPr>
        <w:t xml:space="preserve">, </w:t>
      </w:r>
      <w:proofErr w:type="spellStart"/>
      <w:r>
        <w:rPr>
          <w:rFonts w:ascii="Arial" w:eastAsia="Cambria" w:hAnsi="Arial" w:cs="Arial"/>
          <w:color w:val="1B1B1B"/>
          <w:sz w:val="20"/>
          <w:szCs w:val="20"/>
          <w:shd w:val="clear" w:color="auto" w:fill="FFFFFF"/>
        </w:rPr>
        <w:t>gedunin</w:t>
      </w:r>
      <w:proofErr w:type="spellEnd"/>
      <w:r>
        <w:rPr>
          <w:rFonts w:ascii="Arial" w:eastAsia="Cambria" w:hAnsi="Arial" w:cs="Arial"/>
          <w:color w:val="1B1B1B"/>
          <w:sz w:val="20"/>
          <w:szCs w:val="20"/>
          <w:shd w:val="clear" w:color="auto" w:fill="FFFFFF"/>
        </w:rPr>
        <w:t xml:space="preserve">, quercetin etc. </w:t>
      </w:r>
      <w:proofErr w:type="spellStart"/>
      <w:r>
        <w:rPr>
          <w:rStyle w:val="Emphasis"/>
          <w:rFonts w:ascii="Arial" w:eastAsia="Cambria" w:hAnsi="Arial" w:cs="Arial"/>
          <w:color w:val="1B1B1B"/>
          <w:sz w:val="20"/>
          <w:szCs w:val="20"/>
          <w:shd w:val="clear" w:color="auto" w:fill="FFFFFF"/>
        </w:rPr>
        <w:t>Boerhavia</w:t>
      </w:r>
      <w:proofErr w:type="spellEnd"/>
      <w:r>
        <w:rPr>
          <w:rStyle w:val="Emphasis"/>
          <w:rFonts w:ascii="Arial" w:eastAsia="Cambria" w:hAnsi="Arial" w:cs="Arial"/>
          <w:color w:val="1B1B1B"/>
          <w:sz w:val="20"/>
          <w:szCs w:val="20"/>
          <w:shd w:val="clear" w:color="auto" w:fill="FFFFFF"/>
        </w:rPr>
        <w:t xml:space="preserve"> </w:t>
      </w:r>
      <w:proofErr w:type="spellStart"/>
      <w:r>
        <w:rPr>
          <w:rStyle w:val="Emphasis"/>
          <w:rFonts w:ascii="Arial" w:eastAsia="Cambria" w:hAnsi="Arial" w:cs="Arial"/>
          <w:color w:val="1B1B1B"/>
          <w:sz w:val="20"/>
          <w:szCs w:val="20"/>
          <w:shd w:val="clear" w:color="auto" w:fill="FFFFFF"/>
        </w:rPr>
        <w:t>diffusa</w:t>
      </w:r>
      <w:proofErr w:type="spellEnd"/>
      <w:r>
        <w:rPr>
          <w:rFonts w:ascii="Arial" w:eastAsia="Cambria" w:hAnsi="Arial" w:cs="Arial"/>
          <w:color w:val="1B1B1B"/>
          <w:sz w:val="20"/>
          <w:szCs w:val="20"/>
          <w:shd w:val="clear" w:color="auto" w:fill="FFFFFF"/>
        </w:rPr>
        <w:t xml:space="preserve">, a perennial herb commonly called as </w:t>
      </w:r>
      <w:proofErr w:type="spellStart"/>
      <w:r>
        <w:rPr>
          <w:rFonts w:ascii="Arial" w:eastAsia="Cambria" w:hAnsi="Arial" w:cs="Arial"/>
          <w:color w:val="1B1B1B"/>
          <w:sz w:val="20"/>
          <w:szCs w:val="20"/>
          <w:shd w:val="clear" w:color="auto" w:fill="FFFFFF"/>
        </w:rPr>
        <w:t>Punarnava</w:t>
      </w:r>
      <w:proofErr w:type="spellEnd"/>
      <w:r>
        <w:rPr>
          <w:rFonts w:ascii="Arial" w:eastAsia="Cambria" w:hAnsi="Arial" w:cs="Arial"/>
          <w:color w:val="1B1B1B"/>
          <w:sz w:val="20"/>
          <w:szCs w:val="20"/>
          <w:shd w:val="clear" w:color="auto" w:fill="FFFFFF"/>
        </w:rPr>
        <w:t xml:space="preserve"> contains some bioactive chemical constituents mainly </w:t>
      </w:r>
      <w:proofErr w:type="spellStart"/>
      <w:r>
        <w:rPr>
          <w:rFonts w:ascii="Arial" w:eastAsia="Cambria" w:hAnsi="Arial" w:cs="Arial"/>
          <w:color w:val="1B1B1B"/>
          <w:sz w:val="20"/>
          <w:szCs w:val="20"/>
          <w:shd w:val="clear" w:color="auto" w:fill="FFFFFF"/>
        </w:rPr>
        <w:t>punarnavine</w:t>
      </w:r>
      <w:proofErr w:type="spellEnd"/>
      <w:r>
        <w:rPr>
          <w:rFonts w:ascii="Arial" w:eastAsia="Cambria" w:hAnsi="Arial" w:cs="Arial"/>
          <w:color w:val="1B1B1B"/>
          <w:sz w:val="20"/>
          <w:szCs w:val="20"/>
          <w:shd w:val="clear" w:color="auto" w:fill="FFFFFF"/>
        </w:rPr>
        <w:t xml:space="preserve">, </w:t>
      </w:r>
      <w:proofErr w:type="spellStart"/>
      <w:r>
        <w:rPr>
          <w:rFonts w:ascii="Arial" w:eastAsia="Cambria" w:hAnsi="Arial" w:cs="Arial"/>
          <w:color w:val="1B1B1B"/>
          <w:sz w:val="20"/>
          <w:szCs w:val="20"/>
          <w:shd w:val="clear" w:color="auto" w:fill="FFFFFF"/>
        </w:rPr>
        <w:t>isoflavonoids</w:t>
      </w:r>
      <w:proofErr w:type="spellEnd"/>
      <w:r>
        <w:rPr>
          <w:rFonts w:ascii="Arial" w:eastAsia="Cambria" w:hAnsi="Arial" w:cs="Arial"/>
          <w:color w:val="1B1B1B"/>
          <w:sz w:val="20"/>
          <w:szCs w:val="20"/>
          <w:shd w:val="clear" w:color="auto" w:fill="FFFFFF"/>
        </w:rPr>
        <w:t xml:space="preserve">, sitosterol, </w:t>
      </w:r>
      <w:proofErr w:type="spellStart"/>
      <w:r>
        <w:rPr>
          <w:rFonts w:ascii="Arial" w:eastAsia="Cambria" w:hAnsi="Arial" w:cs="Arial"/>
          <w:color w:val="1B1B1B"/>
          <w:sz w:val="20"/>
          <w:szCs w:val="20"/>
          <w:shd w:val="clear" w:color="auto" w:fill="FFFFFF"/>
        </w:rPr>
        <w:t>Eupalitin</w:t>
      </w:r>
      <w:proofErr w:type="spellEnd"/>
      <w:r>
        <w:rPr>
          <w:rFonts w:ascii="Arial" w:eastAsia="Cambria" w:hAnsi="Arial" w:cs="Arial"/>
          <w:color w:val="1B1B1B"/>
          <w:sz w:val="20"/>
          <w:szCs w:val="20"/>
          <w:shd w:val="clear" w:color="auto" w:fill="FFFFFF"/>
        </w:rPr>
        <w:t> etc. show pharmacological and therapeutic properties which includes immunomodulatory, anti-inflammatory, anti-diabetic, anti-oxidant, anti-viral, anti-fungal, anti-microbial and anti-stress (</w:t>
      </w:r>
      <w:r>
        <w:rPr>
          <w:rFonts w:ascii="Arial" w:hAnsi="Arial" w:cs="Arial"/>
          <w:sz w:val="20"/>
          <w:szCs w:val="20"/>
        </w:rPr>
        <w:t>Swaroop et al., 2021)</w:t>
      </w:r>
      <w:r>
        <w:rPr>
          <w:rFonts w:ascii="Arial" w:eastAsia="Cambria" w:hAnsi="Arial" w:cs="Arial"/>
          <w:color w:val="1B1B1B"/>
          <w:sz w:val="20"/>
          <w:szCs w:val="20"/>
          <w:shd w:val="clear" w:color="auto" w:fill="FFFFFF"/>
        </w:rPr>
        <w:t>. </w:t>
      </w:r>
      <w:r>
        <w:rPr>
          <w:rFonts w:ascii="Arial" w:hAnsi="Arial" w:cs="Arial"/>
          <w:sz w:val="20"/>
          <w:szCs w:val="20"/>
        </w:rPr>
        <w:t xml:space="preserve"> </w:t>
      </w:r>
    </w:p>
    <w:p w:rsidR="00DC24DD" w:rsidRDefault="00A758A6">
      <w:pPr>
        <w:spacing w:line="360" w:lineRule="auto"/>
        <w:jc w:val="both"/>
        <w:rPr>
          <w:rFonts w:ascii="Arial" w:hAnsi="Arial" w:cs="Arial"/>
          <w:sz w:val="20"/>
          <w:szCs w:val="20"/>
        </w:rPr>
      </w:pPr>
      <w:r>
        <w:rPr>
          <w:rFonts w:ascii="Arial" w:hAnsi="Arial" w:cs="Arial"/>
          <w:sz w:val="20"/>
          <w:szCs w:val="20"/>
        </w:rPr>
        <w:t xml:space="preserve">Remarkably, no adverse </w:t>
      </w:r>
      <w:proofErr w:type="spellStart"/>
      <w:r>
        <w:rPr>
          <w:rFonts w:ascii="Arial" w:hAnsi="Arial" w:cs="Arial"/>
          <w:sz w:val="20"/>
          <w:szCs w:val="20"/>
        </w:rPr>
        <w:t>behavioural</w:t>
      </w:r>
      <w:proofErr w:type="spellEnd"/>
      <w:r>
        <w:rPr>
          <w:rFonts w:ascii="Arial" w:hAnsi="Arial" w:cs="Arial"/>
          <w:sz w:val="20"/>
          <w:szCs w:val="20"/>
        </w:rPr>
        <w:t xml:space="preserve"> or physiological symptoms were observed in any of the rats. The animals maintained normal grooming habits and exhibited no signs of distress or discomfort. Specifically, there were no occurrences of tremors, which would typically indicate neurological disturbances, nor there was any evidence of convulsions or muscle spasms. Respiratory function remained stable, with no signs of labored breathing, gasping, or abnormal respiratory patterns. The fur of the rats remained smooth and well-kept, with no signs of piloerection—a common indicator of systemic stress or autonomic nervous system activation. Additionally, there were no instances of excessive salivation, which could suggest irritation or toxicity affecting the oral or gastrointestinal tract. The animals did not display lethargy or reduced activity levels; instead, they remained alert and responsive throughout the study duration. Importantly, there were no signs of coma or loss of consciousness, which would be indicative of severe central nervous system depression. The absence of these symptoms strongly suggests that </w:t>
      </w:r>
      <w:proofErr w:type="spellStart"/>
      <w:r>
        <w:rPr>
          <w:rFonts w:ascii="Arial" w:hAnsi="Arial" w:cs="Arial"/>
          <w:sz w:val="20"/>
          <w:szCs w:val="20"/>
        </w:rPr>
        <w:t>Xlivpro</w:t>
      </w:r>
      <w:proofErr w:type="spellEnd"/>
      <w:r>
        <w:rPr>
          <w:rFonts w:ascii="Arial" w:hAnsi="Arial" w:cs="Arial"/>
          <w:sz w:val="20"/>
          <w:szCs w:val="20"/>
        </w:rPr>
        <w:t xml:space="preserve"> Premix does not exert any acute toxic effects on the nervous, respiratory, or gastrointestinal systems under the tested conditions. These findings, combined with the lack of mortality and the normal progression of body weight gain, reinforce the conclusion that the compound is well tolerated and safe for oral administration at the tested dosage.</w:t>
      </w:r>
    </w:p>
    <w:p w:rsidR="00DC24DD" w:rsidRDefault="00A758A6">
      <w:pPr>
        <w:spacing w:line="360" w:lineRule="auto"/>
        <w:jc w:val="both"/>
        <w:rPr>
          <w:rFonts w:ascii="Arial" w:hAnsi="Arial"/>
          <w:sz w:val="20"/>
          <w:szCs w:val="18"/>
          <w:lang w:bidi="mr-IN"/>
        </w:rPr>
      </w:pPr>
      <w:r>
        <w:rPr>
          <w:rFonts w:ascii="Arial" w:hAnsi="Arial" w:cs="Arial"/>
          <w:sz w:val="20"/>
          <w:szCs w:val="20"/>
        </w:rPr>
        <w:t xml:space="preserve">The absence of gross pathological lesions, and mortality strongly indicates a wide margin of safety of product. Based on these findings, </w:t>
      </w:r>
      <w:proofErr w:type="spellStart"/>
      <w:r>
        <w:rPr>
          <w:rFonts w:ascii="Arial" w:hAnsi="Arial" w:cs="Arial"/>
          <w:sz w:val="20"/>
          <w:szCs w:val="20"/>
        </w:rPr>
        <w:t>Xlivpro</w:t>
      </w:r>
      <w:proofErr w:type="spellEnd"/>
      <w:r>
        <w:rPr>
          <w:rFonts w:ascii="Arial" w:hAnsi="Arial" w:cs="Arial"/>
          <w:sz w:val="20"/>
          <w:szCs w:val="20"/>
        </w:rPr>
        <w:t xml:space="preserve"> Premix can be considered non-toxic under acute oral exposure conditions, supporting its safe use as an oral feed supplement in poultry, </w:t>
      </w:r>
      <w:r>
        <w:rPr>
          <w:rFonts w:ascii="Arial" w:hAnsi="Arial" w:cs="Arial"/>
          <w:sz w:val="20"/>
          <w:szCs w:val="20"/>
          <w:lang w:val="en-IN"/>
        </w:rPr>
        <w:t>fish and shrimp</w:t>
      </w:r>
      <w:r>
        <w:rPr>
          <w:rFonts w:ascii="Arial" w:hAnsi="Arial" w:cs="Arial"/>
          <w:sz w:val="20"/>
          <w:szCs w:val="20"/>
        </w:rPr>
        <w:t xml:space="preserve"> production.</w:t>
      </w:r>
    </w:p>
    <w:p w:rsidR="00DC24DD" w:rsidRDefault="00DC24DD">
      <w:pPr>
        <w:spacing w:line="360" w:lineRule="auto"/>
        <w:jc w:val="both"/>
        <w:rPr>
          <w:rFonts w:ascii="Arial" w:hAnsi="Arial" w:cs="Arial"/>
          <w:sz w:val="20"/>
          <w:szCs w:val="20"/>
        </w:rPr>
      </w:pPr>
    </w:p>
    <w:p w:rsidR="00DC24DD" w:rsidRDefault="00A758A6">
      <w:pPr>
        <w:spacing w:line="360" w:lineRule="auto"/>
        <w:rPr>
          <w:rFonts w:ascii="Arial" w:hAnsi="Arial" w:cs="Arial"/>
          <w:b/>
          <w:snapToGrid w:val="0"/>
          <w:color w:val="000000"/>
          <w:sz w:val="20"/>
          <w:szCs w:val="20"/>
        </w:rPr>
      </w:pPr>
      <w:r>
        <w:rPr>
          <w:rFonts w:ascii="Arial" w:hAnsi="Arial" w:cs="Arial"/>
          <w:b/>
          <w:sz w:val="20"/>
          <w:szCs w:val="20"/>
        </w:rPr>
        <w:t xml:space="preserve">Table 2.  Weekly body weight of rats received </w:t>
      </w:r>
      <w:proofErr w:type="spellStart"/>
      <w:r>
        <w:rPr>
          <w:rFonts w:ascii="Arial" w:hAnsi="Arial" w:cs="Arial"/>
          <w:b/>
          <w:color w:val="000000" w:themeColor="text1"/>
          <w:sz w:val="20"/>
          <w:szCs w:val="20"/>
        </w:rPr>
        <w:t>Xlivpro</w:t>
      </w:r>
      <w:proofErr w:type="spellEnd"/>
      <w:r>
        <w:rPr>
          <w:rFonts w:ascii="Arial" w:hAnsi="Arial" w:cs="Arial"/>
          <w:b/>
          <w:color w:val="000000" w:themeColor="text1"/>
          <w:sz w:val="20"/>
          <w:szCs w:val="20"/>
        </w:rPr>
        <w:t xml:space="preserve"> Premix @ </w:t>
      </w:r>
      <w:r>
        <w:rPr>
          <w:rFonts w:ascii="Arial" w:hAnsi="Arial" w:cs="Arial"/>
          <w:b/>
          <w:snapToGrid w:val="0"/>
          <w:color w:val="000000"/>
          <w:sz w:val="20"/>
          <w:szCs w:val="20"/>
        </w:rPr>
        <w:t>2000mg/kg</w:t>
      </w:r>
    </w:p>
    <w:tbl>
      <w:tblPr>
        <w:tblW w:w="9158" w:type="dxa"/>
        <w:jc w:val="center"/>
        <w:tblBorders>
          <w:top w:val="single" w:sz="4" w:space="0" w:color="auto"/>
          <w:bottom w:val="single" w:sz="4" w:space="0" w:color="auto"/>
          <w:insideH w:val="single" w:sz="4" w:space="0" w:color="auto"/>
        </w:tblBorders>
        <w:tblLayout w:type="fixed"/>
        <w:tblCellMar>
          <w:left w:w="30" w:type="dxa"/>
          <w:right w:w="30" w:type="dxa"/>
        </w:tblCellMar>
        <w:tblLook w:val="04A0" w:firstRow="1" w:lastRow="0" w:firstColumn="1" w:lastColumn="0" w:noHBand="0" w:noVBand="1"/>
      </w:tblPr>
      <w:tblGrid>
        <w:gridCol w:w="1767"/>
        <w:gridCol w:w="1276"/>
        <w:gridCol w:w="1843"/>
        <w:gridCol w:w="2126"/>
        <w:gridCol w:w="2146"/>
      </w:tblGrid>
      <w:tr w:rsidR="00DC24DD">
        <w:trPr>
          <w:cantSplit/>
          <w:trHeight w:val="422"/>
          <w:jc w:val="center"/>
        </w:trPr>
        <w:tc>
          <w:tcPr>
            <w:tcW w:w="1767" w:type="dxa"/>
            <w:vMerge w:val="restart"/>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 xml:space="preserve">Dose of </w:t>
            </w:r>
            <w:proofErr w:type="spellStart"/>
            <w:r>
              <w:rPr>
                <w:rFonts w:ascii="Arial" w:hAnsi="Arial" w:cs="Arial"/>
                <w:color w:val="000000" w:themeColor="text1"/>
                <w:sz w:val="20"/>
                <w:szCs w:val="20"/>
              </w:rPr>
              <w:t>Xlivpro</w:t>
            </w:r>
            <w:proofErr w:type="spellEnd"/>
            <w:r>
              <w:rPr>
                <w:rFonts w:ascii="Arial" w:hAnsi="Arial" w:cs="Arial"/>
                <w:color w:val="000000" w:themeColor="text1"/>
                <w:sz w:val="20"/>
                <w:szCs w:val="20"/>
              </w:rPr>
              <w:t xml:space="preserve"> Premix</w:t>
            </w:r>
          </w:p>
        </w:tc>
        <w:tc>
          <w:tcPr>
            <w:tcW w:w="1276" w:type="dxa"/>
            <w:vMerge w:val="restart"/>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Rat No.</w:t>
            </w:r>
          </w:p>
        </w:tc>
        <w:tc>
          <w:tcPr>
            <w:tcW w:w="6115" w:type="dxa"/>
            <w:gridSpan w:val="3"/>
            <w:tcBorders>
              <w:bottom w:val="single" w:sz="4" w:space="0" w:color="auto"/>
            </w:tcBorders>
            <w:vAlign w:val="center"/>
          </w:tcPr>
          <w:p w:rsidR="00DC24DD" w:rsidRDefault="00A758A6">
            <w:pPr>
              <w:spacing w:line="240" w:lineRule="auto"/>
              <w:jc w:val="center"/>
              <w:rPr>
                <w:rFonts w:ascii="Arial" w:hAnsi="Arial" w:cs="Arial"/>
                <w:bCs/>
                <w:snapToGrid w:val="0"/>
                <w:color w:val="000000"/>
                <w:sz w:val="20"/>
                <w:szCs w:val="20"/>
              </w:rPr>
            </w:pPr>
            <w:r>
              <w:rPr>
                <w:rFonts w:ascii="Arial" w:hAnsi="Arial" w:cs="Arial"/>
                <w:bCs/>
                <w:snapToGrid w:val="0"/>
                <w:color w:val="000000" w:themeColor="text1"/>
                <w:sz w:val="20"/>
                <w:szCs w:val="20"/>
              </w:rPr>
              <w:t>Body Weight (g) on Day</w:t>
            </w:r>
          </w:p>
        </w:tc>
      </w:tr>
      <w:tr w:rsidR="00DC24DD">
        <w:trPr>
          <w:cantSplit/>
          <w:trHeight w:val="413"/>
          <w:jc w:val="center"/>
        </w:trPr>
        <w:tc>
          <w:tcPr>
            <w:tcW w:w="1767" w:type="dxa"/>
            <w:vMerge/>
            <w:tcBorders>
              <w:bottom w:val="single" w:sz="4" w:space="0" w:color="auto"/>
            </w:tcBorders>
            <w:vAlign w:val="center"/>
          </w:tcPr>
          <w:p w:rsidR="00DC24DD" w:rsidRDefault="00DC24DD">
            <w:pPr>
              <w:spacing w:line="240" w:lineRule="auto"/>
              <w:jc w:val="center"/>
              <w:rPr>
                <w:rFonts w:ascii="Arial" w:hAnsi="Arial" w:cs="Arial"/>
                <w:snapToGrid w:val="0"/>
                <w:color w:val="000000"/>
                <w:sz w:val="20"/>
                <w:szCs w:val="20"/>
              </w:rPr>
            </w:pPr>
          </w:p>
        </w:tc>
        <w:tc>
          <w:tcPr>
            <w:tcW w:w="1276" w:type="dxa"/>
            <w:vMerge/>
            <w:tcBorders>
              <w:bottom w:val="single" w:sz="4" w:space="0" w:color="auto"/>
            </w:tcBorders>
            <w:vAlign w:val="center"/>
          </w:tcPr>
          <w:p w:rsidR="00DC24DD" w:rsidRDefault="00DC24DD">
            <w:pPr>
              <w:spacing w:line="240" w:lineRule="auto"/>
              <w:jc w:val="center"/>
              <w:rPr>
                <w:rFonts w:ascii="Arial" w:hAnsi="Arial" w:cs="Arial"/>
                <w:snapToGrid w:val="0"/>
                <w:color w:val="000000"/>
                <w:sz w:val="20"/>
                <w:szCs w:val="20"/>
              </w:rPr>
            </w:pPr>
          </w:p>
        </w:tc>
        <w:tc>
          <w:tcPr>
            <w:tcW w:w="1843" w:type="dxa"/>
            <w:tcBorders>
              <w:top w:val="single" w:sz="4" w:space="0" w:color="auto"/>
              <w:bottom w:val="single" w:sz="4" w:space="0" w:color="auto"/>
            </w:tcBorders>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0</w:t>
            </w:r>
          </w:p>
        </w:tc>
        <w:tc>
          <w:tcPr>
            <w:tcW w:w="2126" w:type="dxa"/>
            <w:tcBorders>
              <w:top w:val="single" w:sz="4" w:space="0" w:color="auto"/>
              <w:bottom w:val="single" w:sz="4" w:space="0" w:color="auto"/>
            </w:tcBorders>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7</w:t>
            </w:r>
          </w:p>
        </w:tc>
        <w:tc>
          <w:tcPr>
            <w:tcW w:w="2146" w:type="dxa"/>
            <w:tcBorders>
              <w:top w:val="single" w:sz="4" w:space="0" w:color="auto"/>
              <w:bottom w:val="single" w:sz="4" w:space="0" w:color="auto"/>
            </w:tcBorders>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14</w:t>
            </w:r>
          </w:p>
        </w:tc>
      </w:tr>
      <w:tr w:rsidR="00DC24DD">
        <w:trPr>
          <w:cantSplit/>
          <w:trHeight w:val="623"/>
          <w:jc w:val="center"/>
        </w:trPr>
        <w:tc>
          <w:tcPr>
            <w:tcW w:w="1767" w:type="dxa"/>
            <w:vMerge w:val="restart"/>
            <w:tcBorders>
              <w:bottom w:val="nil"/>
            </w:tcBorders>
            <w:vAlign w:val="center"/>
          </w:tcPr>
          <w:p w:rsidR="00DC24DD" w:rsidRDefault="00A758A6">
            <w:pPr>
              <w:spacing w:line="240" w:lineRule="auto"/>
              <w:rPr>
                <w:rFonts w:ascii="Arial" w:hAnsi="Arial" w:cs="Arial"/>
                <w:snapToGrid w:val="0"/>
                <w:color w:val="000000"/>
                <w:sz w:val="20"/>
                <w:szCs w:val="20"/>
              </w:rPr>
            </w:pPr>
            <w:r>
              <w:rPr>
                <w:rFonts w:ascii="Arial" w:hAnsi="Arial" w:cs="Arial"/>
                <w:snapToGrid w:val="0"/>
                <w:color w:val="000000"/>
                <w:sz w:val="20"/>
                <w:szCs w:val="20"/>
              </w:rPr>
              <w:t>2000mg/kg</w:t>
            </w:r>
          </w:p>
        </w:tc>
        <w:tc>
          <w:tcPr>
            <w:tcW w:w="1276" w:type="dxa"/>
            <w:tcBorders>
              <w:bottom w:val="nil"/>
            </w:tcBorders>
            <w:vAlign w:val="center"/>
          </w:tcPr>
          <w:p w:rsidR="00DC24DD" w:rsidRDefault="00A758A6">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1</w:t>
            </w:r>
          </w:p>
        </w:tc>
        <w:tc>
          <w:tcPr>
            <w:tcW w:w="1843" w:type="dxa"/>
            <w:tcBorders>
              <w:bottom w:val="nil"/>
            </w:tcBorders>
            <w:vAlign w:val="center"/>
          </w:tcPr>
          <w:p w:rsidR="00DC24DD" w:rsidRDefault="00A758A6">
            <w:pPr>
              <w:spacing w:line="240" w:lineRule="auto"/>
              <w:jc w:val="center"/>
              <w:rPr>
                <w:rFonts w:ascii="Arial" w:hAnsi="Arial" w:cs="Arial"/>
                <w:snapToGrid w:val="0"/>
                <w:color w:val="0D0D0D" w:themeColor="text1" w:themeTint="F2"/>
                <w:sz w:val="20"/>
                <w:szCs w:val="20"/>
              </w:rPr>
            </w:pPr>
            <w:r>
              <w:rPr>
                <w:rFonts w:ascii="Arial" w:hAnsi="Arial" w:cs="Arial"/>
                <w:snapToGrid w:val="0"/>
                <w:color w:val="0D0D0D" w:themeColor="text1" w:themeTint="F2"/>
                <w:sz w:val="20"/>
                <w:szCs w:val="20"/>
              </w:rPr>
              <w:t>138</w:t>
            </w:r>
          </w:p>
        </w:tc>
        <w:tc>
          <w:tcPr>
            <w:tcW w:w="2126" w:type="dxa"/>
            <w:tcBorders>
              <w:bottom w:val="nil"/>
            </w:tcBorders>
            <w:vAlign w:val="center"/>
          </w:tcPr>
          <w:p w:rsidR="00DC24DD" w:rsidRDefault="00A758A6">
            <w:pPr>
              <w:spacing w:line="240" w:lineRule="auto"/>
              <w:jc w:val="center"/>
              <w:rPr>
                <w:rFonts w:ascii="Arial" w:hAnsi="Arial" w:cs="Arial"/>
                <w:snapToGrid w:val="0"/>
                <w:color w:val="0D0D0D" w:themeColor="text1" w:themeTint="F2"/>
                <w:sz w:val="20"/>
                <w:szCs w:val="20"/>
              </w:rPr>
            </w:pPr>
            <w:r>
              <w:rPr>
                <w:rFonts w:ascii="Arial" w:hAnsi="Arial" w:cs="Arial"/>
                <w:snapToGrid w:val="0"/>
                <w:color w:val="0D0D0D" w:themeColor="text1" w:themeTint="F2"/>
                <w:sz w:val="20"/>
                <w:szCs w:val="20"/>
              </w:rPr>
              <w:t>152</w:t>
            </w:r>
          </w:p>
        </w:tc>
        <w:tc>
          <w:tcPr>
            <w:tcW w:w="2146" w:type="dxa"/>
            <w:tcBorders>
              <w:bottom w:val="nil"/>
            </w:tcBorders>
            <w:vAlign w:val="center"/>
          </w:tcPr>
          <w:p w:rsidR="00DC24DD" w:rsidRDefault="00A758A6">
            <w:pPr>
              <w:spacing w:line="240" w:lineRule="auto"/>
              <w:jc w:val="center"/>
              <w:rPr>
                <w:rFonts w:ascii="Arial" w:hAnsi="Arial" w:cs="Arial"/>
                <w:snapToGrid w:val="0"/>
                <w:color w:val="0D0D0D" w:themeColor="text1" w:themeTint="F2"/>
                <w:sz w:val="20"/>
                <w:szCs w:val="20"/>
              </w:rPr>
            </w:pPr>
            <w:r>
              <w:rPr>
                <w:rFonts w:ascii="Arial" w:hAnsi="Arial" w:cs="Arial"/>
                <w:snapToGrid w:val="0"/>
                <w:color w:val="0D0D0D" w:themeColor="text1" w:themeTint="F2"/>
                <w:sz w:val="20"/>
                <w:szCs w:val="20"/>
              </w:rPr>
              <w:t>164</w:t>
            </w:r>
          </w:p>
        </w:tc>
      </w:tr>
      <w:tr w:rsidR="00DC24DD">
        <w:trPr>
          <w:cantSplit/>
          <w:trHeight w:val="623"/>
          <w:jc w:val="center"/>
        </w:trPr>
        <w:tc>
          <w:tcPr>
            <w:tcW w:w="1767" w:type="dxa"/>
            <w:vMerge/>
            <w:tcBorders>
              <w:top w:val="nil"/>
              <w:bottom w:val="nil"/>
            </w:tcBorders>
            <w:vAlign w:val="center"/>
          </w:tcPr>
          <w:p w:rsidR="00DC24DD" w:rsidRDefault="00DC24DD">
            <w:pPr>
              <w:spacing w:line="240" w:lineRule="auto"/>
              <w:jc w:val="center"/>
              <w:rPr>
                <w:rFonts w:ascii="Arial" w:hAnsi="Arial" w:cs="Arial"/>
                <w:snapToGrid w:val="0"/>
                <w:color w:val="000000"/>
                <w:sz w:val="20"/>
                <w:szCs w:val="20"/>
              </w:rPr>
            </w:pPr>
          </w:p>
        </w:tc>
        <w:tc>
          <w:tcPr>
            <w:tcW w:w="1276" w:type="dxa"/>
            <w:tcBorders>
              <w:top w:val="nil"/>
              <w:bottom w:val="nil"/>
            </w:tcBorders>
            <w:vAlign w:val="center"/>
          </w:tcPr>
          <w:p w:rsidR="00DC24DD" w:rsidRDefault="00A758A6">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2</w:t>
            </w:r>
          </w:p>
        </w:tc>
        <w:tc>
          <w:tcPr>
            <w:tcW w:w="1843" w:type="dxa"/>
            <w:tcBorders>
              <w:top w:val="nil"/>
              <w:bottom w:val="nil"/>
            </w:tcBorders>
            <w:vAlign w:val="center"/>
          </w:tcPr>
          <w:p w:rsidR="00DC24DD" w:rsidRDefault="00A758A6">
            <w:pPr>
              <w:spacing w:line="240" w:lineRule="auto"/>
              <w:jc w:val="center"/>
              <w:rPr>
                <w:rFonts w:ascii="Arial" w:hAnsi="Arial" w:cs="Arial"/>
                <w:snapToGrid w:val="0"/>
                <w:color w:val="0D0D0D" w:themeColor="text1" w:themeTint="F2"/>
                <w:sz w:val="20"/>
                <w:szCs w:val="20"/>
              </w:rPr>
            </w:pPr>
            <w:r>
              <w:rPr>
                <w:rFonts w:ascii="Arial" w:hAnsi="Arial" w:cs="Arial"/>
                <w:snapToGrid w:val="0"/>
                <w:color w:val="0D0D0D" w:themeColor="text1" w:themeTint="F2"/>
                <w:sz w:val="20"/>
                <w:szCs w:val="20"/>
              </w:rPr>
              <w:t>117</w:t>
            </w:r>
          </w:p>
        </w:tc>
        <w:tc>
          <w:tcPr>
            <w:tcW w:w="2126" w:type="dxa"/>
            <w:tcBorders>
              <w:top w:val="nil"/>
              <w:bottom w:val="nil"/>
            </w:tcBorders>
            <w:vAlign w:val="center"/>
          </w:tcPr>
          <w:p w:rsidR="00DC24DD" w:rsidRDefault="00A758A6">
            <w:pPr>
              <w:spacing w:line="240" w:lineRule="auto"/>
              <w:jc w:val="center"/>
              <w:rPr>
                <w:rFonts w:ascii="Arial" w:hAnsi="Arial" w:cs="Arial"/>
                <w:snapToGrid w:val="0"/>
                <w:color w:val="0D0D0D" w:themeColor="text1" w:themeTint="F2"/>
                <w:sz w:val="20"/>
                <w:szCs w:val="20"/>
              </w:rPr>
            </w:pPr>
            <w:r>
              <w:rPr>
                <w:rFonts w:ascii="Arial" w:hAnsi="Arial" w:cs="Arial"/>
                <w:snapToGrid w:val="0"/>
                <w:color w:val="0D0D0D" w:themeColor="text1" w:themeTint="F2"/>
                <w:sz w:val="20"/>
                <w:szCs w:val="20"/>
              </w:rPr>
              <w:t>129</w:t>
            </w:r>
          </w:p>
        </w:tc>
        <w:tc>
          <w:tcPr>
            <w:tcW w:w="2146" w:type="dxa"/>
            <w:tcBorders>
              <w:top w:val="nil"/>
              <w:bottom w:val="nil"/>
            </w:tcBorders>
            <w:vAlign w:val="center"/>
          </w:tcPr>
          <w:p w:rsidR="00DC24DD" w:rsidRDefault="00A758A6">
            <w:pPr>
              <w:spacing w:line="240" w:lineRule="auto"/>
              <w:jc w:val="center"/>
              <w:rPr>
                <w:rFonts w:ascii="Arial" w:hAnsi="Arial" w:cs="Arial"/>
                <w:snapToGrid w:val="0"/>
                <w:color w:val="0D0D0D" w:themeColor="text1" w:themeTint="F2"/>
                <w:sz w:val="20"/>
                <w:szCs w:val="20"/>
              </w:rPr>
            </w:pPr>
            <w:r>
              <w:rPr>
                <w:rFonts w:ascii="Arial" w:hAnsi="Arial" w:cs="Arial"/>
                <w:snapToGrid w:val="0"/>
                <w:color w:val="0D0D0D" w:themeColor="text1" w:themeTint="F2"/>
                <w:sz w:val="20"/>
                <w:szCs w:val="20"/>
              </w:rPr>
              <w:t>135</w:t>
            </w:r>
          </w:p>
        </w:tc>
      </w:tr>
      <w:tr w:rsidR="00DC24DD">
        <w:trPr>
          <w:cantSplit/>
          <w:trHeight w:val="623"/>
          <w:jc w:val="center"/>
        </w:trPr>
        <w:tc>
          <w:tcPr>
            <w:tcW w:w="1767" w:type="dxa"/>
            <w:vMerge/>
            <w:tcBorders>
              <w:top w:val="nil"/>
              <w:bottom w:val="nil"/>
            </w:tcBorders>
            <w:vAlign w:val="center"/>
          </w:tcPr>
          <w:p w:rsidR="00DC24DD" w:rsidRDefault="00DC24DD">
            <w:pPr>
              <w:spacing w:line="240" w:lineRule="auto"/>
              <w:jc w:val="center"/>
              <w:rPr>
                <w:rFonts w:ascii="Arial" w:hAnsi="Arial" w:cs="Arial"/>
                <w:bCs/>
                <w:snapToGrid w:val="0"/>
                <w:color w:val="000000"/>
                <w:sz w:val="20"/>
                <w:szCs w:val="20"/>
              </w:rPr>
            </w:pPr>
          </w:p>
        </w:tc>
        <w:tc>
          <w:tcPr>
            <w:tcW w:w="1276" w:type="dxa"/>
            <w:tcBorders>
              <w:top w:val="nil"/>
              <w:bottom w:val="nil"/>
            </w:tcBorders>
            <w:vAlign w:val="center"/>
          </w:tcPr>
          <w:p w:rsidR="00DC24DD" w:rsidRDefault="00A758A6">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3</w:t>
            </w:r>
          </w:p>
        </w:tc>
        <w:tc>
          <w:tcPr>
            <w:tcW w:w="1843" w:type="dxa"/>
            <w:tcBorders>
              <w:top w:val="nil"/>
              <w:bottom w:val="nil"/>
            </w:tcBorders>
            <w:vAlign w:val="center"/>
          </w:tcPr>
          <w:p w:rsidR="00DC24DD" w:rsidRDefault="00A758A6">
            <w:pPr>
              <w:spacing w:line="240" w:lineRule="auto"/>
              <w:jc w:val="center"/>
              <w:rPr>
                <w:rFonts w:ascii="Arial" w:hAnsi="Arial" w:cs="Arial"/>
                <w:snapToGrid w:val="0"/>
                <w:color w:val="0D0D0D" w:themeColor="text1" w:themeTint="F2"/>
                <w:sz w:val="20"/>
                <w:szCs w:val="20"/>
              </w:rPr>
            </w:pPr>
            <w:r>
              <w:rPr>
                <w:rFonts w:ascii="Arial" w:hAnsi="Arial" w:cs="Arial"/>
                <w:snapToGrid w:val="0"/>
                <w:color w:val="0D0D0D" w:themeColor="text1" w:themeTint="F2"/>
                <w:sz w:val="20"/>
                <w:szCs w:val="20"/>
              </w:rPr>
              <w:t>120</w:t>
            </w:r>
          </w:p>
        </w:tc>
        <w:tc>
          <w:tcPr>
            <w:tcW w:w="2126" w:type="dxa"/>
            <w:tcBorders>
              <w:top w:val="nil"/>
              <w:bottom w:val="nil"/>
            </w:tcBorders>
            <w:vAlign w:val="center"/>
          </w:tcPr>
          <w:p w:rsidR="00DC24DD" w:rsidRDefault="00A758A6">
            <w:pPr>
              <w:spacing w:line="240" w:lineRule="auto"/>
              <w:jc w:val="center"/>
              <w:rPr>
                <w:rFonts w:ascii="Arial" w:hAnsi="Arial" w:cs="Arial"/>
                <w:snapToGrid w:val="0"/>
                <w:color w:val="0D0D0D" w:themeColor="text1" w:themeTint="F2"/>
                <w:sz w:val="20"/>
                <w:szCs w:val="20"/>
              </w:rPr>
            </w:pPr>
            <w:r>
              <w:rPr>
                <w:rFonts w:ascii="Arial" w:hAnsi="Arial" w:cs="Arial"/>
                <w:snapToGrid w:val="0"/>
                <w:color w:val="0D0D0D" w:themeColor="text1" w:themeTint="F2"/>
                <w:sz w:val="20"/>
                <w:szCs w:val="20"/>
              </w:rPr>
              <w:t>134</w:t>
            </w:r>
          </w:p>
        </w:tc>
        <w:tc>
          <w:tcPr>
            <w:tcW w:w="2146" w:type="dxa"/>
            <w:tcBorders>
              <w:top w:val="nil"/>
              <w:bottom w:val="nil"/>
            </w:tcBorders>
            <w:vAlign w:val="center"/>
          </w:tcPr>
          <w:p w:rsidR="00DC24DD" w:rsidRDefault="00A758A6">
            <w:pPr>
              <w:spacing w:line="240" w:lineRule="auto"/>
              <w:jc w:val="center"/>
              <w:rPr>
                <w:rFonts w:ascii="Arial" w:hAnsi="Arial" w:cs="Arial"/>
                <w:snapToGrid w:val="0"/>
                <w:color w:val="0D0D0D" w:themeColor="text1" w:themeTint="F2"/>
                <w:sz w:val="20"/>
                <w:szCs w:val="20"/>
              </w:rPr>
            </w:pPr>
            <w:r>
              <w:rPr>
                <w:rFonts w:ascii="Arial" w:hAnsi="Arial" w:cs="Arial"/>
                <w:snapToGrid w:val="0"/>
                <w:color w:val="0D0D0D" w:themeColor="text1" w:themeTint="F2"/>
                <w:sz w:val="20"/>
                <w:szCs w:val="20"/>
              </w:rPr>
              <w:t>152</w:t>
            </w:r>
          </w:p>
        </w:tc>
      </w:tr>
      <w:tr w:rsidR="00DC24DD">
        <w:trPr>
          <w:cantSplit/>
          <w:trHeight w:val="623"/>
          <w:jc w:val="center"/>
        </w:trPr>
        <w:tc>
          <w:tcPr>
            <w:tcW w:w="1767" w:type="dxa"/>
            <w:vMerge/>
            <w:tcBorders>
              <w:top w:val="nil"/>
              <w:bottom w:val="nil"/>
            </w:tcBorders>
            <w:vAlign w:val="center"/>
          </w:tcPr>
          <w:p w:rsidR="00DC24DD" w:rsidRDefault="00DC24DD">
            <w:pPr>
              <w:spacing w:line="240" w:lineRule="auto"/>
              <w:jc w:val="center"/>
              <w:rPr>
                <w:rFonts w:ascii="Arial" w:hAnsi="Arial" w:cs="Arial"/>
                <w:bCs/>
                <w:snapToGrid w:val="0"/>
                <w:color w:val="000000"/>
                <w:sz w:val="20"/>
                <w:szCs w:val="20"/>
              </w:rPr>
            </w:pPr>
          </w:p>
        </w:tc>
        <w:tc>
          <w:tcPr>
            <w:tcW w:w="1276" w:type="dxa"/>
            <w:tcBorders>
              <w:top w:val="nil"/>
              <w:bottom w:val="nil"/>
            </w:tcBorders>
            <w:vAlign w:val="center"/>
          </w:tcPr>
          <w:p w:rsidR="00DC24DD" w:rsidRDefault="00A758A6">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4</w:t>
            </w:r>
          </w:p>
        </w:tc>
        <w:tc>
          <w:tcPr>
            <w:tcW w:w="1843" w:type="dxa"/>
            <w:tcBorders>
              <w:top w:val="nil"/>
              <w:bottom w:val="nil"/>
            </w:tcBorders>
            <w:vAlign w:val="center"/>
          </w:tcPr>
          <w:p w:rsidR="00DC24DD" w:rsidRDefault="00A758A6">
            <w:pPr>
              <w:spacing w:line="240" w:lineRule="auto"/>
              <w:jc w:val="center"/>
              <w:rPr>
                <w:rFonts w:ascii="Arial" w:hAnsi="Arial" w:cs="Arial"/>
                <w:snapToGrid w:val="0"/>
                <w:color w:val="0D0D0D" w:themeColor="text1" w:themeTint="F2"/>
                <w:sz w:val="20"/>
                <w:szCs w:val="20"/>
              </w:rPr>
            </w:pPr>
            <w:r>
              <w:rPr>
                <w:rFonts w:ascii="Arial" w:hAnsi="Arial" w:cs="Arial"/>
                <w:snapToGrid w:val="0"/>
                <w:color w:val="0D0D0D" w:themeColor="text1" w:themeTint="F2"/>
                <w:sz w:val="20"/>
                <w:szCs w:val="20"/>
              </w:rPr>
              <w:t>126</w:t>
            </w:r>
          </w:p>
        </w:tc>
        <w:tc>
          <w:tcPr>
            <w:tcW w:w="2126" w:type="dxa"/>
            <w:tcBorders>
              <w:top w:val="nil"/>
              <w:bottom w:val="nil"/>
            </w:tcBorders>
            <w:vAlign w:val="center"/>
          </w:tcPr>
          <w:p w:rsidR="00DC24DD" w:rsidRDefault="00A758A6">
            <w:pPr>
              <w:spacing w:line="240" w:lineRule="auto"/>
              <w:jc w:val="center"/>
              <w:rPr>
                <w:rFonts w:ascii="Arial" w:hAnsi="Arial" w:cs="Arial"/>
                <w:snapToGrid w:val="0"/>
                <w:color w:val="0D0D0D" w:themeColor="text1" w:themeTint="F2"/>
                <w:sz w:val="20"/>
                <w:szCs w:val="20"/>
              </w:rPr>
            </w:pPr>
            <w:r>
              <w:rPr>
                <w:rFonts w:ascii="Arial" w:hAnsi="Arial" w:cs="Arial"/>
                <w:snapToGrid w:val="0"/>
                <w:color w:val="0D0D0D" w:themeColor="text1" w:themeTint="F2"/>
                <w:sz w:val="20"/>
                <w:szCs w:val="20"/>
              </w:rPr>
              <w:t>141</w:t>
            </w:r>
          </w:p>
        </w:tc>
        <w:tc>
          <w:tcPr>
            <w:tcW w:w="2146" w:type="dxa"/>
            <w:tcBorders>
              <w:top w:val="nil"/>
              <w:bottom w:val="nil"/>
            </w:tcBorders>
            <w:vAlign w:val="center"/>
          </w:tcPr>
          <w:p w:rsidR="00DC24DD" w:rsidRDefault="00A758A6">
            <w:pPr>
              <w:spacing w:line="240" w:lineRule="auto"/>
              <w:jc w:val="center"/>
              <w:rPr>
                <w:rFonts w:ascii="Arial" w:hAnsi="Arial" w:cs="Arial"/>
                <w:snapToGrid w:val="0"/>
                <w:color w:val="0D0D0D" w:themeColor="text1" w:themeTint="F2"/>
                <w:sz w:val="20"/>
                <w:szCs w:val="20"/>
              </w:rPr>
            </w:pPr>
            <w:r>
              <w:rPr>
                <w:rFonts w:ascii="Arial" w:hAnsi="Arial" w:cs="Arial"/>
                <w:snapToGrid w:val="0"/>
                <w:color w:val="0D0D0D" w:themeColor="text1" w:themeTint="F2"/>
                <w:sz w:val="20"/>
                <w:szCs w:val="20"/>
              </w:rPr>
              <w:t>155</w:t>
            </w:r>
          </w:p>
        </w:tc>
      </w:tr>
      <w:tr w:rsidR="00DC24DD">
        <w:trPr>
          <w:cantSplit/>
          <w:trHeight w:val="623"/>
          <w:jc w:val="center"/>
        </w:trPr>
        <w:tc>
          <w:tcPr>
            <w:tcW w:w="1767" w:type="dxa"/>
            <w:tcBorders>
              <w:top w:val="nil"/>
            </w:tcBorders>
            <w:vAlign w:val="center"/>
          </w:tcPr>
          <w:p w:rsidR="00DC24DD" w:rsidRDefault="00DC24DD">
            <w:pPr>
              <w:spacing w:line="240" w:lineRule="auto"/>
              <w:jc w:val="center"/>
              <w:rPr>
                <w:rFonts w:ascii="Arial" w:hAnsi="Arial" w:cs="Arial"/>
                <w:bCs/>
                <w:snapToGrid w:val="0"/>
                <w:color w:val="000000"/>
                <w:sz w:val="20"/>
                <w:szCs w:val="20"/>
              </w:rPr>
            </w:pPr>
          </w:p>
        </w:tc>
        <w:tc>
          <w:tcPr>
            <w:tcW w:w="1276" w:type="dxa"/>
            <w:tcBorders>
              <w:top w:val="nil"/>
            </w:tcBorders>
            <w:vAlign w:val="center"/>
          </w:tcPr>
          <w:p w:rsidR="00DC24DD" w:rsidRDefault="00A758A6">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Total</w:t>
            </w:r>
          </w:p>
        </w:tc>
        <w:tc>
          <w:tcPr>
            <w:tcW w:w="1843" w:type="dxa"/>
            <w:tcBorders>
              <w:top w:val="nil"/>
            </w:tcBorders>
            <w:vAlign w:val="bottom"/>
          </w:tcPr>
          <w:p w:rsidR="00DC24DD" w:rsidRDefault="00A758A6">
            <w:pPr>
              <w:spacing w:line="480" w:lineRule="auto"/>
              <w:jc w:val="center"/>
              <w:rPr>
                <w:rFonts w:ascii="Arial" w:hAnsi="Arial" w:cs="Arial"/>
                <w:color w:val="FF0000"/>
                <w:sz w:val="20"/>
                <w:szCs w:val="20"/>
              </w:rPr>
            </w:pPr>
            <w:r>
              <w:rPr>
                <w:rFonts w:ascii="Arial" w:eastAsia="Times New Roman" w:hAnsi="Arial" w:cs="Arial"/>
                <w:color w:val="000000"/>
                <w:sz w:val="20"/>
                <w:szCs w:val="20"/>
              </w:rPr>
              <w:t>125.25</w:t>
            </w:r>
            <w:r>
              <w:rPr>
                <w:rFonts w:ascii="Arial" w:hAnsi="Arial" w:cs="Arial"/>
                <w:snapToGrid w:val="0"/>
                <w:color w:val="0D0D0D" w:themeColor="text1" w:themeTint="F2"/>
                <w:sz w:val="20"/>
                <w:szCs w:val="20"/>
              </w:rPr>
              <w:t>±</w:t>
            </w:r>
            <w:r>
              <w:rPr>
                <w:rFonts w:ascii="Arial" w:eastAsia="Times New Roman" w:hAnsi="Arial" w:cs="Arial"/>
                <w:color w:val="000000"/>
                <w:sz w:val="20"/>
                <w:szCs w:val="20"/>
              </w:rPr>
              <w:t>4.64</w:t>
            </w:r>
          </w:p>
        </w:tc>
        <w:tc>
          <w:tcPr>
            <w:tcW w:w="2126" w:type="dxa"/>
            <w:tcBorders>
              <w:top w:val="nil"/>
            </w:tcBorders>
            <w:vAlign w:val="bottom"/>
          </w:tcPr>
          <w:p w:rsidR="00DC24DD" w:rsidRDefault="00A758A6">
            <w:pPr>
              <w:spacing w:line="480" w:lineRule="auto"/>
              <w:jc w:val="center"/>
              <w:rPr>
                <w:rFonts w:ascii="Arial" w:hAnsi="Arial" w:cs="Arial"/>
                <w:color w:val="FF0000"/>
                <w:sz w:val="20"/>
                <w:szCs w:val="20"/>
              </w:rPr>
            </w:pPr>
            <w:r>
              <w:rPr>
                <w:rFonts w:ascii="Arial" w:eastAsia="Times New Roman" w:hAnsi="Arial" w:cs="Arial"/>
                <w:color w:val="000000"/>
                <w:sz w:val="20"/>
                <w:szCs w:val="20"/>
              </w:rPr>
              <w:t>139</w:t>
            </w:r>
            <w:r>
              <w:rPr>
                <w:rFonts w:ascii="Arial" w:hAnsi="Arial" w:cs="Arial"/>
                <w:snapToGrid w:val="0"/>
                <w:color w:val="0D0D0D" w:themeColor="text1" w:themeTint="F2"/>
                <w:sz w:val="20"/>
                <w:szCs w:val="20"/>
              </w:rPr>
              <w:t>±</w:t>
            </w:r>
            <w:r>
              <w:rPr>
                <w:rFonts w:ascii="Arial" w:eastAsia="Times New Roman" w:hAnsi="Arial" w:cs="Arial"/>
                <w:color w:val="000000"/>
                <w:sz w:val="20"/>
                <w:szCs w:val="20"/>
              </w:rPr>
              <w:t>4.98</w:t>
            </w:r>
          </w:p>
        </w:tc>
        <w:tc>
          <w:tcPr>
            <w:tcW w:w="2146" w:type="dxa"/>
            <w:tcBorders>
              <w:top w:val="nil"/>
            </w:tcBorders>
            <w:vAlign w:val="bottom"/>
          </w:tcPr>
          <w:p w:rsidR="00DC24DD" w:rsidRDefault="00A758A6">
            <w:pPr>
              <w:spacing w:line="480" w:lineRule="auto"/>
              <w:jc w:val="center"/>
              <w:rPr>
                <w:rFonts w:ascii="Arial" w:hAnsi="Arial" w:cs="Arial"/>
                <w:color w:val="FF0000"/>
                <w:sz w:val="20"/>
                <w:szCs w:val="20"/>
              </w:rPr>
            </w:pPr>
            <w:r>
              <w:rPr>
                <w:rFonts w:ascii="Arial" w:eastAsia="Times New Roman" w:hAnsi="Arial" w:cs="Arial"/>
                <w:color w:val="000000"/>
                <w:sz w:val="20"/>
                <w:szCs w:val="20"/>
              </w:rPr>
              <w:t>151.5</w:t>
            </w:r>
            <w:r>
              <w:rPr>
                <w:rFonts w:ascii="Arial" w:hAnsi="Arial" w:cs="Arial"/>
                <w:snapToGrid w:val="0"/>
                <w:color w:val="0D0D0D" w:themeColor="text1" w:themeTint="F2"/>
                <w:sz w:val="20"/>
                <w:szCs w:val="20"/>
              </w:rPr>
              <w:t>±</w:t>
            </w:r>
            <w:r>
              <w:rPr>
                <w:rFonts w:ascii="Arial" w:eastAsia="Times New Roman" w:hAnsi="Arial" w:cs="Arial"/>
                <w:color w:val="000000"/>
                <w:sz w:val="20"/>
                <w:szCs w:val="20"/>
              </w:rPr>
              <w:t>6.06</w:t>
            </w:r>
          </w:p>
        </w:tc>
      </w:tr>
    </w:tbl>
    <w:p w:rsidR="00DC24DD" w:rsidRDefault="00A758A6">
      <w:pPr>
        <w:pStyle w:val="BodyText2"/>
        <w:spacing w:line="240" w:lineRule="auto"/>
        <w:jc w:val="left"/>
        <w:rPr>
          <w:rFonts w:ascii="Arial" w:hAnsi="Arial" w:cs="Arial"/>
          <w:b/>
          <w:sz w:val="20"/>
        </w:rPr>
      </w:pPr>
      <w:r>
        <w:rPr>
          <w:sz w:val="16"/>
          <w:szCs w:val="16"/>
        </w:rPr>
        <w:t xml:space="preserve">Key: F= Female, </w:t>
      </w:r>
      <w:r>
        <w:rPr>
          <w:snapToGrid w:val="0"/>
          <w:color w:val="000000" w:themeColor="text1"/>
          <w:sz w:val="18"/>
          <w:szCs w:val="18"/>
        </w:rPr>
        <w:t xml:space="preserve">Total values are expressed </w:t>
      </w:r>
      <w:r>
        <w:rPr>
          <w:snapToGrid w:val="0"/>
          <w:sz w:val="18"/>
          <w:szCs w:val="18"/>
        </w:rPr>
        <w:t xml:space="preserve">as </w:t>
      </w:r>
      <w:proofErr w:type="spellStart"/>
      <w:r>
        <w:rPr>
          <w:snapToGrid w:val="0"/>
          <w:sz w:val="18"/>
          <w:szCs w:val="18"/>
        </w:rPr>
        <w:t>Mean±SE</w:t>
      </w:r>
      <w:proofErr w:type="spellEnd"/>
      <w:r>
        <w:rPr>
          <w:snapToGrid w:val="0"/>
          <w:sz w:val="18"/>
          <w:szCs w:val="18"/>
        </w:rPr>
        <w:t xml:space="preserve"> (standard error)</w:t>
      </w:r>
    </w:p>
    <w:p w:rsidR="00DC24DD" w:rsidRDefault="00DC24DD">
      <w:pPr>
        <w:pStyle w:val="BodyText2"/>
        <w:jc w:val="left"/>
        <w:rPr>
          <w:rFonts w:ascii="Arial" w:hAnsi="Arial" w:cs="Arial"/>
          <w:b/>
          <w:sz w:val="20"/>
        </w:rPr>
      </w:pPr>
    </w:p>
    <w:p w:rsidR="00DC24DD" w:rsidRDefault="00A758A6">
      <w:pPr>
        <w:pStyle w:val="BodyText2"/>
        <w:spacing w:before="120" w:after="120" w:line="240" w:lineRule="auto"/>
        <w:jc w:val="left"/>
        <w:rPr>
          <w:rFonts w:ascii="Arial" w:hAnsi="Arial" w:cs="Arial"/>
          <w:snapToGrid w:val="0"/>
          <w:color w:val="000000"/>
          <w:sz w:val="20"/>
        </w:rPr>
      </w:pPr>
      <w:r>
        <w:rPr>
          <w:rFonts w:ascii="Arial" w:hAnsi="Arial" w:cs="Arial"/>
          <w:b/>
          <w:sz w:val="20"/>
        </w:rPr>
        <w:t xml:space="preserve">Table 3: AST, ALT, ALP and creatinine values in experimental rats treated with </w:t>
      </w:r>
      <w:proofErr w:type="spellStart"/>
      <w:r>
        <w:rPr>
          <w:rFonts w:ascii="Arial" w:hAnsi="Arial" w:cs="Arial"/>
          <w:b/>
          <w:bCs/>
          <w:color w:val="000000" w:themeColor="text1"/>
          <w:sz w:val="20"/>
        </w:rPr>
        <w:t>Xlivpro</w:t>
      </w:r>
      <w:proofErr w:type="spellEnd"/>
      <w:r>
        <w:rPr>
          <w:rFonts w:ascii="Arial" w:hAnsi="Arial" w:cs="Arial"/>
          <w:b/>
          <w:bCs/>
          <w:color w:val="000000" w:themeColor="text1"/>
          <w:sz w:val="20"/>
        </w:rPr>
        <w:t xml:space="preserve"> Premix</w:t>
      </w:r>
      <w:r>
        <w:rPr>
          <w:rFonts w:ascii="Arial" w:hAnsi="Arial" w:cs="Arial"/>
          <w:b/>
          <w:sz w:val="20"/>
        </w:rPr>
        <w:t>@</w:t>
      </w:r>
      <w:r>
        <w:rPr>
          <w:rFonts w:ascii="Arial" w:hAnsi="Arial" w:cs="Arial"/>
          <w:b/>
          <w:bCs/>
          <w:snapToGrid w:val="0"/>
          <w:color w:val="000000"/>
          <w:sz w:val="20"/>
        </w:rPr>
        <w:t>2000mg/kg</w:t>
      </w:r>
    </w:p>
    <w:tbl>
      <w:tblPr>
        <w:tblW w:w="9158" w:type="dxa"/>
        <w:jc w:val="center"/>
        <w:tblLayout w:type="fixed"/>
        <w:tblCellMar>
          <w:left w:w="30" w:type="dxa"/>
          <w:right w:w="30" w:type="dxa"/>
        </w:tblCellMar>
        <w:tblLook w:val="04A0" w:firstRow="1" w:lastRow="0" w:firstColumn="1" w:lastColumn="0" w:noHBand="0" w:noVBand="1"/>
      </w:tblPr>
      <w:tblGrid>
        <w:gridCol w:w="1418"/>
        <w:gridCol w:w="1104"/>
        <w:gridCol w:w="1619"/>
        <w:gridCol w:w="1620"/>
        <w:gridCol w:w="1782"/>
        <w:gridCol w:w="1615"/>
      </w:tblGrid>
      <w:tr w:rsidR="00DC24DD">
        <w:trPr>
          <w:cantSplit/>
          <w:trHeight w:val="422"/>
          <w:jc w:val="center"/>
        </w:trPr>
        <w:tc>
          <w:tcPr>
            <w:tcW w:w="1418" w:type="dxa"/>
            <w:tcBorders>
              <w:top w:val="single" w:sz="4" w:space="0" w:color="auto"/>
            </w:tcBorders>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 xml:space="preserve">Dose of </w:t>
            </w:r>
            <w:proofErr w:type="spellStart"/>
            <w:r>
              <w:rPr>
                <w:rFonts w:ascii="Arial" w:hAnsi="Arial" w:cs="Arial"/>
                <w:color w:val="000000" w:themeColor="text1"/>
                <w:sz w:val="20"/>
                <w:szCs w:val="20"/>
              </w:rPr>
              <w:t>Xlivpro</w:t>
            </w:r>
            <w:proofErr w:type="spellEnd"/>
            <w:r>
              <w:rPr>
                <w:rFonts w:ascii="Arial" w:hAnsi="Arial" w:cs="Arial"/>
                <w:color w:val="000000" w:themeColor="text1"/>
                <w:sz w:val="20"/>
                <w:szCs w:val="20"/>
              </w:rPr>
              <w:t xml:space="preserve"> Premix</w:t>
            </w:r>
          </w:p>
        </w:tc>
        <w:tc>
          <w:tcPr>
            <w:tcW w:w="1104" w:type="dxa"/>
            <w:tcBorders>
              <w:top w:val="single" w:sz="4" w:space="0" w:color="auto"/>
            </w:tcBorders>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Rat No.</w:t>
            </w:r>
          </w:p>
        </w:tc>
        <w:tc>
          <w:tcPr>
            <w:tcW w:w="6636" w:type="dxa"/>
            <w:gridSpan w:val="4"/>
            <w:tcBorders>
              <w:top w:val="single" w:sz="4" w:space="0" w:color="auto"/>
              <w:bottom w:val="single" w:sz="4" w:space="0" w:color="auto"/>
            </w:tcBorders>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Biochemical parameters</w:t>
            </w:r>
          </w:p>
        </w:tc>
      </w:tr>
      <w:tr w:rsidR="00DC24DD">
        <w:trPr>
          <w:cantSplit/>
          <w:trHeight w:val="413"/>
          <w:jc w:val="center"/>
        </w:trPr>
        <w:tc>
          <w:tcPr>
            <w:tcW w:w="1418" w:type="dxa"/>
            <w:tcBorders>
              <w:bottom w:val="single" w:sz="4" w:space="0" w:color="auto"/>
            </w:tcBorders>
            <w:vAlign w:val="center"/>
          </w:tcPr>
          <w:p w:rsidR="00DC24DD" w:rsidRDefault="00DC24DD">
            <w:pPr>
              <w:spacing w:line="240" w:lineRule="auto"/>
              <w:jc w:val="center"/>
              <w:rPr>
                <w:rFonts w:ascii="Arial" w:hAnsi="Arial" w:cs="Arial"/>
                <w:snapToGrid w:val="0"/>
                <w:color w:val="000000"/>
                <w:sz w:val="20"/>
                <w:szCs w:val="20"/>
              </w:rPr>
            </w:pPr>
          </w:p>
        </w:tc>
        <w:tc>
          <w:tcPr>
            <w:tcW w:w="1104" w:type="dxa"/>
            <w:tcBorders>
              <w:bottom w:val="single" w:sz="4" w:space="0" w:color="auto"/>
            </w:tcBorders>
            <w:vAlign w:val="center"/>
          </w:tcPr>
          <w:p w:rsidR="00DC24DD" w:rsidRDefault="00DC24DD">
            <w:pPr>
              <w:spacing w:line="240" w:lineRule="auto"/>
              <w:jc w:val="center"/>
              <w:rPr>
                <w:rFonts w:ascii="Arial" w:hAnsi="Arial" w:cs="Arial"/>
                <w:snapToGrid w:val="0"/>
                <w:color w:val="000000"/>
                <w:sz w:val="20"/>
                <w:szCs w:val="20"/>
              </w:rPr>
            </w:pPr>
          </w:p>
        </w:tc>
        <w:tc>
          <w:tcPr>
            <w:tcW w:w="1619" w:type="dxa"/>
            <w:tcBorders>
              <w:top w:val="single" w:sz="4" w:space="0" w:color="auto"/>
              <w:bottom w:val="single" w:sz="4" w:space="0" w:color="auto"/>
            </w:tcBorders>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AST</w:t>
            </w:r>
          </w:p>
        </w:tc>
        <w:tc>
          <w:tcPr>
            <w:tcW w:w="1620" w:type="dxa"/>
            <w:tcBorders>
              <w:top w:val="single" w:sz="4" w:space="0" w:color="auto"/>
              <w:bottom w:val="single" w:sz="4" w:space="0" w:color="auto"/>
            </w:tcBorders>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ALT</w:t>
            </w:r>
          </w:p>
        </w:tc>
        <w:tc>
          <w:tcPr>
            <w:tcW w:w="1782" w:type="dxa"/>
            <w:tcBorders>
              <w:top w:val="single" w:sz="4" w:space="0" w:color="auto"/>
              <w:bottom w:val="single" w:sz="4" w:space="0" w:color="auto"/>
            </w:tcBorders>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ALP</w:t>
            </w:r>
          </w:p>
        </w:tc>
        <w:tc>
          <w:tcPr>
            <w:tcW w:w="1615" w:type="dxa"/>
            <w:tcBorders>
              <w:top w:val="single" w:sz="4" w:space="0" w:color="auto"/>
              <w:bottom w:val="single" w:sz="4" w:space="0" w:color="auto"/>
            </w:tcBorders>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Creatinine</w:t>
            </w:r>
          </w:p>
        </w:tc>
      </w:tr>
      <w:tr w:rsidR="00DC24DD">
        <w:trPr>
          <w:cantSplit/>
          <w:trHeight w:val="623"/>
          <w:jc w:val="center"/>
        </w:trPr>
        <w:tc>
          <w:tcPr>
            <w:tcW w:w="1418" w:type="dxa"/>
            <w:vMerge w:val="restart"/>
            <w:tcBorders>
              <w:top w:val="single" w:sz="4" w:space="0" w:color="auto"/>
            </w:tcBorders>
            <w:vAlign w:val="center"/>
          </w:tcPr>
          <w:p w:rsidR="00DC24DD" w:rsidRDefault="00A758A6">
            <w:pPr>
              <w:spacing w:line="240" w:lineRule="auto"/>
              <w:rPr>
                <w:rFonts w:ascii="Arial" w:hAnsi="Arial" w:cs="Arial"/>
                <w:snapToGrid w:val="0"/>
                <w:color w:val="000000"/>
                <w:sz w:val="20"/>
                <w:szCs w:val="20"/>
              </w:rPr>
            </w:pPr>
            <w:r>
              <w:rPr>
                <w:rFonts w:ascii="Arial" w:hAnsi="Arial" w:cs="Arial"/>
                <w:snapToGrid w:val="0"/>
                <w:color w:val="000000"/>
                <w:sz w:val="20"/>
                <w:szCs w:val="20"/>
              </w:rPr>
              <w:t>2000mg/kg</w:t>
            </w:r>
          </w:p>
        </w:tc>
        <w:tc>
          <w:tcPr>
            <w:tcW w:w="1104" w:type="dxa"/>
            <w:tcBorders>
              <w:top w:val="single" w:sz="4" w:space="0" w:color="auto"/>
            </w:tcBorders>
            <w:vAlign w:val="center"/>
          </w:tcPr>
          <w:p w:rsidR="00DC24DD" w:rsidRDefault="00A758A6">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1</w:t>
            </w:r>
          </w:p>
        </w:tc>
        <w:tc>
          <w:tcPr>
            <w:tcW w:w="1619" w:type="dxa"/>
            <w:tcBorders>
              <w:top w:val="single" w:sz="4" w:space="0" w:color="auto"/>
            </w:tcBorders>
            <w:vAlign w:val="center"/>
          </w:tcPr>
          <w:p w:rsidR="00DC24DD" w:rsidRDefault="00A758A6">
            <w:pPr>
              <w:spacing w:line="240" w:lineRule="auto"/>
              <w:jc w:val="center"/>
              <w:rPr>
                <w:rFonts w:ascii="Arial" w:hAnsi="Arial" w:cs="Arial"/>
                <w:snapToGrid w:val="0"/>
                <w:sz w:val="20"/>
                <w:szCs w:val="20"/>
              </w:rPr>
            </w:pPr>
            <w:r>
              <w:rPr>
                <w:rFonts w:ascii="Arial" w:hAnsi="Arial" w:cs="Arial"/>
                <w:snapToGrid w:val="0"/>
                <w:sz w:val="20"/>
                <w:szCs w:val="20"/>
              </w:rPr>
              <w:t>62.79</w:t>
            </w:r>
          </w:p>
        </w:tc>
        <w:tc>
          <w:tcPr>
            <w:tcW w:w="1620" w:type="dxa"/>
            <w:tcBorders>
              <w:top w:val="single" w:sz="4" w:space="0" w:color="auto"/>
            </w:tcBorders>
            <w:vAlign w:val="center"/>
          </w:tcPr>
          <w:p w:rsidR="00DC24DD" w:rsidRDefault="00A758A6">
            <w:pPr>
              <w:spacing w:line="240" w:lineRule="auto"/>
              <w:jc w:val="center"/>
              <w:rPr>
                <w:rFonts w:ascii="Arial" w:hAnsi="Arial" w:cs="Arial"/>
                <w:snapToGrid w:val="0"/>
                <w:sz w:val="20"/>
                <w:szCs w:val="20"/>
              </w:rPr>
            </w:pPr>
            <w:r>
              <w:rPr>
                <w:rFonts w:ascii="Arial" w:hAnsi="Arial" w:cs="Arial"/>
                <w:snapToGrid w:val="0"/>
                <w:sz w:val="20"/>
                <w:szCs w:val="20"/>
              </w:rPr>
              <w:t>26.09</w:t>
            </w:r>
          </w:p>
        </w:tc>
        <w:tc>
          <w:tcPr>
            <w:tcW w:w="1782" w:type="dxa"/>
            <w:tcBorders>
              <w:top w:val="single" w:sz="4" w:space="0" w:color="auto"/>
            </w:tcBorders>
            <w:vAlign w:val="center"/>
          </w:tcPr>
          <w:p w:rsidR="00DC24DD" w:rsidRDefault="00A758A6">
            <w:pPr>
              <w:spacing w:line="240" w:lineRule="auto"/>
              <w:jc w:val="center"/>
              <w:rPr>
                <w:rFonts w:ascii="Arial" w:hAnsi="Arial" w:cs="Arial"/>
                <w:snapToGrid w:val="0"/>
                <w:sz w:val="20"/>
                <w:szCs w:val="20"/>
              </w:rPr>
            </w:pPr>
            <w:r>
              <w:rPr>
                <w:rFonts w:ascii="Arial" w:hAnsi="Arial" w:cs="Arial"/>
                <w:snapToGrid w:val="0"/>
                <w:sz w:val="20"/>
                <w:szCs w:val="20"/>
              </w:rPr>
              <w:t>82.06</w:t>
            </w:r>
          </w:p>
        </w:tc>
        <w:tc>
          <w:tcPr>
            <w:tcW w:w="1615" w:type="dxa"/>
            <w:tcBorders>
              <w:top w:val="single" w:sz="4" w:space="0" w:color="auto"/>
            </w:tcBorders>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0.55</w:t>
            </w:r>
          </w:p>
        </w:tc>
      </w:tr>
      <w:tr w:rsidR="00DC24DD">
        <w:trPr>
          <w:cantSplit/>
          <w:trHeight w:val="623"/>
          <w:jc w:val="center"/>
        </w:trPr>
        <w:tc>
          <w:tcPr>
            <w:tcW w:w="1418" w:type="dxa"/>
            <w:vMerge/>
            <w:vAlign w:val="center"/>
          </w:tcPr>
          <w:p w:rsidR="00DC24DD" w:rsidRDefault="00DC24DD">
            <w:pPr>
              <w:spacing w:line="240" w:lineRule="auto"/>
              <w:jc w:val="center"/>
              <w:rPr>
                <w:rFonts w:ascii="Arial" w:hAnsi="Arial" w:cs="Arial"/>
                <w:snapToGrid w:val="0"/>
                <w:color w:val="000000"/>
                <w:sz w:val="20"/>
                <w:szCs w:val="20"/>
              </w:rPr>
            </w:pPr>
          </w:p>
        </w:tc>
        <w:tc>
          <w:tcPr>
            <w:tcW w:w="1104" w:type="dxa"/>
            <w:vAlign w:val="center"/>
          </w:tcPr>
          <w:p w:rsidR="00DC24DD" w:rsidRDefault="00A758A6">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2</w:t>
            </w:r>
          </w:p>
        </w:tc>
        <w:tc>
          <w:tcPr>
            <w:tcW w:w="1619"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40.52</w:t>
            </w:r>
          </w:p>
        </w:tc>
        <w:tc>
          <w:tcPr>
            <w:tcW w:w="1620" w:type="dxa"/>
            <w:vAlign w:val="center"/>
          </w:tcPr>
          <w:p w:rsidR="00DC24DD" w:rsidRDefault="00A758A6">
            <w:pPr>
              <w:spacing w:line="240" w:lineRule="auto"/>
              <w:jc w:val="center"/>
              <w:rPr>
                <w:rFonts w:ascii="Arial" w:hAnsi="Arial" w:cs="Arial"/>
                <w:snapToGrid w:val="0"/>
                <w:sz w:val="20"/>
                <w:szCs w:val="20"/>
              </w:rPr>
            </w:pPr>
            <w:r>
              <w:rPr>
                <w:rFonts w:ascii="Arial" w:hAnsi="Arial" w:cs="Arial"/>
                <w:snapToGrid w:val="0"/>
                <w:sz w:val="20"/>
                <w:szCs w:val="20"/>
              </w:rPr>
              <w:t>20.11</w:t>
            </w:r>
          </w:p>
        </w:tc>
        <w:tc>
          <w:tcPr>
            <w:tcW w:w="1782" w:type="dxa"/>
            <w:vAlign w:val="center"/>
          </w:tcPr>
          <w:p w:rsidR="00DC24DD" w:rsidRDefault="00A758A6">
            <w:pPr>
              <w:spacing w:line="240" w:lineRule="auto"/>
              <w:jc w:val="center"/>
              <w:rPr>
                <w:rFonts w:ascii="Arial" w:hAnsi="Arial" w:cs="Arial"/>
                <w:snapToGrid w:val="0"/>
                <w:sz w:val="20"/>
                <w:szCs w:val="20"/>
              </w:rPr>
            </w:pPr>
            <w:r>
              <w:rPr>
                <w:rFonts w:ascii="Arial" w:hAnsi="Arial" w:cs="Arial"/>
                <w:snapToGrid w:val="0"/>
                <w:sz w:val="20"/>
                <w:szCs w:val="20"/>
              </w:rPr>
              <w:t>79.25</w:t>
            </w:r>
          </w:p>
        </w:tc>
        <w:tc>
          <w:tcPr>
            <w:tcW w:w="1615"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0.51</w:t>
            </w:r>
          </w:p>
        </w:tc>
      </w:tr>
      <w:tr w:rsidR="00DC24DD">
        <w:trPr>
          <w:cantSplit/>
          <w:trHeight w:val="623"/>
          <w:jc w:val="center"/>
        </w:trPr>
        <w:tc>
          <w:tcPr>
            <w:tcW w:w="1418" w:type="dxa"/>
            <w:vMerge/>
            <w:vAlign w:val="center"/>
          </w:tcPr>
          <w:p w:rsidR="00DC24DD" w:rsidRDefault="00DC24DD">
            <w:pPr>
              <w:spacing w:line="240" w:lineRule="auto"/>
              <w:jc w:val="center"/>
              <w:rPr>
                <w:rFonts w:ascii="Arial" w:hAnsi="Arial" w:cs="Arial"/>
                <w:bCs/>
                <w:snapToGrid w:val="0"/>
                <w:color w:val="000000"/>
                <w:sz w:val="20"/>
                <w:szCs w:val="20"/>
              </w:rPr>
            </w:pPr>
          </w:p>
        </w:tc>
        <w:tc>
          <w:tcPr>
            <w:tcW w:w="1104" w:type="dxa"/>
            <w:vAlign w:val="center"/>
          </w:tcPr>
          <w:p w:rsidR="00DC24DD" w:rsidRDefault="00A758A6">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3</w:t>
            </w:r>
          </w:p>
        </w:tc>
        <w:tc>
          <w:tcPr>
            <w:tcW w:w="1619"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56.60</w:t>
            </w:r>
          </w:p>
        </w:tc>
        <w:tc>
          <w:tcPr>
            <w:tcW w:w="1620" w:type="dxa"/>
            <w:vAlign w:val="center"/>
          </w:tcPr>
          <w:p w:rsidR="00DC24DD" w:rsidRDefault="00A758A6">
            <w:pPr>
              <w:spacing w:line="240" w:lineRule="auto"/>
              <w:jc w:val="center"/>
              <w:rPr>
                <w:rFonts w:ascii="Arial" w:hAnsi="Arial" w:cs="Arial"/>
                <w:snapToGrid w:val="0"/>
                <w:sz w:val="20"/>
                <w:szCs w:val="20"/>
              </w:rPr>
            </w:pPr>
            <w:r>
              <w:rPr>
                <w:rFonts w:ascii="Arial" w:hAnsi="Arial" w:cs="Arial"/>
                <w:snapToGrid w:val="0"/>
                <w:sz w:val="20"/>
                <w:szCs w:val="20"/>
              </w:rPr>
              <w:t>27.43</w:t>
            </w:r>
          </w:p>
        </w:tc>
        <w:tc>
          <w:tcPr>
            <w:tcW w:w="1782" w:type="dxa"/>
            <w:vAlign w:val="center"/>
          </w:tcPr>
          <w:p w:rsidR="00DC24DD" w:rsidRDefault="00A758A6">
            <w:pPr>
              <w:spacing w:line="240" w:lineRule="auto"/>
              <w:jc w:val="center"/>
              <w:rPr>
                <w:rFonts w:ascii="Arial" w:hAnsi="Arial" w:cs="Arial"/>
                <w:snapToGrid w:val="0"/>
                <w:sz w:val="20"/>
                <w:szCs w:val="20"/>
              </w:rPr>
            </w:pPr>
            <w:r>
              <w:rPr>
                <w:rFonts w:ascii="Arial" w:hAnsi="Arial" w:cs="Arial"/>
                <w:snapToGrid w:val="0"/>
                <w:sz w:val="20"/>
                <w:szCs w:val="20"/>
              </w:rPr>
              <w:t>67.44</w:t>
            </w:r>
          </w:p>
        </w:tc>
        <w:tc>
          <w:tcPr>
            <w:tcW w:w="1615"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0.57</w:t>
            </w:r>
          </w:p>
        </w:tc>
      </w:tr>
      <w:tr w:rsidR="00DC24DD">
        <w:trPr>
          <w:cantSplit/>
          <w:trHeight w:val="623"/>
          <w:jc w:val="center"/>
        </w:trPr>
        <w:tc>
          <w:tcPr>
            <w:tcW w:w="1418" w:type="dxa"/>
            <w:vMerge/>
            <w:vAlign w:val="center"/>
          </w:tcPr>
          <w:p w:rsidR="00DC24DD" w:rsidRDefault="00DC24DD">
            <w:pPr>
              <w:spacing w:line="240" w:lineRule="auto"/>
              <w:jc w:val="center"/>
              <w:rPr>
                <w:rFonts w:ascii="Arial" w:hAnsi="Arial" w:cs="Arial"/>
                <w:bCs/>
                <w:snapToGrid w:val="0"/>
                <w:color w:val="000000"/>
                <w:sz w:val="20"/>
                <w:szCs w:val="20"/>
              </w:rPr>
            </w:pPr>
          </w:p>
        </w:tc>
        <w:tc>
          <w:tcPr>
            <w:tcW w:w="1104" w:type="dxa"/>
            <w:vAlign w:val="center"/>
          </w:tcPr>
          <w:p w:rsidR="00DC24DD" w:rsidRDefault="00A758A6">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4</w:t>
            </w:r>
          </w:p>
        </w:tc>
        <w:tc>
          <w:tcPr>
            <w:tcW w:w="1619"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47.92</w:t>
            </w:r>
          </w:p>
        </w:tc>
        <w:tc>
          <w:tcPr>
            <w:tcW w:w="1620" w:type="dxa"/>
            <w:vAlign w:val="center"/>
          </w:tcPr>
          <w:p w:rsidR="00DC24DD" w:rsidRDefault="00A758A6">
            <w:pPr>
              <w:spacing w:line="240" w:lineRule="auto"/>
              <w:jc w:val="center"/>
              <w:rPr>
                <w:rFonts w:ascii="Arial" w:hAnsi="Arial" w:cs="Arial"/>
                <w:snapToGrid w:val="0"/>
                <w:sz w:val="20"/>
                <w:szCs w:val="20"/>
              </w:rPr>
            </w:pPr>
            <w:r>
              <w:rPr>
                <w:rFonts w:ascii="Arial" w:hAnsi="Arial" w:cs="Arial"/>
                <w:snapToGrid w:val="0"/>
                <w:sz w:val="20"/>
                <w:szCs w:val="20"/>
              </w:rPr>
              <w:t>22.70</w:t>
            </w:r>
          </w:p>
        </w:tc>
        <w:tc>
          <w:tcPr>
            <w:tcW w:w="1782" w:type="dxa"/>
            <w:vAlign w:val="center"/>
          </w:tcPr>
          <w:p w:rsidR="00DC24DD" w:rsidRDefault="00A758A6">
            <w:pPr>
              <w:spacing w:line="240" w:lineRule="auto"/>
              <w:jc w:val="center"/>
              <w:rPr>
                <w:rFonts w:ascii="Arial" w:hAnsi="Arial" w:cs="Arial"/>
                <w:snapToGrid w:val="0"/>
                <w:sz w:val="20"/>
                <w:szCs w:val="20"/>
              </w:rPr>
            </w:pPr>
            <w:r>
              <w:rPr>
                <w:rFonts w:ascii="Arial" w:hAnsi="Arial" w:cs="Arial"/>
                <w:snapToGrid w:val="0"/>
                <w:sz w:val="20"/>
                <w:szCs w:val="20"/>
              </w:rPr>
              <w:t>86.32</w:t>
            </w:r>
          </w:p>
        </w:tc>
        <w:tc>
          <w:tcPr>
            <w:tcW w:w="1615"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0.46</w:t>
            </w:r>
          </w:p>
        </w:tc>
      </w:tr>
      <w:tr w:rsidR="00DC24DD">
        <w:trPr>
          <w:cantSplit/>
          <w:trHeight w:val="623"/>
          <w:jc w:val="center"/>
        </w:trPr>
        <w:tc>
          <w:tcPr>
            <w:tcW w:w="1418" w:type="dxa"/>
            <w:tcBorders>
              <w:bottom w:val="single" w:sz="4" w:space="0" w:color="auto"/>
            </w:tcBorders>
            <w:vAlign w:val="center"/>
          </w:tcPr>
          <w:p w:rsidR="00DC24DD" w:rsidRDefault="00DC24DD">
            <w:pPr>
              <w:spacing w:line="240" w:lineRule="auto"/>
              <w:jc w:val="center"/>
              <w:rPr>
                <w:rFonts w:ascii="Arial" w:hAnsi="Arial" w:cs="Arial"/>
                <w:bCs/>
                <w:snapToGrid w:val="0"/>
                <w:color w:val="000000"/>
                <w:sz w:val="20"/>
                <w:szCs w:val="20"/>
              </w:rPr>
            </w:pPr>
          </w:p>
        </w:tc>
        <w:tc>
          <w:tcPr>
            <w:tcW w:w="1104" w:type="dxa"/>
            <w:tcBorders>
              <w:bottom w:val="single" w:sz="4" w:space="0" w:color="auto"/>
            </w:tcBorders>
            <w:vAlign w:val="center"/>
          </w:tcPr>
          <w:p w:rsidR="00DC24DD" w:rsidRDefault="00A758A6">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Total</w:t>
            </w:r>
          </w:p>
        </w:tc>
        <w:tc>
          <w:tcPr>
            <w:tcW w:w="1619" w:type="dxa"/>
            <w:tcBorders>
              <w:bottom w:val="single" w:sz="4" w:space="0" w:color="auto"/>
            </w:tcBorders>
            <w:vAlign w:val="center"/>
          </w:tcPr>
          <w:p w:rsidR="00DC24DD" w:rsidRDefault="00A758A6">
            <w:pPr>
              <w:spacing w:line="240" w:lineRule="auto"/>
              <w:jc w:val="center"/>
              <w:rPr>
                <w:rFonts w:ascii="Arial" w:hAnsi="Arial" w:cs="Arial"/>
                <w:snapToGrid w:val="0"/>
                <w:color w:val="000000"/>
                <w:sz w:val="20"/>
                <w:szCs w:val="20"/>
              </w:rPr>
            </w:pPr>
            <w:r>
              <w:rPr>
                <w:rFonts w:ascii="Arial" w:eastAsia="Times New Roman" w:hAnsi="Arial" w:cs="Arial"/>
                <w:color w:val="000000"/>
                <w:sz w:val="20"/>
                <w:szCs w:val="20"/>
              </w:rPr>
              <w:t>51.95</w:t>
            </w:r>
            <w:r>
              <w:rPr>
                <w:rFonts w:ascii="Arial" w:hAnsi="Arial" w:cs="Arial"/>
                <w:snapToGrid w:val="0"/>
                <w:color w:val="0D0D0D" w:themeColor="text1" w:themeTint="F2"/>
                <w:sz w:val="20"/>
                <w:szCs w:val="20"/>
              </w:rPr>
              <w:t>±</w:t>
            </w:r>
            <w:r>
              <w:rPr>
                <w:rFonts w:ascii="Arial" w:eastAsia="Times New Roman" w:hAnsi="Arial" w:cs="Arial"/>
                <w:color w:val="000000"/>
                <w:sz w:val="20"/>
                <w:szCs w:val="20"/>
              </w:rPr>
              <w:t>4.88</w:t>
            </w:r>
          </w:p>
        </w:tc>
        <w:tc>
          <w:tcPr>
            <w:tcW w:w="1620" w:type="dxa"/>
            <w:tcBorders>
              <w:bottom w:val="single" w:sz="4" w:space="0" w:color="auto"/>
            </w:tcBorders>
            <w:vAlign w:val="center"/>
          </w:tcPr>
          <w:p w:rsidR="00DC24DD" w:rsidRDefault="00A758A6">
            <w:pPr>
              <w:spacing w:line="240" w:lineRule="auto"/>
              <w:jc w:val="center"/>
              <w:rPr>
                <w:rFonts w:ascii="Arial" w:hAnsi="Arial" w:cs="Arial"/>
                <w:snapToGrid w:val="0"/>
                <w:sz w:val="20"/>
                <w:szCs w:val="20"/>
              </w:rPr>
            </w:pPr>
            <w:r>
              <w:rPr>
                <w:rFonts w:ascii="Arial" w:eastAsia="Times New Roman" w:hAnsi="Arial" w:cs="Arial"/>
                <w:color w:val="000000"/>
                <w:sz w:val="20"/>
                <w:szCs w:val="20"/>
              </w:rPr>
              <w:t>24.08</w:t>
            </w:r>
            <w:r>
              <w:rPr>
                <w:rFonts w:ascii="Arial" w:hAnsi="Arial" w:cs="Arial"/>
                <w:snapToGrid w:val="0"/>
                <w:color w:val="0D0D0D" w:themeColor="text1" w:themeTint="F2"/>
                <w:sz w:val="20"/>
                <w:szCs w:val="20"/>
              </w:rPr>
              <w:t>±</w:t>
            </w:r>
            <w:r>
              <w:rPr>
                <w:rFonts w:ascii="Arial" w:eastAsia="Times New Roman" w:hAnsi="Arial" w:cs="Arial"/>
                <w:color w:val="000000"/>
                <w:sz w:val="20"/>
                <w:szCs w:val="20"/>
              </w:rPr>
              <w:t>1.65</w:t>
            </w:r>
          </w:p>
        </w:tc>
        <w:tc>
          <w:tcPr>
            <w:tcW w:w="1782" w:type="dxa"/>
            <w:tcBorders>
              <w:bottom w:val="single" w:sz="4" w:space="0" w:color="auto"/>
            </w:tcBorders>
            <w:vAlign w:val="center"/>
          </w:tcPr>
          <w:p w:rsidR="00DC24DD" w:rsidRDefault="00A758A6">
            <w:pPr>
              <w:spacing w:line="240" w:lineRule="auto"/>
              <w:jc w:val="center"/>
              <w:rPr>
                <w:rFonts w:ascii="Arial" w:hAnsi="Arial" w:cs="Arial"/>
                <w:snapToGrid w:val="0"/>
                <w:sz w:val="20"/>
                <w:szCs w:val="20"/>
              </w:rPr>
            </w:pPr>
            <w:r>
              <w:rPr>
                <w:rFonts w:ascii="Arial" w:eastAsia="Times New Roman" w:hAnsi="Arial" w:cs="Arial"/>
                <w:color w:val="000000"/>
                <w:sz w:val="20"/>
                <w:szCs w:val="20"/>
              </w:rPr>
              <w:t>78.76</w:t>
            </w:r>
            <w:r>
              <w:rPr>
                <w:rFonts w:ascii="Arial" w:hAnsi="Arial" w:cs="Arial"/>
                <w:snapToGrid w:val="0"/>
                <w:color w:val="0D0D0D" w:themeColor="text1" w:themeTint="F2"/>
                <w:sz w:val="20"/>
                <w:szCs w:val="20"/>
              </w:rPr>
              <w:t>±</w:t>
            </w:r>
            <w:r>
              <w:rPr>
                <w:rFonts w:ascii="Arial" w:eastAsia="Times New Roman" w:hAnsi="Arial" w:cs="Arial"/>
                <w:color w:val="000000"/>
                <w:sz w:val="20"/>
                <w:szCs w:val="20"/>
              </w:rPr>
              <w:t>4.04</w:t>
            </w:r>
          </w:p>
        </w:tc>
        <w:tc>
          <w:tcPr>
            <w:tcW w:w="1615" w:type="dxa"/>
            <w:tcBorders>
              <w:bottom w:val="single" w:sz="4" w:space="0" w:color="auto"/>
            </w:tcBorders>
            <w:vAlign w:val="center"/>
          </w:tcPr>
          <w:p w:rsidR="00DC24DD" w:rsidRDefault="00A758A6">
            <w:pPr>
              <w:spacing w:line="240" w:lineRule="auto"/>
              <w:jc w:val="center"/>
              <w:rPr>
                <w:rFonts w:ascii="Arial" w:hAnsi="Arial" w:cs="Arial"/>
                <w:snapToGrid w:val="0"/>
                <w:color w:val="000000"/>
                <w:sz w:val="20"/>
                <w:szCs w:val="20"/>
              </w:rPr>
            </w:pPr>
            <w:r>
              <w:rPr>
                <w:rFonts w:ascii="Arial" w:eastAsia="Times New Roman" w:hAnsi="Arial" w:cs="Arial"/>
                <w:color w:val="000000"/>
                <w:sz w:val="20"/>
                <w:szCs w:val="20"/>
              </w:rPr>
              <w:t>0.52</w:t>
            </w:r>
            <w:r>
              <w:rPr>
                <w:rFonts w:ascii="Arial" w:hAnsi="Arial" w:cs="Arial"/>
                <w:snapToGrid w:val="0"/>
                <w:color w:val="0D0D0D" w:themeColor="text1" w:themeTint="F2"/>
                <w:sz w:val="20"/>
                <w:szCs w:val="20"/>
              </w:rPr>
              <w:t>±</w:t>
            </w:r>
            <w:r>
              <w:rPr>
                <w:rFonts w:ascii="Arial" w:eastAsia="Times New Roman" w:hAnsi="Arial" w:cs="Arial"/>
                <w:color w:val="000000"/>
                <w:sz w:val="20"/>
                <w:szCs w:val="20"/>
              </w:rPr>
              <w:t>0.02</w:t>
            </w:r>
          </w:p>
        </w:tc>
      </w:tr>
    </w:tbl>
    <w:p w:rsidR="00DC24DD" w:rsidRDefault="00A758A6">
      <w:pPr>
        <w:pStyle w:val="BodyText2"/>
        <w:rPr>
          <w:rFonts w:ascii="Arial" w:hAnsi="Arial" w:cs="Arial"/>
          <w:snapToGrid w:val="0"/>
          <w:sz w:val="18"/>
          <w:szCs w:val="18"/>
        </w:rPr>
      </w:pPr>
      <w:r>
        <w:rPr>
          <w:rFonts w:ascii="Arial" w:hAnsi="Arial" w:cs="Arial"/>
          <w:color w:val="000000" w:themeColor="text1"/>
          <w:sz w:val="18"/>
          <w:szCs w:val="18"/>
        </w:rPr>
        <w:t>Rat No. 1, 2 3 and</w:t>
      </w:r>
      <w:r>
        <w:rPr>
          <w:rFonts w:ascii="Arial" w:hAnsi="Arial" w:cs="Arial"/>
          <w:snapToGrid w:val="0"/>
          <w:color w:val="000000" w:themeColor="text1"/>
          <w:sz w:val="18"/>
          <w:szCs w:val="18"/>
        </w:rPr>
        <w:t xml:space="preserve"> 4 </w:t>
      </w:r>
      <w:r>
        <w:rPr>
          <w:rFonts w:ascii="Arial" w:hAnsi="Arial" w:cs="Arial"/>
          <w:color w:val="000000" w:themeColor="text1"/>
          <w:sz w:val="18"/>
          <w:szCs w:val="18"/>
        </w:rPr>
        <w:t>are</w:t>
      </w:r>
      <w:r>
        <w:rPr>
          <w:rFonts w:ascii="Arial" w:hAnsi="Arial" w:cs="Arial"/>
          <w:snapToGrid w:val="0"/>
          <w:color w:val="000000" w:themeColor="text1"/>
          <w:sz w:val="18"/>
          <w:szCs w:val="18"/>
        </w:rPr>
        <w:t xml:space="preserve"> from main test group III, Total values are expressed </w:t>
      </w:r>
      <w:r>
        <w:rPr>
          <w:rFonts w:ascii="Arial" w:hAnsi="Arial" w:cs="Arial"/>
          <w:snapToGrid w:val="0"/>
          <w:sz w:val="18"/>
          <w:szCs w:val="18"/>
        </w:rPr>
        <w:t xml:space="preserve">as </w:t>
      </w:r>
      <w:proofErr w:type="spellStart"/>
      <w:r>
        <w:rPr>
          <w:rFonts w:ascii="Arial" w:hAnsi="Arial" w:cs="Arial"/>
          <w:snapToGrid w:val="0"/>
          <w:sz w:val="18"/>
          <w:szCs w:val="18"/>
        </w:rPr>
        <w:t>Mean±SE</w:t>
      </w:r>
      <w:proofErr w:type="spellEnd"/>
      <w:r>
        <w:rPr>
          <w:rFonts w:ascii="Arial" w:hAnsi="Arial" w:cs="Arial"/>
          <w:snapToGrid w:val="0"/>
          <w:sz w:val="18"/>
          <w:szCs w:val="18"/>
        </w:rPr>
        <w:t xml:space="preserve"> (standard error)</w:t>
      </w:r>
    </w:p>
    <w:p w:rsidR="00DC24DD" w:rsidRDefault="00A758A6">
      <w:pPr>
        <w:pStyle w:val="BodyText2"/>
        <w:rPr>
          <w:rFonts w:ascii="Arial" w:hAnsi="Arial" w:cs="Arial"/>
          <w:snapToGrid w:val="0"/>
          <w:sz w:val="18"/>
          <w:szCs w:val="18"/>
        </w:rPr>
      </w:pPr>
      <w:r>
        <w:rPr>
          <w:rFonts w:ascii="Arial" w:hAnsi="Arial" w:cs="Arial"/>
          <w:snapToGrid w:val="0"/>
          <w:sz w:val="18"/>
          <w:szCs w:val="18"/>
        </w:rPr>
        <w:t xml:space="preserve">  </w:t>
      </w:r>
    </w:p>
    <w:p w:rsidR="00DC24DD" w:rsidRDefault="00DC24DD">
      <w:pPr>
        <w:pStyle w:val="BodyText2"/>
        <w:rPr>
          <w:rFonts w:ascii="Arial" w:hAnsi="Arial" w:cs="Arial"/>
          <w:snapToGrid w:val="0"/>
          <w:sz w:val="18"/>
          <w:szCs w:val="18"/>
        </w:rPr>
      </w:pPr>
    </w:p>
    <w:p w:rsidR="00DC24DD" w:rsidRDefault="00A758A6">
      <w:pPr>
        <w:pStyle w:val="BodyText2"/>
        <w:jc w:val="left"/>
        <w:rPr>
          <w:rFonts w:ascii="Arial" w:hAnsi="Arial" w:cs="Arial"/>
          <w:b/>
          <w:sz w:val="20"/>
        </w:rPr>
      </w:pPr>
      <w:r>
        <w:rPr>
          <w:rFonts w:ascii="Arial" w:hAnsi="Arial" w:cs="Arial"/>
          <w:b/>
          <w:sz w:val="20"/>
        </w:rPr>
        <w:t xml:space="preserve">Table 4: Mortality records in rats treated with </w:t>
      </w:r>
      <w:proofErr w:type="spellStart"/>
      <w:r>
        <w:rPr>
          <w:rFonts w:ascii="Arial" w:hAnsi="Arial" w:cs="Arial"/>
          <w:b/>
          <w:bCs/>
          <w:color w:val="000000" w:themeColor="text1"/>
          <w:sz w:val="20"/>
        </w:rPr>
        <w:t>Xlivpro</w:t>
      </w:r>
      <w:proofErr w:type="spellEnd"/>
      <w:r>
        <w:rPr>
          <w:rFonts w:ascii="Arial" w:hAnsi="Arial" w:cs="Arial"/>
          <w:b/>
          <w:bCs/>
          <w:color w:val="000000" w:themeColor="text1"/>
          <w:sz w:val="20"/>
        </w:rPr>
        <w:t xml:space="preserve"> Premix</w:t>
      </w:r>
    </w:p>
    <w:tbl>
      <w:tblPr>
        <w:tblW w:w="9540" w:type="dxa"/>
        <w:tblInd w:w="30" w:type="dxa"/>
        <w:tblBorders>
          <w:top w:val="single" w:sz="4" w:space="0" w:color="auto"/>
          <w:bottom w:val="single" w:sz="4" w:space="0" w:color="auto"/>
          <w:insideH w:val="single" w:sz="4" w:space="0" w:color="auto"/>
        </w:tblBorders>
        <w:tblLayout w:type="fixed"/>
        <w:tblCellMar>
          <w:left w:w="30" w:type="dxa"/>
          <w:right w:w="30" w:type="dxa"/>
        </w:tblCellMar>
        <w:tblLook w:val="04A0" w:firstRow="1" w:lastRow="0" w:firstColumn="1" w:lastColumn="0" w:noHBand="0" w:noVBand="1"/>
      </w:tblPr>
      <w:tblGrid>
        <w:gridCol w:w="851"/>
        <w:gridCol w:w="1399"/>
        <w:gridCol w:w="1080"/>
        <w:gridCol w:w="630"/>
        <w:gridCol w:w="540"/>
        <w:gridCol w:w="540"/>
        <w:gridCol w:w="540"/>
        <w:gridCol w:w="540"/>
        <w:gridCol w:w="630"/>
        <w:gridCol w:w="630"/>
        <w:gridCol w:w="1080"/>
        <w:gridCol w:w="1080"/>
      </w:tblGrid>
      <w:tr w:rsidR="00DC24DD">
        <w:trPr>
          <w:cantSplit/>
          <w:trHeight w:val="305"/>
        </w:trPr>
        <w:tc>
          <w:tcPr>
            <w:tcW w:w="851" w:type="dxa"/>
            <w:vMerge w:val="restart"/>
            <w:vAlign w:val="center"/>
          </w:tcPr>
          <w:p w:rsidR="00DC24DD" w:rsidRDefault="00A758A6">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Group   No</w:t>
            </w:r>
          </w:p>
        </w:tc>
        <w:tc>
          <w:tcPr>
            <w:tcW w:w="1399" w:type="dxa"/>
            <w:vMerge w:val="restart"/>
            <w:vAlign w:val="center"/>
          </w:tcPr>
          <w:p w:rsidR="00DC24DD" w:rsidRDefault="00A758A6">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Dose</w:t>
            </w:r>
          </w:p>
          <w:p w:rsidR="00DC24DD" w:rsidRDefault="00A758A6">
            <w:pPr>
              <w:spacing w:line="240" w:lineRule="auto"/>
              <w:jc w:val="center"/>
              <w:rPr>
                <w:rFonts w:ascii="Arial" w:hAnsi="Arial" w:cs="Arial"/>
                <w:bCs/>
                <w:snapToGrid w:val="0"/>
                <w:color w:val="000000"/>
                <w:sz w:val="20"/>
                <w:szCs w:val="20"/>
              </w:rPr>
            </w:pPr>
            <w:proofErr w:type="spellStart"/>
            <w:r>
              <w:rPr>
                <w:rFonts w:ascii="Arial" w:hAnsi="Arial" w:cs="Arial"/>
                <w:color w:val="000000" w:themeColor="text1"/>
                <w:sz w:val="20"/>
              </w:rPr>
              <w:t>Xlivpro</w:t>
            </w:r>
            <w:proofErr w:type="spellEnd"/>
            <w:r>
              <w:rPr>
                <w:rFonts w:ascii="Arial" w:hAnsi="Arial" w:cs="Arial"/>
                <w:color w:val="000000" w:themeColor="text1"/>
                <w:sz w:val="20"/>
              </w:rPr>
              <w:t xml:space="preserve">  </w:t>
            </w:r>
            <w:r>
              <w:rPr>
                <w:rFonts w:ascii="Arial" w:hAnsi="Arial" w:cs="Arial"/>
                <w:bCs/>
                <w:sz w:val="20"/>
                <w:szCs w:val="20"/>
              </w:rPr>
              <w:t xml:space="preserve"> premix</w:t>
            </w:r>
          </w:p>
        </w:tc>
        <w:tc>
          <w:tcPr>
            <w:tcW w:w="1080" w:type="dxa"/>
            <w:vMerge w:val="restart"/>
            <w:vAlign w:val="center"/>
          </w:tcPr>
          <w:p w:rsidR="00DC24DD" w:rsidRDefault="00A758A6">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Number of animals used</w:t>
            </w:r>
          </w:p>
        </w:tc>
        <w:tc>
          <w:tcPr>
            <w:tcW w:w="4050" w:type="dxa"/>
            <w:gridSpan w:val="7"/>
            <w:vAlign w:val="center"/>
          </w:tcPr>
          <w:p w:rsidR="00DC24DD" w:rsidRDefault="00A758A6">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Mortality after Dosing at</w:t>
            </w:r>
          </w:p>
        </w:tc>
        <w:tc>
          <w:tcPr>
            <w:tcW w:w="2160" w:type="dxa"/>
            <w:gridSpan w:val="2"/>
            <w:vAlign w:val="center"/>
          </w:tcPr>
          <w:p w:rsidR="00DC24DD" w:rsidRDefault="00A758A6">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 xml:space="preserve">Mortality </w:t>
            </w:r>
          </w:p>
        </w:tc>
      </w:tr>
      <w:tr w:rsidR="00DC24DD">
        <w:trPr>
          <w:cantSplit/>
          <w:trHeight w:val="704"/>
        </w:trPr>
        <w:tc>
          <w:tcPr>
            <w:tcW w:w="851" w:type="dxa"/>
            <w:vMerge/>
            <w:vAlign w:val="center"/>
          </w:tcPr>
          <w:p w:rsidR="00DC24DD" w:rsidRDefault="00DC24DD">
            <w:pPr>
              <w:spacing w:line="240" w:lineRule="auto"/>
              <w:jc w:val="center"/>
              <w:rPr>
                <w:rFonts w:ascii="Arial" w:hAnsi="Arial" w:cs="Arial"/>
                <w:bCs/>
                <w:snapToGrid w:val="0"/>
                <w:color w:val="000000"/>
                <w:sz w:val="20"/>
                <w:szCs w:val="20"/>
              </w:rPr>
            </w:pPr>
          </w:p>
        </w:tc>
        <w:tc>
          <w:tcPr>
            <w:tcW w:w="1399" w:type="dxa"/>
            <w:vMerge/>
            <w:vAlign w:val="center"/>
          </w:tcPr>
          <w:p w:rsidR="00DC24DD" w:rsidRDefault="00DC24DD">
            <w:pPr>
              <w:spacing w:line="240" w:lineRule="auto"/>
              <w:jc w:val="center"/>
              <w:rPr>
                <w:rFonts w:ascii="Arial" w:hAnsi="Arial" w:cs="Arial"/>
                <w:bCs/>
                <w:snapToGrid w:val="0"/>
                <w:color w:val="000000"/>
                <w:sz w:val="20"/>
                <w:szCs w:val="20"/>
              </w:rPr>
            </w:pPr>
          </w:p>
        </w:tc>
        <w:tc>
          <w:tcPr>
            <w:tcW w:w="1080" w:type="dxa"/>
            <w:vMerge/>
            <w:vAlign w:val="center"/>
          </w:tcPr>
          <w:p w:rsidR="00DC24DD" w:rsidRDefault="00DC24DD">
            <w:pPr>
              <w:spacing w:line="240" w:lineRule="auto"/>
              <w:jc w:val="center"/>
              <w:rPr>
                <w:rFonts w:ascii="Arial" w:hAnsi="Arial" w:cs="Arial"/>
                <w:bCs/>
                <w:snapToGrid w:val="0"/>
                <w:color w:val="000000"/>
                <w:sz w:val="20"/>
                <w:szCs w:val="20"/>
              </w:rPr>
            </w:pPr>
          </w:p>
        </w:tc>
        <w:tc>
          <w:tcPr>
            <w:tcW w:w="630" w:type="dxa"/>
            <w:vAlign w:val="center"/>
          </w:tcPr>
          <w:p w:rsidR="00DC24DD" w:rsidRDefault="00A758A6">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 xml:space="preserve">1-3 </w:t>
            </w:r>
          </w:p>
          <w:p w:rsidR="00DC24DD" w:rsidRDefault="00A758A6">
            <w:pPr>
              <w:spacing w:line="240" w:lineRule="auto"/>
              <w:jc w:val="center"/>
              <w:rPr>
                <w:rFonts w:ascii="Arial" w:hAnsi="Arial" w:cs="Arial"/>
                <w:bCs/>
                <w:snapToGrid w:val="0"/>
                <w:color w:val="000000"/>
                <w:sz w:val="20"/>
                <w:szCs w:val="20"/>
              </w:rPr>
            </w:pPr>
            <w:proofErr w:type="spellStart"/>
            <w:r>
              <w:rPr>
                <w:rFonts w:ascii="Arial" w:hAnsi="Arial" w:cs="Arial"/>
                <w:bCs/>
                <w:snapToGrid w:val="0"/>
                <w:color w:val="000000"/>
                <w:sz w:val="20"/>
                <w:szCs w:val="20"/>
              </w:rPr>
              <w:t>hr</w:t>
            </w:r>
            <w:proofErr w:type="spellEnd"/>
          </w:p>
        </w:tc>
        <w:tc>
          <w:tcPr>
            <w:tcW w:w="540" w:type="dxa"/>
            <w:vAlign w:val="center"/>
          </w:tcPr>
          <w:p w:rsidR="00DC24DD" w:rsidRDefault="00A758A6">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 xml:space="preserve">6 </w:t>
            </w:r>
          </w:p>
          <w:p w:rsidR="00DC24DD" w:rsidRDefault="00A758A6">
            <w:pPr>
              <w:spacing w:line="240" w:lineRule="auto"/>
              <w:jc w:val="center"/>
              <w:rPr>
                <w:rFonts w:ascii="Arial" w:hAnsi="Arial" w:cs="Arial"/>
                <w:bCs/>
                <w:snapToGrid w:val="0"/>
                <w:color w:val="000000"/>
                <w:sz w:val="20"/>
                <w:szCs w:val="20"/>
              </w:rPr>
            </w:pPr>
            <w:proofErr w:type="spellStart"/>
            <w:r>
              <w:rPr>
                <w:rFonts w:ascii="Arial" w:hAnsi="Arial" w:cs="Arial"/>
                <w:bCs/>
                <w:snapToGrid w:val="0"/>
                <w:color w:val="000000"/>
                <w:sz w:val="20"/>
                <w:szCs w:val="20"/>
              </w:rPr>
              <w:t>hr</w:t>
            </w:r>
            <w:proofErr w:type="spellEnd"/>
          </w:p>
        </w:tc>
        <w:tc>
          <w:tcPr>
            <w:tcW w:w="540" w:type="dxa"/>
            <w:vAlign w:val="center"/>
          </w:tcPr>
          <w:p w:rsidR="00DC24DD" w:rsidRDefault="00A758A6">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 xml:space="preserve">24 </w:t>
            </w:r>
          </w:p>
          <w:p w:rsidR="00DC24DD" w:rsidRDefault="00A758A6">
            <w:pPr>
              <w:spacing w:line="240" w:lineRule="auto"/>
              <w:jc w:val="center"/>
              <w:rPr>
                <w:rFonts w:ascii="Arial" w:hAnsi="Arial" w:cs="Arial"/>
                <w:bCs/>
                <w:snapToGrid w:val="0"/>
                <w:color w:val="000000"/>
                <w:sz w:val="20"/>
                <w:szCs w:val="20"/>
              </w:rPr>
            </w:pPr>
            <w:proofErr w:type="spellStart"/>
            <w:r>
              <w:rPr>
                <w:rFonts w:ascii="Arial" w:hAnsi="Arial" w:cs="Arial"/>
                <w:bCs/>
                <w:snapToGrid w:val="0"/>
                <w:color w:val="000000"/>
                <w:sz w:val="20"/>
                <w:szCs w:val="20"/>
              </w:rPr>
              <w:t>hr</w:t>
            </w:r>
            <w:proofErr w:type="spellEnd"/>
          </w:p>
        </w:tc>
        <w:tc>
          <w:tcPr>
            <w:tcW w:w="540" w:type="dxa"/>
            <w:vAlign w:val="center"/>
          </w:tcPr>
          <w:p w:rsidR="00DC24DD" w:rsidRDefault="00A758A6">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 xml:space="preserve">48 </w:t>
            </w:r>
          </w:p>
          <w:p w:rsidR="00DC24DD" w:rsidRDefault="00A758A6">
            <w:pPr>
              <w:spacing w:line="240" w:lineRule="auto"/>
              <w:jc w:val="center"/>
              <w:rPr>
                <w:rFonts w:ascii="Arial" w:hAnsi="Arial" w:cs="Arial"/>
                <w:bCs/>
                <w:snapToGrid w:val="0"/>
                <w:color w:val="000000"/>
                <w:sz w:val="20"/>
                <w:szCs w:val="20"/>
              </w:rPr>
            </w:pPr>
            <w:proofErr w:type="spellStart"/>
            <w:r>
              <w:rPr>
                <w:rFonts w:ascii="Arial" w:hAnsi="Arial" w:cs="Arial"/>
                <w:bCs/>
                <w:snapToGrid w:val="0"/>
                <w:color w:val="000000"/>
                <w:sz w:val="20"/>
                <w:szCs w:val="20"/>
              </w:rPr>
              <w:t>hr</w:t>
            </w:r>
            <w:proofErr w:type="spellEnd"/>
          </w:p>
        </w:tc>
        <w:tc>
          <w:tcPr>
            <w:tcW w:w="540" w:type="dxa"/>
            <w:vAlign w:val="center"/>
          </w:tcPr>
          <w:p w:rsidR="00DC24DD" w:rsidRDefault="00A758A6">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 xml:space="preserve">72 </w:t>
            </w:r>
          </w:p>
          <w:p w:rsidR="00DC24DD" w:rsidRDefault="00A758A6">
            <w:pPr>
              <w:spacing w:line="240" w:lineRule="auto"/>
              <w:jc w:val="center"/>
              <w:rPr>
                <w:rFonts w:ascii="Arial" w:hAnsi="Arial" w:cs="Arial"/>
                <w:bCs/>
                <w:snapToGrid w:val="0"/>
                <w:color w:val="000000"/>
                <w:sz w:val="20"/>
                <w:szCs w:val="20"/>
              </w:rPr>
            </w:pPr>
            <w:proofErr w:type="spellStart"/>
            <w:r>
              <w:rPr>
                <w:rFonts w:ascii="Arial" w:hAnsi="Arial" w:cs="Arial"/>
                <w:bCs/>
                <w:snapToGrid w:val="0"/>
                <w:color w:val="000000"/>
                <w:sz w:val="20"/>
                <w:szCs w:val="20"/>
              </w:rPr>
              <w:t>hr</w:t>
            </w:r>
            <w:proofErr w:type="spellEnd"/>
          </w:p>
        </w:tc>
        <w:tc>
          <w:tcPr>
            <w:tcW w:w="630" w:type="dxa"/>
            <w:vAlign w:val="center"/>
          </w:tcPr>
          <w:p w:rsidR="00DC24DD" w:rsidRDefault="00A758A6">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4-7 Days</w:t>
            </w:r>
          </w:p>
        </w:tc>
        <w:tc>
          <w:tcPr>
            <w:tcW w:w="630" w:type="dxa"/>
            <w:vAlign w:val="center"/>
          </w:tcPr>
          <w:p w:rsidR="00DC24DD" w:rsidRDefault="00A758A6">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8-14 Days</w:t>
            </w:r>
          </w:p>
        </w:tc>
        <w:tc>
          <w:tcPr>
            <w:tcW w:w="1080" w:type="dxa"/>
            <w:vAlign w:val="center"/>
          </w:tcPr>
          <w:p w:rsidR="00DC24DD" w:rsidRDefault="00A758A6">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Total mortality</w:t>
            </w:r>
          </w:p>
        </w:tc>
        <w:tc>
          <w:tcPr>
            <w:tcW w:w="1080" w:type="dxa"/>
            <w:vAlign w:val="center"/>
          </w:tcPr>
          <w:p w:rsidR="00DC24DD" w:rsidRDefault="00A758A6">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Mortality %</w:t>
            </w:r>
          </w:p>
        </w:tc>
      </w:tr>
      <w:tr w:rsidR="00DC24DD">
        <w:trPr>
          <w:cantSplit/>
          <w:trHeight w:val="637"/>
        </w:trPr>
        <w:tc>
          <w:tcPr>
            <w:tcW w:w="851"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I</w:t>
            </w:r>
          </w:p>
          <w:p w:rsidR="00DC24DD" w:rsidRDefault="00DC24DD">
            <w:pPr>
              <w:spacing w:line="240" w:lineRule="auto"/>
              <w:jc w:val="center"/>
              <w:rPr>
                <w:rFonts w:ascii="Arial" w:hAnsi="Arial" w:cs="Arial"/>
                <w:snapToGrid w:val="0"/>
                <w:color w:val="000000"/>
                <w:sz w:val="20"/>
                <w:szCs w:val="20"/>
              </w:rPr>
            </w:pPr>
          </w:p>
        </w:tc>
        <w:tc>
          <w:tcPr>
            <w:tcW w:w="1399" w:type="dxa"/>
            <w:vAlign w:val="center"/>
          </w:tcPr>
          <w:p w:rsidR="00DC24DD" w:rsidRDefault="00A758A6">
            <w:pPr>
              <w:spacing w:line="240" w:lineRule="auto"/>
              <w:rPr>
                <w:rFonts w:ascii="Arial" w:hAnsi="Arial" w:cs="Arial"/>
                <w:snapToGrid w:val="0"/>
                <w:color w:val="000000"/>
                <w:sz w:val="20"/>
                <w:szCs w:val="20"/>
              </w:rPr>
            </w:pPr>
            <w:r>
              <w:rPr>
                <w:rFonts w:ascii="Arial" w:hAnsi="Arial" w:cs="Arial"/>
                <w:snapToGrid w:val="0"/>
                <w:color w:val="000000"/>
                <w:sz w:val="20"/>
                <w:szCs w:val="20"/>
              </w:rPr>
              <w:t xml:space="preserve">  300mg/kg</w:t>
            </w:r>
          </w:p>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Sighting study</w:t>
            </w:r>
          </w:p>
        </w:tc>
        <w:tc>
          <w:tcPr>
            <w:tcW w:w="1080"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1</w:t>
            </w:r>
          </w:p>
          <w:p w:rsidR="00DC24DD" w:rsidRDefault="00DC24DD">
            <w:pPr>
              <w:spacing w:line="240" w:lineRule="auto"/>
              <w:jc w:val="center"/>
              <w:rPr>
                <w:rFonts w:ascii="Arial" w:hAnsi="Arial" w:cs="Arial"/>
                <w:snapToGrid w:val="0"/>
                <w:color w:val="000000"/>
                <w:sz w:val="20"/>
                <w:szCs w:val="20"/>
              </w:rPr>
            </w:pPr>
          </w:p>
        </w:tc>
        <w:tc>
          <w:tcPr>
            <w:tcW w:w="630"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No</w:t>
            </w:r>
          </w:p>
          <w:p w:rsidR="00DC24DD" w:rsidRDefault="00DC24DD">
            <w:pPr>
              <w:spacing w:line="240" w:lineRule="auto"/>
              <w:jc w:val="center"/>
              <w:rPr>
                <w:rFonts w:ascii="Arial" w:hAnsi="Arial" w:cs="Arial"/>
                <w:snapToGrid w:val="0"/>
                <w:color w:val="000000"/>
                <w:sz w:val="20"/>
                <w:szCs w:val="20"/>
              </w:rPr>
            </w:pPr>
          </w:p>
        </w:tc>
        <w:tc>
          <w:tcPr>
            <w:tcW w:w="540"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No</w:t>
            </w:r>
          </w:p>
          <w:p w:rsidR="00DC24DD" w:rsidRDefault="00DC24DD">
            <w:pPr>
              <w:spacing w:line="240" w:lineRule="auto"/>
              <w:jc w:val="center"/>
              <w:rPr>
                <w:rFonts w:ascii="Arial" w:hAnsi="Arial" w:cs="Arial"/>
                <w:snapToGrid w:val="0"/>
                <w:color w:val="000000"/>
                <w:sz w:val="20"/>
                <w:szCs w:val="20"/>
              </w:rPr>
            </w:pPr>
          </w:p>
        </w:tc>
        <w:tc>
          <w:tcPr>
            <w:tcW w:w="540"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No</w:t>
            </w:r>
          </w:p>
          <w:p w:rsidR="00DC24DD" w:rsidRDefault="00DC24DD">
            <w:pPr>
              <w:spacing w:line="240" w:lineRule="auto"/>
              <w:jc w:val="center"/>
              <w:rPr>
                <w:rFonts w:ascii="Arial" w:hAnsi="Arial" w:cs="Arial"/>
                <w:snapToGrid w:val="0"/>
                <w:color w:val="000000"/>
                <w:sz w:val="20"/>
                <w:szCs w:val="20"/>
              </w:rPr>
            </w:pPr>
          </w:p>
        </w:tc>
        <w:tc>
          <w:tcPr>
            <w:tcW w:w="540"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w:t>
            </w:r>
          </w:p>
        </w:tc>
        <w:tc>
          <w:tcPr>
            <w:tcW w:w="540"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w:t>
            </w:r>
          </w:p>
        </w:tc>
        <w:tc>
          <w:tcPr>
            <w:tcW w:w="630"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w:t>
            </w:r>
          </w:p>
        </w:tc>
        <w:tc>
          <w:tcPr>
            <w:tcW w:w="630"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w:t>
            </w:r>
          </w:p>
        </w:tc>
        <w:tc>
          <w:tcPr>
            <w:tcW w:w="1080"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Nil</w:t>
            </w:r>
          </w:p>
          <w:p w:rsidR="00DC24DD" w:rsidRDefault="00DC24DD">
            <w:pPr>
              <w:spacing w:line="240" w:lineRule="auto"/>
              <w:jc w:val="center"/>
              <w:rPr>
                <w:rFonts w:ascii="Arial" w:hAnsi="Arial" w:cs="Arial"/>
                <w:snapToGrid w:val="0"/>
                <w:color w:val="000000"/>
                <w:sz w:val="20"/>
                <w:szCs w:val="20"/>
              </w:rPr>
            </w:pPr>
          </w:p>
        </w:tc>
        <w:tc>
          <w:tcPr>
            <w:tcW w:w="1080"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Nil</w:t>
            </w:r>
          </w:p>
          <w:p w:rsidR="00DC24DD" w:rsidRDefault="00DC24DD">
            <w:pPr>
              <w:spacing w:line="240" w:lineRule="auto"/>
              <w:jc w:val="center"/>
              <w:rPr>
                <w:rFonts w:ascii="Arial" w:hAnsi="Arial" w:cs="Arial"/>
                <w:snapToGrid w:val="0"/>
                <w:color w:val="000000"/>
                <w:sz w:val="20"/>
                <w:szCs w:val="20"/>
              </w:rPr>
            </w:pPr>
          </w:p>
        </w:tc>
      </w:tr>
      <w:tr w:rsidR="00DC24DD">
        <w:trPr>
          <w:cantSplit/>
          <w:trHeight w:val="547"/>
        </w:trPr>
        <w:tc>
          <w:tcPr>
            <w:tcW w:w="851"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II</w:t>
            </w:r>
          </w:p>
          <w:p w:rsidR="00DC24DD" w:rsidRDefault="00DC24DD">
            <w:pPr>
              <w:spacing w:line="240" w:lineRule="auto"/>
              <w:jc w:val="center"/>
              <w:rPr>
                <w:rFonts w:ascii="Arial" w:hAnsi="Arial" w:cs="Arial"/>
                <w:snapToGrid w:val="0"/>
                <w:color w:val="000000"/>
                <w:sz w:val="20"/>
                <w:szCs w:val="20"/>
              </w:rPr>
            </w:pPr>
          </w:p>
        </w:tc>
        <w:tc>
          <w:tcPr>
            <w:tcW w:w="1399" w:type="dxa"/>
            <w:vAlign w:val="center"/>
          </w:tcPr>
          <w:p w:rsidR="00DC24DD" w:rsidRDefault="00A758A6">
            <w:pPr>
              <w:spacing w:line="240" w:lineRule="auto"/>
              <w:rPr>
                <w:rFonts w:ascii="Arial" w:hAnsi="Arial" w:cs="Arial"/>
                <w:snapToGrid w:val="0"/>
                <w:color w:val="000000"/>
                <w:sz w:val="20"/>
                <w:szCs w:val="20"/>
              </w:rPr>
            </w:pPr>
            <w:r>
              <w:rPr>
                <w:rFonts w:ascii="Arial" w:hAnsi="Arial" w:cs="Arial"/>
                <w:snapToGrid w:val="0"/>
                <w:color w:val="000000"/>
                <w:sz w:val="20"/>
                <w:szCs w:val="20"/>
              </w:rPr>
              <w:t>2000mg/kg</w:t>
            </w:r>
          </w:p>
          <w:p w:rsidR="00DC24DD" w:rsidRDefault="00A758A6">
            <w:pPr>
              <w:spacing w:line="240" w:lineRule="auto"/>
              <w:rPr>
                <w:rFonts w:ascii="Arial" w:hAnsi="Arial" w:cs="Arial"/>
                <w:snapToGrid w:val="0"/>
                <w:color w:val="000000"/>
                <w:sz w:val="20"/>
                <w:szCs w:val="20"/>
              </w:rPr>
            </w:pPr>
            <w:r>
              <w:rPr>
                <w:rFonts w:ascii="Arial" w:hAnsi="Arial" w:cs="Arial"/>
                <w:snapToGrid w:val="0"/>
                <w:color w:val="000000"/>
                <w:sz w:val="20"/>
                <w:szCs w:val="20"/>
              </w:rPr>
              <w:t>Sighting study</w:t>
            </w:r>
          </w:p>
        </w:tc>
        <w:tc>
          <w:tcPr>
            <w:tcW w:w="1080"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1</w:t>
            </w:r>
          </w:p>
          <w:p w:rsidR="00DC24DD" w:rsidRDefault="00DC24DD">
            <w:pPr>
              <w:spacing w:line="240" w:lineRule="auto"/>
              <w:jc w:val="center"/>
              <w:rPr>
                <w:rFonts w:ascii="Arial" w:hAnsi="Arial" w:cs="Arial"/>
                <w:snapToGrid w:val="0"/>
                <w:color w:val="000000"/>
                <w:sz w:val="20"/>
                <w:szCs w:val="20"/>
              </w:rPr>
            </w:pPr>
          </w:p>
        </w:tc>
        <w:tc>
          <w:tcPr>
            <w:tcW w:w="630"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No</w:t>
            </w:r>
          </w:p>
          <w:p w:rsidR="00DC24DD" w:rsidRDefault="00DC24DD">
            <w:pPr>
              <w:spacing w:line="240" w:lineRule="auto"/>
              <w:jc w:val="center"/>
              <w:rPr>
                <w:rFonts w:ascii="Arial" w:hAnsi="Arial" w:cs="Arial"/>
                <w:snapToGrid w:val="0"/>
                <w:color w:val="000000"/>
                <w:sz w:val="20"/>
                <w:szCs w:val="20"/>
              </w:rPr>
            </w:pPr>
          </w:p>
        </w:tc>
        <w:tc>
          <w:tcPr>
            <w:tcW w:w="540"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No</w:t>
            </w:r>
          </w:p>
          <w:p w:rsidR="00DC24DD" w:rsidRDefault="00DC24DD">
            <w:pPr>
              <w:spacing w:line="240" w:lineRule="auto"/>
              <w:jc w:val="center"/>
              <w:rPr>
                <w:rFonts w:ascii="Arial" w:hAnsi="Arial" w:cs="Arial"/>
                <w:snapToGrid w:val="0"/>
                <w:color w:val="000000"/>
                <w:sz w:val="20"/>
                <w:szCs w:val="20"/>
              </w:rPr>
            </w:pPr>
          </w:p>
        </w:tc>
        <w:tc>
          <w:tcPr>
            <w:tcW w:w="540"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No</w:t>
            </w:r>
          </w:p>
          <w:p w:rsidR="00DC24DD" w:rsidRDefault="00DC24DD">
            <w:pPr>
              <w:spacing w:line="240" w:lineRule="auto"/>
              <w:jc w:val="center"/>
              <w:rPr>
                <w:rFonts w:ascii="Arial" w:hAnsi="Arial" w:cs="Arial"/>
                <w:snapToGrid w:val="0"/>
                <w:color w:val="000000"/>
                <w:sz w:val="20"/>
                <w:szCs w:val="20"/>
              </w:rPr>
            </w:pPr>
          </w:p>
        </w:tc>
        <w:tc>
          <w:tcPr>
            <w:tcW w:w="540"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w:t>
            </w:r>
          </w:p>
        </w:tc>
        <w:tc>
          <w:tcPr>
            <w:tcW w:w="540"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w:t>
            </w:r>
          </w:p>
        </w:tc>
        <w:tc>
          <w:tcPr>
            <w:tcW w:w="630"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w:t>
            </w:r>
          </w:p>
        </w:tc>
        <w:tc>
          <w:tcPr>
            <w:tcW w:w="630"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w:t>
            </w:r>
          </w:p>
        </w:tc>
        <w:tc>
          <w:tcPr>
            <w:tcW w:w="1080"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Nil</w:t>
            </w:r>
          </w:p>
          <w:p w:rsidR="00DC24DD" w:rsidRDefault="00DC24DD">
            <w:pPr>
              <w:spacing w:line="240" w:lineRule="auto"/>
              <w:jc w:val="center"/>
              <w:rPr>
                <w:rFonts w:ascii="Arial" w:hAnsi="Arial" w:cs="Arial"/>
                <w:snapToGrid w:val="0"/>
                <w:color w:val="000000"/>
                <w:sz w:val="20"/>
                <w:szCs w:val="20"/>
              </w:rPr>
            </w:pPr>
          </w:p>
        </w:tc>
        <w:tc>
          <w:tcPr>
            <w:tcW w:w="1080"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Nil</w:t>
            </w:r>
          </w:p>
          <w:p w:rsidR="00DC24DD" w:rsidRDefault="00DC24DD">
            <w:pPr>
              <w:spacing w:line="240" w:lineRule="auto"/>
              <w:jc w:val="center"/>
              <w:rPr>
                <w:rFonts w:ascii="Arial" w:hAnsi="Arial" w:cs="Arial"/>
                <w:snapToGrid w:val="0"/>
                <w:color w:val="000000"/>
                <w:sz w:val="20"/>
                <w:szCs w:val="20"/>
              </w:rPr>
            </w:pPr>
          </w:p>
        </w:tc>
      </w:tr>
      <w:tr w:rsidR="00DC24DD">
        <w:trPr>
          <w:cantSplit/>
          <w:trHeight w:val="557"/>
        </w:trPr>
        <w:tc>
          <w:tcPr>
            <w:tcW w:w="851"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III</w:t>
            </w:r>
          </w:p>
          <w:p w:rsidR="00DC24DD" w:rsidRDefault="00DC24DD">
            <w:pPr>
              <w:spacing w:line="240" w:lineRule="auto"/>
              <w:jc w:val="center"/>
              <w:rPr>
                <w:rFonts w:ascii="Arial" w:hAnsi="Arial" w:cs="Arial"/>
                <w:snapToGrid w:val="0"/>
                <w:color w:val="000000"/>
                <w:sz w:val="20"/>
                <w:szCs w:val="20"/>
              </w:rPr>
            </w:pPr>
          </w:p>
        </w:tc>
        <w:tc>
          <w:tcPr>
            <w:tcW w:w="1399" w:type="dxa"/>
            <w:vAlign w:val="center"/>
          </w:tcPr>
          <w:p w:rsidR="00DC24DD" w:rsidRDefault="00A758A6">
            <w:pPr>
              <w:spacing w:line="240" w:lineRule="auto"/>
              <w:rPr>
                <w:rFonts w:ascii="Arial" w:hAnsi="Arial" w:cs="Arial"/>
                <w:snapToGrid w:val="0"/>
                <w:color w:val="000000"/>
                <w:sz w:val="20"/>
                <w:szCs w:val="20"/>
              </w:rPr>
            </w:pPr>
            <w:r>
              <w:rPr>
                <w:rFonts w:ascii="Arial" w:hAnsi="Arial" w:cs="Arial"/>
                <w:snapToGrid w:val="0"/>
                <w:color w:val="000000"/>
                <w:sz w:val="20"/>
                <w:szCs w:val="20"/>
              </w:rPr>
              <w:t>2000mg/kg</w:t>
            </w:r>
          </w:p>
          <w:p w:rsidR="00DC24DD" w:rsidRDefault="00A758A6">
            <w:pPr>
              <w:spacing w:line="240" w:lineRule="auto"/>
              <w:rPr>
                <w:rFonts w:ascii="Arial" w:hAnsi="Arial" w:cs="Arial"/>
                <w:snapToGrid w:val="0"/>
                <w:color w:val="000000"/>
                <w:sz w:val="20"/>
                <w:szCs w:val="20"/>
              </w:rPr>
            </w:pPr>
            <w:r>
              <w:rPr>
                <w:rFonts w:ascii="Arial" w:hAnsi="Arial" w:cs="Arial"/>
                <w:snapToGrid w:val="0"/>
                <w:color w:val="000000"/>
                <w:sz w:val="20"/>
                <w:szCs w:val="20"/>
              </w:rPr>
              <w:t>Main study</w:t>
            </w:r>
          </w:p>
        </w:tc>
        <w:tc>
          <w:tcPr>
            <w:tcW w:w="1080"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4</w:t>
            </w:r>
          </w:p>
        </w:tc>
        <w:tc>
          <w:tcPr>
            <w:tcW w:w="630"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No</w:t>
            </w:r>
          </w:p>
          <w:p w:rsidR="00DC24DD" w:rsidRDefault="00DC24DD">
            <w:pPr>
              <w:spacing w:line="240" w:lineRule="auto"/>
              <w:jc w:val="center"/>
              <w:rPr>
                <w:rFonts w:ascii="Arial" w:hAnsi="Arial" w:cs="Arial"/>
                <w:snapToGrid w:val="0"/>
                <w:color w:val="000000"/>
                <w:sz w:val="20"/>
                <w:szCs w:val="20"/>
              </w:rPr>
            </w:pPr>
          </w:p>
        </w:tc>
        <w:tc>
          <w:tcPr>
            <w:tcW w:w="540"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No</w:t>
            </w:r>
          </w:p>
          <w:p w:rsidR="00DC24DD" w:rsidRDefault="00DC24DD">
            <w:pPr>
              <w:spacing w:line="240" w:lineRule="auto"/>
              <w:jc w:val="center"/>
              <w:rPr>
                <w:rFonts w:ascii="Arial" w:hAnsi="Arial" w:cs="Arial"/>
                <w:snapToGrid w:val="0"/>
                <w:color w:val="000000"/>
                <w:sz w:val="20"/>
                <w:szCs w:val="20"/>
              </w:rPr>
            </w:pPr>
          </w:p>
        </w:tc>
        <w:tc>
          <w:tcPr>
            <w:tcW w:w="540"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No</w:t>
            </w:r>
          </w:p>
          <w:p w:rsidR="00DC24DD" w:rsidRDefault="00DC24DD">
            <w:pPr>
              <w:spacing w:line="240" w:lineRule="auto"/>
              <w:jc w:val="center"/>
              <w:rPr>
                <w:rFonts w:ascii="Arial" w:hAnsi="Arial" w:cs="Arial"/>
                <w:snapToGrid w:val="0"/>
                <w:color w:val="000000"/>
                <w:sz w:val="20"/>
                <w:szCs w:val="20"/>
              </w:rPr>
            </w:pPr>
          </w:p>
        </w:tc>
        <w:tc>
          <w:tcPr>
            <w:tcW w:w="540"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No</w:t>
            </w:r>
          </w:p>
          <w:p w:rsidR="00DC24DD" w:rsidRDefault="00DC24DD">
            <w:pPr>
              <w:spacing w:line="240" w:lineRule="auto"/>
              <w:jc w:val="center"/>
              <w:rPr>
                <w:rFonts w:ascii="Arial" w:hAnsi="Arial" w:cs="Arial"/>
                <w:snapToGrid w:val="0"/>
                <w:color w:val="000000"/>
                <w:sz w:val="20"/>
                <w:szCs w:val="20"/>
              </w:rPr>
            </w:pPr>
          </w:p>
        </w:tc>
        <w:tc>
          <w:tcPr>
            <w:tcW w:w="540"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No</w:t>
            </w:r>
          </w:p>
          <w:p w:rsidR="00DC24DD" w:rsidRDefault="00DC24DD">
            <w:pPr>
              <w:spacing w:line="240" w:lineRule="auto"/>
              <w:jc w:val="center"/>
              <w:rPr>
                <w:rFonts w:ascii="Arial" w:hAnsi="Arial" w:cs="Arial"/>
                <w:snapToGrid w:val="0"/>
                <w:color w:val="000000"/>
                <w:sz w:val="20"/>
                <w:szCs w:val="20"/>
              </w:rPr>
            </w:pPr>
          </w:p>
        </w:tc>
        <w:tc>
          <w:tcPr>
            <w:tcW w:w="630"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No</w:t>
            </w:r>
          </w:p>
          <w:p w:rsidR="00DC24DD" w:rsidRDefault="00DC24DD">
            <w:pPr>
              <w:spacing w:line="240" w:lineRule="auto"/>
              <w:jc w:val="center"/>
              <w:rPr>
                <w:rFonts w:ascii="Arial" w:hAnsi="Arial" w:cs="Arial"/>
                <w:snapToGrid w:val="0"/>
                <w:color w:val="000000"/>
                <w:sz w:val="20"/>
                <w:szCs w:val="20"/>
              </w:rPr>
            </w:pPr>
          </w:p>
        </w:tc>
        <w:tc>
          <w:tcPr>
            <w:tcW w:w="630"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No</w:t>
            </w:r>
          </w:p>
          <w:p w:rsidR="00DC24DD" w:rsidRDefault="00DC24DD">
            <w:pPr>
              <w:spacing w:line="240" w:lineRule="auto"/>
              <w:jc w:val="center"/>
              <w:rPr>
                <w:rFonts w:ascii="Arial" w:hAnsi="Arial" w:cs="Arial"/>
                <w:snapToGrid w:val="0"/>
                <w:color w:val="000000"/>
                <w:sz w:val="20"/>
                <w:szCs w:val="20"/>
              </w:rPr>
            </w:pPr>
          </w:p>
        </w:tc>
        <w:tc>
          <w:tcPr>
            <w:tcW w:w="1080"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Nil</w:t>
            </w:r>
          </w:p>
          <w:p w:rsidR="00DC24DD" w:rsidRDefault="00DC24DD">
            <w:pPr>
              <w:spacing w:line="240" w:lineRule="auto"/>
              <w:jc w:val="center"/>
              <w:rPr>
                <w:rFonts w:ascii="Arial" w:hAnsi="Arial" w:cs="Arial"/>
                <w:snapToGrid w:val="0"/>
                <w:color w:val="000000"/>
                <w:sz w:val="20"/>
                <w:szCs w:val="20"/>
              </w:rPr>
            </w:pPr>
          </w:p>
        </w:tc>
        <w:tc>
          <w:tcPr>
            <w:tcW w:w="1080" w:type="dxa"/>
            <w:vAlign w:val="center"/>
          </w:tcPr>
          <w:p w:rsidR="00DC24DD" w:rsidRDefault="00A758A6">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Nil</w:t>
            </w:r>
          </w:p>
          <w:p w:rsidR="00DC24DD" w:rsidRDefault="00DC24DD">
            <w:pPr>
              <w:spacing w:line="240" w:lineRule="auto"/>
              <w:jc w:val="center"/>
              <w:rPr>
                <w:rFonts w:ascii="Arial" w:hAnsi="Arial" w:cs="Arial"/>
                <w:snapToGrid w:val="0"/>
                <w:color w:val="000000"/>
                <w:sz w:val="20"/>
                <w:szCs w:val="20"/>
              </w:rPr>
            </w:pPr>
          </w:p>
        </w:tc>
      </w:tr>
    </w:tbl>
    <w:p w:rsidR="00DC24DD" w:rsidRDefault="00A758A6">
      <w:pPr>
        <w:pStyle w:val="BodyText2"/>
        <w:rPr>
          <w:rFonts w:ascii="Arial" w:hAnsi="Arial" w:cs="Arial"/>
          <w:b/>
          <w:sz w:val="20"/>
        </w:rPr>
      </w:pPr>
      <w:r>
        <w:rPr>
          <w:rFonts w:ascii="Arial" w:hAnsi="Arial" w:cs="Arial"/>
          <w:sz w:val="20"/>
        </w:rPr>
        <w:t xml:space="preserve">      </w:t>
      </w:r>
      <w:r>
        <w:rPr>
          <w:rFonts w:ascii="Arial" w:hAnsi="Arial" w:cs="Arial"/>
          <w:sz w:val="18"/>
          <w:szCs w:val="18"/>
        </w:rPr>
        <w:t>Key: No= No mortality</w:t>
      </w:r>
    </w:p>
    <w:p w:rsidR="00DC24DD" w:rsidRDefault="00DC24DD">
      <w:pPr>
        <w:rPr>
          <w:rFonts w:ascii="Arial" w:hAnsi="Arial" w:cs="Arial"/>
          <w:sz w:val="20"/>
          <w:szCs w:val="20"/>
        </w:rPr>
      </w:pPr>
    </w:p>
    <w:p w:rsidR="00DC24DD" w:rsidRDefault="00850834">
      <w:pPr>
        <w:rPr>
          <w:rFonts w:ascii="Arial" w:hAnsi="Arial" w:cs="Arial"/>
          <w:color w:val="000000" w:themeColor="text1"/>
          <w:sz w:val="20"/>
          <w:szCs w:val="20"/>
        </w:rPr>
      </w:pPr>
      <w:r>
        <w:rPr>
          <w:rFonts w:ascii="Arial" w:hAnsi="Arial" w:cs="Arial"/>
          <w:noProof/>
          <w:sz w:val="20"/>
          <w:szCs w:val="20"/>
          <w:lang w:bidi="mr-IN"/>
        </w:rPr>
        <w:lastRenderedPageBreak/>
        <w:drawing>
          <wp:anchor distT="0" distB="0" distL="114300" distR="114300" simplePos="0" relativeHeight="251659264" behindDoc="0" locked="0" layoutInCell="1" allowOverlap="1">
            <wp:simplePos x="0" y="0"/>
            <wp:positionH relativeFrom="column">
              <wp:posOffset>2895600</wp:posOffset>
            </wp:positionH>
            <wp:positionV relativeFrom="paragraph">
              <wp:posOffset>13442</wp:posOffset>
            </wp:positionV>
            <wp:extent cx="2780030" cy="2164080"/>
            <wp:effectExtent l="19050" t="0" r="1270" b="0"/>
            <wp:wrapSquare wrapText="bothSides"/>
            <wp:docPr id="16467543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54386"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780030" cy="2164080"/>
                    </a:xfrm>
                    <a:prstGeom prst="rect">
                      <a:avLst/>
                    </a:prstGeom>
                    <a:noFill/>
                  </pic:spPr>
                </pic:pic>
              </a:graphicData>
            </a:graphic>
          </wp:anchor>
        </w:drawing>
      </w:r>
      <w:r w:rsidR="00730991">
        <w:rPr>
          <w:rFonts w:ascii="Arial" w:hAnsi="Arial" w:cs="Arial"/>
          <w:sz w:val="20"/>
          <w:szCs w:val="20"/>
          <w:lang w:bidi="mr-IN"/>
        </w:rPr>
        <w:pict>
          <v:shapetype id="_x0000_t202" coordsize="21600,21600" o:spt="202" path="m,l,21600r21600,l21600,xe">
            <v:stroke joinstyle="miter"/>
            <v:path gradientshapeok="t" o:connecttype="rect"/>
          </v:shapetype>
          <v:shape id="_x0000_s1034" type="#_x0000_t202" style="position:absolute;margin-left:229.45pt;margin-top:148.55pt;width:19.8pt;height:19.8pt;z-index:251661312;mso-position-horizontal-relative:text;mso-position-vertical-relative:text;mso-width-relative:page;mso-height-relative:page" filled="f" stroked="f">
            <v:textbox>
              <w:txbxContent>
                <w:p w:rsidR="00DC24DD" w:rsidRDefault="00A758A6">
                  <w:pPr>
                    <w:rPr>
                      <w:b/>
                      <w:bCs/>
                    </w:rPr>
                  </w:pPr>
                  <w:r>
                    <w:rPr>
                      <w:b/>
                      <w:bCs/>
                    </w:rPr>
                    <w:t>B</w:t>
                  </w:r>
                </w:p>
              </w:txbxContent>
            </v:textbox>
          </v:shape>
        </w:pict>
      </w:r>
      <w:r w:rsidR="00730991">
        <w:rPr>
          <w:rFonts w:ascii="Arial" w:hAnsi="Arial" w:cs="Arial"/>
          <w:color w:val="000000" w:themeColor="text1"/>
          <w:sz w:val="20"/>
          <w:szCs w:val="20"/>
          <w:lang w:bidi="mr-IN"/>
        </w:rPr>
        <w:pict>
          <v:shape id="_x0000_s1033" type="#_x0000_t202" style="position:absolute;margin-left:2.4pt;margin-top:148.55pt;width:19.8pt;height:19.8pt;z-index:251660288;mso-position-horizontal-relative:text;mso-position-vertical-relative:text;mso-width-relative:page;mso-height-relative:page" filled="f" stroked="f">
            <v:textbox>
              <w:txbxContent>
                <w:p w:rsidR="00DC24DD" w:rsidRDefault="00A758A6">
                  <w:pPr>
                    <w:rPr>
                      <w:b/>
                      <w:bCs/>
                    </w:rPr>
                  </w:pPr>
                  <w:r>
                    <w:rPr>
                      <w:b/>
                      <w:bCs/>
                    </w:rPr>
                    <w:t>A</w:t>
                  </w:r>
                </w:p>
              </w:txbxContent>
            </v:textbox>
          </v:shape>
        </w:pict>
      </w:r>
      <w:r w:rsidR="00A758A6">
        <w:rPr>
          <w:rFonts w:ascii="Arial" w:hAnsi="Arial" w:cs="Arial"/>
          <w:noProof/>
          <w:sz w:val="20"/>
          <w:szCs w:val="20"/>
          <w:lang w:bidi="mr-IN"/>
        </w:rPr>
        <w:drawing>
          <wp:inline distT="0" distB="0" distL="0" distR="0">
            <wp:extent cx="2806700" cy="2139950"/>
            <wp:effectExtent l="19050" t="0" r="0" b="0"/>
            <wp:docPr id="23" name="Picture 11" descr="G:\Hajre SIr Toxicity Trial\Heart\G10B 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1" descr="G:\Hajre SIr Toxicity Trial\Heart\G10B 10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06700" cy="2139950"/>
                    </a:xfrm>
                    <a:prstGeom prst="rect">
                      <a:avLst/>
                    </a:prstGeom>
                    <a:noFill/>
                    <a:ln w="9525">
                      <a:noFill/>
                      <a:miter lim="800000"/>
                      <a:headEnd/>
                      <a:tailEnd/>
                    </a:ln>
                  </pic:spPr>
                </pic:pic>
              </a:graphicData>
            </a:graphic>
          </wp:inline>
        </w:drawing>
      </w:r>
    </w:p>
    <w:p w:rsidR="00DC24DD" w:rsidRDefault="00DC24DD">
      <w:pPr>
        <w:rPr>
          <w:rFonts w:ascii="Arial" w:hAnsi="Arial" w:cs="Arial"/>
          <w:color w:val="000000" w:themeColor="text1"/>
          <w:sz w:val="20"/>
          <w:szCs w:val="20"/>
        </w:rPr>
      </w:pPr>
    </w:p>
    <w:p w:rsidR="00DC24DD" w:rsidRDefault="00730991">
      <w:pPr>
        <w:rPr>
          <w:rFonts w:ascii="Arial" w:hAnsi="Arial" w:cs="Arial"/>
          <w:color w:val="000000" w:themeColor="text1"/>
          <w:sz w:val="20"/>
          <w:szCs w:val="20"/>
        </w:rPr>
      </w:pPr>
      <w:r>
        <w:rPr>
          <w:rFonts w:ascii="Arial" w:hAnsi="Arial" w:cs="Arial"/>
          <w:color w:val="000000" w:themeColor="text1"/>
          <w:sz w:val="20"/>
          <w:szCs w:val="20"/>
          <w:lang w:bidi="mr-IN"/>
        </w:rPr>
        <w:pict>
          <v:shape id="_x0000_s1036" type="#_x0000_t202" style="position:absolute;margin-left:2.4pt;margin-top:143.65pt;width:34.2pt;height:31.8pt;z-index:251663360;mso-width-relative:page;mso-height-relative:page" filled="f" stroked="f">
            <v:textbox>
              <w:txbxContent>
                <w:p w:rsidR="00DC24DD" w:rsidRDefault="00A758A6">
                  <w:pPr>
                    <w:rPr>
                      <w:b/>
                      <w:bCs/>
                    </w:rPr>
                  </w:pPr>
                  <w:r>
                    <w:rPr>
                      <w:b/>
                      <w:bCs/>
                    </w:rPr>
                    <w:t>C</w:t>
                  </w:r>
                </w:p>
              </w:txbxContent>
            </v:textbox>
          </v:shape>
        </w:pict>
      </w:r>
      <w:r>
        <w:rPr>
          <w:rFonts w:ascii="Arial" w:hAnsi="Arial" w:cs="Arial"/>
          <w:color w:val="000000" w:themeColor="text1"/>
          <w:sz w:val="20"/>
          <w:szCs w:val="20"/>
          <w:lang w:bidi="mr-IN"/>
        </w:rPr>
        <w:pict>
          <v:shape id="_x0000_s1035" type="#_x0000_t202" style="position:absolute;margin-left:229.45pt;margin-top:146.65pt;width:19.8pt;height:27pt;z-index:251662336;mso-width-relative:page;mso-height-relative:page" filled="f" stroked="f">
            <v:textbox>
              <w:txbxContent>
                <w:p w:rsidR="00DC24DD" w:rsidRDefault="00A758A6">
                  <w:pPr>
                    <w:rPr>
                      <w:b/>
                      <w:bCs/>
                    </w:rPr>
                  </w:pPr>
                  <w:r>
                    <w:rPr>
                      <w:b/>
                      <w:bCs/>
                    </w:rPr>
                    <w:t>D</w:t>
                  </w:r>
                </w:p>
              </w:txbxContent>
            </v:textbox>
          </v:shape>
        </w:pict>
      </w:r>
      <w:r w:rsidR="00A758A6">
        <w:rPr>
          <w:rFonts w:ascii="Arial" w:hAnsi="Arial" w:cs="Arial"/>
          <w:noProof/>
          <w:color w:val="000000" w:themeColor="text1"/>
          <w:sz w:val="20"/>
          <w:szCs w:val="20"/>
          <w:lang w:bidi="mr-IN"/>
        </w:rPr>
        <w:drawing>
          <wp:inline distT="0" distB="0" distL="0" distR="0">
            <wp:extent cx="2799715" cy="2095500"/>
            <wp:effectExtent l="19050" t="0" r="47" b="0"/>
            <wp:docPr id="51" name="Picture 22" descr="D:\Ayurvet-21\Hajre SIr Toxicity Trial\Liver\G10H 1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2" descr="D:\Ayurvet-21\Hajre SIr Toxicity Trial\Liver\G10H 100X.jpg"/>
                    <pic:cNvPicPr>
                      <a:picLocks noChangeAspect="1" noChangeArrowheads="1"/>
                    </pic:cNvPicPr>
                  </pic:nvPicPr>
                  <pic:blipFill>
                    <a:blip r:embed="rId10" cstate="print"/>
                    <a:srcRect/>
                    <a:stretch>
                      <a:fillRect/>
                    </a:stretch>
                  </pic:blipFill>
                  <pic:spPr>
                    <a:xfrm>
                      <a:off x="0" y="0"/>
                      <a:ext cx="2800350" cy="2095535"/>
                    </a:xfrm>
                    <a:prstGeom prst="rect">
                      <a:avLst/>
                    </a:prstGeom>
                    <a:noFill/>
                    <a:ln w="9525">
                      <a:noFill/>
                      <a:miter lim="800000"/>
                      <a:headEnd/>
                      <a:tailEnd/>
                    </a:ln>
                  </pic:spPr>
                </pic:pic>
              </a:graphicData>
            </a:graphic>
          </wp:inline>
        </w:drawing>
      </w:r>
      <w:r w:rsidR="00A758A6">
        <w:rPr>
          <w:rFonts w:ascii="Arial" w:hAnsi="Arial" w:cs="Arial"/>
          <w:color w:val="000000" w:themeColor="text1"/>
          <w:sz w:val="20"/>
          <w:szCs w:val="20"/>
        </w:rPr>
        <w:t>..</w:t>
      </w:r>
      <w:r w:rsidR="00A758A6">
        <w:rPr>
          <w:rFonts w:ascii="Arial" w:hAnsi="Arial" w:cs="Arial"/>
          <w:noProof/>
          <w:color w:val="000000" w:themeColor="text1"/>
          <w:sz w:val="20"/>
          <w:szCs w:val="20"/>
          <w:lang w:bidi="mr-IN"/>
        </w:rPr>
        <w:drawing>
          <wp:inline distT="0" distB="0" distL="0" distR="0">
            <wp:extent cx="2714625" cy="2095500"/>
            <wp:effectExtent l="19050" t="0" r="9525" b="0"/>
            <wp:docPr id="53" name="Picture 24" descr="D:\Ayurvet-21\Hajre SIr Toxicity Trial\lung\G10B 1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4" descr="D:\Ayurvet-21\Hajre SIr Toxicity Trial\lung\G10B 100X.jpg"/>
                    <pic:cNvPicPr>
                      <a:picLocks noChangeAspect="1" noChangeArrowheads="1"/>
                    </pic:cNvPicPr>
                  </pic:nvPicPr>
                  <pic:blipFill>
                    <a:blip r:embed="rId11" cstate="print"/>
                    <a:srcRect/>
                    <a:stretch>
                      <a:fillRect/>
                    </a:stretch>
                  </pic:blipFill>
                  <pic:spPr>
                    <a:xfrm>
                      <a:off x="0" y="0"/>
                      <a:ext cx="2717800" cy="2097951"/>
                    </a:xfrm>
                    <a:prstGeom prst="rect">
                      <a:avLst/>
                    </a:prstGeom>
                    <a:noFill/>
                    <a:ln w="9525">
                      <a:noFill/>
                      <a:miter lim="800000"/>
                      <a:headEnd/>
                      <a:tailEnd/>
                    </a:ln>
                  </pic:spPr>
                </pic:pic>
              </a:graphicData>
            </a:graphic>
          </wp:inline>
        </w:drawing>
      </w:r>
    </w:p>
    <w:p w:rsidR="00DC24DD" w:rsidRDefault="00A758A6">
      <w:pPr>
        <w:jc w:val="both"/>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rPr>
        <w:t xml:space="preserve">Fig 1 Histopathological observations of tissue sections showing normal histoarchitecture of Heart (A), Kidney (B), Liver (C) and Lung (D) from group III rats received </w:t>
      </w:r>
      <w:proofErr w:type="spellStart"/>
      <w:r>
        <w:rPr>
          <w:rFonts w:ascii="Arial" w:hAnsi="Arial" w:cs="Arial"/>
          <w:b/>
          <w:bCs/>
          <w:color w:val="000000" w:themeColor="text1"/>
          <w:sz w:val="20"/>
          <w:szCs w:val="20"/>
        </w:rPr>
        <w:t>Xlivpro</w:t>
      </w:r>
      <w:proofErr w:type="spellEnd"/>
      <w:r>
        <w:rPr>
          <w:rFonts w:ascii="Arial" w:hAnsi="Arial" w:cs="Arial"/>
          <w:b/>
          <w:bCs/>
          <w:color w:val="000000" w:themeColor="text1"/>
          <w:sz w:val="20"/>
          <w:szCs w:val="20"/>
        </w:rPr>
        <w:t xml:space="preserve"> Premix </w:t>
      </w:r>
      <w:r>
        <w:rPr>
          <w:rFonts w:ascii="Arial" w:eastAsia="Times New Roman" w:hAnsi="Arial" w:cs="Arial"/>
          <w:b/>
          <w:bCs/>
          <w:color w:val="000000" w:themeColor="text1"/>
          <w:sz w:val="20"/>
          <w:szCs w:val="20"/>
        </w:rPr>
        <w:t>formulation @2000mg/kg BW.</w:t>
      </w:r>
    </w:p>
    <w:p w:rsidR="00DC24DD" w:rsidRDefault="00DC24DD">
      <w:pPr>
        <w:rPr>
          <w:rFonts w:ascii="Arial" w:eastAsia="Times New Roman" w:hAnsi="Arial" w:cs="Arial"/>
          <w:b/>
          <w:bCs/>
          <w:color w:val="000000" w:themeColor="text1"/>
          <w:sz w:val="20"/>
          <w:szCs w:val="20"/>
        </w:rPr>
      </w:pPr>
    </w:p>
    <w:p w:rsidR="00DC24DD" w:rsidRDefault="00DC24DD">
      <w:pPr>
        <w:rPr>
          <w:rFonts w:ascii="Arial" w:eastAsia="Times New Roman" w:hAnsi="Arial" w:cs="Arial"/>
          <w:b/>
          <w:bCs/>
          <w:color w:val="000000" w:themeColor="text1"/>
          <w:sz w:val="20"/>
          <w:szCs w:val="20"/>
        </w:rPr>
      </w:pPr>
    </w:p>
    <w:p w:rsidR="00DC24DD" w:rsidRDefault="00A758A6">
      <w:pPr>
        <w:numPr>
          <w:ilvl w:val="0"/>
          <w:numId w:val="2"/>
        </w:numPr>
        <w:spacing w:line="360" w:lineRule="auto"/>
        <w:rPr>
          <w:rFonts w:ascii="Arial" w:hAnsi="Arial" w:cs="Arial"/>
          <w:b/>
        </w:rPr>
      </w:pPr>
      <w:r>
        <w:rPr>
          <w:rFonts w:ascii="Arial" w:hAnsi="Arial" w:cs="Arial"/>
          <w:b/>
        </w:rPr>
        <w:t>CONCLUSION:</w:t>
      </w:r>
    </w:p>
    <w:p w:rsidR="00DC24DD" w:rsidRDefault="00A758A6">
      <w:pPr>
        <w:spacing w:line="360" w:lineRule="auto"/>
        <w:jc w:val="both"/>
        <w:rPr>
          <w:rFonts w:ascii="Arial" w:hAnsi="Arial"/>
          <w:sz w:val="20"/>
          <w:szCs w:val="18"/>
          <w:lang w:bidi="mr-IN"/>
        </w:rPr>
      </w:pPr>
      <w:r>
        <w:rPr>
          <w:rFonts w:ascii="Arial" w:hAnsi="Arial" w:cs="Arial"/>
          <w:sz w:val="20"/>
          <w:szCs w:val="20"/>
        </w:rPr>
        <w:t xml:space="preserve">The present study concludes that </w:t>
      </w:r>
      <w:proofErr w:type="spellStart"/>
      <w:r>
        <w:rPr>
          <w:rFonts w:ascii="Arial" w:hAnsi="Arial" w:cs="Arial"/>
          <w:sz w:val="20"/>
          <w:szCs w:val="20"/>
        </w:rPr>
        <w:t>Xlivpro</w:t>
      </w:r>
      <w:proofErr w:type="spellEnd"/>
      <w:r>
        <w:rPr>
          <w:rFonts w:ascii="Arial" w:hAnsi="Arial" w:cs="Arial"/>
          <w:sz w:val="20"/>
          <w:szCs w:val="20"/>
        </w:rPr>
        <w:t xml:space="preserve"> Premix, a liver-protective herbal formulation intended for poultry,</w:t>
      </w:r>
      <w:r>
        <w:rPr>
          <w:rFonts w:ascii="Arial" w:hAnsi="Arial" w:cs="Arial"/>
          <w:sz w:val="20"/>
          <w:szCs w:val="20"/>
          <w:lang w:val="en-IN"/>
        </w:rPr>
        <w:t xml:space="preserve"> fish and shrimp</w:t>
      </w:r>
      <w:r>
        <w:rPr>
          <w:rFonts w:ascii="Arial" w:hAnsi="Arial" w:cs="Arial"/>
          <w:sz w:val="20"/>
          <w:szCs w:val="20"/>
        </w:rPr>
        <w:t xml:space="preserve"> production, does not elicit any signs of acute toxicity, behavioral abnormalities, or mortality when administered orally at a limit dose of 2000 mg/kg body weight in Wistar rats. The absence of clinical signs, gross pathological lesions, and mortality strongly indicates a wide margin of safety of product. Based on these findings, </w:t>
      </w:r>
      <w:proofErr w:type="spellStart"/>
      <w:r>
        <w:rPr>
          <w:rFonts w:ascii="Arial" w:hAnsi="Arial" w:cs="Arial"/>
          <w:sz w:val="20"/>
          <w:szCs w:val="20"/>
        </w:rPr>
        <w:t>Xlivpro</w:t>
      </w:r>
      <w:proofErr w:type="spellEnd"/>
      <w:r>
        <w:rPr>
          <w:rFonts w:ascii="Arial" w:hAnsi="Arial" w:cs="Arial"/>
          <w:sz w:val="20"/>
          <w:szCs w:val="20"/>
        </w:rPr>
        <w:t xml:space="preserve"> Premix can be considered non-toxic under acute oral exposure conditions, supporting its safe use as an oral feed supplement in poultry.</w:t>
      </w:r>
    </w:p>
    <w:p w:rsidR="00DC24DD" w:rsidRDefault="00DC24DD">
      <w:pPr>
        <w:spacing w:line="360" w:lineRule="auto"/>
        <w:jc w:val="both"/>
        <w:rPr>
          <w:rFonts w:ascii="Arial" w:hAnsi="Arial"/>
          <w:sz w:val="20"/>
          <w:szCs w:val="18"/>
          <w:lang w:bidi="mr-IN"/>
        </w:rPr>
      </w:pPr>
    </w:p>
    <w:p w:rsidR="00DC24DD" w:rsidRDefault="00A758A6">
      <w:pPr>
        <w:pStyle w:val="AcknHead"/>
        <w:spacing w:before="120" w:after="120" w:line="360" w:lineRule="auto"/>
        <w:jc w:val="both"/>
        <w:rPr>
          <w:rFonts w:ascii="Arial" w:hAnsi="Arial" w:cs="Arial"/>
        </w:rPr>
      </w:pPr>
      <w:r>
        <w:rPr>
          <w:rFonts w:ascii="Arial" w:hAnsi="Arial" w:cs="Arial"/>
        </w:rPr>
        <w:t>AcknowledgEments</w:t>
      </w:r>
    </w:p>
    <w:p w:rsidR="00DC24DD" w:rsidRDefault="00A758A6">
      <w:pPr>
        <w:spacing w:before="120" w:after="120" w:line="360" w:lineRule="auto"/>
        <w:jc w:val="both"/>
        <w:rPr>
          <w:rFonts w:ascii="Arial" w:hAnsi="Arial" w:cs="Arial"/>
          <w:sz w:val="20"/>
          <w:szCs w:val="20"/>
        </w:rPr>
      </w:pPr>
      <w:r>
        <w:rPr>
          <w:rFonts w:ascii="Arial" w:hAnsi="Arial" w:cs="Arial"/>
          <w:sz w:val="20"/>
          <w:szCs w:val="20"/>
        </w:rPr>
        <w:t xml:space="preserve">The authors are thankful to Dean, college of veterinary and animal sciences, Akola, Maharashtra, India for providing infrastructure facilities and </w:t>
      </w:r>
      <w:proofErr w:type="spellStart"/>
      <w:r>
        <w:rPr>
          <w:rFonts w:ascii="Arial" w:hAnsi="Arial" w:cs="Arial"/>
          <w:sz w:val="20"/>
          <w:szCs w:val="20"/>
        </w:rPr>
        <w:t>Zenex</w:t>
      </w:r>
      <w:proofErr w:type="spellEnd"/>
      <w:r>
        <w:rPr>
          <w:rFonts w:ascii="Arial" w:hAnsi="Arial" w:cs="Arial"/>
          <w:sz w:val="20"/>
          <w:szCs w:val="20"/>
        </w:rPr>
        <w:t xml:space="preserve"> Animal Health India Private Limited, </w:t>
      </w:r>
      <w:proofErr w:type="spellStart"/>
      <w:r>
        <w:rPr>
          <w:rFonts w:ascii="Arial" w:hAnsi="Arial" w:cs="Arial"/>
          <w:sz w:val="20"/>
          <w:szCs w:val="20"/>
        </w:rPr>
        <w:t>Baddi</w:t>
      </w:r>
      <w:proofErr w:type="spellEnd"/>
      <w:r>
        <w:rPr>
          <w:rFonts w:ascii="Arial" w:hAnsi="Arial" w:cs="Arial"/>
          <w:sz w:val="20"/>
          <w:szCs w:val="20"/>
        </w:rPr>
        <w:t>, Himachal Pradesh for providing financial support and samples to conduct the research.</w:t>
      </w:r>
    </w:p>
    <w:p w:rsidR="00DC24DD" w:rsidRDefault="00A758A6">
      <w:pPr>
        <w:spacing w:before="120" w:after="120" w:line="360" w:lineRule="auto"/>
        <w:jc w:val="both"/>
        <w:rPr>
          <w:rFonts w:ascii="Arial" w:hAnsi="Arial" w:cs="Arial"/>
          <w:b/>
          <w:bCs/>
        </w:rPr>
      </w:pPr>
      <w:r>
        <w:rPr>
          <w:rFonts w:ascii="Arial" w:hAnsi="Arial" w:cs="Arial"/>
          <w:b/>
          <w:bCs/>
        </w:rPr>
        <w:t>COMPETING INTERESTS</w:t>
      </w:r>
    </w:p>
    <w:p w:rsidR="00DC24DD" w:rsidRDefault="00A758A6">
      <w:pPr>
        <w:spacing w:before="120" w:after="120" w:line="360" w:lineRule="auto"/>
        <w:jc w:val="both"/>
        <w:rPr>
          <w:rFonts w:ascii="Arial" w:hAnsi="Arial" w:cs="Arial"/>
          <w:b/>
          <w:bCs/>
        </w:rPr>
      </w:pPr>
      <w:r>
        <w:rPr>
          <w:rFonts w:ascii="Arial" w:hAnsi="Arial" w:cs="Arial"/>
          <w:sz w:val="20"/>
          <w:szCs w:val="20"/>
        </w:rPr>
        <w:t>Authors have declared that no competing interests exist.</w:t>
      </w:r>
    </w:p>
    <w:p w:rsidR="00DC24DD" w:rsidRDefault="00A758A6">
      <w:pPr>
        <w:spacing w:before="120" w:after="120" w:line="360" w:lineRule="auto"/>
        <w:jc w:val="both"/>
        <w:rPr>
          <w:rFonts w:ascii="Arial" w:hAnsi="Arial" w:cs="Arial"/>
          <w:b/>
          <w:bCs/>
          <w:color w:val="000000" w:themeColor="text1"/>
        </w:rPr>
      </w:pPr>
      <w:r>
        <w:rPr>
          <w:rFonts w:ascii="Arial" w:hAnsi="Arial" w:cs="Arial"/>
          <w:b/>
          <w:bCs/>
          <w:color w:val="000000" w:themeColor="text1"/>
        </w:rPr>
        <w:lastRenderedPageBreak/>
        <w:t>DISCLAIMER (ARTIFICIAL INTELLIGENCE)</w:t>
      </w:r>
    </w:p>
    <w:p w:rsidR="00DC24DD" w:rsidRDefault="00A758A6">
      <w:pPr>
        <w:spacing w:before="120" w:after="120" w:line="360" w:lineRule="auto"/>
        <w:jc w:val="both"/>
        <w:rPr>
          <w:rFonts w:ascii="Arial" w:hAnsi="Arial" w:cs="Arial"/>
          <w:sz w:val="20"/>
          <w:szCs w:val="20"/>
        </w:rPr>
      </w:pPr>
      <w:r>
        <w:rPr>
          <w:rFonts w:ascii="Arial" w:hAnsi="Arial" w:cs="Arial"/>
          <w:sz w:val="20"/>
          <w:szCs w:val="20"/>
        </w:rPr>
        <w:t>Author(s) hereby declares that no generative AI technologies such as Large Language Models (</w:t>
      </w:r>
      <w:proofErr w:type="spellStart"/>
      <w:r>
        <w:rPr>
          <w:rFonts w:ascii="Arial" w:hAnsi="Arial" w:cs="Arial"/>
          <w:sz w:val="20"/>
          <w:szCs w:val="20"/>
        </w:rPr>
        <w:t>ChatGPT</w:t>
      </w:r>
      <w:proofErr w:type="spellEnd"/>
      <w:r>
        <w:rPr>
          <w:rFonts w:ascii="Arial" w:hAnsi="Arial" w:cs="Arial"/>
          <w:sz w:val="20"/>
          <w:szCs w:val="20"/>
        </w:rPr>
        <w:t>, COPILOT, etc.)   and text-to-image generators have been used during the writing or editing of this manuscript.</w:t>
      </w:r>
    </w:p>
    <w:p w:rsidR="00DC24DD" w:rsidRDefault="00A758A6">
      <w:pPr>
        <w:pStyle w:val="BodyText2"/>
        <w:spacing w:before="120" w:after="120"/>
        <w:rPr>
          <w:rFonts w:ascii="Arial" w:hAnsi="Arial" w:cs="Arial"/>
          <w:b/>
          <w:sz w:val="22"/>
          <w:szCs w:val="22"/>
        </w:rPr>
      </w:pPr>
      <w:r>
        <w:rPr>
          <w:rFonts w:ascii="Arial" w:hAnsi="Arial" w:cs="Arial"/>
          <w:b/>
          <w:sz w:val="22"/>
          <w:szCs w:val="22"/>
        </w:rPr>
        <w:t>REFERENCES</w:t>
      </w:r>
    </w:p>
    <w:p w:rsidR="00DC24DD" w:rsidRDefault="00A758A6">
      <w:pPr>
        <w:spacing w:line="360" w:lineRule="auto"/>
        <w:ind w:left="720" w:hanging="720"/>
        <w:jc w:val="both"/>
        <w:rPr>
          <w:rFonts w:ascii="Arial" w:hAnsi="Arial" w:cs="Arial"/>
          <w:sz w:val="20"/>
          <w:szCs w:val="20"/>
        </w:rPr>
      </w:pPr>
      <w:r>
        <w:rPr>
          <w:rFonts w:ascii="Arial" w:hAnsi="Arial" w:cs="Arial"/>
          <w:sz w:val="20"/>
          <w:szCs w:val="20"/>
        </w:rPr>
        <w:t>Abbas, R.Z., Iqbal, Z., Khan, M.N., Zafar, M.A. and Zia, M.A. 2010. Anticoccidial activity of Curcuma longa L. in broilers. Brazilian Archives of Biology and Technology, 53: 63-67.</w:t>
      </w:r>
    </w:p>
    <w:p w:rsidR="00DC24DD" w:rsidRDefault="00A758A6">
      <w:pPr>
        <w:spacing w:line="360" w:lineRule="auto"/>
        <w:ind w:left="720" w:hanging="720"/>
        <w:jc w:val="both"/>
        <w:rPr>
          <w:rFonts w:ascii="Arial" w:hAnsi="Arial" w:cs="Arial"/>
          <w:sz w:val="20"/>
          <w:szCs w:val="20"/>
        </w:rPr>
      </w:pPr>
      <w:proofErr w:type="spellStart"/>
      <w:r>
        <w:rPr>
          <w:rFonts w:ascii="Arial" w:hAnsi="Arial" w:cs="Arial"/>
          <w:sz w:val="20"/>
          <w:szCs w:val="20"/>
        </w:rPr>
        <w:t>Babazadeh</w:t>
      </w:r>
      <w:proofErr w:type="spellEnd"/>
      <w:r>
        <w:rPr>
          <w:rFonts w:ascii="Arial" w:hAnsi="Arial" w:cs="Arial"/>
          <w:sz w:val="20"/>
          <w:szCs w:val="20"/>
        </w:rPr>
        <w:t xml:space="preserve">, D., </w:t>
      </w:r>
      <w:proofErr w:type="spellStart"/>
      <w:r>
        <w:rPr>
          <w:rFonts w:ascii="Arial" w:hAnsi="Arial" w:cs="Arial"/>
          <w:sz w:val="20"/>
          <w:szCs w:val="20"/>
        </w:rPr>
        <w:t>Vahdatpour</w:t>
      </w:r>
      <w:proofErr w:type="spellEnd"/>
      <w:r>
        <w:rPr>
          <w:rFonts w:ascii="Arial" w:hAnsi="Arial" w:cs="Arial"/>
          <w:sz w:val="20"/>
          <w:szCs w:val="20"/>
        </w:rPr>
        <w:t xml:space="preserve">, T., </w:t>
      </w:r>
      <w:proofErr w:type="spellStart"/>
      <w:r>
        <w:rPr>
          <w:rFonts w:ascii="Arial" w:hAnsi="Arial" w:cs="Arial"/>
          <w:sz w:val="20"/>
          <w:szCs w:val="20"/>
        </w:rPr>
        <w:t>Nikpiran</w:t>
      </w:r>
      <w:proofErr w:type="spellEnd"/>
      <w:r>
        <w:rPr>
          <w:rFonts w:ascii="Arial" w:hAnsi="Arial" w:cs="Arial"/>
          <w:sz w:val="20"/>
          <w:szCs w:val="20"/>
        </w:rPr>
        <w:t xml:space="preserve">, H., </w:t>
      </w:r>
      <w:proofErr w:type="spellStart"/>
      <w:r>
        <w:rPr>
          <w:rFonts w:ascii="Arial" w:hAnsi="Arial" w:cs="Arial"/>
          <w:sz w:val="20"/>
          <w:szCs w:val="20"/>
        </w:rPr>
        <w:t>Jafargholipour</w:t>
      </w:r>
      <w:proofErr w:type="spellEnd"/>
      <w:r>
        <w:rPr>
          <w:rFonts w:ascii="Arial" w:hAnsi="Arial" w:cs="Arial"/>
          <w:sz w:val="20"/>
          <w:szCs w:val="20"/>
        </w:rPr>
        <w:t xml:space="preserve">, M. A., &amp; </w:t>
      </w:r>
      <w:proofErr w:type="spellStart"/>
      <w:r>
        <w:rPr>
          <w:rFonts w:ascii="Arial" w:hAnsi="Arial" w:cs="Arial"/>
          <w:sz w:val="20"/>
          <w:szCs w:val="20"/>
        </w:rPr>
        <w:t>Vahdatpour</w:t>
      </w:r>
      <w:proofErr w:type="spellEnd"/>
      <w:r>
        <w:rPr>
          <w:rFonts w:ascii="Arial" w:hAnsi="Arial" w:cs="Arial"/>
          <w:sz w:val="20"/>
          <w:szCs w:val="20"/>
        </w:rPr>
        <w:t xml:space="preserve">, S. (2011). Effects of probiotic, prebiotic and </w:t>
      </w:r>
      <w:proofErr w:type="spellStart"/>
      <w:r>
        <w:rPr>
          <w:rFonts w:ascii="Arial" w:hAnsi="Arial" w:cs="Arial"/>
          <w:sz w:val="20"/>
          <w:szCs w:val="20"/>
        </w:rPr>
        <w:t>synbiotic</w:t>
      </w:r>
      <w:proofErr w:type="spellEnd"/>
      <w:r>
        <w:rPr>
          <w:rFonts w:ascii="Arial" w:hAnsi="Arial" w:cs="Arial"/>
          <w:sz w:val="20"/>
          <w:szCs w:val="20"/>
        </w:rPr>
        <w:t xml:space="preserve"> intake on blood enzymes and performance of Japanese quails (Coturnix japonica). </w:t>
      </w:r>
      <w:r>
        <w:rPr>
          <w:rFonts w:ascii="Arial" w:hAnsi="Arial" w:cs="Arial"/>
          <w:i/>
          <w:iCs/>
          <w:sz w:val="20"/>
          <w:szCs w:val="20"/>
        </w:rPr>
        <w:t>The Indian Journal of Animal Sciences</w:t>
      </w:r>
      <w:r>
        <w:rPr>
          <w:rFonts w:ascii="Arial" w:hAnsi="Arial" w:cs="Arial"/>
          <w:sz w:val="20"/>
          <w:szCs w:val="20"/>
        </w:rPr>
        <w:t>, </w:t>
      </w:r>
      <w:r>
        <w:rPr>
          <w:rFonts w:ascii="Arial" w:hAnsi="Arial" w:cs="Arial"/>
          <w:i/>
          <w:iCs/>
          <w:sz w:val="20"/>
          <w:szCs w:val="20"/>
        </w:rPr>
        <w:t>81</w:t>
      </w:r>
      <w:r>
        <w:rPr>
          <w:rFonts w:ascii="Arial" w:hAnsi="Arial" w:cs="Arial"/>
          <w:sz w:val="20"/>
          <w:szCs w:val="20"/>
        </w:rPr>
        <w:t>(8).</w:t>
      </w:r>
    </w:p>
    <w:p w:rsidR="00DC24DD" w:rsidRDefault="00A758A6">
      <w:pPr>
        <w:spacing w:line="360" w:lineRule="auto"/>
        <w:ind w:left="720" w:hanging="720"/>
        <w:jc w:val="both"/>
        <w:rPr>
          <w:rFonts w:ascii="Arial" w:hAnsi="Arial" w:cs="Arial"/>
          <w:sz w:val="20"/>
          <w:szCs w:val="20"/>
        </w:rPr>
      </w:pPr>
      <w:r>
        <w:rPr>
          <w:rFonts w:ascii="Arial" w:hAnsi="Arial" w:cs="Arial"/>
          <w:sz w:val="20"/>
          <w:szCs w:val="20"/>
        </w:rPr>
        <w:t>Basic Animal Husbandry Statistics for the year 2023, published by the Department of Animal Husbandry and Dairying (DAHD), Government of India.https://dahd.gov.in/sites/default/files/2024-05/BAHS2023.pdf</w:t>
      </w:r>
    </w:p>
    <w:p w:rsidR="00DC24DD" w:rsidRDefault="00A758A6">
      <w:pPr>
        <w:spacing w:line="360" w:lineRule="auto"/>
        <w:ind w:left="720" w:hanging="720"/>
        <w:jc w:val="both"/>
        <w:rPr>
          <w:rFonts w:ascii="Arial" w:hAnsi="Arial" w:cs="Arial"/>
          <w:sz w:val="20"/>
          <w:szCs w:val="20"/>
        </w:rPr>
      </w:pPr>
      <w:proofErr w:type="spellStart"/>
      <w:r>
        <w:rPr>
          <w:rFonts w:ascii="Arial" w:hAnsi="Arial" w:cs="Arial"/>
          <w:sz w:val="20"/>
          <w:szCs w:val="20"/>
        </w:rPr>
        <w:t>Grashorn</w:t>
      </w:r>
      <w:proofErr w:type="spellEnd"/>
      <w:r>
        <w:rPr>
          <w:rFonts w:ascii="Arial" w:hAnsi="Arial" w:cs="Arial"/>
          <w:sz w:val="20"/>
          <w:szCs w:val="20"/>
        </w:rPr>
        <w:t xml:space="preserve">, M.A. 2010. Use of </w:t>
      </w:r>
      <w:proofErr w:type="spellStart"/>
      <w:r>
        <w:rPr>
          <w:rFonts w:ascii="Arial" w:hAnsi="Arial" w:cs="Arial"/>
          <w:sz w:val="20"/>
          <w:szCs w:val="20"/>
        </w:rPr>
        <w:t>phytobiotics</w:t>
      </w:r>
      <w:proofErr w:type="spellEnd"/>
      <w:r>
        <w:rPr>
          <w:rFonts w:ascii="Arial" w:hAnsi="Arial" w:cs="Arial"/>
          <w:sz w:val="20"/>
          <w:szCs w:val="20"/>
        </w:rPr>
        <w:t xml:space="preserve"> in broiler nutrition- An alternative to infeed antibiotics? Journal of Animal and Feed Sciences, 19: 338-47.</w:t>
      </w:r>
    </w:p>
    <w:p w:rsidR="00DC24DD" w:rsidRDefault="00A758A6">
      <w:pPr>
        <w:spacing w:line="360" w:lineRule="auto"/>
        <w:ind w:left="720" w:hanging="720"/>
        <w:jc w:val="both"/>
        <w:rPr>
          <w:rFonts w:ascii="Arial" w:hAnsi="Arial" w:cs="Arial"/>
          <w:color w:val="000000" w:themeColor="text1"/>
          <w:sz w:val="20"/>
          <w:szCs w:val="20"/>
        </w:rPr>
      </w:pPr>
      <w:proofErr w:type="spellStart"/>
      <w:r>
        <w:rPr>
          <w:rFonts w:ascii="Arial" w:hAnsi="Arial" w:cs="Arial"/>
          <w:color w:val="000000" w:themeColor="text1"/>
          <w:sz w:val="20"/>
          <w:szCs w:val="20"/>
        </w:rPr>
        <w:t>Hajare</w:t>
      </w:r>
      <w:proofErr w:type="spellEnd"/>
      <w:r>
        <w:rPr>
          <w:rFonts w:ascii="Arial" w:hAnsi="Arial" w:cs="Arial"/>
          <w:color w:val="000000" w:themeColor="text1"/>
          <w:sz w:val="20"/>
          <w:szCs w:val="20"/>
        </w:rPr>
        <w:t xml:space="preserve">, S., </w:t>
      </w:r>
      <w:proofErr w:type="spellStart"/>
      <w:r>
        <w:rPr>
          <w:rFonts w:ascii="Arial" w:hAnsi="Arial" w:cs="Arial"/>
          <w:color w:val="000000" w:themeColor="text1"/>
          <w:sz w:val="20"/>
          <w:szCs w:val="20"/>
        </w:rPr>
        <w:t>Ingole</w:t>
      </w:r>
      <w:proofErr w:type="spellEnd"/>
      <w:r>
        <w:rPr>
          <w:rFonts w:ascii="Arial" w:hAnsi="Arial" w:cs="Arial"/>
          <w:color w:val="000000" w:themeColor="text1"/>
          <w:sz w:val="20"/>
          <w:szCs w:val="20"/>
        </w:rPr>
        <w:t xml:space="preserve">, R. S., </w:t>
      </w:r>
      <w:proofErr w:type="spellStart"/>
      <w:r>
        <w:rPr>
          <w:rFonts w:ascii="Arial" w:hAnsi="Arial" w:cs="Arial"/>
          <w:color w:val="000000" w:themeColor="text1"/>
          <w:sz w:val="20"/>
          <w:szCs w:val="20"/>
        </w:rPr>
        <w:t>Kotagiri</w:t>
      </w:r>
      <w:proofErr w:type="spellEnd"/>
      <w:r>
        <w:rPr>
          <w:rFonts w:ascii="Arial" w:hAnsi="Arial" w:cs="Arial"/>
          <w:color w:val="000000" w:themeColor="text1"/>
          <w:sz w:val="20"/>
          <w:szCs w:val="20"/>
        </w:rPr>
        <w:t xml:space="preserve">, R., &amp; </w:t>
      </w:r>
      <w:proofErr w:type="spellStart"/>
      <w:r>
        <w:rPr>
          <w:rFonts w:ascii="Arial" w:hAnsi="Arial" w:cs="Arial"/>
          <w:color w:val="000000" w:themeColor="text1"/>
          <w:sz w:val="20"/>
          <w:szCs w:val="20"/>
        </w:rPr>
        <w:t>Ganguly</w:t>
      </w:r>
      <w:proofErr w:type="spellEnd"/>
      <w:r>
        <w:rPr>
          <w:rFonts w:ascii="Arial" w:hAnsi="Arial" w:cs="Arial"/>
          <w:color w:val="000000" w:themeColor="text1"/>
          <w:sz w:val="20"/>
          <w:szCs w:val="20"/>
        </w:rPr>
        <w:t>, B. (2020). Evaluation of acute oral toxicity of a polyherbal liver tonic for poultry. </w:t>
      </w:r>
      <w:r>
        <w:rPr>
          <w:rFonts w:ascii="Arial" w:hAnsi="Arial" w:cs="Arial"/>
          <w:i/>
          <w:iCs/>
          <w:color w:val="000000" w:themeColor="text1"/>
          <w:sz w:val="20"/>
          <w:szCs w:val="20"/>
        </w:rPr>
        <w:t>Biosciences Biotechnology Research Asia</w:t>
      </w:r>
      <w:r>
        <w:rPr>
          <w:rFonts w:ascii="Arial" w:hAnsi="Arial" w:cs="Arial"/>
          <w:color w:val="000000" w:themeColor="text1"/>
          <w:sz w:val="20"/>
          <w:szCs w:val="20"/>
        </w:rPr>
        <w:t>, </w:t>
      </w:r>
      <w:r>
        <w:rPr>
          <w:rFonts w:ascii="Arial" w:hAnsi="Arial" w:cs="Arial"/>
          <w:i/>
          <w:iCs/>
          <w:color w:val="000000" w:themeColor="text1"/>
          <w:sz w:val="20"/>
          <w:szCs w:val="20"/>
        </w:rPr>
        <w:t>17</w:t>
      </w:r>
      <w:r>
        <w:rPr>
          <w:rFonts w:ascii="Arial" w:hAnsi="Arial" w:cs="Arial"/>
          <w:color w:val="000000" w:themeColor="text1"/>
          <w:sz w:val="20"/>
          <w:szCs w:val="20"/>
        </w:rPr>
        <w:t>(1), 85.</w:t>
      </w:r>
    </w:p>
    <w:p w:rsidR="00DC24DD" w:rsidRDefault="00A758A6">
      <w:pPr>
        <w:spacing w:line="360" w:lineRule="auto"/>
        <w:ind w:left="720" w:hanging="720"/>
        <w:jc w:val="both"/>
        <w:rPr>
          <w:rFonts w:ascii="Arial" w:hAnsi="Arial" w:cs="Arial"/>
          <w:color w:val="000000" w:themeColor="text1"/>
          <w:sz w:val="20"/>
          <w:szCs w:val="20"/>
        </w:rPr>
      </w:pPr>
      <w:r>
        <w:rPr>
          <w:rFonts w:ascii="Arial" w:hAnsi="Arial" w:cs="Arial"/>
          <w:color w:val="000000" w:themeColor="text1"/>
          <w:sz w:val="20"/>
          <w:szCs w:val="20"/>
        </w:rPr>
        <w:t>Handbook of fisheries statistics 2023 https://www.scribd.com/document/764160577/Handbook-Fisheries-Statistics-19012023</w:t>
      </w:r>
    </w:p>
    <w:p w:rsidR="00DC24DD" w:rsidRDefault="00A758A6">
      <w:pPr>
        <w:spacing w:line="360" w:lineRule="auto"/>
        <w:ind w:left="720" w:hanging="720"/>
        <w:jc w:val="both"/>
        <w:rPr>
          <w:rFonts w:ascii="Arial" w:hAnsi="Arial" w:cs="Arial"/>
          <w:sz w:val="20"/>
          <w:szCs w:val="20"/>
        </w:rPr>
      </w:pPr>
      <w:r>
        <w:rPr>
          <w:rFonts w:ascii="Arial" w:hAnsi="Arial" w:cs="Arial"/>
          <w:sz w:val="20"/>
          <w:szCs w:val="20"/>
        </w:rPr>
        <w:t>Mirza, M. W., &amp; Mukhtar, N. (2016). Use of organic acids as potential feed additives in poultry production. </w:t>
      </w:r>
      <w:r>
        <w:rPr>
          <w:rFonts w:ascii="Arial" w:hAnsi="Arial" w:cs="Arial"/>
          <w:i/>
          <w:iCs/>
          <w:sz w:val="20"/>
          <w:szCs w:val="20"/>
        </w:rPr>
        <w:t>Journal of World's Poultry Research</w:t>
      </w:r>
      <w:r>
        <w:rPr>
          <w:rFonts w:ascii="Arial" w:hAnsi="Arial" w:cs="Arial"/>
          <w:sz w:val="20"/>
          <w:szCs w:val="20"/>
        </w:rPr>
        <w:t>, </w:t>
      </w:r>
      <w:r>
        <w:rPr>
          <w:rFonts w:ascii="Arial" w:hAnsi="Arial" w:cs="Arial"/>
          <w:i/>
          <w:iCs/>
          <w:sz w:val="20"/>
          <w:szCs w:val="20"/>
        </w:rPr>
        <w:t>6</w:t>
      </w:r>
      <w:r>
        <w:rPr>
          <w:rFonts w:ascii="Arial" w:hAnsi="Arial" w:cs="Arial"/>
          <w:sz w:val="20"/>
          <w:szCs w:val="20"/>
        </w:rPr>
        <w:t>(3), 105-116.</w:t>
      </w:r>
    </w:p>
    <w:p w:rsidR="00DC24DD" w:rsidRDefault="00A758A6">
      <w:pPr>
        <w:spacing w:line="360" w:lineRule="auto"/>
        <w:ind w:left="720" w:hanging="720"/>
        <w:jc w:val="both"/>
        <w:rPr>
          <w:rFonts w:ascii="Arial" w:hAnsi="Arial" w:cs="Arial"/>
          <w:sz w:val="20"/>
          <w:szCs w:val="20"/>
        </w:rPr>
      </w:pPr>
      <w:r>
        <w:rPr>
          <w:rFonts w:ascii="Arial" w:hAnsi="Arial" w:cs="Arial"/>
          <w:sz w:val="20"/>
          <w:szCs w:val="20"/>
        </w:rPr>
        <w:t xml:space="preserve">Patel, S. V., Maru, H., </w:t>
      </w:r>
      <w:proofErr w:type="spellStart"/>
      <w:r>
        <w:rPr>
          <w:rFonts w:ascii="Arial" w:hAnsi="Arial" w:cs="Arial"/>
          <w:sz w:val="20"/>
          <w:szCs w:val="20"/>
        </w:rPr>
        <w:t>Chavda</w:t>
      </w:r>
      <w:proofErr w:type="spellEnd"/>
      <w:r>
        <w:rPr>
          <w:rFonts w:ascii="Arial" w:hAnsi="Arial" w:cs="Arial"/>
          <w:sz w:val="20"/>
          <w:szCs w:val="20"/>
        </w:rPr>
        <w:t xml:space="preserve">, V. K., Shah, J. N., &amp; Patel, S. S. (2021). Ethanolic extract of </w:t>
      </w:r>
      <w:proofErr w:type="spellStart"/>
      <w:r>
        <w:rPr>
          <w:rFonts w:ascii="Arial" w:hAnsi="Arial" w:cs="Arial"/>
          <w:sz w:val="20"/>
          <w:szCs w:val="20"/>
        </w:rPr>
        <w:t>Azadirachta</w:t>
      </w:r>
      <w:proofErr w:type="spellEnd"/>
      <w:r>
        <w:rPr>
          <w:rFonts w:ascii="Arial" w:hAnsi="Arial" w:cs="Arial"/>
          <w:sz w:val="20"/>
          <w:szCs w:val="20"/>
        </w:rPr>
        <w:t xml:space="preserve"> </w:t>
      </w:r>
      <w:proofErr w:type="spellStart"/>
      <w:r>
        <w:rPr>
          <w:rFonts w:ascii="Arial" w:hAnsi="Arial" w:cs="Arial"/>
          <w:sz w:val="20"/>
          <w:szCs w:val="20"/>
        </w:rPr>
        <w:t>indica</w:t>
      </w:r>
      <w:proofErr w:type="spellEnd"/>
      <w:r>
        <w:rPr>
          <w:rFonts w:ascii="Arial" w:hAnsi="Arial" w:cs="Arial"/>
          <w:sz w:val="20"/>
          <w:szCs w:val="20"/>
        </w:rPr>
        <w:t xml:space="preserve"> ameliorates ovarian defects through phosphoinositide-3 kinase inhibition in a rat model of polycystic ovary syndrome. </w:t>
      </w:r>
      <w:r>
        <w:rPr>
          <w:rFonts w:ascii="Arial" w:hAnsi="Arial" w:cs="Arial"/>
          <w:i/>
          <w:iCs/>
          <w:sz w:val="20"/>
          <w:szCs w:val="20"/>
        </w:rPr>
        <w:t>Asian Pacific Journal of Reproduction</w:t>
      </w:r>
      <w:r>
        <w:rPr>
          <w:rFonts w:ascii="Arial" w:hAnsi="Arial" w:cs="Arial"/>
          <w:sz w:val="20"/>
          <w:szCs w:val="20"/>
        </w:rPr>
        <w:t>, </w:t>
      </w:r>
      <w:r>
        <w:rPr>
          <w:rFonts w:ascii="Arial" w:hAnsi="Arial" w:cs="Arial"/>
          <w:i/>
          <w:iCs/>
          <w:sz w:val="20"/>
          <w:szCs w:val="20"/>
        </w:rPr>
        <w:t>10</w:t>
      </w:r>
      <w:r>
        <w:rPr>
          <w:rFonts w:ascii="Arial" w:hAnsi="Arial" w:cs="Arial"/>
          <w:sz w:val="20"/>
          <w:szCs w:val="20"/>
        </w:rPr>
        <w:t>(1), 21-28.</w:t>
      </w:r>
    </w:p>
    <w:p w:rsidR="00DC24DD" w:rsidRDefault="00A758A6">
      <w:pPr>
        <w:spacing w:line="360" w:lineRule="auto"/>
        <w:ind w:left="720" w:hanging="720"/>
        <w:jc w:val="both"/>
        <w:rPr>
          <w:rFonts w:ascii="Arial" w:hAnsi="Arial" w:cs="Arial"/>
          <w:sz w:val="20"/>
          <w:szCs w:val="20"/>
          <w:lang w:val="en-IN"/>
        </w:rPr>
      </w:pPr>
      <w:proofErr w:type="spellStart"/>
      <w:r>
        <w:rPr>
          <w:rFonts w:ascii="Arial" w:hAnsi="Arial" w:cs="Arial"/>
          <w:sz w:val="20"/>
          <w:szCs w:val="20"/>
        </w:rPr>
        <w:t>Rosidah</w:t>
      </w:r>
      <w:proofErr w:type="spellEnd"/>
      <w:r>
        <w:rPr>
          <w:rFonts w:ascii="Arial" w:hAnsi="Arial" w:cs="Arial"/>
          <w:sz w:val="20"/>
          <w:szCs w:val="20"/>
        </w:rPr>
        <w:t xml:space="preserve"> and Diana S. (2021).</w:t>
      </w:r>
      <w:r>
        <w:rPr>
          <w:rFonts w:ascii="Roboto" w:hAnsi="Roboto"/>
          <w:color w:val="333333"/>
          <w:sz w:val="18"/>
          <w:szCs w:val="18"/>
          <w:shd w:val="clear" w:color="auto" w:fill="FFFFFF"/>
        </w:rPr>
        <w:t xml:space="preserve"> </w:t>
      </w:r>
      <w:r>
        <w:rPr>
          <w:rFonts w:ascii="Arial" w:hAnsi="Arial" w:cs="Arial"/>
          <w:sz w:val="20"/>
          <w:szCs w:val="20"/>
        </w:rPr>
        <w:t>A Mini-review: Effect of </w:t>
      </w:r>
      <w:r>
        <w:rPr>
          <w:rFonts w:ascii="Arial" w:hAnsi="Arial" w:cs="Arial"/>
          <w:i/>
          <w:iCs/>
          <w:sz w:val="20"/>
          <w:szCs w:val="20"/>
        </w:rPr>
        <w:t xml:space="preserve">Andrographis </w:t>
      </w:r>
      <w:proofErr w:type="spellStart"/>
      <w:r>
        <w:rPr>
          <w:rFonts w:ascii="Arial" w:hAnsi="Arial" w:cs="Arial"/>
          <w:i/>
          <w:iCs/>
          <w:sz w:val="20"/>
          <w:szCs w:val="20"/>
        </w:rPr>
        <w:t>paniculata</w:t>
      </w:r>
      <w:proofErr w:type="spellEnd"/>
      <w:r>
        <w:rPr>
          <w:rFonts w:ascii="Arial" w:hAnsi="Arial" w:cs="Arial"/>
          <w:sz w:val="20"/>
          <w:szCs w:val="20"/>
        </w:rPr>
        <w:t> </w:t>
      </w:r>
      <w:proofErr w:type="spellStart"/>
      <w:r>
        <w:rPr>
          <w:rFonts w:ascii="Arial" w:hAnsi="Arial" w:cs="Arial"/>
          <w:sz w:val="20"/>
          <w:szCs w:val="20"/>
        </w:rPr>
        <w:t>nees</w:t>
      </w:r>
      <w:proofErr w:type="spellEnd"/>
      <w:r>
        <w:rPr>
          <w:rFonts w:ascii="Arial" w:hAnsi="Arial" w:cs="Arial"/>
          <w:sz w:val="20"/>
          <w:szCs w:val="20"/>
        </w:rPr>
        <w:t xml:space="preserve"> on fish health.</w:t>
      </w:r>
      <w:r>
        <w:rPr>
          <w:rFonts w:ascii="Times New Roman" w:eastAsia="Times New Roman" w:hAnsi="Times New Roman" w:cs="Times New Roman"/>
          <w:color w:val="4099D5"/>
          <w:kern w:val="0"/>
          <w:sz w:val="24"/>
          <w:szCs w:val="24"/>
          <w:lang w:val="en-IN" w:eastAsia="en-IN" w:bidi="hi-IN"/>
        </w:rPr>
        <w:t xml:space="preserve"> </w:t>
      </w:r>
      <w:r>
        <w:rPr>
          <w:rFonts w:ascii="Arial" w:hAnsi="Arial" w:cs="Arial"/>
          <w:sz w:val="20"/>
          <w:szCs w:val="20"/>
          <w:lang w:val="en-IN"/>
        </w:rPr>
        <w:t>International Journal of Fisheries and Aquatic Studies 2021, Vol. 9, Issue 5, Part b.</w:t>
      </w:r>
      <w:r>
        <w:t xml:space="preserve"> </w:t>
      </w:r>
      <w:r>
        <w:rPr>
          <w:rFonts w:ascii="Arial" w:hAnsi="Arial" w:cs="Arial"/>
          <w:sz w:val="20"/>
          <w:szCs w:val="20"/>
          <w:lang w:val="en-IN"/>
        </w:rPr>
        <w:t>DOI: https://doi.org/10.22271/fish.2021.v9.i5b.2571</w:t>
      </w:r>
    </w:p>
    <w:p w:rsidR="00DC24DD" w:rsidRDefault="00A758A6">
      <w:pPr>
        <w:spacing w:line="360" w:lineRule="auto"/>
        <w:ind w:left="720" w:hanging="720"/>
        <w:jc w:val="both"/>
        <w:rPr>
          <w:rFonts w:ascii="Arial" w:hAnsi="Arial" w:cs="Arial"/>
          <w:sz w:val="20"/>
          <w:szCs w:val="20"/>
        </w:rPr>
      </w:pPr>
      <w:r>
        <w:rPr>
          <w:rFonts w:ascii="Arial" w:hAnsi="Arial" w:cs="Arial"/>
          <w:sz w:val="20"/>
          <w:szCs w:val="20"/>
        </w:rPr>
        <w:t xml:space="preserve">Shukla, B., </w:t>
      </w:r>
      <w:proofErr w:type="spellStart"/>
      <w:r>
        <w:rPr>
          <w:rFonts w:ascii="Arial" w:hAnsi="Arial" w:cs="Arial"/>
          <w:sz w:val="20"/>
          <w:szCs w:val="20"/>
        </w:rPr>
        <w:t>Visen</w:t>
      </w:r>
      <w:proofErr w:type="spellEnd"/>
      <w:r>
        <w:rPr>
          <w:rFonts w:ascii="Arial" w:hAnsi="Arial" w:cs="Arial"/>
          <w:sz w:val="20"/>
          <w:szCs w:val="20"/>
        </w:rPr>
        <w:t>, P. K. S., Patnaik, G. K., &amp; Dhawan, B. N. (1992). Choleretic effect of andrographolide in rats and guinea pigs1. </w:t>
      </w:r>
      <w:r>
        <w:rPr>
          <w:rFonts w:ascii="Arial" w:hAnsi="Arial" w:cs="Arial"/>
          <w:i/>
          <w:iCs/>
          <w:sz w:val="20"/>
          <w:szCs w:val="20"/>
        </w:rPr>
        <w:t xml:space="preserve">Planta </w:t>
      </w:r>
      <w:proofErr w:type="spellStart"/>
      <w:r>
        <w:rPr>
          <w:rFonts w:ascii="Arial" w:hAnsi="Arial" w:cs="Arial"/>
          <w:i/>
          <w:iCs/>
          <w:sz w:val="20"/>
          <w:szCs w:val="20"/>
        </w:rPr>
        <w:t>medica</w:t>
      </w:r>
      <w:proofErr w:type="spellEnd"/>
      <w:r>
        <w:rPr>
          <w:rFonts w:ascii="Arial" w:hAnsi="Arial" w:cs="Arial"/>
          <w:sz w:val="20"/>
          <w:szCs w:val="20"/>
        </w:rPr>
        <w:t>, </w:t>
      </w:r>
      <w:r>
        <w:rPr>
          <w:rFonts w:ascii="Arial" w:hAnsi="Arial" w:cs="Arial"/>
          <w:i/>
          <w:iCs/>
          <w:sz w:val="20"/>
          <w:szCs w:val="20"/>
        </w:rPr>
        <w:t>58</w:t>
      </w:r>
      <w:r>
        <w:rPr>
          <w:rFonts w:ascii="Arial" w:hAnsi="Arial" w:cs="Arial"/>
          <w:sz w:val="20"/>
          <w:szCs w:val="20"/>
        </w:rPr>
        <w:t>(02), 146-149.</w:t>
      </w:r>
    </w:p>
    <w:p w:rsidR="00DC24DD" w:rsidRDefault="00A758A6">
      <w:pPr>
        <w:spacing w:line="360" w:lineRule="auto"/>
        <w:ind w:left="720" w:hanging="720"/>
        <w:jc w:val="both"/>
        <w:rPr>
          <w:rFonts w:ascii="Arial" w:hAnsi="Arial" w:cs="Arial"/>
          <w:sz w:val="20"/>
          <w:szCs w:val="20"/>
        </w:rPr>
      </w:pPr>
      <w:r>
        <w:rPr>
          <w:rFonts w:ascii="Arial" w:hAnsi="Arial" w:cs="Arial"/>
          <w:sz w:val="20"/>
          <w:szCs w:val="20"/>
        </w:rPr>
        <w:t xml:space="preserve">Singh, V. K., Chauhan, S. S., </w:t>
      </w:r>
      <w:proofErr w:type="spellStart"/>
      <w:r>
        <w:rPr>
          <w:rFonts w:ascii="Arial" w:hAnsi="Arial" w:cs="Arial"/>
          <w:sz w:val="20"/>
          <w:szCs w:val="20"/>
        </w:rPr>
        <w:t>Ravikanth</w:t>
      </w:r>
      <w:proofErr w:type="spellEnd"/>
      <w:r>
        <w:rPr>
          <w:rFonts w:ascii="Arial" w:hAnsi="Arial" w:cs="Arial"/>
          <w:sz w:val="20"/>
          <w:szCs w:val="20"/>
        </w:rPr>
        <w:t xml:space="preserve">, K., Maini, S., &amp; </w:t>
      </w:r>
      <w:proofErr w:type="spellStart"/>
      <w:r>
        <w:rPr>
          <w:rFonts w:ascii="Arial" w:hAnsi="Arial" w:cs="Arial"/>
          <w:sz w:val="20"/>
          <w:szCs w:val="20"/>
        </w:rPr>
        <w:t>Rekhe</w:t>
      </w:r>
      <w:proofErr w:type="spellEnd"/>
      <w:r>
        <w:rPr>
          <w:rFonts w:ascii="Arial" w:hAnsi="Arial" w:cs="Arial"/>
          <w:sz w:val="20"/>
          <w:szCs w:val="20"/>
        </w:rPr>
        <w:t>, D. S. (2009). Effect of dietary supplementation of polyherbal liver stimulant on growth performance and nutrient utilization in broiler chicken. </w:t>
      </w:r>
      <w:r>
        <w:rPr>
          <w:rFonts w:ascii="Arial" w:hAnsi="Arial" w:cs="Arial"/>
          <w:i/>
          <w:iCs/>
          <w:sz w:val="20"/>
          <w:szCs w:val="20"/>
        </w:rPr>
        <w:t>Veterinary World</w:t>
      </w:r>
      <w:r>
        <w:rPr>
          <w:rFonts w:ascii="Arial" w:hAnsi="Arial" w:cs="Arial"/>
          <w:sz w:val="20"/>
          <w:szCs w:val="20"/>
        </w:rPr>
        <w:t>, </w:t>
      </w:r>
      <w:r>
        <w:rPr>
          <w:rFonts w:ascii="Arial" w:hAnsi="Arial" w:cs="Arial"/>
          <w:i/>
          <w:iCs/>
          <w:sz w:val="20"/>
          <w:szCs w:val="20"/>
        </w:rPr>
        <w:t>2</w:t>
      </w:r>
      <w:r>
        <w:rPr>
          <w:rFonts w:ascii="Arial" w:hAnsi="Arial" w:cs="Arial"/>
          <w:sz w:val="20"/>
          <w:szCs w:val="20"/>
        </w:rPr>
        <w:t>(9).</w:t>
      </w:r>
    </w:p>
    <w:p w:rsidR="00DC24DD" w:rsidRDefault="00A758A6">
      <w:pPr>
        <w:spacing w:line="360" w:lineRule="auto"/>
        <w:ind w:left="720" w:hanging="720"/>
        <w:jc w:val="both"/>
        <w:rPr>
          <w:rFonts w:ascii="Arial" w:hAnsi="Arial" w:cs="Arial"/>
          <w:sz w:val="20"/>
          <w:szCs w:val="20"/>
        </w:rPr>
      </w:pPr>
      <w:proofErr w:type="spellStart"/>
      <w:r>
        <w:rPr>
          <w:rFonts w:ascii="Arial" w:hAnsi="Arial" w:cs="Arial"/>
          <w:sz w:val="20"/>
          <w:szCs w:val="20"/>
        </w:rPr>
        <w:t>Somvanshi</w:t>
      </w:r>
      <w:proofErr w:type="spellEnd"/>
      <w:r>
        <w:rPr>
          <w:rFonts w:ascii="Arial" w:hAnsi="Arial" w:cs="Arial"/>
          <w:sz w:val="20"/>
          <w:szCs w:val="20"/>
        </w:rPr>
        <w:t>, S. P. S., Gupta, R., Kaur, N., Kumar, A., &amp; Pandey, N. K. (2020). Effect of herbal liver stimulants on growth and performance of broiler chicks. </w:t>
      </w:r>
      <w:r>
        <w:rPr>
          <w:rFonts w:ascii="Arial" w:hAnsi="Arial" w:cs="Arial"/>
          <w:i/>
          <w:iCs/>
          <w:sz w:val="20"/>
          <w:szCs w:val="20"/>
        </w:rPr>
        <w:t>Indian Journal of Extension Education</w:t>
      </w:r>
      <w:r>
        <w:rPr>
          <w:rFonts w:ascii="Arial" w:hAnsi="Arial" w:cs="Arial"/>
          <w:sz w:val="20"/>
          <w:szCs w:val="20"/>
        </w:rPr>
        <w:t>, </w:t>
      </w:r>
      <w:r>
        <w:rPr>
          <w:rFonts w:ascii="Arial" w:hAnsi="Arial" w:cs="Arial"/>
          <w:i/>
          <w:iCs/>
          <w:sz w:val="20"/>
          <w:szCs w:val="20"/>
        </w:rPr>
        <w:t>56</w:t>
      </w:r>
      <w:r>
        <w:rPr>
          <w:rFonts w:ascii="Arial" w:hAnsi="Arial" w:cs="Arial"/>
          <w:sz w:val="20"/>
          <w:szCs w:val="20"/>
        </w:rPr>
        <w:t>(1), 69-72.</w:t>
      </w:r>
    </w:p>
    <w:p w:rsidR="00DC24DD" w:rsidRDefault="00730991">
      <w:pPr>
        <w:spacing w:line="360" w:lineRule="auto"/>
        <w:rPr>
          <w:rFonts w:ascii="Arial" w:eastAsia="Bahnschrift" w:hAnsi="Arial" w:cs="Arial"/>
          <w:b/>
          <w:bCs/>
          <w:color w:val="000000" w:themeColor="text1"/>
          <w:sz w:val="20"/>
          <w:szCs w:val="20"/>
        </w:rPr>
      </w:pPr>
      <w:hyperlink r:id="rId12" w:history="1">
        <w:proofErr w:type="spellStart"/>
        <w:r w:rsidR="00A758A6">
          <w:rPr>
            <w:rStyle w:val="Hyperlink"/>
            <w:rFonts w:ascii="Arial" w:eastAsia="Bahnschrift" w:hAnsi="Arial" w:cs="Arial"/>
            <w:color w:val="000000" w:themeColor="text1"/>
            <w:sz w:val="20"/>
            <w:szCs w:val="20"/>
            <w:u w:val="none"/>
          </w:rPr>
          <w:t>Swaroop</w:t>
        </w:r>
      </w:hyperlink>
      <w:r w:rsidR="00A758A6">
        <w:rPr>
          <w:rFonts w:ascii="Arial" w:eastAsia="Bahnschrift" w:hAnsi="Arial" w:cs="Arial"/>
          <w:color w:val="000000" w:themeColor="text1"/>
          <w:kern w:val="0"/>
          <w:sz w:val="20"/>
          <w:szCs w:val="20"/>
          <w:lang w:eastAsia="zh-CN" w:bidi="ar"/>
        </w:rPr>
        <w:t>,A</w:t>
      </w:r>
      <w:proofErr w:type="spellEnd"/>
      <w:r w:rsidR="00A758A6">
        <w:rPr>
          <w:rFonts w:ascii="Arial" w:eastAsia="Bahnschrift" w:hAnsi="Arial" w:cs="Arial"/>
          <w:color w:val="000000" w:themeColor="text1"/>
          <w:kern w:val="0"/>
          <w:sz w:val="20"/>
          <w:szCs w:val="20"/>
          <w:lang w:eastAsia="zh-CN" w:bidi="ar"/>
        </w:rPr>
        <w:t>. K., </w:t>
      </w:r>
      <w:hyperlink r:id="rId13" w:history="1">
        <w:r w:rsidR="00A758A6">
          <w:rPr>
            <w:rStyle w:val="Hyperlink"/>
            <w:rFonts w:ascii="Arial" w:eastAsia="Bahnschrift" w:hAnsi="Arial" w:cs="Arial"/>
            <w:color w:val="000000" w:themeColor="text1"/>
            <w:sz w:val="20"/>
            <w:szCs w:val="20"/>
            <w:u w:val="none"/>
          </w:rPr>
          <w:t xml:space="preserve"> Venkata N L</w:t>
        </w:r>
      </w:hyperlink>
      <w:r w:rsidR="00A758A6">
        <w:rPr>
          <w:rFonts w:ascii="Arial" w:eastAsia="Bahnschrift" w:hAnsi="Arial" w:cs="Arial"/>
          <w:color w:val="000000" w:themeColor="text1"/>
          <w:kern w:val="0"/>
          <w:sz w:val="20"/>
          <w:szCs w:val="20"/>
          <w:lang w:eastAsia="zh-CN" w:bidi="ar"/>
        </w:rPr>
        <w:t>., </w:t>
      </w:r>
      <w:hyperlink r:id="rId14" w:history="1">
        <w:r w:rsidR="00A758A6">
          <w:rPr>
            <w:rStyle w:val="Hyperlink"/>
            <w:rFonts w:ascii="Arial" w:eastAsia="Bahnschrift" w:hAnsi="Arial" w:cs="Arial"/>
            <w:color w:val="000000" w:themeColor="text1"/>
            <w:sz w:val="20"/>
            <w:szCs w:val="20"/>
            <w:u w:val="none"/>
          </w:rPr>
          <w:t>Meena Shanmugam</w:t>
        </w:r>
      </w:hyperlink>
      <w:r w:rsidR="00A758A6">
        <w:rPr>
          <w:rFonts w:ascii="Arial" w:eastAsia="Bahnschrift" w:hAnsi="Arial" w:cs="Arial"/>
          <w:color w:val="000000" w:themeColor="text1"/>
          <w:kern w:val="0"/>
          <w:sz w:val="20"/>
          <w:szCs w:val="20"/>
          <w:lang w:eastAsia="zh-CN" w:bidi="ar"/>
        </w:rPr>
        <w:t>, </w:t>
      </w:r>
      <w:hyperlink r:id="rId15" w:history="1">
        <w:r w:rsidR="00A758A6">
          <w:rPr>
            <w:rStyle w:val="Hyperlink"/>
            <w:rFonts w:ascii="Arial" w:eastAsia="Bahnschrift" w:hAnsi="Arial" w:cs="Arial"/>
            <w:color w:val="000000" w:themeColor="text1"/>
            <w:sz w:val="20"/>
            <w:szCs w:val="20"/>
            <w:u w:val="none"/>
          </w:rPr>
          <w:t>Subramanian</w:t>
        </w:r>
      </w:hyperlink>
      <w:r w:rsidR="00A758A6">
        <w:rPr>
          <w:rFonts w:ascii="Arial" w:eastAsia="Bahnschrift" w:hAnsi="Arial" w:cs="Arial"/>
          <w:color w:val="000000" w:themeColor="text1"/>
          <w:kern w:val="0"/>
          <w:sz w:val="20"/>
          <w:szCs w:val="20"/>
          <w:lang w:eastAsia="zh-CN" w:bidi="ar"/>
        </w:rPr>
        <w:t xml:space="preserve"> G., </w:t>
      </w:r>
      <w:hyperlink r:id="rId16" w:history="1">
        <w:r w:rsidR="00A758A6">
          <w:rPr>
            <w:rStyle w:val="Hyperlink"/>
            <w:rFonts w:ascii="Arial" w:eastAsia="Bahnschrift" w:hAnsi="Arial" w:cs="Arial"/>
            <w:color w:val="000000" w:themeColor="text1"/>
            <w:sz w:val="20"/>
            <w:szCs w:val="20"/>
            <w:u w:val="none"/>
          </w:rPr>
          <w:t>Natarajan</w:t>
        </w:r>
      </w:hyperlink>
      <w:r w:rsidR="00A758A6">
        <w:rPr>
          <w:rFonts w:ascii="Arial" w:eastAsia="Bahnschrift" w:hAnsi="Arial" w:cs="Arial"/>
          <w:color w:val="000000" w:themeColor="text1"/>
          <w:kern w:val="0"/>
          <w:sz w:val="20"/>
          <w:szCs w:val="20"/>
          <w:lang w:eastAsia="zh-CN" w:bidi="ar"/>
        </w:rPr>
        <w:t xml:space="preserve"> J., </w:t>
      </w:r>
      <w:proofErr w:type="spellStart"/>
      <w:r w:rsidR="00A758A6">
        <w:rPr>
          <w:rFonts w:ascii="Arial" w:eastAsia="Bahnschrift" w:hAnsi="Arial" w:cs="Arial"/>
          <w:color w:val="000000" w:themeColor="text1"/>
          <w:kern w:val="0"/>
          <w:sz w:val="20"/>
          <w:szCs w:val="20"/>
          <w:lang w:eastAsia="zh-CN" w:bidi="ar"/>
        </w:rPr>
        <w:fldChar w:fldCharType="begin"/>
      </w:r>
      <w:r w:rsidR="00A758A6">
        <w:rPr>
          <w:rFonts w:ascii="Arial" w:eastAsia="Bahnschrift" w:hAnsi="Arial" w:cs="Arial"/>
          <w:color w:val="000000" w:themeColor="text1"/>
          <w:kern w:val="0"/>
          <w:sz w:val="20"/>
          <w:szCs w:val="20"/>
          <w:lang w:eastAsia="zh-CN" w:bidi="ar"/>
        </w:rPr>
        <w:instrText xml:space="preserve"> HYPERLINK "https://pubmed.ncbi.nlm.nih.gov/?term="Selvaraj J"[Author]" </w:instrText>
      </w:r>
      <w:r w:rsidR="00A758A6">
        <w:rPr>
          <w:rFonts w:ascii="Arial" w:eastAsia="Bahnschrift" w:hAnsi="Arial" w:cs="Arial"/>
          <w:color w:val="000000" w:themeColor="text1"/>
          <w:kern w:val="0"/>
          <w:sz w:val="20"/>
          <w:szCs w:val="20"/>
          <w:lang w:eastAsia="zh-CN" w:bidi="ar"/>
        </w:rPr>
        <w:fldChar w:fldCharType="separate"/>
      </w:r>
      <w:r w:rsidR="00A758A6">
        <w:rPr>
          <w:rStyle w:val="Hyperlink"/>
          <w:rFonts w:ascii="Arial" w:eastAsia="Bahnschrift" w:hAnsi="Arial" w:cs="Arial"/>
          <w:color w:val="000000" w:themeColor="text1"/>
          <w:sz w:val="20"/>
          <w:szCs w:val="20"/>
          <w:u w:val="none"/>
        </w:rPr>
        <w:t>Jubie</w:t>
      </w:r>
      <w:proofErr w:type="spellEnd"/>
      <w:r w:rsidR="00A758A6">
        <w:rPr>
          <w:rStyle w:val="Hyperlink"/>
          <w:rFonts w:ascii="Arial" w:eastAsia="Bahnschrift" w:hAnsi="Arial" w:cs="Arial"/>
          <w:color w:val="000000" w:themeColor="text1"/>
          <w:sz w:val="20"/>
          <w:szCs w:val="20"/>
          <w:u w:val="none"/>
        </w:rPr>
        <w:t xml:space="preserve"> </w:t>
      </w:r>
      <w:r w:rsidR="00A758A6">
        <w:rPr>
          <w:rStyle w:val="Hyperlink"/>
          <w:rFonts w:ascii="Arial" w:eastAsia="Bahnschrift" w:hAnsi="Arial" w:cs="Arial"/>
          <w:color w:val="000000" w:themeColor="text1"/>
          <w:sz w:val="20"/>
          <w:szCs w:val="20"/>
          <w:u w:val="none"/>
        </w:rPr>
        <w:tab/>
        <w:t>Selvaraj</w:t>
      </w:r>
      <w:r w:rsidR="00A758A6">
        <w:rPr>
          <w:rFonts w:ascii="Arial" w:eastAsia="Bahnschrift" w:hAnsi="Arial" w:cs="Arial"/>
          <w:color w:val="000000" w:themeColor="text1"/>
          <w:kern w:val="0"/>
          <w:sz w:val="20"/>
          <w:szCs w:val="20"/>
          <w:lang w:eastAsia="zh-CN" w:bidi="ar"/>
        </w:rPr>
        <w:fldChar w:fldCharType="end"/>
      </w:r>
      <w:r w:rsidR="00A758A6">
        <w:rPr>
          <w:rFonts w:ascii="Arial" w:eastAsia="Bahnschrift" w:hAnsi="Arial" w:cs="Arial"/>
          <w:color w:val="000000" w:themeColor="text1"/>
          <w:kern w:val="0"/>
          <w:sz w:val="20"/>
          <w:szCs w:val="20"/>
          <w:lang w:eastAsia="zh-CN" w:bidi="ar"/>
        </w:rPr>
        <w:t>. </w:t>
      </w:r>
      <w:r w:rsidR="00A758A6">
        <w:rPr>
          <w:rFonts w:ascii="Arial" w:eastAsia="Bahnschrift" w:hAnsi="Arial" w:cs="Arial"/>
          <w:color w:val="000000" w:themeColor="text1"/>
          <w:sz w:val="20"/>
          <w:szCs w:val="20"/>
        </w:rPr>
        <w:t>Plant Derived Immunomodulators; A Critical Review.</w:t>
      </w:r>
      <w:r w:rsidR="00A758A6">
        <w:rPr>
          <w:rFonts w:ascii="Arial" w:eastAsia="Bahnschrift" w:hAnsi="Arial" w:cs="Arial"/>
          <w:b/>
          <w:bCs/>
          <w:color w:val="000000" w:themeColor="text1"/>
          <w:sz w:val="20"/>
          <w:szCs w:val="20"/>
        </w:rPr>
        <w:t xml:space="preserve"> </w:t>
      </w:r>
      <w:r w:rsidR="00A758A6">
        <w:rPr>
          <w:rFonts w:ascii="Arial" w:eastAsia="SimSun" w:hAnsi="Arial" w:cs="Arial"/>
          <w:color w:val="000000" w:themeColor="text1"/>
          <w:kern w:val="0"/>
          <w:sz w:val="20"/>
          <w:szCs w:val="20"/>
          <w:lang w:eastAsia="zh-CN" w:bidi="ar"/>
        </w:rPr>
        <w:t xml:space="preserve">Advanced Pharmaceutical </w:t>
      </w:r>
      <w:r w:rsidR="00A758A6">
        <w:rPr>
          <w:rFonts w:ascii="Arial" w:eastAsia="SimSun" w:hAnsi="Arial" w:cs="Arial"/>
          <w:color w:val="000000" w:themeColor="text1"/>
          <w:kern w:val="0"/>
          <w:sz w:val="20"/>
          <w:szCs w:val="20"/>
          <w:lang w:eastAsia="zh-CN" w:bidi="ar"/>
        </w:rPr>
        <w:tab/>
        <w:t xml:space="preserve">Bulletin. 2021 ;12(4):712–729. </w:t>
      </w:r>
      <w:proofErr w:type="spellStart"/>
      <w:r w:rsidR="00A758A6">
        <w:rPr>
          <w:rFonts w:ascii="Arial" w:eastAsia="SimSun" w:hAnsi="Arial" w:cs="Arial"/>
          <w:color w:val="000000" w:themeColor="text1"/>
          <w:kern w:val="0"/>
          <w:sz w:val="20"/>
          <w:szCs w:val="20"/>
          <w:lang w:eastAsia="zh-CN" w:bidi="ar"/>
        </w:rPr>
        <w:t>doi</w:t>
      </w:r>
      <w:proofErr w:type="spellEnd"/>
      <w:r w:rsidR="00A758A6">
        <w:rPr>
          <w:rFonts w:ascii="Arial" w:eastAsia="SimSun" w:hAnsi="Arial" w:cs="Arial"/>
          <w:color w:val="000000" w:themeColor="text1"/>
          <w:kern w:val="0"/>
          <w:sz w:val="20"/>
          <w:szCs w:val="20"/>
          <w:lang w:eastAsia="zh-CN" w:bidi="ar"/>
        </w:rPr>
        <w:t>: </w:t>
      </w:r>
      <w:hyperlink r:id="rId17" w:tgtFrame="https://pmc.ncbi.nlm.nih.gov/articles/PMC9675921/_blank" w:history="1">
        <w:r w:rsidR="00A758A6">
          <w:rPr>
            <w:rStyle w:val="Hyperlink"/>
            <w:rFonts w:ascii="Arial" w:eastAsia="SimSun" w:hAnsi="Arial" w:cs="Arial"/>
            <w:color w:val="000000" w:themeColor="text1"/>
            <w:sz w:val="20"/>
            <w:szCs w:val="20"/>
            <w:u w:val="none"/>
          </w:rPr>
          <w:t>10.34172/apb.2022.074</w:t>
        </w:r>
      </w:hyperlink>
      <w:r w:rsidR="00A758A6">
        <w:rPr>
          <w:rFonts w:ascii="Arial" w:eastAsia="SimSun" w:hAnsi="Arial" w:cs="Arial"/>
          <w:color w:val="000000" w:themeColor="text1"/>
          <w:kern w:val="0"/>
          <w:sz w:val="20"/>
          <w:szCs w:val="20"/>
          <w:lang w:eastAsia="zh-CN" w:bidi="ar"/>
        </w:rPr>
        <w:t>.</w:t>
      </w:r>
    </w:p>
    <w:p w:rsidR="00DC24DD" w:rsidRDefault="00A758A6">
      <w:pPr>
        <w:spacing w:line="360" w:lineRule="auto"/>
        <w:ind w:left="720" w:hanging="720"/>
        <w:jc w:val="both"/>
        <w:rPr>
          <w:rFonts w:ascii="Arial" w:hAnsi="Arial" w:cs="Arial"/>
          <w:sz w:val="20"/>
          <w:szCs w:val="20"/>
        </w:rPr>
      </w:pPr>
      <w:r>
        <w:rPr>
          <w:rFonts w:ascii="Arial" w:hAnsi="Arial" w:cs="Arial"/>
          <w:sz w:val="20"/>
          <w:szCs w:val="20"/>
        </w:rPr>
        <w:lastRenderedPageBreak/>
        <w:t xml:space="preserve">Trivedi, N. P., &amp; Rawal, U. M. (2001). Hepatoprotective and antioxidant property of Andrographis </w:t>
      </w:r>
      <w:proofErr w:type="spellStart"/>
      <w:r>
        <w:rPr>
          <w:rFonts w:ascii="Arial" w:hAnsi="Arial" w:cs="Arial"/>
          <w:sz w:val="20"/>
          <w:szCs w:val="20"/>
        </w:rPr>
        <w:t>paniculata</w:t>
      </w:r>
      <w:proofErr w:type="spellEnd"/>
      <w:r>
        <w:rPr>
          <w:rFonts w:ascii="Arial" w:hAnsi="Arial" w:cs="Arial"/>
          <w:sz w:val="20"/>
          <w:szCs w:val="20"/>
        </w:rPr>
        <w:t xml:space="preserve"> (Neem) in BHC induced liver damage in mice.</w:t>
      </w:r>
    </w:p>
    <w:p w:rsidR="00DC24DD" w:rsidRDefault="00DC24DD">
      <w:pPr>
        <w:tabs>
          <w:tab w:val="left" w:pos="1462"/>
        </w:tabs>
        <w:spacing w:line="360" w:lineRule="auto"/>
        <w:rPr>
          <w:rFonts w:ascii="Arial" w:hAnsi="Arial" w:cs="Arial"/>
          <w:sz w:val="24"/>
          <w:szCs w:val="24"/>
        </w:rPr>
      </w:pPr>
    </w:p>
    <w:p w:rsidR="00DC24DD" w:rsidRDefault="00DC24DD">
      <w:pPr>
        <w:spacing w:line="360" w:lineRule="auto"/>
        <w:rPr>
          <w:rFonts w:ascii="Arial" w:hAnsi="Arial"/>
          <w:sz w:val="20"/>
          <w:szCs w:val="18"/>
          <w:lang w:val="en-IN" w:bidi="mr-IN"/>
        </w:rPr>
      </w:pPr>
    </w:p>
    <w:sectPr w:rsidR="00DC24D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0991" w:rsidRDefault="00730991">
      <w:pPr>
        <w:spacing w:line="240" w:lineRule="auto"/>
      </w:pPr>
      <w:r>
        <w:separator/>
      </w:r>
    </w:p>
  </w:endnote>
  <w:endnote w:type="continuationSeparator" w:id="0">
    <w:p w:rsidR="00730991" w:rsidRDefault="007309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altName w:val="Calibri"/>
    <w:charset w:val="00"/>
    <w:family w:val="auto"/>
    <w:pitch w:val="default"/>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default"/>
    <w:sig w:usb0="00000000" w:usb1="00000000" w:usb2="00000000" w:usb3="00000000" w:csb0="0000019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Segoe Print"/>
    <w:charset w:val="00"/>
    <w:family w:val="auto"/>
    <w:pitch w:val="default"/>
    <w:sig w:usb0="00000000" w:usb1="00000000" w:usb2="00000021" w:usb3="00000000" w:csb0="0000019F" w:csb1="00000000"/>
  </w:font>
  <w:font w:name="Bahnschrift">
    <w:panose1 w:val="020B0502040204020203"/>
    <w:charset w:val="00"/>
    <w:family w:val="swiss"/>
    <w:pitch w:val="variable"/>
    <w:sig w:usb0="A00002C7"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0991" w:rsidRDefault="00730991">
      <w:r>
        <w:separator/>
      </w:r>
    </w:p>
  </w:footnote>
  <w:footnote w:type="continuationSeparator" w:id="0">
    <w:p w:rsidR="00730991" w:rsidRDefault="007309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1B966C"/>
    <w:multiLevelType w:val="singleLevel"/>
    <w:tmpl w:val="5B1B966C"/>
    <w:lvl w:ilvl="0">
      <w:start w:val="4"/>
      <w:numFmt w:val="decimal"/>
      <w:suff w:val="space"/>
      <w:lvlText w:val="%1."/>
      <w:lvlJc w:val="left"/>
    </w:lvl>
  </w:abstractNum>
  <w:abstractNum w:abstractNumId="1" w15:restartNumberingAfterBreak="0">
    <w:nsid w:val="77DF7049"/>
    <w:multiLevelType w:val="multilevel"/>
    <w:tmpl w:val="77DF704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2"/>
    <w:compatSetting w:name="useWord2013TrackBottomHyphenation" w:uri="http://schemas.microsoft.com/office/word" w:val="1"/>
  </w:compat>
  <w:rsids>
    <w:rsidRoot w:val="00D9577E"/>
    <w:rsid w:val="00000FE3"/>
    <w:rsid w:val="00014A1B"/>
    <w:rsid w:val="0002272A"/>
    <w:rsid w:val="0002643E"/>
    <w:rsid w:val="00036831"/>
    <w:rsid w:val="00046DF7"/>
    <w:rsid w:val="0005253C"/>
    <w:rsid w:val="000545EC"/>
    <w:rsid w:val="000801B5"/>
    <w:rsid w:val="00083C58"/>
    <w:rsid w:val="0009646A"/>
    <w:rsid w:val="000A4A9F"/>
    <w:rsid w:val="000B4123"/>
    <w:rsid w:val="000C41B3"/>
    <w:rsid w:val="000D0961"/>
    <w:rsid w:val="000D222D"/>
    <w:rsid w:val="000E612A"/>
    <w:rsid w:val="000F5245"/>
    <w:rsid w:val="00112B42"/>
    <w:rsid w:val="00112F8D"/>
    <w:rsid w:val="00150EE1"/>
    <w:rsid w:val="00170275"/>
    <w:rsid w:val="001737F2"/>
    <w:rsid w:val="00196703"/>
    <w:rsid w:val="001A431F"/>
    <w:rsid w:val="001C04F8"/>
    <w:rsid w:val="001E7D2B"/>
    <w:rsid w:val="001F388E"/>
    <w:rsid w:val="002155F9"/>
    <w:rsid w:val="002156C8"/>
    <w:rsid w:val="00216671"/>
    <w:rsid w:val="00232ADF"/>
    <w:rsid w:val="002375EF"/>
    <w:rsid w:val="00240E79"/>
    <w:rsid w:val="00254D98"/>
    <w:rsid w:val="0026577A"/>
    <w:rsid w:val="002B01F4"/>
    <w:rsid w:val="002C4ADC"/>
    <w:rsid w:val="002D46D8"/>
    <w:rsid w:val="002D5955"/>
    <w:rsid w:val="002E581C"/>
    <w:rsid w:val="002E647D"/>
    <w:rsid w:val="00300822"/>
    <w:rsid w:val="0030496D"/>
    <w:rsid w:val="0031078D"/>
    <w:rsid w:val="0031167B"/>
    <w:rsid w:val="00314B6B"/>
    <w:rsid w:val="003256E0"/>
    <w:rsid w:val="00340A63"/>
    <w:rsid w:val="003501D8"/>
    <w:rsid w:val="0037106C"/>
    <w:rsid w:val="003719AF"/>
    <w:rsid w:val="003727B8"/>
    <w:rsid w:val="00382DF8"/>
    <w:rsid w:val="00392869"/>
    <w:rsid w:val="003A055A"/>
    <w:rsid w:val="003B0075"/>
    <w:rsid w:val="003D2294"/>
    <w:rsid w:val="003F079C"/>
    <w:rsid w:val="00405E9C"/>
    <w:rsid w:val="00406729"/>
    <w:rsid w:val="004112BE"/>
    <w:rsid w:val="004144CC"/>
    <w:rsid w:val="00415FA4"/>
    <w:rsid w:val="0041638A"/>
    <w:rsid w:val="00424F1C"/>
    <w:rsid w:val="00431E59"/>
    <w:rsid w:val="00434CE7"/>
    <w:rsid w:val="004448A8"/>
    <w:rsid w:val="004555B6"/>
    <w:rsid w:val="00456216"/>
    <w:rsid w:val="004719C4"/>
    <w:rsid w:val="004753AC"/>
    <w:rsid w:val="00476839"/>
    <w:rsid w:val="00477F36"/>
    <w:rsid w:val="004A28ED"/>
    <w:rsid w:val="004B34CA"/>
    <w:rsid w:val="004C023C"/>
    <w:rsid w:val="004C0AC4"/>
    <w:rsid w:val="004E073B"/>
    <w:rsid w:val="004E4C85"/>
    <w:rsid w:val="0051067F"/>
    <w:rsid w:val="00512B75"/>
    <w:rsid w:val="00513D9F"/>
    <w:rsid w:val="005218AC"/>
    <w:rsid w:val="00531B21"/>
    <w:rsid w:val="005413A6"/>
    <w:rsid w:val="005419E3"/>
    <w:rsid w:val="0054388E"/>
    <w:rsid w:val="00550956"/>
    <w:rsid w:val="0056104F"/>
    <w:rsid w:val="005643EB"/>
    <w:rsid w:val="005653BA"/>
    <w:rsid w:val="00565800"/>
    <w:rsid w:val="0057453B"/>
    <w:rsid w:val="00575CBB"/>
    <w:rsid w:val="005954E1"/>
    <w:rsid w:val="00596472"/>
    <w:rsid w:val="005A5E3F"/>
    <w:rsid w:val="005A73C3"/>
    <w:rsid w:val="005B7020"/>
    <w:rsid w:val="005C45B6"/>
    <w:rsid w:val="005D3C73"/>
    <w:rsid w:val="005E6116"/>
    <w:rsid w:val="00606E38"/>
    <w:rsid w:val="006118D8"/>
    <w:rsid w:val="00615FFA"/>
    <w:rsid w:val="006205EA"/>
    <w:rsid w:val="00620645"/>
    <w:rsid w:val="00644A5B"/>
    <w:rsid w:val="00646F9F"/>
    <w:rsid w:val="00656ACB"/>
    <w:rsid w:val="00665DC6"/>
    <w:rsid w:val="0067182A"/>
    <w:rsid w:val="00687C08"/>
    <w:rsid w:val="006B1A9C"/>
    <w:rsid w:val="006B1D51"/>
    <w:rsid w:val="006D58C5"/>
    <w:rsid w:val="006E2218"/>
    <w:rsid w:val="006E5718"/>
    <w:rsid w:val="006E795D"/>
    <w:rsid w:val="006F7F78"/>
    <w:rsid w:val="0070206E"/>
    <w:rsid w:val="00730991"/>
    <w:rsid w:val="00732C73"/>
    <w:rsid w:val="00735BEF"/>
    <w:rsid w:val="00746C35"/>
    <w:rsid w:val="00747635"/>
    <w:rsid w:val="00753728"/>
    <w:rsid w:val="0077773E"/>
    <w:rsid w:val="00777EE4"/>
    <w:rsid w:val="007929C0"/>
    <w:rsid w:val="007A01FF"/>
    <w:rsid w:val="007B2111"/>
    <w:rsid w:val="007C0134"/>
    <w:rsid w:val="007E0B57"/>
    <w:rsid w:val="007F10DF"/>
    <w:rsid w:val="007F5B61"/>
    <w:rsid w:val="00833E55"/>
    <w:rsid w:val="00850834"/>
    <w:rsid w:val="00852A00"/>
    <w:rsid w:val="00856DC3"/>
    <w:rsid w:val="008662FD"/>
    <w:rsid w:val="00881B38"/>
    <w:rsid w:val="008829CB"/>
    <w:rsid w:val="00893545"/>
    <w:rsid w:val="008A2C8E"/>
    <w:rsid w:val="008B00CD"/>
    <w:rsid w:val="008C150C"/>
    <w:rsid w:val="008C32CA"/>
    <w:rsid w:val="008F034E"/>
    <w:rsid w:val="00901A0D"/>
    <w:rsid w:val="00917D06"/>
    <w:rsid w:val="00920FDA"/>
    <w:rsid w:val="0092220B"/>
    <w:rsid w:val="009266E8"/>
    <w:rsid w:val="00957BE4"/>
    <w:rsid w:val="00961F35"/>
    <w:rsid w:val="0098627D"/>
    <w:rsid w:val="00990EB6"/>
    <w:rsid w:val="009A1029"/>
    <w:rsid w:val="009A4A31"/>
    <w:rsid w:val="009E68A1"/>
    <w:rsid w:val="009F20A9"/>
    <w:rsid w:val="00A032BD"/>
    <w:rsid w:val="00A07FA1"/>
    <w:rsid w:val="00A10AA4"/>
    <w:rsid w:val="00A41325"/>
    <w:rsid w:val="00A52AF2"/>
    <w:rsid w:val="00A758A6"/>
    <w:rsid w:val="00A83D6B"/>
    <w:rsid w:val="00A87F68"/>
    <w:rsid w:val="00A91F30"/>
    <w:rsid w:val="00A9711E"/>
    <w:rsid w:val="00AA3E01"/>
    <w:rsid w:val="00AB581E"/>
    <w:rsid w:val="00AB6A1C"/>
    <w:rsid w:val="00AC5B8B"/>
    <w:rsid w:val="00AD1B44"/>
    <w:rsid w:val="00AE3D27"/>
    <w:rsid w:val="00B13301"/>
    <w:rsid w:val="00B52C6C"/>
    <w:rsid w:val="00B547DD"/>
    <w:rsid w:val="00B70716"/>
    <w:rsid w:val="00B75538"/>
    <w:rsid w:val="00B80BA1"/>
    <w:rsid w:val="00B832BA"/>
    <w:rsid w:val="00BA3DB5"/>
    <w:rsid w:val="00BE79A5"/>
    <w:rsid w:val="00C1190E"/>
    <w:rsid w:val="00C24018"/>
    <w:rsid w:val="00C32A0C"/>
    <w:rsid w:val="00C51AE2"/>
    <w:rsid w:val="00C61CA3"/>
    <w:rsid w:val="00C85DEA"/>
    <w:rsid w:val="00C8709D"/>
    <w:rsid w:val="00CA22BD"/>
    <w:rsid w:val="00CA5413"/>
    <w:rsid w:val="00CB75DF"/>
    <w:rsid w:val="00CD3676"/>
    <w:rsid w:val="00CF749F"/>
    <w:rsid w:val="00D10B66"/>
    <w:rsid w:val="00D206DC"/>
    <w:rsid w:val="00D210B9"/>
    <w:rsid w:val="00D227E7"/>
    <w:rsid w:val="00D63C2C"/>
    <w:rsid w:val="00D756B6"/>
    <w:rsid w:val="00D90E37"/>
    <w:rsid w:val="00D9577E"/>
    <w:rsid w:val="00DC24DD"/>
    <w:rsid w:val="00DE1814"/>
    <w:rsid w:val="00DF449A"/>
    <w:rsid w:val="00E43E2F"/>
    <w:rsid w:val="00E46C90"/>
    <w:rsid w:val="00E56D8F"/>
    <w:rsid w:val="00E6624D"/>
    <w:rsid w:val="00E84052"/>
    <w:rsid w:val="00E84232"/>
    <w:rsid w:val="00EA1EFB"/>
    <w:rsid w:val="00ED6BC1"/>
    <w:rsid w:val="00EF67E9"/>
    <w:rsid w:val="00F00867"/>
    <w:rsid w:val="00F04FA5"/>
    <w:rsid w:val="00F20A72"/>
    <w:rsid w:val="00F21605"/>
    <w:rsid w:val="00F23FA0"/>
    <w:rsid w:val="00F41C69"/>
    <w:rsid w:val="00F44625"/>
    <w:rsid w:val="00F71325"/>
    <w:rsid w:val="00F76DBB"/>
    <w:rsid w:val="00F87154"/>
    <w:rsid w:val="00F877A4"/>
    <w:rsid w:val="00FA4485"/>
    <w:rsid w:val="00FB17D1"/>
    <w:rsid w:val="00FC7B0C"/>
    <w:rsid w:val="00FC7E8B"/>
    <w:rsid w:val="00FE1D2F"/>
    <w:rsid w:val="00FE489F"/>
    <w:rsid w:val="00FE5824"/>
    <w:rsid w:val="00FF7965"/>
    <w:rsid w:val="32654A09"/>
    <w:rsid w:val="41FD7A7B"/>
    <w:rsid w:val="51310C4B"/>
    <w:rsid w:val="5332540A"/>
    <w:rsid w:val="616014EF"/>
    <w:rsid w:val="68EA6034"/>
    <w:rsid w:val="7AC86203"/>
  </w:rsids>
  <m:mathPr>
    <m:mathFont m:val="Cambria Math"/>
    <m:brkBin m:val="before"/>
    <m:brkBinSub m:val="--"/>
    <m:smallFrac/>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shapeDefaults>
    <o:shapedefaults v:ext="edit" spidmax="1037" fillcolor="white">
      <v:fill color="white"/>
    </o:shapedefaults>
    <o:shapelayout v:ext="edit">
      <o:idmap v:ext="edit" data="1"/>
    </o:shapelayout>
  </w:shapeDefaults>
  <w:decimalSymbol w:val="."/>
  <w:listSeparator w:val=","/>
  <w15:docId w15:val="{317B358A-F9EE-4CF1-B871-03B89378C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59" w:lineRule="auto"/>
    </w:pPr>
    <w:rPr>
      <w:rFonts w:asciiTheme="minorHAnsi" w:eastAsiaTheme="minorHAnsi" w:hAnsiTheme="minorHAnsi" w:cstheme="minorBidi"/>
      <w:kern w:val="2"/>
      <w:sz w:val="22"/>
      <w:szCs w:val="22"/>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line="240" w:lineRule="auto"/>
    </w:pPr>
    <w:rPr>
      <w:rFonts w:ascii="Tahoma" w:hAnsi="Tahoma" w:cs="Tahoma"/>
      <w:sz w:val="16"/>
      <w:szCs w:val="16"/>
    </w:rPr>
  </w:style>
  <w:style w:type="paragraph" w:styleId="BodyText2">
    <w:name w:val="Body Text 2"/>
    <w:basedOn w:val="Normal"/>
    <w:link w:val="BodyText2Char"/>
    <w:qFormat/>
    <w:pPr>
      <w:spacing w:line="360" w:lineRule="auto"/>
      <w:jc w:val="both"/>
    </w:pPr>
    <w:rPr>
      <w:rFonts w:ascii="Times New Roman" w:eastAsia="Times New Roman" w:hAnsi="Times New Roman" w:cs="Times New Roman"/>
      <w:kern w:val="0"/>
      <w:sz w:val="24"/>
      <w:szCs w:val="20"/>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513"/>
        <w:tab w:val="right" w:pos="9026"/>
      </w:tabs>
      <w:spacing w:line="240" w:lineRule="auto"/>
    </w:pPr>
  </w:style>
  <w:style w:type="paragraph" w:styleId="Header">
    <w:name w:val="header"/>
    <w:basedOn w:val="Normal"/>
    <w:link w:val="HeaderChar"/>
    <w:uiPriority w:val="99"/>
    <w:unhideWhenUsed/>
    <w:qFormat/>
    <w:pPr>
      <w:tabs>
        <w:tab w:val="center" w:pos="4513"/>
        <w:tab w:val="right" w:pos="9026"/>
      </w:tabs>
      <w:spacing w:line="240" w:lineRule="auto"/>
    </w:pPr>
  </w:style>
  <w:style w:type="character" w:styleId="Hyperlink">
    <w:name w:val="Hyperlink"/>
    <w:basedOn w:val="DefaultParagraphFont"/>
    <w:uiPriority w:val="99"/>
    <w:unhideWhenUsed/>
    <w:qFormat/>
    <w:rPr>
      <w:color w:val="467886" w:themeColor="hyperlink"/>
      <w:u w:val="singl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ind w:firstLine="284"/>
    </w:pPr>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Pr>
      <w:rFonts w:eastAsiaTheme="majorEastAsia" w:cstheme="majorBidi"/>
      <w:color w:val="272727" w:themeColor="text1" w:themeTint="D8"/>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character" w:customStyle="1" w:styleId="HeaderChar">
    <w:name w:val="Header Char"/>
    <w:basedOn w:val="DefaultParagraphFont"/>
    <w:link w:val="Header"/>
    <w:uiPriority w:val="99"/>
    <w:qFormat/>
    <w:rPr>
      <w:sz w:val="22"/>
      <w:szCs w:val="22"/>
      <w:lang w:val="en-US"/>
    </w:rPr>
  </w:style>
  <w:style w:type="character" w:customStyle="1" w:styleId="FooterChar">
    <w:name w:val="Footer Char"/>
    <w:basedOn w:val="DefaultParagraphFont"/>
    <w:link w:val="Footer"/>
    <w:uiPriority w:val="99"/>
    <w:qFormat/>
    <w:rPr>
      <w:sz w:val="22"/>
      <w:szCs w:val="22"/>
      <w:lang w:val="en-US"/>
    </w:rPr>
  </w:style>
  <w:style w:type="character" w:customStyle="1" w:styleId="BodyText2Char">
    <w:name w:val="Body Text 2 Char"/>
    <w:basedOn w:val="DefaultParagraphFont"/>
    <w:link w:val="BodyText2"/>
    <w:qFormat/>
    <w:rPr>
      <w:rFonts w:ascii="Times New Roman" w:eastAsia="Times New Roman" w:hAnsi="Times New Roman" w:cs="Times New Roman"/>
      <w:kern w:val="0"/>
      <w:szCs w:val="20"/>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alloonTextChar">
    <w:name w:val="Balloon Text Char"/>
    <w:basedOn w:val="DefaultParagraphFont"/>
    <w:link w:val="BalloonText"/>
    <w:uiPriority w:val="99"/>
    <w:semiHidden/>
    <w:qFormat/>
    <w:rPr>
      <w:rFonts w:ascii="Tahoma" w:hAnsi="Tahoma" w:cs="Tahoma"/>
      <w:sz w:val="16"/>
      <w:szCs w:val="16"/>
      <w:lang w:val="en-US"/>
    </w:rPr>
  </w:style>
  <w:style w:type="paragraph" w:customStyle="1" w:styleId="AcknHead">
    <w:name w:val="Ackn Head"/>
    <w:basedOn w:val="Normal"/>
    <w:qFormat/>
    <w:pPr>
      <w:keepNext/>
      <w:spacing w:after="240" w:line="240" w:lineRule="auto"/>
    </w:pPr>
    <w:rPr>
      <w:rFonts w:ascii="Helvetica" w:eastAsia="Times New Roman" w:hAnsi="Helvetica" w:cs="Times New Roman"/>
      <w:b/>
      <w:caps/>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ubmed.ncbi.nlm.nih.gov/?ter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ubmed.ncbi.nlm.nih.gov/?term=" TargetMode="External"/><Relationship Id="rId17" Type="http://schemas.openxmlformats.org/officeDocument/2006/relationships/hyperlink" Target="https://doi.org/10.34172/apb.2022.074" TargetMode="External"/><Relationship Id="rId2" Type="http://schemas.openxmlformats.org/officeDocument/2006/relationships/numbering" Target="numbering.xml"/><Relationship Id="rId16" Type="http://schemas.openxmlformats.org/officeDocument/2006/relationships/hyperlink" Target="https://pubmed.ncbi.nlm.nih.gov/?ter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pubmed.ncbi.nlm.nih.gov/?ter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ubmed.ncbi.nlm.nih.gov/?te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34"/>
    <customShpInfo spid="_x0000_s1033"/>
    <customShpInfo spid="_x0000_s1036"/>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2889</Words>
  <Characters>16469</Characters>
  <Application>Microsoft Office Word</Application>
  <DocSecurity>0</DocSecurity>
  <Lines>137</Lines>
  <Paragraphs>38</Paragraphs>
  <ScaleCrop>false</ScaleCrop>
  <Company/>
  <LinksUpToDate>false</LinksUpToDate>
  <CharactersWithSpaces>19320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Saundarya Damekar</dc:creator>
  <cp:lastModifiedBy>SDI 1137</cp:lastModifiedBy>
  <cp:revision>52</cp:revision>
  <dcterms:created xsi:type="dcterms:W3CDTF">2025-07-09T13:56:00Z</dcterms:created>
  <dcterms:modified xsi:type="dcterms:W3CDTF">2025-09-16T09:33:00Z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CE327E0113A34197AEDF8AEB84D8F27D_12</vt:lpwstr>
  </property>
</Properties>
</file>