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4776" w:rsidRDefault="00B84776">
      <w:pPr>
        <w:pStyle w:val="BodyText"/>
        <w:spacing w:before="1"/>
        <w:ind w:left="0"/>
        <w:jc w:val="center"/>
        <w:rPr>
          <w:rFonts w:eastAsia="SimSun"/>
          <w:b/>
          <w:bCs/>
          <w:sz w:val="28"/>
          <w:szCs w:val="28"/>
        </w:rPr>
      </w:pPr>
    </w:p>
    <w:p w:rsidR="00B84776" w:rsidRDefault="00C65940">
      <w:pPr>
        <w:pStyle w:val="BodyText"/>
        <w:spacing w:before="1"/>
        <w:ind w:left="0"/>
        <w:jc w:val="center"/>
        <w:rPr>
          <w:rFonts w:eastAsia="SimSun"/>
          <w:b/>
          <w:bCs/>
          <w:sz w:val="28"/>
          <w:szCs w:val="28"/>
        </w:rPr>
      </w:pPr>
      <w:r>
        <w:rPr>
          <w:rFonts w:eastAsia="SimSun"/>
          <w:b/>
          <w:bCs/>
          <w:sz w:val="28"/>
          <w:szCs w:val="28"/>
        </w:rPr>
        <w:t xml:space="preserve">Extended-Spectrum Beta-Lactamase-Producing </w:t>
      </w:r>
      <w:proofErr w:type="spellStart"/>
      <w:r>
        <w:rPr>
          <w:rFonts w:eastAsia="SimSun"/>
          <w:b/>
          <w:bCs/>
          <w:sz w:val="28"/>
          <w:szCs w:val="28"/>
        </w:rPr>
        <w:t>Uropathogens</w:t>
      </w:r>
      <w:proofErr w:type="spellEnd"/>
      <w:r>
        <w:rPr>
          <w:rFonts w:eastAsia="SimSun"/>
          <w:b/>
          <w:bCs/>
          <w:sz w:val="28"/>
          <w:szCs w:val="28"/>
        </w:rPr>
        <w:t xml:space="preserve"> in Pediatric UTIs: Molecular Characteristics, Clinical Impact, and Public Health Consequences</w:t>
      </w:r>
    </w:p>
    <w:p w:rsidR="00B84776" w:rsidRDefault="00B84776">
      <w:pPr>
        <w:pStyle w:val="BodyText"/>
        <w:spacing w:before="1"/>
        <w:ind w:left="0"/>
        <w:jc w:val="center"/>
        <w:rPr>
          <w:rFonts w:eastAsia="SimSun"/>
          <w:b/>
          <w:bCs/>
          <w:sz w:val="28"/>
          <w:szCs w:val="28"/>
        </w:rPr>
      </w:pPr>
    </w:p>
    <w:p w:rsidR="00B84776" w:rsidRDefault="00B84776">
      <w:pPr>
        <w:pStyle w:val="Heading1"/>
        <w:spacing w:before="62"/>
        <w:ind w:left="100" w:firstLine="0"/>
        <w:rPr>
          <w:spacing w:val="-2"/>
        </w:rPr>
      </w:pPr>
    </w:p>
    <w:p w:rsidR="00B84776" w:rsidRDefault="00C65940">
      <w:pPr>
        <w:pStyle w:val="Heading1"/>
        <w:spacing w:before="62"/>
        <w:ind w:left="100" w:firstLine="0"/>
      </w:pPr>
      <w:r>
        <w:rPr>
          <w:spacing w:val="-2"/>
        </w:rPr>
        <w:t>ABSTRACT</w:t>
      </w:r>
    </w:p>
    <w:p w:rsidR="00B84776" w:rsidRDefault="00B84776">
      <w:pPr>
        <w:pStyle w:val="BodyText"/>
        <w:spacing w:before="141"/>
        <w:ind w:left="0"/>
        <w:jc w:val="left"/>
        <w:rPr>
          <w:b/>
        </w:rPr>
      </w:pPr>
    </w:p>
    <w:p w:rsidR="00B84776" w:rsidRDefault="00C65940">
      <w:pPr>
        <w:pStyle w:val="BodyText"/>
        <w:spacing w:line="360" w:lineRule="auto"/>
        <w:ind w:right="97"/>
      </w:pPr>
      <w:r>
        <w:t>Urinary</w:t>
      </w:r>
      <w:r>
        <w:t xml:space="preserve"> tract infections (UTIs) remain a common and serious health challenge among pediatric populations, particularly in low- and middle-income countries. The emergence of extended-spectrum beta-lactamase (ESBL)-producing </w:t>
      </w:r>
      <w:proofErr w:type="spellStart"/>
      <w:r>
        <w:t>uropathogens</w:t>
      </w:r>
      <w:proofErr w:type="spellEnd"/>
      <w:r>
        <w:t xml:space="preserve"> significantly complicates t</w:t>
      </w:r>
      <w:r>
        <w:t>reatment, increases the risk of complications, and burdens already fragile healthcare systems. This review provides a comprehensive analysis of the epidemiology, molecular mechanisms, clinical impact, and treatment challenges associated with</w:t>
      </w:r>
      <w:r>
        <w:rPr>
          <w:spacing w:val="-2"/>
        </w:rPr>
        <w:t xml:space="preserve"> </w:t>
      </w:r>
      <w:r>
        <w:t>ESBL-producing</w:t>
      </w:r>
      <w:r>
        <w:t xml:space="preserve"> Enterobacteriaceae</w:t>
      </w:r>
      <w:r>
        <w:rPr>
          <w:spacing w:val="-1"/>
        </w:rPr>
        <w:t xml:space="preserve"> </w:t>
      </w:r>
      <w:r>
        <w:t>in pediatric</w:t>
      </w:r>
      <w:r>
        <w:rPr>
          <w:spacing w:val="-1"/>
        </w:rPr>
        <w:t xml:space="preserve"> </w:t>
      </w:r>
      <w:r>
        <w:t>UTIs, with</w:t>
      </w:r>
      <w:r>
        <w:rPr>
          <w:spacing w:val="-2"/>
        </w:rPr>
        <w:t xml:space="preserve"> </w:t>
      </w:r>
      <w:r>
        <w:t>a</w:t>
      </w:r>
      <w:r>
        <w:rPr>
          <w:spacing w:val="-1"/>
        </w:rPr>
        <w:t xml:space="preserve"> </w:t>
      </w:r>
      <w:r>
        <w:t>focused lens on Nigeria and the broader Sub-Saharan African region.</w:t>
      </w:r>
    </w:p>
    <w:p w:rsidR="00B84776" w:rsidRDefault="00B84776">
      <w:pPr>
        <w:pStyle w:val="BodyText"/>
        <w:spacing w:before="3"/>
        <w:ind w:left="0"/>
        <w:jc w:val="left"/>
      </w:pPr>
    </w:p>
    <w:p w:rsidR="00B84776" w:rsidRDefault="00C65940">
      <w:pPr>
        <w:pStyle w:val="BodyText"/>
        <w:spacing w:line="360" w:lineRule="auto"/>
        <w:ind w:right="97"/>
      </w:pPr>
      <w:r>
        <w:t xml:space="preserve">We examine the predominance of </w:t>
      </w:r>
      <w:r>
        <w:rPr>
          <w:i/>
        </w:rPr>
        <w:t xml:space="preserve">Escherichia coli </w:t>
      </w:r>
      <w:r>
        <w:t xml:space="preserve">and </w:t>
      </w:r>
      <w:r>
        <w:rPr>
          <w:i/>
        </w:rPr>
        <w:t xml:space="preserve">Klebsiella pneumoniae </w:t>
      </w:r>
      <w:r>
        <w:t>as key ESBL producers, highlight the molecular dominance of CTX-M-1</w:t>
      </w:r>
      <w:r>
        <w:t>5 and co-existing resistance determinants, and discuss the role of clonal expansion and horizontal gene transfer in the spread of resistance. Regional surveillance data reveal alarming ESBL prevalence rates of 40–75%, with multidrug resistance further narr</w:t>
      </w:r>
      <w:r>
        <w:t>owing treatment options. The implications are profound—ranging from delayed treatment and increased hospitalization to long-term renal complications in children.</w:t>
      </w:r>
    </w:p>
    <w:p w:rsidR="00B84776" w:rsidRDefault="00B84776">
      <w:pPr>
        <w:pStyle w:val="BodyText"/>
        <w:spacing w:before="4"/>
        <w:ind w:left="0"/>
        <w:jc w:val="left"/>
      </w:pPr>
    </w:p>
    <w:p w:rsidR="00B84776" w:rsidRDefault="00C65940">
      <w:pPr>
        <w:pStyle w:val="BodyText"/>
        <w:spacing w:line="360" w:lineRule="auto"/>
        <w:ind w:right="98"/>
      </w:pPr>
      <w:r>
        <w:t>Despite the availability of phenotypic and molecular diagnostics, challenges persist due to l</w:t>
      </w:r>
      <w:r>
        <w:t xml:space="preserve">imited access, infrastructural gaps, and under-resourced healthcare systems. This review underscores the urgent need for improved antimicrobial stewardship, investment in rapid diagnostics, and the establishment of pediatric-specific treatment guidelines. </w:t>
      </w:r>
      <w:r>
        <w:t xml:space="preserve">Addressing the burden of ESBL-producing </w:t>
      </w:r>
      <w:proofErr w:type="spellStart"/>
      <w:r>
        <w:t>uropathogens</w:t>
      </w:r>
      <w:proofErr w:type="spellEnd"/>
      <w:r>
        <w:t xml:space="preserve"> in Nigerian children is critical not only for safeguarding individual patient outcomes but also for mitigating the regional and global spread of antimicrobial resistance.</w:t>
      </w:r>
    </w:p>
    <w:p w:rsidR="00B84776" w:rsidRDefault="00B84776">
      <w:pPr>
        <w:pStyle w:val="BodyText"/>
        <w:spacing w:before="6"/>
        <w:ind w:left="0"/>
        <w:jc w:val="left"/>
      </w:pPr>
    </w:p>
    <w:p w:rsidR="00B84776" w:rsidRDefault="00C65940">
      <w:pPr>
        <w:pStyle w:val="BodyText"/>
        <w:spacing w:line="360" w:lineRule="auto"/>
        <w:ind w:right="101"/>
      </w:pPr>
      <w:r>
        <w:rPr>
          <w:b/>
        </w:rPr>
        <w:t>KEYWORDS</w:t>
      </w:r>
      <w:r>
        <w:t>:</w:t>
      </w:r>
      <w:r>
        <w:rPr>
          <w:spacing w:val="-4"/>
        </w:rPr>
        <w:t xml:space="preserve"> </w:t>
      </w:r>
      <w:r>
        <w:t>Pediatric,</w:t>
      </w:r>
      <w:r>
        <w:rPr>
          <w:spacing w:val="-4"/>
        </w:rPr>
        <w:t xml:space="preserve"> </w:t>
      </w:r>
      <w:r>
        <w:t>Urinary</w:t>
      </w:r>
      <w:r>
        <w:rPr>
          <w:spacing w:val="-2"/>
        </w:rPr>
        <w:t xml:space="preserve"> </w:t>
      </w:r>
      <w:r>
        <w:t>tract</w:t>
      </w:r>
      <w:r>
        <w:rPr>
          <w:spacing w:val="-4"/>
        </w:rPr>
        <w:t xml:space="preserve"> </w:t>
      </w:r>
      <w:r>
        <w:t>infections</w:t>
      </w:r>
      <w:r>
        <w:rPr>
          <w:spacing w:val="-1"/>
        </w:rPr>
        <w:t xml:space="preserve"> </w:t>
      </w:r>
      <w:r>
        <w:t>(UTIs),</w:t>
      </w:r>
      <w:r>
        <w:rPr>
          <w:spacing w:val="-2"/>
        </w:rPr>
        <w:t xml:space="preserve"> </w:t>
      </w:r>
      <w:r>
        <w:t>ESBL, Multidrug</w:t>
      </w:r>
      <w:r>
        <w:rPr>
          <w:spacing w:val="-4"/>
        </w:rPr>
        <w:t xml:space="preserve"> </w:t>
      </w:r>
      <w:r>
        <w:t>resistance (MDR), Nigeria.</w:t>
      </w:r>
    </w:p>
    <w:p w:rsidR="00B84776" w:rsidRDefault="00B84776">
      <w:pPr>
        <w:pStyle w:val="BodyText"/>
        <w:spacing w:line="360" w:lineRule="auto"/>
        <w:sectPr w:rsidR="00B84776">
          <w:headerReference w:type="even" r:id="rId8"/>
          <w:headerReference w:type="default" r:id="rId9"/>
          <w:footerReference w:type="even" r:id="rId10"/>
          <w:footerReference w:type="default" r:id="rId11"/>
          <w:headerReference w:type="first" r:id="rId12"/>
          <w:footerReference w:type="first" r:id="rId13"/>
          <w:pgSz w:w="11910" w:h="16840"/>
          <w:pgMar w:top="1360" w:right="1700" w:bottom="280" w:left="1700" w:header="720" w:footer="720" w:gutter="0"/>
          <w:cols w:space="720"/>
        </w:sectPr>
      </w:pPr>
    </w:p>
    <w:p w:rsidR="00B84776" w:rsidRDefault="00C65940">
      <w:pPr>
        <w:pStyle w:val="Heading1"/>
        <w:numPr>
          <w:ilvl w:val="0"/>
          <w:numId w:val="1"/>
        </w:numPr>
        <w:tabs>
          <w:tab w:val="left" w:pos="340"/>
        </w:tabs>
        <w:spacing w:before="62"/>
      </w:pPr>
      <w:r>
        <w:rPr>
          <w:spacing w:val="-2"/>
        </w:rPr>
        <w:lastRenderedPageBreak/>
        <w:t>INTRODUCTION</w:t>
      </w:r>
    </w:p>
    <w:p w:rsidR="00B84776" w:rsidRDefault="00C65940">
      <w:pPr>
        <w:pStyle w:val="BodyText"/>
        <w:spacing w:before="137" w:line="360" w:lineRule="auto"/>
        <w:ind w:right="98"/>
      </w:pPr>
      <w:r>
        <w:t>Urinary tract infections (UTIs) represent a prevalent bacterial infection in children. The clinical manifestations can often be non-specific, particular</w:t>
      </w:r>
      <w:r>
        <w:t>ly in younger populations, which underscores the necessity of considering this diagnosis in all children and teenagers.</w:t>
      </w:r>
    </w:p>
    <w:p w:rsidR="00B84776" w:rsidRDefault="00C65940">
      <w:pPr>
        <w:pStyle w:val="BodyText"/>
        <w:spacing w:before="10"/>
        <w:ind w:left="0"/>
        <w:jc w:val="left"/>
        <w:rPr>
          <w:sz w:val="14"/>
        </w:rPr>
      </w:pPr>
      <w:r>
        <w:rPr>
          <w:noProof/>
          <w:sz w:val="14"/>
        </w:rPr>
        <w:drawing>
          <wp:anchor distT="0" distB="0" distL="0" distR="0" simplePos="0" relativeHeight="251659264" behindDoc="1" locked="0" layoutInCell="1" allowOverlap="1">
            <wp:simplePos x="0" y="0"/>
            <wp:positionH relativeFrom="page">
              <wp:posOffset>1318895</wp:posOffset>
            </wp:positionH>
            <wp:positionV relativeFrom="paragraph">
              <wp:posOffset>123825</wp:posOffset>
            </wp:positionV>
            <wp:extent cx="4781550" cy="3420110"/>
            <wp:effectExtent l="0" t="0" r="0" b="0"/>
            <wp:wrapTopAndBottom/>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stretch>
                      <a:fillRect/>
                    </a:stretch>
                  </pic:blipFill>
                  <pic:spPr>
                    <a:xfrm>
                      <a:off x="0" y="0"/>
                      <a:ext cx="4781306" cy="3419855"/>
                    </a:xfrm>
                    <a:prstGeom prst="rect">
                      <a:avLst/>
                    </a:prstGeom>
                  </pic:spPr>
                </pic:pic>
              </a:graphicData>
            </a:graphic>
          </wp:anchor>
        </w:drawing>
      </w:r>
    </w:p>
    <w:p w:rsidR="00B84776" w:rsidRDefault="00B84776">
      <w:pPr>
        <w:pStyle w:val="BodyText"/>
        <w:spacing w:before="250"/>
        <w:ind w:left="0"/>
        <w:jc w:val="left"/>
      </w:pPr>
    </w:p>
    <w:p w:rsidR="00B84776" w:rsidRDefault="00C65940">
      <w:pPr>
        <w:pStyle w:val="Heading2"/>
        <w:ind w:left="100" w:right="97" w:firstLine="0"/>
      </w:pPr>
      <w:r>
        <w:t>Figure 1:</w:t>
      </w:r>
      <w:r>
        <w:rPr>
          <w:spacing w:val="40"/>
        </w:rPr>
        <w:t xml:space="preserve"> </w:t>
      </w:r>
      <w:r>
        <w:t>Infographic showing UTI symptoms in children across age groups (infants, toddlers, school-age).</w:t>
      </w:r>
    </w:p>
    <w:p w:rsidR="00B84776" w:rsidRDefault="00B84776">
      <w:pPr>
        <w:pStyle w:val="BodyText"/>
        <w:ind w:left="0"/>
        <w:jc w:val="left"/>
        <w:rPr>
          <w:b/>
        </w:rPr>
      </w:pPr>
    </w:p>
    <w:p w:rsidR="00B84776" w:rsidRDefault="00B84776">
      <w:pPr>
        <w:pStyle w:val="BodyText"/>
        <w:spacing w:before="63"/>
        <w:ind w:left="0"/>
        <w:jc w:val="left"/>
        <w:rPr>
          <w:b/>
        </w:rPr>
      </w:pPr>
    </w:p>
    <w:p w:rsidR="00B84776" w:rsidRDefault="00C65940">
      <w:pPr>
        <w:pStyle w:val="BodyText"/>
        <w:spacing w:line="360" w:lineRule="auto"/>
        <w:ind w:right="100"/>
      </w:pPr>
      <w:r>
        <w:t xml:space="preserve">In practical terms, UTIs </w:t>
      </w:r>
      <w:r>
        <w:t>in children can be challenging to identify. In developed nations, approximately 7% of febrile, pre-continent infants and children seeking medical attention are diagnosed with a UTI (1), with even higher rates reported in developing countries (2).</w:t>
      </w:r>
    </w:p>
    <w:p w:rsidR="00B84776" w:rsidRDefault="00C65940">
      <w:pPr>
        <w:pStyle w:val="BodyText"/>
        <w:spacing w:line="360" w:lineRule="auto"/>
        <w:ind w:right="97"/>
      </w:pPr>
      <w:r>
        <w:t>Consequen</w:t>
      </w:r>
      <w:r>
        <w:t>tly, they frequently emerge as a potential diagnosis among the numerous cases of unexplained fever that clinicians encounter in general practice, emergency departments, and hospital environments. Prompt and precise diagnosis of UTIs is crucial,</w:t>
      </w:r>
      <w:r>
        <w:rPr>
          <w:spacing w:val="-4"/>
        </w:rPr>
        <w:t xml:space="preserve"> </w:t>
      </w:r>
      <w:r>
        <w:t>as</w:t>
      </w:r>
      <w:r>
        <w:rPr>
          <w:spacing w:val="-2"/>
        </w:rPr>
        <w:t xml:space="preserve"> </w:t>
      </w:r>
      <w:r>
        <w:t>misdiagn</w:t>
      </w:r>
      <w:r>
        <w:t>osis,</w:t>
      </w:r>
      <w:r>
        <w:rPr>
          <w:spacing w:val="-4"/>
        </w:rPr>
        <w:t xml:space="preserve"> </w:t>
      </w:r>
      <w:r>
        <w:t>overlooked</w:t>
      </w:r>
      <w:r>
        <w:rPr>
          <w:spacing w:val="-2"/>
        </w:rPr>
        <w:t xml:space="preserve"> </w:t>
      </w:r>
      <w:r>
        <w:t>cases,</w:t>
      </w:r>
      <w:r>
        <w:rPr>
          <w:spacing w:val="-2"/>
        </w:rPr>
        <w:t xml:space="preserve"> </w:t>
      </w:r>
      <w:r>
        <w:t>and</w:t>
      </w:r>
      <w:r>
        <w:rPr>
          <w:spacing w:val="-2"/>
        </w:rPr>
        <w:t xml:space="preserve"> </w:t>
      </w:r>
      <w:r>
        <w:t>delays</w:t>
      </w:r>
      <w:r>
        <w:rPr>
          <w:spacing w:val="-2"/>
        </w:rPr>
        <w:t xml:space="preserve"> </w:t>
      </w:r>
      <w:r>
        <w:t>in</w:t>
      </w:r>
      <w:r>
        <w:rPr>
          <w:spacing w:val="-4"/>
        </w:rPr>
        <w:t xml:space="preserve"> </w:t>
      </w:r>
      <w:r>
        <w:t>treatment</w:t>
      </w:r>
      <w:r>
        <w:rPr>
          <w:spacing w:val="-1"/>
        </w:rPr>
        <w:t xml:space="preserve"> </w:t>
      </w:r>
      <w:r>
        <w:t>can</w:t>
      </w:r>
      <w:r>
        <w:rPr>
          <w:spacing w:val="-2"/>
        </w:rPr>
        <w:t xml:space="preserve"> </w:t>
      </w:r>
      <w:r>
        <w:t>lead</w:t>
      </w:r>
      <w:r>
        <w:rPr>
          <w:spacing w:val="-2"/>
        </w:rPr>
        <w:t xml:space="preserve"> </w:t>
      </w:r>
      <w:r>
        <w:t>to</w:t>
      </w:r>
      <w:r>
        <w:rPr>
          <w:spacing w:val="-4"/>
        </w:rPr>
        <w:t xml:space="preserve"> </w:t>
      </w:r>
      <w:r>
        <w:t>adverse outcomes.</w:t>
      </w:r>
      <w:r>
        <w:rPr>
          <w:spacing w:val="40"/>
        </w:rPr>
        <w:t xml:space="preserve"> </w:t>
      </w:r>
      <w:r>
        <w:t>Infants, particularly neonates, represent the demographic most susceptible to</w:t>
      </w:r>
      <w:r>
        <w:rPr>
          <w:spacing w:val="-4"/>
        </w:rPr>
        <w:t xml:space="preserve"> </w:t>
      </w:r>
      <w:r>
        <w:t>acute</w:t>
      </w:r>
      <w:r>
        <w:rPr>
          <w:spacing w:val="-1"/>
        </w:rPr>
        <w:t xml:space="preserve"> </w:t>
      </w:r>
      <w:r>
        <w:t>complications</w:t>
      </w:r>
      <w:r>
        <w:rPr>
          <w:spacing w:val="-2"/>
        </w:rPr>
        <w:t xml:space="preserve"> </w:t>
      </w:r>
      <w:r>
        <w:t>associated with</w:t>
      </w:r>
      <w:r>
        <w:rPr>
          <w:spacing w:val="-2"/>
        </w:rPr>
        <w:t xml:space="preserve"> </w:t>
      </w:r>
      <w:r>
        <w:t>urinary</w:t>
      </w:r>
      <w:r>
        <w:rPr>
          <w:spacing w:val="-2"/>
        </w:rPr>
        <w:t xml:space="preserve"> </w:t>
      </w:r>
      <w:r>
        <w:t>tract infections</w:t>
      </w:r>
      <w:r>
        <w:rPr>
          <w:spacing w:val="-2"/>
        </w:rPr>
        <w:t xml:space="preserve"> </w:t>
      </w:r>
      <w:r>
        <w:t>(UTIs).</w:t>
      </w:r>
      <w:r>
        <w:rPr>
          <w:spacing w:val="-2"/>
        </w:rPr>
        <w:t xml:space="preserve"> </w:t>
      </w:r>
      <w:r>
        <w:t>This</w:t>
      </w:r>
      <w:r>
        <w:rPr>
          <w:spacing w:val="-2"/>
        </w:rPr>
        <w:t xml:space="preserve"> </w:t>
      </w:r>
      <w:r>
        <w:t>population also</w:t>
      </w:r>
      <w:r>
        <w:rPr>
          <w:spacing w:val="12"/>
        </w:rPr>
        <w:t xml:space="preserve"> </w:t>
      </w:r>
      <w:r>
        <w:t>exhibits</w:t>
      </w:r>
      <w:r>
        <w:rPr>
          <w:spacing w:val="17"/>
        </w:rPr>
        <w:t xml:space="preserve"> </w:t>
      </w:r>
      <w:r>
        <w:t>t</w:t>
      </w:r>
      <w:r>
        <w:t>he</w:t>
      </w:r>
      <w:r>
        <w:rPr>
          <w:spacing w:val="13"/>
        </w:rPr>
        <w:t xml:space="preserve"> </w:t>
      </w:r>
      <w:r>
        <w:t>least</w:t>
      </w:r>
      <w:r>
        <w:rPr>
          <w:spacing w:val="21"/>
        </w:rPr>
        <w:t xml:space="preserve"> </w:t>
      </w:r>
      <w:r>
        <w:t>specific</w:t>
      </w:r>
      <w:r>
        <w:rPr>
          <w:spacing w:val="16"/>
        </w:rPr>
        <w:t xml:space="preserve"> </w:t>
      </w:r>
      <w:r>
        <w:t>clinical</w:t>
      </w:r>
      <w:r>
        <w:rPr>
          <w:spacing w:val="17"/>
        </w:rPr>
        <w:t xml:space="preserve"> </w:t>
      </w:r>
      <w:r>
        <w:t>manifestations</w:t>
      </w:r>
      <w:r>
        <w:rPr>
          <w:spacing w:val="17"/>
        </w:rPr>
        <w:t xml:space="preserve"> </w:t>
      </w:r>
      <w:r>
        <w:t>of</w:t>
      </w:r>
      <w:r>
        <w:rPr>
          <w:spacing w:val="17"/>
        </w:rPr>
        <w:t xml:space="preserve"> </w:t>
      </w:r>
      <w:r>
        <w:t>UTIs,</w:t>
      </w:r>
      <w:r>
        <w:rPr>
          <w:spacing w:val="17"/>
        </w:rPr>
        <w:t xml:space="preserve"> </w:t>
      </w:r>
      <w:r>
        <w:t>making</w:t>
      </w:r>
      <w:r>
        <w:rPr>
          <w:spacing w:val="17"/>
        </w:rPr>
        <w:t xml:space="preserve"> </w:t>
      </w:r>
      <w:r>
        <w:t>the</w:t>
      </w:r>
      <w:r>
        <w:rPr>
          <w:spacing w:val="17"/>
        </w:rPr>
        <w:t xml:space="preserve"> </w:t>
      </w:r>
      <w:r>
        <w:rPr>
          <w:spacing w:val="-2"/>
        </w:rPr>
        <w:t>collection</w:t>
      </w:r>
    </w:p>
    <w:p w:rsidR="00B84776" w:rsidRDefault="00B84776">
      <w:pPr>
        <w:pStyle w:val="BodyText"/>
        <w:spacing w:line="360" w:lineRule="auto"/>
        <w:sectPr w:rsidR="00B84776">
          <w:pgSz w:w="11910" w:h="16840"/>
          <w:pgMar w:top="1360" w:right="1700" w:bottom="280" w:left="1700" w:header="720" w:footer="720" w:gutter="0"/>
          <w:cols w:space="720"/>
        </w:sectPr>
      </w:pPr>
    </w:p>
    <w:p w:rsidR="00B84776" w:rsidRDefault="00C65940">
      <w:pPr>
        <w:pStyle w:val="BodyText"/>
        <w:spacing w:before="62" w:line="360" w:lineRule="auto"/>
        <w:ind w:right="99"/>
      </w:pPr>
      <w:r>
        <w:lastRenderedPageBreak/>
        <w:t>of urine samples for diagnostic evaluation particularly challenging. While the</w:t>
      </w:r>
      <w:r>
        <w:rPr>
          <w:spacing w:val="80"/>
        </w:rPr>
        <w:t xml:space="preserve"> </w:t>
      </w:r>
      <w:r>
        <w:t>majority</w:t>
      </w:r>
      <w:r>
        <w:rPr>
          <w:spacing w:val="-4"/>
        </w:rPr>
        <w:t xml:space="preserve"> </w:t>
      </w:r>
      <w:r>
        <w:t>of</w:t>
      </w:r>
      <w:r>
        <w:rPr>
          <w:spacing w:val="-5"/>
        </w:rPr>
        <w:t xml:space="preserve"> </w:t>
      </w:r>
      <w:r>
        <w:t>children</w:t>
      </w:r>
      <w:r>
        <w:rPr>
          <w:spacing w:val="-3"/>
        </w:rPr>
        <w:t xml:space="preserve"> </w:t>
      </w:r>
      <w:r>
        <w:t>diagnosed</w:t>
      </w:r>
      <w:r>
        <w:rPr>
          <w:spacing w:val="-4"/>
        </w:rPr>
        <w:t xml:space="preserve"> </w:t>
      </w:r>
      <w:r>
        <w:t>with</w:t>
      </w:r>
      <w:r>
        <w:rPr>
          <w:spacing w:val="-4"/>
        </w:rPr>
        <w:t xml:space="preserve"> </w:t>
      </w:r>
      <w:r>
        <w:t>UTIs experience</w:t>
      </w:r>
      <w:r>
        <w:rPr>
          <w:spacing w:val="-3"/>
        </w:rPr>
        <w:t xml:space="preserve"> </w:t>
      </w:r>
      <w:r>
        <w:t>complete</w:t>
      </w:r>
      <w:r>
        <w:rPr>
          <w:spacing w:val="-5"/>
        </w:rPr>
        <w:t xml:space="preserve"> </w:t>
      </w:r>
      <w:r>
        <w:t>recovery,</w:t>
      </w:r>
      <w:r>
        <w:rPr>
          <w:spacing w:val="-1"/>
        </w:rPr>
        <w:t xml:space="preserve"> </w:t>
      </w:r>
      <w:r>
        <w:t>there</w:t>
      </w:r>
      <w:r>
        <w:rPr>
          <w:spacing w:val="-3"/>
        </w:rPr>
        <w:t xml:space="preserve"> </w:t>
      </w:r>
      <w:r>
        <w:t>exists</w:t>
      </w:r>
      <w:r>
        <w:rPr>
          <w:spacing w:val="-4"/>
        </w:rPr>
        <w:t xml:space="preserve"> </w:t>
      </w:r>
      <w:r>
        <w:t>a risk</w:t>
      </w:r>
      <w:r>
        <w:t xml:space="preserve"> of serious short-term complications such as urosepsis and meningitis, as well as long-term issues including renal scarring, impairment, hypertension, and chronic kidney disease, particularly when caused by antimicrobial-resistant pathogens (3, 4). Althoug</w:t>
      </w:r>
      <w:r>
        <w:t>h these severe outcomes occur in a relatively small percentage of cases, the high</w:t>
      </w:r>
      <w:r>
        <w:rPr>
          <w:spacing w:val="-2"/>
        </w:rPr>
        <w:t xml:space="preserve"> </w:t>
      </w:r>
      <w:r>
        <w:t>incidence</w:t>
      </w:r>
      <w:r>
        <w:rPr>
          <w:spacing w:val="-1"/>
        </w:rPr>
        <w:t xml:space="preserve"> </w:t>
      </w:r>
      <w:r>
        <w:t>of</w:t>
      </w:r>
      <w:r>
        <w:rPr>
          <w:spacing w:val="-4"/>
        </w:rPr>
        <w:t xml:space="preserve"> </w:t>
      </w:r>
      <w:r>
        <w:t>UTIs in</w:t>
      </w:r>
      <w:r>
        <w:rPr>
          <w:spacing w:val="-4"/>
        </w:rPr>
        <w:t xml:space="preserve"> </w:t>
      </w:r>
      <w:r>
        <w:t>pediatric</w:t>
      </w:r>
      <w:r>
        <w:rPr>
          <w:spacing w:val="-3"/>
        </w:rPr>
        <w:t xml:space="preserve"> </w:t>
      </w:r>
      <w:r>
        <w:t>populations</w:t>
      </w:r>
      <w:r>
        <w:rPr>
          <w:spacing w:val="-4"/>
        </w:rPr>
        <w:t xml:space="preserve"> </w:t>
      </w:r>
      <w:r>
        <w:t>results</w:t>
      </w:r>
      <w:r>
        <w:rPr>
          <w:spacing w:val="-2"/>
        </w:rPr>
        <w:t xml:space="preserve"> </w:t>
      </w:r>
      <w:r>
        <w:t>in</w:t>
      </w:r>
      <w:r>
        <w:rPr>
          <w:spacing w:val="-4"/>
        </w:rPr>
        <w:t xml:space="preserve"> </w:t>
      </w:r>
      <w:r>
        <w:t>a</w:t>
      </w:r>
      <w:r>
        <w:rPr>
          <w:spacing w:val="-3"/>
        </w:rPr>
        <w:t xml:space="preserve"> </w:t>
      </w:r>
      <w:r>
        <w:t>notable</w:t>
      </w:r>
      <w:r>
        <w:rPr>
          <w:spacing w:val="-3"/>
        </w:rPr>
        <w:t xml:space="preserve"> </w:t>
      </w:r>
      <w:r>
        <w:t>absolute</w:t>
      </w:r>
      <w:r>
        <w:rPr>
          <w:spacing w:val="-3"/>
        </w:rPr>
        <w:t xml:space="preserve"> </w:t>
      </w:r>
      <w:r>
        <w:t>frequency of these complications.</w:t>
      </w:r>
    </w:p>
    <w:p w:rsidR="00B84776" w:rsidRDefault="00C65940">
      <w:pPr>
        <w:pStyle w:val="BodyText"/>
        <w:spacing w:line="360" w:lineRule="auto"/>
        <w:ind w:right="97"/>
      </w:pPr>
      <w:r>
        <w:t>Globally, UTIs account for 5–14% of pediatric outpatient visits and</w:t>
      </w:r>
      <w:r>
        <w:t xml:space="preserve"> a considerable proportion of hospital admissions in children under five years of age (1). A growing body</w:t>
      </w:r>
      <w:r>
        <w:rPr>
          <w:spacing w:val="-5"/>
        </w:rPr>
        <w:t xml:space="preserve"> </w:t>
      </w:r>
      <w:r>
        <w:t>of</w:t>
      </w:r>
      <w:r>
        <w:rPr>
          <w:spacing w:val="-4"/>
        </w:rPr>
        <w:t xml:space="preserve"> </w:t>
      </w:r>
      <w:r>
        <w:t>evidence</w:t>
      </w:r>
      <w:r>
        <w:rPr>
          <w:spacing w:val="-2"/>
        </w:rPr>
        <w:t xml:space="preserve"> </w:t>
      </w:r>
      <w:r>
        <w:t>has</w:t>
      </w:r>
      <w:r>
        <w:rPr>
          <w:spacing w:val="-3"/>
        </w:rPr>
        <w:t xml:space="preserve"> </w:t>
      </w:r>
      <w:r>
        <w:t>identified</w:t>
      </w:r>
      <w:r>
        <w:rPr>
          <w:spacing w:val="-5"/>
        </w:rPr>
        <w:t xml:space="preserve"> </w:t>
      </w:r>
      <w:r>
        <w:t>Gram-negative</w:t>
      </w:r>
      <w:r>
        <w:rPr>
          <w:spacing w:val="-4"/>
        </w:rPr>
        <w:t xml:space="preserve"> </w:t>
      </w:r>
      <w:proofErr w:type="spellStart"/>
      <w:r>
        <w:t>uropathogens</w:t>
      </w:r>
      <w:proofErr w:type="spellEnd"/>
      <w:r>
        <w:t>,</w:t>
      </w:r>
      <w:r>
        <w:rPr>
          <w:spacing w:val="-1"/>
        </w:rPr>
        <w:t xml:space="preserve"> </w:t>
      </w:r>
      <w:r>
        <w:t>particularly</w:t>
      </w:r>
      <w:r>
        <w:rPr>
          <w:spacing w:val="-3"/>
        </w:rPr>
        <w:t xml:space="preserve"> </w:t>
      </w:r>
      <w:r>
        <w:rPr>
          <w:i/>
        </w:rPr>
        <w:t xml:space="preserve">Escherichia coli </w:t>
      </w:r>
      <w:r>
        <w:t xml:space="preserve">and </w:t>
      </w:r>
      <w:r>
        <w:rPr>
          <w:i/>
        </w:rPr>
        <w:t>Klebsiella pneumoniae</w:t>
      </w:r>
      <w:r>
        <w:t>, as the predominant etiologic agents in</w:t>
      </w:r>
      <w:r>
        <w:t xml:space="preserve"> both community-acquired and hospital-acquired pediatric UTIs (5, 6). These organisms frequently </w:t>
      </w:r>
      <w:proofErr w:type="spellStart"/>
      <w:r>
        <w:t>harbour</w:t>
      </w:r>
      <w:proofErr w:type="spellEnd"/>
      <w:r>
        <w:t xml:space="preserve"> resistance determinants, notably extended-spectrum beta- lactamases</w:t>
      </w:r>
      <w:r>
        <w:rPr>
          <w:spacing w:val="-2"/>
        </w:rPr>
        <w:t xml:space="preserve"> </w:t>
      </w:r>
      <w:r>
        <w:t>(ESBLs), which compromise</w:t>
      </w:r>
      <w:r>
        <w:rPr>
          <w:spacing w:val="-1"/>
        </w:rPr>
        <w:t xml:space="preserve"> </w:t>
      </w:r>
      <w:r>
        <w:t>the</w:t>
      </w:r>
      <w:r>
        <w:rPr>
          <w:spacing w:val="-3"/>
        </w:rPr>
        <w:t xml:space="preserve"> </w:t>
      </w:r>
      <w:r>
        <w:t>efficacy of</w:t>
      </w:r>
      <w:r>
        <w:rPr>
          <w:spacing w:val="-3"/>
        </w:rPr>
        <w:t xml:space="preserve"> </w:t>
      </w:r>
      <w:r>
        <w:t>standard therapeutic</w:t>
      </w:r>
      <w:r>
        <w:rPr>
          <w:spacing w:val="-1"/>
        </w:rPr>
        <w:t xml:space="preserve"> </w:t>
      </w:r>
      <w:r>
        <w:t>regimens (7, 8).</w:t>
      </w:r>
    </w:p>
    <w:p w:rsidR="00B84776" w:rsidRDefault="00C65940">
      <w:pPr>
        <w:pStyle w:val="BodyText"/>
        <w:spacing w:line="360" w:lineRule="auto"/>
        <w:ind w:right="96"/>
      </w:pPr>
      <w:r>
        <w:t>ESB</w:t>
      </w:r>
      <w:r>
        <w:t xml:space="preserve">Ls are enzymes that </w:t>
      </w:r>
      <w:proofErr w:type="spellStart"/>
      <w:r>
        <w:t>hydrolyse</w:t>
      </w:r>
      <w:proofErr w:type="spellEnd"/>
      <w:r>
        <w:t xml:space="preserve"> </w:t>
      </w:r>
      <w:proofErr w:type="spellStart"/>
      <w:r>
        <w:t>penicillins</w:t>
      </w:r>
      <w:proofErr w:type="spellEnd"/>
      <w:r>
        <w:t>, third-generation cephalosporins, and aztreonam,</w:t>
      </w:r>
      <w:r>
        <w:rPr>
          <w:spacing w:val="-2"/>
        </w:rPr>
        <w:t xml:space="preserve"> </w:t>
      </w:r>
      <w:r>
        <w:t>rendering</w:t>
      </w:r>
      <w:r>
        <w:rPr>
          <w:spacing w:val="-4"/>
        </w:rPr>
        <w:t xml:space="preserve"> </w:t>
      </w:r>
      <w:r>
        <w:t>these</w:t>
      </w:r>
      <w:r>
        <w:rPr>
          <w:spacing w:val="-3"/>
        </w:rPr>
        <w:t xml:space="preserve"> </w:t>
      </w:r>
      <w:r>
        <w:t>antibiotics</w:t>
      </w:r>
      <w:r>
        <w:rPr>
          <w:spacing w:val="-4"/>
        </w:rPr>
        <w:t xml:space="preserve"> </w:t>
      </w:r>
      <w:r>
        <w:t>ineffective.</w:t>
      </w:r>
      <w:r>
        <w:rPr>
          <w:spacing w:val="-2"/>
        </w:rPr>
        <w:t xml:space="preserve"> </w:t>
      </w:r>
      <w:r>
        <w:t>Their</w:t>
      </w:r>
      <w:r>
        <w:rPr>
          <w:spacing w:val="-3"/>
        </w:rPr>
        <w:t xml:space="preserve"> </w:t>
      </w:r>
      <w:r>
        <w:t>production</w:t>
      </w:r>
      <w:r>
        <w:rPr>
          <w:spacing w:val="-2"/>
        </w:rPr>
        <w:t xml:space="preserve"> </w:t>
      </w:r>
      <w:r>
        <w:t>is</w:t>
      </w:r>
      <w:r>
        <w:rPr>
          <w:spacing w:val="-4"/>
        </w:rPr>
        <w:t xml:space="preserve"> </w:t>
      </w:r>
      <w:r>
        <w:t>often</w:t>
      </w:r>
      <w:r>
        <w:rPr>
          <w:spacing w:val="-2"/>
        </w:rPr>
        <w:t xml:space="preserve"> </w:t>
      </w:r>
      <w:r>
        <w:t xml:space="preserve">associated with multidrug resistance (MDR), plasmid-mediated gene transfer, and the co- existence </w:t>
      </w:r>
      <w:r>
        <w:t xml:space="preserve">of other resistance mechanisms, such as </w:t>
      </w:r>
      <w:proofErr w:type="spellStart"/>
      <w:r>
        <w:t>carbapenemases</w:t>
      </w:r>
      <w:proofErr w:type="spellEnd"/>
      <w:r>
        <w:t xml:space="preserve"> and aminoglycoside-modifying enzymes. The CTX-M family of ESBLs, particularly CTX-M-15, has</w:t>
      </w:r>
      <w:r>
        <w:rPr>
          <w:spacing w:val="-1"/>
        </w:rPr>
        <w:t xml:space="preserve"> </w:t>
      </w:r>
      <w:r>
        <w:t>become globally</w:t>
      </w:r>
      <w:r>
        <w:rPr>
          <w:spacing w:val="-1"/>
        </w:rPr>
        <w:t xml:space="preserve"> </w:t>
      </w:r>
      <w:r>
        <w:t>dominant, replacing the</w:t>
      </w:r>
      <w:r>
        <w:rPr>
          <w:spacing w:val="-2"/>
        </w:rPr>
        <w:t xml:space="preserve"> </w:t>
      </w:r>
      <w:r>
        <w:t>earlier TEM</w:t>
      </w:r>
      <w:r>
        <w:rPr>
          <w:spacing w:val="-1"/>
        </w:rPr>
        <w:t xml:space="preserve"> </w:t>
      </w:r>
      <w:r>
        <w:t xml:space="preserve">and SHV types in clinical isolates. In pediatric </w:t>
      </w:r>
      <w:r>
        <w:t>settings, the implications of ESBL production are profound, as treatment options become limited and more toxic or expensive alternatives, such as carbapenems, must be used (9).</w:t>
      </w:r>
    </w:p>
    <w:p w:rsidR="00B84776" w:rsidRDefault="00C65940">
      <w:pPr>
        <w:pStyle w:val="BodyText"/>
        <w:spacing w:line="360" w:lineRule="auto"/>
        <w:ind w:right="96"/>
      </w:pPr>
      <w:r>
        <w:t>The pediatric population is especially vulnerable to the consequences of antimi</w:t>
      </w:r>
      <w:r>
        <w:t>crobial resistance due to age-related immunological immaturity, higher rates of congenital anomalies, and limited pharmacologic options for young children. In low- and</w:t>
      </w:r>
      <w:r>
        <w:rPr>
          <w:spacing w:val="80"/>
        </w:rPr>
        <w:t xml:space="preserve"> </w:t>
      </w:r>
      <w:r>
        <w:t>middle-income countries (LMICs), where laboratory diagnostics and antimicrobial stewards</w:t>
      </w:r>
      <w:r>
        <w:t>hip infrastructures are often underdeveloped, ESBL-producing organisms frequently go undetected, leading to inappropriate empirical therapy and increased morbidity. Nigeria exemplifies this situation, with recent studies indicating a high prevalence of ESB</w:t>
      </w:r>
      <w:r>
        <w:t xml:space="preserve">L-producing </w:t>
      </w:r>
      <w:proofErr w:type="spellStart"/>
      <w:r>
        <w:t>uropathogens</w:t>
      </w:r>
      <w:proofErr w:type="spellEnd"/>
      <w:r>
        <w:t xml:space="preserve"> among children, including the widespread presence of </w:t>
      </w:r>
      <w:proofErr w:type="spellStart"/>
      <w:r>
        <w:t>blaCTX</w:t>
      </w:r>
      <w:proofErr w:type="spellEnd"/>
      <w:r>
        <w:t xml:space="preserve">-M and </w:t>
      </w:r>
      <w:proofErr w:type="spellStart"/>
      <w:r>
        <w:t>blaTEM</w:t>
      </w:r>
      <w:proofErr w:type="spellEnd"/>
      <w:r>
        <w:t xml:space="preserve"> genes.</w:t>
      </w:r>
    </w:p>
    <w:p w:rsidR="00B84776" w:rsidRDefault="00B84776">
      <w:pPr>
        <w:pStyle w:val="BodyText"/>
        <w:spacing w:line="360" w:lineRule="auto"/>
        <w:sectPr w:rsidR="00B84776">
          <w:pgSz w:w="11910" w:h="16840"/>
          <w:pgMar w:top="1360" w:right="1700" w:bottom="280" w:left="1700" w:header="720" w:footer="720" w:gutter="0"/>
          <w:cols w:space="720"/>
        </w:sectPr>
      </w:pPr>
    </w:p>
    <w:p w:rsidR="00B84776" w:rsidRDefault="00C65940">
      <w:pPr>
        <w:pStyle w:val="BodyText"/>
        <w:spacing w:before="62" w:line="360" w:lineRule="auto"/>
        <w:ind w:right="99"/>
      </w:pPr>
      <w:r>
        <w:lastRenderedPageBreak/>
        <w:t xml:space="preserve">This review provides a comprehensive synthesis of the global and regional burden of ESBL-producing </w:t>
      </w:r>
      <w:proofErr w:type="spellStart"/>
      <w:r>
        <w:t>uropathogens</w:t>
      </w:r>
      <w:proofErr w:type="spellEnd"/>
      <w:r>
        <w:t xml:space="preserve"> in pediatric populations,</w:t>
      </w:r>
      <w:r>
        <w:rPr>
          <w:spacing w:val="-2"/>
        </w:rPr>
        <w:t xml:space="preserve"> </w:t>
      </w:r>
      <w:r>
        <w:t>with a particular emphasis</w:t>
      </w:r>
      <w:r>
        <w:rPr>
          <w:spacing w:val="-2"/>
        </w:rPr>
        <w:t xml:space="preserve"> </w:t>
      </w:r>
      <w:r>
        <w:t>on Nigeria and Sub-Saharan Africa. It explores the molecular biology of ESBL production, clinical and epidemiological trends, diagnostic challenges, and treatment implications. Finally, the review highlights the critical role of</w:t>
      </w:r>
      <w:r>
        <w:t xml:space="preserve"> antimicrobial stewardship in addressing this escalating public health threat and offers actionable recommendations for clinicians, microbiologists, and policymakers.</w:t>
      </w:r>
    </w:p>
    <w:p w:rsidR="00B84776" w:rsidRDefault="00B84776">
      <w:pPr>
        <w:pStyle w:val="BodyText"/>
        <w:ind w:left="0"/>
        <w:jc w:val="left"/>
      </w:pPr>
    </w:p>
    <w:p w:rsidR="00B84776" w:rsidRDefault="00B84776">
      <w:pPr>
        <w:pStyle w:val="BodyText"/>
        <w:ind w:left="0"/>
        <w:jc w:val="left"/>
      </w:pPr>
    </w:p>
    <w:p w:rsidR="00B84776" w:rsidRDefault="00B84776">
      <w:pPr>
        <w:pStyle w:val="BodyText"/>
        <w:spacing w:before="239"/>
        <w:ind w:left="0"/>
        <w:jc w:val="left"/>
      </w:pPr>
    </w:p>
    <w:p w:rsidR="00B84776" w:rsidRDefault="00C65940">
      <w:pPr>
        <w:pStyle w:val="Heading1"/>
        <w:numPr>
          <w:ilvl w:val="0"/>
          <w:numId w:val="1"/>
        </w:numPr>
        <w:tabs>
          <w:tab w:val="left" w:pos="340"/>
        </w:tabs>
      </w:pPr>
      <w:r>
        <w:rPr>
          <w:spacing w:val="-2"/>
        </w:rPr>
        <w:t>METHODOLOGY</w:t>
      </w:r>
    </w:p>
    <w:p w:rsidR="00B84776" w:rsidRDefault="00C65940">
      <w:pPr>
        <w:pStyle w:val="BodyText"/>
        <w:spacing w:before="137" w:line="360" w:lineRule="auto"/>
        <w:ind w:right="97"/>
      </w:pPr>
      <w:r>
        <w:t xml:space="preserve">This literature review was conducted using a systematic and comprehensive </w:t>
      </w:r>
      <w:r>
        <w:t xml:space="preserve">search strategy to ensure broad coverage and scholarly </w:t>
      </w:r>
      <w:proofErr w:type="spellStart"/>
      <w:r>
        <w:t>rigour</w:t>
      </w:r>
      <w:proofErr w:type="spellEnd"/>
      <w:r>
        <w:t>. The approach aimed to</w:t>
      </w:r>
      <w:r>
        <w:rPr>
          <w:spacing w:val="40"/>
        </w:rPr>
        <w:t xml:space="preserve"> </w:t>
      </w:r>
      <w:r>
        <w:t>identify peer-reviewed studies and grey literature relevant to the prevalence,</w:t>
      </w:r>
      <w:r>
        <w:rPr>
          <w:spacing w:val="40"/>
        </w:rPr>
        <w:t xml:space="preserve"> </w:t>
      </w:r>
      <w:r>
        <w:t>molecular characteristics, clinical impact, and antimicrobial resistance patterns of extende</w:t>
      </w:r>
      <w:r>
        <w:t xml:space="preserve">d-spectrum beta-lactamase (ESBL)-producing </w:t>
      </w:r>
      <w:proofErr w:type="spellStart"/>
      <w:r>
        <w:t>uropathogens</w:t>
      </w:r>
      <w:proofErr w:type="spellEnd"/>
      <w:r>
        <w:t xml:space="preserve"> in pediatric </w:t>
      </w:r>
      <w:r>
        <w:rPr>
          <w:spacing w:val="-2"/>
        </w:rPr>
        <w:t>populations.</w:t>
      </w:r>
    </w:p>
    <w:p w:rsidR="00B84776" w:rsidRDefault="00B84776">
      <w:pPr>
        <w:pStyle w:val="BodyText"/>
        <w:spacing w:before="139"/>
        <w:ind w:left="0"/>
        <w:jc w:val="left"/>
      </w:pPr>
    </w:p>
    <w:p w:rsidR="00B84776" w:rsidRDefault="00C65940">
      <w:pPr>
        <w:pStyle w:val="Heading2"/>
        <w:numPr>
          <w:ilvl w:val="1"/>
          <w:numId w:val="1"/>
        </w:numPr>
        <w:tabs>
          <w:tab w:val="left" w:pos="460"/>
        </w:tabs>
      </w:pPr>
      <w:r>
        <w:t>Databases</w:t>
      </w:r>
      <w:r>
        <w:rPr>
          <w:spacing w:val="-3"/>
        </w:rPr>
        <w:t xml:space="preserve"> </w:t>
      </w:r>
      <w:r>
        <w:rPr>
          <w:spacing w:val="-2"/>
        </w:rPr>
        <w:t>Searched</w:t>
      </w:r>
    </w:p>
    <w:p w:rsidR="00B84776" w:rsidRDefault="00C65940">
      <w:pPr>
        <w:pStyle w:val="BodyText"/>
        <w:spacing w:before="137"/>
      </w:pPr>
      <w:r>
        <w:t>The</w:t>
      </w:r>
      <w:r>
        <w:rPr>
          <w:spacing w:val="-4"/>
        </w:rPr>
        <w:t xml:space="preserve"> </w:t>
      </w:r>
      <w:r>
        <w:t>electronic</w:t>
      </w:r>
      <w:r>
        <w:rPr>
          <w:spacing w:val="-1"/>
        </w:rPr>
        <w:t xml:space="preserve"> </w:t>
      </w:r>
      <w:r>
        <w:t>databases</w:t>
      </w:r>
      <w:r>
        <w:rPr>
          <w:spacing w:val="-3"/>
        </w:rPr>
        <w:t xml:space="preserve"> </w:t>
      </w:r>
      <w:r>
        <w:t xml:space="preserve">searched </w:t>
      </w:r>
      <w:r>
        <w:rPr>
          <w:spacing w:val="-2"/>
        </w:rPr>
        <w:t>included:</w:t>
      </w:r>
    </w:p>
    <w:p w:rsidR="00B84776" w:rsidRDefault="00C65940">
      <w:pPr>
        <w:pStyle w:val="ListParagraph"/>
        <w:numPr>
          <w:ilvl w:val="2"/>
          <w:numId w:val="1"/>
        </w:numPr>
        <w:tabs>
          <w:tab w:val="left" w:pos="519"/>
        </w:tabs>
        <w:spacing w:before="139"/>
        <w:ind w:left="519" w:hanging="419"/>
        <w:jc w:val="left"/>
        <w:rPr>
          <w:sz w:val="24"/>
        </w:rPr>
      </w:pPr>
      <w:r>
        <w:rPr>
          <w:spacing w:val="-2"/>
          <w:sz w:val="24"/>
        </w:rPr>
        <w:t>PubMed/MEDLINE</w:t>
      </w:r>
    </w:p>
    <w:p w:rsidR="00B84776" w:rsidRDefault="00C65940">
      <w:pPr>
        <w:pStyle w:val="ListParagraph"/>
        <w:numPr>
          <w:ilvl w:val="2"/>
          <w:numId w:val="1"/>
        </w:numPr>
        <w:tabs>
          <w:tab w:val="left" w:pos="519"/>
        </w:tabs>
        <w:spacing w:before="139"/>
        <w:ind w:left="519" w:hanging="419"/>
        <w:jc w:val="left"/>
        <w:rPr>
          <w:sz w:val="24"/>
        </w:rPr>
      </w:pPr>
      <w:r>
        <w:rPr>
          <w:spacing w:val="-2"/>
          <w:sz w:val="24"/>
        </w:rPr>
        <w:t>Scopus</w:t>
      </w:r>
    </w:p>
    <w:p w:rsidR="00B84776" w:rsidRDefault="00C65940">
      <w:pPr>
        <w:pStyle w:val="ListParagraph"/>
        <w:numPr>
          <w:ilvl w:val="2"/>
          <w:numId w:val="1"/>
        </w:numPr>
        <w:tabs>
          <w:tab w:val="left" w:pos="519"/>
        </w:tabs>
        <w:spacing w:before="137"/>
        <w:ind w:left="519" w:hanging="419"/>
        <w:jc w:val="left"/>
        <w:rPr>
          <w:sz w:val="24"/>
        </w:rPr>
      </w:pPr>
      <w:r>
        <w:rPr>
          <w:sz w:val="24"/>
        </w:rPr>
        <w:t>Web of</w:t>
      </w:r>
      <w:r>
        <w:rPr>
          <w:spacing w:val="-1"/>
          <w:sz w:val="24"/>
        </w:rPr>
        <w:t xml:space="preserve"> </w:t>
      </w:r>
      <w:r>
        <w:rPr>
          <w:spacing w:val="-2"/>
          <w:sz w:val="24"/>
        </w:rPr>
        <w:t>Science</w:t>
      </w:r>
    </w:p>
    <w:p w:rsidR="00B84776" w:rsidRDefault="00C65940">
      <w:pPr>
        <w:pStyle w:val="ListParagraph"/>
        <w:numPr>
          <w:ilvl w:val="2"/>
          <w:numId w:val="1"/>
        </w:numPr>
        <w:tabs>
          <w:tab w:val="left" w:pos="519"/>
        </w:tabs>
        <w:spacing w:before="140"/>
        <w:ind w:left="519" w:hanging="419"/>
        <w:jc w:val="left"/>
        <w:rPr>
          <w:sz w:val="24"/>
        </w:rPr>
      </w:pPr>
      <w:r>
        <w:rPr>
          <w:sz w:val="24"/>
        </w:rPr>
        <w:t>Google</w:t>
      </w:r>
      <w:r>
        <w:rPr>
          <w:spacing w:val="-2"/>
          <w:sz w:val="24"/>
        </w:rPr>
        <w:t xml:space="preserve"> Scholar</w:t>
      </w:r>
    </w:p>
    <w:p w:rsidR="00B84776" w:rsidRDefault="00C65940">
      <w:pPr>
        <w:pStyle w:val="ListParagraph"/>
        <w:numPr>
          <w:ilvl w:val="2"/>
          <w:numId w:val="1"/>
        </w:numPr>
        <w:tabs>
          <w:tab w:val="left" w:pos="520"/>
        </w:tabs>
        <w:spacing w:before="136" w:line="360" w:lineRule="auto"/>
        <w:ind w:right="99"/>
        <w:jc w:val="left"/>
        <w:rPr>
          <w:sz w:val="24"/>
        </w:rPr>
      </w:pPr>
      <w:r>
        <w:rPr>
          <w:sz w:val="24"/>
        </w:rPr>
        <w:t>World</w:t>
      </w:r>
      <w:r>
        <w:rPr>
          <w:spacing w:val="-5"/>
          <w:sz w:val="24"/>
        </w:rPr>
        <w:t xml:space="preserve"> </w:t>
      </w:r>
      <w:r>
        <w:rPr>
          <w:sz w:val="24"/>
        </w:rPr>
        <w:t>Health</w:t>
      </w:r>
      <w:r>
        <w:rPr>
          <w:spacing w:val="-2"/>
          <w:sz w:val="24"/>
        </w:rPr>
        <w:t xml:space="preserve"> </w:t>
      </w:r>
      <w:proofErr w:type="spellStart"/>
      <w:r>
        <w:rPr>
          <w:sz w:val="24"/>
        </w:rPr>
        <w:t>Organisation</w:t>
      </w:r>
      <w:proofErr w:type="spellEnd"/>
      <w:r>
        <w:rPr>
          <w:spacing w:val="-4"/>
          <w:sz w:val="24"/>
        </w:rPr>
        <w:t xml:space="preserve"> </w:t>
      </w:r>
      <w:r>
        <w:rPr>
          <w:sz w:val="24"/>
        </w:rPr>
        <w:t>(WHO)</w:t>
      </w:r>
      <w:r>
        <w:rPr>
          <w:spacing w:val="-4"/>
          <w:sz w:val="24"/>
        </w:rPr>
        <w:t xml:space="preserve"> </w:t>
      </w:r>
      <w:r>
        <w:rPr>
          <w:sz w:val="24"/>
        </w:rPr>
        <w:t>Global</w:t>
      </w:r>
      <w:r>
        <w:rPr>
          <w:spacing w:val="-4"/>
          <w:sz w:val="24"/>
        </w:rPr>
        <w:t xml:space="preserve"> </w:t>
      </w:r>
      <w:r>
        <w:rPr>
          <w:sz w:val="24"/>
        </w:rPr>
        <w:t>Antimicrobial</w:t>
      </w:r>
      <w:r>
        <w:rPr>
          <w:spacing w:val="-3"/>
          <w:sz w:val="24"/>
        </w:rPr>
        <w:t xml:space="preserve"> </w:t>
      </w:r>
      <w:r>
        <w:rPr>
          <w:sz w:val="24"/>
        </w:rPr>
        <w:t>Resistance</w:t>
      </w:r>
      <w:r>
        <w:rPr>
          <w:spacing w:val="-3"/>
          <w:sz w:val="24"/>
        </w:rPr>
        <w:t xml:space="preserve"> </w:t>
      </w:r>
      <w:r>
        <w:rPr>
          <w:sz w:val="24"/>
        </w:rPr>
        <w:t>Surveillance System (GLASS)</w:t>
      </w:r>
    </w:p>
    <w:p w:rsidR="00B84776" w:rsidRDefault="00C65940">
      <w:pPr>
        <w:pStyle w:val="ListParagraph"/>
        <w:numPr>
          <w:ilvl w:val="2"/>
          <w:numId w:val="1"/>
        </w:numPr>
        <w:tabs>
          <w:tab w:val="left" w:pos="519"/>
        </w:tabs>
        <w:ind w:left="519" w:hanging="419"/>
        <w:jc w:val="left"/>
        <w:rPr>
          <w:sz w:val="24"/>
        </w:rPr>
      </w:pPr>
      <w:r>
        <w:rPr>
          <w:spacing w:val="-2"/>
          <w:sz w:val="24"/>
        </w:rPr>
        <w:t>EMBASE</w:t>
      </w:r>
    </w:p>
    <w:p w:rsidR="00B84776" w:rsidRDefault="00C65940">
      <w:pPr>
        <w:pStyle w:val="ListParagraph"/>
        <w:numPr>
          <w:ilvl w:val="2"/>
          <w:numId w:val="1"/>
        </w:numPr>
        <w:tabs>
          <w:tab w:val="left" w:pos="519"/>
        </w:tabs>
        <w:spacing w:before="140"/>
        <w:ind w:left="519" w:hanging="419"/>
        <w:rPr>
          <w:sz w:val="24"/>
        </w:rPr>
      </w:pPr>
      <w:r>
        <w:rPr>
          <w:sz w:val="24"/>
        </w:rPr>
        <w:t>African</w:t>
      </w:r>
      <w:r>
        <w:rPr>
          <w:spacing w:val="-2"/>
          <w:sz w:val="24"/>
        </w:rPr>
        <w:t xml:space="preserve"> </w:t>
      </w:r>
      <w:r>
        <w:rPr>
          <w:sz w:val="24"/>
        </w:rPr>
        <w:t>Journals</w:t>
      </w:r>
      <w:r>
        <w:rPr>
          <w:spacing w:val="-2"/>
          <w:sz w:val="24"/>
        </w:rPr>
        <w:t xml:space="preserve"> </w:t>
      </w:r>
      <w:r>
        <w:rPr>
          <w:sz w:val="24"/>
        </w:rPr>
        <w:t>Online</w:t>
      </w:r>
      <w:r>
        <w:rPr>
          <w:spacing w:val="-1"/>
          <w:sz w:val="24"/>
        </w:rPr>
        <w:t xml:space="preserve"> </w:t>
      </w:r>
      <w:r>
        <w:rPr>
          <w:spacing w:val="-2"/>
          <w:sz w:val="24"/>
        </w:rPr>
        <w:t>(AJOL)</w:t>
      </w:r>
    </w:p>
    <w:p w:rsidR="00B84776" w:rsidRDefault="00C65940">
      <w:pPr>
        <w:pStyle w:val="BodyText"/>
        <w:spacing w:before="136" w:line="360" w:lineRule="auto"/>
        <w:ind w:right="97"/>
      </w:pPr>
      <w:r>
        <w:t>In addition, grey literature such as national surveillance reports, WHO policy documents, and data from the Nigeria Centre for Disease Control (NCDC) were reviewed to complement p</w:t>
      </w:r>
      <w:r>
        <w:t>ublished sources and ensure regional context.</w:t>
      </w:r>
    </w:p>
    <w:p w:rsidR="00B84776" w:rsidRDefault="00B84776">
      <w:pPr>
        <w:pStyle w:val="BodyText"/>
        <w:spacing w:before="138"/>
        <w:ind w:left="0"/>
        <w:jc w:val="left"/>
      </w:pPr>
    </w:p>
    <w:p w:rsidR="00B84776" w:rsidRDefault="00C65940">
      <w:pPr>
        <w:pStyle w:val="Heading2"/>
        <w:numPr>
          <w:ilvl w:val="1"/>
          <w:numId w:val="1"/>
        </w:numPr>
        <w:tabs>
          <w:tab w:val="left" w:pos="460"/>
        </w:tabs>
        <w:spacing w:before="1"/>
      </w:pPr>
      <w:r>
        <w:t>Search</w:t>
      </w:r>
      <w:r>
        <w:rPr>
          <w:spacing w:val="-2"/>
        </w:rPr>
        <w:t xml:space="preserve"> </w:t>
      </w:r>
      <w:r>
        <w:t>Terms</w:t>
      </w:r>
      <w:r>
        <w:rPr>
          <w:spacing w:val="-1"/>
        </w:rPr>
        <w:t xml:space="preserve"> </w:t>
      </w:r>
      <w:r>
        <w:t>and</w:t>
      </w:r>
      <w:r>
        <w:rPr>
          <w:spacing w:val="-3"/>
        </w:rPr>
        <w:t xml:space="preserve"> </w:t>
      </w:r>
      <w:r>
        <w:rPr>
          <w:spacing w:val="-2"/>
        </w:rPr>
        <w:t>Strategy</w:t>
      </w:r>
    </w:p>
    <w:p w:rsidR="00B84776" w:rsidRDefault="00B84776">
      <w:pPr>
        <w:pStyle w:val="Heading2"/>
        <w:sectPr w:rsidR="00B84776">
          <w:pgSz w:w="11910" w:h="16840"/>
          <w:pgMar w:top="1360" w:right="1700" w:bottom="280" w:left="1700" w:header="720" w:footer="720" w:gutter="0"/>
          <w:cols w:space="720"/>
        </w:sectPr>
      </w:pPr>
    </w:p>
    <w:p w:rsidR="00B84776" w:rsidRDefault="00C65940">
      <w:pPr>
        <w:pStyle w:val="BodyText"/>
        <w:spacing w:before="62" w:line="360" w:lineRule="auto"/>
        <w:ind w:right="98"/>
      </w:pPr>
      <w:r>
        <w:lastRenderedPageBreak/>
        <w:t>A combination of Medical Subject Headings (</w:t>
      </w:r>
      <w:proofErr w:type="spellStart"/>
      <w:r>
        <w:t>MeSH</w:t>
      </w:r>
      <w:proofErr w:type="spellEnd"/>
      <w:r>
        <w:t xml:space="preserve">) and free-text keywords were used, including: "Extended-Spectrum Beta-Lactamase" OR "ESBL"; "Pediatric" OR "Children" OR </w:t>
      </w:r>
      <w:r>
        <w:t>"Child Health"; "Urinary Tract Infections" OR "UTI"; "Antimicrobial Resistance"</w:t>
      </w:r>
      <w:r>
        <w:rPr>
          <w:spacing w:val="50"/>
        </w:rPr>
        <w:t xml:space="preserve"> </w:t>
      </w:r>
      <w:r>
        <w:t>OR</w:t>
      </w:r>
      <w:r>
        <w:rPr>
          <w:spacing w:val="55"/>
        </w:rPr>
        <w:t xml:space="preserve"> </w:t>
      </w:r>
      <w:r>
        <w:t>"AMR";</w:t>
      </w:r>
      <w:r>
        <w:rPr>
          <w:spacing w:val="52"/>
        </w:rPr>
        <w:t xml:space="preserve"> </w:t>
      </w:r>
      <w:r>
        <w:t>"CTX-M"</w:t>
      </w:r>
      <w:r>
        <w:rPr>
          <w:spacing w:val="53"/>
        </w:rPr>
        <w:t xml:space="preserve"> </w:t>
      </w:r>
      <w:r>
        <w:t>OR</w:t>
      </w:r>
      <w:r>
        <w:rPr>
          <w:spacing w:val="52"/>
        </w:rPr>
        <w:t xml:space="preserve"> </w:t>
      </w:r>
      <w:r>
        <w:t>"TEM"</w:t>
      </w:r>
      <w:r>
        <w:rPr>
          <w:spacing w:val="55"/>
        </w:rPr>
        <w:t xml:space="preserve"> </w:t>
      </w:r>
      <w:r>
        <w:t>OR</w:t>
      </w:r>
      <w:r>
        <w:rPr>
          <w:spacing w:val="53"/>
        </w:rPr>
        <w:t xml:space="preserve"> </w:t>
      </w:r>
      <w:r>
        <w:t>"SHV";</w:t>
      </w:r>
      <w:r>
        <w:rPr>
          <w:spacing w:val="55"/>
        </w:rPr>
        <w:t xml:space="preserve"> </w:t>
      </w:r>
      <w:r>
        <w:t>"Nigeria"</w:t>
      </w:r>
      <w:r>
        <w:rPr>
          <w:spacing w:val="55"/>
        </w:rPr>
        <w:t xml:space="preserve"> </w:t>
      </w:r>
      <w:r>
        <w:t>OR</w:t>
      </w:r>
      <w:r>
        <w:rPr>
          <w:spacing w:val="53"/>
        </w:rPr>
        <w:t xml:space="preserve"> </w:t>
      </w:r>
      <w:r>
        <w:rPr>
          <w:spacing w:val="-2"/>
        </w:rPr>
        <w:t>"Sub-</w:t>
      </w:r>
    </w:p>
    <w:p w:rsidR="00B84776" w:rsidRDefault="00C65940">
      <w:pPr>
        <w:pStyle w:val="BodyText"/>
        <w:spacing w:line="274" w:lineRule="exact"/>
      </w:pPr>
      <w:r>
        <w:t>Saharan</w:t>
      </w:r>
      <w:r>
        <w:rPr>
          <w:spacing w:val="-2"/>
        </w:rPr>
        <w:t xml:space="preserve"> Africa".</w:t>
      </w:r>
    </w:p>
    <w:p w:rsidR="00B84776" w:rsidRDefault="00C65940">
      <w:pPr>
        <w:pStyle w:val="BodyText"/>
        <w:spacing w:before="139" w:line="360" w:lineRule="auto"/>
        <w:ind w:right="100"/>
      </w:pPr>
      <w:r>
        <w:t>Boolean operators (AND, OR) were applied to refine searches. Searches were limited to articles publishe</w:t>
      </w:r>
      <w:r>
        <w:t>d in English between January 2000 and April 2025.</w:t>
      </w:r>
    </w:p>
    <w:p w:rsidR="00B84776" w:rsidRDefault="00B84776">
      <w:pPr>
        <w:pStyle w:val="BodyText"/>
        <w:spacing w:before="137"/>
        <w:ind w:left="0"/>
        <w:jc w:val="left"/>
      </w:pPr>
    </w:p>
    <w:p w:rsidR="00B84776" w:rsidRDefault="00C65940">
      <w:pPr>
        <w:pStyle w:val="Heading2"/>
        <w:numPr>
          <w:ilvl w:val="1"/>
          <w:numId w:val="1"/>
        </w:numPr>
        <w:tabs>
          <w:tab w:val="left" w:pos="460"/>
        </w:tabs>
      </w:pPr>
      <w:r>
        <w:t>Inclusion</w:t>
      </w:r>
      <w:r>
        <w:rPr>
          <w:spacing w:val="-3"/>
        </w:rPr>
        <w:t xml:space="preserve"> </w:t>
      </w:r>
      <w:r>
        <w:t>and</w:t>
      </w:r>
      <w:r>
        <w:rPr>
          <w:spacing w:val="-3"/>
        </w:rPr>
        <w:t xml:space="preserve"> </w:t>
      </w:r>
      <w:r>
        <w:t>Exclusion</w:t>
      </w:r>
      <w:r>
        <w:rPr>
          <w:spacing w:val="-4"/>
        </w:rPr>
        <w:t xml:space="preserve"> </w:t>
      </w:r>
      <w:r>
        <w:rPr>
          <w:spacing w:val="-2"/>
        </w:rPr>
        <w:t>Criteria</w:t>
      </w:r>
    </w:p>
    <w:p w:rsidR="00B84776" w:rsidRDefault="00C65940">
      <w:pPr>
        <w:pStyle w:val="Heading3"/>
        <w:spacing w:before="139"/>
        <w:rPr>
          <w:b w:val="0"/>
          <w:i w:val="0"/>
        </w:rPr>
      </w:pPr>
      <w:r>
        <w:t>Inclusion</w:t>
      </w:r>
      <w:r>
        <w:rPr>
          <w:spacing w:val="-3"/>
        </w:rPr>
        <w:t xml:space="preserve"> </w:t>
      </w:r>
      <w:r>
        <w:rPr>
          <w:spacing w:val="-2"/>
        </w:rPr>
        <w:t>Criteria</w:t>
      </w:r>
      <w:r>
        <w:rPr>
          <w:b w:val="0"/>
          <w:i w:val="0"/>
          <w:spacing w:val="-2"/>
        </w:rPr>
        <w:t>:</w:t>
      </w:r>
    </w:p>
    <w:p w:rsidR="00B84776" w:rsidRDefault="00C65940">
      <w:pPr>
        <w:pStyle w:val="ListParagraph"/>
        <w:numPr>
          <w:ilvl w:val="2"/>
          <w:numId w:val="1"/>
        </w:numPr>
        <w:tabs>
          <w:tab w:val="left" w:pos="519"/>
        </w:tabs>
        <w:spacing w:before="139"/>
        <w:ind w:left="519" w:hanging="419"/>
        <w:jc w:val="left"/>
        <w:rPr>
          <w:sz w:val="24"/>
        </w:rPr>
      </w:pPr>
      <w:r>
        <w:rPr>
          <w:sz w:val="24"/>
        </w:rPr>
        <w:t>Studies</w:t>
      </w:r>
      <w:r>
        <w:rPr>
          <w:spacing w:val="-7"/>
          <w:sz w:val="24"/>
        </w:rPr>
        <w:t xml:space="preserve"> </w:t>
      </w:r>
      <w:r>
        <w:rPr>
          <w:sz w:val="24"/>
        </w:rPr>
        <w:t>published</w:t>
      </w:r>
      <w:r>
        <w:rPr>
          <w:spacing w:val="-2"/>
          <w:sz w:val="24"/>
        </w:rPr>
        <w:t xml:space="preserve"> </w:t>
      </w:r>
      <w:r>
        <w:rPr>
          <w:sz w:val="24"/>
        </w:rPr>
        <w:t>in</w:t>
      </w:r>
      <w:r>
        <w:rPr>
          <w:spacing w:val="-2"/>
          <w:sz w:val="24"/>
        </w:rPr>
        <w:t xml:space="preserve"> </w:t>
      </w:r>
      <w:r>
        <w:rPr>
          <w:sz w:val="24"/>
        </w:rPr>
        <w:t>peer-reviewed journals</w:t>
      </w:r>
      <w:r>
        <w:rPr>
          <w:spacing w:val="-2"/>
          <w:sz w:val="24"/>
        </w:rPr>
        <w:t xml:space="preserve"> </w:t>
      </w:r>
      <w:r>
        <w:rPr>
          <w:sz w:val="24"/>
        </w:rPr>
        <w:t>or</w:t>
      </w:r>
      <w:r>
        <w:rPr>
          <w:spacing w:val="-3"/>
          <w:sz w:val="24"/>
        </w:rPr>
        <w:t xml:space="preserve"> </w:t>
      </w:r>
      <w:r>
        <w:rPr>
          <w:sz w:val="24"/>
        </w:rPr>
        <w:t>validated surveillance</w:t>
      </w:r>
      <w:r>
        <w:rPr>
          <w:spacing w:val="-1"/>
          <w:sz w:val="24"/>
        </w:rPr>
        <w:t xml:space="preserve"> </w:t>
      </w:r>
      <w:r>
        <w:rPr>
          <w:spacing w:val="-2"/>
          <w:sz w:val="24"/>
        </w:rPr>
        <w:t>sources.</w:t>
      </w:r>
    </w:p>
    <w:p w:rsidR="00B84776" w:rsidRDefault="00C65940">
      <w:pPr>
        <w:pStyle w:val="ListParagraph"/>
        <w:numPr>
          <w:ilvl w:val="2"/>
          <w:numId w:val="1"/>
        </w:numPr>
        <w:tabs>
          <w:tab w:val="left" w:pos="519"/>
        </w:tabs>
        <w:spacing w:before="137"/>
        <w:ind w:left="519" w:hanging="419"/>
        <w:jc w:val="left"/>
        <w:rPr>
          <w:sz w:val="24"/>
        </w:rPr>
      </w:pPr>
      <w:r>
        <w:rPr>
          <w:sz w:val="24"/>
        </w:rPr>
        <w:t>Articles</w:t>
      </w:r>
      <w:r>
        <w:rPr>
          <w:spacing w:val="-4"/>
          <w:sz w:val="24"/>
        </w:rPr>
        <w:t xml:space="preserve"> </w:t>
      </w:r>
      <w:r>
        <w:rPr>
          <w:sz w:val="24"/>
        </w:rPr>
        <w:t>focusing on</w:t>
      </w:r>
      <w:r>
        <w:rPr>
          <w:spacing w:val="-2"/>
          <w:sz w:val="24"/>
        </w:rPr>
        <w:t xml:space="preserve"> </w:t>
      </w:r>
      <w:r>
        <w:rPr>
          <w:sz w:val="24"/>
        </w:rPr>
        <w:t>pediatric</w:t>
      </w:r>
      <w:r>
        <w:rPr>
          <w:spacing w:val="-3"/>
          <w:sz w:val="24"/>
        </w:rPr>
        <w:t xml:space="preserve"> </w:t>
      </w:r>
      <w:r>
        <w:rPr>
          <w:sz w:val="24"/>
        </w:rPr>
        <w:t>populations</w:t>
      </w:r>
      <w:r>
        <w:rPr>
          <w:spacing w:val="-2"/>
          <w:sz w:val="24"/>
        </w:rPr>
        <w:t xml:space="preserve"> </w:t>
      </w:r>
      <w:r>
        <w:rPr>
          <w:sz w:val="24"/>
        </w:rPr>
        <w:t>(0–18</w:t>
      </w:r>
      <w:r>
        <w:rPr>
          <w:spacing w:val="-1"/>
          <w:sz w:val="24"/>
        </w:rPr>
        <w:t xml:space="preserve"> </w:t>
      </w:r>
      <w:r>
        <w:rPr>
          <w:spacing w:val="-2"/>
          <w:sz w:val="24"/>
        </w:rPr>
        <w:t>years).</w:t>
      </w:r>
    </w:p>
    <w:p w:rsidR="00B84776" w:rsidRDefault="00C65940">
      <w:pPr>
        <w:pStyle w:val="ListParagraph"/>
        <w:numPr>
          <w:ilvl w:val="2"/>
          <w:numId w:val="1"/>
        </w:numPr>
        <w:tabs>
          <w:tab w:val="left" w:pos="519"/>
        </w:tabs>
        <w:spacing w:before="139"/>
        <w:ind w:left="519" w:hanging="419"/>
        <w:jc w:val="left"/>
        <w:rPr>
          <w:sz w:val="24"/>
        </w:rPr>
      </w:pPr>
      <w:r>
        <w:rPr>
          <w:sz w:val="24"/>
        </w:rPr>
        <w:t>Reports</w:t>
      </w:r>
      <w:r>
        <w:rPr>
          <w:spacing w:val="-3"/>
          <w:sz w:val="24"/>
        </w:rPr>
        <w:t xml:space="preserve"> </w:t>
      </w:r>
      <w:r>
        <w:rPr>
          <w:sz w:val="24"/>
        </w:rPr>
        <w:t>addressing</w:t>
      </w:r>
      <w:r>
        <w:rPr>
          <w:spacing w:val="-1"/>
          <w:sz w:val="24"/>
        </w:rPr>
        <w:t xml:space="preserve"> </w:t>
      </w:r>
      <w:r>
        <w:rPr>
          <w:sz w:val="24"/>
        </w:rPr>
        <w:t>ESBL-producing</w:t>
      </w:r>
      <w:r>
        <w:rPr>
          <w:spacing w:val="-3"/>
          <w:sz w:val="24"/>
        </w:rPr>
        <w:t xml:space="preserve"> </w:t>
      </w:r>
      <w:r>
        <w:rPr>
          <w:sz w:val="24"/>
        </w:rPr>
        <w:t>organisms</w:t>
      </w:r>
      <w:r>
        <w:rPr>
          <w:spacing w:val="-2"/>
          <w:sz w:val="24"/>
        </w:rPr>
        <w:t xml:space="preserve"> </w:t>
      </w:r>
      <w:r>
        <w:rPr>
          <w:sz w:val="24"/>
        </w:rPr>
        <w:t>in</w:t>
      </w:r>
      <w:r>
        <w:rPr>
          <w:spacing w:val="-3"/>
          <w:sz w:val="24"/>
        </w:rPr>
        <w:t xml:space="preserve"> </w:t>
      </w:r>
      <w:r>
        <w:rPr>
          <w:sz w:val="24"/>
        </w:rPr>
        <w:t>urinary</w:t>
      </w:r>
      <w:r>
        <w:rPr>
          <w:spacing w:val="-1"/>
          <w:sz w:val="24"/>
        </w:rPr>
        <w:t xml:space="preserve"> </w:t>
      </w:r>
      <w:r>
        <w:rPr>
          <w:sz w:val="24"/>
        </w:rPr>
        <w:t>tract</w:t>
      </w:r>
      <w:r>
        <w:rPr>
          <w:spacing w:val="-2"/>
          <w:sz w:val="24"/>
        </w:rPr>
        <w:t xml:space="preserve"> infections.</w:t>
      </w:r>
    </w:p>
    <w:p w:rsidR="00B84776" w:rsidRDefault="00C65940">
      <w:pPr>
        <w:pStyle w:val="ListParagraph"/>
        <w:numPr>
          <w:ilvl w:val="2"/>
          <w:numId w:val="1"/>
        </w:numPr>
        <w:tabs>
          <w:tab w:val="left" w:pos="520"/>
        </w:tabs>
        <w:spacing w:before="137" w:line="360" w:lineRule="auto"/>
        <w:ind w:right="100"/>
        <w:jc w:val="left"/>
        <w:rPr>
          <w:sz w:val="24"/>
        </w:rPr>
      </w:pPr>
      <w:r>
        <w:rPr>
          <w:sz w:val="24"/>
        </w:rPr>
        <w:t>Studies</w:t>
      </w:r>
      <w:r>
        <w:rPr>
          <w:spacing w:val="80"/>
          <w:w w:val="150"/>
          <w:sz w:val="24"/>
        </w:rPr>
        <w:t xml:space="preserve"> </w:t>
      </w:r>
      <w:r>
        <w:rPr>
          <w:sz w:val="24"/>
        </w:rPr>
        <w:t>that</w:t>
      </w:r>
      <w:r>
        <w:rPr>
          <w:spacing w:val="80"/>
          <w:w w:val="150"/>
          <w:sz w:val="24"/>
        </w:rPr>
        <w:t xml:space="preserve"> </w:t>
      </w:r>
      <w:r>
        <w:rPr>
          <w:sz w:val="24"/>
        </w:rPr>
        <w:t>discussed</w:t>
      </w:r>
      <w:r>
        <w:rPr>
          <w:spacing w:val="80"/>
          <w:w w:val="150"/>
          <w:sz w:val="24"/>
        </w:rPr>
        <w:t xml:space="preserve"> </w:t>
      </w:r>
      <w:r>
        <w:rPr>
          <w:sz w:val="24"/>
        </w:rPr>
        <w:t>molecular</w:t>
      </w:r>
      <w:r>
        <w:rPr>
          <w:spacing w:val="80"/>
          <w:w w:val="150"/>
          <w:sz w:val="24"/>
        </w:rPr>
        <w:t xml:space="preserve"> </w:t>
      </w:r>
      <w:r>
        <w:rPr>
          <w:sz w:val="24"/>
        </w:rPr>
        <w:t>biology,</w:t>
      </w:r>
      <w:r>
        <w:rPr>
          <w:spacing w:val="80"/>
          <w:w w:val="150"/>
          <w:sz w:val="24"/>
        </w:rPr>
        <w:t xml:space="preserve"> </w:t>
      </w:r>
      <w:r>
        <w:rPr>
          <w:sz w:val="24"/>
        </w:rPr>
        <w:t>epidemiology,</w:t>
      </w:r>
      <w:r>
        <w:rPr>
          <w:spacing w:val="80"/>
          <w:w w:val="150"/>
          <w:sz w:val="24"/>
        </w:rPr>
        <w:t xml:space="preserve"> </w:t>
      </w:r>
      <w:r>
        <w:rPr>
          <w:sz w:val="24"/>
        </w:rPr>
        <w:t>clinical</w:t>
      </w:r>
      <w:r>
        <w:rPr>
          <w:spacing w:val="80"/>
          <w:w w:val="150"/>
          <w:sz w:val="24"/>
        </w:rPr>
        <w:t xml:space="preserve"> </w:t>
      </w:r>
      <w:r>
        <w:rPr>
          <w:sz w:val="24"/>
        </w:rPr>
        <w:t>impact, diagnostics, or treatment implications.</w:t>
      </w:r>
    </w:p>
    <w:p w:rsidR="00B84776" w:rsidRDefault="00C65940">
      <w:pPr>
        <w:pStyle w:val="Heading3"/>
        <w:rPr>
          <w:b w:val="0"/>
          <w:i w:val="0"/>
        </w:rPr>
      </w:pPr>
      <w:r>
        <w:t>Exclusion</w:t>
      </w:r>
      <w:r>
        <w:rPr>
          <w:spacing w:val="-3"/>
        </w:rPr>
        <w:t xml:space="preserve"> </w:t>
      </w:r>
      <w:r>
        <w:rPr>
          <w:spacing w:val="-2"/>
        </w:rPr>
        <w:t>Criteria</w:t>
      </w:r>
      <w:r>
        <w:rPr>
          <w:b w:val="0"/>
          <w:i w:val="0"/>
          <w:spacing w:val="-2"/>
        </w:rPr>
        <w:t>:</w:t>
      </w:r>
    </w:p>
    <w:p w:rsidR="00B84776" w:rsidRDefault="00C65940">
      <w:pPr>
        <w:pStyle w:val="ListParagraph"/>
        <w:numPr>
          <w:ilvl w:val="2"/>
          <w:numId w:val="1"/>
        </w:numPr>
        <w:tabs>
          <w:tab w:val="left" w:pos="519"/>
        </w:tabs>
        <w:spacing w:before="140"/>
        <w:ind w:left="519" w:hanging="419"/>
        <w:jc w:val="left"/>
        <w:rPr>
          <w:sz w:val="24"/>
        </w:rPr>
      </w:pPr>
      <w:r>
        <w:rPr>
          <w:sz w:val="24"/>
        </w:rPr>
        <w:t>Articles</w:t>
      </w:r>
      <w:r>
        <w:rPr>
          <w:spacing w:val="-2"/>
          <w:sz w:val="24"/>
        </w:rPr>
        <w:t xml:space="preserve"> </w:t>
      </w:r>
      <w:r>
        <w:rPr>
          <w:sz w:val="24"/>
        </w:rPr>
        <w:t>not</w:t>
      </w:r>
      <w:r>
        <w:rPr>
          <w:spacing w:val="-1"/>
          <w:sz w:val="24"/>
        </w:rPr>
        <w:t xml:space="preserve"> </w:t>
      </w:r>
      <w:r>
        <w:rPr>
          <w:sz w:val="24"/>
        </w:rPr>
        <w:t>in</w:t>
      </w:r>
      <w:r>
        <w:rPr>
          <w:spacing w:val="-1"/>
          <w:sz w:val="24"/>
        </w:rPr>
        <w:t xml:space="preserve"> </w:t>
      </w:r>
      <w:r>
        <w:rPr>
          <w:spacing w:val="-2"/>
          <w:sz w:val="24"/>
        </w:rPr>
        <w:t>English.</w:t>
      </w:r>
    </w:p>
    <w:p w:rsidR="00B84776" w:rsidRDefault="00C65940">
      <w:pPr>
        <w:pStyle w:val="ListParagraph"/>
        <w:numPr>
          <w:ilvl w:val="2"/>
          <w:numId w:val="1"/>
        </w:numPr>
        <w:tabs>
          <w:tab w:val="left" w:pos="519"/>
        </w:tabs>
        <w:spacing w:before="136"/>
        <w:ind w:left="519" w:hanging="419"/>
        <w:jc w:val="left"/>
        <w:rPr>
          <w:sz w:val="24"/>
        </w:rPr>
      </w:pPr>
      <w:r>
        <w:rPr>
          <w:sz w:val="24"/>
        </w:rPr>
        <w:t>Studies</w:t>
      </w:r>
      <w:r>
        <w:rPr>
          <w:spacing w:val="-4"/>
          <w:sz w:val="24"/>
        </w:rPr>
        <w:t xml:space="preserve"> </w:t>
      </w:r>
      <w:r>
        <w:rPr>
          <w:sz w:val="24"/>
        </w:rPr>
        <w:t>not</w:t>
      </w:r>
      <w:r>
        <w:rPr>
          <w:spacing w:val="-1"/>
          <w:sz w:val="24"/>
        </w:rPr>
        <w:t xml:space="preserve"> </w:t>
      </w:r>
      <w:r>
        <w:rPr>
          <w:sz w:val="24"/>
        </w:rPr>
        <w:t>involving</w:t>
      </w:r>
      <w:r>
        <w:rPr>
          <w:spacing w:val="-4"/>
          <w:sz w:val="24"/>
        </w:rPr>
        <w:t xml:space="preserve"> </w:t>
      </w:r>
      <w:r>
        <w:rPr>
          <w:sz w:val="24"/>
        </w:rPr>
        <w:t xml:space="preserve">pediatric </w:t>
      </w:r>
      <w:r>
        <w:rPr>
          <w:spacing w:val="-2"/>
          <w:sz w:val="24"/>
        </w:rPr>
        <w:t>subjects</w:t>
      </w:r>
      <w:r>
        <w:rPr>
          <w:spacing w:val="-2"/>
          <w:sz w:val="24"/>
        </w:rPr>
        <w:t xml:space="preserve"> and </w:t>
      </w:r>
      <w:r>
        <w:rPr>
          <w:sz w:val="24"/>
        </w:rPr>
        <w:t>focused</w:t>
      </w:r>
      <w:r>
        <w:rPr>
          <w:spacing w:val="1"/>
          <w:sz w:val="24"/>
        </w:rPr>
        <w:t xml:space="preserve"> </w:t>
      </w:r>
      <w:r>
        <w:rPr>
          <w:sz w:val="24"/>
        </w:rPr>
        <w:t>solely</w:t>
      </w:r>
      <w:r>
        <w:rPr>
          <w:spacing w:val="-1"/>
          <w:sz w:val="24"/>
        </w:rPr>
        <w:t xml:space="preserve"> </w:t>
      </w:r>
      <w:r>
        <w:rPr>
          <w:sz w:val="24"/>
        </w:rPr>
        <w:t>on</w:t>
      </w:r>
      <w:r>
        <w:rPr>
          <w:spacing w:val="-1"/>
          <w:sz w:val="24"/>
        </w:rPr>
        <w:t xml:space="preserve"> </w:t>
      </w:r>
      <w:r>
        <w:rPr>
          <w:sz w:val="24"/>
        </w:rPr>
        <w:t>adult</w:t>
      </w:r>
      <w:r>
        <w:rPr>
          <w:spacing w:val="-1"/>
          <w:sz w:val="24"/>
        </w:rPr>
        <w:t xml:space="preserve"> </w:t>
      </w:r>
      <w:r>
        <w:rPr>
          <w:sz w:val="24"/>
        </w:rPr>
        <w:t>or</w:t>
      </w:r>
      <w:r>
        <w:rPr>
          <w:spacing w:val="-2"/>
          <w:sz w:val="24"/>
        </w:rPr>
        <w:t xml:space="preserve"> </w:t>
      </w:r>
      <w:r>
        <w:rPr>
          <w:sz w:val="24"/>
        </w:rPr>
        <w:t>animal</w:t>
      </w:r>
      <w:r>
        <w:rPr>
          <w:spacing w:val="1"/>
          <w:sz w:val="24"/>
        </w:rPr>
        <w:t xml:space="preserve"> </w:t>
      </w:r>
      <w:r>
        <w:rPr>
          <w:spacing w:val="-2"/>
          <w:sz w:val="24"/>
        </w:rPr>
        <w:t>models</w:t>
      </w:r>
    </w:p>
    <w:p w:rsidR="00B84776" w:rsidRDefault="00C65940">
      <w:pPr>
        <w:pStyle w:val="ListParagraph"/>
        <w:numPr>
          <w:ilvl w:val="2"/>
          <w:numId w:val="1"/>
        </w:numPr>
        <w:tabs>
          <w:tab w:val="left" w:pos="519"/>
        </w:tabs>
        <w:spacing w:before="140"/>
        <w:ind w:left="519" w:hanging="419"/>
        <w:jc w:val="left"/>
      </w:pPr>
      <w:r>
        <w:rPr>
          <w:sz w:val="24"/>
        </w:rPr>
        <w:t>Case</w:t>
      </w:r>
      <w:r>
        <w:rPr>
          <w:spacing w:val="-3"/>
          <w:sz w:val="24"/>
        </w:rPr>
        <w:t xml:space="preserve"> </w:t>
      </w:r>
      <w:r>
        <w:rPr>
          <w:sz w:val="24"/>
        </w:rPr>
        <w:t>reports and</w:t>
      </w:r>
      <w:r>
        <w:rPr>
          <w:spacing w:val="-2"/>
          <w:sz w:val="24"/>
        </w:rPr>
        <w:t xml:space="preserve"> </w:t>
      </w:r>
      <w:r>
        <w:rPr>
          <w:sz w:val="24"/>
        </w:rPr>
        <w:t>opinion</w:t>
      </w:r>
      <w:r>
        <w:rPr>
          <w:spacing w:val="-1"/>
          <w:sz w:val="24"/>
        </w:rPr>
        <w:t xml:space="preserve"> </w:t>
      </w:r>
      <w:r>
        <w:rPr>
          <w:sz w:val="24"/>
        </w:rPr>
        <w:t>pieces without</w:t>
      </w:r>
      <w:r>
        <w:rPr>
          <w:spacing w:val="-4"/>
          <w:sz w:val="24"/>
        </w:rPr>
        <w:t xml:space="preserve"> </w:t>
      </w:r>
      <w:r>
        <w:rPr>
          <w:sz w:val="24"/>
        </w:rPr>
        <w:t>primary</w:t>
      </w:r>
      <w:r>
        <w:rPr>
          <w:spacing w:val="1"/>
          <w:sz w:val="24"/>
        </w:rPr>
        <w:t xml:space="preserve"> </w:t>
      </w:r>
      <w:r>
        <w:rPr>
          <w:spacing w:val="-4"/>
          <w:sz w:val="24"/>
        </w:rPr>
        <w:t>data.</w:t>
      </w:r>
    </w:p>
    <w:p w:rsidR="00B84776" w:rsidRDefault="00B84776">
      <w:pPr>
        <w:pStyle w:val="BodyText"/>
        <w:ind w:left="0"/>
        <w:jc w:val="left"/>
      </w:pPr>
    </w:p>
    <w:p w:rsidR="00B84776" w:rsidRDefault="00C65940">
      <w:pPr>
        <w:pStyle w:val="Heading2"/>
        <w:numPr>
          <w:ilvl w:val="1"/>
          <w:numId w:val="1"/>
        </w:numPr>
        <w:tabs>
          <w:tab w:val="left" w:pos="460"/>
        </w:tabs>
      </w:pPr>
      <w:r>
        <w:t>Selection</w:t>
      </w:r>
      <w:r>
        <w:rPr>
          <w:spacing w:val="-3"/>
        </w:rPr>
        <w:t xml:space="preserve"> </w:t>
      </w:r>
      <w:r>
        <w:t>and</w:t>
      </w:r>
      <w:r>
        <w:rPr>
          <w:spacing w:val="-4"/>
        </w:rPr>
        <w:t xml:space="preserve"> </w:t>
      </w:r>
      <w:r>
        <w:t>Review</w:t>
      </w:r>
      <w:r>
        <w:rPr>
          <w:spacing w:val="-1"/>
        </w:rPr>
        <w:t xml:space="preserve"> </w:t>
      </w:r>
      <w:r>
        <w:rPr>
          <w:spacing w:val="-2"/>
        </w:rPr>
        <w:t>Process</w:t>
      </w:r>
    </w:p>
    <w:p w:rsidR="00B84776" w:rsidRDefault="00C65940">
      <w:pPr>
        <w:pStyle w:val="BodyText"/>
        <w:spacing w:before="137" w:line="360" w:lineRule="auto"/>
        <w:ind w:right="97"/>
      </w:pPr>
      <w:r>
        <w:t>The</w:t>
      </w:r>
      <w:r>
        <w:rPr>
          <w:spacing w:val="-5"/>
        </w:rPr>
        <w:t xml:space="preserve"> </w:t>
      </w:r>
      <w:r>
        <w:t>initial</w:t>
      </w:r>
      <w:r>
        <w:rPr>
          <w:spacing w:val="-4"/>
        </w:rPr>
        <w:t xml:space="preserve"> </w:t>
      </w:r>
      <w:r>
        <w:t>search</w:t>
      </w:r>
      <w:r>
        <w:rPr>
          <w:spacing w:val="-2"/>
        </w:rPr>
        <w:t xml:space="preserve"> </w:t>
      </w:r>
      <w:r>
        <w:t>yielded</w:t>
      </w:r>
      <w:r>
        <w:rPr>
          <w:spacing w:val="-2"/>
        </w:rPr>
        <w:t xml:space="preserve"> </w:t>
      </w:r>
      <w:r>
        <w:t>approximately</w:t>
      </w:r>
      <w:r>
        <w:rPr>
          <w:spacing w:val="-4"/>
        </w:rPr>
        <w:t xml:space="preserve"> </w:t>
      </w:r>
      <w:r>
        <w:t>480</w:t>
      </w:r>
      <w:r>
        <w:rPr>
          <w:spacing w:val="-2"/>
        </w:rPr>
        <w:t xml:space="preserve"> </w:t>
      </w:r>
      <w:r>
        <w:t>articles.</w:t>
      </w:r>
      <w:r>
        <w:rPr>
          <w:spacing w:val="-2"/>
        </w:rPr>
        <w:t xml:space="preserve"> </w:t>
      </w:r>
      <w:r>
        <w:t>After</w:t>
      </w:r>
      <w:r>
        <w:rPr>
          <w:spacing w:val="-3"/>
        </w:rPr>
        <w:t xml:space="preserve"> </w:t>
      </w:r>
      <w:r>
        <w:t>removal</w:t>
      </w:r>
      <w:r>
        <w:rPr>
          <w:spacing w:val="-2"/>
        </w:rPr>
        <w:t xml:space="preserve"> </w:t>
      </w:r>
      <w:r>
        <w:t>of</w:t>
      </w:r>
      <w:r>
        <w:rPr>
          <w:spacing w:val="-3"/>
        </w:rPr>
        <w:t xml:space="preserve"> </w:t>
      </w:r>
      <w:r>
        <w:t>duplicates,</w:t>
      </w:r>
      <w:r>
        <w:rPr>
          <w:spacing w:val="-2"/>
        </w:rPr>
        <w:t xml:space="preserve"> </w:t>
      </w:r>
      <w:r>
        <w:t xml:space="preserve">410 articles were screened by </w:t>
      </w:r>
      <w:r>
        <w:t>title and abstract. Full texts of 135 potentially eligible studies were retrieved and assessed against the inclusion criteria. Ultimately, 92 articles were included in the final review.</w:t>
      </w:r>
    </w:p>
    <w:p w:rsidR="00B84776" w:rsidRDefault="00C65940">
      <w:pPr>
        <w:pStyle w:val="BodyText"/>
        <w:spacing w:line="360" w:lineRule="auto"/>
        <w:ind w:right="99"/>
      </w:pPr>
      <w:r>
        <w:t>The literature was reviewed thematically under the following categorie</w:t>
      </w:r>
      <w:r>
        <w:t xml:space="preserve">s: global and regional prevalence, molecular ESBL gene profiles, risk factors and clinical implications, diagnostics, and antimicrobial stewardship. The findings were critically </w:t>
      </w:r>
      <w:proofErr w:type="spellStart"/>
      <w:r>
        <w:t>analysed</w:t>
      </w:r>
      <w:proofErr w:type="spellEnd"/>
      <w:r>
        <w:t xml:space="preserve"> to provide a coherent narrative aligned with the objectives of this r</w:t>
      </w:r>
      <w:r>
        <w:t xml:space="preserve">eview. Citation management software (Zotero) was used to </w:t>
      </w:r>
      <w:proofErr w:type="spellStart"/>
      <w:r>
        <w:t>organise</w:t>
      </w:r>
      <w:proofErr w:type="spellEnd"/>
      <w:r>
        <w:t xml:space="preserve"> references and ensure accuracy in citation formatting.</w:t>
      </w:r>
    </w:p>
    <w:p w:rsidR="00B84776" w:rsidRDefault="00B84776">
      <w:pPr>
        <w:pStyle w:val="BodyText"/>
        <w:spacing w:before="140"/>
        <w:ind w:left="0"/>
        <w:jc w:val="left"/>
      </w:pPr>
    </w:p>
    <w:p w:rsidR="00B84776" w:rsidRDefault="00C65940">
      <w:pPr>
        <w:pStyle w:val="Heading1"/>
        <w:numPr>
          <w:ilvl w:val="0"/>
          <w:numId w:val="1"/>
        </w:numPr>
        <w:tabs>
          <w:tab w:val="left" w:pos="340"/>
        </w:tabs>
        <w:jc w:val="both"/>
      </w:pPr>
      <w:r>
        <w:t>GLOBAL</w:t>
      </w:r>
      <w:r>
        <w:rPr>
          <w:spacing w:val="-9"/>
        </w:rPr>
        <w:t xml:space="preserve"> </w:t>
      </w:r>
      <w:r>
        <w:t>EPIDEMIOLOGY</w:t>
      </w:r>
      <w:r>
        <w:rPr>
          <w:spacing w:val="-1"/>
        </w:rPr>
        <w:t xml:space="preserve"> </w:t>
      </w:r>
      <w:r>
        <w:t>OF</w:t>
      </w:r>
      <w:r>
        <w:rPr>
          <w:spacing w:val="-6"/>
        </w:rPr>
        <w:t xml:space="preserve"> </w:t>
      </w:r>
      <w:r>
        <w:t>ESBL-PRODUCING</w:t>
      </w:r>
      <w:r>
        <w:rPr>
          <w:spacing w:val="-4"/>
        </w:rPr>
        <w:t xml:space="preserve"> </w:t>
      </w:r>
      <w:r>
        <w:rPr>
          <w:spacing w:val="-2"/>
        </w:rPr>
        <w:t>UROPATHOGENS</w:t>
      </w:r>
    </w:p>
    <w:p w:rsidR="00B84776" w:rsidRDefault="00B84776">
      <w:pPr>
        <w:pStyle w:val="Heading1"/>
        <w:jc w:val="both"/>
        <w:sectPr w:rsidR="00B84776">
          <w:pgSz w:w="11910" w:h="16840"/>
          <w:pgMar w:top="1360" w:right="1700" w:bottom="280" w:left="1700" w:header="720" w:footer="720" w:gutter="0"/>
          <w:cols w:space="720"/>
        </w:sectPr>
      </w:pPr>
    </w:p>
    <w:p w:rsidR="00B84776" w:rsidRDefault="00C65940">
      <w:pPr>
        <w:pStyle w:val="BodyText"/>
        <w:spacing w:before="75" w:line="360" w:lineRule="auto"/>
        <w:ind w:right="97"/>
      </w:pPr>
      <w:r>
        <w:lastRenderedPageBreak/>
        <w:t>The rise of antibiotic resistance presents a significant global chall</w:t>
      </w:r>
      <w:r>
        <w:t xml:space="preserve">enge across various infections, including urinary tract infections (11). There is a growing recognition of the resistance exhibited by prevalent </w:t>
      </w:r>
      <w:proofErr w:type="spellStart"/>
      <w:r>
        <w:t>uropathogens</w:t>
      </w:r>
      <w:proofErr w:type="spellEnd"/>
      <w:r>
        <w:t xml:space="preserve">, particularly </w:t>
      </w:r>
      <w:r>
        <w:rPr>
          <w:i/>
        </w:rPr>
        <w:t>Escherichia coli</w:t>
      </w:r>
      <w:r>
        <w:t>, to the first-line empiric antibiotics recommended for treatment (9</w:t>
      </w:r>
      <w:r>
        <w:t>, 12).</w:t>
      </w:r>
    </w:p>
    <w:p w:rsidR="00B84776" w:rsidRDefault="00C65940">
      <w:pPr>
        <w:pStyle w:val="BodyText"/>
        <w:spacing w:line="360" w:lineRule="auto"/>
        <w:ind w:right="96"/>
        <w:jc w:val="left"/>
      </w:pPr>
      <w:r>
        <w:t>The</w:t>
      </w:r>
      <w:r>
        <w:rPr>
          <w:spacing w:val="80"/>
        </w:rPr>
        <w:t xml:space="preserve"> </w:t>
      </w:r>
      <w:r>
        <w:t>fundamental</w:t>
      </w:r>
      <w:r>
        <w:rPr>
          <w:spacing w:val="80"/>
        </w:rPr>
        <w:t xml:space="preserve"> </w:t>
      </w:r>
      <w:r>
        <w:t>factor</w:t>
      </w:r>
      <w:r>
        <w:rPr>
          <w:spacing w:val="80"/>
        </w:rPr>
        <w:t xml:space="preserve"> </w:t>
      </w:r>
      <w:r>
        <w:t>contributing</w:t>
      </w:r>
      <w:r>
        <w:rPr>
          <w:spacing w:val="80"/>
        </w:rPr>
        <w:t xml:space="preserve"> </w:t>
      </w:r>
      <w:r>
        <w:t>to</w:t>
      </w:r>
      <w:r>
        <w:rPr>
          <w:spacing w:val="80"/>
        </w:rPr>
        <w:t xml:space="preserve"> </w:t>
      </w:r>
      <w:r>
        <w:t>the</w:t>
      </w:r>
      <w:r>
        <w:rPr>
          <w:spacing w:val="80"/>
        </w:rPr>
        <w:t xml:space="preserve"> </w:t>
      </w:r>
      <w:r>
        <w:t>rise</w:t>
      </w:r>
      <w:r>
        <w:rPr>
          <w:spacing w:val="80"/>
        </w:rPr>
        <w:t xml:space="preserve"> </w:t>
      </w:r>
      <w:r>
        <w:t>in</w:t>
      </w:r>
      <w:r>
        <w:rPr>
          <w:spacing w:val="80"/>
        </w:rPr>
        <w:t xml:space="preserve"> </w:t>
      </w:r>
      <w:r>
        <w:t>antibiotic</w:t>
      </w:r>
      <w:r>
        <w:rPr>
          <w:spacing w:val="80"/>
        </w:rPr>
        <w:t xml:space="preserve"> </w:t>
      </w:r>
      <w:r>
        <w:t>resistance</w:t>
      </w:r>
      <w:r>
        <w:rPr>
          <w:spacing w:val="80"/>
        </w:rPr>
        <w:t xml:space="preserve"> </w:t>
      </w:r>
      <w:r>
        <w:t>is</w:t>
      </w:r>
      <w:r>
        <w:rPr>
          <w:spacing w:val="80"/>
        </w:rPr>
        <w:t xml:space="preserve"> </w:t>
      </w:r>
      <w:r>
        <w:t>the acquisition</w:t>
      </w:r>
      <w:r>
        <w:rPr>
          <w:spacing w:val="40"/>
        </w:rPr>
        <w:t xml:space="preserve"> </w:t>
      </w:r>
      <w:r>
        <w:t>of</w:t>
      </w:r>
      <w:r>
        <w:rPr>
          <w:spacing w:val="40"/>
        </w:rPr>
        <w:t xml:space="preserve"> </w:t>
      </w:r>
      <w:r>
        <w:t>advanced</w:t>
      </w:r>
      <w:r>
        <w:rPr>
          <w:spacing w:val="40"/>
        </w:rPr>
        <w:t xml:space="preserve"> </w:t>
      </w:r>
      <w:r>
        <w:t>characteristics</w:t>
      </w:r>
      <w:r>
        <w:rPr>
          <w:spacing w:val="40"/>
        </w:rPr>
        <w:t xml:space="preserve"> </w:t>
      </w:r>
      <w:r>
        <w:t>of</w:t>
      </w:r>
      <w:r>
        <w:rPr>
          <w:spacing w:val="40"/>
        </w:rPr>
        <w:t xml:space="preserve"> </w:t>
      </w:r>
      <w:r>
        <w:t>beta-lactamase</w:t>
      </w:r>
      <w:r>
        <w:rPr>
          <w:spacing w:val="40"/>
        </w:rPr>
        <w:t xml:space="preserve"> </w:t>
      </w:r>
      <w:r>
        <w:t>enzymes.</w:t>
      </w:r>
      <w:r>
        <w:rPr>
          <w:spacing w:val="40"/>
        </w:rPr>
        <w:t xml:space="preserve"> </w:t>
      </w:r>
      <w:r>
        <w:t>Certain</w:t>
      </w:r>
      <w:r>
        <w:rPr>
          <w:spacing w:val="40"/>
        </w:rPr>
        <w:t xml:space="preserve"> </w:t>
      </w:r>
      <w:r>
        <w:t xml:space="preserve">gram- negative </w:t>
      </w:r>
      <w:proofErr w:type="spellStart"/>
      <w:r>
        <w:t>uropathogens</w:t>
      </w:r>
      <w:proofErr w:type="spellEnd"/>
      <w:r>
        <w:t xml:space="preserve"> can inactivate beta-lactam antibiotics, including penicillin and </w:t>
      </w:r>
      <w:r>
        <w:t>first-generation</w:t>
      </w:r>
      <w:r>
        <w:rPr>
          <w:spacing w:val="80"/>
        </w:rPr>
        <w:t xml:space="preserve"> </w:t>
      </w:r>
      <w:r>
        <w:t>cephalosporins,</w:t>
      </w:r>
      <w:r>
        <w:rPr>
          <w:spacing w:val="80"/>
        </w:rPr>
        <w:t xml:space="preserve"> </w:t>
      </w:r>
      <w:r>
        <w:t>owing</w:t>
      </w:r>
      <w:r>
        <w:rPr>
          <w:spacing w:val="80"/>
        </w:rPr>
        <w:t xml:space="preserve"> </w:t>
      </w:r>
      <w:r>
        <w:t>to</w:t>
      </w:r>
      <w:r>
        <w:rPr>
          <w:spacing w:val="80"/>
        </w:rPr>
        <w:t xml:space="preserve"> </w:t>
      </w:r>
      <w:r>
        <w:t>their</w:t>
      </w:r>
      <w:r>
        <w:rPr>
          <w:spacing w:val="80"/>
        </w:rPr>
        <w:t xml:space="preserve"> </w:t>
      </w:r>
      <w:r>
        <w:t>natural</w:t>
      </w:r>
      <w:r>
        <w:rPr>
          <w:spacing w:val="80"/>
        </w:rPr>
        <w:t xml:space="preserve"> </w:t>
      </w:r>
      <w:r>
        <w:t>beta-lactamase</w:t>
      </w:r>
      <w:r>
        <w:rPr>
          <w:spacing w:val="80"/>
        </w:rPr>
        <w:t xml:space="preserve"> </w:t>
      </w:r>
      <w:r>
        <w:t>enzymes. Furthermore, some of these pathogens have adapted to exhibit multidrug resistance,</w:t>
      </w:r>
      <w:r>
        <w:rPr>
          <w:spacing w:val="40"/>
        </w:rPr>
        <w:t xml:space="preserve"> </w:t>
      </w:r>
      <w:r>
        <w:t>allowing</w:t>
      </w:r>
      <w:r>
        <w:rPr>
          <w:spacing w:val="40"/>
        </w:rPr>
        <w:t xml:space="preserve"> </w:t>
      </w:r>
      <w:r>
        <w:t>them</w:t>
      </w:r>
      <w:r>
        <w:rPr>
          <w:spacing w:val="40"/>
        </w:rPr>
        <w:t xml:space="preserve"> </w:t>
      </w:r>
      <w:r>
        <w:t>to</w:t>
      </w:r>
      <w:r>
        <w:rPr>
          <w:spacing w:val="40"/>
        </w:rPr>
        <w:t xml:space="preserve"> </w:t>
      </w:r>
      <w:proofErr w:type="spellStart"/>
      <w:r>
        <w:t>hydrolyse</w:t>
      </w:r>
      <w:proofErr w:type="spellEnd"/>
      <w:r>
        <w:rPr>
          <w:spacing w:val="40"/>
        </w:rPr>
        <w:t xml:space="preserve"> </w:t>
      </w:r>
      <w:r>
        <w:t>and</w:t>
      </w:r>
      <w:r>
        <w:rPr>
          <w:spacing w:val="40"/>
        </w:rPr>
        <w:t xml:space="preserve"> </w:t>
      </w:r>
      <w:proofErr w:type="spellStart"/>
      <w:r>
        <w:t>neutralise</w:t>
      </w:r>
      <w:proofErr w:type="spellEnd"/>
      <w:r>
        <w:rPr>
          <w:spacing w:val="40"/>
        </w:rPr>
        <w:t xml:space="preserve"> </w:t>
      </w:r>
      <w:r>
        <w:t>extended-spectrum</w:t>
      </w:r>
      <w:r>
        <w:rPr>
          <w:spacing w:val="40"/>
        </w:rPr>
        <w:t xml:space="preserve"> </w:t>
      </w:r>
      <w:r>
        <w:t>cephalosporins</w:t>
      </w:r>
      <w:r>
        <w:rPr>
          <w:spacing w:val="40"/>
        </w:rPr>
        <w:t xml:space="preserve"> </w:t>
      </w:r>
      <w:r>
        <w:t>and carbapenem ant</w:t>
      </w:r>
      <w:r>
        <w:t xml:space="preserve">ibiotics (13). These organisms are </w:t>
      </w:r>
      <w:proofErr w:type="spellStart"/>
      <w:r>
        <w:t>categorised</w:t>
      </w:r>
      <w:proofErr w:type="spellEnd"/>
      <w:r>
        <w:t xml:space="preserve"> as producers of ESBL. The worldwide distribution of extended-spectrum beta-lactamase (ESBL)-producing </w:t>
      </w:r>
      <w:proofErr w:type="spellStart"/>
      <w:r>
        <w:t>uropathogens</w:t>
      </w:r>
      <w:proofErr w:type="spellEnd"/>
      <w:r>
        <w:rPr>
          <w:spacing w:val="40"/>
        </w:rPr>
        <w:t xml:space="preserve"> </w:t>
      </w:r>
      <w:r>
        <w:t>is</w:t>
      </w:r>
      <w:r>
        <w:rPr>
          <w:spacing w:val="40"/>
        </w:rPr>
        <w:t xml:space="preserve"> </w:t>
      </w:r>
      <w:proofErr w:type="spellStart"/>
      <w:r>
        <w:t>characterised</w:t>
      </w:r>
      <w:proofErr w:type="spellEnd"/>
      <w:r>
        <w:rPr>
          <w:spacing w:val="40"/>
        </w:rPr>
        <w:t xml:space="preserve"> </w:t>
      </w:r>
      <w:r>
        <w:t>by</w:t>
      </w:r>
      <w:r>
        <w:rPr>
          <w:spacing w:val="40"/>
        </w:rPr>
        <w:t xml:space="preserve"> </w:t>
      </w:r>
      <w:r>
        <w:t>regional</w:t>
      </w:r>
      <w:r>
        <w:rPr>
          <w:spacing w:val="40"/>
        </w:rPr>
        <w:t xml:space="preserve"> </w:t>
      </w:r>
      <w:r>
        <w:t>variability,</w:t>
      </w:r>
      <w:r>
        <w:rPr>
          <w:spacing w:val="40"/>
        </w:rPr>
        <w:t xml:space="preserve"> </w:t>
      </w:r>
      <w:r>
        <w:t>influenced</w:t>
      </w:r>
      <w:r>
        <w:rPr>
          <w:spacing w:val="40"/>
        </w:rPr>
        <w:t xml:space="preserve"> </w:t>
      </w:r>
      <w:r>
        <w:t>by</w:t>
      </w:r>
      <w:r>
        <w:rPr>
          <w:spacing w:val="40"/>
        </w:rPr>
        <w:t xml:space="preserve"> </w:t>
      </w:r>
      <w:r>
        <w:t>differences</w:t>
      </w:r>
      <w:r>
        <w:rPr>
          <w:spacing w:val="40"/>
        </w:rPr>
        <w:t xml:space="preserve"> </w:t>
      </w:r>
      <w:r>
        <w:t>in antibiotic use,</w:t>
      </w:r>
      <w:r>
        <w:rPr>
          <w:spacing w:val="28"/>
        </w:rPr>
        <w:t xml:space="preserve"> </w:t>
      </w:r>
      <w:r>
        <w:t>infecti</w:t>
      </w:r>
      <w:r>
        <w:t>on control practices,</w:t>
      </w:r>
      <w:r>
        <w:rPr>
          <w:spacing w:val="28"/>
        </w:rPr>
        <w:t xml:space="preserve"> </w:t>
      </w:r>
      <w:r>
        <w:t>healthcare infrastructure,</w:t>
      </w:r>
      <w:r>
        <w:rPr>
          <w:spacing w:val="28"/>
        </w:rPr>
        <w:t xml:space="preserve"> </w:t>
      </w:r>
      <w:r>
        <w:t>and surveillance capabilities.</w:t>
      </w:r>
      <w:r>
        <w:rPr>
          <w:spacing w:val="40"/>
        </w:rPr>
        <w:t xml:space="preserve"> </w:t>
      </w:r>
      <w:r>
        <w:t>Over</w:t>
      </w:r>
      <w:r>
        <w:rPr>
          <w:spacing w:val="40"/>
        </w:rPr>
        <w:t xml:space="preserve"> </w:t>
      </w:r>
      <w:r>
        <w:t>the</w:t>
      </w:r>
      <w:r>
        <w:rPr>
          <w:spacing w:val="40"/>
        </w:rPr>
        <w:t xml:space="preserve"> </w:t>
      </w:r>
      <w:r>
        <w:t>past</w:t>
      </w:r>
      <w:r>
        <w:rPr>
          <w:spacing w:val="40"/>
        </w:rPr>
        <w:t xml:space="preserve"> </w:t>
      </w:r>
      <w:r>
        <w:t>two</w:t>
      </w:r>
      <w:r>
        <w:rPr>
          <w:spacing w:val="40"/>
        </w:rPr>
        <w:t xml:space="preserve"> </w:t>
      </w:r>
      <w:r>
        <w:t>decades,</w:t>
      </w:r>
      <w:r>
        <w:rPr>
          <w:spacing w:val="40"/>
        </w:rPr>
        <w:t xml:space="preserve"> </w:t>
      </w:r>
      <w:r>
        <w:t>ESBL-producing</w:t>
      </w:r>
      <w:r>
        <w:rPr>
          <w:spacing w:val="40"/>
        </w:rPr>
        <w:t xml:space="preserve"> </w:t>
      </w:r>
      <w:r>
        <w:t>Enterobacteriaceae</w:t>
      </w:r>
      <w:r>
        <w:rPr>
          <w:spacing w:val="40"/>
        </w:rPr>
        <w:t xml:space="preserve"> </w:t>
      </w:r>
      <w:r>
        <w:t>have transitioned</w:t>
      </w:r>
      <w:r>
        <w:rPr>
          <w:spacing w:val="40"/>
        </w:rPr>
        <w:t xml:space="preserve"> </w:t>
      </w:r>
      <w:r>
        <w:t>from</w:t>
      </w:r>
      <w:r>
        <w:rPr>
          <w:spacing w:val="40"/>
        </w:rPr>
        <w:t xml:space="preserve"> </w:t>
      </w:r>
      <w:r>
        <w:t>isolated</w:t>
      </w:r>
      <w:r>
        <w:rPr>
          <w:spacing w:val="40"/>
        </w:rPr>
        <w:t xml:space="preserve"> </w:t>
      </w:r>
      <w:r>
        <w:t>hospital</w:t>
      </w:r>
      <w:r>
        <w:rPr>
          <w:spacing w:val="40"/>
        </w:rPr>
        <w:t xml:space="preserve"> </w:t>
      </w:r>
      <w:r>
        <w:t>outbreaks</w:t>
      </w:r>
      <w:r>
        <w:rPr>
          <w:spacing w:val="40"/>
        </w:rPr>
        <w:t xml:space="preserve"> </w:t>
      </w:r>
      <w:r>
        <w:t>to</w:t>
      </w:r>
      <w:r>
        <w:rPr>
          <w:spacing w:val="40"/>
        </w:rPr>
        <w:t xml:space="preserve"> </w:t>
      </w:r>
      <w:r>
        <w:t>widespread</w:t>
      </w:r>
      <w:r>
        <w:rPr>
          <w:spacing w:val="40"/>
        </w:rPr>
        <w:t xml:space="preserve"> </w:t>
      </w:r>
      <w:r>
        <w:t>community-acquired</w:t>
      </w:r>
      <w:r>
        <w:rPr>
          <w:spacing w:val="80"/>
        </w:rPr>
        <w:t xml:space="preserve"> </w:t>
      </w:r>
      <w:r>
        <w:t xml:space="preserve">infections, with pediatric </w:t>
      </w:r>
      <w:r>
        <w:t>populations increasingly affected (14).</w:t>
      </w:r>
    </w:p>
    <w:p w:rsidR="00B84776" w:rsidRDefault="00C65940">
      <w:pPr>
        <w:pStyle w:val="BodyText"/>
        <w:spacing w:line="360" w:lineRule="auto"/>
        <w:ind w:right="97"/>
      </w:pPr>
      <w:r>
        <w:t>The guidelines established in the United States advocate for the selection of</w:t>
      </w:r>
      <w:r>
        <w:rPr>
          <w:spacing w:val="40"/>
        </w:rPr>
        <w:t xml:space="preserve"> </w:t>
      </w:r>
      <w:r>
        <w:t>antibiotics based on local sensitivity patterns, with the recommendation to modify these</w:t>
      </w:r>
      <w:r>
        <w:rPr>
          <w:spacing w:val="-5"/>
        </w:rPr>
        <w:t xml:space="preserve"> </w:t>
      </w:r>
      <w:r>
        <w:t>choices</w:t>
      </w:r>
      <w:r>
        <w:rPr>
          <w:spacing w:val="-2"/>
        </w:rPr>
        <w:t xml:space="preserve"> </w:t>
      </w:r>
      <w:r>
        <w:t>once</w:t>
      </w:r>
      <w:r>
        <w:rPr>
          <w:spacing w:val="-3"/>
        </w:rPr>
        <w:t xml:space="preserve"> </w:t>
      </w:r>
      <w:r>
        <w:t>the</w:t>
      </w:r>
      <w:r>
        <w:rPr>
          <w:spacing w:val="-5"/>
        </w:rPr>
        <w:t xml:space="preserve"> </w:t>
      </w:r>
      <w:r>
        <w:t>sensitivity</w:t>
      </w:r>
      <w:r>
        <w:rPr>
          <w:spacing w:val="-6"/>
        </w:rPr>
        <w:t xml:space="preserve"> </w:t>
      </w:r>
      <w:r>
        <w:t>profiles</w:t>
      </w:r>
      <w:r>
        <w:rPr>
          <w:spacing w:val="-2"/>
        </w:rPr>
        <w:t xml:space="preserve"> </w:t>
      </w:r>
      <w:r>
        <w:t>of</w:t>
      </w:r>
      <w:r>
        <w:rPr>
          <w:spacing w:val="-3"/>
        </w:rPr>
        <w:t xml:space="preserve"> </w:t>
      </w:r>
      <w:r>
        <w:t>the</w:t>
      </w:r>
      <w:r>
        <w:rPr>
          <w:spacing w:val="-5"/>
        </w:rPr>
        <w:t xml:space="preserve"> </w:t>
      </w:r>
      <w:r>
        <w:t>isol</w:t>
      </w:r>
      <w:r>
        <w:t>ated</w:t>
      </w:r>
      <w:r>
        <w:rPr>
          <w:spacing w:val="-4"/>
        </w:rPr>
        <w:t xml:space="preserve"> </w:t>
      </w:r>
      <w:proofErr w:type="spellStart"/>
      <w:r>
        <w:t>uropathogens</w:t>
      </w:r>
      <w:proofErr w:type="spellEnd"/>
      <w:r>
        <w:rPr>
          <w:spacing w:val="-2"/>
        </w:rPr>
        <w:t xml:space="preserve"> </w:t>
      </w:r>
      <w:r>
        <w:t>are</w:t>
      </w:r>
      <w:r>
        <w:rPr>
          <w:spacing w:val="-3"/>
        </w:rPr>
        <w:t xml:space="preserve"> </w:t>
      </w:r>
      <w:r>
        <w:t xml:space="preserve">determined. However, it is </w:t>
      </w:r>
      <w:proofErr w:type="spellStart"/>
      <w:r>
        <w:t>recognised</w:t>
      </w:r>
      <w:proofErr w:type="spellEnd"/>
      <w:r>
        <w:t xml:space="preserve"> that relying on local sensitivity data for the initial selection of antimicrobial agents can pose challenges due to the potential unavailability of relevant information. Notably, there is a growin</w:t>
      </w:r>
      <w:r>
        <w:t>g incidence of urinary tract infections (UTIs) exhibiting resistance to these antibiotics in Australia, the UK, and the USA (9, 15). While extended-spectrum beta-lactamase (ESBL) organisms were predominantly identified in hospital environments, there is no</w:t>
      </w:r>
      <w:r>
        <w:t>w an observable increase in ESBL UTI cases within community settings (14).</w:t>
      </w:r>
    </w:p>
    <w:p w:rsidR="00B84776" w:rsidRDefault="00C65940">
      <w:pPr>
        <w:pStyle w:val="BodyText"/>
        <w:spacing w:line="360" w:lineRule="auto"/>
        <w:ind w:right="98"/>
      </w:pPr>
      <w:r>
        <w:t>The rise of ESBLs poses a major public health issue, especially among children and teenagers, where urinary tract infections (UTIs) are becoming common. The increasing prevalence of</w:t>
      </w:r>
      <w:r>
        <w:t xml:space="preserve"> ESBL-producing </w:t>
      </w:r>
      <w:proofErr w:type="spellStart"/>
      <w:r>
        <w:t>uropathogens</w:t>
      </w:r>
      <w:proofErr w:type="spellEnd"/>
      <w:r>
        <w:t xml:space="preserve"> in children highlights the urgent need for a thorough investigation into these resistant strains' distribution and genetic characteristics.</w:t>
      </w:r>
      <w:r>
        <w:rPr>
          <w:spacing w:val="40"/>
        </w:rPr>
        <w:t xml:space="preserve"> </w:t>
      </w:r>
      <w:r>
        <w:t xml:space="preserve">For instance, research by </w:t>
      </w:r>
      <w:proofErr w:type="spellStart"/>
      <w:r>
        <w:t>Parajuli</w:t>
      </w:r>
      <w:proofErr w:type="spellEnd"/>
      <w:r>
        <w:t xml:space="preserve"> et al. (16) showed that 32.6%</w:t>
      </w:r>
      <w:r>
        <w:rPr>
          <w:spacing w:val="54"/>
          <w:w w:val="150"/>
        </w:rPr>
        <w:t xml:space="preserve"> </w:t>
      </w:r>
      <w:r>
        <w:t>of</w:t>
      </w:r>
      <w:r>
        <w:rPr>
          <w:spacing w:val="56"/>
          <w:w w:val="150"/>
        </w:rPr>
        <w:t xml:space="preserve"> </w:t>
      </w:r>
      <w:r>
        <w:t>isolates</w:t>
      </w:r>
      <w:r>
        <w:rPr>
          <w:spacing w:val="55"/>
          <w:w w:val="150"/>
        </w:rPr>
        <w:t xml:space="preserve"> </w:t>
      </w:r>
      <w:r>
        <w:t>from</w:t>
      </w:r>
      <w:r>
        <w:rPr>
          <w:spacing w:val="57"/>
          <w:w w:val="150"/>
        </w:rPr>
        <w:t xml:space="preserve"> </w:t>
      </w:r>
      <w:r>
        <w:t>child</w:t>
      </w:r>
      <w:r>
        <w:t>ren</w:t>
      </w:r>
      <w:r>
        <w:rPr>
          <w:spacing w:val="57"/>
          <w:w w:val="150"/>
        </w:rPr>
        <w:t xml:space="preserve"> </w:t>
      </w:r>
      <w:proofErr w:type="spellStart"/>
      <w:r>
        <w:t>harboured</w:t>
      </w:r>
      <w:proofErr w:type="spellEnd"/>
      <w:r>
        <w:rPr>
          <w:spacing w:val="56"/>
          <w:w w:val="150"/>
        </w:rPr>
        <w:t xml:space="preserve"> </w:t>
      </w:r>
      <w:r>
        <w:t>ESBL</w:t>
      </w:r>
      <w:r>
        <w:rPr>
          <w:spacing w:val="59"/>
          <w:w w:val="150"/>
        </w:rPr>
        <w:t xml:space="preserve"> </w:t>
      </w:r>
      <w:r>
        <w:t>genes,</w:t>
      </w:r>
      <w:r>
        <w:rPr>
          <w:spacing w:val="57"/>
          <w:w w:val="150"/>
        </w:rPr>
        <w:t xml:space="preserve"> </w:t>
      </w:r>
      <w:r>
        <w:t>with</w:t>
      </w:r>
      <w:r>
        <w:rPr>
          <w:spacing w:val="54"/>
          <w:w w:val="150"/>
        </w:rPr>
        <w:t xml:space="preserve"> </w:t>
      </w:r>
      <w:r>
        <w:t>E.</w:t>
      </w:r>
      <w:r>
        <w:rPr>
          <w:spacing w:val="57"/>
          <w:w w:val="150"/>
        </w:rPr>
        <w:t xml:space="preserve"> </w:t>
      </w:r>
      <w:r>
        <w:t>coli</w:t>
      </w:r>
      <w:r>
        <w:rPr>
          <w:spacing w:val="54"/>
          <w:w w:val="150"/>
        </w:rPr>
        <w:t xml:space="preserve"> </w:t>
      </w:r>
      <w:r>
        <w:t>and</w:t>
      </w:r>
      <w:r>
        <w:rPr>
          <w:spacing w:val="57"/>
          <w:w w:val="150"/>
        </w:rPr>
        <w:t xml:space="preserve"> </w:t>
      </w:r>
      <w:r>
        <w:rPr>
          <w:spacing w:val="-5"/>
        </w:rPr>
        <w:t>K.</w:t>
      </w:r>
    </w:p>
    <w:p w:rsidR="00B84776" w:rsidRDefault="00B84776">
      <w:pPr>
        <w:pStyle w:val="BodyText"/>
        <w:spacing w:line="360" w:lineRule="auto"/>
        <w:sectPr w:rsidR="00B84776">
          <w:pgSz w:w="11910" w:h="16840"/>
          <w:pgMar w:top="1760" w:right="1700" w:bottom="280" w:left="1700" w:header="720" w:footer="720" w:gutter="0"/>
          <w:cols w:space="720"/>
        </w:sectPr>
      </w:pPr>
    </w:p>
    <w:p w:rsidR="00B84776" w:rsidRDefault="00C65940">
      <w:pPr>
        <w:pStyle w:val="BodyText"/>
        <w:spacing w:before="62" w:line="360" w:lineRule="auto"/>
        <w:ind w:right="97"/>
      </w:pPr>
      <w:r>
        <w:lastRenderedPageBreak/>
        <w:t xml:space="preserve">pneumoniae identified as the predominant </w:t>
      </w:r>
      <w:proofErr w:type="spellStart"/>
      <w:r>
        <w:t>uropathogens</w:t>
      </w:r>
      <w:proofErr w:type="spellEnd"/>
      <w:r>
        <w:t xml:space="preserve">. This observation is corroborated by another study indicating that 30.5% of isolated </w:t>
      </w:r>
      <w:r>
        <w:rPr>
          <w:i/>
        </w:rPr>
        <w:t xml:space="preserve">E. coli </w:t>
      </w:r>
      <w:r>
        <w:t>strains were ESBL producers, with the TEM gene be</w:t>
      </w:r>
      <w:r>
        <w:t>ing the most frequently detected (49%), followed by SHV (44%) and CTX-M (28%). In a broader context, Ferreira et al. (17) reported that all 25 isolates examined in their research were ESBL producers, with 100%</w:t>
      </w:r>
      <w:r>
        <w:rPr>
          <w:spacing w:val="-4"/>
        </w:rPr>
        <w:t xml:space="preserve"> </w:t>
      </w:r>
      <w:r>
        <w:t>carrying</w:t>
      </w:r>
      <w:r>
        <w:rPr>
          <w:spacing w:val="-2"/>
        </w:rPr>
        <w:t xml:space="preserve"> </w:t>
      </w:r>
      <w:r>
        <w:t>the</w:t>
      </w:r>
      <w:r>
        <w:rPr>
          <w:spacing w:val="-4"/>
        </w:rPr>
        <w:t xml:space="preserve"> </w:t>
      </w:r>
      <w:proofErr w:type="spellStart"/>
      <w:r>
        <w:t>blaKPC</w:t>
      </w:r>
      <w:proofErr w:type="spellEnd"/>
      <w:r>
        <w:rPr>
          <w:spacing w:val="-3"/>
        </w:rPr>
        <w:t xml:space="preserve"> </w:t>
      </w:r>
      <w:r>
        <w:t>and</w:t>
      </w:r>
      <w:r>
        <w:rPr>
          <w:spacing w:val="-2"/>
        </w:rPr>
        <w:t xml:space="preserve"> </w:t>
      </w:r>
      <w:proofErr w:type="spellStart"/>
      <w:r>
        <w:t>blaTEM</w:t>
      </w:r>
      <w:proofErr w:type="spellEnd"/>
      <w:r>
        <w:rPr>
          <w:spacing w:val="-2"/>
        </w:rPr>
        <w:t xml:space="preserve"> </w:t>
      </w:r>
      <w:r>
        <w:t>genes.</w:t>
      </w:r>
      <w:r>
        <w:rPr>
          <w:spacing w:val="-3"/>
        </w:rPr>
        <w:t xml:space="preserve"> </w:t>
      </w:r>
      <w:r>
        <w:t xml:space="preserve">Additionally, </w:t>
      </w:r>
      <w:proofErr w:type="spellStart"/>
      <w:r>
        <w:t>Reuland</w:t>
      </w:r>
      <w:proofErr w:type="spellEnd"/>
      <w:r>
        <w:rPr>
          <w:spacing w:val="-2"/>
        </w:rPr>
        <w:t xml:space="preserve"> </w:t>
      </w:r>
      <w:r>
        <w:t>et</w:t>
      </w:r>
      <w:r>
        <w:rPr>
          <w:spacing w:val="-3"/>
        </w:rPr>
        <w:t xml:space="preserve"> </w:t>
      </w:r>
      <w:r>
        <w:t>al.</w:t>
      </w:r>
      <w:r>
        <w:rPr>
          <w:spacing w:val="-2"/>
        </w:rPr>
        <w:t xml:space="preserve"> </w:t>
      </w:r>
      <w:r>
        <w:t>(18)</w:t>
      </w:r>
      <w:r>
        <w:rPr>
          <w:spacing w:val="-4"/>
        </w:rPr>
        <w:t xml:space="preserve"> </w:t>
      </w:r>
      <w:r>
        <w:t>noted that</w:t>
      </w:r>
      <w:r>
        <w:rPr>
          <w:spacing w:val="-4"/>
        </w:rPr>
        <w:t xml:space="preserve"> </w:t>
      </w:r>
      <w:r>
        <w:t>among</w:t>
      </w:r>
      <w:r>
        <w:rPr>
          <w:spacing w:val="-4"/>
        </w:rPr>
        <w:t xml:space="preserve"> </w:t>
      </w:r>
      <w:r>
        <w:t>1,695</w:t>
      </w:r>
      <w:r>
        <w:rPr>
          <w:spacing w:val="-4"/>
        </w:rPr>
        <w:t xml:space="preserve"> </w:t>
      </w:r>
      <w:r>
        <w:t>samples,</w:t>
      </w:r>
      <w:r>
        <w:rPr>
          <w:spacing w:val="-4"/>
        </w:rPr>
        <w:t xml:space="preserve"> </w:t>
      </w:r>
      <w:r>
        <w:t>8.6%</w:t>
      </w:r>
      <w:r>
        <w:rPr>
          <w:spacing w:val="-5"/>
        </w:rPr>
        <w:t xml:space="preserve"> </w:t>
      </w:r>
      <w:r>
        <w:t>were</w:t>
      </w:r>
      <w:r>
        <w:rPr>
          <w:spacing w:val="-1"/>
        </w:rPr>
        <w:t xml:space="preserve"> </w:t>
      </w:r>
      <w:r>
        <w:t>classified</w:t>
      </w:r>
      <w:r>
        <w:rPr>
          <w:spacing w:val="-2"/>
        </w:rPr>
        <w:t xml:space="preserve"> </w:t>
      </w:r>
      <w:r>
        <w:t>as</w:t>
      </w:r>
      <w:r>
        <w:rPr>
          <w:spacing w:val="-4"/>
        </w:rPr>
        <w:t xml:space="preserve"> </w:t>
      </w:r>
      <w:r>
        <w:t>ESBL-E,</w:t>
      </w:r>
      <w:r>
        <w:rPr>
          <w:spacing w:val="-2"/>
        </w:rPr>
        <w:t xml:space="preserve"> </w:t>
      </w:r>
      <w:r>
        <w:t>predominantly</w:t>
      </w:r>
      <w:r>
        <w:rPr>
          <w:spacing w:val="-4"/>
        </w:rPr>
        <w:t xml:space="preserve"> </w:t>
      </w:r>
      <w:r>
        <w:t>consisting of</w:t>
      </w:r>
      <w:r>
        <w:rPr>
          <w:spacing w:val="-2"/>
        </w:rPr>
        <w:t xml:space="preserve"> </w:t>
      </w:r>
      <w:r>
        <w:rPr>
          <w:i/>
        </w:rPr>
        <w:t>E.</w:t>
      </w:r>
      <w:r>
        <w:rPr>
          <w:i/>
          <w:spacing w:val="-3"/>
        </w:rPr>
        <w:t xml:space="preserve"> </w:t>
      </w:r>
      <w:r>
        <w:rPr>
          <w:i/>
        </w:rPr>
        <w:t>coli</w:t>
      </w:r>
      <w:r>
        <w:rPr>
          <w:i/>
          <w:spacing w:val="-1"/>
        </w:rPr>
        <w:t xml:space="preserve"> </w:t>
      </w:r>
      <w:r>
        <w:t>(91%), with</w:t>
      </w:r>
      <w:r>
        <w:rPr>
          <w:spacing w:val="-3"/>
        </w:rPr>
        <w:t xml:space="preserve"> </w:t>
      </w:r>
      <w:r>
        <w:t>the</w:t>
      </w:r>
      <w:r>
        <w:rPr>
          <w:spacing w:val="-2"/>
        </w:rPr>
        <w:t xml:space="preserve"> </w:t>
      </w:r>
      <w:r>
        <w:t>CTX-M</w:t>
      </w:r>
      <w:r>
        <w:rPr>
          <w:spacing w:val="-3"/>
        </w:rPr>
        <w:t xml:space="preserve"> </w:t>
      </w:r>
      <w:r>
        <w:t>group identified</w:t>
      </w:r>
      <w:r>
        <w:rPr>
          <w:spacing w:val="-3"/>
        </w:rPr>
        <w:t xml:space="preserve"> </w:t>
      </w:r>
      <w:r>
        <w:t>as</w:t>
      </w:r>
      <w:r>
        <w:rPr>
          <w:spacing w:val="-1"/>
        </w:rPr>
        <w:t xml:space="preserve"> </w:t>
      </w:r>
      <w:r>
        <w:t>the</w:t>
      </w:r>
      <w:r>
        <w:rPr>
          <w:spacing w:val="-2"/>
        </w:rPr>
        <w:t xml:space="preserve"> </w:t>
      </w:r>
      <w:r>
        <w:t>most</w:t>
      </w:r>
      <w:r>
        <w:rPr>
          <w:spacing w:val="-3"/>
        </w:rPr>
        <w:t xml:space="preserve"> </w:t>
      </w:r>
      <w:r>
        <w:t>prevalent</w:t>
      </w:r>
      <w:r>
        <w:rPr>
          <w:spacing w:val="-1"/>
        </w:rPr>
        <w:t xml:space="preserve"> </w:t>
      </w:r>
      <w:r>
        <w:t>ESBL</w:t>
      </w:r>
      <w:r>
        <w:rPr>
          <w:spacing w:val="-1"/>
        </w:rPr>
        <w:t xml:space="preserve"> </w:t>
      </w:r>
      <w:r>
        <w:t xml:space="preserve">genes. These studies collectively </w:t>
      </w:r>
      <w:proofErr w:type="spellStart"/>
      <w:r>
        <w:t>emphasise</w:t>
      </w:r>
      <w:proofErr w:type="spellEnd"/>
      <w:r>
        <w:t xml:space="preserve"> the widespre</w:t>
      </w:r>
      <w:r>
        <w:t xml:space="preserve">ad presence of ESBL genes, posing a considerable threat to </w:t>
      </w:r>
      <w:proofErr w:type="spellStart"/>
      <w:r>
        <w:t>uropathogens</w:t>
      </w:r>
      <w:proofErr w:type="spellEnd"/>
      <w:r>
        <w:t xml:space="preserve"> in UTIs in children and teenagers.</w:t>
      </w:r>
    </w:p>
    <w:p w:rsidR="00B84776" w:rsidRDefault="00C65940">
      <w:pPr>
        <w:pStyle w:val="BodyText"/>
        <w:spacing w:line="360" w:lineRule="auto"/>
        <w:ind w:right="97"/>
      </w:pPr>
      <w:r>
        <w:t>In Europe, surveillance data from the European Centre for Disease Prevention and Control (ECDC) reveal rising rates of ESBL-producing Escherichia col</w:t>
      </w:r>
      <w:r>
        <w:t>i among pediatric UTI cases, particularly in southern and eastern Europe (19). In Italy and Spain, the prevalence of ESBL producers among pediatric isolates ranges between 20% and 40% (20).</w:t>
      </w:r>
    </w:p>
    <w:p w:rsidR="00B84776" w:rsidRDefault="00C65940">
      <w:pPr>
        <w:pStyle w:val="BodyText"/>
        <w:spacing w:line="360" w:lineRule="auto"/>
        <w:ind w:right="97"/>
      </w:pPr>
      <w:r>
        <w:t>In Asia, the burden is even greater. Studies from India, Pakistan,</w:t>
      </w:r>
      <w:r>
        <w:t xml:space="preserve"> and China have reported ESBL prevalence rates exceeding 60% among pediatric </w:t>
      </w:r>
      <w:proofErr w:type="spellStart"/>
      <w:r>
        <w:t>uropathogens</w:t>
      </w:r>
      <w:proofErr w:type="spellEnd"/>
      <w:r>
        <w:t>, with CTX-M-15 emerging as the dominant genotype. This is compounded by widespread over-the-counter antibiotic use, limited regulation, and inadequate antimicrobial s</w:t>
      </w:r>
      <w:r>
        <w:t>tewardship (21).</w:t>
      </w:r>
    </w:p>
    <w:p w:rsidR="00B84776" w:rsidRDefault="00C65940">
      <w:pPr>
        <w:pStyle w:val="BodyText"/>
        <w:spacing w:line="360" w:lineRule="auto"/>
        <w:ind w:right="98"/>
      </w:pPr>
      <w:r>
        <w:t>Sub-Saharan Africa presents a</w:t>
      </w:r>
      <w:r>
        <w:rPr>
          <w:spacing w:val="-1"/>
        </w:rPr>
        <w:t xml:space="preserve"> </w:t>
      </w:r>
      <w:r>
        <w:t>particularly alarming picture</w:t>
      </w:r>
      <w:r>
        <w:rPr>
          <w:spacing w:val="-1"/>
        </w:rPr>
        <w:t xml:space="preserve"> </w:t>
      </w:r>
      <w:r>
        <w:t>due</w:t>
      </w:r>
      <w:r>
        <w:rPr>
          <w:spacing w:val="-1"/>
        </w:rPr>
        <w:t xml:space="preserve"> </w:t>
      </w:r>
      <w:r>
        <w:t>to the</w:t>
      </w:r>
      <w:r>
        <w:rPr>
          <w:spacing w:val="-1"/>
        </w:rPr>
        <w:t xml:space="preserve"> </w:t>
      </w:r>
      <w:r>
        <w:t>convergence of poor sanitation, high infectious disease burden, and weak laboratory diagnostic networks. Data from Nigeria, Kenya and Burkina Faso indicate ESBL prevale</w:t>
      </w:r>
      <w:r>
        <w:t>nce</w:t>
      </w:r>
      <w:r>
        <w:rPr>
          <w:spacing w:val="40"/>
        </w:rPr>
        <w:t xml:space="preserve"> </w:t>
      </w:r>
      <w:r>
        <w:t xml:space="preserve">rates of 40–70% in pediatric UTIs (22, 23, 24). A recent study in Lagos showed that over 75% of Gram-negative </w:t>
      </w:r>
      <w:proofErr w:type="spellStart"/>
      <w:r>
        <w:t>uropathogens</w:t>
      </w:r>
      <w:proofErr w:type="spellEnd"/>
      <w:r>
        <w:t xml:space="preserve"> </w:t>
      </w:r>
      <w:proofErr w:type="spellStart"/>
      <w:r>
        <w:t>harboured</w:t>
      </w:r>
      <w:proofErr w:type="spellEnd"/>
      <w:r>
        <w:t xml:space="preserve"> at least one ESBL gene, underscoring the magnitude of the problem (5).</w:t>
      </w:r>
    </w:p>
    <w:p w:rsidR="00B84776" w:rsidRDefault="00C65940">
      <w:pPr>
        <w:pStyle w:val="BodyText"/>
        <w:spacing w:line="360" w:lineRule="auto"/>
        <w:ind w:right="99"/>
      </w:pPr>
      <w:r>
        <w:t>In the Americas, while the prevalence of ESBL pr</w:t>
      </w:r>
      <w:r>
        <w:t xml:space="preserve">oducers is lower in North America due to stronger regulatory frameworks, outbreaks of multidrug-resistant Klebsiella pneumoniae in neonatal intensive care units (NICUs) highlight the vulnerability of </w:t>
      </w:r>
      <w:proofErr w:type="spellStart"/>
      <w:r>
        <w:t>hospitalised</w:t>
      </w:r>
      <w:proofErr w:type="spellEnd"/>
      <w:r>
        <w:t xml:space="preserve"> infants (25). In Latin America, countries s</w:t>
      </w:r>
      <w:r>
        <w:t>uch as Brazil and Argentina report prevalence rates of 30–50% among pediatric UTI pathogens (26, 27).</w:t>
      </w:r>
    </w:p>
    <w:p w:rsidR="00B84776" w:rsidRDefault="00C65940">
      <w:pPr>
        <w:pStyle w:val="BodyText"/>
        <w:spacing w:line="360" w:lineRule="auto"/>
        <w:ind w:right="99"/>
      </w:pPr>
      <w:r>
        <w:t>Global data also demonstrate a trend toward the spread of community-onset ESBL infections in children, challenging the historical notion that such infecti</w:t>
      </w:r>
      <w:r>
        <w:t>ons were confined</w:t>
      </w:r>
      <w:r>
        <w:rPr>
          <w:spacing w:val="39"/>
        </w:rPr>
        <w:t xml:space="preserve"> </w:t>
      </w:r>
      <w:r>
        <w:t>to</w:t>
      </w:r>
      <w:r>
        <w:rPr>
          <w:spacing w:val="38"/>
        </w:rPr>
        <w:t xml:space="preserve"> </w:t>
      </w:r>
      <w:r>
        <w:t>hospitals</w:t>
      </w:r>
      <w:r>
        <w:rPr>
          <w:spacing w:val="40"/>
        </w:rPr>
        <w:t xml:space="preserve"> </w:t>
      </w:r>
      <w:r>
        <w:t>(28).</w:t>
      </w:r>
      <w:r>
        <w:rPr>
          <w:spacing w:val="43"/>
        </w:rPr>
        <w:t xml:space="preserve"> </w:t>
      </w:r>
      <w:r>
        <w:t>The</w:t>
      </w:r>
      <w:r>
        <w:rPr>
          <w:spacing w:val="38"/>
        </w:rPr>
        <w:t xml:space="preserve"> </w:t>
      </w:r>
      <w:r>
        <w:t>mobility</w:t>
      </w:r>
      <w:r>
        <w:rPr>
          <w:spacing w:val="41"/>
        </w:rPr>
        <w:t xml:space="preserve"> </w:t>
      </w:r>
      <w:r>
        <w:t>of</w:t>
      </w:r>
      <w:r>
        <w:rPr>
          <w:spacing w:val="41"/>
        </w:rPr>
        <w:t xml:space="preserve"> </w:t>
      </w:r>
      <w:r>
        <w:t>resistance</w:t>
      </w:r>
      <w:r>
        <w:rPr>
          <w:spacing w:val="40"/>
        </w:rPr>
        <w:t xml:space="preserve"> </w:t>
      </w:r>
      <w:r>
        <w:t>genes</w:t>
      </w:r>
      <w:r>
        <w:rPr>
          <w:spacing w:val="42"/>
        </w:rPr>
        <w:t xml:space="preserve"> </w:t>
      </w:r>
      <w:r>
        <w:t>via</w:t>
      </w:r>
      <w:r>
        <w:rPr>
          <w:spacing w:val="40"/>
        </w:rPr>
        <w:t xml:space="preserve"> </w:t>
      </w:r>
      <w:r>
        <w:t>plasmids,</w:t>
      </w:r>
      <w:r>
        <w:rPr>
          <w:spacing w:val="39"/>
        </w:rPr>
        <w:t xml:space="preserve"> </w:t>
      </w:r>
      <w:r>
        <w:rPr>
          <w:spacing w:val="-2"/>
        </w:rPr>
        <w:t>coupled</w:t>
      </w:r>
    </w:p>
    <w:p w:rsidR="00B84776" w:rsidRDefault="00B84776">
      <w:pPr>
        <w:pStyle w:val="BodyText"/>
        <w:spacing w:line="360" w:lineRule="auto"/>
        <w:sectPr w:rsidR="00B84776">
          <w:pgSz w:w="11910" w:h="16840"/>
          <w:pgMar w:top="1360" w:right="1700" w:bottom="280" w:left="1700" w:header="720" w:footer="720" w:gutter="0"/>
          <w:cols w:space="720"/>
        </w:sectPr>
      </w:pPr>
    </w:p>
    <w:p w:rsidR="00B84776" w:rsidRDefault="00C65940">
      <w:pPr>
        <w:pStyle w:val="BodyText"/>
        <w:spacing w:before="62" w:line="360" w:lineRule="auto"/>
        <w:ind w:right="99"/>
      </w:pPr>
      <w:r>
        <w:lastRenderedPageBreak/>
        <w:t>with global travel and agricultural antibiotic use, facilitates cross-border</w:t>
      </w:r>
      <w:r>
        <w:rPr>
          <w:spacing w:val="40"/>
        </w:rPr>
        <w:t xml:space="preserve"> </w:t>
      </w:r>
      <w:r>
        <w:t>dissemination (29, 30).</w:t>
      </w:r>
    </w:p>
    <w:p w:rsidR="00B84776" w:rsidRDefault="00C65940">
      <w:pPr>
        <w:pStyle w:val="BodyText"/>
        <w:spacing w:line="360" w:lineRule="auto"/>
        <w:ind w:right="96"/>
      </w:pPr>
      <w:r>
        <w:t xml:space="preserve">These findings point to a clear need for global </w:t>
      </w:r>
      <w:r>
        <w:t>coordination in surveillance, improved antimicrobial stewardship in pediatric care, and equitable access to diagnostic tools and effective antimicrobials. In the sections that follow, we delve deeper into the molecular mechanisms underpinning ESBL producti</w:t>
      </w:r>
      <w:r>
        <w:t>on and their clinical</w:t>
      </w:r>
      <w:r>
        <w:rPr>
          <w:spacing w:val="40"/>
        </w:rPr>
        <w:t xml:space="preserve"> </w:t>
      </w:r>
      <w:r>
        <w:t>consequences in pediatric populations.</w:t>
      </w:r>
    </w:p>
    <w:p w:rsidR="00B84776" w:rsidRDefault="00B84776">
      <w:pPr>
        <w:pStyle w:val="BodyText"/>
        <w:ind w:left="0"/>
        <w:jc w:val="left"/>
      </w:pPr>
    </w:p>
    <w:p w:rsidR="00B84776" w:rsidRDefault="00B84776">
      <w:pPr>
        <w:pStyle w:val="BodyText"/>
        <w:ind w:left="0"/>
        <w:jc w:val="left"/>
      </w:pPr>
    </w:p>
    <w:p w:rsidR="00B84776" w:rsidRDefault="00B84776">
      <w:pPr>
        <w:pStyle w:val="BodyText"/>
        <w:spacing w:before="239"/>
        <w:ind w:left="0"/>
        <w:jc w:val="left"/>
      </w:pPr>
    </w:p>
    <w:p w:rsidR="00B84776" w:rsidRDefault="00C65940">
      <w:pPr>
        <w:pStyle w:val="Heading1"/>
        <w:numPr>
          <w:ilvl w:val="0"/>
          <w:numId w:val="1"/>
        </w:numPr>
        <w:tabs>
          <w:tab w:val="left" w:pos="340"/>
        </w:tabs>
      </w:pPr>
      <w:r>
        <w:t>REGIONAL</w:t>
      </w:r>
      <w:r>
        <w:rPr>
          <w:spacing w:val="-6"/>
        </w:rPr>
        <w:t xml:space="preserve"> </w:t>
      </w:r>
      <w:r>
        <w:t>FOCUS:</w:t>
      </w:r>
      <w:r>
        <w:rPr>
          <w:spacing w:val="-4"/>
        </w:rPr>
        <w:t xml:space="preserve"> </w:t>
      </w:r>
      <w:r>
        <w:t>NIGERIA</w:t>
      </w:r>
      <w:r>
        <w:rPr>
          <w:spacing w:val="-4"/>
        </w:rPr>
        <w:t xml:space="preserve"> </w:t>
      </w:r>
      <w:r>
        <w:t>AND</w:t>
      </w:r>
      <w:r>
        <w:rPr>
          <w:spacing w:val="-3"/>
        </w:rPr>
        <w:t xml:space="preserve"> </w:t>
      </w:r>
      <w:r>
        <w:t>SUB-SAHARAN</w:t>
      </w:r>
      <w:r>
        <w:rPr>
          <w:spacing w:val="-3"/>
        </w:rPr>
        <w:t xml:space="preserve"> </w:t>
      </w:r>
      <w:r>
        <w:rPr>
          <w:spacing w:val="-2"/>
        </w:rPr>
        <w:t>AFRICA</w:t>
      </w:r>
    </w:p>
    <w:p w:rsidR="00B84776" w:rsidRDefault="00C65940">
      <w:pPr>
        <w:pStyle w:val="BodyText"/>
        <w:spacing w:before="137" w:line="360" w:lineRule="auto"/>
        <w:ind w:right="40"/>
      </w:pPr>
      <w:r>
        <w:t>Sub-Saharan Africa, particularly Nigeria, faces a disproportionate burden of antimicrobial resistance (AMR) due to systemic healthcare challenges</w:t>
      </w:r>
      <w:r>
        <w:t>, high infectious disease</w:t>
      </w:r>
      <w:r>
        <w:rPr>
          <w:spacing w:val="-1"/>
        </w:rPr>
        <w:t xml:space="preserve"> </w:t>
      </w:r>
      <w:r>
        <w:t>prevalence, and the</w:t>
      </w:r>
      <w:r>
        <w:rPr>
          <w:spacing w:val="-1"/>
        </w:rPr>
        <w:t xml:space="preserve"> </w:t>
      </w:r>
      <w:r>
        <w:t>widespread availability of</w:t>
      </w:r>
      <w:r>
        <w:rPr>
          <w:spacing w:val="-1"/>
        </w:rPr>
        <w:t xml:space="preserve"> </w:t>
      </w:r>
      <w:r>
        <w:t>over-the-counter</w:t>
      </w:r>
      <w:r>
        <w:rPr>
          <w:spacing w:val="-1"/>
        </w:rPr>
        <w:t xml:space="preserve"> </w:t>
      </w:r>
      <w:r>
        <w:t xml:space="preserve">antibiotics (31, 32). The region's pediatric population is especially vulnerable, and emerging evidence suggests that ESBL-producing </w:t>
      </w:r>
      <w:proofErr w:type="spellStart"/>
      <w:r>
        <w:t>uropathogens</w:t>
      </w:r>
      <w:proofErr w:type="spellEnd"/>
      <w:r>
        <w:t xml:space="preserve"> are alarmingly preva</w:t>
      </w:r>
      <w:r>
        <w:t>lent among children with UTIs (33).</w:t>
      </w:r>
    </w:p>
    <w:p w:rsidR="00B84776" w:rsidRDefault="00B84776">
      <w:pPr>
        <w:pStyle w:val="BodyText"/>
        <w:ind w:left="0"/>
        <w:jc w:val="left"/>
      </w:pPr>
    </w:p>
    <w:p w:rsidR="00B84776" w:rsidRDefault="00B84776">
      <w:pPr>
        <w:pStyle w:val="BodyText"/>
        <w:ind w:left="0"/>
        <w:jc w:val="left"/>
      </w:pPr>
    </w:p>
    <w:p w:rsidR="00B84776" w:rsidRDefault="00B84776">
      <w:pPr>
        <w:pStyle w:val="BodyText"/>
        <w:ind w:left="0"/>
        <w:jc w:val="left"/>
      </w:pPr>
    </w:p>
    <w:p w:rsidR="00B84776" w:rsidRDefault="00B84776">
      <w:pPr>
        <w:pStyle w:val="BodyText"/>
        <w:spacing w:before="139"/>
        <w:ind w:left="0"/>
        <w:jc w:val="left"/>
      </w:pPr>
    </w:p>
    <w:p w:rsidR="00B84776" w:rsidRDefault="00C65940">
      <w:pPr>
        <w:pStyle w:val="Heading2"/>
        <w:numPr>
          <w:ilvl w:val="1"/>
          <w:numId w:val="1"/>
        </w:numPr>
        <w:tabs>
          <w:tab w:val="left" w:pos="460"/>
        </w:tabs>
      </w:pPr>
      <w:r>
        <w:t>Prevalence</w:t>
      </w:r>
      <w:r>
        <w:rPr>
          <w:spacing w:val="-3"/>
        </w:rPr>
        <w:t xml:space="preserve"> </w:t>
      </w:r>
      <w:r>
        <w:t>and</w:t>
      </w:r>
      <w:r>
        <w:rPr>
          <w:spacing w:val="-3"/>
        </w:rPr>
        <w:t xml:space="preserve"> </w:t>
      </w:r>
      <w:r>
        <w:t>Clinical</w:t>
      </w:r>
      <w:r>
        <w:rPr>
          <w:spacing w:val="-2"/>
        </w:rPr>
        <w:t xml:space="preserve"> </w:t>
      </w:r>
      <w:r>
        <w:t>Trends</w:t>
      </w:r>
      <w:r>
        <w:rPr>
          <w:spacing w:val="-4"/>
        </w:rPr>
        <w:t xml:space="preserve"> </w:t>
      </w:r>
      <w:r>
        <w:t>in</w:t>
      </w:r>
      <w:r>
        <w:rPr>
          <w:spacing w:val="-1"/>
        </w:rPr>
        <w:t xml:space="preserve"> </w:t>
      </w:r>
      <w:r>
        <w:rPr>
          <w:spacing w:val="-2"/>
        </w:rPr>
        <w:t>Nigeria</w:t>
      </w:r>
    </w:p>
    <w:p w:rsidR="00B84776" w:rsidRDefault="00B84776">
      <w:pPr>
        <w:pStyle w:val="BodyText"/>
        <w:ind w:left="0"/>
        <w:jc w:val="left"/>
        <w:rPr>
          <w:b/>
        </w:rPr>
      </w:pPr>
    </w:p>
    <w:p w:rsidR="00B84776" w:rsidRDefault="00B84776">
      <w:pPr>
        <w:pStyle w:val="BodyText"/>
        <w:ind w:left="0"/>
        <w:jc w:val="left"/>
        <w:rPr>
          <w:b/>
        </w:rPr>
      </w:pPr>
    </w:p>
    <w:p w:rsidR="00B84776" w:rsidRDefault="00C65940">
      <w:pPr>
        <w:pStyle w:val="BodyText"/>
        <w:spacing w:line="360" w:lineRule="auto"/>
        <w:ind w:right="99"/>
      </w:pPr>
      <w:r>
        <w:t xml:space="preserve">Recent studies conducted in urban and semi-urban </w:t>
      </w:r>
      <w:proofErr w:type="spellStart"/>
      <w:r>
        <w:t>centres</w:t>
      </w:r>
      <w:proofErr w:type="spellEnd"/>
      <w:r>
        <w:t xml:space="preserve"> in Nigeria have</w:t>
      </w:r>
      <w:r>
        <w:rPr>
          <w:spacing w:val="40"/>
        </w:rPr>
        <w:t xml:space="preserve"> </w:t>
      </w:r>
      <w:r>
        <w:t xml:space="preserve">consistently reported high prevalence rates of ESBL-producing E. coli and K. pneumoniae in </w:t>
      </w:r>
      <w:r>
        <w:t>pediatric urine isolates. In a molecular surveillance study in Lagos,</w:t>
      </w:r>
      <w:r>
        <w:rPr>
          <w:spacing w:val="40"/>
        </w:rPr>
        <w:t xml:space="preserve"> </w:t>
      </w:r>
      <w:r>
        <w:t xml:space="preserve">165 urine samples were collected from children aged 0–18 years presenting with UTI symptoms. Of these, 75.5% of Gram-negative isolates were confirmed to </w:t>
      </w:r>
      <w:proofErr w:type="spellStart"/>
      <w:r>
        <w:t>harbour</w:t>
      </w:r>
      <w:proofErr w:type="spellEnd"/>
      <w:r>
        <w:t xml:space="preserve"> ESBL genes, predominantly</w:t>
      </w:r>
      <w:r>
        <w:t xml:space="preserve"> blaCTX-M-1 and </w:t>
      </w:r>
      <w:proofErr w:type="spellStart"/>
      <w:r>
        <w:t>blaTEM</w:t>
      </w:r>
      <w:proofErr w:type="spellEnd"/>
      <w:r>
        <w:t xml:space="preserve"> (</w:t>
      </w:r>
      <w:r>
        <w:rPr>
          <w:color w:val="202020"/>
        </w:rPr>
        <w:t>34</w:t>
      </w:r>
      <w:r>
        <w:t xml:space="preserve">). Similar findings have been reported in Abuja, Port Harcourt, and Enugu, pointing to a nationwide trend of increasing ESBL incidence in pediatric </w:t>
      </w:r>
      <w:proofErr w:type="spellStart"/>
      <w:r>
        <w:t>uropathogens</w:t>
      </w:r>
      <w:proofErr w:type="spellEnd"/>
      <w:r>
        <w:t xml:space="preserve"> (35, 36).</w:t>
      </w:r>
    </w:p>
    <w:p w:rsidR="00B84776" w:rsidRDefault="00B84776">
      <w:pPr>
        <w:pStyle w:val="BodyText"/>
        <w:spacing w:before="137"/>
        <w:ind w:left="0"/>
        <w:jc w:val="left"/>
      </w:pPr>
    </w:p>
    <w:p w:rsidR="00B84776" w:rsidRDefault="00C65940">
      <w:pPr>
        <w:pStyle w:val="Heading2"/>
        <w:numPr>
          <w:ilvl w:val="1"/>
          <w:numId w:val="1"/>
        </w:numPr>
        <w:tabs>
          <w:tab w:val="left" w:pos="460"/>
        </w:tabs>
      </w:pPr>
      <w:r>
        <w:t>Molecular</w:t>
      </w:r>
      <w:r>
        <w:rPr>
          <w:spacing w:val="-4"/>
        </w:rPr>
        <w:t xml:space="preserve"> </w:t>
      </w:r>
      <w:r>
        <w:t>Profiles</w:t>
      </w:r>
      <w:r>
        <w:rPr>
          <w:spacing w:val="-2"/>
        </w:rPr>
        <w:t xml:space="preserve"> </w:t>
      </w:r>
      <w:r>
        <w:t>and</w:t>
      </w:r>
      <w:r>
        <w:rPr>
          <w:spacing w:val="-4"/>
        </w:rPr>
        <w:t xml:space="preserve"> </w:t>
      </w:r>
      <w:r>
        <w:t>Resistance</w:t>
      </w:r>
      <w:r>
        <w:rPr>
          <w:spacing w:val="-1"/>
        </w:rPr>
        <w:t xml:space="preserve"> </w:t>
      </w:r>
      <w:r>
        <w:rPr>
          <w:spacing w:val="-2"/>
        </w:rPr>
        <w:t>Patterns</w:t>
      </w:r>
    </w:p>
    <w:p w:rsidR="00B84776" w:rsidRDefault="00C65940">
      <w:pPr>
        <w:pStyle w:val="BodyText"/>
        <w:spacing w:before="140" w:line="360" w:lineRule="auto"/>
        <w:ind w:right="97"/>
      </w:pPr>
      <w:r>
        <w:t>The molecular l</w:t>
      </w:r>
      <w:r>
        <w:t>andscape of ESBL-producing organisms in Nigeria mirrors global trends,</w:t>
      </w:r>
      <w:r>
        <w:rPr>
          <w:spacing w:val="54"/>
          <w:w w:val="150"/>
        </w:rPr>
        <w:t xml:space="preserve"> </w:t>
      </w:r>
      <w:r>
        <w:t>with</w:t>
      </w:r>
      <w:r>
        <w:rPr>
          <w:spacing w:val="54"/>
          <w:w w:val="150"/>
        </w:rPr>
        <w:t xml:space="preserve"> </w:t>
      </w:r>
      <w:r>
        <w:t>CTX-M-15</w:t>
      </w:r>
      <w:r>
        <w:rPr>
          <w:spacing w:val="56"/>
          <w:w w:val="150"/>
        </w:rPr>
        <w:t xml:space="preserve"> </w:t>
      </w:r>
      <w:r>
        <w:t>emerging</w:t>
      </w:r>
      <w:r>
        <w:rPr>
          <w:spacing w:val="57"/>
          <w:w w:val="150"/>
        </w:rPr>
        <w:t xml:space="preserve"> </w:t>
      </w:r>
      <w:r>
        <w:t>as</w:t>
      </w:r>
      <w:r>
        <w:rPr>
          <w:spacing w:val="54"/>
          <w:w w:val="150"/>
        </w:rPr>
        <w:t xml:space="preserve"> </w:t>
      </w:r>
      <w:r>
        <w:t>the</w:t>
      </w:r>
      <w:r>
        <w:rPr>
          <w:spacing w:val="53"/>
          <w:w w:val="150"/>
        </w:rPr>
        <w:t xml:space="preserve"> </w:t>
      </w:r>
      <w:r>
        <w:t>most</w:t>
      </w:r>
      <w:r>
        <w:rPr>
          <w:spacing w:val="55"/>
          <w:w w:val="150"/>
        </w:rPr>
        <w:t xml:space="preserve"> </w:t>
      </w:r>
      <w:r>
        <w:t>dominant</w:t>
      </w:r>
      <w:r>
        <w:rPr>
          <w:spacing w:val="54"/>
          <w:w w:val="150"/>
        </w:rPr>
        <w:t xml:space="preserve"> </w:t>
      </w:r>
      <w:r>
        <w:t>variant</w:t>
      </w:r>
      <w:r>
        <w:rPr>
          <w:spacing w:val="54"/>
          <w:w w:val="150"/>
        </w:rPr>
        <w:t xml:space="preserve"> </w:t>
      </w:r>
      <w:r>
        <w:t>(37).</w:t>
      </w:r>
      <w:r>
        <w:rPr>
          <w:spacing w:val="57"/>
          <w:w w:val="150"/>
        </w:rPr>
        <w:t xml:space="preserve"> </w:t>
      </w:r>
      <w:r>
        <w:rPr>
          <w:spacing w:val="-2"/>
        </w:rPr>
        <w:t>Plasmid</w:t>
      </w:r>
    </w:p>
    <w:p w:rsidR="00B84776" w:rsidRDefault="00B84776">
      <w:pPr>
        <w:pStyle w:val="BodyText"/>
        <w:spacing w:line="360" w:lineRule="auto"/>
        <w:sectPr w:rsidR="00B84776">
          <w:pgSz w:w="11910" w:h="16840"/>
          <w:pgMar w:top="1360" w:right="1700" w:bottom="280" w:left="1700" w:header="720" w:footer="720" w:gutter="0"/>
          <w:cols w:space="720"/>
        </w:sectPr>
      </w:pPr>
    </w:p>
    <w:p w:rsidR="00B84776" w:rsidRDefault="00C65940">
      <w:pPr>
        <w:pStyle w:val="BodyText"/>
        <w:spacing w:before="62" w:line="360" w:lineRule="auto"/>
        <w:ind w:right="97"/>
      </w:pPr>
      <w:r>
        <w:lastRenderedPageBreak/>
        <w:t>profiling reveals that blaCTX-M-1 is frequently co-located with resistance determinants for fluoroquinolones and aminoglycosides, contributing to multidrug resistance. Resistance to commonly prescribed antibiotics such as cefotaxime, ceftriaxone, and genta</w:t>
      </w:r>
      <w:r>
        <w:t xml:space="preserve">micin exceeds 70%, leaving carbapenems, </w:t>
      </w:r>
      <w:proofErr w:type="spellStart"/>
      <w:r>
        <w:t>fosfomycin</w:t>
      </w:r>
      <w:proofErr w:type="spellEnd"/>
      <w:r>
        <w:t xml:space="preserve">, and nitrofurantoin as the only reliable options in many clinical settings. However, these agents are often unavailable or unaffordable in Nigeria's public healthcare institutions </w:t>
      </w:r>
      <w:r>
        <w:rPr>
          <w:spacing w:val="-2"/>
        </w:rPr>
        <w:t>(38).</w:t>
      </w:r>
    </w:p>
    <w:p w:rsidR="00B84776" w:rsidRDefault="00B84776">
      <w:pPr>
        <w:pStyle w:val="BodyText"/>
        <w:spacing w:before="136"/>
        <w:ind w:left="0"/>
        <w:jc w:val="left"/>
      </w:pPr>
    </w:p>
    <w:p w:rsidR="00B84776" w:rsidRDefault="00C65940">
      <w:pPr>
        <w:pStyle w:val="Heading2"/>
        <w:numPr>
          <w:ilvl w:val="1"/>
          <w:numId w:val="1"/>
        </w:numPr>
        <w:tabs>
          <w:tab w:val="left" w:pos="460"/>
        </w:tabs>
      </w:pPr>
      <w:r>
        <w:t>Contributing</w:t>
      </w:r>
      <w:r>
        <w:rPr>
          <w:spacing w:val="-6"/>
        </w:rPr>
        <w:t xml:space="preserve"> </w:t>
      </w:r>
      <w:r>
        <w:t>Facto</w:t>
      </w:r>
      <w:r>
        <w:t>rs to</w:t>
      </w:r>
      <w:r>
        <w:rPr>
          <w:spacing w:val="-3"/>
        </w:rPr>
        <w:t xml:space="preserve"> </w:t>
      </w:r>
      <w:r>
        <w:t>the</w:t>
      </w:r>
      <w:r>
        <w:rPr>
          <w:spacing w:val="-1"/>
        </w:rPr>
        <w:t xml:space="preserve"> </w:t>
      </w:r>
      <w:r>
        <w:t>ESBL</w:t>
      </w:r>
      <w:r>
        <w:rPr>
          <w:spacing w:val="-4"/>
        </w:rPr>
        <w:t xml:space="preserve"> </w:t>
      </w:r>
      <w:r>
        <w:rPr>
          <w:spacing w:val="-2"/>
        </w:rPr>
        <w:t>Burden</w:t>
      </w:r>
    </w:p>
    <w:p w:rsidR="00B84776" w:rsidRDefault="00B84776">
      <w:pPr>
        <w:pStyle w:val="BodyText"/>
        <w:ind w:left="0"/>
        <w:jc w:val="left"/>
        <w:rPr>
          <w:b/>
        </w:rPr>
      </w:pPr>
    </w:p>
    <w:p w:rsidR="00B84776" w:rsidRDefault="00B84776">
      <w:pPr>
        <w:pStyle w:val="BodyText"/>
        <w:ind w:left="0"/>
        <w:jc w:val="left"/>
        <w:rPr>
          <w:b/>
        </w:rPr>
      </w:pPr>
    </w:p>
    <w:p w:rsidR="00B84776" w:rsidRDefault="00C65940">
      <w:pPr>
        <w:pStyle w:val="BodyText"/>
        <w:spacing w:line="360" w:lineRule="auto"/>
        <w:jc w:val="left"/>
      </w:pPr>
      <w:r>
        <w:t>Multiple</w:t>
      </w:r>
      <w:r>
        <w:rPr>
          <w:spacing w:val="-3"/>
        </w:rPr>
        <w:t xml:space="preserve"> </w:t>
      </w:r>
      <w:r>
        <w:t xml:space="preserve">systemic and </w:t>
      </w:r>
      <w:proofErr w:type="spellStart"/>
      <w:r>
        <w:t>behavioural</w:t>
      </w:r>
      <w:proofErr w:type="spellEnd"/>
      <w:r>
        <w:t xml:space="preserve"> factors contribute</w:t>
      </w:r>
      <w:r>
        <w:rPr>
          <w:spacing w:val="-1"/>
        </w:rPr>
        <w:t xml:space="preserve"> </w:t>
      </w:r>
      <w:r>
        <w:t>to the</w:t>
      </w:r>
      <w:r>
        <w:rPr>
          <w:spacing w:val="-3"/>
        </w:rPr>
        <w:t xml:space="preserve"> </w:t>
      </w:r>
      <w:r>
        <w:t>high prevalence of ESBLs in Nigeria. These include:</w:t>
      </w:r>
    </w:p>
    <w:p w:rsidR="00B84776" w:rsidRDefault="00C65940">
      <w:pPr>
        <w:pStyle w:val="ListParagraph"/>
        <w:numPr>
          <w:ilvl w:val="2"/>
          <w:numId w:val="1"/>
        </w:numPr>
        <w:tabs>
          <w:tab w:val="left" w:pos="520"/>
        </w:tabs>
        <w:spacing w:before="2" w:line="360" w:lineRule="auto"/>
        <w:ind w:right="100"/>
        <w:jc w:val="left"/>
        <w:rPr>
          <w:sz w:val="24"/>
        </w:rPr>
      </w:pPr>
      <w:r>
        <w:rPr>
          <w:sz w:val="24"/>
        </w:rPr>
        <w:t>Inadequate</w:t>
      </w:r>
      <w:r>
        <w:rPr>
          <w:spacing w:val="39"/>
          <w:sz w:val="24"/>
        </w:rPr>
        <w:t xml:space="preserve"> </w:t>
      </w:r>
      <w:r>
        <w:rPr>
          <w:sz w:val="24"/>
        </w:rPr>
        <w:t>diagnostic</w:t>
      </w:r>
      <w:r>
        <w:rPr>
          <w:spacing w:val="39"/>
          <w:sz w:val="24"/>
        </w:rPr>
        <w:t xml:space="preserve"> </w:t>
      </w:r>
      <w:r>
        <w:rPr>
          <w:sz w:val="24"/>
        </w:rPr>
        <w:t>infrastructure,</w:t>
      </w:r>
      <w:r>
        <w:rPr>
          <w:spacing w:val="40"/>
          <w:sz w:val="24"/>
        </w:rPr>
        <w:t xml:space="preserve"> </w:t>
      </w:r>
      <w:r>
        <w:rPr>
          <w:sz w:val="24"/>
        </w:rPr>
        <w:t>resulting</w:t>
      </w:r>
      <w:r>
        <w:rPr>
          <w:spacing w:val="38"/>
          <w:sz w:val="24"/>
        </w:rPr>
        <w:t xml:space="preserve"> </w:t>
      </w:r>
      <w:r>
        <w:rPr>
          <w:sz w:val="24"/>
        </w:rPr>
        <w:t>in</w:t>
      </w:r>
      <w:r>
        <w:rPr>
          <w:spacing w:val="40"/>
          <w:sz w:val="24"/>
        </w:rPr>
        <w:t xml:space="preserve"> </w:t>
      </w:r>
      <w:r>
        <w:rPr>
          <w:sz w:val="24"/>
        </w:rPr>
        <w:t>reliance</w:t>
      </w:r>
      <w:r>
        <w:rPr>
          <w:spacing w:val="39"/>
          <w:sz w:val="24"/>
        </w:rPr>
        <w:t xml:space="preserve"> </w:t>
      </w:r>
      <w:r>
        <w:rPr>
          <w:sz w:val="24"/>
        </w:rPr>
        <w:t>on</w:t>
      </w:r>
      <w:r>
        <w:rPr>
          <w:spacing w:val="40"/>
          <w:sz w:val="24"/>
        </w:rPr>
        <w:t xml:space="preserve"> </w:t>
      </w:r>
      <w:r>
        <w:rPr>
          <w:sz w:val="24"/>
        </w:rPr>
        <w:t>empirical</w:t>
      </w:r>
      <w:r>
        <w:rPr>
          <w:spacing w:val="40"/>
          <w:sz w:val="24"/>
        </w:rPr>
        <w:t xml:space="preserve"> </w:t>
      </w:r>
      <w:r>
        <w:rPr>
          <w:sz w:val="24"/>
        </w:rPr>
        <w:t xml:space="preserve">therapy </w:t>
      </w:r>
      <w:r>
        <w:rPr>
          <w:spacing w:val="-2"/>
          <w:sz w:val="24"/>
        </w:rPr>
        <w:t>(39).</w:t>
      </w:r>
    </w:p>
    <w:p w:rsidR="00B84776" w:rsidRDefault="00C65940">
      <w:pPr>
        <w:pStyle w:val="ListParagraph"/>
        <w:numPr>
          <w:ilvl w:val="2"/>
          <w:numId w:val="1"/>
        </w:numPr>
        <w:tabs>
          <w:tab w:val="left" w:pos="520"/>
        </w:tabs>
        <w:spacing w:line="360" w:lineRule="auto"/>
        <w:ind w:right="100"/>
        <w:jc w:val="left"/>
        <w:rPr>
          <w:sz w:val="24"/>
        </w:rPr>
      </w:pPr>
      <w:r>
        <w:rPr>
          <w:sz w:val="24"/>
        </w:rPr>
        <w:t>Poor</w:t>
      </w:r>
      <w:r>
        <w:rPr>
          <w:spacing w:val="40"/>
          <w:sz w:val="24"/>
        </w:rPr>
        <w:t xml:space="preserve"> </w:t>
      </w:r>
      <w:r>
        <w:rPr>
          <w:sz w:val="24"/>
        </w:rPr>
        <w:t>regulation</w:t>
      </w:r>
      <w:r>
        <w:rPr>
          <w:spacing w:val="40"/>
          <w:sz w:val="24"/>
        </w:rPr>
        <w:t xml:space="preserve"> </w:t>
      </w:r>
      <w:r>
        <w:rPr>
          <w:sz w:val="24"/>
        </w:rPr>
        <w:t>of</w:t>
      </w:r>
      <w:r>
        <w:rPr>
          <w:spacing w:val="40"/>
          <w:sz w:val="24"/>
        </w:rPr>
        <w:t xml:space="preserve"> </w:t>
      </w:r>
      <w:r>
        <w:rPr>
          <w:sz w:val="24"/>
        </w:rPr>
        <w:t>antibiotic</w:t>
      </w:r>
      <w:r>
        <w:rPr>
          <w:spacing w:val="40"/>
          <w:sz w:val="24"/>
        </w:rPr>
        <w:t xml:space="preserve"> </w:t>
      </w:r>
      <w:r>
        <w:rPr>
          <w:sz w:val="24"/>
        </w:rPr>
        <w:t>sales,</w:t>
      </w:r>
      <w:r>
        <w:rPr>
          <w:spacing w:val="40"/>
          <w:sz w:val="24"/>
        </w:rPr>
        <w:t xml:space="preserve"> </w:t>
      </w:r>
      <w:r>
        <w:rPr>
          <w:sz w:val="24"/>
        </w:rPr>
        <w:t>leading</w:t>
      </w:r>
      <w:r>
        <w:rPr>
          <w:spacing w:val="40"/>
          <w:sz w:val="24"/>
        </w:rPr>
        <w:t xml:space="preserve"> </w:t>
      </w:r>
      <w:r>
        <w:rPr>
          <w:sz w:val="24"/>
        </w:rPr>
        <w:t>to</w:t>
      </w:r>
      <w:r>
        <w:rPr>
          <w:spacing w:val="40"/>
          <w:sz w:val="24"/>
        </w:rPr>
        <w:t xml:space="preserve"> </w:t>
      </w:r>
      <w:r>
        <w:rPr>
          <w:sz w:val="24"/>
        </w:rPr>
        <w:t>widespread</w:t>
      </w:r>
      <w:r>
        <w:rPr>
          <w:spacing w:val="40"/>
          <w:sz w:val="24"/>
        </w:rPr>
        <w:t xml:space="preserve"> </w:t>
      </w:r>
      <w:r>
        <w:rPr>
          <w:sz w:val="24"/>
        </w:rPr>
        <w:t>self-medication</w:t>
      </w:r>
      <w:r>
        <w:rPr>
          <w:spacing w:val="40"/>
          <w:sz w:val="24"/>
        </w:rPr>
        <w:t xml:space="preserve"> </w:t>
      </w:r>
      <w:r>
        <w:rPr>
          <w:sz w:val="24"/>
        </w:rPr>
        <w:t>and overuse (40).</w:t>
      </w:r>
    </w:p>
    <w:p w:rsidR="00B84776" w:rsidRDefault="00C65940">
      <w:pPr>
        <w:pStyle w:val="ListParagraph"/>
        <w:numPr>
          <w:ilvl w:val="2"/>
          <w:numId w:val="1"/>
        </w:numPr>
        <w:tabs>
          <w:tab w:val="left" w:pos="520"/>
        </w:tabs>
        <w:spacing w:line="360" w:lineRule="auto"/>
        <w:ind w:right="100"/>
        <w:jc w:val="left"/>
        <w:rPr>
          <w:sz w:val="24"/>
        </w:rPr>
      </w:pPr>
      <w:r>
        <w:rPr>
          <w:sz w:val="24"/>
        </w:rPr>
        <w:t>Lack</w:t>
      </w:r>
      <w:r>
        <w:rPr>
          <w:spacing w:val="40"/>
          <w:sz w:val="24"/>
        </w:rPr>
        <w:t xml:space="preserve"> </w:t>
      </w:r>
      <w:r>
        <w:rPr>
          <w:sz w:val="24"/>
        </w:rPr>
        <w:t>of</w:t>
      </w:r>
      <w:r>
        <w:rPr>
          <w:spacing w:val="40"/>
          <w:sz w:val="24"/>
        </w:rPr>
        <w:t xml:space="preserve"> </w:t>
      </w:r>
      <w:r>
        <w:rPr>
          <w:sz w:val="24"/>
        </w:rPr>
        <w:t>pediatric-specific</w:t>
      </w:r>
      <w:r>
        <w:rPr>
          <w:spacing w:val="40"/>
          <w:sz w:val="24"/>
        </w:rPr>
        <w:t xml:space="preserve"> </w:t>
      </w:r>
      <w:r>
        <w:rPr>
          <w:sz w:val="24"/>
        </w:rPr>
        <w:t>antimicrobial</w:t>
      </w:r>
      <w:r>
        <w:rPr>
          <w:spacing w:val="40"/>
          <w:sz w:val="24"/>
        </w:rPr>
        <w:t xml:space="preserve"> </w:t>
      </w:r>
      <w:r>
        <w:rPr>
          <w:sz w:val="24"/>
        </w:rPr>
        <w:t>stewardship</w:t>
      </w:r>
      <w:r>
        <w:rPr>
          <w:spacing w:val="40"/>
          <w:sz w:val="24"/>
        </w:rPr>
        <w:t xml:space="preserve"> </w:t>
      </w:r>
      <w:r>
        <w:rPr>
          <w:sz w:val="24"/>
        </w:rPr>
        <w:t>programs,</w:t>
      </w:r>
      <w:r>
        <w:rPr>
          <w:spacing w:val="40"/>
          <w:sz w:val="24"/>
        </w:rPr>
        <w:t xml:space="preserve"> </w:t>
      </w:r>
      <w:r>
        <w:rPr>
          <w:sz w:val="24"/>
        </w:rPr>
        <w:t>particularly</w:t>
      </w:r>
      <w:r>
        <w:rPr>
          <w:spacing w:val="40"/>
          <w:sz w:val="24"/>
        </w:rPr>
        <w:t xml:space="preserve"> </w:t>
      </w:r>
      <w:r>
        <w:rPr>
          <w:sz w:val="24"/>
        </w:rPr>
        <w:t>in primary and secondary care settings (41).</w:t>
      </w:r>
    </w:p>
    <w:p w:rsidR="00B84776" w:rsidRDefault="00C65940">
      <w:pPr>
        <w:pStyle w:val="ListParagraph"/>
        <w:numPr>
          <w:ilvl w:val="2"/>
          <w:numId w:val="1"/>
        </w:numPr>
        <w:tabs>
          <w:tab w:val="left" w:pos="520"/>
        </w:tabs>
        <w:spacing w:line="360" w:lineRule="auto"/>
        <w:ind w:right="98"/>
        <w:jc w:val="left"/>
        <w:rPr>
          <w:sz w:val="24"/>
        </w:rPr>
      </w:pPr>
      <w:r>
        <w:rPr>
          <w:sz w:val="24"/>
        </w:rPr>
        <w:t>Suboptimal</w:t>
      </w:r>
      <w:r>
        <w:rPr>
          <w:spacing w:val="40"/>
          <w:sz w:val="24"/>
        </w:rPr>
        <w:t xml:space="preserve"> </w:t>
      </w:r>
      <w:r>
        <w:rPr>
          <w:sz w:val="24"/>
        </w:rPr>
        <w:t>infection</w:t>
      </w:r>
      <w:r>
        <w:rPr>
          <w:spacing w:val="40"/>
          <w:sz w:val="24"/>
        </w:rPr>
        <w:t xml:space="preserve"> </w:t>
      </w:r>
      <w:r>
        <w:rPr>
          <w:sz w:val="24"/>
        </w:rPr>
        <w:t>control</w:t>
      </w:r>
      <w:r>
        <w:rPr>
          <w:spacing w:val="40"/>
          <w:sz w:val="24"/>
        </w:rPr>
        <w:t xml:space="preserve"> </w:t>
      </w:r>
      <w:r>
        <w:rPr>
          <w:sz w:val="24"/>
        </w:rPr>
        <w:t>practices</w:t>
      </w:r>
      <w:r>
        <w:rPr>
          <w:spacing w:val="40"/>
          <w:sz w:val="24"/>
        </w:rPr>
        <w:t xml:space="preserve"> </w:t>
      </w:r>
      <w:r>
        <w:rPr>
          <w:sz w:val="24"/>
        </w:rPr>
        <w:t>in</w:t>
      </w:r>
      <w:r>
        <w:rPr>
          <w:spacing w:val="40"/>
          <w:sz w:val="24"/>
        </w:rPr>
        <w:t xml:space="preserve"> </w:t>
      </w:r>
      <w:r>
        <w:rPr>
          <w:sz w:val="24"/>
        </w:rPr>
        <w:t>both</w:t>
      </w:r>
      <w:r>
        <w:rPr>
          <w:spacing w:val="40"/>
          <w:sz w:val="24"/>
        </w:rPr>
        <w:t xml:space="preserve"> </w:t>
      </w:r>
      <w:r>
        <w:rPr>
          <w:sz w:val="24"/>
        </w:rPr>
        <w:t>outpatient</w:t>
      </w:r>
      <w:r>
        <w:rPr>
          <w:spacing w:val="40"/>
          <w:sz w:val="24"/>
        </w:rPr>
        <w:t xml:space="preserve"> </w:t>
      </w:r>
      <w:r>
        <w:rPr>
          <w:sz w:val="24"/>
        </w:rPr>
        <w:t>clinics</w:t>
      </w:r>
      <w:r>
        <w:rPr>
          <w:spacing w:val="40"/>
          <w:sz w:val="24"/>
        </w:rPr>
        <w:t xml:space="preserve"> </w:t>
      </w:r>
      <w:r>
        <w:rPr>
          <w:sz w:val="24"/>
        </w:rPr>
        <w:t>and</w:t>
      </w:r>
      <w:r>
        <w:rPr>
          <w:spacing w:val="40"/>
          <w:sz w:val="24"/>
        </w:rPr>
        <w:t xml:space="preserve"> </w:t>
      </w:r>
      <w:r>
        <w:rPr>
          <w:sz w:val="24"/>
        </w:rPr>
        <w:t>hospital wards (42).</w:t>
      </w:r>
    </w:p>
    <w:p w:rsidR="00B84776" w:rsidRDefault="00C65940">
      <w:pPr>
        <w:pStyle w:val="ListParagraph"/>
        <w:numPr>
          <w:ilvl w:val="2"/>
          <w:numId w:val="1"/>
        </w:numPr>
        <w:tabs>
          <w:tab w:val="left" w:pos="519"/>
        </w:tabs>
        <w:spacing w:before="1"/>
        <w:ind w:left="519" w:hanging="419"/>
        <w:jc w:val="left"/>
        <w:rPr>
          <w:sz w:val="24"/>
        </w:rPr>
      </w:pPr>
      <w:r>
        <w:rPr>
          <w:sz w:val="24"/>
        </w:rPr>
        <w:t>High</w:t>
      </w:r>
      <w:r>
        <w:rPr>
          <w:spacing w:val="-3"/>
          <w:sz w:val="24"/>
        </w:rPr>
        <w:t xml:space="preserve"> </w:t>
      </w:r>
      <w:r>
        <w:rPr>
          <w:sz w:val="24"/>
        </w:rPr>
        <w:t>patient-to-clinician</w:t>
      </w:r>
      <w:r>
        <w:rPr>
          <w:spacing w:val="-3"/>
          <w:sz w:val="24"/>
        </w:rPr>
        <w:t xml:space="preserve"> </w:t>
      </w:r>
      <w:r>
        <w:rPr>
          <w:sz w:val="24"/>
        </w:rPr>
        <w:t>ratios</w:t>
      </w:r>
      <w:r>
        <w:rPr>
          <w:spacing w:val="-1"/>
          <w:sz w:val="24"/>
        </w:rPr>
        <w:t xml:space="preserve"> </w:t>
      </w:r>
      <w:r>
        <w:rPr>
          <w:sz w:val="24"/>
        </w:rPr>
        <w:t>reduce</w:t>
      </w:r>
      <w:r>
        <w:rPr>
          <w:spacing w:val="-1"/>
          <w:sz w:val="24"/>
        </w:rPr>
        <w:t xml:space="preserve"> </w:t>
      </w:r>
      <w:r>
        <w:rPr>
          <w:sz w:val="24"/>
        </w:rPr>
        <w:t>the</w:t>
      </w:r>
      <w:r>
        <w:rPr>
          <w:spacing w:val="-4"/>
          <w:sz w:val="24"/>
        </w:rPr>
        <w:t xml:space="preserve"> </w:t>
      </w:r>
      <w:r>
        <w:rPr>
          <w:sz w:val="24"/>
        </w:rPr>
        <w:t>feasibility</w:t>
      </w:r>
      <w:r>
        <w:rPr>
          <w:spacing w:val="-3"/>
          <w:sz w:val="24"/>
        </w:rPr>
        <w:t xml:space="preserve"> </w:t>
      </w:r>
      <w:r>
        <w:rPr>
          <w:sz w:val="24"/>
        </w:rPr>
        <w:t>of</w:t>
      </w:r>
      <w:r>
        <w:rPr>
          <w:spacing w:val="-1"/>
          <w:sz w:val="24"/>
        </w:rPr>
        <w:t xml:space="preserve"> </w:t>
      </w:r>
      <w:proofErr w:type="spellStart"/>
      <w:r>
        <w:rPr>
          <w:sz w:val="24"/>
        </w:rPr>
        <w:t>individualised</w:t>
      </w:r>
      <w:proofErr w:type="spellEnd"/>
      <w:r>
        <w:rPr>
          <w:spacing w:val="-3"/>
          <w:sz w:val="24"/>
        </w:rPr>
        <w:t xml:space="preserve"> </w:t>
      </w:r>
      <w:r>
        <w:rPr>
          <w:sz w:val="24"/>
        </w:rPr>
        <w:t>care</w:t>
      </w:r>
      <w:r>
        <w:rPr>
          <w:spacing w:val="-3"/>
          <w:sz w:val="24"/>
        </w:rPr>
        <w:t xml:space="preserve"> </w:t>
      </w:r>
      <w:r>
        <w:rPr>
          <w:spacing w:val="-2"/>
          <w:sz w:val="24"/>
        </w:rPr>
        <w:t>(43).</w:t>
      </w:r>
    </w:p>
    <w:p w:rsidR="00B84776" w:rsidRDefault="00B84776">
      <w:pPr>
        <w:pStyle w:val="BodyText"/>
        <w:spacing w:before="273"/>
        <w:ind w:left="0"/>
        <w:jc w:val="left"/>
      </w:pPr>
    </w:p>
    <w:p w:rsidR="00B84776" w:rsidRDefault="00C65940">
      <w:pPr>
        <w:pStyle w:val="Heading2"/>
        <w:numPr>
          <w:ilvl w:val="1"/>
          <w:numId w:val="1"/>
        </w:numPr>
        <w:tabs>
          <w:tab w:val="left" w:pos="460"/>
        </w:tabs>
      </w:pPr>
      <w:r>
        <w:t>Surveillance</w:t>
      </w:r>
      <w:r>
        <w:rPr>
          <w:spacing w:val="-4"/>
        </w:rPr>
        <w:t xml:space="preserve"> </w:t>
      </w:r>
      <w:r>
        <w:t>and</w:t>
      </w:r>
      <w:r>
        <w:rPr>
          <w:spacing w:val="-3"/>
        </w:rPr>
        <w:t xml:space="preserve"> </w:t>
      </w:r>
      <w:r>
        <w:t>Research</w:t>
      </w:r>
      <w:r>
        <w:rPr>
          <w:spacing w:val="-2"/>
        </w:rPr>
        <w:t xml:space="preserve"> </w:t>
      </w:r>
      <w:r>
        <w:rPr>
          <w:spacing w:val="-4"/>
        </w:rPr>
        <w:t>Gaps</w:t>
      </w:r>
    </w:p>
    <w:p w:rsidR="00B84776" w:rsidRDefault="00B84776">
      <w:pPr>
        <w:pStyle w:val="BodyText"/>
        <w:ind w:left="0"/>
        <w:jc w:val="left"/>
        <w:rPr>
          <w:b/>
        </w:rPr>
      </w:pPr>
    </w:p>
    <w:p w:rsidR="00B84776" w:rsidRDefault="00B84776">
      <w:pPr>
        <w:pStyle w:val="BodyText"/>
        <w:ind w:left="0"/>
        <w:jc w:val="left"/>
        <w:rPr>
          <w:b/>
        </w:rPr>
      </w:pPr>
    </w:p>
    <w:p w:rsidR="00B84776" w:rsidRDefault="00C65940">
      <w:pPr>
        <w:pStyle w:val="BodyText"/>
        <w:spacing w:line="360" w:lineRule="auto"/>
        <w:ind w:right="97"/>
      </w:pPr>
      <w:r>
        <w:t>There is a notable paucity of large-scale surveillance data on antimicrobial resistance in Nigerian pediatric popula</w:t>
      </w:r>
      <w:r>
        <w:t>tions. Most available studies are institution-specific and conducted over limited timeframes (</w:t>
      </w:r>
      <w:r>
        <w:rPr>
          <w:color w:val="202020"/>
        </w:rPr>
        <w:t>34</w:t>
      </w:r>
      <w:r>
        <w:t xml:space="preserve">). Molecular diagnostics are rarely </w:t>
      </w:r>
      <w:proofErr w:type="spellStart"/>
      <w:r>
        <w:t>utilised</w:t>
      </w:r>
      <w:proofErr w:type="spellEnd"/>
      <w:r>
        <w:t xml:space="preserve"> in routine clinical settings and are mostly confined to academic research (44). This lack of</w:t>
      </w:r>
      <w:r>
        <w:rPr>
          <w:spacing w:val="-3"/>
        </w:rPr>
        <w:t xml:space="preserve"> </w:t>
      </w:r>
      <w:r>
        <w:t>reliable</w:t>
      </w:r>
      <w:r>
        <w:rPr>
          <w:spacing w:val="-3"/>
        </w:rPr>
        <w:t xml:space="preserve"> </w:t>
      </w:r>
      <w:r>
        <w:t>and</w:t>
      </w:r>
      <w:r>
        <w:rPr>
          <w:spacing w:val="-2"/>
        </w:rPr>
        <w:t xml:space="preserve"> </w:t>
      </w:r>
      <w:r>
        <w:t>represent</w:t>
      </w:r>
      <w:r>
        <w:t>ative</w:t>
      </w:r>
      <w:r>
        <w:rPr>
          <w:spacing w:val="-1"/>
        </w:rPr>
        <w:t xml:space="preserve"> </w:t>
      </w:r>
      <w:r>
        <w:t>data</w:t>
      </w:r>
      <w:r>
        <w:rPr>
          <w:spacing w:val="-3"/>
        </w:rPr>
        <w:t xml:space="preserve"> </w:t>
      </w:r>
      <w:r>
        <w:t>significantly</w:t>
      </w:r>
      <w:r>
        <w:rPr>
          <w:spacing w:val="-4"/>
        </w:rPr>
        <w:t xml:space="preserve"> </w:t>
      </w:r>
      <w:r>
        <w:t>hampers the</w:t>
      </w:r>
      <w:r>
        <w:rPr>
          <w:spacing w:val="-3"/>
        </w:rPr>
        <w:t xml:space="preserve"> </w:t>
      </w:r>
      <w:r>
        <w:t>development</w:t>
      </w:r>
      <w:r>
        <w:rPr>
          <w:spacing w:val="-2"/>
        </w:rPr>
        <w:t xml:space="preserve"> </w:t>
      </w:r>
      <w:r>
        <w:t>of</w:t>
      </w:r>
      <w:r>
        <w:rPr>
          <w:spacing w:val="-3"/>
        </w:rPr>
        <w:t xml:space="preserve"> </w:t>
      </w:r>
      <w:r>
        <w:t>evidence- based treatment guidelines and policy interventions.</w:t>
      </w:r>
    </w:p>
    <w:p w:rsidR="00B84776" w:rsidRDefault="00B84776">
      <w:pPr>
        <w:pStyle w:val="BodyText"/>
        <w:spacing w:before="139"/>
        <w:ind w:left="0"/>
        <w:jc w:val="left"/>
      </w:pPr>
    </w:p>
    <w:p w:rsidR="00B84776" w:rsidRDefault="00C65940">
      <w:pPr>
        <w:pStyle w:val="Heading2"/>
        <w:numPr>
          <w:ilvl w:val="1"/>
          <w:numId w:val="1"/>
        </w:numPr>
        <w:tabs>
          <w:tab w:val="left" w:pos="460"/>
        </w:tabs>
        <w:spacing w:before="1"/>
      </w:pPr>
      <w:r>
        <w:t>Regional</w:t>
      </w:r>
      <w:r>
        <w:rPr>
          <w:spacing w:val="-4"/>
        </w:rPr>
        <w:t xml:space="preserve"> </w:t>
      </w:r>
      <w:r>
        <w:rPr>
          <w:spacing w:val="-2"/>
        </w:rPr>
        <w:t>Comparisons</w:t>
      </w:r>
    </w:p>
    <w:p w:rsidR="00B84776" w:rsidRDefault="00B84776">
      <w:pPr>
        <w:pStyle w:val="Heading2"/>
        <w:jc w:val="left"/>
        <w:sectPr w:rsidR="00B84776">
          <w:pgSz w:w="11910" w:h="16840"/>
          <w:pgMar w:top="1360" w:right="1700" w:bottom="280" w:left="1700" w:header="720" w:footer="720" w:gutter="0"/>
          <w:cols w:space="720"/>
        </w:sectPr>
      </w:pPr>
    </w:p>
    <w:p w:rsidR="00B84776" w:rsidRDefault="00C65940">
      <w:pPr>
        <w:pStyle w:val="BodyText"/>
        <w:spacing w:before="62" w:line="360" w:lineRule="auto"/>
        <w:ind w:right="97"/>
      </w:pPr>
      <w:r>
        <w:lastRenderedPageBreak/>
        <w:t xml:space="preserve">Compared to </w:t>
      </w:r>
      <w:proofErr w:type="spellStart"/>
      <w:r>
        <w:t>neighbouring</w:t>
      </w:r>
      <w:proofErr w:type="spellEnd"/>
      <w:r>
        <w:t xml:space="preserve"> countries like Ghana and Cameroon, Nigeria appears to have a higher burden of </w:t>
      </w:r>
      <w:r>
        <w:t xml:space="preserve">ESBL-producing pediatric </w:t>
      </w:r>
      <w:proofErr w:type="spellStart"/>
      <w:r>
        <w:t>uropathogens</w:t>
      </w:r>
      <w:proofErr w:type="spellEnd"/>
      <w:r>
        <w:t xml:space="preserve">. A 2020 study in Ghana reported an ESBL prevalence of 48% in pediatric UTIs—substantially lower than the &gt;70% reported across multiple Nigerian </w:t>
      </w:r>
      <w:proofErr w:type="spellStart"/>
      <w:r>
        <w:t>centres</w:t>
      </w:r>
      <w:proofErr w:type="spellEnd"/>
      <w:r>
        <w:t xml:space="preserve"> (45). While differences in study methodologies may limit direct co</w:t>
      </w:r>
      <w:r>
        <w:t>mparisons, the collective regional data highlight Sub-Saharan Africa as a critical ESBL hotspot, warranting urgent regional coordination on surveillance and intervention.</w:t>
      </w:r>
    </w:p>
    <w:p w:rsidR="00B84776" w:rsidRDefault="00C65940">
      <w:pPr>
        <w:pStyle w:val="BodyText"/>
        <w:spacing w:line="360" w:lineRule="auto"/>
        <w:ind w:right="100"/>
      </w:pPr>
      <w:r>
        <w:t>This regional focus underscores the urgent need for context-specific data and targete</w:t>
      </w:r>
      <w:r>
        <w:t>d interventions. In the next sections, we will explore how these patterns affect clinical management and diagnostic approaches in pediatric care.</w:t>
      </w:r>
    </w:p>
    <w:p w:rsidR="00B84776" w:rsidRDefault="00B84776">
      <w:pPr>
        <w:pStyle w:val="BodyText"/>
        <w:ind w:left="0"/>
        <w:jc w:val="left"/>
      </w:pPr>
    </w:p>
    <w:p w:rsidR="00B84776" w:rsidRDefault="00B84776">
      <w:pPr>
        <w:pStyle w:val="BodyText"/>
        <w:spacing w:before="101"/>
        <w:ind w:left="0"/>
        <w:jc w:val="left"/>
      </w:pPr>
    </w:p>
    <w:p w:rsidR="00B84776" w:rsidRDefault="00C65940">
      <w:pPr>
        <w:pStyle w:val="Heading1"/>
        <w:numPr>
          <w:ilvl w:val="0"/>
          <w:numId w:val="1"/>
        </w:numPr>
        <w:tabs>
          <w:tab w:val="left" w:pos="340"/>
        </w:tabs>
      </w:pPr>
      <w:r>
        <w:t>MOLECULAR</w:t>
      </w:r>
      <w:r>
        <w:rPr>
          <w:spacing w:val="-6"/>
        </w:rPr>
        <w:t xml:space="preserve"> </w:t>
      </w:r>
      <w:r>
        <w:t>BIOLOGY</w:t>
      </w:r>
      <w:r>
        <w:rPr>
          <w:spacing w:val="-1"/>
        </w:rPr>
        <w:t xml:space="preserve"> </w:t>
      </w:r>
      <w:r>
        <w:t>OF</w:t>
      </w:r>
      <w:r>
        <w:rPr>
          <w:spacing w:val="-5"/>
        </w:rPr>
        <w:t xml:space="preserve"> </w:t>
      </w:r>
      <w:r>
        <w:t>ESBLS</w:t>
      </w:r>
      <w:r>
        <w:rPr>
          <w:spacing w:val="-3"/>
        </w:rPr>
        <w:t xml:space="preserve"> </w:t>
      </w:r>
      <w:r>
        <w:t>IN</w:t>
      </w:r>
      <w:r>
        <w:rPr>
          <w:spacing w:val="-3"/>
        </w:rPr>
        <w:t xml:space="preserve"> </w:t>
      </w:r>
      <w:r>
        <w:t>PEDIATRIC</w:t>
      </w:r>
      <w:r>
        <w:rPr>
          <w:spacing w:val="-3"/>
        </w:rPr>
        <w:t xml:space="preserve"> </w:t>
      </w:r>
      <w:r>
        <w:rPr>
          <w:spacing w:val="-4"/>
        </w:rPr>
        <w:t>UTIS</w:t>
      </w:r>
    </w:p>
    <w:p w:rsidR="00B84776" w:rsidRDefault="00B84776">
      <w:pPr>
        <w:pStyle w:val="BodyText"/>
        <w:ind w:left="0"/>
        <w:jc w:val="left"/>
        <w:rPr>
          <w:b/>
        </w:rPr>
      </w:pPr>
    </w:p>
    <w:p w:rsidR="00B84776" w:rsidRDefault="00B84776">
      <w:pPr>
        <w:pStyle w:val="BodyText"/>
        <w:ind w:left="0"/>
        <w:jc w:val="left"/>
        <w:rPr>
          <w:b/>
        </w:rPr>
      </w:pPr>
    </w:p>
    <w:p w:rsidR="00B84776" w:rsidRDefault="00C65940">
      <w:pPr>
        <w:pStyle w:val="BodyText"/>
        <w:spacing w:line="360" w:lineRule="auto"/>
        <w:ind w:right="97"/>
      </w:pPr>
      <w:r>
        <w:t>The molecular underpinnings of extended-spectrum beta-lactama</w:t>
      </w:r>
      <w:r>
        <w:t xml:space="preserve">se (ESBL) production in </w:t>
      </w:r>
      <w:proofErr w:type="spellStart"/>
      <w:r>
        <w:t>uropathogenic</w:t>
      </w:r>
      <w:proofErr w:type="spellEnd"/>
      <w:r>
        <w:t xml:space="preserve"> bacteria are complex and multifactorial, involving both chromosomal mutations and the horizontal acquisition of resistance genes. Among pediatric populations,</w:t>
      </w:r>
      <w:r>
        <w:rPr>
          <w:spacing w:val="-2"/>
        </w:rPr>
        <w:t xml:space="preserve"> </w:t>
      </w:r>
      <w:r>
        <w:t>where empirical treatment is common and diagnostic</w:t>
      </w:r>
      <w:r>
        <w:rPr>
          <w:spacing w:val="-1"/>
        </w:rPr>
        <w:t xml:space="preserve"> </w:t>
      </w:r>
      <w:r>
        <w:t>delays a</w:t>
      </w:r>
      <w:r>
        <w:t>re frequent, understanding the molecular biology of ESBLs is essential for tailoring effective treatment and containment strategies (46, 47).</w:t>
      </w:r>
    </w:p>
    <w:p w:rsidR="00B84776" w:rsidRDefault="00C65940">
      <w:pPr>
        <w:pStyle w:val="BodyText"/>
        <w:spacing w:line="360" w:lineRule="auto"/>
        <w:ind w:right="97"/>
      </w:pPr>
      <w:r>
        <w:t xml:space="preserve">ESBLs are primarily encoded by genes located on mobile genetic elements such as plasmids, </w:t>
      </w:r>
      <w:proofErr w:type="spellStart"/>
      <w:r>
        <w:t>integrons</w:t>
      </w:r>
      <w:proofErr w:type="spellEnd"/>
      <w:r>
        <w:t>, and transposo</w:t>
      </w:r>
      <w:r>
        <w:t>ns, which facilitate their horizontal transfer among bacterial</w:t>
      </w:r>
      <w:r>
        <w:rPr>
          <w:spacing w:val="-2"/>
        </w:rPr>
        <w:t xml:space="preserve"> </w:t>
      </w:r>
      <w:r>
        <w:t>populations</w:t>
      </w:r>
      <w:r>
        <w:rPr>
          <w:spacing w:val="-4"/>
        </w:rPr>
        <w:t xml:space="preserve"> </w:t>
      </w:r>
      <w:r>
        <w:t>(48).</w:t>
      </w:r>
      <w:r>
        <w:rPr>
          <w:spacing w:val="-2"/>
        </w:rPr>
        <w:t xml:space="preserve"> </w:t>
      </w:r>
      <w:r>
        <w:t>The</w:t>
      </w:r>
      <w:r>
        <w:rPr>
          <w:spacing w:val="-3"/>
        </w:rPr>
        <w:t xml:space="preserve"> </w:t>
      </w:r>
      <w:r>
        <w:t>most</w:t>
      </w:r>
      <w:r>
        <w:rPr>
          <w:spacing w:val="-4"/>
        </w:rPr>
        <w:t xml:space="preserve"> </w:t>
      </w:r>
      <w:r>
        <w:t>clinically</w:t>
      </w:r>
      <w:r>
        <w:rPr>
          <w:spacing w:val="-4"/>
        </w:rPr>
        <w:t xml:space="preserve"> </w:t>
      </w:r>
      <w:r>
        <w:t>significant</w:t>
      </w:r>
      <w:r>
        <w:rPr>
          <w:spacing w:val="-2"/>
        </w:rPr>
        <w:t xml:space="preserve"> </w:t>
      </w:r>
      <w:r>
        <w:t>ESBLs belong</w:t>
      </w:r>
      <w:r>
        <w:rPr>
          <w:spacing w:val="-2"/>
        </w:rPr>
        <w:t xml:space="preserve"> </w:t>
      </w:r>
      <w:r>
        <w:t>to</w:t>
      </w:r>
      <w:r>
        <w:rPr>
          <w:spacing w:val="-4"/>
        </w:rPr>
        <w:t xml:space="preserve"> </w:t>
      </w:r>
      <w:r>
        <w:t>three</w:t>
      </w:r>
      <w:r>
        <w:rPr>
          <w:spacing w:val="-1"/>
        </w:rPr>
        <w:t xml:space="preserve"> </w:t>
      </w:r>
      <w:r>
        <w:t>main families: TEM (</w:t>
      </w:r>
      <w:proofErr w:type="spellStart"/>
      <w:r>
        <w:t>Temoniera</w:t>
      </w:r>
      <w:proofErr w:type="spellEnd"/>
      <w:r>
        <w:t>), SHV (sulfhydryl-variable), and CTX-M (</w:t>
      </w:r>
      <w:proofErr w:type="spellStart"/>
      <w:r>
        <w:t>cefotaximase</w:t>
      </w:r>
      <w:proofErr w:type="spellEnd"/>
      <w:r>
        <w:t>). Of these, CTX-M enzymes have emerged</w:t>
      </w:r>
      <w:r>
        <w:t xml:space="preserve"> as the most prevalent globally, particularly in pediatric isolates of E. coli and K. pneumoniae (49, 50).</w:t>
      </w:r>
    </w:p>
    <w:p w:rsidR="00B84776" w:rsidRDefault="00B84776">
      <w:pPr>
        <w:pStyle w:val="BodyText"/>
        <w:spacing w:line="360" w:lineRule="auto"/>
        <w:sectPr w:rsidR="00B84776">
          <w:pgSz w:w="11910" w:h="16840"/>
          <w:pgMar w:top="1360" w:right="1700" w:bottom="280" w:left="1700" w:header="720" w:footer="720" w:gutter="0"/>
          <w:cols w:space="720"/>
        </w:sectPr>
      </w:pPr>
    </w:p>
    <w:p w:rsidR="00B84776" w:rsidRDefault="00C65940">
      <w:pPr>
        <w:pStyle w:val="BodyText"/>
        <w:ind w:left="185"/>
        <w:jc w:val="left"/>
        <w:rPr>
          <w:sz w:val="20"/>
        </w:rPr>
      </w:pPr>
      <w:r>
        <w:rPr>
          <w:noProof/>
          <w:sz w:val="20"/>
        </w:rPr>
        <w:lastRenderedPageBreak/>
        <w:drawing>
          <wp:inline distT="0" distB="0" distL="0" distR="0">
            <wp:extent cx="5049520" cy="3121025"/>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5" cstate="print"/>
                    <a:stretch>
                      <a:fillRect/>
                    </a:stretch>
                  </pic:blipFill>
                  <pic:spPr>
                    <a:xfrm>
                      <a:off x="0" y="0"/>
                      <a:ext cx="5049963" cy="3121152"/>
                    </a:xfrm>
                    <a:prstGeom prst="rect">
                      <a:avLst/>
                    </a:prstGeom>
                  </pic:spPr>
                </pic:pic>
              </a:graphicData>
            </a:graphic>
          </wp:inline>
        </w:drawing>
      </w:r>
    </w:p>
    <w:p w:rsidR="00B84776" w:rsidRDefault="00B84776">
      <w:pPr>
        <w:pStyle w:val="BodyText"/>
        <w:ind w:left="0"/>
        <w:jc w:val="left"/>
      </w:pPr>
    </w:p>
    <w:p w:rsidR="00B84776" w:rsidRDefault="00B84776">
      <w:pPr>
        <w:pStyle w:val="BodyText"/>
        <w:spacing w:before="19"/>
        <w:ind w:left="0"/>
        <w:jc w:val="left"/>
      </w:pPr>
    </w:p>
    <w:p w:rsidR="00B84776" w:rsidRDefault="00C65940">
      <w:pPr>
        <w:ind w:left="72" w:right="69"/>
        <w:jc w:val="center"/>
        <w:rPr>
          <w:b/>
          <w:i/>
          <w:sz w:val="24"/>
        </w:rPr>
      </w:pPr>
      <w:r>
        <w:rPr>
          <w:b/>
          <w:sz w:val="24"/>
        </w:rPr>
        <w:t>Figure</w:t>
      </w:r>
      <w:r>
        <w:rPr>
          <w:b/>
          <w:spacing w:val="-6"/>
          <w:sz w:val="24"/>
        </w:rPr>
        <w:t xml:space="preserve"> </w:t>
      </w:r>
      <w:r>
        <w:rPr>
          <w:b/>
          <w:sz w:val="24"/>
        </w:rPr>
        <w:t>2:</w:t>
      </w:r>
      <w:r>
        <w:rPr>
          <w:b/>
          <w:spacing w:val="-6"/>
          <w:sz w:val="24"/>
        </w:rPr>
        <w:t xml:space="preserve"> </w:t>
      </w:r>
      <w:r>
        <w:rPr>
          <w:b/>
          <w:sz w:val="24"/>
        </w:rPr>
        <w:t>Mechanism</w:t>
      </w:r>
      <w:r>
        <w:rPr>
          <w:b/>
          <w:spacing w:val="-6"/>
          <w:sz w:val="24"/>
        </w:rPr>
        <w:t xml:space="preserve"> </w:t>
      </w:r>
      <w:r>
        <w:rPr>
          <w:b/>
          <w:sz w:val="24"/>
        </w:rPr>
        <w:t>of</w:t>
      </w:r>
      <w:r>
        <w:rPr>
          <w:b/>
          <w:spacing w:val="-6"/>
          <w:sz w:val="24"/>
        </w:rPr>
        <w:t xml:space="preserve"> </w:t>
      </w:r>
      <w:r>
        <w:rPr>
          <w:b/>
          <w:sz w:val="24"/>
        </w:rPr>
        <w:t>ESBL-mediated</w:t>
      </w:r>
      <w:r>
        <w:rPr>
          <w:b/>
          <w:spacing w:val="-4"/>
          <w:sz w:val="24"/>
        </w:rPr>
        <w:t xml:space="preserve"> </w:t>
      </w:r>
      <w:r>
        <w:rPr>
          <w:b/>
          <w:sz w:val="24"/>
        </w:rPr>
        <w:t>resistance.</w:t>
      </w:r>
      <w:r>
        <w:rPr>
          <w:b/>
          <w:spacing w:val="-5"/>
          <w:sz w:val="24"/>
        </w:rPr>
        <w:t xml:space="preserve"> </w:t>
      </w:r>
      <w:r>
        <w:rPr>
          <w:b/>
          <w:i/>
          <w:sz w:val="24"/>
        </w:rPr>
        <w:t>In</w:t>
      </w:r>
      <w:r>
        <w:rPr>
          <w:b/>
          <w:i/>
          <w:spacing w:val="-5"/>
          <w:sz w:val="24"/>
        </w:rPr>
        <w:t xml:space="preserve"> </w:t>
      </w:r>
      <w:r>
        <w:rPr>
          <w:b/>
          <w:i/>
          <w:sz w:val="24"/>
        </w:rPr>
        <w:t>non-ESBL-producing bacteria, beta-lactam antibiotics bind to penicillin-binding</w:t>
      </w:r>
      <w:r>
        <w:rPr>
          <w:b/>
          <w:i/>
          <w:sz w:val="24"/>
        </w:rPr>
        <w:t xml:space="preserve"> proteins (PBPs), inhibiting cell wall synthesis.</w:t>
      </w:r>
    </w:p>
    <w:p w:rsidR="00B84776" w:rsidRDefault="00B84776">
      <w:pPr>
        <w:pStyle w:val="BodyText"/>
        <w:ind w:left="0"/>
        <w:jc w:val="left"/>
        <w:rPr>
          <w:b/>
          <w:i/>
        </w:rPr>
      </w:pPr>
    </w:p>
    <w:p w:rsidR="00B84776" w:rsidRDefault="00B84776">
      <w:pPr>
        <w:pStyle w:val="BodyText"/>
        <w:spacing w:before="63"/>
        <w:ind w:left="0"/>
        <w:jc w:val="left"/>
        <w:rPr>
          <w:b/>
          <w:i/>
        </w:rPr>
      </w:pPr>
    </w:p>
    <w:p w:rsidR="00B84776" w:rsidRDefault="00C65940">
      <w:pPr>
        <w:pStyle w:val="Heading2"/>
        <w:numPr>
          <w:ilvl w:val="1"/>
          <w:numId w:val="1"/>
        </w:numPr>
        <w:tabs>
          <w:tab w:val="left" w:pos="460"/>
        </w:tabs>
      </w:pPr>
      <w:r>
        <w:t>The</w:t>
      </w:r>
      <w:r>
        <w:rPr>
          <w:spacing w:val="-1"/>
        </w:rPr>
        <w:t xml:space="preserve"> </w:t>
      </w:r>
      <w:r>
        <w:t>TEM</w:t>
      </w:r>
      <w:r>
        <w:rPr>
          <w:spacing w:val="-4"/>
        </w:rPr>
        <w:t xml:space="preserve"> </w:t>
      </w:r>
      <w:r>
        <w:t>and</w:t>
      </w:r>
      <w:r>
        <w:rPr>
          <w:spacing w:val="-2"/>
        </w:rPr>
        <w:t xml:space="preserve"> </w:t>
      </w:r>
      <w:r>
        <w:t>SHV</w:t>
      </w:r>
      <w:r>
        <w:rPr>
          <w:spacing w:val="-1"/>
        </w:rPr>
        <w:t xml:space="preserve"> </w:t>
      </w:r>
      <w:r>
        <w:rPr>
          <w:spacing w:val="-2"/>
        </w:rPr>
        <w:t>Families</w:t>
      </w:r>
    </w:p>
    <w:p w:rsidR="00B84776" w:rsidRDefault="00B84776">
      <w:pPr>
        <w:pStyle w:val="BodyText"/>
        <w:ind w:left="0"/>
        <w:jc w:val="left"/>
        <w:rPr>
          <w:b/>
        </w:rPr>
      </w:pPr>
    </w:p>
    <w:p w:rsidR="00B84776" w:rsidRDefault="00B84776">
      <w:pPr>
        <w:pStyle w:val="BodyText"/>
        <w:ind w:left="0"/>
        <w:jc w:val="left"/>
        <w:rPr>
          <w:b/>
        </w:rPr>
      </w:pPr>
    </w:p>
    <w:p w:rsidR="00B84776" w:rsidRDefault="00C65940">
      <w:pPr>
        <w:pStyle w:val="BodyText"/>
        <w:spacing w:line="360" w:lineRule="auto"/>
        <w:ind w:right="100"/>
      </w:pPr>
      <w:r>
        <w:t xml:space="preserve">Historically, the TEM and SHV beta-lactamases were the first identified ESBLs, originally found in E. coli and K. pneumoniae, respectively. TEM-1 and SHV-1 are the progenitors </w:t>
      </w:r>
      <w:r>
        <w:t xml:space="preserve">of these families and do not possess extended-spectrum activity. However, point mutations in these genes have resulted in derivatives such as TEM-3 and SHV-2, which can </w:t>
      </w:r>
      <w:proofErr w:type="spellStart"/>
      <w:r>
        <w:t>hydrolyse</w:t>
      </w:r>
      <w:proofErr w:type="spellEnd"/>
      <w:r>
        <w:t xml:space="preserve"> third-generation cephalosporins (51, 52). Although still</w:t>
      </w:r>
      <w:r>
        <w:rPr>
          <w:spacing w:val="-2"/>
        </w:rPr>
        <w:t xml:space="preserve"> </w:t>
      </w:r>
      <w:r>
        <w:t>relevant, these</w:t>
      </w:r>
      <w:r>
        <w:rPr>
          <w:spacing w:val="-1"/>
        </w:rPr>
        <w:t xml:space="preserve"> </w:t>
      </w:r>
      <w:r>
        <w:t>vari</w:t>
      </w:r>
      <w:r>
        <w:t>ants are now</w:t>
      </w:r>
      <w:r>
        <w:rPr>
          <w:spacing w:val="-1"/>
        </w:rPr>
        <w:t xml:space="preserve"> </w:t>
      </w:r>
      <w:r>
        <w:t>overshadowed by CTX-M types in many regions.</w:t>
      </w:r>
    </w:p>
    <w:p w:rsidR="00B84776" w:rsidRDefault="00B84776">
      <w:pPr>
        <w:pStyle w:val="BodyText"/>
        <w:spacing w:before="139"/>
        <w:ind w:left="0"/>
        <w:jc w:val="left"/>
      </w:pPr>
    </w:p>
    <w:p w:rsidR="00B84776" w:rsidRDefault="00C65940">
      <w:pPr>
        <w:pStyle w:val="Heading2"/>
        <w:numPr>
          <w:ilvl w:val="1"/>
          <w:numId w:val="1"/>
        </w:numPr>
        <w:tabs>
          <w:tab w:val="left" w:pos="460"/>
        </w:tabs>
      </w:pPr>
      <w:r>
        <w:t>The</w:t>
      </w:r>
      <w:r>
        <w:rPr>
          <w:spacing w:val="-3"/>
        </w:rPr>
        <w:t xml:space="preserve"> </w:t>
      </w:r>
      <w:r>
        <w:t>CTX-M</w:t>
      </w:r>
      <w:r>
        <w:rPr>
          <w:spacing w:val="-2"/>
        </w:rPr>
        <w:t xml:space="preserve"> Family</w:t>
      </w:r>
    </w:p>
    <w:p w:rsidR="00B84776" w:rsidRDefault="00B84776">
      <w:pPr>
        <w:pStyle w:val="BodyText"/>
        <w:ind w:left="0"/>
        <w:jc w:val="left"/>
        <w:rPr>
          <w:b/>
        </w:rPr>
      </w:pPr>
    </w:p>
    <w:p w:rsidR="00B84776" w:rsidRDefault="00B84776">
      <w:pPr>
        <w:pStyle w:val="BodyText"/>
        <w:ind w:left="0"/>
        <w:jc w:val="left"/>
        <w:rPr>
          <w:b/>
        </w:rPr>
      </w:pPr>
    </w:p>
    <w:p w:rsidR="00B84776" w:rsidRDefault="00C65940">
      <w:pPr>
        <w:pStyle w:val="BodyText"/>
        <w:spacing w:before="1" w:line="360" w:lineRule="auto"/>
        <w:ind w:right="97"/>
      </w:pPr>
      <w:r>
        <w:t>CTX-M enzymes are now the dominant ESBLs in both adult and pediatric populations. These enzymes are subdivided into five main groups based on amino</w:t>
      </w:r>
      <w:r>
        <w:rPr>
          <w:spacing w:val="40"/>
        </w:rPr>
        <w:t xml:space="preserve"> </w:t>
      </w:r>
      <w:r>
        <w:t>acid</w:t>
      </w:r>
      <w:r>
        <w:rPr>
          <w:spacing w:val="22"/>
        </w:rPr>
        <w:t xml:space="preserve"> </w:t>
      </w:r>
      <w:r>
        <w:t>sequence</w:t>
      </w:r>
      <w:r>
        <w:rPr>
          <w:spacing w:val="23"/>
        </w:rPr>
        <w:t xml:space="preserve"> </w:t>
      </w:r>
      <w:r>
        <w:t>similarity:</w:t>
      </w:r>
      <w:r>
        <w:rPr>
          <w:spacing w:val="27"/>
        </w:rPr>
        <w:t xml:space="preserve"> </w:t>
      </w:r>
      <w:r>
        <w:t>CTX-</w:t>
      </w:r>
      <w:r>
        <w:t>M-1,</w:t>
      </w:r>
      <w:r>
        <w:rPr>
          <w:spacing w:val="27"/>
        </w:rPr>
        <w:t xml:space="preserve"> </w:t>
      </w:r>
      <w:r>
        <w:t>CTX-M-2,</w:t>
      </w:r>
      <w:r>
        <w:rPr>
          <w:spacing w:val="25"/>
        </w:rPr>
        <w:t xml:space="preserve"> </w:t>
      </w:r>
      <w:r>
        <w:t>CTX-M-8,</w:t>
      </w:r>
      <w:r>
        <w:rPr>
          <w:spacing w:val="24"/>
        </w:rPr>
        <w:t xml:space="preserve"> </w:t>
      </w:r>
      <w:r>
        <w:t>CTX-M-9,</w:t>
      </w:r>
      <w:r>
        <w:rPr>
          <w:spacing w:val="27"/>
        </w:rPr>
        <w:t xml:space="preserve"> </w:t>
      </w:r>
      <w:r>
        <w:t>and</w:t>
      </w:r>
      <w:r>
        <w:rPr>
          <w:spacing w:val="25"/>
        </w:rPr>
        <w:t xml:space="preserve"> </w:t>
      </w:r>
      <w:r>
        <w:t>CTX-</w:t>
      </w:r>
      <w:r>
        <w:rPr>
          <w:spacing w:val="-5"/>
        </w:rPr>
        <w:t>M-</w:t>
      </w:r>
    </w:p>
    <w:p w:rsidR="00B84776" w:rsidRDefault="00C65940">
      <w:pPr>
        <w:pStyle w:val="BodyText"/>
        <w:spacing w:line="360" w:lineRule="auto"/>
        <w:jc w:val="left"/>
      </w:pPr>
      <w:r>
        <w:t>25. CTX-M-15, a member of the CTX-M-1 group, has been particularly successful in spreading</w:t>
      </w:r>
      <w:r>
        <w:rPr>
          <w:spacing w:val="-3"/>
        </w:rPr>
        <w:t xml:space="preserve"> </w:t>
      </w:r>
      <w:r>
        <w:t>globally (53;</w:t>
      </w:r>
      <w:r>
        <w:rPr>
          <w:spacing w:val="-2"/>
        </w:rPr>
        <w:t xml:space="preserve"> </w:t>
      </w:r>
      <w:r>
        <w:t>54). Its prevalence</w:t>
      </w:r>
      <w:r>
        <w:rPr>
          <w:spacing w:val="-1"/>
        </w:rPr>
        <w:t xml:space="preserve"> </w:t>
      </w:r>
      <w:r>
        <w:t>in</w:t>
      </w:r>
      <w:r>
        <w:rPr>
          <w:spacing w:val="-2"/>
        </w:rPr>
        <w:t xml:space="preserve"> </w:t>
      </w:r>
      <w:r>
        <w:t>pediatric</w:t>
      </w:r>
      <w:r>
        <w:rPr>
          <w:spacing w:val="-1"/>
        </w:rPr>
        <w:t xml:space="preserve"> </w:t>
      </w:r>
      <w:proofErr w:type="spellStart"/>
      <w:r>
        <w:t>uropathogens</w:t>
      </w:r>
      <w:proofErr w:type="spellEnd"/>
      <w:r>
        <w:t xml:space="preserve"> is attributed</w:t>
      </w:r>
      <w:r>
        <w:rPr>
          <w:spacing w:val="-2"/>
        </w:rPr>
        <w:t xml:space="preserve"> </w:t>
      </w:r>
      <w:r>
        <w:t>to</w:t>
      </w:r>
      <w:r>
        <w:rPr>
          <w:spacing w:val="-2"/>
        </w:rPr>
        <w:t xml:space="preserve"> </w:t>
      </w:r>
      <w:r>
        <w:rPr>
          <w:spacing w:val="-5"/>
        </w:rPr>
        <w:t>its</w:t>
      </w:r>
    </w:p>
    <w:p w:rsidR="00B84776" w:rsidRDefault="00B84776">
      <w:pPr>
        <w:pStyle w:val="BodyText"/>
        <w:spacing w:line="360" w:lineRule="auto"/>
        <w:jc w:val="left"/>
        <w:sectPr w:rsidR="00B84776">
          <w:pgSz w:w="11910" w:h="16840"/>
          <w:pgMar w:top="1620" w:right="1700" w:bottom="280" w:left="1700" w:header="720" w:footer="720" w:gutter="0"/>
          <w:cols w:space="720"/>
        </w:sectPr>
      </w:pPr>
    </w:p>
    <w:p w:rsidR="00B84776" w:rsidRDefault="00C65940">
      <w:pPr>
        <w:pStyle w:val="BodyText"/>
        <w:spacing w:before="62" w:line="360" w:lineRule="auto"/>
        <w:ind w:right="100"/>
      </w:pPr>
      <w:proofErr w:type="spellStart"/>
      <w:r>
        <w:lastRenderedPageBreak/>
        <w:t>localisation</w:t>
      </w:r>
      <w:proofErr w:type="spellEnd"/>
      <w:r>
        <w:t xml:space="preserve"> on conjugative</w:t>
      </w:r>
      <w:r>
        <w:t xml:space="preserve"> plasmids that often carry other resistance determinants, such as </w:t>
      </w:r>
      <w:proofErr w:type="spellStart"/>
      <w:r>
        <w:t>qnr</w:t>
      </w:r>
      <w:proofErr w:type="spellEnd"/>
      <w:r>
        <w:t xml:space="preserve"> (quinolone resistance) and </w:t>
      </w:r>
      <w:proofErr w:type="spellStart"/>
      <w:proofErr w:type="gramStart"/>
      <w:r>
        <w:t>aac</w:t>
      </w:r>
      <w:proofErr w:type="spellEnd"/>
      <w:r>
        <w:t>(</w:t>
      </w:r>
      <w:proofErr w:type="gramEnd"/>
      <w:r>
        <w:t>6')-</w:t>
      </w:r>
      <w:proofErr w:type="spellStart"/>
      <w:r>
        <w:t>Ib</w:t>
      </w:r>
      <w:proofErr w:type="spellEnd"/>
      <w:r>
        <w:t xml:space="preserve"> (aminoglycoside resistance) (55).</w:t>
      </w:r>
    </w:p>
    <w:p w:rsidR="00B84776" w:rsidRDefault="00B84776">
      <w:pPr>
        <w:pStyle w:val="BodyText"/>
        <w:spacing w:before="137"/>
        <w:ind w:left="0"/>
        <w:jc w:val="left"/>
      </w:pPr>
    </w:p>
    <w:p w:rsidR="00B84776" w:rsidRDefault="00C65940">
      <w:pPr>
        <w:pStyle w:val="Heading2"/>
        <w:numPr>
          <w:ilvl w:val="1"/>
          <w:numId w:val="1"/>
        </w:numPr>
        <w:tabs>
          <w:tab w:val="left" w:pos="460"/>
        </w:tabs>
      </w:pPr>
      <w:r>
        <w:t>Genetic</w:t>
      </w:r>
      <w:r>
        <w:rPr>
          <w:spacing w:val="-4"/>
        </w:rPr>
        <w:t xml:space="preserve"> </w:t>
      </w:r>
      <w:r>
        <w:t>Context</w:t>
      </w:r>
      <w:r>
        <w:rPr>
          <w:spacing w:val="-2"/>
        </w:rPr>
        <w:t xml:space="preserve"> </w:t>
      </w:r>
      <w:r>
        <w:t>and</w:t>
      </w:r>
      <w:r>
        <w:rPr>
          <w:spacing w:val="-4"/>
        </w:rPr>
        <w:t xml:space="preserve"> </w:t>
      </w:r>
      <w:r>
        <w:t>Co-</w:t>
      </w:r>
      <w:r>
        <w:rPr>
          <w:spacing w:val="-2"/>
        </w:rPr>
        <w:t>Resistance</w:t>
      </w:r>
    </w:p>
    <w:p w:rsidR="00B84776" w:rsidRDefault="00B84776">
      <w:pPr>
        <w:pStyle w:val="BodyText"/>
        <w:ind w:left="0"/>
        <w:jc w:val="left"/>
        <w:rPr>
          <w:b/>
        </w:rPr>
      </w:pPr>
    </w:p>
    <w:p w:rsidR="00B84776" w:rsidRDefault="00B84776">
      <w:pPr>
        <w:pStyle w:val="BodyText"/>
        <w:ind w:left="0"/>
        <w:jc w:val="left"/>
        <w:rPr>
          <w:b/>
        </w:rPr>
      </w:pPr>
    </w:p>
    <w:p w:rsidR="00B84776" w:rsidRDefault="00C65940">
      <w:pPr>
        <w:pStyle w:val="BodyText"/>
        <w:spacing w:line="360" w:lineRule="auto"/>
        <w:ind w:right="97"/>
      </w:pPr>
      <w:r>
        <w:t>ESBL genes are frequently co-located with other antimicrobial resistance gene</w:t>
      </w:r>
      <w:r>
        <w:t>s, contributing to multidrug resistance (MDR) phenotypes. This genetic linkage means that the use of one antibiotic class can co-select for resistance to others, exacerbating the resistance crisis (56). In pediatric UTIs, co-resistance to fluoroquinolones,</w:t>
      </w:r>
      <w:r>
        <w:t xml:space="preserve"> aminoglycosides, and trimethoprim-sulfamethoxazole is common among ESBL- producing strains (57).</w:t>
      </w:r>
    </w:p>
    <w:p w:rsidR="00B84776" w:rsidRDefault="00B84776">
      <w:pPr>
        <w:pStyle w:val="BodyText"/>
        <w:spacing w:before="137"/>
        <w:ind w:left="0"/>
        <w:jc w:val="left"/>
      </w:pPr>
    </w:p>
    <w:p w:rsidR="00B84776" w:rsidRDefault="00C65940">
      <w:pPr>
        <w:pStyle w:val="Heading2"/>
        <w:numPr>
          <w:ilvl w:val="1"/>
          <w:numId w:val="1"/>
        </w:numPr>
        <w:tabs>
          <w:tab w:val="left" w:pos="460"/>
        </w:tabs>
      </w:pPr>
      <w:r>
        <w:t>Clonal</w:t>
      </w:r>
      <w:r>
        <w:rPr>
          <w:spacing w:val="-6"/>
        </w:rPr>
        <w:t xml:space="preserve"> </w:t>
      </w:r>
      <w:r>
        <w:t>Expansion</w:t>
      </w:r>
      <w:r>
        <w:rPr>
          <w:spacing w:val="-3"/>
        </w:rPr>
        <w:t xml:space="preserve"> </w:t>
      </w:r>
      <w:r>
        <w:t>and</w:t>
      </w:r>
      <w:r>
        <w:rPr>
          <w:spacing w:val="-2"/>
        </w:rPr>
        <w:t xml:space="preserve"> </w:t>
      </w:r>
      <w:r>
        <w:t>Horizontal</w:t>
      </w:r>
      <w:r>
        <w:rPr>
          <w:spacing w:val="-1"/>
        </w:rPr>
        <w:t xml:space="preserve"> </w:t>
      </w:r>
      <w:r>
        <w:t>Gene</w:t>
      </w:r>
      <w:r>
        <w:rPr>
          <w:spacing w:val="-2"/>
        </w:rPr>
        <w:t xml:space="preserve"> Transfer</w:t>
      </w:r>
    </w:p>
    <w:p w:rsidR="00B84776" w:rsidRDefault="00B84776">
      <w:pPr>
        <w:pStyle w:val="BodyText"/>
        <w:ind w:left="0"/>
        <w:jc w:val="left"/>
        <w:rPr>
          <w:b/>
        </w:rPr>
      </w:pPr>
    </w:p>
    <w:p w:rsidR="00B84776" w:rsidRDefault="00B84776">
      <w:pPr>
        <w:pStyle w:val="BodyText"/>
        <w:ind w:left="0"/>
        <w:jc w:val="left"/>
        <w:rPr>
          <w:b/>
        </w:rPr>
      </w:pPr>
    </w:p>
    <w:p w:rsidR="00B84776" w:rsidRDefault="00C65940">
      <w:pPr>
        <w:pStyle w:val="BodyText"/>
        <w:spacing w:line="360" w:lineRule="auto"/>
        <w:ind w:right="97"/>
      </w:pPr>
      <w:r>
        <w:t>Certain clones, such as E. coli ST131 and K. pneumoniae ST258, are known for acquiring and disseminating ESBL</w:t>
      </w:r>
      <w:r>
        <w:t xml:space="preserve"> genes. ST131, in particular, has been identified in pediatric isolates worldwide and is strongly associated with CTX-M-15 production (58; 59). Clonal expansion of such high-risk clones further entrenches resistance within both hospital and community setti</w:t>
      </w:r>
      <w:r>
        <w:t>ngs.</w:t>
      </w:r>
    </w:p>
    <w:p w:rsidR="00B84776" w:rsidRDefault="00B84776">
      <w:pPr>
        <w:pStyle w:val="BodyText"/>
        <w:spacing w:before="138"/>
        <w:ind w:left="0"/>
        <w:jc w:val="left"/>
      </w:pPr>
    </w:p>
    <w:p w:rsidR="00B84776" w:rsidRDefault="00C65940">
      <w:pPr>
        <w:pStyle w:val="Heading2"/>
        <w:numPr>
          <w:ilvl w:val="1"/>
          <w:numId w:val="1"/>
        </w:numPr>
        <w:tabs>
          <w:tab w:val="left" w:pos="460"/>
        </w:tabs>
      </w:pPr>
      <w:r>
        <w:t>Implications</w:t>
      </w:r>
      <w:r>
        <w:rPr>
          <w:spacing w:val="-5"/>
        </w:rPr>
        <w:t xml:space="preserve"> </w:t>
      </w:r>
      <w:r>
        <w:t>for</w:t>
      </w:r>
      <w:r>
        <w:rPr>
          <w:spacing w:val="-3"/>
        </w:rPr>
        <w:t xml:space="preserve"> </w:t>
      </w:r>
      <w:r>
        <w:t xml:space="preserve">Molecular </w:t>
      </w:r>
      <w:r>
        <w:rPr>
          <w:spacing w:val="-2"/>
        </w:rPr>
        <w:t>Surveillance</w:t>
      </w:r>
    </w:p>
    <w:p w:rsidR="00B84776" w:rsidRDefault="00B84776">
      <w:pPr>
        <w:pStyle w:val="BodyText"/>
        <w:ind w:left="0"/>
        <w:jc w:val="left"/>
        <w:rPr>
          <w:b/>
        </w:rPr>
      </w:pPr>
    </w:p>
    <w:p w:rsidR="00B84776" w:rsidRDefault="00B84776">
      <w:pPr>
        <w:pStyle w:val="BodyText"/>
        <w:ind w:left="0"/>
        <w:jc w:val="left"/>
        <w:rPr>
          <w:b/>
        </w:rPr>
      </w:pPr>
    </w:p>
    <w:p w:rsidR="00B84776" w:rsidRDefault="00C65940">
      <w:pPr>
        <w:pStyle w:val="BodyText"/>
        <w:spacing w:line="360" w:lineRule="auto"/>
        <w:ind w:right="99"/>
      </w:pPr>
      <w:r>
        <w:t xml:space="preserve">Molecular </w:t>
      </w:r>
      <w:proofErr w:type="spellStart"/>
      <w:r>
        <w:t>characterisation</w:t>
      </w:r>
      <w:proofErr w:type="spellEnd"/>
      <w:r>
        <w:t xml:space="preserve"> of ESBL genes is crucial for understanding the dynamics of resistance and tailoring stewardship efforts. PCR, sequencing, and more recently, whole genome sequencing (WGS), provide i</w:t>
      </w:r>
      <w:r>
        <w:t>nsights into the genetic diversity and evolution of ESBL-producing pathogens (60). However, the adoption of these techniques in many LMICs, including Nigeria, remains limited due to cost and technical capacity constraints (44, 61).</w:t>
      </w:r>
    </w:p>
    <w:p w:rsidR="00B84776" w:rsidRDefault="00C65940">
      <w:pPr>
        <w:pStyle w:val="BodyText"/>
        <w:spacing w:line="360" w:lineRule="auto"/>
        <w:ind w:right="99"/>
      </w:pPr>
      <w:r>
        <w:t>Understanding the molecu</w:t>
      </w:r>
      <w:r>
        <w:t>lar basis of ESBL production provides a foundation for designing effective diagnostic, therapeutic, and surveillance strategies. In pediatric populations, where rapid and accurate identification of resistance determinants can significantly impact outcomes,</w:t>
      </w:r>
      <w:r>
        <w:t xml:space="preserve"> the role of molecular tools is indispensable and increasingly urgent.</w:t>
      </w:r>
    </w:p>
    <w:p w:rsidR="00B84776" w:rsidRDefault="00B84776">
      <w:pPr>
        <w:pStyle w:val="BodyText"/>
        <w:spacing w:line="360" w:lineRule="auto"/>
        <w:sectPr w:rsidR="00B84776">
          <w:pgSz w:w="11910" w:h="16840"/>
          <w:pgMar w:top="1360" w:right="1700" w:bottom="280" w:left="1700" w:header="720" w:footer="720" w:gutter="0"/>
          <w:cols w:space="720"/>
        </w:sectPr>
      </w:pPr>
    </w:p>
    <w:p w:rsidR="00B84776" w:rsidRDefault="00C65940">
      <w:pPr>
        <w:pStyle w:val="Heading1"/>
        <w:numPr>
          <w:ilvl w:val="0"/>
          <w:numId w:val="1"/>
        </w:numPr>
        <w:tabs>
          <w:tab w:val="left" w:pos="577"/>
          <w:tab w:val="left" w:pos="2075"/>
          <w:tab w:val="left" w:pos="3347"/>
          <w:tab w:val="left" w:pos="4163"/>
          <w:tab w:val="left" w:pos="5048"/>
          <w:tab w:val="left" w:pos="6493"/>
          <w:tab w:val="left" w:pos="7057"/>
        </w:tabs>
        <w:spacing w:before="62" w:line="360" w:lineRule="auto"/>
        <w:ind w:left="100" w:right="99" w:firstLine="0"/>
      </w:pPr>
      <w:r>
        <w:rPr>
          <w:spacing w:val="-2"/>
        </w:rPr>
        <w:lastRenderedPageBreak/>
        <w:t>CLINICAL</w:t>
      </w:r>
      <w:r>
        <w:tab/>
      </w:r>
      <w:r>
        <w:rPr>
          <w:spacing w:val="-2"/>
        </w:rPr>
        <w:t>IMPACT</w:t>
      </w:r>
      <w:r>
        <w:tab/>
      </w:r>
      <w:r>
        <w:rPr>
          <w:spacing w:val="-4"/>
        </w:rPr>
        <w:t>AND</w:t>
      </w:r>
      <w:r>
        <w:tab/>
      </w:r>
      <w:r>
        <w:rPr>
          <w:spacing w:val="-4"/>
        </w:rPr>
        <w:t>RISK</w:t>
      </w:r>
      <w:r>
        <w:tab/>
      </w:r>
      <w:r>
        <w:rPr>
          <w:spacing w:val="-2"/>
        </w:rPr>
        <w:t>FACTORS</w:t>
      </w:r>
      <w:r>
        <w:tab/>
      </w:r>
      <w:r>
        <w:rPr>
          <w:spacing w:val="-6"/>
        </w:rPr>
        <w:t>IN</w:t>
      </w:r>
      <w:r>
        <w:tab/>
      </w:r>
      <w:r>
        <w:rPr>
          <w:spacing w:val="-2"/>
        </w:rPr>
        <w:t>PEDIATRIC POPULATIONS</w:t>
      </w:r>
    </w:p>
    <w:p w:rsidR="00B84776" w:rsidRDefault="00C65940">
      <w:pPr>
        <w:pStyle w:val="BodyText"/>
        <w:spacing w:line="360" w:lineRule="auto"/>
        <w:ind w:right="100"/>
      </w:pPr>
      <w:r>
        <w:t>The clinical consequences of UTIs caused by ESBL-producing organisms in children are multifaceted, ranging from t</w:t>
      </w:r>
      <w:r>
        <w:t>reatment failure and prolonged illness to severe complications such as pyelonephritis, renal scarring, and recurrent infections (1). In neonates and infants, UTIs can rapidly progress to urosepsis, particularly when empirical treatments are ineffective aga</w:t>
      </w:r>
      <w:r>
        <w:t>inst resistant strains, underscoring the urgent need for timely and accurate diagnosis and appropriate therapy (25, 62).</w:t>
      </w:r>
    </w:p>
    <w:p w:rsidR="00B84776" w:rsidRDefault="00B84776">
      <w:pPr>
        <w:pStyle w:val="BodyText"/>
        <w:spacing w:before="137"/>
        <w:ind w:left="0"/>
        <w:jc w:val="left"/>
      </w:pPr>
    </w:p>
    <w:p w:rsidR="00B84776" w:rsidRDefault="00C65940">
      <w:pPr>
        <w:pStyle w:val="Heading2"/>
        <w:numPr>
          <w:ilvl w:val="1"/>
          <w:numId w:val="1"/>
        </w:numPr>
        <w:tabs>
          <w:tab w:val="left" w:pos="460"/>
        </w:tabs>
      </w:pPr>
      <w:r>
        <w:t>Disease</w:t>
      </w:r>
      <w:r>
        <w:rPr>
          <w:spacing w:val="-3"/>
        </w:rPr>
        <w:t xml:space="preserve"> </w:t>
      </w:r>
      <w:r>
        <w:t>Severity</w:t>
      </w:r>
      <w:r>
        <w:rPr>
          <w:spacing w:val="-1"/>
        </w:rPr>
        <w:t xml:space="preserve"> </w:t>
      </w:r>
      <w:r>
        <w:t>and</w:t>
      </w:r>
      <w:r>
        <w:rPr>
          <w:spacing w:val="-3"/>
        </w:rPr>
        <w:t xml:space="preserve"> </w:t>
      </w:r>
      <w:r>
        <w:rPr>
          <w:spacing w:val="-2"/>
        </w:rPr>
        <w:t>Complications</w:t>
      </w:r>
    </w:p>
    <w:p w:rsidR="00B84776" w:rsidRDefault="00B84776">
      <w:pPr>
        <w:pStyle w:val="BodyText"/>
        <w:ind w:left="0"/>
        <w:jc w:val="left"/>
        <w:rPr>
          <w:b/>
        </w:rPr>
      </w:pPr>
    </w:p>
    <w:p w:rsidR="00B84776" w:rsidRDefault="00B84776">
      <w:pPr>
        <w:pStyle w:val="BodyText"/>
        <w:ind w:left="0"/>
        <w:jc w:val="left"/>
        <w:rPr>
          <w:b/>
        </w:rPr>
      </w:pPr>
    </w:p>
    <w:p w:rsidR="00B84776" w:rsidRDefault="00C65940">
      <w:pPr>
        <w:pStyle w:val="BodyText"/>
        <w:spacing w:line="360" w:lineRule="auto"/>
        <w:ind w:right="99"/>
      </w:pPr>
      <w:r>
        <w:t xml:space="preserve">Children infected with ESBL-producing </w:t>
      </w:r>
      <w:proofErr w:type="spellStart"/>
      <w:r>
        <w:t>uropathogens</w:t>
      </w:r>
      <w:proofErr w:type="spellEnd"/>
      <w:r>
        <w:t xml:space="preserve"> often experience longer durations of fever, </w:t>
      </w:r>
      <w:r>
        <w:t xml:space="preserve">delayed clinical response, and increased </w:t>
      </w:r>
      <w:proofErr w:type="spellStart"/>
      <w:r>
        <w:t>hospitalisation</w:t>
      </w:r>
      <w:proofErr w:type="spellEnd"/>
      <w:r>
        <w:t xml:space="preserve"> rates compared to those with susceptible strains (63). Ineffective empirical treatment— especially with third-generation cephalosporins—may result in progression to upper urinary tract infection or b</w:t>
      </w:r>
      <w:r>
        <w:t>acteremia. Recurrent infections have been linked to renal parenchymal</w:t>
      </w:r>
      <w:r>
        <w:rPr>
          <w:spacing w:val="-5"/>
        </w:rPr>
        <w:t xml:space="preserve"> </w:t>
      </w:r>
      <w:r>
        <w:t>damage</w:t>
      </w:r>
      <w:r>
        <w:rPr>
          <w:spacing w:val="-4"/>
        </w:rPr>
        <w:t xml:space="preserve"> </w:t>
      </w:r>
      <w:r>
        <w:t>and</w:t>
      </w:r>
      <w:r>
        <w:rPr>
          <w:spacing w:val="-3"/>
        </w:rPr>
        <w:t xml:space="preserve"> </w:t>
      </w:r>
      <w:r>
        <w:t>long-term</w:t>
      </w:r>
      <w:r>
        <w:rPr>
          <w:spacing w:val="-5"/>
        </w:rPr>
        <w:t xml:space="preserve"> </w:t>
      </w:r>
      <w:r>
        <w:t>sequelae</w:t>
      </w:r>
      <w:r>
        <w:rPr>
          <w:spacing w:val="-4"/>
        </w:rPr>
        <w:t xml:space="preserve"> </w:t>
      </w:r>
      <w:r>
        <w:t>such</w:t>
      </w:r>
      <w:r>
        <w:rPr>
          <w:spacing w:val="-3"/>
        </w:rPr>
        <w:t xml:space="preserve"> </w:t>
      </w:r>
      <w:r>
        <w:t>as</w:t>
      </w:r>
      <w:r>
        <w:rPr>
          <w:spacing w:val="-5"/>
        </w:rPr>
        <w:t xml:space="preserve"> </w:t>
      </w:r>
      <w:r>
        <w:t>hypertension</w:t>
      </w:r>
      <w:r>
        <w:rPr>
          <w:spacing w:val="-3"/>
        </w:rPr>
        <w:t xml:space="preserve"> </w:t>
      </w:r>
      <w:r>
        <w:t>and</w:t>
      </w:r>
      <w:r>
        <w:rPr>
          <w:spacing w:val="-5"/>
        </w:rPr>
        <w:t xml:space="preserve"> </w:t>
      </w:r>
      <w:r>
        <w:t>chronic</w:t>
      </w:r>
      <w:r>
        <w:rPr>
          <w:spacing w:val="-4"/>
        </w:rPr>
        <w:t xml:space="preserve"> </w:t>
      </w:r>
      <w:r>
        <w:t>kidney disease (64).</w:t>
      </w:r>
    </w:p>
    <w:p w:rsidR="00B84776" w:rsidRDefault="00B84776">
      <w:pPr>
        <w:pStyle w:val="BodyText"/>
        <w:spacing w:before="138"/>
        <w:ind w:left="0"/>
        <w:jc w:val="left"/>
      </w:pPr>
    </w:p>
    <w:p w:rsidR="00B84776" w:rsidRDefault="00C65940">
      <w:pPr>
        <w:pStyle w:val="Heading2"/>
        <w:numPr>
          <w:ilvl w:val="1"/>
          <w:numId w:val="1"/>
        </w:numPr>
        <w:tabs>
          <w:tab w:val="left" w:pos="460"/>
        </w:tabs>
      </w:pPr>
      <w:r>
        <w:t>Recurrent</w:t>
      </w:r>
      <w:r>
        <w:rPr>
          <w:spacing w:val="-4"/>
        </w:rPr>
        <w:t xml:space="preserve"> </w:t>
      </w:r>
      <w:r>
        <w:t>UTIs</w:t>
      </w:r>
      <w:r>
        <w:rPr>
          <w:spacing w:val="-2"/>
        </w:rPr>
        <w:t xml:space="preserve"> </w:t>
      </w:r>
      <w:r>
        <w:t>and</w:t>
      </w:r>
      <w:r>
        <w:rPr>
          <w:spacing w:val="-4"/>
        </w:rPr>
        <w:t xml:space="preserve"> </w:t>
      </w:r>
      <w:r>
        <w:t>Healthcare</w:t>
      </w:r>
      <w:r>
        <w:rPr>
          <w:spacing w:val="-1"/>
        </w:rPr>
        <w:t xml:space="preserve"> </w:t>
      </w:r>
      <w:r>
        <w:rPr>
          <w:spacing w:val="-2"/>
        </w:rPr>
        <w:t>Burden</w:t>
      </w:r>
    </w:p>
    <w:p w:rsidR="00B84776" w:rsidRDefault="00B84776">
      <w:pPr>
        <w:pStyle w:val="BodyText"/>
        <w:ind w:left="0"/>
        <w:jc w:val="left"/>
        <w:rPr>
          <w:b/>
        </w:rPr>
      </w:pPr>
    </w:p>
    <w:p w:rsidR="00B84776" w:rsidRDefault="00B84776">
      <w:pPr>
        <w:pStyle w:val="BodyText"/>
        <w:ind w:left="0"/>
        <w:jc w:val="left"/>
        <w:rPr>
          <w:b/>
        </w:rPr>
      </w:pPr>
    </w:p>
    <w:p w:rsidR="00B84776" w:rsidRDefault="00C65940">
      <w:pPr>
        <w:pStyle w:val="BodyText"/>
        <w:spacing w:line="360" w:lineRule="auto"/>
        <w:ind w:right="97"/>
      </w:pPr>
      <w:r>
        <w:t>Recurrent</w:t>
      </w:r>
      <w:r>
        <w:rPr>
          <w:spacing w:val="-2"/>
        </w:rPr>
        <w:t xml:space="preserve"> </w:t>
      </w:r>
      <w:r>
        <w:t>UTIs are</w:t>
      </w:r>
      <w:r>
        <w:rPr>
          <w:spacing w:val="-1"/>
        </w:rPr>
        <w:t xml:space="preserve"> </w:t>
      </w:r>
      <w:r>
        <w:t>a</w:t>
      </w:r>
      <w:r>
        <w:rPr>
          <w:spacing w:val="-1"/>
        </w:rPr>
        <w:t xml:space="preserve"> </w:t>
      </w:r>
      <w:r>
        <w:t>common</w:t>
      </w:r>
      <w:r>
        <w:rPr>
          <w:spacing w:val="-2"/>
        </w:rPr>
        <w:t xml:space="preserve"> </w:t>
      </w:r>
      <w:r>
        <w:t>issue</w:t>
      </w:r>
      <w:r>
        <w:rPr>
          <w:spacing w:val="-1"/>
        </w:rPr>
        <w:t xml:space="preserve"> </w:t>
      </w:r>
      <w:r>
        <w:t>among</w:t>
      </w:r>
      <w:r>
        <w:rPr>
          <w:spacing w:val="-2"/>
        </w:rPr>
        <w:t xml:space="preserve"> </w:t>
      </w:r>
      <w:r>
        <w:t>pediatric</w:t>
      </w:r>
      <w:r>
        <w:rPr>
          <w:spacing w:val="-1"/>
        </w:rPr>
        <w:t xml:space="preserve"> </w:t>
      </w:r>
      <w:r>
        <w:t xml:space="preserve">patients </w:t>
      </w:r>
      <w:r>
        <w:t>previously infected with ESBL-producing bacteria. These episodes often lead to increased outpatient visits, repeat hospital admissions, and extended antibiotic therapy (65). Children with structural anomalies or immunodeficiencies face elevated risks for r</w:t>
      </w:r>
      <w:r>
        <w:t>ecurrence and complications (66).</w:t>
      </w:r>
    </w:p>
    <w:p w:rsidR="00B84776" w:rsidRDefault="00B84776">
      <w:pPr>
        <w:pStyle w:val="BodyText"/>
        <w:spacing w:before="138"/>
        <w:ind w:left="0"/>
        <w:jc w:val="left"/>
      </w:pPr>
    </w:p>
    <w:p w:rsidR="00B84776" w:rsidRDefault="00C65940">
      <w:pPr>
        <w:pStyle w:val="Heading2"/>
        <w:numPr>
          <w:ilvl w:val="1"/>
          <w:numId w:val="1"/>
        </w:numPr>
        <w:tabs>
          <w:tab w:val="left" w:pos="460"/>
        </w:tabs>
        <w:spacing w:before="1"/>
      </w:pPr>
      <w:r>
        <w:t>Risk</w:t>
      </w:r>
      <w:r>
        <w:rPr>
          <w:spacing w:val="-5"/>
        </w:rPr>
        <w:t xml:space="preserve"> </w:t>
      </w:r>
      <w:r>
        <w:t>Factors</w:t>
      </w:r>
      <w:r>
        <w:rPr>
          <w:spacing w:val="-1"/>
        </w:rPr>
        <w:t xml:space="preserve"> </w:t>
      </w:r>
      <w:r>
        <w:t>for</w:t>
      </w:r>
      <w:r>
        <w:rPr>
          <w:spacing w:val="-2"/>
        </w:rPr>
        <w:t xml:space="preserve"> </w:t>
      </w:r>
      <w:r>
        <w:t>ESBL</w:t>
      </w:r>
      <w:r>
        <w:rPr>
          <w:spacing w:val="-3"/>
        </w:rPr>
        <w:t xml:space="preserve"> </w:t>
      </w:r>
      <w:r>
        <w:t>Colonization</w:t>
      </w:r>
      <w:r>
        <w:rPr>
          <w:spacing w:val="-3"/>
        </w:rPr>
        <w:t xml:space="preserve"> </w:t>
      </w:r>
      <w:r>
        <w:t>and</w:t>
      </w:r>
      <w:r>
        <w:rPr>
          <w:spacing w:val="-2"/>
        </w:rPr>
        <w:t xml:space="preserve"> Infection</w:t>
      </w:r>
    </w:p>
    <w:p w:rsidR="00B84776" w:rsidRDefault="00C65940">
      <w:pPr>
        <w:pStyle w:val="BodyText"/>
        <w:spacing w:before="136" w:line="360" w:lineRule="auto"/>
        <w:jc w:val="left"/>
      </w:pPr>
      <w:r>
        <w:t>Multiple</w:t>
      </w:r>
      <w:r>
        <w:rPr>
          <w:spacing w:val="79"/>
        </w:rPr>
        <w:t xml:space="preserve"> </w:t>
      </w:r>
      <w:r>
        <w:t>risk</w:t>
      </w:r>
      <w:r>
        <w:rPr>
          <w:spacing w:val="80"/>
        </w:rPr>
        <w:t xml:space="preserve"> </w:t>
      </w:r>
      <w:r>
        <w:t>factors</w:t>
      </w:r>
      <w:r>
        <w:rPr>
          <w:spacing w:val="80"/>
        </w:rPr>
        <w:t xml:space="preserve"> </w:t>
      </w:r>
      <w:r>
        <w:t>are</w:t>
      </w:r>
      <w:r>
        <w:rPr>
          <w:spacing w:val="80"/>
        </w:rPr>
        <w:t xml:space="preserve"> </w:t>
      </w:r>
      <w:r>
        <w:t>associated</w:t>
      </w:r>
      <w:r>
        <w:rPr>
          <w:spacing w:val="80"/>
        </w:rPr>
        <w:t xml:space="preserve"> </w:t>
      </w:r>
      <w:r>
        <w:t>with</w:t>
      </w:r>
      <w:r>
        <w:rPr>
          <w:spacing w:val="80"/>
        </w:rPr>
        <w:t xml:space="preserve"> </w:t>
      </w:r>
      <w:r>
        <w:t>colonization</w:t>
      </w:r>
      <w:r>
        <w:rPr>
          <w:spacing w:val="80"/>
        </w:rPr>
        <w:t xml:space="preserve"> </w:t>
      </w:r>
      <w:r>
        <w:t>and</w:t>
      </w:r>
      <w:r>
        <w:rPr>
          <w:spacing w:val="80"/>
        </w:rPr>
        <w:t xml:space="preserve"> </w:t>
      </w:r>
      <w:r>
        <w:t>infection</w:t>
      </w:r>
      <w:r>
        <w:rPr>
          <w:spacing w:val="80"/>
        </w:rPr>
        <w:t xml:space="preserve"> </w:t>
      </w:r>
      <w:r>
        <w:t>by</w:t>
      </w:r>
      <w:r>
        <w:rPr>
          <w:spacing w:val="80"/>
        </w:rPr>
        <w:t xml:space="preserve"> </w:t>
      </w:r>
      <w:r>
        <w:t>ESBL- producing organisms:</w:t>
      </w:r>
    </w:p>
    <w:p w:rsidR="00B84776" w:rsidRDefault="00C65940">
      <w:pPr>
        <w:pStyle w:val="ListParagraph"/>
        <w:numPr>
          <w:ilvl w:val="2"/>
          <w:numId w:val="1"/>
        </w:numPr>
        <w:tabs>
          <w:tab w:val="left" w:pos="940"/>
        </w:tabs>
        <w:spacing w:line="360" w:lineRule="auto"/>
        <w:ind w:left="940" w:right="100"/>
        <w:jc w:val="left"/>
        <w:rPr>
          <w:sz w:val="24"/>
        </w:rPr>
      </w:pPr>
      <w:r>
        <w:rPr>
          <w:sz w:val="24"/>
        </w:rPr>
        <w:t>Prior</w:t>
      </w:r>
      <w:r>
        <w:rPr>
          <w:spacing w:val="-4"/>
          <w:sz w:val="24"/>
        </w:rPr>
        <w:t xml:space="preserve"> </w:t>
      </w:r>
      <w:r>
        <w:rPr>
          <w:sz w:val="24"/>
        </w:rPr>
        <w:t>antibiotic</w:t>
      </w:r>
      <w:r>
        <w:rPr>
          <w:spacing w:val="-6"/>
          <w:sz w:val="24"/>
        </w:rPr>
        <w:t xml:space="preserve"> </w:t>
      </w:r>
      <w:r>
        <w:rPr>
          <w:sz w:val="24"/>
        </w:rPr>
        <w:t>exposure,</w:t>
      </w:r>
      <w:r>
        <w:rPr>
          <w:spacing w:val="-3"/>
          <w:sz w:val="24"/>
        </w:rPr>
        <w:t xml:space="preserve"> </w:t>
      </w:r>
      <w:r>
        <w:rPr>
          <w:sz w:val="24"/>
        </w:rPr>
        <w:t>particularly</w:t>
      </w:r>
      <w:r>
        <w:rPr>
          <w:spacing w:val="-3"/>
          <w:sz w:val="24"/>
        </w:rPr>
        <w:t xml:space="preserve"> </w:t>
      </w:r>
      <w:r>
        <w:rPr>
          <w:sz w:val="24"/>
        </w:rPr>
        <w:t>to</w:t>
      </w:r>
      <w:r>
        <w:rPr>
          <w:spacing w:val="-3"/>
          <w:sz w:val="24"/>
        </w:rPr>
        <w:t xml:space="preserve"> </w:t>
      </w:r>
      <w:r>
        <w:rPr>
          <w:sz w:val="24"/>
        </w:rPr>
        <w:t>cephalosporins</w:t>
      </w:r>
      <w:r>
        <w:rPr>
          <w:spacing w:val="-3"/>
          <w:sz w:val="24"/>
        </w:rPr>
        <w:t xml:space="preserve"> </w:t>
      </w:r>
      <w:r>
        <w:rPr>
          <w:sz w:val="24"/>
        </w:rPr>
        <w:t>and</w:t>
      </w:r>
      <w:r>
        <w:rPr>
          <w:spacing w:val="-3"/>
          <w:sz w:val="24"/>
        </w:rPr>
        <w:t xml:space="preserve"> </w:t>
      </w:r>
      <w:r>
        <w:rPr>
          <w:sz w:val="24"/>
        </w:rPr>
        <w:t>fluoroquino</w:t>
      </w:r>
      <w:r>
        <w:rPr>
          <w:sz w:val="24"/>
        </w:rPr>
        <w:t xml:space="preserve">lones </w:t>
      </w:r>
      <w:r>
        <w:rPr>
          <w:spacing w:val="-2"/>
          <w:sz w:val="24"/>
        </w:rPr>
        <w:t>(67).</w:t>
      </w:r>
    </w:p>
    <w:p w:rsidR="00B84776" w:rsidRDefault="00C65940">
      <w:pPr>
        <w:pStyle w:val="ListParagraph"/>
        <w:numPr>
          <w:ilvl w:val="2"/>
          <w:numId w:val="1"/>
        </w:numPr>
        <w:tabs>
          <w:tab w:val="left" w:pos="939"/>
        </w:tabs>
        <w:spacing w:before="1"/>
        <w:ind w:left="939" w:hanging="419"/>
        <w:jc w:val="left"/>
        <w:rPr>
          <w:sz w:val="24"/>
        </w:rPr>
      </w:pPr>
      <w:proofErr w:type="spellStart"/>
      <w:r>
        <w:rPr>
          <w:sz w:val="24"/>
        </w:rPr>
        <w:t>Hospitalisation</w:t>
      </w:r>
      <w:proofErr w:type="spellEnd"/>
      <w:r>
        <w:rPr>
          <w:sz w:val="24"/>
        </w:rPr>
        <w:t>,</w:t>
      </w:r>
      <w:r>
        <w:rPr>
          <w:spacing w:val="-8"/>
          <w:sz w:val="24"/>
        </w:rPr>
        <w:t xml:space="preserve"> </w:t>
      </w:r>
      <w:proofErr w:type="spellStart"/>
      <w:r>
        <w:rPr>
          <w:sz w:val="24"/>
        </w:rPr>
        <w:t>catheterisation</w:t>
      </w:r>
      <w:proofErr w:type="spellEnd"/>
      <w:r>
        <w:rPr>
          <w:sz w:val="24"/>
        </w:rPr>
        <w:t>,</w:t>
      </w:r>
      <w:r>
        <w:rPr>
          <w:spacing w:val="-3"/>
          <w:sz w:val="24"/>
        </w:rPr>
        <w:t xml:space="preserve"> </w:t>
      </w:r>
      <w:r>
        <w:rPr>
          <w:sz w:val="24"/>
        </w:rPr>
        <w:t>and recent</w:t>
      </w:r>
      <w:r>
        <w:rPr>
          <w:spacing w:val="-3"/>
          <w:sz w:val="24"/>
        </w:rPr>
        <w:t xml:space="preserve"> </w:t>
      </w:r>
      <w:r>
        <w:rPr>
          <w:sz w:val="24"/>
        </w:rPr>
        <w:t>medical</w:t>
      </w:r>
      <w:r>
        <w:rPr>
          <w:spacing w:val="-3"/>
          <w:sz w:val="24"/>
        </w:rPr>
        <w:t xml:space="preserve"> </w:t>
      </w:r>
      <w:r>
        <w:rPr>
          <w:sz w:val="24"/>
        </w:rPr>
        <w:t xml:space="preserve">procedures </w:t>
      </w:r>
      <w:r>
        <w:rPr>
          <w:spacing w:val="-2"/>
          <w:sz w:val="24"/>
        </w:rPr>
        <w:t>(68).</w:t>
      </w:r>
    </w:p>
    <w:p w:rsidR="00B84776" w:rsidRDefault="00C65940">
      <w:pPr>
        <w:pStyle w:val="ListParagraph"/>
        <w:numPr>
          <w:ilvl w:val="2"/>
          <w:numId w:val="1"/>
        </w:numPr>
        <w:tabs>
          <w:tab w:val="left" w:pos="939"/>
        </w:tabs>
        <w:spacing w:before="139"/>
        <w:ind w:left="939" w:hanging="419"/>
        <w:jc w:val="left"/>
        <w:rPr>
          <w:sz w:val="24"/>
        </w:rPr>
      </w:pPr>
      <w:r>
        <w:rPr>
          <w:sz w:val="24"/>
        </w:rPr>
        <w:t>Congenital</w:t>
      </w:r>
      <w:r>
        <w:rPr>
          <w:spacing w:val="-5"/>
          <w:sz w:val="24"/>
        </w:rPr>
        <w:t xml:space="preserve"> </w:t>
      </w:r>
      <w:r>
        <w:rPr>
          <w:sz w:val="24"/>
        </w:rPr>
        <w:t>urinary</w:t>
      </w:r>
      <w:r>
        <w:rPr>
          <w:spacing w:val="-2"/>
          <w:sz w:val="24"/>
        </w:rPr>
        <w:t xml:space="preserve"> </w:t>
      </w:r>
      <w:r>
        <w:rPr>
          <w:sz w:val="24"/>
        </w:rPr>
        <w:t>anomalies</w:t>
      </w:r>
      <w:r>
        <w:rPr>
          <w:spacing w:val="-1"/>
          <w:sz w:val="24"/>
        </w:rPr>
        <w:t xml:space="preserve"> </w:t>
      </w:r>
      <w:r>
        <w:rPr>
          <w:sz w:val="24"/>
        </w:rPr>
        <w:t>(e.g.,</w:t>
      </w:r>
      <w:r>
        <w:rPr>
          <w:spacing w:val="-3"/>
          <w:sz w:val="24"/>
        </w:rPr>
        <w:t xml:space="preserve"> </w:t>
      </w:r>
      <w:r>
        <w:rPr>
          <w:sz w:val="24"/>
        </w:rPr>
        <w:t>vesicoureteral</w:t>
      </w:r>
      <w:r>
        <w:rPr>
          <w:spacing w:val="-2"/>
          <w:sz w:val="24"/>
        </w:rPr>
        <w:t xml:space="preserve"> </w:t>
      </w:r>
      <w:r>
        <w:rPr>
          <w:sz w:val="24"/>
        </w:rPr>
        <w:t>reflux)</w:t>
      </w:r>
      <w:r>
        <w:rPr>
          <w:spacing w:val="-3"/>
          <w:sz w:val="24"/>
        </w:rPr>
        <w:t xml:space="preserve"> </w:t>
      </w:r>
      <w:r>
        <w:rPr>
          <w:spacing w:val="-2"/>
          <w:sz w:val="24"/>
        </w:rPr>
        <w:t>(69).</w:t>
      </w:r>
    </w:p>
    <w:p w:rsidR="00B84776" w:rsidRDefault="00B84776">
      <w:pPr>
        <w:pStyle w:val="ListParagraph"/>
        <w:jc w:val="left"/>
        <w:rPr>
          <w:sz w:val="24"/>
        </w:rPr>
        <w:sectPr w:rsidR="00B84776">
          <w:pgSz w:w="11910" w:h="16840"/>
          <w:pgMar w:top="1360" w:right="1700" w:bottom="280" w:left="1700" w:header="720" w:footer="720" w:gutter="0"/>
          <w:cols w:space="720"/>
        </w:sectPr>
      </w:pPr>
    </w:p>
    <w:p w:rsidR="00B84776" w:rsidRDefault="00C65940">
      <w:pPr>
        <w:pStyle w:val="ListParagraph"/>
        <w:numPr>
          <w:ilvl w:val="2"/>
          <w:numId w:val="1"/>
        </w:numPr>
        <w:tabs>
          <w:tab w:val="left" w:pos="939"/>
        </w:tabs>
        <w:spacing w:before="62"/>
        <w:ind w:left="939" w:hanging="419"/>
        <w:jc w:val="left"/>
        <w:rPr>
          <w:sz w:val="24"/>
        </w:rPr>
      </w:pPr>
      <w:r>
        <w:rPr>
          <w:sz w:val="24"/>
        </w:rPr>
        <w:lastRenderedPageBreak/>
        <w:t>Poor</w:t>
      </w:r>
      <w:r>
        <w:rPr>
          <w:spacing w:val="-3"/>
          <w:sz w:val="24"/>
        </w:rPr>
        <w:t xml:space="preserve"> </w:t>
      </w:r>
      <w:r>
        <w:rPr>
          <w:sz w:val="24"/>
        </w:rPr>
        <w:t>hygiene</w:t>
      </w:r>
      <w:r>
        <w:rPr>
          <w:spacing w:val="-1"/>
          <w:sz w:val="24"/>
        </w:rPr>
        <w:t xml:space="preserve"> </w:t>
      </w:r>
      <w:r>
        <w:rPr>
          <w:sz w:val="24"/>
        </w:rPr>
        <w:t>and inadequate</w:t>
      </w:r>
      <w:r>
        <w:rPr>
          <w:spacing w:val="-2"/>
          <w:sz w:val="24"/>
        </w:rPr>
        <w:t xml:space="preserve"> </w:t>
      </w:r>
      <w:r>
        <w:rPr>
          <w:sz w:val="24"/>
        </w:rPr>
        <w:t>sanitation</w:t>
      </w:r>
      <w:r>
        <w:rPr>
          <w:spacing w:val="-1"/>
          <w:sz w:val="24"/>
        </w:rPr>
        <w:t xml:space="preserve"> </w:t>
      </w:r>
      <w:r>
        <w:rPr>
          <w:spacing w:val="-4"/>
          <w:sz w:val="24"/>
        </w:rPr>
        <w:t>(70).</w:t>
      </w:r>
    </w:p>
    <w:p w:rsidR="00B84776" w:rsidRDefault="00C65940">
      <w:pPr>
        <w:pStyle w:val="ListParagraph"/>
        <w:numPr>
          <w:ilvl w:val="2"/>
          <w:numId w:val="1"/>
        </w:numPr>
        <w:tabs>
          <w:tab w:val="left" w:pos="939"/>
        </w:tabs>
        <w:spacing w:before="137"/>
        <w:ind w:left="939" w:hanging="419"/>
        <w:jc w:val="left"/>
        <w:rPr>
          <w:sz w:val="24"/>
        </w:rPr>
      </w:pPr>
      <w:r>
        <w:rPr>
          <w:sz w:val="24"/>
        </w:rPr>
        <w:t>Household</w:t>
      </w:r>
      <w:r>
        <w:rPr>
          <w:spacing w:val="-3"/>
          <w:sz w:val="24"/>
        </w:rPr>
        <w:t xml:space="preserve"> </w:t>
      </w:r>
      <w:r>
        <w:rPr>
          <w:sz w:val="24"/>
        </w:rPr>
        <w:t>or</w:t>
      </w:r>
      <w:r>
        <w:rPr>
          <w:spacing w:val="-3"/>
          <w:sz w:val="24"/>
        </w:rPr>
        <w:t xml:space="preserve"> </w:t>
      </w:r>
      <w:r>
        <w:rPr>
          <w:sz w:val="24"/>
        </w:rPr>
        <w:t>community-level</w:t>
      </w:r>
      <w:r>
        <w:rPr>
          <w:spacing w:val="1"/>
          <w:sz w:val="24"/>
        </w:rPr>
        <w:t xml:space="preserve"> </w:t>
      </w:r>
      <w:r>
        <w:rPr>
          <w:sz w:val="24"/>
        </w:rPr>
        <w:t>transmission</w:t>
      </w:r>
      <w:r>
        <w:rPr>
          <w:spacing w:val="-5"/>
          <w:sz w:val="24"/>
        </w:rPr>
        <w:t xml:space="preserve"> </w:t>
      </w:r>
      <w:r>
        <w:rPr>
          <w:spacing w:val="-4"/>
          <w:sz w:val="24"/>
        </w:rPr>
        <w:t>(71).</w:t>
      </w:r>
    </w:p>
    <w:p w:rsidR="00B84776" w:rsidRDefault="00B84776">
      <w:pPr>
        <w:pStyle w:val="BodyText"/>
        <w:ind w:left="0"/>
        <w:jc w:val="left"/>
      </w:pPr>
    </w:p>
    <w:p w:rsidR="00B84776" w:rsidRDefault="00B84776">
      <w:pPr>
        <w:pStyle w:val="BodyText"/>
        <w:ind w:left="0"/>
        <w:jc w:val="left"/>
      </w:pPr>
    </w:p>
    <w:p w:rsidR="00B84776" w:rsidRDefault="00C65940">
      <w:pPr>
        <w:pStyle w:val="Heading2"/>
        <w:numPr>
          <w:ilvl w:val="1"/>
          <w:numId w:val="1"/>
        </w:numPr>
        <w:tabs>
          <w:tab w:val="left" w:pos="460"/>
        </w:tabs>
      </w:pPr>
      <w:r>
        <w:t>Vulnerable</w:t>
      </w:r>
      <w:r>
        <w:rPr>
          <w:spacing w:val="-7"/>
        </w:rPr>
        <w:t xml:space="preserve"> </w:t>
      </w:r>
      <w:r>
        <w:rPr>
          <w:spacing w:val="-2"/>
        </w:rPr>
        <w:t>Subgroups</w:t>
      </w:r>
    </w:p>
    <w:p w:rsidR="00B84776" w:rsidRDefault="00C65940">
      <w:pPr>
        <w:pStyle w:val="BodyText"/>
        <w:spacing w:before="137" w:line="360" w:lineRule="auto"/>
        <w:ind w:right="99"/>
      </w:pPr>
      <w:r>
        <w:t xml:space="preserve">Premature infants, immunocompromised children (e.g., HIV or cancer patients), and those on long-term antibiotic prophylaxis are more likely to </w:t>
      </w:r>
      <w:proofErr w:type="spellStart"/>
      <w:r>
        <w:t>harbour</w:t>
      </w:r>
      <w:proofErr w:type="spellEnd"/>
      <w:r>
        <w:t xml:space="preserve"> multidrug- resistant bacteria (72). Additionally, limited pharmacologic options for </w:t>
      </w:r>
      <w:r>
        <w:t>these subgroups complicate treatment and increase the risk of poor outcomes.</w:t>
      </w:r>
    </w:p>
    <w:p w:rsidR="00B84776" w:rsidRDefault="00B84776">
      <w:pPr>
        <w:pStyle w:val="BodyText"/>
        <w:spacing w:before="139"/>
        <w:ind w:left="0"/>
        <w:jc w:val="left"/>
      </w:pPr>
    </w:p>
    <w:p w:rsidR="00B84776" w:rsidRDefault="00C65940">
      <w:pPr>
        <w:pStyle w:val="Heading2"/>
        <w:numPr>
          <w:ilvl w:val="1"/>
          <w:numId w:val="1"/>
        </w:numPr>
        <w:tabs>
          <w:tab w:val="left" w:pos="460"/>
        </w:tabs>
      </w:pPr>
      <w:r>
        <w:t>Psychological</w:t>
      </w:r>
      <w:r>
        <w:rPr>
          <w:spacing w:val="-4"/>
        </w:rPr>
        <w:t xml:space="preserve"> </w:t>
      </w:r>
      <w:r>
        <w:t>and</w:t>
      </w:r>
      <w:r>
        <w:rPr>
          <w:spacing w:val="-1"/>
        </w:rPr>
        <w:t xml:space="preserve"> </w:t>
      </w:r>
      <w:r>
        <w:t>Social</w:t>
      </w:r>
      <w:r>
        <w:rPr>
          <w:spacing w:val="-3"/>
        </w:rPr>
        <w:t xml:space="preserve"> </w:t>
      </w:r>
      <w:r>
        <w:rPr>
          <w:spacing w:val="-2"/>
        </w:rPr>
        <w:t>Impact</w:t>
      </w:r>
    </w:p>
    <w:p w:rsidR="00B84776" w:rsidRDefault="00C65940">
      <w:pPr>
        <w:pStyle w:val="BodyText"/>
        <w:spacing w:before="137" w:line="360" w:lineRule="auto"/>
        <w:ind w:right="97"/>
      </w:pPr>
      <w:r>
        <w:t xml:space="preserve">Recurrent infections, </w:t>
      </w:r>
      <w:proofErr w:type="spellStart"/>
      <w:r>
        <w:t>hospitalisation</w:t>
      </w:r>
      <w:proofErr w:type="spellEnd"/>
      <w:r>
        <w:t>, and the need for IV therapy can be emotionally distressing for both children and caregivers. The economic b</w:t>
      </w:r>
      <w:r>
        <w:t xml:space="preserve">urden from prolonged illness, diagnostic testing, and missed workdays further strains low-income families </w:t>
      </w:r>
      <w:r>
        <w:rPr>
          <w:spacing w:val="-4"/>
        </w:rPr>
        <w:t>(9).</w:t>
      </w:r>
    </w:p>
    <w:p w:rsidR="00B84776" w:rsidRDefault="00B84776">
      <w:pPr>
        <w:pStyle w:val="BodyText"/>
        <w:ind w:left="0"/>
        <w:jc w:val="left"/>
      </w:pPr>
    </w:p>
    <w:p w:rsidR="00B84776" w:rsidRDefault="00B84776">
      <w:pPr>
        <w:pStyle w:val="BodyText"/>
        <w:spacing w:before="103"/>
        <w:ind w:left="0"/>
        <w:jc w:val="left"/>
      </w:pPr>
    </w:p>
    <w:p w:rsidR="00B84776" w:rsidRDefault="00C65940">
      <w:pPr>
        <w:pStyle w:val="Heading1"/>
        <w:numPr>
          <w:ilvl w:val="0"/>
          <w:numId w:val="1"/>
        </w:numPr>
        <w:tabs>
          <w:tab w:val="left" w:pos="630"/>
        </w:tabs>
        <w:spacing w:line="360" w:lineRule="auto"/>
        <w:ind w:left="100" w:right="99" w:firstLine="0"/>
        <w:jc w:val="both"/>
      </w:pPr>
      <w:r>
        <w:t>DIAGNOSTIC APPROACHES: CURRENT PRACTICES AND MOLECULAR ADVANCES</w:t>
      </w:r>
    </w:p>
    <w:p w:rsidR="00B84776" w:rsidRDefault="00C65940">
      <w:pPr>
        <w:pStyle w:val="BodyText"/>
        <w:spacing w:line="360" w:lineRule="auto"/>
        <w:ind w:right="99"/>
      </w:pPr>
      <w:r>
        <w:t xml:space="preserve">Accurate and timely diagnosis of ESBL-producing UTIs in children is critical </w:t>
      </w:r>
      <w:r>
        <w:t>for guiding therapy and avoiding complications. However, in resource-constrained environments like Nigeria, challenges such as infrastructure deficits, delayed cultural results, and reliance on empirical therapy persist (36).</w:t>
      </w:r>
    </w:p>
    <w:p w:rsidR="00B84776" w:rsidRDefault="00B84776">
      <w:pPr>
        <w:pStyle w:val="BodyText"/>
        <w:spacing w:before="137"/>
        <w:ind w:left="0"/>
        <w:jc w:val="left"/>
      </w:pPr>
    </w:p>
    <w:p w:rsidR="00B84776" w:rsidRDefault="00C65940">
      <w:pPr>
        <w:pStyle w:val="Heading2"/>
        <w:numPr>
          <w:ilvl w:val="1"/>
          <w:numId w:val="1"/>
        </w:numPr>
        <w:tabs>
          <w:tab w:val="left" w:pos="460"/>
        </w:tabs>
      </w:pPr>
      <w:r>
        <w:t>Traditional</w:t>
      </w:r>
      <w:r>
        <w:rPr>
          <w:spacing w:val="-4"/>
        </w:rPr>
        <w:t xml:space="preserve"> </w:t>
      </w:r>
      <w:r>
        <w:t>Diagnostic</w:t>
      </w:r>
      <w:r>
        <w:rPr>
          <w:spacing w:val="-3"/>
        </w:rPr>
        <w:t xml:space="preserve"> </w:t>
      </w:r>
      <w:r>
        <w:rPr>
          <w:spacing w:val="-2"/>
        </w:rPr>
        <w:t>Method</w:t>
      </w:r>
      <w:r>
        <w:rPr>
          <w:spacing w:val="-2"/>
        </w:rPr>
        <w:t>s</w:t>
      </w:r>
    </w:p>
    <w:p w:rsidR="00B84776" w:rsidRDefault="00C65940">
      <w:pPr>
        <w:pStyle w:val="BodyText"/>
        <w:spacing w:before="139" w:line="360" w:lineRule="auto"/>
        <w:ind w:right="99"/>
      </w:pPr>
      <w:r>
        <w:t>Standard UTI diagnosis includes urinalysis, urine culture, and AST (antimicrobial susceptibility testing). Urinalysis provides a quick screening, but urine culture is the definitive</w:t>
      </w:r>
      <w:r>
        <w:rPr>
          <w:spacing w:val="11"/>
        </w:rPr>
        <w:t xml:space="preserve"> </w:t>
      </w:r>
      <w:r>
        <w:t>method</w:t>
      </w:r>
      <w:r>
        <w:rPr>
          <w:spacing w:val="15"/>
        </w:rPr>
        <w:t xml:space="preserve"> </w:t>
      </w:r>
      <w:r>
        <w:t>for</w:t>
      </w:r>
      <w:r>
        <w:rPr>
          <w:spacing w:val="16"/>
        </w:rPr>
        <w:t xml:space="preserve"> </w:t>
      </w:r>
      <w:r>
        <w:t>identifying</w:t>
      </w:r>
      <w:r>
        <w:rPr>
          <w:spacing w:val="18"/>
        </w:rPr>
        <w:t xml:space="preserve"> </w:t>
      </w:r>
      <w:r>
        <w:t>the</w:t>
      </w:r>
      <w:r>
        <w:rPr>
          <w:spacing w:val="16"/>
        </w:rPr>
        <w:t xml:space="preserve"> </w:t>
      </w:r>
      <w:r>
        <w:t>causative</w:t>
      </w:r>
      <w:r>
        <w:rPr>
          <w:spacing w:val="14"/>
        </w:rPr>
        <w:t xml:space="preserve"> </w:t>
      </w:r>
      <w:r>
        <w:t>pathogen</w:t>
      </w:r>
      <w:r>
        <w:rPr>
          <w:spacing w:val="17"/>
        </w:rPr>
        <w:t xml:space="preserve"> </w:t>
      </w:r>
      <w:r>
        <w:t>and</w:t>
      </w:r>
      <w:r>
        <w:rPr>
          <w:spacing w:val="17"/>
        </w:rPr>
        <w:t xml:space="preserve"> </w:t>
      </w:r>
      <w:r>
        <w:t>its</w:t>
      </w:r>
      <w:r>
        <w:rPr>
          <w:spacing w:val="16"/>
        </w:rPr>
        <w:t xml:space="preserve"> </w:t>
      </w:r>
      <w:r>
        <w:t>susceptibility</w:t>
      </w:r>
      <w:r>
        <w:rPr>
          <w:spacing w:val="13"/>
        </w:rPr>
        <w:t xml:space="preserve"> </w:t>
      </w:r>
      <w:r>
        <w:rPr>
          <w:spacing w:val="-2"/>
        </w:rPr>
        <w:t>profile</w:t>
      </w:r>
    </w:p>
    <w:p w:rsidR="00B84776" w:rsidRDefault="00C65940">
      <w:pPr>
        <w:pStyle w:val="BodyText"/>
        <w:spacing w:line="360" w:lineRule="auto"/>
        <w:ind w:right="101"/>
      </w:pPr>
      <w:r>
        <w:t>(73).</w:t>
      </w:r>
      <w:r>
        <w:rPr>
          <w:spacing w:val="-2"/>
        </w:rPr>
        <w:t xml:space="preserve"> </w:t>
      </w:r>
      <w:r>
        <w:t>ESBL</w:t>
      </w:r>
      <w:r>
        <w:rPr>
          <w:spacing w:val="-2"/>
        </w:rPr>
        <w:t xml:space="preserve"> </w:t>
      </w:r>
      <w:r>
        <w:t>production</w:t>
      </w:r>
      <w:r>
        <w:rPr>
          <w:spacing w:val="-4"/>
        </w:rPr>
        <w:t xml:space="preserve"> </w:t>
      </w:r>
      <w:r>
        <w:t>is</w:t>
      </w:r>
      <w:r>
        <w:rPr>
          <w:spacing w:val="-4"/>
        </w:rPr>
        <w:t xml:space="preserve"> </w:t>
      </w:r>
      <w:r>
        <w:t>detected</w:t>
      </w:r>
      <w:r>
        <w:rPr>
          <w:spacing w:val="-4"/>
        </w:rPr>
        <w:t xml:space="preserve"> </w:t>
      </w:r>
      <w:r>
        <w:t>using</w:t>
      </w:r>
      <w:r>
        <w:rPr>
          <w:spacing w:val="-4"/>
        </w:rPr>
        <w:t xml:space="preserve"> </w:t>
      </w:r>
      <w:r>
        <w:t>phenotypic</w:t>
      </w:r>
      <w:r>
        <w:rPr>
          <w:spacing w:val="-3"/>
        </w:rPr>
        <w:t xml:space="preserve"> </w:t>
      </w:r>
      <w:r>
        <w:t>methods</w:t>
      </w:r>
      <w:r>
        <w:rPr>
          <w:spacing w:val="-4"/>
        </w:rPr>
        <w:t xml:space="preserve"> </w:t>
      </w:r>
      <w:r>
        <w:t>like</w:t>
      </w:r>
      <w:r>
        <w:rPr>
          <w:spacing w:val="-5"/>
        </w:rPr>
        <w:t xml:space="preserve"> </w:t>
      </w:r>
      <w:r>
        <w:t>double-disk</w:t>
      </w:r>
      <w:r>
        <w:rPr>
          <w:spacing w:val="-2"/>
        </w:rPr>
        <w:t xml:space="preserve"> </w:t>
      </w:r>
      <w:r>
        <w:t>synergy tests (DDST) and combination disk methods (CDM) (74). These methods rely on demonstrating synergy between cephalosporins and clavulanic acid.</w:t>
      </w:r>
    </w:p>
    <w:p w:rsidR="00B84776" w:rsidRDefault="00B84776">
      <w:pPr>
        <w:pStyle w:val="BodyText"/>
        <w:spacing w:before="137"/>
        <w:ind w:left="0"/>
        <w:jc w:val="left"/>
      </w:pPr>
    </w:p>
    <w:p w:rsidR="00B84776" w:rsidRDefault="00C65940">
      <w:pPr>
        <w:pStyle w:val="Heading2"/>
        <w:numPr>
          <w:ilvl w:val="1"/>
          <w:numId w:val="1"/>
        </w:numPr>
        <w:tabs>
          <w:tab w:val="left" w:pos="460"/>
        </w:tabs>
      </w:pPr>
      <w:r>
        <w:t>Limitations</w:t>
      </w:r>
      <w:r>
        <w:rPr>
          <w:spacing w:val="-6"/>
        </w:rPr>
        <w:t xml:space="preserve"> </w:t>
      </w:r>
      <w:r>
        <w:t>of</w:t>
      </w:r>
      <w:r>
        <w:rPr>
          <w:spacing w:val="-3"/>
        </w:rPr>
        <w:t xml:space="preserve"> </w:t>
      </w:r>
      <w:r>
        <w:t>Phenot</w:t>
      </w:r>
      <w:r>
        <w:t>ypic</w:t>
      </w:r>
      <w:r>
        <w:rPr>
          <w:spacing w:val="-3"/>
        </w:rPr>
        <w:t xml:space="preserve"> </w:t>
      </w:r>
      <w:r>
        <w:rPr>
          <w:spacing w:val="-2"/>
        </w:rPr>
        <w:t>Testing</w:t>
      </w:r>
    </w:p>
    <w:p w:rsidR="00B84776" w:rsidRDefault="00B84776">
      <w:pPr>
        <w:pStyle w:val="Heading2"/>
        <w:sectPr w:rsidR="00B84776">
          <w:pgSz w:w="11910" w:h="16840"/>
          <w:pgMar w:top="1360" w:right="1700" w:bottom="280" w:left="1700" w:header="720" w:footer="720" w:gutter="0"/>
          <w:cols w:space="720"/>
        </w:sectPr>
      </w:pPr>
    </w:p>
    <w:p w:rsidR="00B84776" w:rsidRDefault="00C65940">
      <w:pPr>
        <w:pStyle w:val="BodyText"/>
        <w:spacing w:before="62" w:line="360" w:lineRule="auto"/>
        <w:ind w:right="100"/>
      </w:pPr>
      <w:r>
        <w:lastRenderedPageBreak/>
        <w:t xml:space="preserve">Phenotypic tests, although accessible, can take 48–72 hours, delaying treatment. They may miss low-level resistance or misclassify isolates with overlapping resistance mechanisms, such as </w:t>
      </w:r>
      <w:proofErr w:type="spellStart"/>
      <w:r>
        <w:t>AmpC</w:t>
      </w:r>
      <w:proofErr w:type="spellEnd"/>
      <w:r>
        <w:t xml:space="preserve"> β-lactamase producers (75).</w:t>
      </w:r>
    </w:p>
    <w:p w:rsidR="00B84776" w:rsidRDefault="00B84776">
      <w:pPr>
        <w:pStyle w:val="BodyText"/>
        <w:spacing w:before="135"/>
        <w:ind w:left="0"/>
        <w:jc w:val="left"/>
      </w:pPr>
    </w:p>
    <w:p w:rsidR="00B84776" w:rsidRDefault="00C65940">
      <w:pPr>
        <w:pStyle w:val="Heading2"/>
        <w:numPr>
          <w:ilvl w:val="1"/>
          <w:numId w:val="1"/>
        </w:numPr>
        <w:tabs>
          <w:tab w:val="left" w:pos="460"/>
        </w:tabs>
        <w:spacing w:before="1"/>
      </w:pPr>
      <w:r>
        <w:t>Molecul</w:t>
      </w:r>
      <w:r>
        <w:t>ar</w:t>
      </w:r>
      <w:r>
        <w:rPr>
          <w:spacing w:val="-4"/>
        </w:rPr>
        <w:t xml:space="preserve"> </w:t>
      </w:r>
      <w:r>
        <w:rPr>
          <w:spacing w:val="-2"/>
        </w:rPr>
        <w:t>Diagnostics</w:t>
      </w:r>
    </w:p>
    <w:p w:rsidR="00B84776" w:rsidRDefault="00C65940">
      <w:pPr>
        <w:pStyle w:val="BodyText"/>
        <w:spacing w:before="139" w:line="360" w:lineRule="auto"/>
        <w:ind w:right="97"/>
      </w:pPr>
      <w:r>
        <w:t>Polymerase Chain Reaction (PCR) enables rapid and specific detection of ESBL</w:t>
      </w:r>
      <w:r>
        <w:rPr>
          <w:spacing w:val="40"/>
        </w:rPr>
        <w:t xml:space="preserve"> </w:t>
      </w:r>
      <w:r>
        <w:t xml:space="preserve">genes such as </w:t>
      </w:r>
      <w:proofErr w:type="spellStart"/>
      <w:r>
        <w:t>blaCTX</w:t>
      </w:r>
      <w:proofErr w:type="spellEnd"/>
      <w:r>
        <w:t xml:space="preserve">-M, </w:t>
      </w:r>
      <w:proofErr w:type="spellStart"/>
      <w:r>
        <w:t>blaSHV</w:t>
      </w:r>
      <w:proofErr w:type="spellEnd"/>
      <w:r>
        <w:t xml:space="preserve">, and </w:t>
      </w:r>
      <w:proofErr w:type="spellStart"/>
      <w:r>
        <w:t>blaTEM</w:t>
      </w:r>
      <w:proofErr w:type="spellEnd"/>
      <w:r>
        <w:t xml:space="preserve"> (48). Multiplex PCR allows simultaneous</w:t>
      </w:r>
      <w:r>
        <w:rPr>
          <w:spacing w:val="-4"/>
        </w:rPr>
        <w:t xml:space="preserve"> </w:t>
      </w:r>
      <w:r>
        <w:t>detection of</w:t>
      </w:r>
      <w:r>
        <w:rPr>
          <w:spacing w:val="-3"/>
        </w:rPr>
        <w:t xml:space="preserve"> </w:t>
      </w:r>
      <w:r>
        <w:t>multiple</w:t>
      </w:r>
      <w:r>
        <w:rPr>
          <w:spacing w:val="-1"/>
        </w:rPr>
        <w:t xml:space="preserve"> </w:t>
      </w:r>
      <w:r>
        <w:t>genes,</w:t>
      </w:r>
      <w:r>
        <w:rPr>
          <w:spacing w:val="-2"/>
        </w:rPr>
        <w:t xml:space="preserve"> </w:t>
      </w:r>
      <w:r>
        <w:t>improving</w:t>
      </w:r>
      <w:r>
        <w:rPr>
          <w:spacing w:val="-2"/>
        </w:rPr>
        <w:t xml:space="preserve"> </w:t>
      </w:r>
      <w:r>
        <w:t>diagnostic</w:t>
      </w:r>
      <w:r>
        <w:rPr>
          <w:spacing w:val="-3"/>
        </w:rPr>
        <w:t xml:space="preserve"> </w:t>
      </w:r>
      <w:r>
        <w:t>efficiency</w:t>
      </w:r>
      <w:r>
        <w:rPr>
          <w:spacing w:val="-2"/>
        </w:rPr>
        <w:t xml:space="preserve"> </w:t>
      </w:r>
      <w:r>
        <w:t>(76). Loop- mediated</w:t>
      </w:r>
      <w:r>
        <w:t xml:space="preserve"> isothermal amplification (LAMP) is emerging as a practical option in</w:t>
      </w:r>
      <w:r>
        <w:rPr>
          <w:spacing w:val="40"/>
        </w:rPr>
        <w:t xml:space="preserve"> </w:t>
      </w:r>
      <w:r>
        <w:t>LMICs due to its low cost and simplicity (77).</w:t>
      </w:r>
    </w:p>
    <w:p w:rsidR="00B84776" w:rsidRDefault="00B84776">
      <w:pPr>
        <w:pStyle w:val="BodyText"/>
        <w:spacing w:before="138"/>
        <w:ind w:left="0"/>
        <w:jc w:val="left"/>
      </w:pPr>
    </w:p>
    <w:p w:rsidR="00B84776" w:rsidRDefault="00C65940">
      <w:pPr>
        <w:pStyle w:val="Heading2"/>
        <w:numPr>
          <w:ilvl w:val="1"/>
          <w:numId w:val="1"/>
        </w:numPr>
        <w:tabs>
          <w:tab w:val="left" w:pos="460"/>
        </w:tabs>
      </w:pPr>
      <w:r>
        <w:t>Advanced</w:t>
      </w:r>
      <w:r>
        <w:rPr>
          <w:spacing w:val="-5"/>
        </w:rPr>
        <w:t xml:space="preserve"> </w:t>
      </w:r>
      <w:r>
        <w:t>Genomic</w:t>
      </w:r>
      <w:r>
        <w:rPr>
          <w:spacing w:val="-1"/>
        </w:rPr>
        <w:t xml:space="preserve"> </w:t>
      </w:r>
      <w:r>
        <w:rPr>
          <w:spacing w:val="-2"/>
        </w:rPr>
        <w:t>Tools</w:t>
      </w:r>
    </w:p>
    <w:p w:rsidR="00B84776" w:rsidRDefault="00C65940">
      <w:pPr>
        <w:pStyle w:val="BodyText"/>
        <w:spacing w:before="137" w:line="360" w:lineRule="auto"/>
        <w:ind w:right="97"/>
      </w:pPr>
      <w:r>
        <w:t>Whole Genome Sequencing (WGS) enables comprehensive surveillance by mapping resistance genes, virulence factors, an</w:t>
      </w:r>
      <w:r>
        <w:t>d clonal relationships (60). Despite its</w:t>
      </w:r>
      <w:r>
        <w:rPr>
          <w:spacing w:val="40"/>
        </w:rPr>
        <w:t xml:space="preserve"> </w:t>
      </w:r>
      <w:r>
        <w:t>diagnostic power, WGS remains largely limited to research settings in LMICs due to cost and technical capacity barriers (44).</w:t>
      </w:r>
    </w:p>
    <w:p w:rsidR="00B84776" w:rsidRDefault="00B84776">
      <w:pPr>
        <w:pStyle w:val="BodyText"/>
        <w:spacing w:before="139"/>
        <w:ind w:left="0"/>
        <w:jc w:val="left"/>
      </w:pPr>
    </w:p>
    <w:p w:rsidR="00B84776" w:rsidRDefault="00C65940">
      <w:pPr>
        <w:pStyle w:val="Heading2"/>
        <w:numPr>
          <w:ilvl w:val="1"/>
          <w:numId w:val="1"/>
        </w:numPr>
        <w:tabs>
          <w:tab w:val="left" w:pos="460"/>
        </w:tabs>
      </w:pPr>
      <w:r>
        <w:t>Diagnostic</w:t>
      </w:r>
      <w:r>
        <w:rPr>
          <w:spacing w:val="-4"/>
        </w:rPr>
        <w:t xml:space="preserve"> </w:t>
      </w:r>
      <w:r>
        <w:t>Challenges</w:t>
      </w:r>
      <w:r>
        <w:rPr>
          <w:spacing w:val="-2"/>
        </w:rPr>
        <w:t xml:space="preserve"> </w:t>
      </w:r>
      <w:r>
        <w:t>in</w:t>
      </w:r>
      <w:r>
        <w:rPr>
          <w:spacing w:val="-4"/>
        </w:rPr>
        <w:t xml:space="preserve"> </w:t>
      </w:r>
      <w:r>
        <w:t>Pediatric</w:t>
      </w:r>
      <w:r>
        <w:rPr>
          <w:spacing w:val="-1"/>
        </w:rPr>
        <w:t xml:space="preserve"> </w:t>
      </w:r>
      <w:r>
        <w:rPr>
          <w:spacing w:val="-2"/>
        </w:rPr>
        <w:t>Populations</w:t>
      </w:r>
    </w:p>
    <w:p w:rsidR="00B84776" w:rsidRDefault="00C65940">
      <w:pPr>
        <w:pStyle w:val="BodyText"/>
        <w:spacing w:before="137" w:line="360" w:lineRule="auto"/>
        <w:ind w:right="97"/>
      </w:pPr>
      <w:r>
        <w:t>Urine</w:t>
      </w:r>
      <w:r>
        <w:rPr>
          <w:spacing w:val="-2"/>
        </w:rPr>
        <w:t xml:space="preserve"> </w:t>
      </w:r>
      <w:r>
        <w:t>sample</w:t>
      </w:r>
      <w:r>
        <w:rPr>
          <w:spacing w:val="-4"/>
        </w:rPr>
        <w:t xml:space="preserve"> </w:t>
      </w:r>
      <w:r>
        <w:t>collection</w:t>
      </w:r>
      <w:r>
        <w:rPr>
          <w:spacing w:val="-1"/>
        </w:rPr>
        <w:t xml:space="preserve"> </w:t>
      </w:r>
      <w:r>
        <w:t>in</w:t>
      </w:r>
      <w:r>
        <w:rPr>
          <w:spacing w:val="-3"/>
        </w:rPr>
        <w:t xml:space="preserve"> </w:t>
      </w:r>
      <w:r>
        <w:t>children</w:t>
      </w:r>
      <w:r>
        <w:rPr>
          <w:spacing w:val="-1"/>
        </w:rPr>
        <w:t xml:space="preserve"> </w:t>
      </w:r>
      <w:r>
        <w:t>is</w:t>
      </w:r>
      <w:r>
        <w:rPr>
          <w:spacing w:val="-3"/>
        </w:rPr>
        <w:t xml:space="preserve"> </w:t>
      </w:r>
      <w:r>
        <w:t>complicated</w:t>
      </w:r>
      <w:r>
        <w:rPr>
          <w:spacing w:val="-1"/>
        </w:rPr>
        <w:t xml:space="preserve"> </w:t>
      </w:r>
      <w:r>
        <w:t>by</w:t>
      </w:r>
      <w:r>
        <w:rPr>
          <w:spacing w:val="-3"/>
        </w:rPr>
        <w:t xml:space="preserve"> </w:t>
      </w:r>
      <w:r>
        <w:t>contamination</w:t>
      </w:r>
      <w:r>
        <w:rPr>
          <w:spacing w:val="-3"/>
        </w:rPr>
        <w:t xml:space="preserve"> </w:t>
      </w:r>
      <w:r>
        <w:t>with</w:t>
      </w:r>
      <w:r>
        <w:rPr>
          <w:spacing w:val="-1"/>
        </w:rPr>
        <w:t xml:space="preserve"> </w:t>
      </w:r>
      <w:r>
        <w:t>bag</w:t>
      </w:r>
      <w:r>
        <w:rPr>
          <w:spacing w:val="-4"/>
        </w:rPr>
        <w:t xml:space="preserve"> </w:t>
      </w:r>
      <w:r>
        <w:t xml:space="preserve">samples or discomfort with catheterization. Accurate collection methods such as suprapubic aspiration </w:t>
      </w:r>
      <w:proofErr w:type="gramStart"/>
      <w:r>
        <w:t>are</w:t>
      </w:r>
      <w:proofErr w:type="gramEnd"/>
      <w:r>
        <w:t xml:space="preserve"> rarely used due to invasiveness (1). Misleading or delayed results contribute to empirical treatment failures.</w:t>
      </w:r>
    </w:p>
    <w:p w:rsidR="00B84776" w:rsidRDefault="00B84776">
      <w:pPr>
        <w:pStyle w:val="BodyText"/>
        <w:spacing w:before="139"/>
        <w:ind w:left="0"/>
        <w:jc w:val="left"/>
      </w:pPr>
    </w:p>
    <w:p w:rsidR="00B84776" w:rsidRDefault="00C65940">
      <w:pPr>
        <w:pStyle w:val="Heading2"/>
        <w:numPr>
          <w:ilvl w:val="1"/>
          <w:numId w:val="1"/>
        </w:numPr>
        <w:tabs>
          <w:tab w:val="left" w:pos="460"/>
        </w:tabs>
      </w:pPr>
      <w:r>
        <w:t>The</w:t>
      </w:r>
      <w:r>
        <w:rPr>
          <w:spacing w:val="-3"/>
        </w:rPr>
        <w:t xml:space="preserve"> </w:t>
      </w:r>
      <w:r>
        <w:t>Role</w:t>
      </w:r>
      <w:r>
        <w:rPr>
          <w:spacing w:val="-2"/>
        </w:rPr>
        <w:t xml:space="preserve"> </w:t>
      </w:r>
      <w:r>
        <w:t>of</w:t>
      </w:r>
      <w:r>
        <w:rPr>
          <w:spacing w:val="-3"/>
        </w:rPr>
        <w:t xml:space="preserve"> </w:t>
      </w:r>
      <w:r>
        <w:t>Rapid</w:t>
      </w:r>
      <w:r>
        <w:rPr>
          <w:spacing w:val="-3"/>
        </w:rPr>
        <w:t xml:space="preserve"> </w:t>
      </w:r>
      <w:r>
        <w:t>Point-of-Care</w:t>
      </w:r>
      <w:r>
        <w:rPr>
          <w:spacing w:val="-1"/>
        </w:rPr>
        <w:t xml:space="preserve"> </w:t>
      </w:r>
      <w:r>
        <w:t>Testing</w:t>
      </w:r>
      <w:r>
        <w:rPr>
          <w:spacing w:val="-1"/>
        </w:rPr>
        <w:t xml:space="preserve"> </w:t>
      </w:r>
      <w:r>
        <w:rPr>
          <w:spacing w:val="-2"/>
        </w:rPr>
        <w:t>(POCT)</w:t>
      </w:r>
    </w:p>
    <w:p w:rsidR="00B84776" w:rsidRDefault="00C65940">
      <w:pPr>
        <w:pStyle w:val="BodyText"/>
        <w:spacing w:before="137" w:line="360" w:lineRule="auto"/>
        <w:ind w:right="98"/>
      </w:pPr>
      <w:r>
        <w:t>POCT platforms integrating PCR or isothermal amplification could offer real-time detection</w:t>
      </w:r>
      <w:r>
        <w:rPr>
          <w:spacing w:val="-2"/>
        </w:rPr>
        <w:t xml:space="preserve"> </w:t>
      </w:r>
      <w:r>
        <w:t>of</w:t>
      </w:r>
      <w:r>
        <w:rPr>
          <w:spacing w:val="-5"/>
        </w:rPr>
        <w:t xml:space="preserve"> </w:t>
      </w:r>
      <w:r>
        <w:t>resistance</w:t>
      </w:r>
      <w:r>
        <w:rPr>
          <w:spacing w:val="-1"/>
        </w:rPr>
        <w:t xml:space="preserve"> </w:t>
      </w:r>
      <w:r>
        <w:t>genes.</w:t>
      </w:r>
      <w:r>
        <w:rPr>
          <w:spacing w:val="-2"/>
        </w:rPr>
        <w:t xml:space="preserve"> </w:t>
      </w:r>
      <w:r>
        <w:t>These</w:t>
      </w:r>
      <w:r>
        <w:rPr>
          <w:spacing w:val="-3"/>
        </w:rPr>
        <w:t xml:space="preserve"> </w:t>
      </w:r>
      <w:r>
        <w:t>tools</w:t>
      </w:r>
      <w:r>
        <w:rPr>
          <w:spacing w:val="-4"/>
        </w:rPr>
        <w:t xml:space="preserve"> </w:t>
      </w:r>
      <w:r>
        <w:t>are</w:t>
      </w:r>
      <w:r>
        <w:rPr>
          <w:spacing w:val="-3"/>
        </w:rPr>
        <w:t xml:space="preserve"> </w:t>
      </w:r>
      <w:r>
        <w:t>especially</w:t>
      </w:r>
      <w:r>
        <w:rPr>
          <w:spacing w:val="-4"/>
        </w:rPr>
        <w:t xml:space="preserve"> </w:t>
      </w:r>
      <w:r>
        <w:t>useful</w:t>
      </w:r>
      <w:r>
        <w:rPr>
          <w:spacing w:val="-2"/>
        </w:rPr>
        <w:t xml:space="preserve"> </w:t>
      </w:r>
      <w:r>
        <w:t>in</w:t>
      </w:r>
      <w:r>
        <w:rPr>
          <w:spacing w:val="-4"/>
        </w:rPr>
        <w:t xml:space="preserve"> </w:t>
      </w:r>
      <w:r>
        <w:t>pediatric</w:t>
      </w:r>
      <w:r>
        <w:rPr>
          <w:spacing w:val="-3"/>
        </w:rPr>
        <w:t xml:space="preserve"> </w:t>
      </w:r>
      <w:r>
        <w:t>settings</w:t>
      </w:r>
      <w:r>
        <w:rPr>
          <w:spacing w:val="-2"/>
        </w:rPr>
        <w:t xml:space="preserve"> </w:t>
      </w:r>
      <w:r>
        <w:t xml:space="preserve">but are still in early deployment stages </w:t>
      </w:r>
      <w:r>
        <w:t>in most LMICs (78).</w:t>
      </w:r>
    </w:p>
    <w:p w:rsidR="00B84776" w:rsidRDefault="00B84776">
      <w:pPr>
        <w:pStyle w:val="BodyText"/>
        <w:spacing w:before="138"/>
        <w:ind w:left="0"/>
        <w:jc w:val="left"/>
      </w:pPr>
    </w:p>
    <w:p w:rsidR="00B84776" w:rsidRDefault="00C65940">
      <w:pPr>
        <w:pStyle w:val="Heading2"/>
        <w:numPr>
          <w:ilvl w:val="1"/>
          <w:numId w:val="1"/>
        </w:numPr>
        <w:tabs>
          <w:tab w:val="left" w:pos="460"/>
        </w:tabs>
      </w:pPr>
      <w:r>
        <w:t>Recommendations</w:t>
      </w:r>
      <w:r>
        <w:rPr>
          <w:spacing w:val="-3"/>
        </w:rPr>
        <w:t xml:space="preserve"> </w:t>
      </w:r>
      <w:r>
        <w:t>for</w:t>
      </w:r>
      <w:r>
        <w:rPr>
          <w:spacing w:val="-5"/>
        </w:rPr>
        <w:t xml:space="preserve"> </w:t>
      </w:r>
      <w:r>
        <w:t>Diagnostic</w:t>
      </w:r>
      <w:r>
        <w:rPr>
          <w:spacing w:val="-3"/>
        </w:rPr>
        <w:t xml:space="preserve"> </w:t>
      </w:r>
      <w:r>
        <w:rPr>
          <w:spacing w:val="-2"/>
        </w:rPr>
        <w:t>Improvement</w:t>
      </w:r>
    </w:p>
    <w:p w:rsidR="00B84776" w:rsidRDefault="00C65940">
      <w:pPr>
        <w:pStyle w:val="BodyText"/>
        <w:spacing w:before="140" w:line="360" w:lineRule="auto"/>
        <w:jc w:val="left"/>
      </w:pPr>
      <w:r>
        <w:t>To</w:t>
      </w:r>
      <w:r>
        <w:rPr>
          <w:spacing w:val="34"/>
        </w:rPr>
        <w:t xml:space="preserve"> </w:t>
      </w:r>
      <w:r>
        <w:t>improve</w:t>
      </w:r>
      <w:r>
        <w:rPr>
          <w:spacing w:val="35"/>
        </w:rPr>
        <w:t xml:space="preserve"> </w:t>
      </w:r>
      <w:r>
        <w:t>diagnostics</w:t>
      </w:r>
      <w:r>
        <w:rPr>
          <w:spacing w:val="34"/>
        </w:rPr>
        <w:t xml:space="preserve"> </w:t>
      </w:r>
      <w:r>
        <w:t>and</w:t>
      </w:r>
      <w:r>
        <w:rPr>
          <w:spacing w:val="36"/>
        </w:rPr>
        <w:t xml:space="preserve"> </w:t>
      </w:r>
      <w:r>
        <w:t>treatment</w:t>
      </w:r>
      <w:r>
        <w:rPr>
          <w:spacing w:val="37"/>
        </w:rPr>
        <w:t xml:space="preserve"> </w:t>
      </w:r>
      <w:r>
        <w:t>of</w:t>
      </w:r>
      <w:r>
        <w:rPr>
          <w:spacing w:val="36"/>
        </w:rPr>
        <w:t xml:space="preserve"> </w:t>
      </w:r>
      <w:r>
        <w:t>pediatric</w:t>
      </w:r>
      <w:r>
        <w:rPr>
          <w:spacing w:val="35"/>
        </w:rPr>
        <w:t xml:space="preserve"> </w:t>
      </w:r>
      <w:r>
        <w:t>UTIs,</w:t>
      </w:r>
      <w:r>
        <w:rPr>
          <w:spacing w:val="36"/>
        </w:rPr>
        <w:t xml:space="preserve"> </w:t>
      </w:r>
      <w:r>
        <w:t>especially</w:t>
      </w:r>
      <w:r>
        <w:rPr>
          <w:spacing w:val="34"/>
        </w:rPr>
        <w:t xml:space="preserve"> </w:t>
      </w:r>
      <w:r>
        <w:t>in</w:t>
      </w:r>
      <w:r>
        <w:rPr>
          <w:spacing w:val="36"/>
        </w:rPr>
        <w:t xml:space="preserve"> </w:t>
      </w:r>
      <w:r>
        <w:t>high-burden settings like Nigeria, the following are recommended:</w:t>
      </w:r>
    </w:p>
    <w:p w:rsidR="00B84776" w:rsidRDefault="00C65940">
      <w:pPr>
        <w:pStyle w:val="ListParagraph"/>
        <w:numPr>
          <w:ilvl w:val="2"/>
          <w:numId w:val="1"/>
        </w:numPr>
        <w:tabs>
          <w:tab w:val="left" w:pos="939"/>
        </w:tabs>
        <w:ind w:left="939" w:hanging="419"/>
        <w:jc w:val="left"/>
        <w:rPr>
          <w:sz w:val="24"/>
        </w:rPr>
      </w:pPr>
      <w:r>
        <w:rPr>
          <w:sz w:val="24"/>
        </w:rPr>
        <w:t>Strengthening</w:t>
      </w:r>
      <w:r>
        <w:rPr>
          <w:spacing w:val="-4"/>
          <w:sz w:val="24"/>
        </w:rPr>
        <w:t xml:space="preserve"> </w:t>
      </w:r>
      <w:r>
        <w:rPr>
          <w:sz w:val="24"/>
        </w:rPr>
        <w:t>laboratory</w:t>
      </w:r>
      <w:r>
        <w:rPr>
          <w:spacing w:val="-1"/>
          <w:sz w:val="24"/>
        </w:rPr>
        <w:t xml:space="preserve"> </w:t>
      </w:r>
      <w:r>
        <w:rPr>
          <w:sz w:val="24"/>
        </w:rPr>
        <w:t>infrastructure</w:t>
      </w:r>
      <w:r>
        <w:rPr>
          <w:spacing w:val="-3"/>
          <w:sz w:val="24"/>
        </w:rPr>
        <w:t xml:space="preserve"> </w:t>
      </w:r>
      <w:r>
        <w:rPr>
          <w:sz w:val="24"/>
        </w:rPr>
        <w:t>and</w:t>
      </w:r>
      <w:r>
        <w:rPr>
          <w:spacing w:val="-1"/>
          <w:sz w:val="24"/>
        </w:rPr>
        <w:t xml:space="preserve"> </w:t>
      </w:r>
      <w:r>
        <w:rPr>
          <w:sz w:val="24"/>
        </w:rPr>
        <w:t>personnel</w:t>
      </w:r>
      <w:r>
        <w:rPr>
          <w:spacing w:val="-1"/>
          <w:sz w:val="24"/>
        </w:rPr>
        <w:t xml:space="preserve"> </w:t>
      </w:r>
      <w:r>
        <w:rPr>
          <w:spacing w:val="-2"/>
          <w:sz w:val="24"/>
        </w:rPr>
        <w:t>training.</w:t>
      </w:r>
    </w:p>
    <w:p w:rsidR="00B84776" w:rsidRDefault="00C65940">
      <w:pPr>
        <w:pStyle w:val="ListParagraph"/>
        <w:numPr>
          <w:ilvl w:val="2"/>
          <w:numId w:val="1"/>
        </w:numPr>
        <w:tabs>
          <w:tab w:val="left" w:pos="939"/>
        </w:tabs>
        <w:spacing w:before="136"/>
        <w:ind w:left="939" w:hanging="419"/>
        <w:jc w:val="left"/>
        <w:rPr>
          <w:sz w:val="24"/>
        </w:rPr>
      </w:pPr>
      <w:r>
        <w:rPr>
          <w:sz w:val="24"/>
        </w:rPr>
        <w:t>Incorporating</w:t>
      </w:r>
      <w:r>
        <w:rPr>
          <w:spacing w:val="-5"/>
          <w:sz w:val="24"/>
        </w:rPr>
        <w:t xml:space="preserve"> </w:t>
      </w:r>
      <w:r>
        <w:rPr>
          <w:sz w:val="24"/>
        </w:rPr>
        <w:t>PCR-based</w:t>
      </w:r>
      <w:r>
        <w:rPr>
          <w:spacing w:val="-3"/>
          <w:sz w:val="24"/>
        </w:rPr>
        <w:t xml:space="preserve"> </w:t>
      </w:r>
      <w:r>
        <w:rPr>
          <w:sz w:val="24"/>
        </w:rPr>
        <w:t>diagnostics</w:t>
      </w:r>
      <w:r>
        <w:rPr>
          <w:spacing w:val="-2"/>
          <w:sz w:val="24"/>
        </w:rPr>
        <w:t xml:space="preserve"> </w:t>
      </w:r>
      <w:r>
        <w:rPr>
          <w:sz w:val="24"/>
        </w:rPr>
        <w:t>in</w:t>
      </w:r>
      <w:r>
        <w:rPr>
          <w:spacing w:val="-3"/>
          <w:sz w:val="24"/>
        </w:rPr>
        <w:t xml:space="preserve"> </w:t>
      </w:r>
      <w:r>
        <w:rPr>
          <w:sz w:val="24"/>
        </w:rPr>
        <w:t>tertiary</w:t>
      </w:r>
      <w:r>
        <w:rPr>
          <w:spacing w:val="-2"/>
          <w:sz w:val="24"/>
        </w:rPr>
        <w:t xml:space="preserve"> hospitals.</w:t>
      </w:r>
    </w:p>
    <w:p w:rsidR="00B84776" w:rsidRDefault="00C65940">
      <w:pPr>
        <w:pStyle w:val="ListParagraph"/>
        <w:numPr>
          <w:ilvl w:val="2"/>
          <w:numId w:val="1"/>
        </w:numPr>
        <w:tabs>
          <w:tab w:val="left" w:pos="939"/>
        </w:tabs>
        <w:spacing w:before="140"/>
        <w:ind w:left="939" w:hanging="419"/>
        <w:jc w:val="left"/>
        <w:rPr>
          <w:sz w:val="24"/>
        </w:rPr>
      </w:pPr>
      <w:r>
        <w:rPr>
          <w:sz w:val="24"/>
        </w:rPr>
        <w:t>Developing</w:t>
      </w:r>
      <w:r>
        <w:rPr>
          <w:spacing w:val="-3"/>
          <w:sz w:val="24"/>
        </w:rPr>
        <w:t xml:space="preserve"> </w:t>
      </w:r>
      <w:r>
        <w:rPr>
          <w:sz w:val="24"/>
        </w:rPr>
        <w:t>cost-effective</w:t>
      </w:r>
      <w:r>
        <w:rPr>
          <w:spacing w:val="-3"/>
          <w:sz w:val="24"/>
        </w:rPr>
        <w:t xml:space="preserve"> </w:t>
      </w:r>
      <w:r>
        <w:rPr>
          <w:sz w:val="24"/>
        </w:rPr>
        <w:t>POCT</w:t>
      </w:r>
      <w:r>
        <w:rPr>
          <w:spacing w:val="-3"/>
          <w:sz w:val="24"/>
        </w:rPr>
        <w:t xml:space="preserve"> </w:t>
      </w:r>
      <w:r>
        <w:rPr>
          <w:sz w:val="24"/>
        </w:rPr>
        <w:t>for</w:t>
      </w:r>
      <w:r>
        <w:rPr>
          <w:spacing w:val="-3"/>
          <w:sz w:val="24"/>
        </w:rPr>
        <w:t xml:space="preserve"> </w:t>
      </w:r>
      <w:r>
        <w:rPr>
          <w:sz w:val="24"/>
        </w:rPr>
        <w:t>pediatric</w:t>
      </w:r>
      <w:r>
        <w:rPr>
          <w:spacing w:val="-1"/>
          <w:sz w:val="24"/>
        </w:rPr>
        <w:t xml:space="preserve"> </w:t>
      </w:r>
      <w:r>
        <w:rPr>
          <w:spacing w:val="-4"/>
          <w:sz w:val="24"/>
        </w:rPr>
        <w:t>care.</w:t>
      </w:r>
    </w:p>
    <w:p w:rsidR="00B84776" w:rsidRDefault="00B84776">
      <w:pPr>
        <w:pStyle w:val="ListParagraph"/>
        <w:jc w:val="left"/>
        <w:rPr>
          <w:sz w:val="24"/>
        </w:rPr>
        <w:sectPr w:rsidR="00B84776">
          <w:pgSz w:w="11910" w:h="16840"/>
          <w:pgMar w:top="1360" w:right="1700" w:bottom="280" w:left="1700" w:header="720" w:footer="720" w:gutter="0"/>
          <w:cols w:space="720"/>
        </w:sectPr>
      </w:pPr>
    </w:p>
    <w:p w:rsidR="00B84776" w:rsidRDefault="00C65940">
      <w:pPr>
        <w:pStyle w:val="ListParagraph"/>
        <w:numPr>
          <w:ilvl w:val="2"/>
          <w:numId w:val="1"/>
        </w:numPr>
        <w:tabs>
          <w:tab w:val="left" w:pos="939"/>
        </w:tabs>
        <w:spacing w:before="62"/>
        <w:ind w:left="939" w:hanging="419"/>
        <w:jc w:val="left"/>
        <w:rPr>
          <w:sz w:val="24"/>
        </w:rPr>
      </w:pPr>
      <w:r>
        <w:rPr>
          <w:sz w:val="24"/>
        </w:rPr>
        <w:lastRenderedPageBreak/>
        <w:t>Encouraging</w:t>
      </w:r>
      <w:r>
        <w:rPr>
          <w:spacing w:val="-3"/>
          <w:sz w:val="24"/>
        </w:rPr>
        <w:t xml:space="preserve"> </w:t>
      </w:r>
      <w:r>
        <w:rPr>
          <w:sz w:val="24"/>
        </w:rPr>
        <w:t>public-private</w:t>
      </w:r>
      <w:r>
        <w:rPr>
          <w:spacing w:val="-1"/>
          <w:sz w:val="24"/>
        </w:rPr>
        <w:t xml:space="preserve"> </w:t>
      </w:r>
      <w:r>
        <w:rPr>
          <w:sz w:val="24"/>
        </w:rPr>
        <w:t>partnerships</w:t>
      </w:r>
      <w:r>
        <w:rPr>
          <w:spacing w:val="-2"/>
          <w:sz w:val="24"/>
        </w:rPr>
        <w:t xml:space="preserve"> </w:t>
      </w:r>
      <w:r>
        <w:rPr>
          <w:sz w:val="24"/>
        </w:rPr>
        <w:t>to</w:t>
      </w:r>
      <w:r>
        <w:rPr>
          <w:spacing w:val="-2"/>
          <w:sz w:val="24"/>
        </w:rPr>
        <w:t xml:space="preserve"> </w:t>
      </w:r>
      <w:r>
        <w:rPr>
          <w:sz w:val="24"/>
        </w:rPr>
        <w:t>scale</w:t>
      </w:r>
      <w:r>
        <w:rPr>
          <w:spacing w:val="-1"/>
          <w:sz w:val="24"/>
        </w:rPr>
        <w:t xml:space="preserve"> </w:t>
      </w:r>
      <w:r>
        <w:rPr>
          <w:sz w:val="24"/>
        </w:rPr>
        <w:t>diagnostic</w:t>
      </w:r>
      <w:r>
        <w:rPr>
          <w:spacing w:val="-3"/>
          <w:sz w:val="24"/>
        </w:rPr>
        <w:t xml:space="preserve"> </w:t>
      </w:r>
      <w:r>
        <w:rPr>
          <w:spacing w:val="-2"/>
          <w:sz w:val="24"/>
        </w:rPr>
        <w:t>tools.</w:t>
      </w:r>
    </w:p>
    <w:p w:rsidR="00B84776" w:rsidRDefault="00B84776">
      <w:pPr>
        <w:pStyle w:val="BodyText"/>
        <w:spacing w:before="273"/>
        <w:ind w:left="0"/>
        <w:jc w:val="left"/>
      </w:pPr>
    </w:p>
    <w:p w:rsidR="00B84776" w:rsidRDefault="00C65940">
      <w:pPr>
        <w:pStyle w:val="BodyText"/>
        <w:spacing w:line="360" w:lineRule="auto"/>
        <w:ind w:right="97"/>
      </w:pPr>
      <w:r>
        <w:t xml:space="preserve">A combination of improved phenotypic methods and </w:t>
      </w:r>
      <w:r>
        <w:t>expanded access to molecular diagnostics is essential for accurate detection of ESBL-producing organisms in pediatric UTIs. Such integration will improve treatment outcomes and enhance antimicrobial stewardship.</w:t>
      </w:r>
    </w:p>
    <w:p w:rsidR="00B84776" w:rsidRDefault="00B84776">
      <w:pPr>
        <w:pStyle w:val="BodyText"/>
        <w:ind w:left="0"/>
        <w:jc w:val="left"/>
      </w:pPr>
    </w:p>
    <w:p w:rsidR="00B84776" w:rsidRDefault="00B84776">
      <w:pPr>
        <w:pStyle w:val="BodyText"/>
        <w:ind w:left="0"/>
        <w:jc w:val="left"/>
      </w:pPr>
    </w:p>
    <w:p w:rsidR="00B84776" w:rsidRDefault="00B84776">
      <w:pPr>
        <w:pStyle w:val="BodyText"/>
        <w:spacing w:before="241"/>
        <w:ind w:left="0"/>
        <w:jc w:val="left"/>
      </w:pPr>
    </w:p>
    <w:p w:rsidR="00B84776" w:rsidRDefault="00C65940">
      <w:pPr>
        <w:pStyle w:val="Heading1"/>
        <w:numPr>
          <w:ilvl w:val="0"/>
          <w:numId w:val="1"/>
        </w:numPr>
        <w:tabs>
          <w:tab w:val="left" w:pos="520"/>
        </w:tabs>
        <w:spacing w:line="360" w:lineRule="auto"/>
        <w:ind w:left="100" w:right="98" w:firstLine="0"/>
        <w:jc w:val="both"/>
      </w:pPr>
      <w:r>
        <w:t>ANTIMICROBIAL RESISTANCE PATTERNS AND TRE</w:t>
      </w:r>
      <w:r>
        <w:t xml:space="preserve">ATMENT </w:t>
      </w:r>
      <w:r>
        <w:rPr>
          <w:spacing w:val="-2"/>
        </w:rPr>
        <w:t>IMPLICATIONS</w:t>
      </w:r>
    </w:p>
    <w:p w:rsidR="00B84776" w:rsidRDefault="00C65940">
      <w:pPr>
        <w:pStyle w:val="BodyText"/>
        <w:spacing w:line="360" w:lineRule="auto"/>
        <w:ind w:right="97"/>
      </w:pPr>
      <w:r>
        <w:t xml:space="preserve">Understanding the antimicrobial resistance (AMR) profiles of ESBL-producing </w:t>
      </w:r>
      <w:proofErr w:type="spellStart"/>
      <w:r>
        <w:t>uropathogens</w:t>
      </w:r>
      <w:proofErr w:type="spellEnd"/>
      <w:r>
        <w:t xml:space="preserve"> in</w:t>
      </w:r>
      <w:r>
        <w:rPr>
          <w:spacing w:val="-2"/>
        </w:rPr>
        <w:t xml:space="preserve"> </w:t>
      </w:r>
      <w:r>
        <w:t>pediatric</w:t>
      </w:r>
      <w:r>
        <w:rPr>
          <w:spacing w:val="-1"/>
        </w:rPr>
        <w:t xml:space="preserve"> </w:t>
      </w:r>
      <w:r>
        <w:t>patients</w:t>
      </w:r>
      <w:r>
        <w:rPr>
          <w:spacing w:val="-2"/>
        </w:rPr>
        <w:t xml:space="preserve"> </w:t>
      </w:r>
      <w:r>
        <w:t>is</w:t>
      </w:r>
      <w:r>
        <w:rPr>
          <w:spacing w:val="-2"/>
        </w:rPr>
        <w:t xml:space="preserve"> </w:t>
      </w:r>
      <w:r>
        <w:t>essential for guiding empiric</w:t>
      </w:r>
      <w:r>
        <w:rPr>
          <w:spacing w:val="-1"/>
        </w:rPr>
        <w:t xml:space="preserve"> </w:t>
      </w:r>
      <w:r>
        <w:t xml:space="preserve">therapy and shaping public health responses. The presence of ESBL genes not only renders </w:t>
      </w:r>
      <w:r>
        <w:t>many beta- lactam antibiotics ineffective but is often associated with multidrug resistance (MDR) to other critical antibiotic classes such as fluoroquinolones, aminoglycosides, and trimethoprim-sulfamethoxazole (25, 75, 79).</w:t>
      </w:r>
    </w:p>
    <w:p w:rsidR="00B84776" w:rsidRDefault="00B84776">
      <w:pPr>
        <w:pStyle w:val="BodyText"/>
        <w:spacing w:before="139"/>
        <w:ind w:left="0"/>
        <w:jc w:val="left"/>
      </w:pPr>
    </w:p>
    <w:p w:rsidR="00B84776" w:rsidRDefault="00C65940">
      <w:pPr>
        <w:pStyle w:val="Heading2"/>
        <w:numPr>
          <w:ilvl w:val="1"/>
          <w:numId w:val="1"/>
        </w:numPr>
        <w:tabs>
          <w:tab w:val="left" w:pos="460"/>
        </w:tabs>
      </w:pPr>
      <w:r>
        <w:t>Resistance</w:t>
      </w:r>
      <w:r>
        <w:rPr>
          <w:spacing w:val="-3"/>
        </w:rPr>
        <w:t xml:space="preserve"> </w:t>
      </w:r>
      <w:r>
        <w:t>to</w:t>
      </w:r>
      <w:r>
        <w:rPr>
          <w:spacing w:val="-3"/>
        </w:rPr>
        <w:t xml:space="preserve"> </w:t>
      </w:r>
      <w:r>
        <w:t>Beta-Lactam</w:t>
      </w:r>
      <w:r>
        <w:rPr>
          <w:spacing w:val="-2"/>
        </w:rPr>
        <w:t xml:space="preserve"> Ant</w:t>
      </w:r>
      <w:r>
        <w:rPr>
          <w:spacing w:val="-2"/>
        </w:rPr>
        <w:t>ibiotics</w:t>
      </w:r>
    </w:p>
    <w:p w:rsidR="00B84776" w:rsidRDefault="00C65940">
      <w:pPr>
        <w:pStyle w:val="BodyText"/>
        <w:spacing w:before="137" w:line="360" w:lineRule="auto"/>
        <w:ind w:right="37"/>
      </w:pPr>
      <w:r>
        <w:t xml:space="preserve">The hallmark of ESBL-producing pathogens is their resistance to </w:t>
      </w:r>
      <w:proofErr w:type="spellStart"/>
      <w:r>
        <w:t>penicillins</w:t>
      </w:r>
      <w:proofErr w:type="spellEnd"/>
      <w:r>
        <w:t>, third- generation cephalosporins, and monobactams like aztreonam. Clinical studies in Sub- Saharan</w:t>
      </w:r>
      <w:r>
        <w:rPr>
          <w:spacing w:val="-4"/>
        </w:rPr>
        <w:t xml:space="preserve"> </w:t>
      </w:r>
      <w:r>
        <w:t>Africa,</w:t>
      </w:r>
      <w:r>
        <w:rPr>
          <w:spacing w:val="-4"/>
        </w:rPr>
        <w:t xml:space="preserve"> </w:t>
      </w:r>
      <w:r>
        <w:t>including</w:t>
      </w:r>
      <w:r>
        <w:rPr>
          <w:spacing w:val="-4"/>
        </w:rPr>
        <w:t xml:space="preserve"> </w:t>
      </w:r>
      <w:r>
        <w:t>Nigeria,</w:t>
      </w:r>
      <w:r>
        <w:rPr>
          <w:spacing w:val="-2"/>
        </w:rPr>
        <w:t xml:space="preserve"> </w:t>
      </w:r>
      <w:r>
        <w:t>show</w:t>
      </w:r>
      <w:r>
        <w:rPr>
          <w:spacing w:val="-3"/>
        </w:rPr>
        <w:t xml:space="preserve"> </w:t>
      </w:r>
      <w:r>
        <w:t>resistance</w:t>
      </w:r>
      <w:r>
        <w:rPr>
          <w:spacing w:val="-3"/>
        </w:rPr>
        <w:t xml:space="preserve"> </w:t>
      </w:r>
      <w:r>
        <w:t>rates</w:t>
      </w:r>
      <w:r>
        <w:rPr>
          <w:spacing w:val="-2"/>
        </w:rPr>
        <w:t xml:space="preserve"> </w:t>
      </w:r>
      <w:r>
        <w:t>exceeding</w:t>
      </w:r>
      <w:r>
        <w:rPr>
          <w:spacing w:val="-4"/>
        </w:rPr>
        <w:t xml:space="preserve"> </w:t>
      </w:r>
      <w:r>
        <w:t>80%</w:t>
      </w:r>
      <w:r>
        <w:rPr>
          <w:spacing w:val="-3"/>
        </w:rPr>
        <w:t xml:space="preserve"> </w:t>
      </w:r>
      <w:r>
        <w:t>to</w:t>
      </w:r>
      <w:r>
        <w:rPr>
          <w:spacing w:val="-4"/>
        </w:rPr>
        <w:t xml:space="preserve"> </w:t>
      </w:r>
      <w:r>
        <w:t>cefot</w:t>
      </w:r>
      <w:r>
        <w:t>axime, ceftriaxone, and ceftazidime in pediatric UTI isolates (22, 36). These resistance levels result in frequent empirical treatment failures, especially in settings lacking microbiological diagnostics.</w:t>
      </w:r>
    </w:p>
    <w:p w:rsidR="00B84776" w:rsidRDefault="00B84776">
      <w:pPr>
        <w:pStyle w:val="BodyText"/>
        <w:spacing w:before="139"/>
        <w:ind w:left="0"/>
        <w:jc w:val="left"/>
      </w:pPr>
    </w:p>
    <w:p w:rsidR="00B84776" w:rsidRDefault="00C65940">
      <w:pPr>
        <w:pStyle w:val="Heading2"/>
        <w:numPr>
          <w:ilvl w:val="1"/>
          <w:numId w:val="1"/>
        </w:numPr>
        <w:tabs>
          <w:tab w:val="left" w:pos="460"/>
        </w:tabs>
      </w:pPr>
      <w:r>
        <w:t>Cross-Resistance</w:t>
      </w:r>
      <w:r>
        <w:rPr>
          <w:spacing w:val="-4"/>
        </w:rPr>
        <w:t xml:space="preserve"> </w:t>
      </w:r>
      <w:r>
        <w:t>and</w:t>
      </w:r>
      <w:r>
        <w:rPr>
          <w:spacing w:val="-4"/>
        </w:rPr>
        <w:t xml:space="preserve"> </w:t>
      </w:r>
      <w:r>
        <w:t>Multidrug</w:t>
      </w:r>
      <w:r>
        <w:rPr>
          <w:spacing w:val="-5"/>
        </w:rPr>
        <w:t xml:space="preserve"> </w:t>
      </w:r>
      <w:r>
        <w:t>Resistance</w:t>
      </w:r>
      <w:r>
        <w:rPr>
          <w:spacing w:val="-2"/>
        </w:rPr>
        <w:t xml:space="preserve"> (MDR)</w:t>
      </w:r>
    </w:p>
    <w:p w:rsidR="00B84776" w:rsidRDefault="00C65940">
      <w:pPr>
        <w:pStyle w:val="BodyText"/>
        <w:spacing w:before="137" w:line="360" w:lineRule="auto"/>
        <w:ind w:right="97"/>
      </w:pPr>
      <w:r>
        <w:t>Mo</w:t>
      </w:r>
      <w:r>
        <w:t>st ESBL producers carry additional resistance mechanisms—such as efflux pumps and aminoglycoside-modifying enzymes—resulting in MDR phenotypes (56).</w:t>
      </w:r>
    </w:p>
    <w:p w:rsidR="00B84776" w:rsidRDefault="00B84776">
      <w:pPr>
        <w:pStyle w:val="BodyText"/>
        <w:spacing w:before="139"/>
        <w:ind w:left="0"/>
        <w:jc w:val="left"/>
      </w:pPr>
    </w:p>
    <w:p w:rsidR="00B84776" w:rsidRDefault="00C65940">
      <w:pPr>
        <w:pStyle w:val="Heading2"/>
        <w:numPr>
          <w:ilvl w:val="1"/>
          <w:numId w:val="1"/>
        </w:numPr>
        <w:tabs>
          <w:tab w:val="left" w:pos="460"/>
        </w:tabs>
        <w:spacing w:before="1"/>
      </w:pPr>
      <w:r>
        <w:t>Retained</w:t>
      </w:r>
      <w:r>
        <w:rPr>
          <w:spacing w:val="-4"/>
        </w:rPr>
        <w:t xml:space="preserve"> </w:t>
      </w:r>
      <w:r>
        <w:t>Susceptibility</w:t>
      </w:r>
      <w:r>
        <w:rPr>
          <w:spacing w:val="-3"/>
        </w:rPr>
        <w:t xml:space="preserve"> </w:t>
      </w:r>
      <w:r>
        <w:t>and</w:t>
      </w:r>
      <w:r>
        <w:rPr>
          <w:spacing w:val="-5"/>
        </w:rPr>
        <w:t xml:space="preserve"> </w:t>
      </w:r>
      <w:r>
        <w:t>Alternative</w:t>
      </w:r>
      <w:r>
        <w:rPr>
          <w:spacing w:val="-4"/>
        </w:rPr>
        <w:t xml:space="preserve"> </w:t>
      </w:r>
      <w:r>
        <w:rPr>
          <w:spacing w:val="-2"/>
        </w:rPr>
        <w:t>Options</w:t>
      </w:r>
    </w:p>
    <w:p w:rsidR="00B84776" w:rsidRDefault="00C65940">
      <w:pPr>
        <w:pStyle w:val="BodyText"/>
        <w:spacing w:before="136" w:line="360" w:lineRule="auto"/>
        <w:ind w:right="99"/>
      </w:pPr>
      <w:r>
        <w:t>Despite the broad resistance, some agents retain efficacy.</w:t>
      </w:r>
      <w:r>
        <w:t xml:space="preserve"> Nitrofurantoin and </w:t>
      </w:r>
      <w:proofErr w:type="spellStart"/>
      <w:r>
        <w:t>fosfomycin</w:t>
      </w:r>
      <w:proofErr w:type="spellEnd"/>
      <w:r>
        <w:t xml:space="preserve"> show high susceptibility (&gt;85%) in pediatric UTIs caused by ESBL producers</w:t>
      </w:r>
      <w:r>
        <w:rPr>
          <w:spacing w:val="22"/>
        </w:rPr>
        <w:t xml:space="preserve"> </w:t>
      </w:r>
      <w:r>
        <w:t>(80,</w:t>
      </w:r>
      <w:r>
        <w:rPr>
          <w:spacing w:val="24"/>
        </w:rPr>
        <w:t xml:space="preserve"> </w:t>
      </w:r>
      <w:r>
        <w:t>81).</w:t>
      </w:r>
      <w:r>
        <w:rPr>
          <w:spacing w:val="24"/>
        </w:rPr>
        <w:t xml:space="preserve"> </w:t>
      </w:r>
      <w:r>
        <w:t>These</w:t>
      </w:r>
      <w:r>
        <w:rPr>
          <w:spacing w:val="25"/>
        </w:rPr>
        <w:t xml:space="preserve"> </w:t>
      </w:r>
      <w:r>
        <w:t>are</w:t>
      </w:r>
      <w:r>
        <w:rPr>
          <w:spacing w:val="25"/>
        </w:rPr>
        <w:t xml:space="preserve"> </w:t>
      </w:r>
      <w:r>
        <w:t>especially</w:t>
      </w:r>
      <w:r>
        <w:rPr>
          <w:spacing w:val="24"/>
        </w:rPr>
        <w:t xml:space="preserve"> </w:t>
      </w:r>
      <w:r>
        <w:t>valuable</w:t>
      </w:r>
      <w:r>
        <w:rPr>
          <w:spacing w:val="25"/>
        </w:rPr>
        <w:t xml:space="preserve"> </w:t>
      </w:r>
      <w:r>
        <w:t>for</w:t>
      </w:r>
      <w:r>
        <w:rPr>
          <w:spacing w:val="23"/>
        </w:rPr>
        <w:t xml:space="preserve"> </w:t>
      </w:r>
      <w:r>
        <w:t>uncomplicated</w:t>
      </w:r>
      <w:r>
        <w:rPr>
          <w:spacing w:val="26"/>
        </w:rPr>
        <w:t xml:space="preserve"> </w:t>
      </w:r>
      <w:r>
        <w:t>cystitis,</w:t>
      </w:r>
      <w:r>
        <w:rPr>
          <w:spacing w:val="23"/>
        </w:rPr>
        <w:t xml:space="preserve"> </w:t>
      </w:r>
      <w:r>
        <w:rPr>
          <w:spacing w:val="-2"/>
        </w:rPr>
        <w:t>though</w:t>
      </w:r>
    </w:p>
    <w:p w:rsidR="00B84776" w:rsidRDefault="00B84776">
      <w:pPr>
        <w:pStyle w:val="BodyText"/>
        <w:spacing w:line="360" w:lineRule="auto"/>
        <w:sectPr w:rsidR="00B84776">
          <w:pgSz w:w="11910" w:h="16840"/>
          <w:pgMar w:top="1360" w:right="1700" w:bottom="280" w:left="1700" w:header="720" w:footer="720" w:gutter="0"/>
          <w:cols w:space="720"/>
        </w:sectPr>
      </w:pPr>
    </w:p>
    <w:p w:rsidR="00B84776" w:rsidRDefault="00C65940">
      <w:pPr>
        <w:pStyle w:val="BodyText"/>
        <w:spacing w:before="62" w:line="360" w:lineRule="auto"/>
        <w:ind w:right="99"/>
      </w:pPr>
      <w:r>
        <w:lastRenderedPageBreak/>
        <w:t>nitrofurantoin is not</w:t>
      </w:r>
      <w:r>
        <w:rPr>
          <w:spacing w:val="-2"/>
        </w:rPr>
        <w:t xml:space="preserve"> </w:t>
      </w:r>
      <w:r>
        <w:t>effective in pyelonephritis. Carbapenem</w:t>
      </w:r>
      <w:r>
        <w:t>s like</w:t>
      </w:r>
      <w:r>
        <w:rPr>
          <w:spacing w:val="-1"/>
        </w:rPr>
        <w:t xml:space="preserve"> </w:t>
      </w:r>
      <w:r>
        <w:t xml:space="preserve">meropenem remain the cornerstone for severe infections, though their use is limited by cost, IV-only administration, and rising resistance (82). Piperacillin-tazobactam may still be effective in some ESBL contexts, though its success is variable in </w:t>
      </w:r>
      <w:r>
        <w:t>high-inoculum infections (25).</w:t>
      </w:r>
    </w:p>
    <w:p w:rsidR="00B84776" w:rsidRDefault="00B84776">
      <w:pPr>
        <w:pStyle w:val="BodyText"/>
        <w:spacing w:before="135"/>
        <w:ind w:left="0"/>
        <w:jc w:val="left"/>
      </w:pPr>
    </w:p>
    <w:p w:rsidR="00B84776" w:rsidRDefault="00C65940">
      <w:pPr>
        <w:pStyle w:val="Heading2"/>
        <w:numPr>
          <w:ilvl w:val="1"/>
          <w:numId w:val="1"/>
        </w:numPr>
        <w:tabs>
          <w:tab w:val="left" w:pos="460"/>
        </w:tabs>
        <w:spacing w:before="1"/>
      </w:pPr>
      <w:r>
        <w:t>Empirical</w:t>
      </w:r>
      <w:r>
        <w:rPr>
          <w:spacing w:val="-4"/>
        </w:rPr>
        <w:t xml:space="preserve"> </w:t>
      </w:r>
      <w:r>
        <w:t>Therapy</w:t>
      </w:r>
      <w:r>
        <w:rPr>
          <w:spacing w:val="-4"/>
        </w:rPr>
        <w:t xml:space="preserve"> </w:t>
      </w:r>
      <w:r>
        <w:rPr>
          <w:spacing w:val="-2"/>
        </w:rPr>
        <w:t>Considerations</w:t>
      </w:r>
    </w:p>
    <w:p w:rsidR="00B84776" w:rsidRDefault="00C65940">
      <w:pPr>
        <w:pStyle w:val="BodyText"/>
        <w:spacing w:before="139" w:line="360" w:lineRule="auto"/>
        <w:ind w:right="99"/>
      </w:pPr>
      <w:r>
        <w:t xml:space="preserve">In the absence of rapid diagnostics, empirical treatment is often based on regional antibiograms. In countries like Nigeria, where oral antibiotic resistance is rampant, empirical regimens </w:t>
      </w:r>
      <w:r>
        <w:t>should be reconsidered. Pediatric patients with recent hospitalization, prior antibiotic exposure, or recurrent UTIs are at higher risk for ESBL infections and may require broader-spectrum empiric therapy (63).</w:t>
      </w:r>
    </w:p>
    <w:p w:rsidR="00B84776" w:rsidRDefault="00B84776">
      <w:pPr>
        <w:pStyle w:val="BodyText"/>
        <w:spacing w:before="138"/>
        <w:ind w:left="0"/>
        <w:jc w:val="left"/>
      </w:pPr>
    </w:p>
    <w:p w:rsidR="00B84776" w:rsidRDefault="00C65940">
      <w:pPr>
        <w:pStyle w:val="Heading2"/>
        <w:numPr>
          <w:ilvl w:val="1"/>
          <w:numId w:val="1"/>
        </w:numPr>
        <w:tabs>
          <w:tab w:val="left" w:pos="460"/>
        </w:tabs>
      </w:pPr>
      <w:r>
        <w:t>Treatment</w:t>
      </w:r>
      <w:r>
        <w:rPr>
          <w:spacing w:val="-3"/>
        </w:rPr>
        <w:t xml:space="preserve"> </w:t>
      </w:r>
      <w:r>
        <w:t>Challenges</w:t>
      </w:r>
      <w:r>
        <w:rPr>
          <w:spacing w:val="-3"/>
        </w:rPr>
        <w:t xml:space="preserve"> </w:t>
      </w:r>
      <w:r>
        <w:t>in</w:t>
      </w:r>
      <w:r>
        <w:rPr>
          <w:spacing w:val="-3"/>
        </w:rPr>
        <w:t xml:space="preserve"> </w:t>
      </w:r>
      <w:r>
        <w:rPr>
          <w:spacing w:val="-4"/>
        </w:rPr>
        <w:t>LMICs</w:t>
      </w:r>
    </w:p>
    <w:p w:rsidR="00B84776" w:rsidRDefault="00C65940">
      <w:pPr>
        <w:pStyle w:val="BodyText"/>
        <w:spacing w:before="137" w:line="360" w:lineRule="auto"/>
        <w:jc w:val="left"/>
      </w:pPr>
      <w:r>
        <w:t>In</w:t>
      </w:r>
      <w:r>
        <w:rPr>
          <w:spacing w:val="-3"/>
        </w:rPr>
        <w:t xml:space="preserve"> </w:t>
      </w:r>
      <w:r>
        <w:t>low-</w:t>
      </w:r>
      <w:r>
        <w:rPr>
          <w:spacing w:val="-6"/>
        </w:rPr>
        <w:t xml:space="preserve"> </w:t>
      </w:r>
      <w:r>
        <w:t>and</w:t>
      </w:r>
      <w:r>
        <w:rPr>
          <w:spacing w:val="-3"/>
        </w:rPr>
        <w:t xml:space="preserve"> </w:t>
      </w:r>
      <w:r>
        <w:t>mi</w:t>
      </w:r>
      <w:r>
        <w:t>ddle-income</w:t>
      </w:r>
      <w:r>
        <w:rPr>
          <w:spacing w:val="-6"/>
        </w:rPr>
        <w:t xml:space="preserve"> </w:t>
      </w:r>
      <w:r>
        <w:t>countries</w:t>
      </w:r>
      <w:r>
        <w:rPr>
          <w:spacing w:val="-5"/>
        </w:rPr>
        <w:t xml:space="preserve"> </w:t>
      </w:r>
      <w:r>
        <w:t>(LMICs),</w:t>
      </w:r>
      <w:r>
        <w:rPr>
          <w:spacing w:val="-3"/>
        </w:rPr>
        <w:t xml:space="preserve"> </w:t>
      </w:r>
      <w:r>
        <w:t>effective</w:t>
      </w:r>
      <w:r>
        <w:rPr>
          <w:spacing w:val="-4"/>
        </w:rPr>
        <w:t xml:space="preserve"> </w:t>
      </w:r>
      <w:r>
        <w:t>treatment</w:t>
      </w:r>
      <w:r>
        <w:rPr>
          <w:spacing w:val="-5"/>
        </w:rPr>
        <w:t xml:space="preserve"> </w:t>
      </w:r>
      <w:r>
        <w:t>is</w:t>
      </w:r>
      <w:r>
        <w:rPr>
          <w:spacing w:val="-5"/>
        </w:rPr>
        <w:t xml:space="preserve"> </w:t>
      </w:r>
      <w:r>
        <w:t>hindered</w:t>
      </w:r>
      <w:r>
        <w:rPr>
          <w:spacing w:val="-3"/>
        </w:rPr>
        <w:t xml:space="preserve"> </w:t>
      </w:r>
      <w:r>
        <w:t xml:space="preserve">by: Limited access to effective antibiotics such as carbapenems and </w:t>
      </w:r>
      <w:proofErr w:type="spellStart"/>
      <w:r>
        <w:t>fosfomycin</w:t>
      </w:r>
      <w:proofErr w:type="spellEnd"/>
      <w:r>
        <w:t>.</w:t>
      </w:r>
    </w:p>
    <w:p w:rsidR="00B84776" w:rsidRDefault="00C65940">
      <w:pPr>
        <w:pStyle w:val="BodyText"/>
        <w:spacing w:line="360" w:lineRule="auto"/>
        <w:ind w:right="2139"/>
        <w:jc w:val="left"/>
      </w:pPr>
      <w:r>
        <w:t>Lack</w:t>
      </w:r>
      <w:r>
        <w:rPr>
          <w:spacing w:val="-4"/>
        </w:rPr>
        <w:t xml:space="preserve"> </w:t>
      </w:r>
      <w:r>
        <w:t>of</w:t>
      </w:r>
      <w:r>
        <w:rPr>
          <w:spacing w:val="-7"/>
        </w:rPr>
        <w:t xml:space="preserve"> </w:t>
      </w:r>
      <w:r>
        <w:t>pediatric</w:t>
      </w:r>
      <w:r>
        <w:rPr>
          <w:spacing w:val="-5"/>
        </w:rPr>
        <w:t xml:space="preserve"> </w:t>
      </w:r>
      <w:r>
        <w:t>formulations</w:t>
      </w:r>
      <w:r>
        <w:rPr>
          <w:spacing w:val="-6"/>
        </w:rPr>
        <w:t xml:space="preserve"> </w:t>
      </w:r>
      <w:r>
        <w:t>for</w:t>
      </w:r>
      <w:r>
        <w:rPr>
          <w:spacing w:val="-7"/>
        </w:rPr>
        <w:t xml:space="preserve"> </w:t>
      </w:r>
      <w:r>
        <w:t>many</w:t>
      </w:r>
      <w:r>
        <w:rPr>
          <w:spacing w:val="-6"/>
        </w:rPr>
        <w:t xml:space="preserve"> </w:t>
      </w:r>
      <w:r>
        <w:t>antibiotics</w:t>
      </w:r>
      <w:r>
        <w:rPr>
          <w:spacing w:val="-6"/>
        </w:rPr>
        <w:t xml:space="preserve"> </w:t>
      </w:r>
      <w:r>
        <w:t>(70). Financial barriers lead to incomplete treatments.</w:t>
      </w:r>
    </w:p>
    <w:p w:rsidR="00B84776" w:rsidRDefault="00C65940">
      <w:pPr>
        <w:pStyle w:val="BodyText"/>
        <w:spacing w:line="360" w:lineRule="auto"/>
        <w:jc w:val="left"/>
      </w:pPr>
      <w:r>
        <w:t xml:space="preserve">Poor </w:t>
      </w:r>
      <w:r>
        <w:t xml:space="preserve">adherence to protocols due to training gaps and lack of updated guidelines (32, </w:t>
      </w:r>
      <w:r>
        <w:rPr>
          <w:spacing w:val="-4"/>
        </w:rPr>
        <w:t>83).</w:t>
      </w:r>
    </w:p>
    <w:p w:rsidR="00B84776" w:rsidRDefault="00B84776">
      <w:pPr>
        <w:pStyle w:val="BodyText"/>
        <w:spacing w:before="139"/>
        <w:ind w:left="0"/>
        <w:jc w:val="left"/>
      </w:pPr>
    </w:p>
    <w:p w:rsidR="00B84776" w:rsidRDefault="00C65940">
      <w:pPr>
        <w:pStyle w:val="Heading2"/>
        <w:numPr>
          <w:ilvl w:val="1"/>
          <w:numId w:val="1"/>
        </w:numPr>
        <w:tabs>
          <w:tab w:val="left" w:pos="460"/>
        </w:tabs>
      </w:pPr>
      <w:r>
        <w:t>Role</w:t>
      </w:r>
      <w:r>
        <w:rPr>
          <w:spacing w:val="-3"/>
        </w:rPr>
        <w:t xml:space="preserve"> </w:t>
      </w:r>
      <w:r>
        <w:t>of</w:t>
      </w:r>
      <w:r>
        <w:rPr>
          <w:spacing w:val="-3"/>
        </w:rPr>
        <w:t xml:space="preserve"> </w:t>
      </w:r>
      <w:r>
        <w:t>Pharmacovigilance</w:t>
      </w:r>
      <w:r>
        <w:rPr>
          <w:spacing w:val="-1"/>
        </w:rPr>
        <w:t xml:space="preserve"> </w:t>
      </w:r>
      <w:r>
        <w:t>and</w:t>
      </w:r>
      <w:r>
        <w:rPr>
          <w:spacing w:val="-4"/>
        </w:rPr>
        <w:t xml:space="preserve"> </w:t>
      </w:r>
      <w:r>
        <w:t>Resistance</w:t>
      </w:r>
      <w:r>
        <w:rPr>
          <w:spacing w:val="-1"/>
        </w:rPr>
        <w:t xml:space="preserve"> </w:t>
      </w:r>
      <w:r>
        <w:rPr>
          <w:spacing w:val="-2"/>
        </w:rPr>
        <w:t>Monitoring</w:t>
      </w:r>
    </w:p>
    <w:p w:rsidR="00B84776" w:rsidRDefault="00C65940">
      <w:pPr>
        <w:pStyle w:val="BodyText"/>
        <w:spacing w:before="137" w:line="360" w:lineRule="auto"/>
        <w:ind w:right="97"/>
      </w:pPr>
      <w:r>
        <w:t xml:space="preserve">Addressing these challenges requires national AMR surveillance programs and integration of ESBL detection in AST protocols. Routine pediatric antibiogram dissemination and participation in global AMR initiatives will improve decision- making (43). Ongoing </w:t>
      </w:r>
      <w:r>
        <w:t xml:space="preserve">pharmacovigilance and updated treatment guidelines can reduce inappropriate antibiotic use and help preserve remaining therapeutic options </w:t>
      </w:r>
      <w:r>
        <w:rPr>
          <w:spacing w:val="-2"/>
        </w:rPr>
        <w:t>(84).</w:t>
      </w:r>
    </w:p>
    <w:p w:rsidR="00B84776" w:rsidRDefault="00B84776">
      <w:pPr>
        <w:pStyle w:val="BodyText"/>
        <w:ind w:left="0"/>
        <w:jc w:val="left"/>
      </w:pPr>
    </w:p>
    <w:p w:rsidR="00B84776" w:rsidRDefault="00B84776">
      <w:pPr>
        <w:pStyle w:val="BodyText"/>
        <w:spacing w:before="103"/>
        <w:ind w:left="0"/>
        <w:jc w:val="left"/>
      </w:pPr>
    </w:p>
    <w:p w:rsidR="00B84776" w:rsidRDefault="00C65940">
      <w:pPr>
        <w:pStyle w:val="Heading1"/>
        <w:numPr>
          <w:ilvl w:val="0"/>
          <w:numId w:val="1"/>
        </w:numPr>
        <w:tabs>
          <w:tab w:val="left" w:pos="340"/>
        </w:tabs>
        <w:spacing w:before="1"/>
      </w:pPr>
      <w:r>
        <w:t>PUBLIC</w:t>
      </w:r>
      <w:r>
        <w:rPr>
          <w:spacing w:val="-8"/>
        </w:rPr>
        <w:t xml:space="preserve"> </w:t>
      </w:r>
      <w:r>
        <w:t>HEALTH</w:t>
      </w:r>
      <w:r>
        <w:rPr>
          <w:spacing w:val="-5"/>
        </w:rPr>
        <w:t xml:space="preserve"> </w:t>
      </w:r>
      <w:r>
        <w:t>AND</w:t>
      </w:r>
      <w:r>
        <w:rPr>
          <w:spacing w:val="-2"/>
        </w:rPr>
        <w:t xml:space="preserve"> </w:t>
      </w:r>
      <w:r>
        <w:t>STEWARDSHIP</w:t>
      </w:r>
      <w:r>
        <w:rPr>
          <w:spacing w:val="-3"/>
        </w:rPr>
        <w:t xml:space="preserve"> </w:t>
      </w:r>
      <w:r>
        <w:rPr>
          <w:spacing w:val="-2"/>
        </w:rPr>
        <w:t>IMPLICATIONS</w:t>
      </w:r>
    </w:p>
    <w:p w:rsidR="00B84776" w:rsidRDefault="00C65940">
      <w:pPr>
        <w:pStyle w:val="BodyText"/>
        <w:spacing w:before="136" w:line="360" w:lineRule="auto"/>
        <w:ind w:right="97"/>
      </w:pPr>
      <w:r>
        <w:t>The increasing prevalence of extended-spectrum beta-lactamase (ESB</w:t>
      </w:r>
      <w:r>
        <w:t xml:space="preserve">L)-producing </w:t>
      </w:r>
      <w:proofErr w:type="spellStart"/>
      <w:r>
        <w:t>uropathogens</w:t>
      </w:r>
      <w:proofErr w:type="spellEnd"/>
      <w:r>
        <w:t xml:space="preserve"> in pediatric populations has profound public health consequences, particularly</w:t>
      </w:r>
      <w:r>
        <w:rPr>
          <w:spacing w:val="62"/>
        </w:rPr>
        <w:t xml:space="preserve"> </w:t>
      </w:r>
      <w:r>
        <w:t>in</w:t>
      </w:r>
      <w:r>
        <w:rPr>
          <w:spacing w:val="64"/>
        </w:rPr>
        <w:t xml:space="preserve"> </w:t>
      </w:r>
      <w:r>
        <w:t>resource-limited</w:t>
      </w:r>
      <w:r>
        <w:rPr>
          <w:spacing w:val="65"/>
        </w:rPr>
        <w:t xml:space="preserve"> </w:t>
      </w:r>
      <w:r>
        <w:t>settings</w:t>
      </w:r>
      <w:r>
        <w:rPr>
          <w:spacing w:val="66"/>
        </w:rPr>
        <w:t xml:space="preserve"> </w:t>
      </w:r>
      <w:r>
        <w:t>(25).</w:t>
      </w:r>
      <w:r>
        <w:rPr>
          <w:spacing w:val="67"/>
        </w:rPr>
        <w:t xml:space="preserve"> </w:t>
      </w:r>
      <w:r>
        <w:t>These</w:t>
      </w:r>
      <w:r>
        <w:rPr>
          <w:spacing w:val="65"/>
        </w:rPr>
        <w:t xml:space="preserve"> </w:t>
      </w:r>
      <w:r>
        <w:t>organisms,</w:t>
      </w:r>
      <w:r>
        <w:rPr>
          <w:spacing w:val="65"/>
        </w:rPr>
        <w:t xml:space="preserve"> </w:t>
      </w:r>
      <w:r>
        <w:t>often</w:t>
      </w:r>
      <w:r>
        <w:rPr>
          <w:spacing w:val="64"/>
        </w:rPr>
        <w:t xml:space="preserve"> </w:t>
      </w:r>
      <w:r>
        <w:t>resistant</w:t>
      </w:r>
      <w:r>
        <w:rPr>
          <w:spacing w:val="68"/>
        </w:rPr>
        <w:t xml:space="preserve"> </w:t>
      </w:r>
      <w:r>
        <w:rPr>
          <w:spacing w:val="-5"/>
        </w:rPr>
        <w:t>to</w:t>
      </w:r>
    </w:p>
    <w:p w:rsidR="00B84776" w:rsidRDefault="00B84776">
      <w:pPr>
        <w:pStyle w:val="BodyText"/>
        <w:spacing w:line="360" w:lineRule="auto"/>
        <w:sectPr w:rsidR="00B84776">
          <w:pgSz w:w="11910" w:h="16840"/>
          <w:pgMar w:top="1360" w:right="1700" w:bottom="280" w:left="1700" w:header="720" w:footer="720" w:gutter="0"/>
          <w:cols w:space="720"/>
        </w:sectPr>
      </w:pPr>
    </w:p>
    <w:p w:rsidR="00B84776" w:rsidRDefault="00C65940">
      <w:pPr>
        <w:pStyle w:val="BodyText"/>
        <w:spacing w:before="62" w:line="360" w:lineRule="auto"/>
        <w:ind w:right="97"/>
      </w:pPr>
      <w:r>
        <w:lastRenderedPageBreak/>
        <w:t xml:space="preserve">multiple classes of antibiotics, compromise standard therapeutic </w:t>
      </w:r>
      <w:r>
        <w:t>regimens and</w:t>
      </w:r>
      <w:r>
        <w:rPr>
          <w:spacing w:val="40"/>
        </w:rPr>
        <w:t xml:space="preserve"> </w:t>
      </w:r>
      <w:r>
        <w:t>threaten the effectiveness of empirical treatment protocols (43). The implications extend beyond individual patient care to broader systemic challenges in infection control, healthcare resource allocation, and antimicrobial policy.</w:t>
      </w:r>
    </w:p>
    <w:p w:rsidR="00B84776" w:rsidRDefault="00B84776">
      <w:pPr>
        <w:pStyle w:val="BodyText"/>
        <w:spacing w:before="137"/>
        <w:ind w:left="0"/>
        <w:jc w:val="left"/>
      </w:pPr>
    </w:p>
    <w:p w:rsidR="00B84776" w:rsidRDefault="00C65940">
      <w:pPr>
        <w:pStyle w:val="Heading2"/>
        <w:numPr>
          <w:ilvl w:val="1"/>
          <w:numId w:val="1"/>
        </w:numPr>
        <w:tabs>
          <w:tab w:val="left" w:pos="460"/>
        </w:tabs>
      </w:pPr>
      <w:r>
        <w:t>Strain</w:t>
      </w:r>
      <w:r>
        <w:rPr>
          <w:spacing w:val="-2"/>
        </w:rPr>
        <w:t xml:space="preserve"> </w:t>
      </w:r>
      <w:r>
        <w:t>on</w:t>
      </w:r>
      <w:r>
        <w:rPr>
          <w:spacing w:val="-3"/>
        </w:rPr>
        <w:t xml:space="preserve"> </w:t>
      </w:r>
      <w:r>
        <w:t>Health</w:t>
      </w:r>
      <w:r>
        <w:rPr>
          <w:spacing w:val="-1"/>
        </w:rPr>
        <w:t xml:space="preserve"> </w:t>
      </w:r>
      <w:r>
        <w:rPr>
          <w:spacing w:val="-2"/>
        </w:rPr>
        <w:t>Systems</w:t>
      </w:r>
    </w:p>
    <w:p w:rsidR="00B84776" w:rsidRDefault="00C65940">
      <w:pPr>
        <w:pStyle w:val="BodyText"/>
        <w:spacing w:before="137" w:line="360" w:lineRule="auto"/>
        <w:ind w:right="97"/>
      </w:pPr>
      <w:r>
        <w:t>ESBL-related pediatric UTIs frequently result in prolonged illness, increased hospitalization rates, and the need for more expensive second-line or intravenous antibiotics</w:t>
      </w:r>
      <w:r>
        <w:rPr>
          <w:spacing w:val="-4"/>
        </w:rPr>
        <w:t xml:space="preserve"> </w:t>
      </w:r>
      <w:r>
        <w:t>such</w:t>
      </w:r>
      <w:r>
        <w:rPr>
          <w:spacing w:val="-4"/>
        </w:rPr>
        <w:t xml:space="preserve"> </w:t>
      </w:r>
      <w:r>
        <w:t>as</w:t>
      </w:r>
      <w:r>
        <w:rPr>
          <w:spacing w:val="-4"/>
        </w:rPr>
        <w:t xml:space="preserve"> </w:t>
      </w:r>
      <w:r>
        <w:t>carbapenems</w:t>
      </w:r>
      <w:r>
        <w:rPr>
          <w:spacing w:val="-4"/>
        </w:rPr>
        <w:t xml:space="preserve"> </w:t>
      </w:r>
      <w:r>
        <w:t>(81).</w:t>
      </w:r>
      <w:r>
        <w:rPr>
          <w:spacing w:val="-2"/>
        </w:rPr>
        <w:t xml:space="preserve"> </w:t>
      </w:r>
      <w:r>
        <w:t>This</w:t>
      </w:r>
      <w:r>
        <w:rPr>
          <w:spacing w:val="-4"/>
        </w:rPr>
        <w:t xml:space="preserve"> </w:t>
      </w:r>
      <w:r>
        <w:t>puts</w:t>
      </w:r>
      <w:r>
        <w:rPr>
          <w:spacing w:val="-4"/>
        </w:rPr>
        <w:t xml:space="preserve"> </w:t>
      </w:r>
      <w:r>
        <w:t>additional</w:t>
      </w:r>
      <w:r>
        <w:rPr>
          <w:spacing w:val="-4"/>
        </w:rPr>
        <w:t xml:space="preserve"> </w:t>
      </w:r>
      <w:r>
        <w:t>pressure</w:t>
      </w:r>
      <w:r>
        <w:rPr>
          <w:spacing w:val="-3"/>
        </w:rPr>
        <w:t xml:space="preserve"> </w:t>
      </w:r>
      <w:r>
        <w:t>on</w:t>
      </w:r>
      <w:r>
        <w:rPr>
          <w:spacing w:val="-4"/>
        </w:rPr>
        <w:t xml:space="preserve"> </w:t>
      </w:r>
      <w:r>
        <w:t>already</w:t>
      </w:r>
      <w:r>
        <w:rPr>
          <w:spacing w:val="-4"/>
        </w:rPr>
        <w:t xml:space="preserve"> </w:t>
      </w:r>
      <w:r>
        <w:t>st</w:t>
      </w:r>
      <w:r>
        <w:t>rained healthcare infrastructures in low- and middle-income countries (LMICs), where</w:t>
      </w:r>
      <w:r>
        <w:rPr>
          <w:spacing w:val="40"/>
        </w:rPr>
        <w:t xml:space="preserve"> </w:t>
      </w:r>
      <w:r>
        <w:t>access to advanced diagnostics and newer antibiotics is limited (85). In some settings, recurrent infections in children may also lead to long-term health consequences suc</w:t>
      </w:r>
      <w:r>
        <w:t>h as renal scarring, chronic kidney disease, or hypertension, which require sustained follow-up and specialist care (86).</w:t>
      </w:r>
    </w:p>
    <w:p w:rsidR="00B84776" w:rsidRDefault="00B84776">
      <w:pPr>
        <w:pStyle w:val="BodyText"/>
        <w:spacing w:before="139"/>
        <w:ind w:left="0"/>
        <w:jc w:val="left"/>
      </w:pPr>
    </w:p>
    <w:p w:rsidR="00B84776" w:rsidRDefault="00C65940">
      <w:pPr>
        <w:pStyle w:val="Heading2"/>
        <w:numPr>
          <w:ilvl w:val="1"/>
          <w:numId w:val="1"/>
        </w:numPr>
        <w:tabs>
          <w:tab w:val="left" w:pos="460"/>
        </w:tabs>
      </w:pPr>
      <w:r>
        <w:t>Implications</w:t>
      </w:r>
      <w:r>
        <w:rPr>
          <w:spacing w:val="-7"/>
        </w:rPr>
        <w:t xml:space="preserve"> </w:t>
      </w:r>
      <w:r>
        <w:t>for</w:t>
      </w:r>
      <w:r>
        <w:rPr>
          <w:spacing w:val="-3"/>
        </w:rPr>
        <w:t xml:space="preserve"> </w:t>
      </w:r>
      <w:r>
        <w:t>Infection</w:t>
      </w:r>
      <w:r>
        <w:rPr>
          <w:spacing w:val="-2"/>
        </w:rPr>
        <w:t xml:space="preserve"> </w:t>
      </w:r>
      <w:r>
        <w:t>Control</w:t>
      </w:r>
      <w:r>
        <w:rPr>
          <w:spacing w:val="-2"/>
        </w:rPr>
        <w:t xml:space="preserve"> </w:t>
      </w:r>
      <w:r>
        <w:t>and</w:t>
      </w:r>
      <w:r>
        <w:rPr>
          <w:spacing w:val="-2"/>
        </w:rPr>
        <w:t xml:space="preserve"> </w:t>
      </w:r>
      <w:r>
        <w:t>Hospital</w:t>
      </w:r>
      <w:r>
        <w:rPr>
          <w:spacing w:val="-2"/>
        </w:rPr>
        <w:t xml:space="preserve"> Policy</w:t>
      </w:r>
    </w:p>
    <w:p w:rsidR="00B84776" w:rsidRDefault="00C65940">
      <w:pPr>
        <w:pStyle w:val="BodyText"/>
        <w:spacing w:before="137" w:line="360" w:lineRule="auto"/>
        <w:ind w:right="99"/>
      </w:pPr>
      <w:r>
        <w:t>Hospital-acquired infections with ESBL-producing organisms are increasingly re</w:t>
      </w:r>
      <w:r>
        <w:t>ported in neonatal and pediatric wards (87). The high transmissibility of ESBL genes, especially via plasmid-mediated horizontal gene transfer, makes rigorous infection control protocols essential. However, many facilities in LMICs lack</w:t>
      </w:r>
      <w:r>
        <w:rPr>
          <w:spacing w:val="40"/>
        </w:rPr>
        <w:t xml:space="preserve"> </w:t>
      </w:r>
      <w:r>
        <w:t>adequate</w:t>
      </w:r>
      <w:r>
        <w:rPr>
          <w:spacing w:val="35"/>
        </w:rPr>
        <w:t xml:space="preserve"> </w:t>
      </w:r>
      <w:r>
        <w:t>isolation</w:t>
      </w:r>
      <w:r>
        <w:rPr>
          <w:spacing w:val="38"/>
        </w:rPr>
        <w:t xml:space="preserve"> </w:t>
      </w:r>
      <w:r>
        <w:t>measures,</w:t>
      </w:r>
      <w:r>
        <w:rPr>
          <w:spacing w:val="41"/>
        </w:rPr>
        <w:t xml:space="preserve"> </w:t>
      </w:r>
      <w:r>
        <w:t>hand</w:t>
      </w:r>
      <w:r>
        <w:rPr>
          <w:spacing w:val="38"/>
        </w:rPr>
        <w:t xml:space="preserve"> </w:t>
      </w:r>
      <w:r>
        <w:t>hygiene</w:t>
      </w:r>
      <w:r>
        <w:rPr>
          <w:spacing w:val="40"/>
        </w:rPr>
        <w:t xml:space="preserve"> </w:t>
      </w:r>
      <w:r>
        <w:t>enforcement,</w:t>
      </w:r>
      <w:r>
        <w:rPr>
          <w:spacing w:val="41"/>
        </w:rPr>
        <w:t xml:space="preserve"> </w:t>
      </w:r>
      <w:r>
        <w:t>or</w:t>
      </w:r>
      <w:r>
        <w:rPr>
          <w:spacing w:val="38"/>
        </w:rPr>
        <w:t xml:space="preserve"> </w:t>
      </w:r>
      <w:r>
        <w:t>staff</w:t>
      </w:r>
      <w:r>
        <w:rPr>
          <w:spacing w:val="40"/>
        </w:rPr>
        <w:t xml:space="preserve"> </w:t>
      </w:r>
      <w:r>
        <w:t>training</w:t>
      </w:r>
      <w:r>
        <w:rPr>
          <w:spacing w:val="39"/>
        </w:rPr>
        <w:t xml:space="preserve"> </w:t>
      </w:r>
      <w:r>
        <w:rPr>
          <w:spacing w:val="-2"/>
        </w:rPr>
        <w:t>programs</w:t>
      </w:r>
    </w:p>
    <w:p w:rsidR="00B84776" w:rsidRDefault="00C65940">
      <w:pPr>
        <w:pStyle w:val="BodyText"/>
        <w:spacing w:before="1" w:line="360" w:lineRule="auto"/>
        <w:ind w:right="99"/>
      </w:pPr>
      <w:r>
        <w:t>(43). Surveillance programs should be strengthened, with mandatory reporting of ESBL infections and routine screening in high-risk wards.</w:t>
      </w:r>
    </w:p>
    <w:p w:rsidR="00B84776" w:rsidRDefault="00B84776">
      <w:pPr>
        <w:pStyle w:val="BodyText"/>
        <w:spacing w:before="137"/>
        <w:ind w:left="0"/>
        <w:jc w:val="left"/>
      </w:pPr>
    </w:p>
    <w:p w:rsidR="00B84776" w:rsidRDefault="00C65940">
      <w:pPr>
        <w:pStyle w:val="Heading2"/>
        <w:numPr>
          <w:ilvl w:val="1"/>
          <w:numId w:val="1"/>
        </w:numPr>
        <w:tabs>
          <w:tab w:val="left" w:pos="460"/>
        </w:tabs>
      </w:pPr>
      <w:r>
        <w:t>Antibiotic</w:t>
      </w:r>
      <w:r>
        <w:rPr>
          <w:spacing w:val="-7"/>
        </w:rPr>
        <w:t xml:space="preserve"> </w:t>
      </w:r>
      <w:r>
        <w:t>Stewardship</w:t>
      </w:r>
      <w:r>
        <w:rPr>
          <w:spacing w:val="-2"/>
        </w:rPr>
        <w:t xml:space="preserve"> </w:t>
      </w:r>
      <w:r>
        <w:t>in</w:t>
      </w:r>
      <w:r>
        <w:rPr>
          <w:spacing w:val="-3"/>
        </w:rPr>
        <w:t xml:space="preserve"> </w:t>
      </w:r>
      <w:r>
        <w:t>Pediatric</w:t>
      </w:r>
      <w:r>
        <w:rPr>
          <w:spacing w:val="-3"/>
        </w:rPr>
        <w:t xml:space="preserve"> </w:t>
      </w:r>
      <w:r>
        <w:rPr>
          <w:spacing w:val="-4"/>
        </w:rPr>
        <w:t>Care</w:t>
      </w:r>
    </w:p>
    <w:p w:rsidR="00B84776" w:rsidRDefault="00C65940">
      <w:pPr>
        <w:pStyle w:val="BodyText"/>
        <w:spacing w:before="139" w:line="360" w:lineRule="auto"/>
        <w:ind w:right="99"/>
      </w:pPr>
      <w:r>
        <w:t xml:space="preserve">The </w:t>
      </w:r>
      <w:r>
        <w:t>cornerstone of curbing resistance lies in rational antibiotic use (88). Pediatric antibiotic stewardship programs (ASPs) should be implemented in both primary and tertiary healthcare settings. These programs must include:</w:t>
      </w:r>
    </w:p>
    <w:p w:rsidR="00B84776" w:rsidRDefault="00C65940">
      <w:pPr>
        <w:pStyle w:val="ListParagraph"/>
        <w:numPr>
          <w:ilvl w:val="2"/>
          <w:numId w:val="1"/>
        </w:numPr>
        <w:tabs>
          <w:tab w:val="left" w:pos="939"/>
        </w:tabs>
        <w:spacing w:before="2"/>
        <w:ind w:left="939" w:hanging="419"/>
        <w:rPr>
          <w:sz w:val="24"/>
        </w:rPr>
      </w:pPr>
      <w:r>
        <w:rPr>
          <w:sz w:val="24"/>
        </w:rPr>
        <w:t>Development</w:t>
      </w:r>
      <w:r>
        <w:rPr>
          <w:spacing w:val="-5"/>
          <w:sz w:val="24"/>
        </w:rPr>
        <w:t xml:space="preserve"> </w:t>
      </w:r>
      <w:r>
        <w:rPr>
          <w:sz w:val="24"/>
        </w:rPr>
        <w:t>and</w:t>
      </w:r>
      <w:r>
        <w:rPr>
          <w:spacing w:val="-1"/>
          <w:sz w:val="24"/>
        </w:rPr>
        <w:t xml:space="preserve"> </w:t>
      </w:r>
      <w:r>
        <w:rPr>
          <w:sz w:val="24"/>
        </w:rPr>
        <w:t>dissemination</w:t>
      </w:r>
      <w:r>
        <w:rPr>
          <w:spacing w:val="-6"/>
          <w:sz w:val="24"/>
        </w:rPr>
        <w:t xml:space="preserve"> </w:t>
      </w:r>
      <w:r>
        <w:rPr>
          <w:sz w:val="24"/>
        </w:rPr>
        <w:t>of</w:t>
      </w:r>
      <w:r>
        <w:rPr>
          <w:spacing w:val="-2"/>
          <w:sz w:val="24"/>
        </w:rPr>
        <w:t xml:space="preserve"> </w:t>
      </w:r>
      <w:r>
        <w:rPr>
          <w:sz w:val="24"/>
        </w:rPr>
        <w:t>p</w:t>
      </w:r>
      <w:r>
        <w:rPr>
          <w:sz w:val="24"/>
        </w:rPr>
        <w:t>ediatric-specific</w:t>
      </w:r>
      <w:r>
        <w:rPr>
          <w:spacing w:val="-2"/>
          <w:sz w:val="24"/>
        </w:rPr>
        <w:t xml:space="preserve"> </w:t>
      </w:r>
      <w:r>
        <w:rPr>
          <w:sz w:val="24"/>
        </w:rPr>
        <w:t>treatment</w:t>
      </w:r>
      <w:r>
        <w:rPr>
          <w:spacing w:val="-2"/>
          <w:sz w:val="24"/>
        </w:rPr>
        <w:t xml:space="preserve"> guidelines.</w:t>
      </w:r>
    </w:p>
    <w:p w:rsidR="00B84776" w:rsidRDefault="00C65940">
      <w:pPr>
        <w:pStyle w:val="ListParagraph"/>
        <w:numPr>
          <w:ilvl w:val="2"/>
          <w:numId w:val="1"/>
        </w:numPr>
        <w:tabs>
          <w:tab w:val="left" w:pos="939"/>
        </w:tabs>
        <w:spacing w:before="137"/>
        <w:ind w:left="939" w:hanging="419"/>
        <w:rPr>
          <w:sz w:val="24"/>
        </w:rPr>
      </w:pPr>
      <w:r>
        <w:rPr>
          <w:sz w:val="24"/>
        </w:rPr>
        <w:t>Regular</w:t>
      </w:r>
      <w:r>
        <w:rPr>
          <w:spacing w:val="-5"/>
          <w:sz w:val="24"/>
        </w:rPr>
        <w:t xml:space="preserve"> </w:t>
      </w:r>
      <w:r>
        <w:rPr>
          <w:sz w:val="24"/>
        </w:rPr>
        <w:t>audit</w:t>
      </w:r>
      <w:r>
        <w:rPr>
          <w:spacing w:val="-2"/>
          <w:sz w:val="24"/>
        </w:rPr>
        <w:t xml:space="preserve"> </w:t>
      </w:r>
      <w:r>
        <w:rPr>
          <w:sz w:val="24"/>
        </w:rPr>
        <w:t>and feedback</w:t>
      </w:r>
      <w:r>
        <w:rPr>
          <w:spacing w:val="1"/>
          <w:sz w:val="24"/>
        </w:rPr>
        <w:t xml:space="preserve"> </w:t>
      </w:r>
      <w:r>
        <w:rPr>
          <w:sz w:val="24"/>
        </w:rPr>
        <w:t>mechanisms</w:t>
      </w:r>
      <w:r>
        <w:rPr>
          <w:spacing w:val="-2"/>
          <w:sz w:val="24"/>
        </w:rPr>
        <w:t xml:space="preserve"> </w:t>
      </w:r>
      <w:r>
        <w:rPr>
          <w:sz w:val="24"/>
        </w:rPr>
        <w:t>for</w:t>
      </w:r>
      <w:r>
        <w:rPr>
          <w:spacing w:val="-3"/>
          <w:sz w:val="24"/>
        </w:rPr>
        <w:t xml:space="preserve"> </w:t>
      </w:r>
      <w:r>
        <w:rPr>
          <w:sz w:val="24"/>
        </w:rPr>
        <w:t>antibiotic</w:t>
      </w:r>
      <w:r>
        <w:rPr>
          <w:spacing w:val="-2"/>
          <w:sz w:val="24"/>
        </w:rPr>
        <w:t xml:space="preserve"> prescriptions.</w:t>
      </w:r>
    </w:p>
    <w:p w:rsidR="00B84776" w:rsidRDefault="00C65940">
      <w:pPr>
        <w:pStyle w:val="ListParagraph"/>
        <w:numPr>
          <w:ilvl w:val="2"/>
          <w:numId w:val="1"/>
        </w:numPr>
        <w:tabs>
          <w:tab w:val="left" w:pos="940"/>
        </w:tabs>
        <w:spacing w:before="136" w:line="360" w:lineRule="auto"/>
        <w:ind w:left="940" w:right="97"/>
        <w:rPr>
          <w:sz w:val="24"/>
        </w:rPr>
      </w:pPr>
      <w:r>
        <w:rPr>
          <w:sz w:val="24"/>
        </w:rPr>
        <w:t xml:space="preserve">Engagement of </w:t>
      </w:r>
      <w:proofErr w:type="spellStart"/>
      <w:r>
        <w:rPr>
          <w:sz w:val="24"/>
        </w:rPr>
        <w:t>paediatricians</w:t>
      </w:r>
      <w:proofErr w:type="spellEnd"/>
      <w:r>
        <w:rPr>
          <w:sz w:val="24"/>
        </w:rPr>
        <w:t>, pharmacists, and microbiologists in multidisciplinary stewardship teams.</w:t>
      </w:r>
    </w:p>
    <w:p w:rsidR="00B84776" w:rsidRDefault="00C65940">
      <w:pPr>
        <w:pStyle w:val="ListParagraph"/>
        <w:numPr>
          <w:ilvl w:val="2"/>
          <w:numId w:val="1"/>
        </w:numPr>
        <w:tabs>
          <w:tab w:val="left" w:pos="940"/>
        </w:tabs>
        <w:spacing w:line="360" w:lineRule="auto"/>
        <w:ind w:left="940" w:right="96"/>
        <w:rPr>
          <w:sz w:val="24"/>
        </w:rPr>
      </w:pPr>
      <w:r>
        <w:rPr>
          <w:sz w:val="24"/>
        </w:rPr>
        <w:t>Training programs for junior clinicians on th</w:t>
      </w:r>
      <w:r>
        <w:rPr>
          <w:sz w:val="24"/>
        </w:rPr>
        <w:t>e</w:t>
      </w:r>
      <w:r>
        <w:rPr>
          <w:spacing w:val="-1"/>
          <w:sz w:val="24"/>
        </w:rPr>
        <w:t xml:space="preserve"> </w:t>
      </w:r>
      <w:r>
        <w:rPr>
          <w:sz w:val="24"/>
        </w:rPr>
        <w:t xml:space="preserve">principles of prudent antibiotic </w:t>
      </w:r>
      <w:r>
        <w:rPr>
          <w:spacing w:val="-4"/>
          <w:sz w:val="24"/>
        </w:rPr>
        <w:t>use.</w:t>
      </w:r>
    </w:p>
    <w:p w:rsidR="00B84776" w:rsidRDefault="00B84776">
      <w:pPr>
        <w:pStyle w:val="ListParagraph"/>
        <w:spacing w:line="360" w:lineRule="auto"/>
        <w:rPr>
          <w:sz w:val="24"/>
        </w:rPr>
        <w:sectPr w:rsidR="00B84776">
          <w:pgSz w:w="11910" w:h="16840"/>
          <w:pgMar w:top="1360" w:right="1700" w:bottom="280" w:left="1700" w:header="720" w:footer="720" w:gutter="0"/>
          <w:cols w:space="720"/>
        </w:sectPr>
      </w:pPr>
    </w:p>
    <w:p w:rsidR="00B84776" w:rsidRDefault="00C65940">
      <w:pPr>
        <w:pStyle w:val="BodyText"/>
        <w:spacing w:before="62" w:line="360" w:lineRule="auto"/>
        <w:ind w:right="99"/>
      </w:pPr>
      <w:r>
        <w:lastRenderedPageBreak/>
        <w:t>Pharmacovigilance is equally essential. Clinicians should be encouraged to use narrow-spectrum agents guided by antibiogram data wherever possible. In resource- limited settings, access to updated regio</w:t>
      </w:r>
      <w:r>
        <w:t>nal resistance profiles can greatly enhance the precision of empirical therapy (89).</w:t>
      </w:r>
    </w:p>
    <w:p w:rsidR="00B84776" w:rsidRDefault="00B84776">
      <w:pPr>
        <w:pStyle w:val="BodyText"/>
        <w:spacing w:before="137"/>
        <w:ind w:left="0"/>
        <w:jc w:val="left"/>
      </w:pPr>
    </w:p>
    <w:p w:rsidR="00B84776" w:rsidRDefault="00C65940">
      <w:pPr>
        <w:pStyle w:val="Heading2"/>
        <w:numPr>
          <w:ilvl w:val="1"/>
          <w:numId w:val="1"/>
        </w:numPr>
        <w:tabs>
          <w:tab w:val="left" w:pos="460"/>
        </w:tabs>
      </w:pPr>
      <w:r>
        <w:t>Role</w:t>
      </w:r>
      <w:r>
        <w:rPr>
          <w:spacing w:val="-3"/>
        </w:rPr>
        <w:t xml:space="preserve"> </w:t>
      </w:r>
      <w:r>
        <w:t>of</w:t>
      </w:r>
      <w:r>
        <w:rPr>
          <w:spacing w:val="-3"/>
        </w:rPr>
        <w:t xml:space="preserve"> </w:t>
      </w:r>
      <w:r>
        <w:t>Pharmacists</w:t>
      </w:r>
      <w:r>
        <w:rPr>
          <w:spacing w:val="-1"/>
        </w:rPr>
        <w:t xml:space="preserve"> </w:t>
      </w:r>
      <w:r>
        <w:t>and</w:t>
      </w:r>
      <w:r>
        <w:rPr>
          <w:spacing w:val="-3"/>
        </w:rPr>
        <w:t xml:space="preserve"> </w:t>
      </w:r>
      <w:r>
        <w:t>Community</w:t>
      </w:r>
      <w:r>
        <w:rPr>
          <w:spacing w:val="-2"/>
        </w:rPr>
        <w:t xml:space="preserve"> Engagement</w:t>
      </w:r>
    </w:p>
    <w:p w:rsidR="00B84776" w:rsidRDefault="00C65940">
      <w:pPr>
        <w:pStyle w:val="BodyText"/>
        <w:spacing w:before="137" w:line="360" w:lineRule="auto"/>
        <w:jc w:val="left"/>
      </w:pPr>
      <w:r>
        <w:t>Pharmacists</w:t>
      </w:r>
      <w:r>
        <w:rPr>
          <w:spacing w:val="40"/>
        </w:rPr>
        <w:t xml:space="preserve"> </w:t>
      </w:r>
      <w:r>
        <w:t>play</w:t>
      </w:r>
      <w:r>
        <w:rPr>
          <w:spacing w:val="40"/>
        </w:rPr>
        <w:t xml:space="preserve"> </w:t>
      </w:r>
      <w:r>
        <w:t>a</w:t>
      </w:r>
      <w:r>
        <w:rPr>
          <w:spacing w:val="40"/>
        </w:rPr>
        <w:t xml:space="preserve"> </w:t>
      </w:r>
      <w:r>
        <w:t>pivotal</w:t>
      </w:r>
      <w:r>
        <w:rPr>
          <w:spacing w:val="40"/>
        </w:rPr>
        <w:t xml:space="preserve"> </w:t>
      </w:r>
      <w:r>
        <w:t>role</w:t>
      </w:r>
      <w:r>
        <w:rPr>
          <w:spacing w:val="40"/>
        </w:rPr>
        <w:t xml:space="preserve"> </w:t>
      </w:r>
      <w:r>
        <w:t>in</w:t>
      </w:r>
      <w:r>
        <w:rPr>
          <w:spacing w:val="40"/>
        </w:rPr>
        <w:t xml:space="preserve"> </w:t>
      </w:r>
      <w:r>
        <w:t>antibiotic</w:t>
      </w:r>
      <w:r>
        <w:rPr>
          <w:spacing w:val="40"/>
        </w:rPr>
        <w:t xml:space="preserve"> </w:t>
      </w:r>
      <w:r>
        <w:t>dispensing</w:t>
      </w:r>
      <w:r>
        <w:rPr>
          <w:spacing w:val="40"/>
        </w:rPr>
        <w:t xml:space="preserve"> </w:t>
      </w:r>
      <w:r>
        <w:t>and</w:t>
      </w:r>
      <w:r>
        <w:rPr>
          <w:spacing w:val="40"/>
        </w:rPr>
        <w:t xml:space="preserve"> </w:t>
      </w:r>
      <w:r>
        <w:t>caregiver</w:t>
      </w:r>
      <w:r>
        <w:rPr>
          <w:spacing w:val="40"/>
        </w:rPr>
        <w:t xml:space="preserve"> </w:t>
      </w:r>
      <w:r>
        <w:t>education. Unfortunately,</w:t>
      </w:r>
      <w:r>
        <w:rPr>
          <w:spacing w:val="26"/>
        </w:rPr>
        <w:t xml:space="preserve"> </w:t>
      </w:r>
      <w:r>
        <w:t>in</w:t>
      </w:r>
      <w:r>
        <w:rPr>
          <w:spacing w:val="22"/>
        </w:rPr>
        <w:t xml:space="preserve"> </w:t>
      </w:r>
      <w:r>
        <w:t>many</w:t>
      </w:r>
      <w:r>
        <w:rPr>
          <w:spacing w:val="23"/>
        </w:rPr>
        <w:t xml:space="preserve"> </w:t>
      </w:r>
      <w:r>
        <w:t>LMICs,</w:t>
      </w:r>
      <w:r>
        <w:rPr>
          <w:spacing w:val="26"/>
        </w:rPr>
        <w:t xml:space="preserve"> </w:t>
      </w:r>
      <w:r>
        <w:t>antibiotics</w:t>
      </w:r>
      <w:r>
        <w:rPr>
          <w:spacing w:val="22"/>
        </w:rPr>
        <w:t xml:space="preserve"> </w:t>
      </w:r>
      <w:r>
        <w:t>are</w:t>
      </w:r>
      <w:r>
        <w:rPr>
          <w:spacing w:val="24"/>
        </w:rPr>
        <w:t xml:space="preserve"> </w:t>
      </w:r>
      <w:r>
        <w:t>frequently</w:t>
      </w:r>
      <w:r>
        <w:rPr>
          <w:spacing w:val="24"/>
        </w:rPr>
        <w:t xml:space="preserve"> </w:t>
      </w:r>
      <w:r>
        <w:t>sold</w:t>
      </w:r>
      <w:r>
        <w:rPr>
          <w:spacing w:val="22"/>
        </w:rPr>
        <w:t xml:space="preserve"> </w:t>
      </w:r>
      <w:r>
        <w:t>without</w:t>
      </w:r>
      <w:r>
        <w:rPr>
          <w:spacing w:val="24"/>
        </w:rPr>
        <w:t xml:space="preserve"> </w:t>
      </w:r>
      <w:r>
        <w:rPr>
          <w:spacing w:val="-2"/>
        </w:rPr>
        <w:t>prescriptions</w:t>
      </w:r>
    </w:p>
    <w:p w:rsidR="00B84776" w:rsidRDefault="00C65940">
      <w:pPr>
        <w:pStyle w:val="BodyText"/>
        <w:spacing w:line="360" w:lineRule="auto"/>
        <w:jc w:val="left"/>
      </w:pPr>
      <w:r>
        <w:t>(90).</w:t>
      </w:r>
      <w:r>
        <w:rPr>
          <w:spacing w:val="80"/>
        </w:rPr>
        <w:t xml:space="preserve"> </w:t>
      </w:r>
      <w:r>
        <w:t>Community</w:t>
      </w:r>
      <w:r>
        <w:rPr>
          <w:spacing w:val="80"/>
        </w:rPr>
        <w:t xml:space="preserve"> </w:t>
      </w:r>
      <w:r>
        <w:t>pharmacists</w:t>
      </w:r>
      <w:r>
        <w:rPr>
          <w:spacing w:val="80"/>
        </w:rPr>
        <w:t xml:space="preserve"> </w:t>
      </w:r>
      <w:r>
        <w:t>should</w:t>
      </w:r>
      <w:r>
        <w:rPr>
          <w:spacing w:val="80"/>
        </w:rPr>
        <w:t xml:space="preserve"> </w:t>
      </w:r>
      <w:r>
        <w:t>be</w:t>
      </w:r>
      <w:r>
        <w:rPr>
          <w:spacing w:val="80"/>
        </w:rPr>
        <w:t xml:space="preserve"> </w:t>
      </w:r>
      <w:r>
        <w:t>integrated</w:t>
      </w:r>
      <w:r>
        <w:rPr>
          <w:spacing w:val="80"/>
        </w:rPr>
        <w:t xml:space="preserve"> </w:t>
      </w:r>
      <w:r>
        <w:t>into</w:t>
      </w:r>
      <w:r>
        <w:rPr>
          <w:spacing w:val="80"/>
        </w:rPr>
        <w:t xml:space="preserve"> </w:t>
      </w:r>
      <w:r>
        <w:t>national</w:t>
      </w:r>
      <w:r>
        <w:rPr>
          <w:spacing w:val="80"/>
        </w:rPr>
        <w:t xml:space="preserve"> </w:t>
      </w:r>
      <w:r>
        <w:t>stewardship</w:t>
      </w:r>
      <w:r>
        <w:rPr>
          <w:spacing w:val="80"/>
        </w:rPr>
        <w:t xml:space="preserve"> </w:t>
      </w:r>
      <w:r>
        <w:t>frameworks and trained to educate caregivers about the dangers of antibiotic misuse. Public</w:t>
      </w:r>
      <w:r>
        <w:rPr>
          <w:spacing w:val="38"/>
        </w:rPr>
        <w:t xml:space="preserve"> </w:t>
      </w:r>
      <w:r>
        <w:t>education</w:t>
      </w:r>
      <w:r>
        <w:rPr>
          <w:spacing w:val="40"/>
        </w:rPr>
        <w:t xml:space="preserve"> </w:t>
      </w:r>
      <w:r>
        <w:t>campaigns</w:t>
      </w:r>
      <w:r>
        <w:rPr>
          <w:spacing w:val="40"/>
        </w:rPr>
        <w:t xml:space="preserve"> </w:t>
      </w:r>
      <w:r>
        <w:t>targeting</w:t>
      </w:r>
      <w:r>
        <w:rPr>
          <w:spacing w:val="39"/>
        </w:rPr>
        <w:t xml:space="preserve"> </w:t>
      </w:r>
      <w:r>
        <w:t>parents,</w:t>
      </w:r>
      <w:r>
        <w:rPr>
          <w:spacing w:val="39"/>
        </w:rPr>
        <w:t xml:space="preserve"> </w:t>
      </w:r>
      <w:r>
        <w:t>schools,</w:t>
      </w:r>
      <w:r>
        <w:rPr>
          <w:spacing w:val="40"/>
        </w:rPr>
        <w:t xml:space="preserve"> </w:t>
      </w:r>
      <w:r>
        <w:t>and</w:t>
      </w:r>
      <w:r>
        <w:rPr>
          <w:spacing w:val="39"/>
        </w:rPr>
        <w:t xml:space="preserve"> </w:t>
      </w:r>
      <w:r>
        <w:t>community</w:t>
      </w:r>
      <w:r>
        <w:rPr>
          <w:spacing w:val="39"/>
        </w:rPr>
        <w:t xml:space="preserve"> </w:t>
      </w:r>
      <w:r>
        <w:t>leaders</w:t>
      </w:r>
      <w:r>
        <w:rPr>
          <w:spacing w:val="40"/>
        </w:rPr>
        <w:t xml:space="preserve"> </w:t>
      </w:r>
      <w:r>
        <w:t>are vital. These should address:</w:t>
      </w:r>
    </w:p>
    <w:p w:rsidR="00B84776" w:rsidRDefault="00C65940">
      <w:pPr>
        <w:pStyle w:val="ListParagraph"/>
        <w:numPr>
          <w:ilvl w:val="0"/>
          <w:numId w:val="2"/>
        </w:numPr>
        <w:tabs>
          <w:tab w:val="left" w:pos="939"/>
        </w:tabs>
        <w:spacing w:before="2"/>
        <w:ind w:left="939" w:hanging="419"/>
        <w:jc w:val="left"/>
        <w:rPr>
          <w:sz w:val="24"/>
        </w:rPr>
      </w:pPr>
      <w:r>
        <w:rPr>
          <w:sz w:val="24"/>
        </w:rPr>
        <w:t>When</w:t>
      </w:r>
      <w:r>
        <w:rPr>
          <w:spacing w:val="-4"/>
          <w:sz w:val="24"/>
        </w:rPr>
        <w:t xml:space="preserve"> </w:t>
      </w:r>
      <w:r>
        <w:rPr>
          <w:sz w:val="24"/>
        </w:rPr>
        <w:t>and</w:t>
      </w:r>
      <w:r>
        <w:rPr>
          <w:spacing w:val="-3"/>
          <w:sz w:val="24"/>
        </w:rPr>
        <w:t xml:space="preserve"> </w:t>
      </w:r>
      <w:r>
        <w:rPr>
          <w:sz w:val="24"/>
        </w:rPr>
        <w:t>why</w:t>
      </w:r>
      <w:r>
        <w:rPr>
          <w:spacing w:val="-1"/>
          <w:sz w:val="24"/>
        </w:rPr>
        <w:t xml:space="preserve"> </w:t>
      </w:r>
      <w:r>
        <w:rPr>
          <w:sz w:val="24"/>
        </w:rPr>
        <w:t>antibiotics</w:t>
      </w:r>
      <w:r>
        <w:rPr>
          <w:spacing w:val="-2"/>
          <w:sz w:val="24"/>
        </w:rPr>
        <w:t xml:space="preserve"> </w:t>
      </w:r>
      <w:r>
        <w:rPr>
          <w:sz w:val="24"/>
        </w:rPr>
        <w:t>are necessary</w:t>
      </w:r>
      <w:r>
        <w:rPr>
          <w:spacing w:val="-2"/>
          <w:sz w:val="24"/>
        </w:rPr>
        <w:t xml:space="preserve"> </w:t>
      </w:r>
      <w:r>
        <w:rPr>
          <w:sz w:val="24"/>
        </w:rPr>
        <w:t>(and when</w:t>
      </w:r>
      <w:r>
        <w:rPr>
          <w:spacing w:val="1"/>
          <w:sz w:val="24"/>
        </w:rPr>
        <w:t xml:space="preserve"> </w:t>
      </w:r>
      <w:r>
        <w:rPr>
          <w:sz w:val="24"/>
        </w:rPr>
        <w:t>they</w:t>
      </w:r>
      <w:r>
        <w:rPr>
          <w:spacing w:val="-2"/>
          <w:sz w:val="24"/>
        </w:rPr>
        <w:t xml:space="preserve"> </w:t>
      </w:r>
      <w:r>
        <w:rPr>
          <w:sz w:val="24"/>
        </w:rPr>
        <w:t xml:space="preserve">are </w:t>
      </w:r>
      <w:r>
        <w:rPr>
          <w:spacing w:val="-2"/>
          <w:sz w:val="24"/>
        </w:rPr>
        <w:t>not).</w:t>
      </w:r>
    </w:p>
    <w:p w:rsidR="00B84776" w:rsidRDefault="00C65940">
      <w:pPr>
        <w:pStyle w:val="ListParagraph"/>
        <w:numPr>
          <w:ilvl w:val="0"/>
          <w:numId w:val="2"/>
        </w:numPr>
        <w:tabs>
          <w:tab w:val="left" w:pos="939"/>
        </w:tabs>
        <w:spacing w:before="137"/>
        <w:ind w:left="939" w:hanging="419"/>
        <w:jc w:val="left"/>
        <w:rPr>
          <w:sz w:val="24"/>
        </w:rPr>
      </w:pPr>
      <w:r>
        <w:rPr>
          <w:sz w:val="24"/>
        </w:rPr>
        <w:t>Risks</w:t>
      </w:r>
      <w:r>
        <w:rPr>
          <w:spacing w:val="-7"/>
          <w:sz w:val="24"/>
        </w:rPr>
        <w:t xml:space="preserve"> </w:t>
      </w:r>
      <w:r>
        <w:rPr>
          <w:sz w:val="24"/>
        </w:rPr>
        <w:t>of</w:t>
      </w:r>
      <w:r>
        <w:rPr>
          <w:spacing w:val="-2"/>
          <w:sz w:val="24"/>
        </w:rPr>
        <w:t xml:space="preserve"> </w:t>
      </w:r>
      <w:r>
        <w:rPr>
          <w:sz w:val="24"/>
        </w:rPr>
        <w:t>self-medication</w:t>
      </w:r>
      <w:r>
        <w:rPr>
          <w:spacing w:val="-2"/>
          <w:sz w:val="24"/>
        </w:rPr>
        <w:t xml:space="preserve"> </w:t>
      </w:r>
      <w:r>
        <w:rPr>
          <w:sz w:val="24"/>
        </w:rPr>
        <w:t>and</w:t>
      </w:r>
      <w:r>
        <w:rPr>
          <w:spacing w:val="1"/>
          <w:sz w:val="24"/>
        </w:rPr>
        <w:t xml:space="preserve"> </w:t>
      </w:r>
      <w:r>
        <w:rPr>
          <w:sz w:val="24"/>
        </w:rPr>
        <w:t>incomplete</w:t>
      </w:r>
      <w:r>
        <w:rPr>
          <w:spacing w:val="-2"/>
          <w:sz w:val="24"/>
        </w:rPr>
        <w:t xml:space="preserve"> courses.</w:t>
      </w:r>
    </w:p>
    <w:p w:rsidR="00B84776" w:rsidRDefault="00C65940">
      <w:pPr>
        <w:pStyle w:val="ListParagraph"/>
        <w:numPr>
          <w:ilvl w:val="0"/>
          <w:numId w:val="2"/>
        </w:numPr>
        <w:tabs>
          <w:tab w:val="left" w:pos="939"/>
        </w:tabs>
        <w:spacing w:before="139"/>
        <w:ind w:left="939" w:hanging="419"/>
        <w:jc w:val="left"/>
        <w:rPr>
          <w:sz w:val="24"/>
        </w:rPr>
      </w:pPr>
      <w:r>
        <w:rPr>
          <w:sz w:val="24"/>
        </w:rPr>
        <w:t>Recognition</w:t>
      </w:r>
      <w:r>
        <w:rPr>
          <w:spacing w:val="-4"/>
          <w:sz w:val="24"/>
        </w:rPr>
        <w:t xml:space="preserve"> </w:t>
      </w:r>
      <w:r>
        <w:rPr>
          <w:sz w:val="24"/>
        </w:rPr>
        <w:t>of</w:t>
      </w:r>
      <w:r>
        <w:rPr>
          <w:spacing w:val="-3"/>
          <w:sz w:val="24"/>
        </w:rPr>
        <w:t xml:space="preserve"> </w:t>
      </w:r>
      <w:r>
        <w:rPr>
          <w:sz w:val="24"/>
        </w:rPr>
        <w:t>early</w:t>
      </w:r>
      <w:r>
        <w:rPr>
          <w:spacing w:val="-1"/>
          <w:sz w:val="24"/>
        </w:rPr>
        <w:t xml:space="preserve"> </w:t>
      </w:r>
      <w:r>
        <w:rPr>
          <w:sz w:val="24"/>
        </w:rPr>
        <w:t>UTI</w:t>
      </w:r>
      <w:r>
        <w:rPr>
          <w:spacing w:val="-3"/>
          <w:sz w:val="24"/>
        </w:rPr>
        <w:t xml:space="preserve"> </w:t>
      </w:r>
      <w:r>
        <w:rPr>
          <w:sz w:val="24"/>
        </w:rPr>
        <w:t>symptoms and</w:t>
      </w:r>
      <w:r>
        <w:rPr>
          <w:spacing w:val="-1"/>
          <w:sz w:val="24"/>
        </w:rPr>
        <w:t xml:space="preserve"> </w:t>
      </w:r>
      <w:r>
        <w:rPr>
          <w:sz w:val="24"/>
        </w:rPr>
        <w:t>importance</w:t>
      </w:r>
      <w:r>
        <w:rPr>
          <w:spacing w:val="-1"/>
          <w:sz w:val="24"/>
        </w:rPr>
        <w:t xml:space="preserve"> </w:t>
      </w:r>
      <w:r>
        <w:rPr>
          <w:sz w:val="24"/>
        </w:rPr>
        <w:t>of</w:t>
      </w:r>
      <w:r>
        <w:rPr>
          <w:spacing w:val="-3"/>
          <w:sz w:val="24"/>
        </w:rPr>
        <w:t xml:space="preserve"> </w:t>
      </w:r>
      <w:r>
        <w:rPr>
          <w:sz w:val="24"/>
        </w:rPr>
        <w:t>clinical</w:t>
      </w:r>
      <w:r>
        <w:rPr>
          <w:spacing w:val="-1"/>
          <w:sz w:val="24"/>
        </w:rPr>
        <w:t xml:space="preserve"> </w:t>
      </w:r>
      <w:r>
        <w:rPr>
          <w:spacing w:val="-2"/>
          <w:sz w:val="24"/>
        </w:rPr>
        <w:t>evaluation.</w:t>
      </w:r>
    </w:p>
    <w:p w:rsidR="00B84776" w:rsidRDefault="00B84776">
      <w:pPr>
        <w:pStyle w:val="BodyText"/>
        <w:spacing w:before="274"/>
        <w:ind w:left="0"/>
        <w:jc w:val="left"/>
      </w:pPr>
    </w:p>
    <w:p w:rsidR="00B84776" w:rsidRDefault="00C65940">
      <w:pPr>
        <w:pStyle w:val="Heading2"/>
        <w:numPr>
          <w:ilvl w:val="1"/>
          <w:numId w:val="1"/>
        </w:numPr>
        <w:tabs>
          <w:tab w:val="left" w:pos="460"/>
        </w:tabs>
      </w:pPr>
      <w:r>
        <w:t>Policy</w:t>
      </w:r>
      <w:r>
        <w:rPr>
          <w:spacing w:val="-2"/>
        </w:rPr>
        <w:t xml:space="preserve"> </w:t>
      </w:r>
      <w:r>
        <w:t>and</w:t>
      </w:r>
      <w:r>
        <w:rPr>
          <w:spacing w:val="-4"/>
        </w:rPr>
        <w:t xml:space="preserve"> </w:t>
      </w:r>
      <w:r>
        <w:t xml:space="preserve">Regulatory </w:t>
      </w:r>
      <w:r>
        <w:rPr>
          <w:spacing w:val="-2"/>
        </w:rPr>
        <w:t>Measures</w:t>
      </w:r>
    </w:p>
    <w:p w:rsidR="00B84776" w:rsidRDefault="00C65940">
      <w:pPr>
        <w:pStyle w:val="BodyText"/>
        <w:spacing w:before="139" w:line="360" w:lineRule="auto"/>
        <w:ind w:right="96"/>
      </w:pPr>
      <w:r>
        <w:t>Governments and health ministries must enact and enforce regulations that restrict over-the-counter sales of antibiotics (43). Policy frameworks should also incentivize research and development of pediatric formulations of essential ant</w:t>
      </w:r>
      <w:r>
        <w:t>ibiotics. National action plans on antimicrobial resistance must prioritize:</w:t>
      </w:r>
    </w:p>
    <w:p w:rsidR="00B84776" w:rsidRDefault="00C65940">
      <w:pPr>
        <w:pStyle w:val="ListParagraph"/>
        <w:numPr>
          <w:ilvl w:val="2"/>
          <w:numId w:val="1"/>
        </w:numPr>
        <w:tabs>
          <w:tab w:val="left" w:pos="940"/>
        </w:tabs>
        <w:spacing w:line="360" w:lineRule="auto"/>
        <w:ind w:left="940" w:right="100"/>
        <w:rPr>
          <w:sz w:val="24"/>
        </w:rPr>
      </w:pPr>
      <w:r>
        <w:rPr>
          <w:sz w:val="24"/>
        </w:rPr>
        <w:t xml:space="preserve">Expansion of diagnostic laboratories capable of detecting ESBL-producing </w:t>
      </w:r>
      <w:r>
        <w:rPr>
          <w:spacing w:val="-2"/>
          <w:sz w:val="24"/>
        </w:rPr>
        <w:t>strains.</w:t>
      </w:r>
    </w:p>
    <w:p w:rsidR="00B84776" w:rsidRDefault="00C65940">
      <w:pPr>
        <w:pStyle w:val="ListParagraph"/>
        <w:numPr>
          <w:ilvl w:val="2"/>
          <w:numId w:val="1"/>
        </w:numPr>
        <w:tabs>
          <w:tab w:val="left" w:pos="939"/>
        </w:tabs>
        <w:ind w:left="939" w:hanging="419"/>
        <w:rPr>
          <w:sz w:val="24"/>
        </w:rPr>
      </w:pPr>
      <w:r>
        <w:rPr>
          <w:sz w:val="24"/>
        </w:rPr>
        <w:t>Investment</w:t>
      </w:r>
      <w:r>
        <w:rPr>
          <w:spacing w:val="-5"/>
          <w:sz w:val="24"/>
        </w:rPr>
        <w:t xml:space="preserve"> </w:t>
      </w:r>
      <w:r>
        <w:rPr>
          <w:sz w:val="24"/>
        </w:rPr>
        <w:t>in</w:t>
      </w:r>
      <w:r>
        <w:rPr>
          <w:spacing w:val="-2"/>
          <w:sz w:val="24"/>
        </w:rPr>
        <w:t xml:space="preserve"> </w:t>
      </w:r>
      <w:r>
        <w:rPr>
          <w:sz w:val="24"/>
        </w:rPr>
        <w:t>electronic</w:t>
      </w:r>
      <w:r>
        <w:rPr>
          <w:spacing w:val="-3"/>
          <w:sz w:val="24"/>
        </w:rPr>
        <w:t xml:space="preserve"> </w:t>
      </w:r>
      <w:r>
        <w:rPr>
          <w:sz w:val="24"/>
        </w:rPr>
        <w:t>medical</w:t>
      </w:r>
      <w:r>
        <w:rPr>
          <w:spacing w:val="-3"/>
          <w:sz w:val="24"/>
        </w:rPr>
        <w:t xml:space="preserve"> </w:t>
      </w:r>
      <w:r>
        <w:rPr>
          <w:sz w:val="24"/>
        </w:rPr>
        <w:t>records and</w:t>
      </w:r>
      <w:r>
        <w:rPr>
          <w:spacing w:val="-2"/>
          <w:sz w:val="24"/>
        </w:rPr>
        <w:t xml:space="preserve"> </w:t>
      </w:r>
      <w:r>
        <w:rPr>
          <w:sz w:val="24"/>
        </w:rPr>
        <w:t>surveillance</w:t>
      </w:r>
      <w:r>
        <w:rPr>
          <w:spacing w:val="1"/>
          <w:sz w:val="24"/>
        </w:rPr>
        <w:t xml:space="preserve"> </w:t>
      </w:r>
      <w:r>
        <w:rPr>
          <w:spacing w:val="-2"/>
          <w:sz w:val="24"/>
        </w:rPr>
        <w:t>systems.</w:t>
      </w:r>
    </w:p>
    <w:p w:rsidR="00B84776" w:rsidRDefault="00C65940">
      <w:pPr>
        <w:pStyle w:val="ListParagraph"/>
        <w:numPr>
          <w:ilvl w:val="2"/>
          <w:numId w:val="1"/>
        </w:numPr>
        <w:tabs>
          <w:tab w:val="left" w:pos="939"/>
        </w:tabs>
        <w:spacing w:before="140"/>
        <w:ind w:left="939" w:hanging="419"/>
        <w:rPr>
          <w:sz w:val="24"/>
        </w:rPr>
      </w:pPr>
      <w:r>
        <w:rPr>
          <w:sz w:val="24"/>
        </w:rPr>
        <w:t>Inclusion</w:t>
      </w:r>
      <w:r>
        <w:rPr>
          <w:spacing w:val="-2"/>
          <w:sz w:val="24"/>
        </w:rPr>
        <w:t xml:space="preserve"> </w:t>
      </w:r>
      <w:r>
        <w:rPr>
          <w:sz w:val="24"/>
        </w:rPr>
        <w:t>of</w:t>
      </w:r>
      <w:r>
        <w:rPr>
          <w:spacing w:val="-3"/>
          <w:sz w:val="24"/>
        </w:rPr>
        <w:t xml:space="preserve"> </w:t>
      </w:r>
      <w:r>
        <w:rPr>
          <w:sz w:val="24"/>
        </w:rPr>
        <w:t>pediatric</w:t>
      </w:r>
      <w:r>
        <w:rPr>
          <w:spacing w:val="-1"/>
          <w:sz w:val="24"/>
        </w:rPr>
        <w:t xml:space="preserve"> </w:t>
      </w:r>
      <w:r>
        <w:rPr>
          <w:sz w:val="24"/>
        </w:rPr>
        <w:t>resista</w:t>
      </w:r>
      <w:r>
        <w:rPr>
          <w:sz w:val="24"/>
        </w:rPr>
        <w:t>nce data</w:t>
      </w:r>
      <w:r>
        <w:rPr>
          <w:spacing w:val="-1"/>
          <w:sz w:val="24"/>
        </w:rPr>
        <w:t xml:space="preserve"> </w:t>
      </w:r>
      <w:r>
        <w:rPr>
          <w:sz w:val="24"/>
        </w:rPr>
        <w:t>in</w:t>
      </w:r>
      <w:r>
        <w:rPr>
          <w:spacing w:val="-2"/>
          <w:sz w:val="24"/>
        </w:rPr>
        <w:t xml:space="preserve"> </w:t>
      </w:r>
      <w:r>
        <w:rPr>
          <w:sz w:val="24"/>
        </w:rPr>
        <w:t>national</w:t>
      </w:r>
      <w:r>
        <w:rPr>
          <w:spacing w:val="-2"/>
          <w:sz w:val="24"/>
        </w:rPr>
        <w:t xml:space="preserve"> </w:t>
      </w:r>
      <w:r>
        <w:rPr>
          <w:sz w:val="24"/>
        </w:rPr>
        <w:t>AMR</w:t>
      </w:r>
      <w:r>
        <w:rPr>
          <w:spacing w:val="-1"/>
          <w:sz w:val="24"/>
        </w:rPr>
        <w:t xml:space="preserve"> </w:t>
      </w:r>
      <w:r>
        <w:rPr>
          <w:spacing w:val="-2"/>
          <w:sz w:val="24"/>
        </w:rPr>
        <w:t>reports.</w:t>
      </w:r>
    </w:p>
    <w:p w:rsidR="00B84776" w:rsidRDefault="00B84776">
      <w:pPr>
        <w:pStyle w:val="BodyText"/>
        <w:spacing w:before="273"/>
        <w:ind w:left="0"/>
        <w:jc w:val="left"/>
      </w:pPr>
    </w:p>
    <w:p w:rsidR="00B84776" w:rsidRDefault="00C65940">
      <w:pPr>
        <w:pStyle w:val="Heading2"/>
        <w:numPr>
          <w:ilvl w:val="1"/>
          <w:numId w:val="1"/>
        </w:numPr>
        <w:tabs>
          <w:tab w:val="left" w:pos="460"/>
        </w:tabs>
      </w:pPr>
      <w:r>
        <w:t>International</w:t>
      </w:r>
      <w:r>
        <w:rPr>
          <w:spacing w:val="-3"/>
        </w:rPr>
        <w:t xml:space="preserve"> </w:t>
      </w:r>
      <w:r>
        <w:t>and</w:t>
      </w:r>
      <w:r>
        <w:rPr>
          <w:spacing w:val="-5"/>
        </w:rPr>
        <w:t xml:space="preserve"> </w:t>
      </w:r>
      <w:r>
        <w:t>Multisectoral</w:t>
      </w:r>
      <w:r>
        <w:rPr>
          <w:spacing w:val="-2"/>
        </w:rPr>
        <w:t xml:space="preserve"> Collaboration</w:t>
      </w:r>
    </w:p>
    <w:p w:rsidR="00B84776" w:rsidRDefault="00C65940">
      <w:pPr>
        <w:pStyle w:val="BodyText"/>
        <w:spacing w:before="139" w:line="360" w:lineRule="auto"/>
        <w:ind w:right="98"/>
      </w:pPr>
      <w:r>
        <w:t xml:space="preserve">Global health agencies, including the World Health Organization (WHO), must continue to support LMICs in developing antimicrobial stewardship infrastructure. Cross-border </w:t>
      </w:r>
      <w:r>
        <w:t>surveillance networks and international research collaborations can facilitate data sharing and harmonization of guidelines (43).</w:t>
      </w:r>
    </w:p>
    <w:p w:rsidR="00B84776" w:rsidRDefault="00B84776">
      <w:pPr>
        <w:pStyle w:val="BodyText"/>
        <w:spacing w:line="360" w:lineRule="auto"/>
        <w:sectPr w:rsidR="00B84776">
          <w:pgSz w:w="11910" w:h="16840"/>
          <w:pgMar w:top="1360" w:right="1700" w:bottom="280" w:left="1700" w:header="720" w:footer="720" w:gutter="0"/>
          <w:cols w:space="720"/>
        </w:sectPr>
      </w:pPr>
    </w:p>
    <w:p w:rsidR="00B84776" w:rsidRDefault="00C65940">
      <w:pPr>
        <w:pStyle w:val="BodyText"/>
        <w:ind w:left="1116"/>
        <w:jc w:val="left"/>
        <w:rPr>
          <w:sz w:val="20"/>
        </w:rPr>
      </w:pPr>
      <w:r>
        <w:rPr>
          <w:noProof/>
          <w:sz w:val="20"/>
        </w:rPr>
        <w:lastRenderedPageBreak/>
        <w:drawing>
          <wp:inline distT="0" distB="0" distL="0" distR="0">
            <wp:extent cx="4004310" cy="3077845"/>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6" cstate="print"/>
                    <a:stretch>
                      <a:fillRect/>
                    </a:stretch>
                  </pic:blipFill>
                  <pic:spPr>
                    <a:xfrm>
                      <a:off x="0" y="0"/>
                      <a:ext cx="4004466" cy="3078479"/>
                    </a:xfrm>
                    <a:prstGeom prst="rect">
                      <a:avLst/>
                    </a:prstGeom>
                  </pic:spPr>
                </pic:pic>
              </a:graphicData>
            </a:graphic>
          </wp:inline>
        </w:drawing>
      </w:r>
    </w:p>
    <w:p w:rsidR="00B84776" w:rsidRDefault="00B84776">
      <w:pPr>
        <w:pStyle w:val="BodyText"/>
        <w:ind w:left="0"/>
        <w:jc w:val="left"/>
      </w:pPr>
    </w:p>
    <w:p w:rsidR="00B84776" w:rsidRDefault="00B84776">
      <w:pPr>
        <w:pStyle w:val="BodyText"/>
        <w:spacing w:before="258"/>
        <w:ind w:left="0"/>
        <w:jc w:val="left"/>
      </w:pPr>
    </w:p>
    <w:p w:rsidR="00B84776" w:rsidRDefault="00C65940">
      <w:pPr>
        <w:spacing w:before="1"/>
        <w:ind w:left="72" w:right="72"/>
        <w:jc w:val="center"/>
        <w:rPr>
          <w:b/>
          <w:sz w:val="24"/>
        </w:rPr>
      </w:pPr>
      <w:r>
        <w:rPr>
          <w:b/>
          <w:sz w:val="24"/>
        </w:rPr>
        <w:t>Figure</w:t>
      </w:r>
      <w:r>
        <w:rPr>
          <w:b/>
          <w:spacing w:val="-5"/>
          <w:sz w:val="24"/>
        </w:rPr>
        <w:t xml:space="preserve"> </w:t>
      </w:r>
      <w:r>
        <w:rPr>
          <w:b/>
          <w:sz w:val="24"/>
        </w:rPr>
        <w:t>3:</w:t>
      </w:r>
      <w:r>
        <w:rPr>
          <w:b/>
          <w:spacing w:val="-5"/>
          <w:sz w:val="24"/>
        </w:rPr>
        <w:t xml:space="preserve"> </w:t>
      </w:r>
      <w:r>
        <w:rPr>
          <w:b/>
          <w:sz w:val="24"/>
        </w:rPr>
        <w:t>Conceptual</w:t>
      </w:r>
      <w:r>
        <w:rPr>
          <w:b/>
          <w:spacing w:val="-4"/>
          <w:sz w:val="24"/>
        </w:rPr>
        <w:t xml:space="preserve"> </w:t>
      </w:r>
      <w:r>
        <w:rPr>
          <w:b/>
          <w:sz w:val="24"/>
        </w:rPr>
        <w:t>illustration</w:t>
      </w:r>
      <w:r>
        <w:rPr>
          <w:b/>
          <w:spacing w:val="-3"/>
          <w:sz w:val="24"/>
        </w:rPr>
        <w:t xml:space="preserve"> </w:t>
      </w:r>
      <w:r>
        <w:rPr>
          <w:b/>
          <w:sz w:val="24"/>
        </w:rPr>
        <w:t>of</w:t>
      </w:r>
      <w:r>
        <w:rPr>
          <w:b/>
          <w:spacing w:val="-3"/>
          <w:sz w:val="24"/>
        </w:rPr>
        <w:t xml:space="preserve"> </w:t>
      </w:r>
      <w:r>
        <w:rPr>
          <w:b/>
          <w:sz w:val="24"/>
        </w:rPr>
        <w:t>antimicrobial</w:t>
      </w:r>
      <w:r>
        <w:rPr>
          <w:b/>
          <w:spacing w:val="-4"/>
          <w:sz w:val="24"/>
        </w:rPr>
        <w:t xml:space="preserve"> </w:t>
      </w:r>
      <w:r>
        <w:rPr>
          <w:b/>
          <w:sz w:val="24"/>
        </w:rPr>
        <w:t>stewardship,</w:t>
      </w:r>
      <w:r>
        <w:rPr>
          <w:b/>
          <w:spacing w:val="-7"/>
          <w:sz w:val="24"/>
        </w:rPr>
        <w:t xml:space="preserve"> </w:t>
      </w:r>
      <w:r>
        <w:rPr>
          <w:b/>
          <w:sz w:val="24"/>
        </w:rPr>
        <w:t>highlighting</w:t>
      </w:r>
      <w:r>
        <w:rPr>
          <w:b/>
          <w:spacing w:val="-4"/>
          <w:sz w:val="24"/>
        </w:rPr>
        <w:t xml:space="preserve"> </w:t>
      </w:r>
      <w:r>
        <w:rPr>
          <w:b/>
          <w:sz w:val="24"/>
        </w:rPr>
        <w:t>the critical balance between ef</w:t>
      </w:r>
      <w:r>
        <w:rPr>
          <w:b/>
          <w:sz w:val="24"/>
        </w:rPr>
        <w:t>fective treatment of infections and the prevention of antibiotic resistance.</w:t>
      </w:r>
    </w:p>
    <w:p w:rsidR="00B84776" w:rsidRDefault="00B84776">
      <w:pPr>
        <w:pStyle w:val="BodyText"/>
        <w:ind w:left="0"/>
        <w:jc w:val="left"/>
        <w:rPr>
          <w:b/>
        </w:rPr>
      </w:pPr>
    </w:p>
    <w:p w:rsidR="00215ED6" w:rsidRDefault="00215ED6" w:rsidP="00215ED6">
      <w:pPr>
        <w:pStyle w:val="Heading1"/>
        <w:numPr>
          <w:ilvl w:val="0"/>
          <w:numId w:val="1"/>
        </w:numPr>
        <w:tabs>
          <w:tab w:val="left" w:pos="460"/>
        </w:tabs>
        <w:jc w:val="both"/>
      </w:pPr>
      <w:r>
        <w:rPr>
          <w:spacing w:val="-2"/>
        </w:rPr>
        <w:t>CONCLUSION</w:t>
      </w:r>
    </w:p>
    <w:p w:rsidR="00215ED6" w:rsidRDefault="00215ED6" w:rsidP="00215ED6">
      <w:pPr>
        <w:pStyle w:val="BodyText"/>
        <w:spacing w:before="140" w:line="360" w:lineRule="auto"/>
        <w:ind w:right="97"/>
      </w:pPr>
      <w:r>
        <w:t xml:space="preserve">The escalating prevalence of ESBL-producing </w:t>
      </w:r>
      <w:proofErr w:type="spellStart"/>
      <w:r>
        <w:t>uropathogens</w:t>
      </w:r>
      <w:proofErr w:type="spellEnd"/>
      <w:r>
        <w:t xml:space="preserve"> in pediatric populations underscores a</w:t>
      </w:r>
      <w:r>
        <w:rPr>
          <w:spacing w:val="-1"/>
        </w:rPr>
        <w:t xml:space="preserve"> </w:t>
      </w:r>
      <w:r>
        <w:t>growing threat to global child health. The</w:t>
      </w:r>
      <w:r>
        <w:rPr>
          <w:spacing w:val="-1"/>
        </w:rPr>
        <w:t xml:space="preserve"> </w:t>
      </w:r>
      <w:r>
        <w:t>clinical challenges associated with</w:t>
      </w:r>
      <w:r>
        <w:rPr>
          <w:spacing w:val="3"/>
        </w:rPr>
        <w:t xml:space="preserve"> </w:t>
      </w:r>
      <w:r>
        <w:t>diagnosis,</w:t>
      </w:r>
      <w:r>
        <w:rPr>
          <w:spacing w:val="6"/>
        </w:rPr>
        <w:t xml:space="preserve"> </w:t>
      </w:r>
      <w:r>
        <w:t>limited</w:t>
      </w:r>
      <w:r>
        <w:rPr>
          <w:spacing w:val="5"/>
        </w:rPr>
        <w:t xml:space="preserve"> </w:t>
      </w:r>
      <w:r>
        <w:t>therapeutic</w:t>
      </w:r>
      <w:r>
        <w:rPr>
          <w:spacing w:val="5"/>
        </w:rPr>
        <w:t xml:space="preserve"> </w:t>
      </w:r>
      <w:r>
        <w:t>options,</w:t>
      </w:r>
      <w:r>
        <w:rPr>
          <w:spacing w:val="6"/>
        </w:rPr>
        <w:t xml:space="preserve"> </w:t>
      </w:r>
      <w:r>
        <w:t>and</w:t>
      </w:r>
      <w:r>
        <w:rPr>
          <w:spacing w:val="5"/>
        </w:rPr>
        <w:t xml:space="preserve"> </w:t>
      </w:r>
      <w:r>
        <w:t>poor</w:t>
      </w:r>
      <w:r>
        <w:rPr>
          <w:spacing w:val="7"/>
        </w:rPr>
        <w:t xml:space="preserve"> </w:t>
      </w:r>
      <w:r>
        <w:t>outcomes</w:t>
      </w:r>
      <w:r>
        <w:rPr>
          <w:spacing w:val="5"/>
        </w:rPr>
        <w:t xml:space="preserve"> </w:t>
      </w:r>
      <w:r>
        <w:t>demand</w:t>
      </w:r>
      <w:r>
        <w:rPr>
          <w:spacing w:val="6"/>
        </w:rPr>
        <w:t xml:space="preserve"> </w:t>
      </w:r>
      <w:r>
        <w:t>urgent</w:t>
      </w:r>
      <w:r>
        <w:rPr>
          <w:spacing w:val="9"/>
        </w:rPr>
        <w:t xml:space="preserve"> </w:t>
      </w:r>
      <w:r>
        <w:rPr>
          <w:spacing w:val="-2"/>
        </w:rPr>
        <w:t>action.</w:t>
      </w:r>
    </w:p>
    <w:p w:rsidR="00215ED6" w:rsidRDefault="00215ED6" w:rsidP="00215ED6">
      <w:pPr>
        <w:pStyle w:val="BodyText"/>
        <w:spacing w:line="360" w:lineRule="auto"/>
        <w:sectPr w:rsidR="00215ED6">
          <w:pgSz w:w="11910" w:h="16840"/>
          <w:pgMar w:top="1360" w:right="1700" w:bottom="280" w:left="1700" w:header="720" w:footer="720" w:gutter="0"/>
          <w:cols w:space="720"/>
        </w:sectPr>
      </w:pPr>
    </w:p>
    <w:p w:rsidR="00215ED6" w:rsidRDefault="00215ED6" w:rsidP="00215ED6">
      <w:pPr>
        <w:pStyle w:val="BodyText"/>
        <w:spacing w:before="62" w:line="360" w:lineRule="auto"/>
        <w:ind w:right="97"/>
      </w:pPr>
      <w:r>
        <w:lastRenderedPageBreak/>
        <w:t xml:space="preserve">Strengthening diagnostic capacity, promoting rational antibiotic use, enforcing rigorous infection control measures, and </w:t>
      </w:r>
      <w:proofErr w:type="spellStart"/>
      <w:r>
        <w:t>prioritising</w:t>
      </w:r>
      <w:proofErr w:type="spellEnd"/>
      <w:r>
        <w:t xml:space="preserve"> research on novel therapeutics</w:t>
      </w:r>
      <w:r>
        <w:rPr>
          <w:spacing w:val="40"/>
        </w:rPr>
        <w:t xml:space="preserve"> </w:t>
      </w:r>
      <w:r>
        <w:t>are essential pillars to combat this evolving crisis. Global collaboration is essential to advance these research agendas and safeguard pediatric health. A coordinated One Health approach, integrating human, animal, and environmental health perspectives, offers the most promising pathway to mitigate the spread of antimicrobial resistance and protect vulnerable pediatric populations.</w:t>
      </w:r>
    </w:p>
    <w:p w:rsidR="00B84776" w:rsidRDefault="00B84776">
      <w:pPr>
        <w:pStyle w:val="BodyText"/>
        <w:spacing w:before="62"/>
        <w:ind w:left="0"/>
        <w:jc w:val="left"/>
        <w:rPr>
          <w:b/>
        </w:rPr>
      </w:pPr>
    </w:p>
    <w:p w:rsidR="00B84776" w:rsidRDefault="00C65940" w:rsidP="00215ED6">
      <w:pPr>
        <w:pStyle w:val="Heading1"/>
        <w:numPr>
          <w:ilvl w:val="0"/>
          <w:numId w:val="1"/>
        </w:numPr>
        <w:tabs>
          <w:tab w:val="left" w:pos="460"/>
        </w:tabs>
        <w:ind w:left="460" w:hanging="360"/>
        <w:jc w:val="both"/>
      </w:pPr>
      <w:bookmarkStart w:id="0" w:name="_GoBack"/>
      <w:bookmarkEnd w:id="0"/>
      <w:r>
        <w:t>FUTURE</w:t>
      </w:r>
      <w:r>
        <w:rPr>
          <w:spacing w:val="-6"/>
        </w:rPr>
        <w:t xml:space="preserve"> </w:t>
      </w:r>
      <w:r>
        <w:t>DIRECTION</w:t>
      </w:r>
      <w:r>
        <w:rPr>
          <w:spacing w:val="-4"/>
        </w:rPr>
        <w:t xml:space="preserve"> </w:t>
      </w:r>
      <w:r>
        <w:t>AND</w:t>
      </w:r>
      <w:r>
        <w:rPr>
          <w:spacing w:val="-3"/>
        </w:rPr>
        <w:t xml:space="preserve"> </w:t>
      </w:r>
      <w:r>
        <w:rPr>
          <w:spacing w:val="-2"/>
        </w:rPr>
        <w:t>RECOMMENDATIONS</w:t>
      </w:r>
    </w:p>
    <w:p w:rsidR="00B84776" w:rsidRDefault="00C65940">
      <w:pPr>
        <w:pStyle w:val="BodyText"/>
        <w:spacing w:before="137" w:line="360" w:lineRule="auto"/>
        <w:ind w:right="99"/>
      </w:pPr>
      <w:r>
        <w:t xml:space="preserve">Ultimately, addressing the spread of ESBL-producing </w:t>
      </w:r>
      <w:proofErr w:type="spellStart"/>
      <w:r>
        <w:t>uropathogens</w:t>
      </w:r>
      <w:proofErr w:type="spellEnd"/>
      <w:r>
        <w:t xml:space="preserve"> in children requires a comprehensive and coordinated response. This include</w:t>
      </w:r>
      <w:r>
        <w:t>s strengthening clinical practices, enforcing policy controls, empowering healthcare workers, and educating the public. Without urgent and sustained intervention, the effectiveness of available antibiotics will continue to wane, putting millions of childre</w:t>
      </w:r>
      <w:r>
        <w:t>n at risk of preventable complications from common infections.</w:t>
      </w:r>
    </w:p>
    <w:p w:rsidR="00B84776" w:rsidRDefault="00B84776">
      <w:pPr>
        <w:pStyle w:val="BodyText"/>
        <w:spacing w:before="139"/>
        <w:ind w:left="0"/>
        <w:jc w:val="left"/>
      </w:pPr>
    </w:p>
    <w:p w:rsidR="00B84776" w:rsidRDefault="00C65940" w:rsidP="00215ED6">
      <w:pPr>
        <w:pStyle w:val="Heading2"/>
        <w:numPr>
          <w:ilvl w:val="1"/>
          <w:numId w:val="1"/>
        </w:numPr>
        <w:tabs>
          <w:tab w:val="left" w:pos="580"/>
        </w:tabs>
        <w:ind w:left="580" w:hanging="480"/>
      </w:pPr>
      <w:r>
        <w:t>Revision</w:t>
      </w:r>
      <w:r>
        <w:rPr>
          <w:spacing w:val="-3"/>
        </w:rPr>
        <w:t xml:space="preserve"> </w:t>
      </w:r>
      <w:r>
        <w:t>of</w:t>
      </w:r>
      <w:r>
        <w:rPr>
          <w:spacing w:val="-4"/>
        </w:rPr>
        <w:t xml:space="preserve"> </w:t>
      </w:r>
      <w:r>
        <w:t>Empirical</w:t>
      </w:r>
      <w:r>
        <w:rPr>
          <w:spacing w:val="-3"/>
        </w:rPr>
        <w:t xml:space="preserve"> </w:t>
      </w:r>
      <w:r>
        <w:t>Treatment</w:t>
      </w:r>
      <w:r>
        <w:rPr>
          <w:spacing w:val="-1"/>
        </w:rPr>
        <w:t xml:space="preserve"> </w:t>
      </w:r>
      <w:r>
        <w:rPr>
          <w:spacing w:val="-2"/>
        </w:rPr>
        <w:t>Protocols</w:t>
      </w:r>
    </w:p>
    <w:p w:rsidR="00B84776" w:rsidRDefault="00C65940">
      <w:pPr>
        <w:pStyle w:val="BodyText"/>
        <w:spacing w:before="137" w:line="360" w:lineRule="auto"/>
        <w:ind w:right="97"/>
      </w:pPr>
      <w:r>
        <w:t xml:space="preserve">Based on the high resistance rates recently being observed, it is recommended that healthcare practitioners consider the use of nitrofurantoin and </w:t>
      </w:r>
      <w:r>
        <w:t>cephalexin as first-line treatments for pediatric UTIs, as these have shown lower resistance levels in several studies. Regular updates to treatment guidelines should be based on continuous surveillance of local antimicrobial resistance patterns.</w:t>
      </w:r>
    </w:p>
    <w:p w:rsidR="00B84776" w:rsidRDefault="00B84776">
      <w:pPr>
        <w:pStyle w:val="BodyText"/>
        <w:spacing w:line="360" w:lineRule="auto"/>
        <w:sectPr w:rsidR="00B84776">
          <w:pgSz w:w="11910" w:h="16840"/>
          <w:pgMar w:top="1840" w:right="1700" w:bottom="280" w:left="1700" w:header="720" w:footer="720" w:gutter="0"/>
          <w:cols w:space="720"/>
        </w:sectPr>
      </w:pPr>
    </w:p>
    <w:p w:rsidR="00B84776" w:rsidRDefault="00C65940" w:rsidP="00215ED6">
      <w:pPr>
        <w:pStyle w:val="Heading2"/>
        <w:numPr>
          <w:ilvl w:val="1"/>
          <w:numId w:val="1"/>
        </w:numPr>
        <w:tabs>
          <w:tab w:val="left" w:pos="580"/>
        </w:tabs>
        <w:spacing w:before="62"/>
        <w:ind w:left="580" w:hanging="480"/>
      </w:pPr>
      <w:r>
        <w:lastRenderedPageBreak/>
        <w:t>Strengthening</w:t>
      </w:r>
      <w:r>
        <w:rPr>
          <w:spacing w:val="-7"/>
        </w:rPr>
        <w:t xml:space="preserve"> </w:t>
      </w:r>
      <w:r>
        <w:t>Antibiotic</w:t>
      </w:r>
      <w:r>
        <w:rPr>
          <w:spacing w:val="-5"/>
        </w:rPr>
        <w:t xml:space="preserve"> </w:t>
      </w:r>
      <w:r>
        <w:t>Stewardship</w:t>
      </w:r>
      <w:r>
        <w:rPr>
          <w:spacing w:val="-3"/>
        </w:rPr>
        <w:t xml:space="preserve"> </w:t>
      </w:r>
      <w:r>
        <w:rPr>
          <w:spacing w:val="-2"/>
        </w:rPr>
        <w:t>Programs</w:t>
      </w:r>
    </w:p>
    <w:p w:rsidR="00B84776" w:rsidRDefault="00C65940">
      <w:pPr>
        <w:pStyle w:val="BodyText"/>
        <w:spacing w:before="137" w:line="360" w:lineRule="auto"/>
        <w:ind w:right="97"/>
      </w:pPr>
      <w:r>
        <w:t xml:space="preserve">There is a critical need to establish and enforce antibiotic stewardship programs to curb the misuse of antibiotics in the community. This includes training healthcare providers on the judicious </w:t>
      </w:r>
      <w:r>
        <w:t>use of antibiotics and promoting the adoption of guidelines that restrict the use of broad-spectrum antibiotics. Antibiotic stewardship programs must be strengthened to prevent the overuse and misuse of antibiotics, which contribute to the emergence of res</w:t>
      </w:r>
      <w:r>
        <w:t xml:space="preserve">istance. Strategies such as de-escalation of therapy, shorter treatment durations, and the use of targeted antibiotics based on susceptibility profiles are critical in reducing the selective pressure that drives resistance. Finally, the development of new </w:t>
      </w:r>
      <w:r>
        <w:t>antibiotics and alternative therapies, such as bacteriophage therapy and antimicrobial peptides, should</w:t>
      </w:r>
      <w:r>
        <w:rPr>
          <w:spacing w:val="-1"/>
        </w:rPr>
        <w:t xml:space="preserve"> </w:t>
      </w:r>
      <w:r>
        <w:t xml:space="preserve">be </w:t>
      </w:r>
      <w:proofErr w:type="spellStart"/>
      <w:r>
        <w:t>prioritised</w:t>
      </w:r>
      <w:proofErr w:type="spellEnd"/>
      <w:r>
        <w:rPr>
          <w:spacing w:val="-1"/>
        </w:rPr>
        <w:t xml:space="preserve"> </w:t>
      </w:r>
      <w:r>
        <w:t>to address the growing threat of multidrug-resistant pathogens.</w:t>
      </w:r>
    </w:p>
    <w:p w:rsidR="00B84776" w:rsidRDefault="00B84776">
      <w:pPr>
        <w:pStyle w:val="BodyText"/>
        <w:spacing w:before="138"/>
        <w:ind w:left="0"/>
        <w:jc w:val="left"/>
      </w:pPr>
    </w:p>
    <w:p w:rsidR="00B84776" w:rsidRDefault="00C65940" w:rsidP="00215ED6">
      <w:pPr>
        <w:pStyle w:val="Heading2"/>
        <w:numPr>
          <w:ilvl w:val="1"/>
          <w:numId w:val="1"/>
        </w:numPr>
        <w:tabs>
          <w:tab w:val="left" w:pos="580"/>
        </w:tabs>
        <w:ind w:left="580" w:hanging="480"/>
      </w:pPr>
      <w:r>
        <w:t>Implementation</w:t>
      </w:r>
      <w:r>
        <w:rPr>
          <w:spacing w:val="-2"/>
        </w:rPr>
        <w:t xml:space="preserve"> </w:t>
      </w:r>
      <w:r>
        <w:t>of</w:t>
      </w:r>
      <w:r>
        <w:rPr>
          <w:spacing w:val="-4"/>
        </w:rPr>
        <w:t xml:space="preserve"> </w:t>
      </w:r>
      <w:r>
        <w:t>Routine</w:t>
      </w:r>
      <w:r>
        <w:rPr>
          <w:spacing w:val="-3"/>
        </w:rPr>
        <w:t xml:space="preserve"> </w:t>
      </w:r>
      <w:r>
        <w:t>Diagnostic</w:t>
      </w:r>
      <w:r>
        <w:rPr>
          <w:spacing w:val="-3"/>
        </w:rPr>
        <w:t xml:space="preserve"> </w:t>
      </w:r>
      <w:r>
        <w:rPr>
          <w:spacing w:val="-2"/>
        </w:rPr>
        <w:t>Testing</w:t>
      </w:r>
    </w:p>
    <w:p w:rsidR="00B84776" w:rsidRDefault="00C65940">
      <w:pPr>
        <w:pStyle w:val="BodyText"/>
        <w:spacing w:before="137" w:line="360" w:lineRule="auto"/>
        <w:ind w:right="99"/>
      </w:pPr>
      <w:r>
        <w:t xml:space="preserve">Routine urine culture and </w:t>
      </w:r>
      <w:r>
        <w:t>sensitivity testing should be encouraged, especially in cases of recurrent UTIs or treatment failures. This approach will enable more precise targeting of antibiotics, thereby reducing the risk of resistance development.</w:t>
      </w:r>
    </w:p>
    <w:p w:rsidR="00B84776" w:rsidRDefault="00B84776">
      <w:pPr>
        <w:pStyle w:val="BodyText"/>
        <w:spacing w:before="138"/>
        <w:ind w:left="0"/>
        <w:jc w:val="left"/>
      </w:pPr>
    </w:p>
    <w:p w:rsidR="00B84776" w:rsidRDefault="00C65940" w:rsidP="00215ED6">
      <w:pPr>
        <w:pStyle w:val="Heading2"/>
        <w:numPr>
          <w:ilvl w:val="1"/>
          <w:numId w:val="1"/>
        </w:numPr>
        <w:tabs>
          <w:tab w:val="left" w:pos="580"/>
        </w:tabs>
        <w:ind w:left="580" w:hanging="480"/>
      </w:pPr>
      <w:r>
        <w:t>Public</w:t>
      </w:r>
      <w:r>
        <w:rPr>
          <w:spacing w:val="-4"/>
        </w:rPr>
        <w:t xml:space="preserve"> </w:t>
      </w:r>
      <w:r>
        <w:t>Health</w:t>
      </w:r>
      <w:r>
        <w:rPr>
          <w:spacing w:val="-3"/>
        </w:rPr>
        <w:t xml:space="preserve"> </w:t>
      </w:r>
      <w:r>
        <w:t>Education</w:t>
      </w:r>
      <w:r>
        <w:rPr>
          <w:spacing w:val="-3"/>
        </w:rPr>
        <w:t xml:space="preserve"> </w:t>
      </w:r>
      <w:r>
        <w:rPr>
          <w:spacing w:val="-2"/>
        </w:rPr>
        <w:t>Campaigns</w:t>
      </w:r>
    </w:p>
    <w:p w:rsidR="00B84776" w:rsidRDefault="00C65940">
      <w:pPr>
        <w:pStyle w:val="BodyText"/>
        <w:spacing w:before="139" w:line="360" w:lineRule="auto"/>
        <w:ind w:right="97"/>
      </w:pPr>
      <w:r>
        <w:t>Educational initiatives aimed at informing the public about the importance of completing prescribed antibiotic</w:t>
      </w:r>
      <w:r>
        <w:rPr>
          <w:spacing w:val="-1"/>
        </w:rPr>
        <w:t xml:space="preserve"> </w:t>
      </w:r>
      <w:r>
        <w:t>courses and the risks associated with self-medication are essential. Increasing awareness can help reduce the incidence of antimicrobial resistan</w:t>
      </w:r>
      <w:r>
        <w:t>ce in the community</w:t>
      </w:r>
      <w:r>
        <w:t xml:space="preserve"> (91,92)</w:t>
      </w:r>
      <w:r>
        <w:t>.</w:t>
      </w:r>
    </w:p>
    <w:p w:rsidR="00B84776" w:rsidRDefault="00B84776">
      <w:pPr>
        <w:pStyle w:val="BodyText"/>
        <w:spacing w:before="137"/>
        <w:ind w:left="0"/>
        <w:jc w:val="left"/>
      </w:pPr>
    </w:p>
    <w:p w:rsidR="00B84776" w:rsidRDefault="00C65940" w:rsidP="00215ED6">
      <w:pPr>
        <w:pStyle w:val="Heading2"/>
        <w:numPr>
          <w:ilvl w:val="1"/>
          <w:numId w:val="1"/>
        </w:numPr>
        <w:tabs>
          <w:tab w:val="left" w:pos="580"/>
        </w:tabs>
        <w:ind w:left="580" w:hanging="480"/>
      </w:pPr>
      <w:r>
        <w:t>Enhanced</w:t>
      </w:r>
      <w:r>
        <w:rPr>
          <w:spacing w:val="-4"/>
        </w:rPr>
        <w:t xml:space="preserve"> </w:t>
      </w:r>
      <w:r>
        <w:t>Surveillance</w:t>
      </w:r>
      <w:r>
        <w:rPr>
          <w:spacing w:val="-3"/>
        </w:rPr>
        <w:t xml:space="preserve"> </w:t>
      </w:r>
      <w:r>
        <w:t>and</w:t>
      </w:r>
      <w:r>
        <w:rPr>
          <w:spacing w:val="-3"/>
        </w:rPr>
        <w:t xml:space="preserve"> </w:t>
      </w:r>
      <w:r>
        <w:rPr>
          <w:spacing w:val="-2"/>
        </w:rPr>
        <w:t>Research</w:t>
      </w:r>
    </w:p>
    <w:p w:rsidR="00B84776" w:rsidRDefault="00C65940">
      <w:pPr>
        <w:pStyle w:val="BodyText"/>
        <w:spacing w:before="139" w:line="360" w:lineRule="auto"/>
        <w:ind w:right="97"/>
      </w:pPr>
      <w:r>
        <w:t xml:space="preserve">Continued surveillance of antimicrobial resistance patterns and the genetic mechanisms underlying resistance is crucial. Future research should focus on expanding the molecular </w:t>
      </w:r>
      <w:proofErr w:type="spellStart"/>
      <w:r>
        <w:t>characterisati</w:t>
      </w:r>
      <w:r>
        <w:t>on</w:t>
      </w:r>
      <w:proofErr w:type="spellEnd"/>
      <w:r>
        <w:t xml:space="preserve"> of resistant pathogens to guide the development of novel therapeutic interventions</w:t>
      </w:r>
      <w:r>
        <w:t xml:space="preserve"> (93)</w:t>
      </w:r>
      <w:r>
        <w:t>.</w:t>
      </w:r>
    </w:p>
    <w:p w:rsidR="00B84776" w:rsidRDefault="00B84776">
      <w:pPr>
        <w:pStyle w:val="BodyText"/>
        <w:spacing w:before="137"/>
        <w:ind w:left="0"/>
        <w:jc w:val="left"/>
      </w:pPr>
    </w:p>
    <w:p w:rsidR="00B84776" w:rsidRDefault="00B84776">
      <w:pPr>
        <w:pStyle w:val="BodyText"/>
        <w:spacing w:before="62" w:line="360" w:lineRule="auto"/>
        <w:ind w:left="0" w:right="97"/>
      </w:pPr>
    </w:p>
    <w:p w:rsidR="00B84776" w:rsidRDefault="00C65940">
      <w:pPr>
        <w:rPr>
          <w:rFonts w:eastAsia="Calibri"/>
          <w:kern w:val="2"/>
          <w:sz w:val="24"/>
          <w:szCs w:val="24"/>
          <w:highlight w:val="yellow"/>
        </w:rPr>
      </w:pPr>
      <w:bookmarkStart w:id="1" w:name="_Hlk201835975"/>
      <w:bookmarkStart w:id="2" w:name="_Hlk193540946"/>
      <w:bookmarkStart w:id="3" w:name="_Hlk180402183"/>
      <w:bookmarkStart w:id="4" w:name="_Hlk183680988"/>
      <w:bookmarkStart w:id="5" w:name="_Hlk197173371"/>
      <w:r>
        <w:rPr>
          <w:rFonts w:eastAsia="Calibri"/>
          <w:kern w:val="2"/>
          <w:sz w:val="24"/>
          <w:szCs w:val="24"/>
          <w:highlight w:val="yellow"/>
        </w:rPr>
        <w:t>Disclaimer (Artificial intelligence)</w:t>
      </w:r>
    </w:p>
    <w:p w:rsidR="00B84776" w:rsidRDefault="00C65940">
      <w:pPr>
        <w:pStyle w:val="BodyText"/>
        <w:spacing w:before="136"/>
        <w:ind w:left="0"/>
        <w:jc w:val="left"/>
      </w:pPr>
      <w:r>
        <w:rPr>
          <w:rFonts w:eastAsia="Calibri"/>
          <w:kern w:val="2"/>
          <w:highlight w:val="yellow"/>
        </w:rPr>
        <w:t>Author(s) hereby declare that NO generative AI technologie</w:t>
      </w:r>
      <w:r>
        <w:rPr>
          <w:rFonts w:eastAsia="Calibri"/>
          <w:kern w:val="2"/>
          <w:highlight w:val="yellow"/>
        </w:rPr>
        <w:t xml:space="preserve">s such as Large Language Models etc. have been used during the writing or editing of manuscripts. </w:t>
      </w:r>
    </w:p>
    <w:p w:rsidR="00B84776" w:rsidRDefault="00B84776">
      <w:pPr>
        <w:rPr>
          <w:rFonts w:ascii="Calibri" w:eastAsia="Calibri" w:hAnsi="Calibri"/>
          <w:kern w:val="2"/>
          <w:highlight w:val="yellow"/>
        </w:rPr>
      </w:pPr>
    </w:p>
    <w:bookmarkEnd w:id="1"/>
    <w:bookmarkEnd w:id="2"/>
    <w:bookmarkEnd w:id="3"/>
    <w:bookmarkEnd w:id="4"/>
    <w:bookmarkEnd w:id="5"/>
    <w:p w:rsidR="00B84776" w:rsidRDefault="00B84776">
      <w:pPr>
        <w:pStyle w:val="BodyText"/>
        <w:spacing w:before="136"/>
        <w:ind w:left="0"/>
        <w:jc w:val="left"/>
        <w:rPr>
          <w:rFonts w:ascii="Calibri" w:eastAsia="Calibri" w:hAnsi="Calibri"/>
          <w:kern w:val="2"/>
          <w:highlight w:val="yellow"/>
        </w:rPr>
      </w:pPr>
    </w:p>
    <w:p w:rsidR="00B84776" w:rsidRDefault="00C65940" w:rsidP="00215ED6">
      <w:pPr>
        <w:pStyle w:val="Heading1"/>
        <w:numPr>
          <w:ilvl w:val="0"/>
          <w:numId w:val="1"/>
        </w:numPr>
        <w:tabs>
          <w:tab w:val="left" w:pos="460"/>
        </w:tabs>
        <w:ind w:left="460" w:hanging="360"/>
        <w:jc w:val="both"/>
      </w:pPr>
      <w:r>
        <w:rPr>
          <w:spacing w:val="-2"/>
        </w:rPr>
        <w:t>REFERENCES</w:t>
      </w:r>
    </w:p>
    <w:p w:rsidR="00B84776" w:rsidRDefault="00B84776">
      <w:pPr>
        <w:pStyle w:val="BodyText"/>
        <w:spacing w:before="144"/>
        <w:ind w:left="0"/>
        <w:jc w:val="left"/>
        <w:rPr>
          <w:b/>
        </w:rPr>
      </w:pPr>
    </w:p>
    <w:p w:rsidR="00B84776" w:rsidRDefault="00C65940">
      <w:pPr>
        <w:pStyle w:val="ListParagraph"/>
        <w:numPr>
          <w:ilvl w:val="0"/>
          <w:numId w:val="3"/>
        </w:numPr>
        <w:tabs>
          <w:tab w:val="left" w:pos="340"/>
        </w:tabs>
        <w:spacing w:line="360" w:lineRule="auto"/>
        <w:ind w:right="97" w:firstLine="0"/>
        <w:rPr>
          <w:sz w:val="24"/>
        </w:rPr>
      </w:pPr>
      <w:r>
        <w:rPr>
          <w:sz w:val="24"/>
        </w:rPr>
        <w:t xml:space="preserve">Shaikh, N., </w:t>
      </w:r>
      <w:proofErr w:type="spellStart"/>
      <w:r>
        <w:rPr>
          <w:sz w:val="24"/>
        </w:rPr>
        <w:t>Morone</w:t>
      </w:r>
      <w:proofErr w:type="spellEnd"/>
      <w:r>
        <w:rPr>
          <w:sz w:val="24"/>
        </w:rPr>
        <w:t xml:space="preserve">, N. E., Bost, J. E. and Farrell, M. </w:t>
      </w:r>
      <w:proofErr w:type="gramStart"/>
      <w:r>
        <w:rPr>
          <w:sz w:val="24"/>
        </w:rPr>
        <w:t>H.(</w:t>
      </w:r>
      <w:proofErr w:type="gramEnd"/>
      <w:r>
        <w:rPr>
          <w:sz w:val="24"/>
        </w:rPr>
        <w:t xml:space="preserve">2008). Prevalence of urinary tract infection in childhood: a meta-analysis. </w:t>
      </w:r>
      <w:proofErr w:type="spellStart"/>
      <w:r>
        <w:rPr>
          <w:i/>
          <w:sz w:val="24"/>
        </w:rPr>
        <w:t>Pediatr</w:t>
      </w:r>
      <w:proofErr w:type="spellEnd"/>
      <w:r>
        <w:rPr>
          <w:i/>
          <w:sz w:val="24"/>
        </w:rPr>
        <w:t xml:space="preserve"> Infect Dis J. </w:t>
      </w:r>
      <w:r>
        <w:rPr>
          <w:sz w:val="24"/>
        </w:rPr>
        <w:t xml:space="preserve">27(4):302– </w:t>
      </w:r>
      <w:r>
        <w:rPr>
          <w:spacing w:val="-4"/>
          <w:sz w:val="24"/>
        </w:rPr>
        <w:t>308.</w:t>
      </w:r>
    </w:p>
    <w:p w:rsidR="00B84776" w:rsidRDefault="00C65940">
      <w:pPr>
        <w:pStyle w:val="ListParagraph"/>
        <w:numPr>
          <w:ilvl w:val="0"/>
          <w:numId w:val="3"/>
        </w:numPr>
        <w:tabs>
          <w:tab w:val="left" w:pos="340"/>
        </w:tabs>
        <w:spacing w:line="360" w:lineRule="auto"/>
        <w:ind w:right="97" w:firstLine="0"/>
        <w:rPr>
          <w:sz w:val="24"/>
        </w:rPr>
      </w:pPr>
      <w:proofErr w:type="spellStart"/>
      <w:r>
        <w:rPr>
          <w:color w:val="1F1F1F"/>
          <w:sz w:val="24"/>
        </w:rPr>
        <w:t>Masika</w:t>
      </w:r>
      <w:proofErr w:type="spellEnd"/>
      <w:r>
        <w:rPr>
          <w:color w:val="1F1F1F"/>
          <w:sz w:val="24"/>
        </w:rPr>
        <w:t>,</w:t>
      </w:r>
      <w:r>
        <w:rPr>
          <w:color w:val="1F1F1F"/>
          <w:spacing w:val="80"/>
          <w:w w:val="150"/>
          <w:sz w:val="24"/>
        </w:rPr>
        <w:t xml:space="preserve"> </w:t>
      </w:r>
      <w:r>
        <w:rPr>
          <w:color w:val="1F1F1F"/>
          <w:sz w:val="24"/>
        </w:rPr>
        <w:t>W.</w:t>
      </w:r>
      <w:r>
        <w:rPr>
          <w:color w:val="1F1F1F"/>
          <w:spacing w:val="80"/>
          <w:w w:val="150"/>
          <w:sz w:val="24"/>
        </w:rPr>
        <w:t xml:space="preserve"> </w:t>
      </w:r>
      <w:r>
        <w:rPr>
          <w:color w:val="1F1F1F"/>
          <w:sz w:val="24"/>
        </w:rPr>
        <w:t>G.,</w:t>
      </w:r>
      <w:r>
        <w:rPr>
          <w:color w:val="1F1F1F"/>
          <w:spacing w:val="80"/>
          <w:w w:val="150"/>
          <w:sz w:val="24"/>
        </w:rPr>
        <w:t xml:space="preserve"> </w:t>
      </w:r>
      <w:r>
        <w:rPr>
          <w:color w:val="1F1F1F"/>
          <w:sz w:val="24"/>
        </w:rPr>
        <w:t>O’Meara,</w:t>
      </w:r>
      <w:r>
        <w:rPr>
          <w:color w:val="1F1F1F"/>
          <w:spacing w:val="80"/>
          <w:w w:val="150"/>
          <w:sz w:val="24"/>
        </w:rPr>
        <w:t xml:space="preserve"> </w:t>
      </w:r>
      <w:r>
        <w:rPr>
          <w:color w:val="1F1F1F"/>
          <w:sz w:val="24"/>
        </w:rPr>
        <w:t>W.</w:t>
      </w:r>
      <w:r>
        <w:rPr>
          <w:color w:val="1F1F1F"/>
          <w:spacing w:val="80"/>
          <w:w w:val="150"/>
          <w:sz w:val="24"/>
        </w:rPr>
        <w:t xml:space="preserve"> </w:t>
      </w:r>
      <w:r>
        <w:rPr>
          <w:color w:val="1F1F1F"/>
          <w:sz w:val="24"/>
        </w:rPr>
        <w:t>P.,</w:t>
      </w:r>
      <w:r>
        <w:rPr>
          <w:color w:val="1F1F1F"/>
          <w:spacing w:val="80"/>
          <w:w w:val="150"/>
          <w:sz w:val="24"/>
        </w:rPr>
        <w:t xml:space="preserve"> </w:t>
      </w:r>
      <w:r>
        <w:rPr>
          <w:color w:val="1F1F1F"/>
          <w:sz w:val="24"/>
        </w:rPr>
        <w:t>Holland,</w:t>
      </w:r>
      <w:r>
        <w:rPr>
          <w:color w:val="1F1F1F"/>
          <w:spacing w:val="80"/>
          <w:w w:val="150"/>
          <w:sz w:val="24"/>
        </w:rPr>
        <w:t xml:space="preserve"> </w:t>
      </w:r>
      <w:r>
        <w:rPr>
          <w:color w:val="1F1F1F"/>
          <w:sz w:val="24"/>
        </w:rPr>
        <w:t>T.</w:t>
      </w:r>
      <w:r>
        <w:rPr>
          <w:color w:val="1F1F1F"/>
          <w:spacing w:val="80"/>
          <w:w w:val="150"/>
          <w:sz w:val="24"/>
        </w:rPr>
        <w:t xml:space="preserve"> </w:t>
      </w:r>
      <w:r>
        <w:rPr>
          <w:color w:val="1F1F1F"/>
          <w:sz w:val="24"/>
        </w:rPr>
        <w:t>L.</w:t>
      </w:r>
      <w:r>
        <w:rPr>
          <w:color w:val="1F1F1F"/>
          <w:spacing w:val="80"/>
          <w:w w:val="150"/>
          <w:sz w:val="24"/>
        </w:rPr>
        <w:t xml:space="preserve"> </w:t>
      </w:r>
      <w:r>
        <w:rPr>
          <w:color w:val="1F1F1F"/>
          <w:sz w:val="24"/>
        </w:rPr>
        <w:t>and</w:t>
      </w:r>
      <w:r>
        <w:rPr>
          <w:color w:val="1F1F1F"/>
          <w:spacing w:val="80"/>
          <w:w w:val="150"/>
          <w:sz w:val="24"/>
        </w:rPr>
        <w:t xml:space="preserve"> </w:t>
      </w:r>
      <w:r>
        <w:rPr>
          <w:color w:val="1F1F1F"/>
          <w:sz w:val="24"/>
        </w:rPr>
        <w:t>Armstrong,</w:t>
      </w:r>
      <w:r>
        <w:rPr>
          <w:color w:val="1F1F1F"/>
          <w:spacing w:val="80"/>
          <w:w w:val="150"/>
          <w:sz w:val="24"/>
        </w:rPr>
        <w:t xml:space="preserve"> </w:t>
      </w:r>
      <w:r>
        <w:rPr>
          <w:color w:val="1F1F1F"/>
          <w:sz w:val="24"/>
        </w:rPr>
        <w:t>J. (2017). Contribution of urinary tract infection to the burden of febrile illnesses in young</w:t>
      </w:r>
      <w:r>
        <w:rPr>
          <w:color w:val="1F1F1F"/>
          <w:spacing w:val="80"/>
          <w:sz w:val="24"/>
        </w:rPr>
        <w:t xml:space="preserve">   </w:t>
      </w:r>
      <w:r>
        <w:rPr>
          <w:color w:val="1F1F1F"/>
          <w:sz w:val="24"/>
        </w:rPr>
        <w:t>children</w:t>
      </w:r>
      <w:r>
        <w:rPr>
          <w:color w:val="1F1F1F"/>
          <w:spacing w:val="80"/>
          <w:sz w:val="24"/>
        </w:rPr>
        <w:t xml:space="preserve">   </w:t>
      </w:r>
      <w:r>
        <w:rPr>
          <w:color w:val="1F1F1F"/>
          <w:sz w:val="24"/>
        </w:rPr>
        <w:t>in</w:t>
      </w:r>
      <w:r>
        <w:rPr>
          <w:color w:val="1F1F1F"/>
          <w:spacing w:val="80"/>
          <w:sz w:val="24"/>
        </w:rPr>
        <w:t xml:space="preserve">   </w:t>
      </w:r>
      <w:r>
        <w:rPr>
          <w:color w:val="1F1F1F"/>
          <w:sz w:val="24"/>
        </w:rPr>
        <w:t>rural</w:t>
      </w:r>
      <w:r>
        <w:rPr>
          <w:color w:val="1F1F1F"/>
          <w:spacing w:val="80"/>
          <w:sz w:val="24"/>
        </w:rPr>
        <w:t xml:space="preserve">   </w:t>
      </w:r>
      <w:r>
        <w:rPr>
          <w:color w:val="1F1F1F"/>
          <w:sz w:val="24"/>
        </w:rPr>
        <w:t>Kenya.</w:t>
      </w:r>
      <w:r>
        <w:rPr>
          <w:color w:val="1F1F1F"/>
          <w:spacing w:val="80"/>
          <w:sz w:val="24"/>
        </w:rPr>
        <w:t xml:space="preserve">   </w:t>
      </w:r>
      <w:r>
        <w:rPr>
          <w:color w:val="1F1F1F"/>
          <w:sz w:val="24"/>
        </w:rPr>
        <w:t>PLOS</w:t>
      </w:r>
      <w:r>
        <w:rPr>
          <w:color w:val="1F1F1F"/>
          <w:spacing w:val="80"/>
          <w:sz w:val="24"/>
        </w:rPr>
        <w:t xml:space="preserve">   </w:t>
      </w:r>
      <w:r>
        <w:rPr>
          <w:color w:val="1F1F1F"/>
          <w:sz w:val="24"/>
        </w:rPr>
        <w:t>ONE</w:t>
      </w:r>
      <w:r>
        <w:rPr>
          <w:color w:val="1F1F1F"/>
          <w:spacing w:val="80"/>
          <w:sz w:val="24"/>
        </w:rPr>
        <w:t xml:space="preserve">   </w:t>
      </w:r>
      <w:r>
        <w:rPr>
          <w:color w:val="1F1F1F"/>
          <w:sz w:val="24"/>
        </w:rPr>
        <w:t>12(3): e017419</w:t>
      </w:r>
      <w:r>
        <w:rPr>
          <w:color w:val="1F1F1F"/>
          <w:sz w:val="24"/>
        </w:rPr>
        <w:t xml:space="preserve">9. </w:t>
      </w:r>
      <w:hyperlink r:id="rId17">
        <w:r>
          <w:rPr>
            <w:color w:val="3D0577"/>
            <w:sz w:val="24"/>
            <w:u w:val="single" w:color="3D0577"/>
          </w:rPr>
          <w:t>https://doi.org/10.1371/journal.pone.0174199</w:t>
        </w:r>
      </w:hyperlink>
    </w:p>
    <w:p w:rsidR="00B84776" w:rsidRDefault="00C65940">
      <w:pPr>
        <w:pStyle w:val="ListParagraph"/>
        <w:numPr>
          <w:ilvl w:val="0"/>
          <w:numId w:val="3"/>
        </w:numPr>
        <w:tabs>
          <w:tab w:val="left" w:pos="340"/>
        </w:tabs>
        <w:spacing w:line="360" w:lineRule="auto"/>
        <w:ind w:right="98" w:firstLine="0"/>
        <w:rPr>
          <w:sz w:val="24"/>
        </w:rPr>
      </w:pPr>
      <w:proofErr w:type="spellStart"/>
      <w:r>
        <w:rPr>
          <w:color w:val="202020"/>
          <w:sz w:val="24"/>
        </w:rPr>
        <w:t>Coulthard</w:t>
      </w:r>
      <w:proofErr w:type="spellEnd"/>
      <w:r>
        <w:rPr>
          <w:color w:val="202020"/>
          <w:sz w:val="24"/>
        </w:rPr>
        <w:t>, M. G., Lambert, H. J., Vernon, S. J., Hunter, E. W., Keir, M. J., &amp; Matthews, J. N. (2014). Does prompt treatment of urinary tract in</w:t>
      </w:r>
      <w:r>
        <w:rPr>
          <w:color w:val="202020"/>
          <w:sz w:val="24"/>
        </w:rPr>
        <w:t xml:space="preserve">fection in preschool children prevent renal scarring: mixed retrospective and prospective audits. </w:t>
      </w:r>
      <w:r>
        <w:rPr>
          <w:i/>
          <w:color w:val="202020"/>
          <w:sz w:val="24"/>
        </w:rPr>
        <w:t>Archives of disease in childhood</w:t>
      </w:r>
      <w:r>
        <w:rPr>
          <w:color w:val="202020"/>
          <w:sz w:val="24"/>
        </w:rPr>
        <w:t xml:space="preserve">, </w:t>
      </w:r>
      <w:r>
        <w:rPr>
          <w:i/>
          <w:color w:val="202020"/>
          <w:sz w:val="24"/>
        </w:rPr>
        <w:t>99</w:t>
      </w:r>
      <w:r>
        <w:rPr>
          <w:color w:val="202020"/>
          <w:sz w:val="24"/>
        </w:rPr>
        <w:t xml:space="preserve">(4), 342–347. </w:t>
      </w:r>
      <w:hyperlink r:id="rId18">
        <w:r>
          <w:rPr>
            <w:color w:val="0000FF"/>
            <w:sz w:val="24"/>
            <w:u w:val="single" w:color="0000FF"/>
          </w:rPr>
          <w:t>https://doi.org/10.1136/archdischild-2013-</w:t>
        </w:r>
      </w:hyperlink>
      <w:r>
        <w:rPr>
          <w:color w:val="0000FF"/>
          <w:sz w:val="24"/>
        </w:rPr>
        <w:t xml:space="preserve"> </w:t>
      </w:r>
      <w:hyperlink r:id="rId19">
        <w:r>
          <w:rPr>
            <w:color w:val="0000FF"/>
            <w:spacing w:val="-2"/>
            <w:sz w:val="24"/>
            <w:u w:val="single" w:color="0000FF"/>
          </w:rPr>
          <w:t>304428</w:t>
        </w:r>
      </w:hyperlink>
    </w:p>
    <w:p w:rsidR="00B84776" w:rsidRDefault="00C65940">
      <w:pPr>
        <w:pStyle w:val="ListParagraph"/>
        <w:numPr>
          <w:ilvl w:val="0"/>
          <w:numId w:val="3"/>
        </w:numPr>
        <w:tabs>
          <w:tab w:val="left" w:pos="340"/>
        </w:tabs>
        <w:spacing w:line="360" w:lineRule="auto"/>
        <w:ind w:right="97" w:firstLine="0"/>
        <w:rPr>
          <w:sz w:val="24"/>
        </w:rPr>
      </w:pPr>
      <w:r>
        <w:rPr>
          <w:color w:val="202020"/>
          <w:sz w:val="24"/>
        </w:rPr>
        <w:t xml:space="preserve">Shaikh, N., Hoberman, A., Keren, R., </w:t>
      </w:r>
      <w:proofErr w:type="spellStart"/>
      <w:r>
        <w:rPr>
          <w:color w:val="202020"/>
          <w:sz w:val="24"/>
        </w:rPr>
        <w:t>Gotman</w:t>
      </w:r>
      <w:proofErr w:type="spellEnd"/>
      <w:r>
        <w:rPr>
          <w:color w:val="202020"/>
          <w:sz w:val="24"/>
        </w:rPr>
        <w:t xml:space="preserve">, N., </w:t>
      </w:r>
      <w:proofErr w:type="spellStart"/>
      <w:r>
        <w:rPr>
          <w:color w:val="202020"/>
          <w:sz w:val="24"/>
        </w:rPr>
        <w:t>Docimo</w:t>
      </w:r>
      <w:proofErr w:type="spellEnd"/>
      <w:r>
        <w:rPr>
          <w:color w:val="202020"/>
          <w:sz w:val="24"/>
        </w:rPr>
        <w:t>, S. G., Mathews, R., Bhatnagar,</w:t>
      </w:r>
      <w:r>
        <w:rPr>
          <w:color w:val="202020"/>
          <w:spacing w:val="8"/>
          <w:sz w:val="24"/>
        </w:rPr>
        <w:t xml:space="preserve"> </w:t>
      </w:r>
      <w:r>
        <w:rPr>
          <w:color w:val="202020"/>
          <w:sz w:val="24"/>
        </w:rPr>
        <w:t>S.,</w:t>
      </w:r>
      <w:r>
        <w:rPr>
          <w:color w:val="202020"/>
          <w:spacing w:val="7"/>
          <w:sz w:val="24"/>
        </w:rPr>
        <w:t xml:space="preserve"> </w:t>
      </w:r>
      <w:r>
        <w:rPr>
          <w:color w:val="202020"/>
          <w:sz w:val="24"/>
        </w:rPr>
        <w:t>Ivanova,</w:t>
      </w:r>
      <w:r>
        <w:rPr>
          <w:color w:val="202020"/>
          <w:spacing w:val="11"/>
          <w:sz w:val="24"/>
        </w:rPr>
        <w:t xml:space="preserve"> </w:t>
      </w:r>
      <w:r>
        <w:rPr>
          <w:color w:val="202020"/>
          <w:sz w:val="24"/>
        </w:rPr>
        <w:t>A.,</w:t>
      </w:r>
      <w:r>
        <w:rPr>
          <w:color w:val="202020"/>
          <w:spacing w:val="7"/>
          <w:sz w:val="24"/>
        </w:rPr>
        <w:t xml:space="preserve"> </w:t>
      </w:r>
      <w:proofErr w:type="spellStart"/>
      <w:r>
        <w:rPr>
          <w:color w:val="202020"/>
          <w:sz w:val="24"/>
        </w:rPr>
        <w:t>Mattoo</w:t>
      </w:r>
      <w:proofErr w:type="spellEnd"/>
      <w:r>
        <w:rPr>
          <w:color w:val="202020"/>
          <w:sz w:val="24"/>
        </w:rPr>
        <w:t>,</w:t>
      </w:r>
      <w:r>
        <w:rPr>
          <w:color w:val="202020"/>
          <w:spacing w:val="8"/>
          <w:sz w:val="24"/>
        </w:rPr>
        <w:t xml:space="preserve"> </w:t>
      </w:r>
      <w:r>
        <w:rPr>
          <w:color w:val="202020"/>
          <w:sz w:val="24"/>
        </w:rPr>
        <w:t>T.</w:t>
      </w:r>
      <w:r>
        <w:rPr>
          <w:color w:val="202020"/>
          <w:spacing w:val="7"/>
          <w:sz w:val="24"/>
        </w:rPr>
        <w:t xml:space="preserve"> </w:t>
      </w:r>
      <w:r>
        <w:rPr>
          <w:color w:val="202020"/>
          <w:sz w:val="24"/>
        </w:rPr>
        <w:t>K.,</w:t>
      </w:r>
      <w:r>
        <w:rPr>
          <w:color w:val="202020"/>
          <w:spacing w:val="10"/>
          <w:sz w:val="24"/>
        </w:rPr>
        <w:t xml:space="preserve"> </w:t>
      </w:r>
      <w:proofErr w:type="spellStart"/>
      <w:r>
        <w:rPr>
          <w:color w:val="202020"/>
          <w:sz w:val="24"/>
        </w:rPr>
        <w:t>Moxey</w:t>
      </w:r>
      <w:proofErr w:type="spellEnd"/>
      <w:r>
        <w:rPr>
          <w:color w:val="202020"/>
          <w:sz w:val="24"/>
        </w:rPr>
        <w:t>-Mims,</w:t>
      </w:r>
      <w:r>
        <w:rPr>
          <w:color w:val="202020"/>
          <w:spacing w:val="8"/>
          <w:sz w:val="24"/>
        </w:rPr>
        <w:t xml:space="preserve"> </w:t>
      </w:r>
      <w:r>
        <w:rPr>
          <w:color w:val="202020"/>
          <w:sz w:val="24"/>
        </w:rPr>
        <w:t>M.,</w:t>
      </w:r>
      <w:r>
        <w:rPr>
          <w:color w:val="202020"/>
          <w:spacing w:val="7"/>
          <w:sz w:val="24"/>
        </w:rPr>
        <w:t xml:space="preserve"> </w:t>
      </w:r>
      <w:r>
        <w:rPr>
          <w:color w:val="202020"/>
          <w:sz w:val="24"/>
        </w:rPr>
        <w:t>Carpenter,</w:t>
      </w:r>
      <w:r>
        <w:rPr>
          <w:color w:val="202020"/>
          <w:spacing w:val="8"/>
          <w:sz w:val="24"/>
        </w:rPr>
        <w:t xml:space="preserve"> </w:t>
      </w:r>
      <w:r>
        <w:rPr>
          <w:color w:val="202020"/>
          <w:sz w:val="24"/>
        </w:rPr>
        <w:t>M.</w:t>
      </w:r>
      <w:r>
        <w:rPr>
          <w:color w:val="202020"/>
          <w:spacing w:val="10"/>
          <w:sz w:val="24"/>
        </w:rPr>
        <w:t xml:space="preserve"> </w:t>
      </w:r>
      <w:r>
        <w:rPr>
          <w:color w:val="202020"/>
          <w:sz w:val="24"/>
        </w:rPr>
        <w:t>A.,</w:t>
      </w:r>
      <w:r>
        <w:rPr>
          <w:color w:val="202020"/>
          <w:spacing w:val="8"/>
          <w:sz w:val="24"/>
        </w:rPr>
        <w:t xml:space="preserve"> </w:t>
      </w:r>
      <w:r>
        <w:rPr>
          <w:color w:val="202020"/>
          <w:spacing w:val="-2"/>
          <w:sz w:val="24"/>
        </w:rPr>
        <w:t>Pohl,</w:t>
      </w:r>
    </w:p>
    <w:p w:rsidR="00B84776" w:rsidRDefault="00C65940">
      <w:pPr>
        <w:pStyle w:val="BodyText"/>
        <w:spacing w:line="360" w:lineRule="auto"/>
        <w:ind w:right="100"/>
      </w:pPr>
      <w:r>
        <w:rPr>
          <w:color w:val="202020"/>
        </w:rPr>
        <w:t xml:space="preserve">H. G., &amp; Greenfield, S. (2016). Recurrent Urinary Tract Infections in Children </w:t>
      </w:r>
      <w:proofErr w:type="gramStart"/>
      <w:r>
        <w:rPr>
          <w:color w:val="202020"/>
        </w:rPr>
        <w:t>With</w:t>
      </w:r>
      <w:proofErr w:type="gramEnd"/>
      <w:r>
        <w:rPr>
          <w:color w:val="202020"/>
        </w:rPr>
        <w:t xml:space="preserve"> Bladder and Bowel Dysfunction. </w:t>
      </w:r>
      <w:r>
        <w:rPr>
          <w:i/>
          <w:color w:val="202020"/>
        </w:rPr>
        <w:t>Pediatrics</w:t>
      </w:r>
      <w:r>
        <w:rPr>
          <w:color w:val="202020"/>
        </w:rPr>
        <w:t xml:space="preserve">, </w:t>
      </w:r>
      <w:r>
        <w:rPr>
          <w:i/>
          <w:color w:val="202020"/>
        </w:rPr>
        <w:t>137</w:t>
      </w:r>
      <w:r>
        <w:rPr>
          <w:color w:val="202020"/>
        </w:rPr>
        <w:t xml:space="preserve">(1), e20152982. </w:t>
      </w:r>
      <w:hyperlink r:id="rId20">
        <w:r>
          <w:rPr>
            <w:color w:val="0000FF"/>
            <w:spacing w:val="-2"/>
            <w:u w:val="single" w:color="0000FF"/>
          </w:rPr>
          <w:t>https://doi.org/10.1542/peds.2015-2982</w:t>
        </w:r>
      </w:hyperlink>
    </w:p>
    <w:p w:rsidR="00B84776" w:rsidRDefault="00C65940">
      <w:pPr>
        <w:pStyle w:val="ListParagraph"/>
        <w:numPr>
          <w:ilvl w:val="0"/>
          <w:numId w:val="3"/>
        </w:numPr>
        <w:tabs>
          <w:tab w:val="left" w:pos="340"/>
        </w:tabs>
        <w:spacing w:line="360" w:lineRule="auto"/>
        <w:ind w:right="99" w:firstLine="0"/>
        <w:rPr>
          <w:sz w:val="24"/>
        </w:rPr>
      </w:pPr>
      <w:proofErr w:type="spellStart"/>
      <w:r>
        <w:rPr>
          <w:sz w:val="24"/>
        </w:rPr>
        <w:t>Ekpunobi</w:t>
      </w:r>
      <w:proofErr w:type="spellEnd"/>
      <w:r>
        <w:rPr>
          <w:sz w:val="24"/>
        </w:rPr>
        <w:t xml:space="preserve">, N. F., </w:t>
      </w:r>
      <w:proofErr w:type="spellStart"/>
      <w:r>
        <w:rPr>
          <w:sz w:val="24"/>
        </w:rPr>
        <w:t>Mgbedo</w:t>
      </w:r>
      <w:proofErr w:type="spellEnd"/>
      <w:r>
        <w:rPr>
          <w:sz w:val="24"/>
        </w:rPr>
        <w:t xml:space="preserve">, U. G., Okoye, L. C. and </w:t>
      </w:r>
      <w:proofErr w:type="spellStart"/>
      <w:r>
        <w:rPr>
          <w:sz w:val="24"/>
        </w:rPr>
        <w:t>Agu</w:t>
      </w:r>
      <w:proofErr w:type="spellEnd"/>
      <w:r>
        <w:rPr>
          <w:sz w:val="24"/>
        </w:rPr>
        <w:t xml:space="preserve">, K. C. (2024). Prevalence of ESBL genes in </w:t>
      </w:r>
      <w:r>
        <w:rPr>
          <w:i/>
          <w:sz w:val="24"/>
        </w:rPr>
        <w:t xml:space="preserve">Klebsiella pneumoniae </w:t>
      </w:r>
      <w:r>
        <w:rPr>
          <w:sz w:val="24"/>
        </w:rPr>
        <w:t>from individuals with community-acquired urinary</w:t>
      </w:r>
      <w:r>
        <w:rPr>
          <w:spacing w:val="46"/>
          <w:sz w:val="24"/>
        </w:rPr>
        <w:t xml:space="preserve"> </w:t>
      </w:r>
      <w:r>
        <w:rPr>
          <w:sz w:val="24"/>
        </w:rPr>
        <w:t>tract</w:t>
      </w:r>
      <w:r>
        <w:rPr>
          <w:spacing w:val="48"/>
          <w:sz w:val="24"/>
        </w:rPr>
        <w:t xml:space="preserve"> </w:t>
      </w:r>
      <w:r>
        <w:rPr>
          <w:sz w:val="24"/>
        </w:rPr>
        <w:t>infections</w:t>
      </w:r>
      <w:r>
        <w:rPr>
          <w:spacing w:val="46"/>
          <w:sz w:val="24"/>
        </w:rPr>
        <w:t xml:space="preserve"> </w:t>
      </w:r>
      <w:r>
        <w:rPr>
          <w:sz w:val="24"/>
        </w:rPr>
        <w:t>in</w:t>
      </w:r>
      <w:r>
        <w:rPr>
          <w:spacing w:val="46"/>
          <w:sz w:val="24"/>
        </w:rPr>
        <w:t xml:space="preserve"> </w:t>
      </w:r>
      <w:r>
        <w:rPr>
          <w:sz w:val="24"/>
        </w:rPr>
        <w:t>Lagos</w:t>
      </w:r>
      <w:r>
        <w:rPr>
          <w:spacing w:val="48"/>
          <w:sz w:val="24"/>
        </w:rPr>
        <w:t xml:space="preserve"> </w:t>
      </w:r>
      <w:r>
        <w:rPr>
          <w:sz w:val="24"/>
        </w:rPr>
        <w:t>state,</w:t>
      </w:r>
      <w:r>
        <w:rPr>
          <w:spacing w:val="46"/>
          <w:sz w:val="24"/>
        </w:rPr>
        <w:t xml:space="preserve"> </w:t>
      </w:r>
      <w:r>
        <w:rPr>
          <w:sz w:val="24"/>
        </w:rPr>
        <w:t>Nigeria.</w:t>
      </w:r>
      <w:r>
        <w:rPr>
          <w:spacing w:val="49"/>
          <w:sz w:val="24"/>
        </w:rPr>
        <w:t xml:space="preserve"> </w:t>
      </w:r>
      <w:proofErr w:type="spellStart"/>
      <w:r>
        <w:rPr>
          <w:i/>
          <w:sz w:val="24"/>
        </w:rPr>
        <w:t>Journl</w:t>
      </w:r>
      <w:proofErr w:type="spellEnd"/>
      <w:r>
        <w:rPr>
          <w:i/>
          <w:spacing w:val="46"/>
          <w:sz w:val="24"/>
        </w:rPr>
        <w:t xml:space="preserve"> </w:t>
      </w:r>
      <w:r>
        <w:rPr>
          <w:i/>
          <w:sz w:val="24"/>
        </w:rPr>
        <w:t>of</w:t>
      </w:r>
      <w:r>
        <w:rPr>
          <w:i/>
          <w:spacing w:val="46"/>
          <w:sz w:val="24"/>
        </w:rPr>
        <w:t xml:space="preserve"> </w:t>
      </w:r>
      <w:r>
        <w:rPr>
          <w:i/>
          <w:sz w:val="24"/>
        </w:rPr>
        <w:t>RNA</w:t>
      </w:r>
      <w:r>
        <w:rPr>
          <w:i/>
          <w:spacing w:val="45"/>
          <w:sz w:val="24"/>
        </w:rPr>
        <w:t xml:space="preserve"> </w:t>
      </w:r>
      <w:r>
        <w:rPr>
          <w:i/>
          <w:sz w:val="24"/>
        </w:rPr>
        <w:t>and</w:t>
      </w:r>
      <w:r>
        <w:rPr>
          <w:i/>
          <w:spacing w:val="46"/>
          <w:sz w:val="24"/>
        </w:rPr>
        <w:t xml:space="preserve"> </w:t>
      </w:r>
      <w:r>
        <w:rPr>
          <w:i/>
          <w:sz w:val="24"/>
        </w:rPr>
        <w:t>Genomics</w:t>
      </w:r>
      <w:r>
        <w:rPr>
          <w:sz w:val="24"/>
        </w:rPr>
        <w:t>,</w:t>
      </w:r>
      <w:r>
        <w:rPr>
          <w:spacing w:val="47"/>
          <w:sz w:val="24"/>
        </w:rPr>
        <w:t xml:space="preserve"> </w:t>
      </w:r>
      <w:r>
        <w:rPr>
          <w:spacing w:val="-5"/>
          <w:sz w:val="24"/>
        </w:rPr>
        <w:t>20</w:t>
      </w:r>
    </w:p>
    <w:p w:rsidR="00B84776" w:rsidRDefault="00C65940">
      <w:pPr>
        <w:pStyle w:val="BodyText"/>
        <w:spacing w:line="275" w:lineRule="exact"/>
      </w:pPr>
      <w:r>
        <w:t>(2):1-6.</w:t>
      </w:r>
      <w:r>
        <w:rPr>
          <w:spacing w:val="-12"/>
        </w:rPr>
        <w:t xml:space="preserve"> </w:t>
      </w:r>
      <w:hyperlink r:id="rId21">
        <w:r>
          <w:rPr>
            <w:color w:val="0000FF"/>
            <w:u w:val="single" w:color="0000FF"/>
          </w:rPr>
          <w:t>https://doi.org/10.35841/2591-</w:t>
        </w:r>
        <w:r>
          <w:rPr>
            <w:color w:val="0000FF"/>
            <w:spacing w:val="-2"/>
            <w:u w:val="single" w:color="0000FF"/>
          </w:rPr>
          <w:t>7781.19.1000181.</w:t>
        </w:r>
      </w:hyperlink>
    </w:p>
    <w:p w:rsidR="00B84776" w:rsidRDefault="00C65940">
      <w:pPr>
        <w:pStyle w:val="ListParagraph"/>
        <w:numPr>
          <w:ilvl w:val="0"/>
          <w:numId w:val="3"/>
        </w:numPr>
        <w:tabs>
          <w:tab w:val="left" w:pos="340"/>
        </w:tabs>
        <w:spacing w:before="138" w:line="360" w:lineRule="auto"/>
        <w:ind w:right="100" w:firstLine="0"/>
        <w:rPr>
          <w:sz w:val="24"/>
        </w:rPr>
      </w:pPr>
      <w:proofErr w:type="spellStart"/>
      <w:r>
        <w:rPr>
          <w:sz w:val="24"/>
        </w:rPr>
        <w:t>Ekpunobi</w:t>
      </w:r>
      <w:proofErr w:type="spellEnd"/>
      <w:r>
        <w:rPr>
          <w:sz w:val="24"/>
        </w:rPr>
        <w:t xml:space="preserve">, N., </w:t>
      </w:r>
      <w:proofErr w:type="spellStart"/>
      <w:r>
        <w:rPr>
          <w:sz w:val="24"/>
        </w:rPr>
        <w:t>Adesanoye</w:t>
      </w:r>
      <w:proofErr w:type="spellEnd"/>
      <w:r>
        <w:rPr>
          <w:sz w:val="24"/>
        </w:rPr>
        <w:t xml:space="preserve">, S., </w:t>
      </w:r>
      <w:proofErr w:type="spellStart"/>
      <w:r>
        <w:rPr>
          <w:sz w:val="24"/>
        </w:rPr>
        <w:t>Orababa</w:t>
      </w:r>
      <w:proofErr w:type="spellEnd"/>
      <w:r>
        <w:rPr>
          <w:sz w:val="24"/>
        </w:rPr>
        <w:t xml:space="preserve">, O., </w:t>
      </w:r>
      <w:proofErr w:type="spellStart"/>
      <w:r>
        <w:rPr>
          <w:sz w:val="24"/>
        </w:rPr>
        <w:t>Adinnu</w:t>
      </w:r>
      <w:proofErr w:type="spellEnd"/>
      <w:r>
        <w:rPr>
          <w:sz w:val="24"/>
        </w:rPr>
        <w:t xml:space="preserve">, C., Okorie, C., </w:t>
      </w:r>
      <w:proofErr w:type="spellStart"/>
      <w:r>
        <w:rPr>
          <w:sz w:val="24"/>
        </w:rPr>
        <w:t>Akinsuyi</w:t>
      </w:r>
      <w:proofErr w:type="spellEnd"/>
      <w:r>
        <w:rPr>
          <w:sz w:val="24"/>
        </w:rPr>
        <w:t>, O. (2024).</w:t>
      </w:r>
      <w:r>
        <w:rPr>
          <w:spacing w:val="74"/>
          <w:sz w:val="24"/>
        </w:rPr>
        <w:t xml:space="preserve"> </w:t>
      </w:r>
      <w:r>
        <w:rPr>
          <w:sz w:val="24"/>
        </w:rPr>
        <w:t>Public</w:t>
      </w:r>
      <w:r>
        <w:rPr>
          <w:spacing w:val="71"/>
          <w:sz w:val="24"/>
        </w:rPr>
        <w:t xml:space="preserve"> </w:t>
      </w:r>
      <w:r>
        <w:rPr>
          <w:sz w:val="24"/>
        </w:rPr>
        <w:t>health</w:t>
      </w:r>
      <w:r>
        <w:rPr>
          <w:spacing w:val="78"/>
          <w:sz w:val="24"/>
        </w:rPr>
        <w:t xml:space="preserve"> </w:t>
      </w:r>
      <w:r>
        <w:rPr>
          <w:sz w:val="24"/>
        </w:rPr>
        <w:t>perspective</w:t>
      </w:r>
      <w:r>
        <w:rPr>
          <w:spacing w:val="73"/>
          <w:sz w:val="24"/>
        </w:rPr>
        <w:t xml:space="preserve"> </w:t>
      </w:r>
      <w:r>
        <w:rPr>
          <w:sz w:val="24"/>
        </w:rPr>
        <w:t>of</w:t>
      </w:r>
      <w:r>
        <w:rPr>
          <w:spacing w:val="75"/>
          <w:sz w:val="24"/>
        </w:rPr>
        <w:t xml:space="preserve"> </w:t>
      </w:r>
      <w:r>
        <w:rPr>
          <w:sz w:val="24"/>
        </w:rPr>
        <w:t>public</w:t>
      </w:r>
      <w:r>
        <w:rPr>
          <w:spacing w:val="71"/>
          <w:sz w:val="24"/>
        </w:rPr>
        <w:t xml:space="preserve"> </w:t>
      </w:r>
      <w:r>
        <w:rPr>
          <w:sz w:val="24"/>
        </w:rPr>
        <w:t>abattoirs</w:t>
      </w:r>
      <w:r>
        <w:rPr>
          <w:spacing w:val="75"/>
          <w:sz w:val="24"/>
        </w:rPr>
        <w:t xml:space="preserve"> </w:t>
      </w:r>
      <w:r>
        <w:rPr>
          <w:sz w:val="24"/>
        </w:rPr>
        <w:t>in</w:t>
      </w:r>
      <w:r>
        <w:rPr>
          <w:spacing w:val="75"/>
          <w:sz w:val="24"/>
        </w:rPr>
        <w:t xml:space="preserve"> </w:t>
      </w:r>
      <w:r>
        <w:rPr>
          <w:sz w:val="24"/>
        </w:rPr>
        <w:t>Nigeria,</w:t>
      </w:r>
      <w:r>
        <w:rPr>
          <w:spacing w:val="74"/>
          <w:sz w:val="24"/>
        </w:rPr>
        <w:t xml:space="preserve"> </w:t>
      </w:r>
      <w:r>
        <w:rPr>
          <w:sz w:val="24"/>
        </w:rPr>
        <w:t>challenges</w:t>
      </w:r>
      <w:r>
        <w:rPr>
          <w:spacing w:val="76"/>
          <w:sz w:val="24"/>
        </w:rPr>
        <w:t xml:space="preserve"> </w:t>
      </w:r>
      <w:r>
        <w:rPr>
          <w:spacing w:val="-5"/>
          <w:sz w:val="24"/>
        </w:rPr>
        <w:t>and</w:t>
      </w:r>
    </w:p>
    <w:p w:rsidR="00B84776" w:rsidRDefault="00C65940">
      <w:pPr>
        <w:spacing w:before="62" w:line="360" w:lineRule="auto"/>
        <w:ind w:left="100" w:right="100"/>
        <w:jc w:val="both"/>
        <w:rPr>
          <w:sz w:val="24"/>
        </w:rPr>
      </w:pPr>
      <w:r>
        <w:rPr>
          <w:sz w:val="24"/>
        </w:rPr>
        <w:t xml:space="preserve">solutions. </w:t>
      </w:r>
      <w:r>
        <w:rPr>
          <w:i/>
          <w:sz w:val="24"/>
        </w:rPr>
        <w:t>GSC Biological and Pharmaceutical Sciences</w:t>
      </w:r>
      <w:r>
        <w:rPr>
          <w:sz w:val="24"/>
        </w:rPr>
        <w:t xml:space="preserve">, 26. 115-127. </w:t>
      </w:r>
      <w:hyperlink r:id="rId22">
        <w:r>
          <w:rPr>
            <w:color w:val="0000FF"/>
            <w:spacing w:val="-2"/>
            <w:sz w:val="24"/>
            <w:u w:val="single" w:color="0000FF"/>
          </w:rPr>
          <w:t>https://doi.org/10.30574/gscbps.2024.26.2.0527</w:t>
        </w:r>
      </w:hyperlink>
    </w:p>
    <w:p w:rsidR="00B84776" w:rsidRDefault="00C65940">
      <w:pPr>
        <w:pStyle w:val="ListParagraph"/>
        <w:numPr>
          <w:ilvl w:val="0"/>
          <w:numId w:val="3"/>
        </w:numPr>
        <w:tabs>
          <w:tab w:val="left" w:pos="340"/>
        </w:tabs>
        <w:spacing w:line="274" w:lineRule="exact"/>
        <w:ind w:left="340"/>
        <w:rPr>
          <w:sz w:val="24"/>
        </w:rPr>
      </w:pPr>
      <w:r>
        <w:rPr>
          <w:sz w:val="24"/>
        </w:rPr>
        <w:t>Okoye,</w:t>
      </w:r>
      <w:r>
        <w:rPr>
          <w:spacing w:val="10"/>
          <w:sz w:val="24"/>
        </w:rPr>
        <w:t xml:space="preserve"> </w:t>
      </w:r>
      <w:r>
        <w:rPr>
          <w:sz w:val="24"/>
        </w:rPr>
        <w:t>L.</w:t>
      </w:r>
      <w:r>
        <w:rPr>
          <w:spacing w:val="15"/>
          <w:sz w:val="24"/>
        </w:rPr>
        <w:t xml:space="preserve"> </w:t>
      </w:r>
      <w:r>
        <w:rPr>
          <w:sz w:val="24"/>
        </w:rPr>
        <w:t>C.,</w:t>
      </w:r>
      <w:r>
        <w:rPr>
          <w:spacing w:val="12"/>
          <w:sz w:val="24"/>
        </w:rPr>
        <w:t xml:space="preserve"> </w:t>
      </w:r>
      <w:proofErr w:type="spellStart"/>
      <w:r>
        <w:rPr>
          <w:sz w:val="24"/>
        </w:rPr>
        <w:t>Ugwu</w:t>
      </w:r>
      <w:proofErr w:type="spellEnd"/>
      <w:r>
        <w:rPr>
          <w:sz w:val="24"/>
        </w:rPr>
        <w:t>,</w:t>
      </w:r>
      <w:r>
        <w:rPr>
          <w:spacing w:val="13"/>
          <w:sz w:val="24"/>
        </w:rPr>
        <w:t xml:space="preserve"> </w:t>
      </w:r>
      <w:r>
        <w:rPr>
          <w:sz w:val="24"/>
        </w:rPr>
        <w:t>M.</w:t>
      </w:r>
      <w:r>
        <w:rPr>
          <w:spacing w:val="13"/>
          <w:sz w:val="24"/>
        </w:rPr>
        <w:t xml:space="preserve"> </w:t>
      </w:r>
      <w:r>
        <w:rPr>
          <w:sz w:val="24"/>
        </w:rPr>
        <w:t>C.,</w:t>
      </w:r>
      <w:r>
        <w:rPr>
          <w:spacing w:val="12"/>
          <w:sz w:val="24"/>
        </w:rPr>
        <w:t xml:space="preserve"> </w:t>
      </w:r>
      <w:r>
        <w:rPr>
          <w:sz w:val="24"/>
        </w:rPr>
        <w:t>Oli,</w:t>
      </w:r>
      <w:r>
        <w:rPr>
          <w:spacing w:val="11"/>
          <w:sz w:val="24"/>
        </w:rPr>
        <w:t xml:space="preserve"> </w:t>
      </w:r>
      <w:r>
        <w:rPr>
          <w:sz w:val="24"/>
        </w:rPr>
        <w:t>A.</w:t>
      </w:r>
      <w:r>
        <w:rPr>
          <w:spacing w:val="13"/>
          <w:sz w:val="24"/>
        </w:rPr>
        <w:t xml:space="preserve"> </w:t>
      </w:r>
      <w:r>
        <w:rPr>
          <w:sz w:val="24"/>
        </w:rPr>
        <w:t>N.,</w:t>
      </w:r>
      <w:r>
        <w:rPr>
          <w:spacing w:val="14"/>
          <w:sz w:val="24"/>
        </w:rPr>
        <w:t xml:space="preserve"> </w:t>
      </w:r>
      <w:r>
        <w:rPr>
          <w:sz w:val="24"/>
        </w:rPr>
        <w:t>Okoye,</w:t>
      </w:r>
      <w:r>
        <w:rPr>
          <w:spacing w:val="15"/>
          <w:sz w:val="24"/>
        </w:rPr>
        <w:t xml:space="preserve"> </w:t>
      </w:r>
      <w:r>
        <w:rPr>
          <w:sz w:val="24"/>
        </w:rPr>
        <w:t>E.</w:t>
      </w:r>
      <w:r>
        <w:rPr>
          <w:spacing w:val="12"/>
          <w:sz w:val="24"/>
        </w:rPr>
        <w:t xml:space="preserve"> </w:t>
      </w:r>
      <w:r>
        <w:rPr>
          <w:sz w:val="24"/>
        </w:rPr>
        <w:t>C.</w:t>
      </w:r>
      <w:r>
        <w:rPr>
          <w:spacing w:val="11"/>
          <w:sz w:val="24"/>
        </w:rPr>
        <w:t xml:space="preserve"> </w:t>
      </w:r>
      <w:r>
        <w:rPr>
          <w:sz w:val="24"/>
        </w:rPr>
        <w:t>S.,</w:t>
      </w:r>
      <w:r>
        <w:rPr>
          <w:spacing w:val="13"/>
          <w:sz w:val="24"/>
        </w:rPr>
        <w:t xml:space="preserve"> </w:t>
      </w:r>
      <w:proofErr w:type="spellStart"/>
      <w:r>
        <w:rPr>
          <w:sz w:val="24"/>
        </w:rPr>
        <w:t>Ekpu</w:t>
      </w:r>
      <w:r>
        <w:rPr>
          <w:sz w:val="24"/>
        </w:rPr>
        <w:t>nobi</w:t>
      </w:r>
      <w:proofErr w:type="spellEnd"/>
      <w:r>
        <w:rPr>
          <w:sz w:val="24"/>
        </w:rPr>
        <w:t>,</w:t>
      </w:r>
      <w:r>
        <w:rPr>
          <w:spacing w:val="10"/>
          <w:sz w:val="24"/>
        </w:rPr>
        <w:t xml:space="preserve"> </w:t>
      </w:r>
      <w:r>
        <w:rPr>
          <w:sz w:val="24"/>
        </w:rPr>
        <w:t>N.</w:t>
      </w:r>
      <w:r>
        <w:rPr>
          <w:spacing w:val="15"/>
          <w:sz w:val="24"/>
        </w:rPr>
        <w:t xml:space="preserve"> </w:t>
      </w:r>
      <w:r>
        <w:rPr>
          <w:sz w:val="24"/>
        </w:rPr>
        <w:t>F.,</w:t>
      </w:r>
      <w:r>
        <w:rPr>
          <w:spacing w:val="13"/>
          <w:sz w:val="24"/>
        </w:rPr>
        <w:t xml:space="preserve"> </w:t>
      </w:r>
      <w:proofErr w:type="spellStart"/>
      <w:r>
        <w:rPr>
          <w:spacing w:val="-2"/>
          <w:sz w:val="24"/>
        </w:rPr>
        <w:t>Okezie</w:t>
      </w:r>
      <w:proofErr w:type="spellEnd"/>
      <w:r>
        <w:rPr>
          <w:spacing w:val="-2"/>
          <w:sz w:val="24"/>
        </w:rPr>
        <w:t>,</w:t>
      </w:r>
    </w:p>
    <w:p w:rsidR="00B84776" w:rsidRDefault="00C65940">
      <w:pPr>
        <w:spacing w:before="139" w:line="360" w:lineRule="auto"/>
        <w:ind w:left="100" w:right="99"/>
        <w:jc w:val="both"/>
        <w:rPr>
          <w:sz w:val="24"/>
        </w:rPr>
      </w:pPr>
      <w:r>
        <w:rPr>
          <w:sz w:val="24"/>
        </w:rPr>
        <w:t xml:space="preserve">U. M. and </w:t>
      </w:r>
      <w:proofErr w:type="spellStart"/>
      <w:r>
        <w:rPr>
          <w:sz w:val="24"/>
        </w:rPr>
        <w:t>Mgbedo</w:t>
      </w:r>
      <w:proofErr w:type="spellEnd"/>
      <w:r>
        <w:rPr>
          <w:sz w:val="24"/>
        </w:rPr>
        <w:t xml:space="preserve">, U. G. (2024). Genotypic detection of </w:t>
      </w:r>
      <w:proofErr w:type="spellStart"/>
      <w:r>
        <w:rPr>
          <w:sz w:val="24"/>
        </w:rPr>
        <w:t>metallo</w:t>
      </w:r>
      <w:proofErr w:type="spellEnd"/>
      <w:r>
        <w:rPr>
          <w:sz w:val="24"/>
        </w:rPr>
        <w:t xml:space="preserve">-Beta-Lactamases among multidrug resistant </w:t>
      </w:r>
      <w:r>
        <w:rPr>
          <w:i/>
          <w:sz w:val="24"/>
        </w:rPr>
        <w:t xml:space="preserve">Klebsiella pneumoniae </w:t>
      </w:r>
      <w:r>
        <w:rPr>
          <w:sz w:val="24"/>
        </w:rPr>
        <w:t xml:space="preserve">isolated from urine samples of UTI patients </w:t>
      </w:r>
      <w:r>
        <w:rPr>
          <w:i/>
          <w:sz w:val="24"/>
        </w:rPr>
        <w:t>GSC Biological and Pharmaceutical Sciences</w:t>
      </w:r>
      <w:r>
        <w:rPr>
          <w:sz w:val="24"/>
        </w:rPr>
        <w:t xml:space="preserve">, 29(03), 248-255. </w:t>
      </w:r>
      <w:r>
        <w:rPr>
          <w:color w:val="0000FF"/>
          <w:spacing w:val="-2"/>
          <w:sz w:val="24"/>
        </w:rPr>
        <w:t>htt</w:t>
      </w:r>
      <w:r>
        <w:rPr>
          <w:color w:val="0000FF"/>
          <w:spacing w:val="-2"/>
          <w:sz w:val="24"/>
        </w:rPr>
        <w:t>ps://doi.org/10.30574/gscbps.2024.29.3.0483</w:t>
      </w:r>
    </w:p>
    <w:p w:rsidR="00B84776" w:rsidRDefault="00C65940">
      <w:pPr>
        <w:pStyle w:val="ListParagraph"/>
        <w:numPr>
          <w:ilvl w:val="0"/>
          <w:numId w:val="3"/>
        </w:numPr>
        <w:tabs>
          <w:tab w:val="left" w:pos="340"/>
        </w:tabs>
        <w:spacing w:line="360" w:lineRule="auto"/>
        <w:ind w:right="96" w:firstLine="0"/>
        <w:rPr>
          <w:sz w:val="24"/>
        </w:rPr>
      </w:pPr>
      <w:proofErr w:type="spellStart"/>
      <w:r>
        <w:rPr>
          <w:sz w:val="24"/>
        </w:rPr>
        <w:t>Chukwunwejim</w:t>
      </w:r>
      <w:proofErr w:type="spellEnd"/>
      <w:r>
        <w:rPr>
          <w:sz w:val="24"/>
        </w:rPr>
        <w:t xml:space="preserve">, C.R., </w:t>
      </w:r>
      <w:proofErr w:type="spellStart"/>
      <w:r>
        <w:rPr>
          <w:sz w:val="24"/>
        </w:rPr>
        <w:t>Ekpunobi</w:t>
      </w:r>
      <w:proofErr w:type="spellEnd"/>
      <w:r>
        <w:rPr>
          <w:sz w:val="24"/>
        </w:rPr>
        <w:t xml:space="preserve">, N.F., </w:t>
      </w:r>
      <w:proofErr w:type="spellStart"/>
      <w:r>
        <w:rPr>
          <w:sz w:val="24"/>
        </w:rPr>
        <w:t>Ogunmola</w:t>
      </w:r>
      <w:proofErr w:type="spellEnd"/>
      <w:r>
        <w:rPr>
          <w:sz w:val="24"/>
        </w:rPr>
        <w:t xml:space="preserve">, T., </w:t>
      </w:r>
      <w:proofErr w:type="spellStart"/>
      <w:r>
        <w:rPr>
          <w:sz w:val="24"/>
        </w:rPr>
        <w:t>Obidi</w:t>
      </w:r>
      <w:proofErr w:type="spellEnd"/>
      <w:r>
        <w:rPr>
          <w:sz w:val="24"/>
        </w:rPr>
        <w:t xml:space="preserve">, N., </w:t>
      </w:r>
      <w:proofErr w:type="spellStart"/>
      <w:r>
        <w:rPr>
          <w:sz w:val="24"/>
        </w:rPr>
        <w:t>Ajasa</w:t>
      </w:r>
      <w:proofErr w:type="spellEnd"/>
      <w:r>
        <w:rPr>
          <w:sz w:val="24"/>
        </w:rPr>
        <w:t xml:space="preserve">, O. S. and </w:t>
      </w:r>
      <w:proofErr w:type="spellStart"/>
      <w:r>
        <w:rPr>
          <w:sz w:val="24"/>
        </w:rPr>
        <w:t>Obidi</w:t>
      </w:r>
      <w:proofErr w:type="spellEnd"/>
      <w:r>
        <w:rPr>
          <w:sz w:val="24"/>
        </w:rPr>
        <w:t xml:space="preserve">, N. L. (2025). Molecular identification of multidrug-resistant bacteria from </w:t>
      </w:r>
      <w:r>
        <w:rPr>
          <w:sz w:val="24"/>
        </w:rPr>
        <w:lastRenderedPageBreak/>
        <w:t>eggshell surfaces in Nigeria: A growing threat to p</w:t>
      </w:r>
      <w:r>
        <w:rPr>
          <w:sz w:val="24"/>
        </w:rPr>
        <w:t>ublic health. Magna Scientia Advanced</w:t>
      </w:r>
      <w:r>
        <w:rPr>
          <w:spacing w:val="68"/>
          <w:sz w:val="24"/>
        </w:rPr>
        <w:t xml:space="preserve">    </w:t>
      </w:r>
      <w:r>
        <w:rPr>
          <w:sz w:val="24"/>
        </w:rPr>
        <w:t>Biology</w:t>
      </w:r>
      <w:r>
        <w:rPr>
          <w:spacing w:val="68"/>
          <w:sz w:val="24"/>
        </w:rPr>
        <w:t xml:space="preserve">    </w:t>
      </w:r>
      <w:r>
        <w:rPr>
          <w:sz w:val="24"/>
        </w:rPr>
        <w:t>and</w:t>
      </w:r>
      <w:r>
        <w:rPr>
          <w:spacing w:val="69"/>
          <w:sz w:val="24"/>
        </w:rPr>
        <w:t xml:space="preserve">    </w:t>
      </w:r>
      <w:proofErr w:type="gramStart"/>
      <w:r>
        <w:rPr>
          <w:sz w:val="24"/>
        </w:rPr>
        <w:t>Pharmacy,</w:t>
      </w:r>
      <w:r>
        <w:rPr>
          <w:spacing w:val="69"/>
          <w:sz w:val="24"/>
        </w:rPr>
        <w:t xml:space="preserve">   </w:t>
      </w:r>
      <w:proofErr w:type="gramEnd"/>
      <w:r>
        <w:rPr>
          <w:spacing w:val="69"/>
          <w:sz w:val="24"/>
        </w:rPr>
        <w:t xml:space="preserve"> </w:t>
      </w:r>
      <w:r>
        <w:rPr>
          <w:sz w:val="24"/>
        </w:rPr>
        <w:t>2025,</w:t>
      </w:r>
      <w:r>
        <w:rPr>
          <w:spacing w:val="68"/>
          <w:sz w:val="24"/>
        </w:rPr>
        <w:t xml:space="preserve">    </w:t>
      </w:r>
      <w:r>
        <w:rPr>
          <w:sz w:val="24"/>
        </w:rPr>
        <w:t>15(01),</w:t>
      </w:r>
      <w:r>
        <w:rPr>
          <w:spacing w:val="69"/>
          <w:sz w:val="24"/>
        </w:rPr>
        <w:t xml:space="preserve">    </w:t>
      </w:r>
      <w:r>
        <w:rPr>
          <w:sz w:val="24"/>
        </w:rPr>
        <w:t>021-</w:t>
      </w:r>
      <w:r>
        <w:rPr>
          <w:spacing w:val="-4"/>
          <w:sz w:val="24"/>
        </w:rPr>
        <w:t>028.</w:t>
      </w:r>
    </w:p>
    <w:p w:rsidR="00B84776" w:rsidRDefault="00C65940">
      <w:pPr>
        <w:pStyle w:val="BodyText"/>
        <w:jc w:val="left"/>
      </w:pPr>
      <w:hyperlink r:id="rId23">
        <w:r>
          <w:rPr>
            <w:color w:val="0000FF"/>
            <w:spacing w:val="-2"/>
            <w:u w:val="single" w:color="0000FF"/>
          </w:rPr>
          <w:t>https://doi.org/10.30574/msabp.2025.15.1.0035</w:t>
        </w:r>
      </w:hyperlink>
    </w:p>
    <w:p w:rsidR="00B84776" w:rsidRDefault="00C65940">
      <w:pPr>
        <w:pStyle w:val="ListParagraph"/>
        <w:numPr>
          <w:ilvl w:val="0"/>
          <w:numId w:val="3"/>
        </w:numPr>
        <w:tabs>
          <w:tab w:val="left" w:pos="340"/>
        </w:tabs>
        <w:spacing w:before="137" w:line="360" w:lineRule="auto"/>
        <w:ind w:right="97" w:firstLine="0"/>
        <w:rPr>
          <w:sz w:val="24"/>
        </w:rPr>
      </w:pPr>
      <w:r>
        <w:rPr>
          <w:color w:val="202020"/>
          <w:sz w:val="24"/>
        </w:rPr>
        <w:t xml:space="preserve">Bryce, A., Hay, A. D., Lane, I. F., Thornton, H. V., Wootton, M., &amp; </w:t>
      </w:r>
      <w:proofErr w:type="spellStart"/>
      <w:r>
        <w:rPr>
          <w:color w:val="202020"/>
          <w:sz w:val="24"/>
        </w:rPr>
        <w:t>Costelloe</w:t>
      </w:r>
      <w:proofErr w:type="spellEnd"/>
      <w:r>
        <w:rPr>
          <w:color w:val="202020"/>
          <w:sz w:val="24"/>
        </w:rPr>
        <w:t xml:space="preserve">, C. (2016). Global prevalence of antibiotic resistance in </w:t>
      </w:r>
      <w:proofErr w:type="spellStart"/>
      <w:r>
        <w:rPr>
          <w:color w:val="202020"/>
          <w:sz w:val="24"/>
        </w:rPr>
        <w:t>paediatric</w:t>
      </w:r>
      <w:proofErr w:type="spellEnd"/>
      <w:r>
        <w:rPr>
          <w:color w:val="202020"/>
          <w:sz w:val="24"/>
        </w:rPr>
        <w:t xml:space="preserve"> urinary tract infections caused by Escherichia coli and association with routine use of antibiotics in primar</w:t>
      </w:r>
      <w:r>
        <w:rPr>
          <w:color w:val="202020"/>
          <w:sz w:val="24"/>
        </w:rPr>
        <w:t xml:space="preserve">y care: systematic review and meta-analysis. </w:t>
      </w:r>
      <w:r>
        <w:rPr>
          <w:i/>
          <w:color w:val="202020"/>
          <w:sz w:val="24"/>
        </w:rPr>
        <w:t>BMJ (Clinical research ed.)</w:t>
      </w:r>
      <w:r>
        <w:rPr>
          <w:color w:val="202020"/>
          <w:sz w:val="24"/>
        </w:rPr>
        <w:t xml:space="preserve">, </w:t>
      </w:r>
      <w:r>
        <w:rPr>
          <w:i/>
          <w:color w:val="202020"/>
          <w:sz w:val="24"/>
        </w:rPr>
        <w:t>352</w:t>
      </w:r>
      <w:r>
        <w:rPr>
          <w:color w:val="202020"/>
          <w:sz w:val="24"/>
        </w:rPr>
        <w:t xml:space="preserve">, i939. </w:t>
      </w:r>
      <w:hyperlink r:id="rId24">
        <w:r>
          <w:rPr>
            <w:color w:val="0000FF"/>
            <w:spacing w:val="-2"/>
            <w:sz w:val="24"/>
            <w:u w:val="single" w:color="0000FF"/>
          </w:rPr>
          <w:t>https://doi.org/10.1136/bmj.i939</w:t>
        </w:r>
      </w:hyperlink>
    </w:p>
    <w:p w:rsidR="00B84776" w:rsidRDefault="00C65940">
      <w:pPr>
        <w:pStyle w:val="ListParagraph"/>
        <w:numPr>
          <w:ilvl w:val="0"/>
          <w:numId w:val="3"/>
        </w:numPr>
        <w:tabs>
          <w:tab w:val="left" w:pos="520"/>
        </w:tabs>
        <w:spacing w:before="2" w:line="360" w:lineRule="auto"/>
        <w:ind w:right="97" w:firstLine="0"/>
        <w:rPr>
          <w:sz w:val="24"/>
        </w:rPr>
      </w:pPr>
      <w:proofErr w:type="spellStart"/>
      <w:r>
        <w:rPr>
          <w:sz w:val="24"/>
        </w:rPr>
        <w:t>Obidi</w:t>
      </w:r>
      <w:proofErr w:type="spellEnd"/>
      <w:r>
        <w:rPr>
          <w:sz w:val="24"/>
        </w:rPr>
        <w:t xml:space="preserve">, N.O. and </w:t>
      </w:r>
      <w:proofErr w:type="spellStart"/>
      <w:r>
        <w:rPr>
          <w:sz w:val="24"/>
        </w:rPr>
        <w:t>Ekpunobi</w:t>
      </w:r>
      <w:proofErr w:type="spellEnd"/>
      <w:r>
        <w:rPr>
          <w:sz w:val="24"/>
        </w:rPr>
        <w:t xml:space="preserve">, N. F. (2025). A narrative review exploring phage therapy as a sustainable alternative solution to combat antimicrobial resistance in Africa: Applications, challenges, and future directions. </w:t>
      </w:r>
      <w:r>
        <w:rPr>
          <w:i/>
          <w:sz w:val="24"/>
        </w:rPr>
        <w:t xml:space="preserve">Afr. J. Clin. </w:t>
      </w:r>
      <w:proofErr w:type="spellStart"/>
      <w:r>
        <w:rPr>
          <w:i/>
          <w:sz w:val="24"/>
        </w:rPr>
        <w:t>Exper</w:t>
      </w:r>
      <w:proofErr w:type="spellEnd"/>
      <w:r>
        <w:rPr>
          <w:i/>
          <w:sz w:val="24"/>
        </w:rPr>
        <w:t xml:space="preserve">. Microbiol. </w:t>
      </w:r>
      <w:r>
        <w:rPr>
          <w:sz w:val="24"/>
        </w:rPr>
        <w:t xml:space="preserve">26 (2): </w:t>
      </w:r>
      <w:r>
        <w:rPr>
          <w:sz w:val="24"/>
        </w:rPr>
        <w:t>106-113</w:t>
      </w:r>
    </w:p>
    <w:p w:rsidR="00B84776" w:rsidRDefault="00C65940">
      <w:pPr>
        <w:pStyle w:val="ListParagraph"/>
        <w:numPr>
          <w:ilvl w:val="0"/>
          <w:numId w:val="3"/>
        </w:numPr>
        <w:tabs>
          <w:tab w:val="left" w:pos="460"/>
        </w:tabs>
        <w:spacing w:line="360" w:lineRule="auto"/>
        <w:ind w:right="99" w:firstLine="0"/>
        <w:rPr>
          <w:sz w:val="24"/>
        </w:rPr>
      </w:pPr>
      <w:proofErr w:type="spellStart"/>
      <w:r>
        <w:rPr>
          <w:sz w:val="24"/>
        </w:rPr>
        <w:t>Ekpunobi</w:t>
      </w:r>
      <w:proofErr w:type="spellEnd"/>
      <w:r>
        <w:rPr>
          <w:sz w:val="24"/>
        </w:rPr>
        <w:t xml:space="preserve">, N. F. and </w:t>
      </w:r>
      <w:proofErr w:type="spellStart"/>
      <w:r>
        <w:rPr>
          <w:sz w:val="24"/>
        </w:rPr>
        <w:t>Agu</w:t>
      </w:r>
      <w:proofErr w:type="spellEnd"/>
      <w:r>
        <w:rPr>
          <w:sz w:val="24"/>
        </w:rPr>
        <w:t xml:space="preserve">, K.C. (2024). Emergence and Re-Emergence of Arboviruses: When Old Enemies Rise Again. </w:t>
      </w:r>
      <w:r>
        <w:rPr>
          <w:i/>
          <w:sz w:val="24"/>
        </w:rPr>
        <w:t>Cohesive J Microbiol Infect Dis</w:t>
      </w:r>
      <w:r>
        <w:rPr>
          <w:sz w:val="24"/>
        </w:rPr>
        <w:t xml:space="preserve">. 7(2). CJMI. 000658. </w:t>
      </w:r>
      <w:r>
        <w:rPr>
          <w:color w:val="0000FF"/>
          <w:sz w:val="24"/>
        </w:rPr>
        <w:t>https://doi.org/10.31031/CJMI.2024.07.000658</w:t>
      </w:r>
    </w:p>
    <w:p w:rsidR="00B84776" w:rsidRDefault="00C65940">
      <w:pPr>
        <w:pStyle w:val="ListParagraph"/>
        <w:numPr>
          <w:ilvl w:val="0"/>
          <w:numId w:val="3"/>
        </w:numPr>
        <w:tabs>
          <w:tab w:val="left" w:pos="460"/>
        </w:tabs>
        <w:spacing w:line="275" w:lineRule="exact"/>
        <w:ind w:left="460" w:hanging="360"/>
        <w:rPr>
          <w:sz w:val="24"/>
        </w:rPr>
      </w:pPr>
      <w:proofErr w:type="spellStart"/>
      <w:r>
        <w:rPr>
          <w:color w:val="202020"/>
          <w:sz w:val="24"/>
        </w:rPr>
        <w:t>Chakupurakal</w:t>
      </w:r>
      <w:proofErr w:type="spellEnd"/>
      <w:r>
        <w:rPr>
          <w:color w:val="202020"/>
          <w:sz w:val="24"/>
        </w:rPr>
        <w:t>,</w:t>
      </w:r>
      <w:r>
        <w:rPr>
          <w:color w:val="202020"/>
          <w:spacing w:val="16"/>
          <w:sz w:val="24"/>
        </w:rPr>
        <w:t xml:space="preserve"> </w:t>
      </w:r>
      <w:r>
        <w:rPr>
          <w:color w:val="202020"/>
          <w:sz w:val="24"/>
        </w:rPr>
        <w:t>R.,</w:t>
      </w:r>
      <w:r>
        <w:rPr>
          <w:color w:val="202020"/>
          <w:spacing w:val="18"/>
          <w:sz w:val="24"/>
        </w:rPr>
        <w:t xml:space="preserve"> </w:t>
      </w:r>
      <w:r>
        <w:rPr>
          <w:color w:val="202020"/>
          <w:sz w:val="24"/>
        </w:rPr>
        <w:t>Ahmed,</w:t>
      </w:r>
      <w:r>
        <w:rPr>
          <w:color w:val="202020"/>
          <w:spacing w:val="20"/>
          <w:sz w:val="24"/>
        </w:rPr>
        <w:t xml:space="preserve"> </w:t>
      </w:r>
      <w:r>
        <w:rPr>
          <w:color w:val="202020"/>
          <w:sz w:val="24"/>
        </w:rPr>
        <w:t>M.,</w:t>
      </w:r>
      <w:r>
        <w:rPr>
          <w:color w:val="202020"/>
          <w:spacing w:val="18"/>
          <w:sz w:val="24"/>
        </w:rPr>
        <w:t xml:space="preserve"> </w:t>
      </w:r>
      <w:proofErr w:type="spellStart"/>
      <w:r>
        <w:rPr>
          <w:color w:val="202020"/>
          <w:sz w:val="24"/>
        </w:rPr>
        <w:t>Sobithadevi</w:t>
      </w:r>
      <w:proofErr w:type="spellEnd"/>
      <w:r>
        <w:rPr>
          <w:color w:val="202020"/>
          <w:sz w:val="24"/>
        </w:rPr>
        <w:t>,</w:t>
      </w:r>
      <w:r>
        <w:rPr>
          <w:color w:val="202020"/>
          <w:spacing w:val="18"/>
          <w:sz w:val="24"/>
        </w:rPr>
        <w:t xml:space="preserve"> </w:t>
      </w:r>
      <w:r>
        <w:rPr>
          <w:color w:val="202020"/>
          <w:sz w:val="24"/>
        </w:rPr>
        <w:t>D.</w:t>
      </w:r>
      <w:r>
        <w:rPr>
          <w:color w:val="202020"/>
          <w:spacing w:val="20"/>
          <w:sz w:val="24"/>
        </w:rPr>
        <w:t xml:space="preserve"> </w:t>
      </w:r>
      <w:r>
        <w:rPr>
          <w:color w:val="202020"/>
          <w:sz w:val="24"/>
        </w:rPr>
        <w:t>N.,</w:t>
      </w:r>
      <w:r>
        <w:rPr>
          <w:color w:val="202020"/>
          <w:spacing w:val="18"/>
          <w:sz w:val="24"/>
        </w:rPr>
        <w:t xml:space="preserve"> </w:t>
      </w:r>
      <w:proofErr w:type="spellStart"/>
      <w:r>
        <w:rPr>
          <w:color w:val="202020"/>
          <w:sz w:val="24"/>
        </w:rPr>
        <w:t>Chinnappan</w:t>
      </w:r>
      <w:proofErr w:type="spellEnd"/>
      <w:r>
        <w:rPr>
          <w:color w:val="202020"/>
          <w:sz w:val="24"/>
        </w:rPr>
        <w:t>,</w:t>
      </w:r>
      <w:r>
        <w:rPr>
          <w:color w:val="202020"/>
          <w:spacing w:val="19"/>
          <w:sz w:val="24"/>
        </w:rPr>
        <w:t xml:space="preserve"> </w:t>
      </w:r>
      <w:r>
        <w:rPr>
          <w:color w:val="202020"/>
          <w:sz w:val="24"/>
        </w:rPr>
        <w:t>S.,</w:t>
      </w:r>
      <w:r>
        <w:rPr>
          <w:color w:val="202020"/>
          <w:spacing w:val="19"/>
          <w:sz w:val="24"/>
        </w:rPr>
        <w:t xml:space="preserve"> </w:t>
      </w:r>
      <w:r>
        <w:rPr>
          <w:color w:val="202020"/>
          <w:sz w:val="24"/>
        </w:rPr>
        <w:t>&amp;</w:t>
      </w:r>
      <w:r>
        <w:rPr>
          <w:color w:val="202020"/>
          <w:spacing w:val="18"/>
          <w:sz w:val="24"/>
        </w:rPr>
        <w:t xml:space="preserve"> </w:t>
      </w:r>
      <w:r>
        <w:rPr>
          <w:color w:val="202020"/>
          <w:spacing w:val="-2"/>
          <w:sz w:val="24"/>
        </w:rPr>
        <w:t>Reynolds,</w:t>
      </w:r>
    </w:p>
    <w:p w:rsidR="00B84776" w:rsidRDefault="00C65940">
      <w:pPr>
        <w:spacing w:before="139" w:line="360" w:lineRule="auto"/>
        <w:ind w:left="100" w:right="98"/>
        <w:jc w:val="both"/>
        <w:rPr>
          <w:sz w:val="24"/>
        </w:rPr>
      </w:pPr>
      <w:r>
        <w:rPr>
          <w:color w:val="202020"/>
          <w:sz w:val="24"/>
        </w:rPr>
        <w:t xml:space="preserve">T. (2010). Urinary tract pathogens and resistance pattern. </w:t>
      </w:r>
      <w:r>
        <w:rPr>
          <w:i/>
          <w:color w:val="202020"/>
          <w:sz w:val="24"/>
        </w:rPr>
        <w:t>Journal of clinical pathology</w:t>
      </w:r>
      <w:r>
        <w:rPr>
          <w:color w:val="202020"/>
          <w:sz w:val="24"/>
        </w:rPr>
        <w:t xml:space="preserve">, </w:t>
      </w:r>
      <w:r>
        <w:rPr>
          <w:i/>
          <w:color w:val="202020"/>
          <w:sz w:val="24"/>
        </w:rPr>
        <w:t>63</w:t>
      </w:r>
      <w:r>
        <w:rPr>
          <w:color w:val="202020"/>
          <w:sz w:val="24"/>
        </w:rPr>
        <w:t xml:space="preserve">(7), 652–654. </w:t>
      </w:r>
      <w:hyperlink r:id="rId25">
        <w:r>
          <w:rPr>
            <w:color w:val="0000FF"/>
            <w:sz w:val="24"/>
            <w:u w:val="single" w:color="0000FF"/>
          </w:rPr>
          <w:t>https://doi.org/10.1136/jcp.2009.074617</w:t>
        </w:r>
      </w:hyperlink>
    </w:p>
    <w:p w:rsidR="00B84776" w:rsidRDefault="00C65940">
      <w:pPr>
        <w:pStyle w:val="ListParagraph"/>
        <w:numPr>
          <w:ilvl w:val="0"/>
          <w:numId w:val="3"/>
        </w:numPr>
        <w:tabs>
          <w:tab w:val="left" w:pos="460"/>
        </w:tabs>
        <w:spacing w:line="360" w:lineRule="auto"/>
        <w:ind w:right="97" w:firstLine="0"/>
        <w:rPr>
          <w:sz w:val="24"/>
        </w:rPr>
      </w:pPr>
      <w:r>
        <w:rPr>
          <w:color w:val="222222"/>
          <w:sz w:val="24"/>
        </w:rPr>
        <w:t xml:space="preserve">Murray, T.S. </w:t>
      </w:r>
      <w:r>
        <w:rPr>
          <w:color w:val="222222"/>
          <w:sz w:val="24"/>
        </w:rPr>
        <w:t xml:space="preserve">and </w:t>
      </w:r>
      <w:proofErr w:type="spellStart"/>
      <w:r>
        <w:rPr>
          <w:color w:val="222222"/>
          <w:sz w:val="24"/>
        </w:rPr>
        <w:t>Peaper</w:t>
      </w:r>
      <w:proofErr w:type="spellEnd"/>
      <w:r>
        <w:rPr>
          <w:color w:val="222222"/>
          <w:sz w:val="24"/>
        </w:rPr>
        <w:t>, D.R. (2015) The Contribution of Extended-Spectrum β- Lactamases to Multidrug-Resistant Infections in Children. Current Opinion in Pediatrics, 27, 124-131.</w:t>
      </w:r>
    </w:p>
    <w:p w:rsidR="00B84776" w:rsidRDefault="00C65940">
      <w:pPr>
        <w:pStyle w:val="BodyText"/>
        <w:spacing w:line="275" w:lineRule="exact"/>
        <w:jc w:val="left"/>
      </w:pPr>
      <w:hyperlink r:id="rId26">
        <w:r>
          <w:rPr>
            <w:color w:val="0000FF"/>
            <w:spacing w:val="-2"/>
            <w:u w:val="single" w:color="0000FF"/>
          </w:rPr>
          <w:t>https://doi.org/10.1097/MOP.</w:t>
        </w:r>
        <w:r>
          <w:rPr>
            <w:color w:val="0000FF"/>
            <w:spacing w:val="-2"/>
            <w:u w:val="single" w:color="0000FF"/>
          </w:rPr>
          <w:t>0000000000000182</w:t>
        </w:r>
      </w:hyperlink>
    </w:p>
    <w:p w:rsidR="00B84776" w:rsidRDefault="00C65940">
      <w:pPr>
        <w:pStyle w:val="ListParagraph"/>
        <w:numPr>
          <w:ilvl w:val="0"/>
          <w:numId w:val="3"/>
        </w:numPr>
        <w:tabs>
          <w:tab w:val="left" w:pos="460"/>
        </w:tabs>
        <w:spacing w:before="139" w:line="360" w:lineRule="auto"/>
        <w:ind w:right="98" w:firstLine="0"/>
        <w:rPr>
          <w:sz w:val="24"/>
        </w:rPr>
      </w:pPr>
      <w:proofErr w:type="spellStart"/>
      <w:r>
        <w:rPr>
          <w:color w:val="1B1B1B"/>
          <w:sz w:val="24"/>
        </w:rPr>
        <w:t>Lukac</w:t>
      </w:r>
      <w:proofErr w:type="spellEnd"/>
      <w:r>
        <w:rPr>
          <w:color w:val="1B1B1B"/>
          <w:sz w:val="24"/>
        </w:rPr>
        <w:t>,</w:t>
      </w:r>
      <w:r>
        <w:rPr>
          <w:color w:val="1B1B1B"/>
          <w:spacing w:val="40"/>
          <w:sz w:val="24"/>
        </w:rPr>
        <w:t xml:space="preserve"> </w:t>
      </w:r>
      <w:r>
        <w:rPr>
          <w:color w:val="1B1B1B"/>
          <w:sz w:val="24"/>
        </w:rPr>
        <w:t>P.</w:t>
      </w:r>
      <w:r>
        <w:rPr>
          <w:color w:val="1B1B1B"/>
          <w:spacing w:val="40"/>
          <w:sz w:val="24"/>
        </w:rPr>
        <w:t xml:space="preserve"> </w:t>
      </w:r>
      <w:r>
        <w:rPr>
          <w:color w:val="1B1B1B"/>
          <w:sz w:val="24"/>
        </w:rPr>
        <w:t>J.,</w:t>
      </w:r>
      <w:r>
        <w:rPr>
          <w:color w:val="1B1B1B"/>
          <w:spacing w:val="40"/>
          <w:sz w:val="24"/>
        </w:rPr>
        <w:t xml:space="preserve"> </w:t>
      </w:r>
      <w:proofErr w:type="spellStart"/>
      <w:r>
        <w:rPr>
          <w:color w:val="1B1B1B"/>
          <w:sz w:val="24"/>
        </w:rPr>
        <w:t>Bonomo</w:t>
      </w:r>
      <w:proofErr w:type="spellEnd"/>
      <w:r>
        <w:rPr>
          <w:color w:val="1B1B1B"/>
          <w:sz w:val="24"/>
        </w:rPr>
        <w:t>,</w:t>
      </w:r>
      <w:r>
        <w:rPr>
          <w:color w:val="1B1B1B"/>
          <w:spacing w:val="40"/>
          <w:sz w:val="24"/>
        </w:rPr>
        <w:t xml:space="preserve"> </w:t>
      </w:r>
      <w:r>
        <w:rPr>
          <w:color w:val="1B1B1B"/>
          <w:sz w:val="24"/>
        </w:rPr>
        <w:t>R.</w:t>
      </w:r>
      <w:r>
        <w:rPr>
          <w:color w:val="1B1B1B"/>
          <w:spacing w:val="40"/>
          <w:sz w:val="24"/>
        </w:rPr>
        <w:t xml:space="preserve"> </w:t>
      </w:r>
      <w:r>
        <w:rPr>
          <w:color w:val="1B1B1B"/>
          <w:sz w:val="24"/>
        </w:rPr>
        <w:t>A.,</w:t>
      </w:r>
      <w:r>
        <w:rPr>
          <w:color w:val="1B1B1B"/>
          <w:spacing w:val="40"/>
          <w:sz w:val="24"/>
        </w:rPr>
        <w:t xml:space="preserve"> </w:t>
      </w:r>
      <w:r>
        <w:rPr>
          <w:color w:val="1B1B1B"/>
          <w:sz w:val="24"/>
        </w:rPr>
        <w:t>&amp;</w:t>
      </w:r>
      <w:r>
        <w:rPr>
          <w:color w:val="1B1B1B"/>
          <w:spacing w:val="40"/>
          <w:sz w:val="24"/>
        </w:rPr>
        <w:t xml:space="preserve"> </w:t>
      </w:r>
      <w:r>
        <w:rPr>
          <w:color w:val="1B1B1B"/>
          <w:sz w:val="24"/>
        </w:rPr>
        <w:t>Logan,</w:t>
      </w:r>
      <w:r>
        <w:rPr>
          <w:color w:val="1B1B1B"/>
          <w:spacing w:val="40"/>
          <w:sz w:val="24"/>
        </w:rPr>
        <w:t xml:space="preserve"> </w:t>
      </w:r>
      <w:r>
        <w:rPr>
          <w:color w:val="1B1B1B"/>
          <w:sz w:val="24"/>
        </w:rPr>
        <w:t>L.</w:t>
      </w:r>
      <w:r>
        <w:rPr>
          <w:color w:val="1B1B1B"/>
          <w:spacing w:val="40"/>
          <w:sz w:val="24"/>
        </w:rPr>
        <w:t xml:space="preserve"> </w:t>
      </w:r>
      <w:r>
        <w:rPr>
          <w:color w:val="1B1B1B"/>
          <w:sz w:val="24"/>
        </w:rPr>
        <w:t>K.</w:t>
      </w:r>
      <w:r>
        <w:rPr>
          <w:color w:val="1B1B1B"/>
          <w:spacing w:val="40"/>
          <w:sz w:val="24"/>
        </w:rPr>
        <w:t xml:space="preserve"> </w:t>
      </w:r>
      <w:r>
        <w:rPr>
          <w:color w:val="1B1B1B"/>
          <w:sz w:val="24"/>
        </w:rPr>
        <w:t>(2015).</w:t>
      </w:r>
      <w:r>
        <w:rPr>
          <w:color w:val="1B1B1B"/>
          <w:spacing w:val="40"/>
          <w:sz w:val="24"/>
        </w:rPr>
        <w:t xml:space="preserve"> </w:t>
      </w:r>
      <w:r>
        <w:rPr>
          <w:color w:val="1B1B1B"/>
          <w:sz w:val="24"/>
        </w:rPr>
        <w:t>Extended-spectrum</w:t>
      </w:r>
      <w:r>
        <w:rPr>
          <w:color w:val="1B1B1B"/>
          <w:spacing w:val="40"/>
          <w:sz w:val="24"/>
        </w:rPr>
        <w:t xml:space="preserve"> </w:t>
      </w:r>
      <w:r>
        <w:rPr>
          <w:color w:val="1B1B1B"/>
          <w:sz w:val="24"/>
        </w:rPr>
        <w:t>β- lactamase-producing</w:t>
      </w:r>
      <w:r>
        <w:rPr>
          <w:color w:val="1B1B1B"/>
          <w:spacing w:val="-5"/>
          <w:sz w:val="24"/>
        </w:rPr>
        <w:t xml:space="preserve"> </w:t>
      </w:r>
      <w:r>
        <w:rPr>
          <w:color w:val="1B1B1B"/>
          <w:sz w:val="24"/>
        </w:rPr>
        <w:t>Enterobacteriaceae</w:t>
      </w:r>
      <w:r>
        <w:rPr>
          <w:color w:val="1B1B1B"/>
          <w:spacing w:val="-4"/>
          <w:sz w:val="24"/>
        </w:rPr>
        <w:t xml:space="preserve"> </w:t>
      </w:r>
      <w:r>
        <w:rPr>
          <w:color w:val="1B1B1B"/>
          <w:sz w:val="24"/>
        </w:rPr>
        <w:t>in</w:t>
      </w:r>
      <w:r>
        <w:rPr>
          <w:color w:val="1B1B1B"/>
          <w:spacing w:val="-5"/>
          <w:sz w:val="24"/>
        </w:rPr>
        <w:t xml:space="preserve"> </w:t>
      </w:r>
      <w:r>
        <w:rPr>
          <w:color w:val="1B1B1B"/>
          <w:sz w:val="24"/>
        </w:rPr>
        <w:t>children:</w:t>
      </w:r>
      <w:r>
        <w:rPr>
          <w:color w:val="1B1B1B"/>
          <w:spacing w:val="-5"/>
          <w:sz w:val="24"/>
        </w:rPr>
        <w:t xml:space="preserve"> </w:t>
      </w:r>
      <w:r>
        <w:rPr>
          <w:color w:val="1B1B1B"/>
          <w:sz w:val="24"/>
        </w:rPr>
        <w:t>old</w:t>
      </w:r>
      <w:r>
        <w:rPr>
          <w:color w:val="1B1B1B"/>
          <w:spacing w:val="-5"/>
          <w:sz w:val="24"/>
        </w:rPr>
        <w:t xml:space="preserve"> </w:t>
      </w:r>
      <w:r>
        <w:rPr>
          <w:color w:val="1B1B1B"/>
          <w:sz w:val="24"/>
        </w:rPr>
        <w:t>foe,</w:t>
      </w:r>
      <w:r>
        <w:rPr>
          <w:color w:val="1B1B1B"/>
          <w:spacing w:val="-3"/>
          <w:sz w:val="24"/>
        </w:rPr>
        <w:t xml:space="preserve"> </w:t>
      </w:r>
      <w:r>
        <w:rPr>
          <w:color w:val="1B1B1B"/>
          <w:sz w:val="24"/>
        </w:rPr>
        <w:t>emerging</w:t>
      </w:r>
      <w:r>
        <w:rPr>
          <w:color w:val="1B1B1B"/>
          <w:spacing w:val="-3"/>
          <w:sz w:val="24"/>
        </w:rPr>
        <w:t xml:space="preserve"> </w:t>
      </w:r>
      <w:r>
        <w:rPr>
          <w:color w:val="1B1B1B"/>
          <w:sz w:val="24"/>
        </w:rPr>
        <w:t>threat.</w:t>
      </w:r>
      <w:r>
        <w:rPr>
          <w:color w:val="1B1B1B"/>
          <w:spacing w:val="-5"/>
          <w:sz w:val="24"/>
        </w:rPr>
        <w:t xml:space="preserve"> </w:t>
      </w:r>
      <w:r>
        <w:rPr>
          <w:i/>
          <w:color w:val="1B1B1B"/>
          <w:sz w:val="24"/>
        </w:rPr>
        <w:t>Clinical</w:t>
      </w:r>
    </w:p>
    <w:p w:rsidR="00B84776" w:rsidRDefault="00B84776">
      <w:pPr>
        <w:pStyle w:val="ListParagraph"/>
        <w:spacing w:line="360" w:lineRule="auto"/>
        <w:jc w:val="left"/>
        <w:rPr>
          <w:sz w:val="24"/>
        </w:rPr>
        <w:sectPr w:rsidR="00B84776">
          <w:pgSz w:w="11910" w:h="16840"/>
          <w:pgMar w:top="1360" w:right="1700" w:bottom="280" w:left="1700" w:header="720" w:footer="720" w:gutter="0"/>
          <w:cols w:space="720"/>
        </w:sectPr>
      </w:pPr>
    </w:p>
    <w:p w:rsidR="00B84776" w:rsidRDefault="00C65940">
      <w:pPr>
        <w:spacing w:before="62" w:line="360" w:lineRule="auto"/>
        <w:ind w:left="100" w:right="98"/>
        <w:jc w:val="both"/>
        <w:rPr>
          <w:sz w:val="24"/>
        </w:rPr>
      </w:pPr>
      <w:r>
        <w:rPr>
          <w:i/>
          <w:color w:val="1B1B1B"/>
          <w:sz w:val="24"/>
        </w:rPr>
        <w:lastRenderedPageBreak/>
        <w:t xml:space="preserve">infectious </w:t>
      </w:r>
      <w:proofErr w:type="gramStart"/>
      <w:r>
        <w:rPr>
          <w:i/>
          <w:color w:val="1B1B1B"/>
          <w:sz w:val="24"/>
        </w:rPr>
        <w:t>diseases :</w:t>
      </w:r>
      <w:proofErr w:type="gramEnd"/>
      <w:r>
        <w:rPr>
          <w:i/>
          <w:color w:val="1B1B1B"/>
          <w:sz w:val="24"/>
        </w:rPr>
        <w:t xml:space="preserve"> an official publication of the </w:t>
      </w:r>
      <w:r>
        <w:rPr>
          <w:i/>
          <w:color w:val="1B1B1B"/>
          <w:sz w:val="24"/>
        </w:rPr>
        <w:t>Infectious Diseases Society of America</w:t>
      </w:r>
      <w:r>
        <w:rPr>
          <w:color w:val="1B1B1B"/>
          <w:sz w:val="24"/>
        </w:rPr>
        <w:t xml:space="preserve">, </w:t>
      </w:r>
      <w:r>
        <w:rPr>
          <w:i/>
          <w:color w:val="1B1B1B"/>
          <w:sz w:val="24"/>
        </w:rPr>
        <w:t>60</w:t>
      </w:r>
      <w:r>
        <w:rPr>
          <w:color w:val="1B1B1B"/>
          <w:sz w:val="24"/>
        </w:rPr>
        <w:t xml:space="preserve">(9), 1389–1397. </w:t>
      </w:r>
      <w:hyperlink r:id="rId27">
        <w:r>
          <w:rPr>
            <w:color w:val="0000FF"/>
            <w:sz w:val="24"/>
            <w:u w:val="single" w:color="0000FF"/>
          </w:rPr>
          <w:t>https://doi.org/10.1093/cid/civ020</w:t>
        </w:r>
      </w:hyperlink>
    </w:p>
    <w:p w:rsidR="00B84776" w:rsidRDefault="00C65940">
      <w:pPr>
        <w:pStyle w:val="ListParagraph"/>
        <w:numPr>
          <w:ilvl w:val="0"/>
          <w:numId w:val="3"/>
        </w:numPr>
        <w:tabs>
          <w:tab w:val="left" w:pos="460"/>
        </w:tabs>
        <w:spacing w:line="360" w:lineRule="auto"/>
        <w:ind w:right="96" w:firstLine="0"/>
        <w:rPr>
          <w:sz w:val="24"/>
        </w:rPr>
      </w:pPr>
      <w:proofErr w:type="spellStart"/>
      <w:r>
        <w:rPr>
          <w:color w:val="202020"/>
          <w:sz w:val="24"/>
        </w:rPr>
        <w:t>Edlin</w:t>
      </w:r>
      <w:proofErr w:type="spellEnd"/>
      <w:r>
        <w:rPr>
          <w:color w:val="202020"/>
          <w:sz w:val="24"/>
        </w:rPr>
        <w:t xml:space="preserve">, R. S., Shapiro, D. J., Hersh, A. L., &amp; </w:t>
      </w:r>
      <w:proofErr w:type="spellStart"/>
      <w:r>
        <w:rPr>
          <w:color w:val="202020"/>
          <w:sz w:val="24"/>
        </w:rPr>
        <w:t>Copp</w:t>
      </w:r>
      <w:proofErr w:type="spellEnd"/>
      <w:r>
        <w:rPr>
          <w:color w:val="202020"/>
          <w:sz w:val="24"/>
        </w:rPr>
        <w:t xml:space="preserve">, H. L. (2013). Antibiotic resistance patterns of outpatient pediatric urinary tract infections. </w:t>
      </w:r>
      <w:r>
        <w:rPr>
          <w:i/>
          <w:color w:val="202020"/>
          <w:sz w:val="24"/>
        </w:rPr>
        <w:t>The Journal of urology</w:t>
      </w:r>
      <w:r>
        <w:rPr>
          <w:color w:val="202020"/>
          <w:sz w:val="24"/>
        </w:rPr>
        <w:t xml:space="preserve">, </w:t>
      </w:r>
      <w:r>
        <w:rPr>
          <w:i/>
          <w:color w:val="202020"/>
          <w:sz w:val="24"/>
        </w:rPr>
        <w:t>190</w:t>
      </w:r>
      <w:r>
        <w:rPr>
          <w:color w:val="202020"/>
          <w:sz w:val="24"/>
        </w:rPr>
        <w:t xml:space="preserve">(1), 222–227. </w:t>
      </w:r>
      <w:hyperlink r:id="rId28">
        <w:r>
          <w:rPr>
            <w:color w:val="0000FF"/>
            <w:sz w:val="24"/>
            <w:u w:val="single" w:color="0000FF"/>
          </w:rPr>
          <w:t>https://d</w:t>
        </w:r>
        <w:r>
          <w:rPr>
            <w:color w:val="0000FF"/>
            <w:sz w:val="24"/>
            <w:u w:val="single" w:color="0000FF"/>
          </w:rPr>
          <w:t>oi.org/10.1016/j.juro.2013.01.069</w:t>
        </w:r>
      </w:hyperlink>
    </w:p>
    <w:p w:rsidR="00B84776" w:rsidRDefault="00C65940">
      <w:pPr>
        <w:pStyle w:val="ListParagraph"/>
        <w:numPr>
          <w:ilvl w:val="0"/>
          <w:numId w:val="3"/>
        </w:numPr>
        <w:tabs>
          <w:tab w:val="left" w:pos="460"/>
        </w:tabs>
        <w:spacing w:line="360" w:lineRule="auto"/>
        <w:ind w:right="97" w:firstLine="0"/>
        <w:rPr>
          <w:sz w:val="24"/>
        </w:rPr>
      </w:pPr>
      <w:proofErr w:type="spellStart"/>
      <w:r>
        <w:rPr>
          <w:color w:val="202020"/>
          <w:sz w:val="24"/>
        </w:rPr>
        <w:t>Parajuli</w:t>
      </w:r>
      <w:proofErr w:type="spellEnd"/>
      <w:r>
        <w:rPr>
          <w:color w:val="202020"/>
          <w:sz w:val="24"/>
        </w:rPr>
        <w:t xml:space="preserve">, N. P., </w:t>
      </w:r>
      <w:proofErr w:type="spellStart"/>
      <w:r>
        <w:rPr>
          <w:color w:val="202020"/>
          <w:sz w:val="24"/>
        </w:rPr>
        <w:t>Maharjan</w:t>
      </w:r>
      <w:proofErr w:type="spellEnd"/>
      <w:r>
        <w:rPr>
          <w:color w:val="202020"/>
          <w:sz w:val="24"/>
        </w:rPr>
        <w:t xml:space="preserve">, P., </w:t>
      </w:r>
      <w:proofErr w:type="spellStart"/>
      <w:r>
        <w:rPr>
          <w:color w:val="202020"/>
          <w:sz w:val="24"/>
        </w:rPr>
        <w:t>Parajuli</w:t>
      </w:r>
      <w:proofErr w:type="spellEnd"/>
      <w:r>
        <w:rPr>
          <w:color w:val="202020"/>
          <w:sz w:val="24"/>
        </w:rPr>
        <w:t xml:space="preserve">, H., Joshi, G., </w:t>
      </w:r>
      <w:proofErr w:type="spellStart"/>
      <w:r>
        <w:rPr>
          <w:color w:val="202020"/>
          <w:sz w:val="24"/>
        </w:rPr>
        <w:t>Paudel</w:t>
      </w:r>
      <w:proofErr w:type="spellEnd"/>
      <w:r>
        <w:rPr>
          <w:color w:val="202020"/>
          <w:sz w:val="24"/>
        </w:rPr>
        <w:t xml:space="preserve">, D., </w:t>
      </w:r>
      <w:proofErr w:type="spellStart"/>
      <w:r>
        <w:rPr>
          <w:color w:val="202020"/>
          <w:sz w:val="24"/>
        </w:rPr>
        <w:t>Sayami</w:t>
      </w:r>
      <w:proofErr w:type="spellEnd"/>
      <w:r>
        <w:rPr>
          <w:color w:val="202020"/>
          <w:sz w:val="24"/>
        </w:rPr>
        <w:t xml:space="preserve">, S., &amp; </w:t>
      </w:r>
      <w:proofErr w:type="spellStart"/>
      <w:r>
        <w:rPr>
          <w:color w:val="202020"/>
          <w:sz w:val="24"/>
        </w:rPr>
        <w:t>Khanal</w:t>
      </w:r>
      <w:proofErr w:type="spellEnd"/>
      <w:r>
        <w:rPr>
          <w:color w:val="202020"/>
          <w:sz w:val="24"/>
        </w:rPr>
        <w:t>,</w:t>
      </w:r>
      <w:r>
        <w:rPr>
          <w:color w:val="202020"/>
          <w:spacing w:val="80"/>
          <w:w w:val="150"/>
          <w:sz w:val="24"/>
        </w:rPr>
        <w:t xml:space="preserve"> </w:t>
      </w:r>
      <w:r>
        <w:rPr>
          <w:color w:val="202020"/>
          <w:sz w:val="24"/>
        </w:rPr>
        <w:t>P.</w:t>
      </w:r>
      <w:r>
        <w:rPr>
          <w:color w:val="202020"/>
          <w:spacing w:val="80"/>
          <w:w w:val="150"/>
          <w:sz w:val="24"/>
        </w:rPr>
        <w:t xml:space="preserve"> </w:t>
      </w:r>
      <w:r>
        <w:rPr>
          <w:color w:val="202020"/>
          <w:sz w:val="24"/>
        </w:rPr>
        <w:t>R.</w:t>
      </w:r>
      <w:r>
        <w:rPr>
          <w:color w:val="202020"/>
          <w:spacing w:val="80"/>
          <w:w w:val="150"/>
          <w:sz w:val="24"/>
        </w:rPr>
        <w:t xml:space="preserve"> </w:t>
      </w:r>
      <w:r>
        <w:rPr>
          <w:color w:val="202020"/>
          <w:sz w:val="24"/>
        </w:rPr>
        <w:t>(2017).</w:t>
      </w:r>
      <w:r>
        <w:rPr>
          <w:color w:val="202020"/>
          <w:spacing w:val="80"/>
          <w:w w:val="150"/>
          <w:sz w:val="24"/>
        </w:rPr>
        <w:t xml:space="preserve"> </w:t>
      </w:r>
      <w:r>
        <w:rPr>
          <w:color w:val="202020"/>
          <w:sz w:val="24"/>
        </w:rPr>
        <w:t>High</w:t>
      </w:r>
      <w:r>
        <w:rPr>
          <w:color w:val="202020"/>
          <w:spacing w:val="80"/>
          <w:w w:val="150"/>
          <w:sz w:val="24"/>
        </w:rPr>
        <w:t xml:space="preserve"> </w:t>
      </w:r>
      <w:r>
        <w:rPr>
          <w:color w:val="202020"/>
          <w:sz w:val="24"/>
        </w:rPr>
        <w:t>rates</w:t>
      </w:r>
      <w:r>
        <w:rPr>
          <w:color w:val="202020"/>
          <w:spacing w:val="80"/>
          <w:w w:val="150"/>
          <w:sz w:val="24"/>
        </w:rPr>
        <w:t xml:space="preserve"> </w:t>
      </w:r>
      <w:r>
        <w:rPr>
          <w:color w:val="202020"/>
          <w:sz w:val="24"/>
        </w:rPr>
        <w:t>of</w:t>
      </w:r>
      <w:r>
        <w:rPr>
          <w:color w:val="202020"/>
          <w:spacing w:val="80"/>
          <w:w w:val="150"/>
          <w:sz w:val="24"/>
        </w:rPr>
        <w:t xml:space="preserve"> </w:t>
      </w:r>
      <w:r>
        <w:rPr>
          <w:color w:val="202020"/>
          <w:sz w:val="24"/>
        </w:rPr>
        <w:t>multidrug</w:t>
      </w:r>
      <w:r>
        <w:rPr>
          <w:color w:val="202020"/>
          <w:spacing w:val="80"/>
          <w:w w:val="150"/>
          <w:sz w:val="24"/>
        </w:rPr>
        <w:t xml:space="preserve"> </w:t>
      </w:r>
      <w:r>
        <w:rPr>
          <w:color w:val="202020"/>
          <w:sz w:val="24"/>
        </w:rPr>
        <w:t>resistance</w:t>
      </w:r>
      <w:r>
        <w:rPr>
          <w:color w:val="202020"/>
          <w:spacing w:val="80"/>
          <w:w w:val="150"/>
          <w:sz w:val="24"/>
        </w:rPr>
        <w:t xml:space="preserve"> </w:t>
      </w:r>
      <w:r>
        <w:rPr>
          <w:color w:val="202020"/>
          <w:sz w:val="24"/>
        </w:rPr>
        <w:t xml:space="preserve">among </w:t>
      </w:r>
      <w:proofErr w:type="spellStart"/>
      <w:r>
        <w:rPr>
          <w:color w:val="202020"/>
          <w:sz w:val="24"/>
        </w:rPr>
        <w:t>uropathogenic</w:t>
      </w:r>
      <w:proofErr w:type="spellEnd"/>
      <w:r>
        <w:rPr>
          <w:color w:val="202020"/>
          <w:sz w:val="24"/>
        </w:rPr>
        <w:t xml:space="preserve"> </w:t>
      </w:r>
      <w:r>
        <w:rPr>
          <w:i/>
          <w:color w:val="202020"/>
          <w:sz w:val="24"/>
        </w:rPr>
        <w:t xml:space="preserve">Escherichia coli </w:t>
      </w:r>
      <w:r>
        <w:rPr>
          <w:color w:val="202020"/>
          <w:sz w:val="24"/>
        </w:rPr>
        <w:t xml:space="preserve">in children and analyses of ESBL producers from Nepal. </w:t>
      </w:r>
      <w:r>
        <w:rPr>
          <w:i/>
          <w:color w:val="202020"/>
          <w:sz w:val="24"/>
        </w:rPr>
        <w:t>Antimicrobial resistance and infection control</w:t>
      </w:r>
      <w:r>
        <w:rPr>
          <w:color w:val="202020"/>
          <w:sz w:val="24"/>
        </w:rPr>
        <w:t xml:space="preserve">, </w:t>
      </w:r>
      <w:r>
        <w:rPr>
          <w:i/>
          <w:color w:val="202020"/>
          <w:sz w:val="24"/>
        </w:rPr>
        <w:t>6</w:t>
      </w:r>
      <w:r>
        <w:rPr>
          <w:color w:val="202020"/>
          <w:sz w:val="24"/>
        </w:rPr>
        <w:t xml:space="preserve">, 9. </w:t>
      </w:r>
      <w:hyperlink r:id="rId29">
        <w:r>
          <w:rPr>
            <w:color w:val="0000FF"/>
            <w:spacing w:val="-2"/>
            <w:sz w:val="24"/>
            <w:u w:val="single" w:color="0000FF"/>
          </w:rPr>
          <w:t>https://doi.org/10.1186/s13756-016-0168-6</w:t>
        </w:r>
      </w:hyperlink>
    </w:p>
    <w:p w:rsidR="00B84776" w:rsidRDefault="00C65940">
      <w:pPr>
        <w:pStyle w:val="ListParagraph"/>
        <w:numPr>
          <w:ilvl w:val="0"/>
          <w:numId w:val="3"/>
        </w:numPr>
        <w:tabs>
          <w:tab w:val="left" w:pos="460"/>
          <w:tab w:val="left" w:pos="1674"/>
          <w:tab w:val="left" w:pos="2727"/>
          <w:tab w:val="left" w:pos="4436"/>
          <w:tab w:val="left" w:pos="6056"/>
          <w:tab w:val="left" w:pos="7506"/>
        </w:tabs>
        <w:spacing w:line="360" w:lineRule="auto"/>
        <w:ind w:right="97" w:firstLine="0"/>
        <w:rPr>
          <w:sz w:val="24"/>
        </w:rPr>
      </w:pPr>
      <w:r>
        <w:rPr>
          <w:color w:val="202020"/>
          <w:sz w:val="24"/>
        </w:rPr>
        <w:t>Ferreira, I. C. D. S., Menezes, R. P., Jesus</w:t>
      </w:r>
      <w:r>
        <w:rPr>
          <w:color w:val="202020"/>
          <w:sz w:val="24"/>
        </w:rPr>
        <w:t xml:space="preserve">, T. A., Lopes, M. S. M., Araújo, L. B., Ferreira, D. M. L. M., &amp; </w:t>
      </w:r>
      <w:proofErr w:type="spellStart"/>
      <w:r>
        <w:rPr>
          <w:color w:val="202020"/>
          <w:sz w:val="24"/>
        </w:rPr>
        <w:t>Röder</w:t>
      </w:r>
      <w:proofErr w:type="spellEnd"/>
      <w:r>
        <w:rPr>
          <w:color w:val="202020"/>
          <w:sz w:val="24"/>
        </w:rPr>
        <w:t xml:space="preserve">, D. V. D. B. (2024). Unraveling the epidemiology of urinary tract infections in neonates: Perspective from a Brazilian NICU. </w:t>
      </w:r>
      <w:r>
        <w:rPr>
          <w:i/>
          <w:color w:val="202020"/>
          <w:sz w:val="24"/>
        </w:rPr>
        <w:t xml:space="preserve">American </w:t>
      </w:r>
      <w:r>
        <w:rPr>
          <w:i/>
          <w:color w:val="202020"/>
          <w:spacing w:val="-2"/>
          <w:sz w:val="24"/>
        </w:rPr>
        <w:t>journal</w:t>
      </w:r>
      <w:r>
        <w:rPr>
          <w:i/>
          <w:color w:val="202020"/>
          <w:sz w:val="24"/>
        </w:rPr>
        <w:tab/>
      </w:r>
      <w:r>
        <w:rPr>
          <w:i/>
          <w:color w:val="202020"/>
          <w:spacing w:val="-6"/>
          <w:sz w:val="24"/>
        </w:rPr>
        <w:t>of</w:t>
      </w:r>
      <w:r>
        <w:rPr>
          <w:i/>
          <w:color w:val="202020"/>
          <w:sz w:val="24"/>
        </w:rPr>
        <w:tab/>
      </w:r>
      <w:r>
        <w:rPr>
          <w:i/>
          <w:color w:val="202020"/>
          <w:spacing w:val="-2"/>
          <w:sz w:val="24"/>
        </w:rPr>
        <w:t>infection</w:t>
      </w:r>
      <w:r>
        <w:rPr>
          <w:i/>
          <w:color w:val="202020"/>
          <w:sz w:val="24"/>
        </w:rPr>
        <w:tab/>
      </w:r>
      <w:r>
        <w:rPr>
          <w:i/>
          <w:color w:val="202020"/>
          <w:spacing w:val="-2"/>
          <w:sz w:val="24"/>
        </w:rPr>
        <w:t>control</w:t>
      </w:r>
      <w:r>
        <w:rPr>
          <w:color w:val="202020"/>
          <w:spacing w:val="-2"/>
          <w:sz w:val="24"/>
        </w:rPr>
        <w:t>,</w:t>
      </w:r>
      <w:r>
        <w:rPr>
          <w:color w:val="202020"/>
          <w:sz w:val="24"/>
        </w:rPr>
        <w:tab/>
      </w:r>
      <w:r>
        <w:rPr>
          <w:i/>
          <w:color w:val="202020"/>
          <w:spacing w:val="-2"/>
          <w:sz w:val="24"/>
        </w:rPr>
        <w:t>52</w:t>
      </w:r>
      <w:r>
        <w:rPr>
          <w:color w:val="202020"/>
          <w:spacing w:val="-2"/>
          <w:sz w:val="24"/>
        </w:rPr>
        <w:t>(8),</w:t>
      </w:r>
      <w:r>
        <w:rPr>
          <w:color w:val="202020"/>
          <w:sz w:val="24"/>
        </w:rPr>
        <w:tab/>
      </w:r>
      <w:r>
        <w:rPr>
          <w:color w:val="202020"/>
          <w:spacing w:val="-2"/>
          <w:sz w:val="24"/>
        </w:rPr>
        <w:t xml:space="preserve">925–933. </w:t>
      </w:r>
      <w:hyperlink r:id="rId30">
        <w:r>
          <w:rPr>
            <w:color w:val="0000FF"/>
            <w:spacing w:val="-2"/>
            <w:sz w:val="24"/>
            <w:u w:val="single" w:color="0000FF"/>
          </w:rPr>
          <w:t>https://doi.org/10.1016/j.ajic.2024.03.009</w:t>
        </w:r>
      </w:hyperlink>
    </w:p>
    <w:p w:rsidR="00B84776" w:rsidRDefault="00C65940">
      <w:pPr>
        <w:pStyle w:val="ListParagraph"/>
        <w:numPr>
          <w:ilvl w:val="0"/>
          <w:numId w:val="3"/>
        </w:numPr>
        <w:tabs>
          <w:tab w:val="left" w:pos="460"/>
          <w:tab w:val="left" w:pos="2389"/>
          <w:tab w:val="left" w:pos="4647"/>
          <w:tab w:val="left" w:pos="6572"/>
        </w:tabs>
        <w:spacing w:line="360" w:lineRule="auto"/>
        <w:ind w:right="97" w:firstLine="0"/>
        <w:rPr>
          <w:sz w:val="24"/>
        </w:rPr>
      </w:pPr>
      <w:proofErr w:type="spellStart"/>
      <w:r>
        <w:rPr>
          <w:color w:val="202020"/>
          <w:sz w:val="24"/>
        </w:rPr>
        <w:t>Reuland</w:t>
      </w:r>
      <w:proofErr w:type="spellEnd"/>
      <w:r>
        <w:rPr>
          <w:color w:val="202020"/>
          <w:sz w:val="24"/>
        </w:rPr>
        <w:t xml:space="preserve">, E. A., Sonder, G. J., </w:t>
      </w:r>
      <w:proofErr w:type="spellStart"/>
      <w:r>
        <w:rPr>
          <w:color w:val="202020"/>
          <w:sz w:val="24"/>
        </w:rPr>
        <w:t>Stolte</w:t>
      </w:r>
      <w:proofErr w:type="spellEnd"/>
      <w:r>
        <w:rPr>
          <w:color w:val="202020"/>
          <w:sz w:val="24"/>
        </w:rPr>
        <w:t xml:space="preserve">, I., Al </w:t>
      </w:r>
      <w:proofErr w:type="spellStart"/>
      <w:r>
        <w:rPr>
          <w:color w:val="202020"/>
          <w:sz w:val="24"/>
        </w:rPr>
        <w:t>Naiemi</w:t>
      </w:r>
      <w:proofErr w:type="spellEnd"/>
      <w:r>
        <w:rPr>
          <w:color w:val="202020"/>
          <w:sz w:val="24"/>
        </w:rPr>
        <w:t xml:space="preserve">, N., </w:t>
      </w:r>
      <w:proofErr w:type="spellStart"/>
      <w:r>
        <w:rPr>
          <w:color w:val="202020"/>
          <w:sz w:val="24"/>
        </w:rPr>
        <w:t>Koek</w:t>
      </w:r>
      <w:proofErr w:type="spellEnd"/>
      <w:r>
        <w:rPr>
          <w:color w:val="202020"/>
          <w:sz w:val="24"/>
        </w:rPr>
        <w:t>, A., Linde, G. B.,</w:t>
      </w:r>
      <w:r>
        <w:rPr>
          <w:color w:val="202020"/>
          <w:spacing w:val="40"/>
          <w:sz w:val="24"/>
        </w:rPr>
        <w:t xml:space="preserve"> </w:t>
      </w:r>
      <w:r>
        <w:rPr>
          <w:color w:val="202020"/>
          <w:sz w:val="24"/>
        </w:rPr>
        <w:t xml:space="preserve">van de </w:t>
      </w:r>
      <w:proofErr w:type="spellStart"/>
      <w:r>
        <w:rPr>
          <w:color w:val="202020"/>
          <w:sz w:val="24"/>
        </w:rPr>
        <w:t>Laar</w:t>
      </w:r>
      <w:proofErr w:type="spellEnd"/>
      <w:r>
        <w:rPr>
          <w:color w:val="202020"/>
          <w:sz w:val="24"/>
        </w:rPr>
        <w:t xml:space="preserve">, T. J., </w:t>
      </w:r>
      <w:proofErr w:type="spellStart"/>
      <w:r>
        <w:rPr>
          <w:color w:val="202020"/>
          <w:sz w:val="24"/>
        </w:rPr>
        <w:t>Vandenbroucke-Grauls</w:t>
      </w:r>
      <w:proofErr w:type="spellEnd"/>
      <w:r>
        <w:rPr>
          <w:color w:val="202020"/>
          <w:sz w:val="24"/>
        </w:rPr>
        <w:t>, C. M., &amp; van Dam, A. P. (2016).</w:t>
      </w:r>
      <w:r>
        <w:rPr>
          <w:color w:val="202020"/>
          <w:sz w:val="24"/>
        </w:rPr>
        <w:t xml:space="preserve"> Travel to Asia</w:t>
      </w:r>
      <w:r>
        <w:rPr>
          <w:color w:val="202020"/>
          <w:spacing w:val="-3"/>
          <w:sz w:val="24"/>
        </w:rPr>
        <w:t xml:space="preserve"> </w:t>
      </w:r>
      <w:r>
        <w:rPr>
          <w:color w:val="202020"/>
          <w:sz w:val="24"/>
        </w:rPr>
        <w:t>and</w:t>
      </w:r>
      <w:r>
        <w:rPr>
          <w:color w:val="202020"/>
          <w:spacing w:val="-2"/>
          <w:sz w:val="24"/>
        </w:rPr>
        <w:t xml:space="preserve"> </w:t>
      </w:r>
      <w:proofErr w:type="spellStart"/>
      <w:r>
        <w:rPr>
          <w:color w:val="202020"/>
          <w:sz w:val="24"/>
        </w:rPr>
        <w:t>traveller's</w:t>
      </w:r>
      <w:proofErr w:type="spellEnd"/>
      <w:r>
        <w:rPr>
          <w:color w:val="202020"/>
          <w:sz w:val="24"/>
        </w:rPr>
        <w:t xml:space="preserve"> </w:t>
      </w:r>
      <w:proofErr w:type="spellStart"/>
      <w:r>
        <w:rPr>
          <w:color w:val="202020"/>
          <w:sz w:val="24"/>
        </w:rPr>
        <w:t>diarrhoea</w:t>
      </w:r>
      <w:proofErr w:type="spellEnd"/>
      <w:r>
        <w:rPr>
          <w:color w:val="202020"/>
          <w:spacing w:val="-1"/>
          <w:sz w:val="24"/>
        </w:rPr>
        <w:t xml:space="preserve"> </w:t>
      </w:r>
      <w:r>
        <w:rPr>
          <w:color w:val="202020"/>
          <w:sz w:val="24"/>
        </w:rPr>
        <w:t>with</w:t>
      </w:r>
      <w:r>
        <w:rPr>
          <w:color w:val="202020"/>
          <w:spacing w:val="-4"/>
          <w:sz w:val="24"/>
        </w:rPr>
        <w:t xml:space="preserve"> </w:t>
      </w:r>
      <w:r>
        <w:rPr>
          <w:color w:val="202020"/>
          <w:sz w:val="24"/>
        </w:rPr>
        <w:t>antibiotic</w:t>
      </w:r>
      <w:r>
        <w:rPr>
          <w:color w:val="202020"/>
          <w:spacing w:val="-3"/>
          <w:sz w:val="24"/>
        </w:rPr>
        <w:t xml:space="preserve"> </w:t>
      </w:r>
      <w:r>
        <w:rPr>
          <w:color w:val="202020"/>
          <w:sz w:val="24"/>
        </w:rPr>
        <w:t>treatment</w:t>
      </w:r>
      <w:r>
        <w:rPr>
          <w:color w:val="202020"/>
          <w:spacing w:val="-2"/>
          <w:sz w:val="24"/>
        </w:rPr>
        <w:t xml:space="preserve"> </w:t>
      </w:r>
      <w:r>
        <w:rPr>
          <w:color w:val="202020"/>
          <w:sz w:val="24"/>
        </w:rPr>
        <w:t>are</w:t>
      </w:r>
      <w:r>
        <w:rPr>
          <w:color w:val="202020"/>
          <w:spacing w:val="-1"/>
          <w:sz w:val="24"/>
        </w:rPr>
        <w:t xml:space="preserve"> </w:t>
      </w:r>
      <w:r>
        <w:rPr>
          <w:color w:val="202020"/>
          <w:sz w:val="24"/>
        </w:rPr>
        <w:t>independent</w:t>
      </w:r>
      <w:r>
        <w:rPr>
          <w:color w:val="202020"/>
          <w:spacing w:val="-2"/>
          <w:sz w:val="24"/>
        </w:rPr>
        <w:t xml:space="preserve"> </w:t>
      </w:r>
      <w:r>
        <w:rPr>
          <w:color w:val="202020"/>
          <w:sz w:val="24"/>
        </w:rPr>
        <w:t>risk</w:t>
      </w:r>
      <w:r>
        <w:rPr>
          <w:color w:val="202020"/>
          <w:spacing w:val="-2"/>
          <w:sz w:val="24"/>
        </w:rPr>
        <w:t xml:space="preserve"> </w:t>
      </w:r>
      <w:r>
        <w:rPr>
          <w:color w:val="202020"/>
          <w:sz w:val="24"/>
        </w:rPr>
        <w:t>factors</w:t>
      </w:r>
      <w:r>
        <w:rPr>
          <w:color w:val="202020"/>
          <w:spacing w:val="-2"/>
          <w:sz w:val="24"/>
        </w:rPr>
        <w:t xml:space="preserve"> </w:t>
      </w:r>
      <w:r>
        <w:rPr>
          <w:color w:val="202020"/>
          <w:sz w:val="24"/>
        </w:rPr>
        <w:t xml:space="preserve">for acquiring ciprofloxacin-resistant and extended spectrum β-lactamase-producing Enterobacteriaceae-a prospective cohort study. </w:t>
      </w:r>
      <w:r>
        <w:rPr>
          <w:i/>
          <w:color w:val="202020"/>
          <w:sz w:val="24"/>
        </w:rPr>
        <w:t xml:space="preserve">Clinical microbiology and </w:t>
      </w:r>
      <w:proofErr w:type="gramStart"/>
      <w:r>
        <w:rPr>
          <w:i/>
          <w:color w:val="202020"/>
          <w:sz w:val="24"/>
        </w:rPr>
        <w:t>infection :</w:t>
      </w:r>
      <w:proofErr w:type="gramEnd"/>
      <w:r>
        <w:rPr>
          <w:i/>
          <w:color w:val="202020"/>
          <w:sz w:val="24"/>
        </w:rPr>
        <w:t xml:space="preserve"> the official publication of the European Society of Clinical Microbiology and </w:t>
      </w:r>
      <w:r>
        <w:rPr>
          <w:i/>
          <w:color w:val="202020"/>
          <w:spacing w:val="-2"/>
          <w:sz w:val="24"/>
        </w:rPr>
        <w:t>Infectious</w:t>
      </w:r>
      <w:r>
        <w:rPr>
          <w:i/>
          <w:color w:val="202020"/>
          <w:sz w:val="24"/>
        </w:rPr>
        <w:tab/>
      </w:r>
      <w:r>
        <w:rPr>
          <w:i/>
          <w:color w:val="202020"/>
          <w:spacing w:val="-2"/>
          <w:sz w:val="24"/>
        </w:rPr>
        <w:t>Diseases</w:t>
      </w:r>
      <w:r>
        <w:rPr>
          <w:color w:val="202020"/>
          <w:spacing w:val="-2"/>
          <w:sz w:val="24"/>
        </w:rPr>
        <w:t>,</w:t>
      </w:r>
      <w:r>
        <w:rPr>
          <w:color w:val="202020"/>
          <w:sz w:val="24"/>
        </w:rPr>
        <w:tab/>
      </w:r>
      <w:r>
        <w:rPr>
          <w:i/>
          <w:color w:val="202020"/>
          <w:spacing w:val="-2"/>
          <w:sz w:val="24"/>
        </w:rPr>
        <w:t>22</w:t>
      </w:r>
      <w:r>
        <w:rPr>
          <w:color w:val="202020"/>
          <w:spacing w:val="-2"/>
          <w:sz w:val="24"/>
        </w:rPr>
        <w:t>(8),</w:t>
      </w:r>
      <w:r>
        <w:rPr>
          <w:color w:val="202020"/>
          <w:sz w:val="24"/>
        </w:rPr>
        <w:tab/>
      </w:r>
      <w:r>
        <w:rPr>
          <w:color w:val="202020"/>
          <w:spacing w:val="-2"/>
          <w:sz w:val="24"/>
        </w:rPr>
        <w:t xml:space="preserve">731.e1–731.e7317. </w:t>
      </w:r>
      <w:hyperlink r:id="rId31">
        <w:r>
          <w:rPr>
            <w:color w:val="0000FF"/>
            <w:spacing w:val="-2"/>
            <w:sz w:val="24"/>
            <w:u w:val="single" w:color="0000FF"/>
          </w:rPr>
          <w:t>https://doi.org/10.1016/j.cmi.2016.0</w:t>
        </w:r>
        <w:r>
          <w:rPr>
            <w:color w:val="0000FF"/>
            <w:spacing w:val="-2"/>
            <w:sz w:val="24"/>
            <w:u w:val="single" w:color="0000FF"/>
          </w:rPr>
          <w:t>5.003</w:t>
        </w:r>
      </w:hyperlink>
    </w:p>
    <w:p w:rsidR="00B84776" w:rsidRDefault="00C65940">
      <w:pPr>
        <w:pStyle w:val="ListParagraph"/>
        <w:numPr>
          <w:ilvl w:val="0"/>
          <w:numId w:val="3"/>
        </w:numPr>
        <w:tabs>
          <w:tab w:val="left" w:pos="460"/>
        </w:tabs>
        <w:spacing w:line="360" w:lineRule="auto"/>
        <w:ind w:right="98" w:firstLine="0"/>
        <w:rPr>
          <w:sz w:val="24"/>
        </w:rPr>
      </w:pPr>
      <w:r>
        <w:rPr>
          <w:sz w:val="24"/>
        </w:rPr>
        <w:t xml:space="preserve">European Centre for Disease Prevention and Control (ECDC). (2020). </w:t>
      </w:r>
      <w:r>
        <w:rPr>
          <w:i/>
          <w:sz w:val="24"/>
        </w:rPr>
        <w:t>Antimicrobial resistance in the EU/EEA (EARS-Net) – Annual epidemiological report for</w:t>
      </w:r>
      <w:r>
        <w:rPr>
          <w:i/>
          <w:spacing w:val="-15"/>
          <w:sz w:val="24"/>
        </w:rPr>
        <w:t xml:space="preserve"> </w:t>
      </w:r>
      <w:r>
        <w:rPr>
          <w:i/>
          <w:sz w:val="24"/>
        </w:rPr>
        <w:t>2019</w:t>
      </w:r>
      <w:r>
        <w:rPr>
          <w:sz w:val="24"/>
        </w:rPr>
        <w:t>.</w:t>
      </w:r>
      <w:r>
        <w:rPr>
          <w:spacing w:val="-15"/>
          <w:sz w:val="24"/>
        </w:rPr>
        <w:t xml:space="preserve"> </w:t>
      </w:r>
      <w:hyperlink r:id="rId32">
        <w:r>
          <w:rPr>
            <w:color w:val="0000FF"/>
            <w:sz w:val="24"/>
            <w:u w:val="single" w:color="0000FF"/>
          </w:rPr>
          <w:t>https://www.ecdc.europa.eu/en/publications-data/surveillance-antimicrobial-</w:t>
        </w:r>
      </w:hyperlink>
      <w:r>
        <w:rPr>
          <w:color w:val="0000FF"/>
          <w:sz w:val="24"/>
        </w:rPr>
        <w:t xml:space="preserve"> </w:t>
      </w:r>
      <w:hyperlink r:id="rId33">
        <w:r>
          <w:rPr>
            <w:color w:val="0000FF"/>
            <w:spacing w:val="-2"/>
            <w:sz w:val="24"/>
            <w:u w:val="single" w:color="0000FF"/>
          </w:rPr>
          <w:t>resistance-europe-2019</w:t>
        </w:r>
      </w:hyperlink>
    </w:p>
    <w:p w:rsidR="00B84776" w:rsidRDefault="00C65940">
      <w:pPr>
        <w:pStyle w:val="ListParagraph"/>
        <w:numPr>
          <w:ilvl w:val="0"/>
          <w:numId w:val="3"/>
        </w:numPr>
        <w:tabs>
          <w:tab w:val="left" w:pos="460"/>
        </w:tabs>
        <w:spacing w:line="360" w:lineRule="auto"/>
        <w:ind w:right="97" w:firstLine="0"/>
        <w:rPr>
          <w:color w:val="202020"/>
          <w:sz w:val="24"/>
        </w:rPr>
      </w:pPr>
      <w:proofErr w:type="spellStart"/>
      <w:r>
        <w:rPr>
          <w:color w:val="212121"/>
          <w:sz w:val="24"/>
        </w:rPr>
        <w:t>Peirano</w:t>
      </w:r>
      <w:proofErr w:type="spellEnd"/>
      <w:r>
        <w:rPr>
          <w:color w:val="212121"/>
          <w:sz w:val="24"/>
        </w:rPr>
        <w:t>, G.</w:t>
      </w:r>
      <w:r>
        <w:rPr>
          <w:color w:val="212121"/>
          <w:sz w:val="24"/>
        </w:rPr>
        <w:t xml:space="preserve">, &amp; </w:t>
      </w:r>
      <w:proofErr w:type="spellStart"/>
      <w:r>
        <w:rPr>
          <w:color w:val="212121"/>
          <w:sz w:val="24"/>
        </w:rPr>
        <w:t>Pitout</w:t>
      </w:r>
      <w:proofErr w:type="spellEnd"/>
      <w:r>
        <w:rPr>
          <w:color w:val="212121"/>
          <w:sz w:val="24"/>
        </w:rPr>
        <w:t>, J. D. (2019). Extended-spectrum β-lactamase-producing Enterobacteriaceae:</w:t>
      </w:r>
      <w:r>
        <w:rPr>
          <w:color w:val="212121"/>
          <w:spacing w:val="40"/>
          <w:sz w:val="24"/>
        </w:rPr>
        <w:t xml:space="preserve">  </w:t>
      </w:r>
      <w:proofErr w:type="gramStart"/>
      <w:r>
        <w:rPr>
          <w:color w:val="212121"/>
          <w:sz w:val="24"/>
        </w:rPr>
        <w:t>update</w:t>
      </w:r>
      <w:r>
        <w:rPr>
          <w:color w:val="212121"/>
          <w:spacing w:val="40"/>
          <w:sz w:val="24"/>
        </w:rPr>
        <w:t xml:space="preserve">  </w:t>
      </w:r>
      <w:r>
        <w:rPr>
          <w:color w:val="212121"/>
          <w:sz w:val="24"/>
        </w:rPr>
        <w:t>on</w:t>
      </w:r>
      <w:proofErr w:type="gramEnd"/>
      <w:r>
        <w:rPr>
          <w:color w:val="212121"/>
          <w:spacing w:val="40"/>
          <w:sz w:val="24"/>
        </w:rPr>
        <w:t xml:space="preserve">  </w:t>
      </w:r>
      <w:r>
        <w:rPr>
          <w:color w:val="212121"/>
          <w:sz w:val="24"/>
        </w:rPr>
        <w:t>molecular</w:t>
      </w:r>
      <w:r>
        <w:rPr>
          <w:color w:val="212121"/>
          <w:spacing w:val="40"/>
          <w:sz w:val="24"/>
        </w:rPr>
        <w:t xml:space="preserve">  </w:t>
      </w:r>
      <w:r>
        <w:rPr>
          <w:color w:val="212121"/>
          <w:sz w:val="24"/>
        </w:rPr>
        <w:t>epidemiology</w:t>
      </w:r>
      <w:r>
        <w:rPr>
          <w:color w:val="212121"/>
          <w:spacing w:val="40"/>
          <w:sz w:val="24"/>
        </w:rPr>
        <w:t xml:space="preserve">  </w:t>
      </w:r>
      <w:r>
        <w:rPr>
          <w:color w:val="212121"/>
          <w:sz w:val="24"/>
        </w:rPr>
        <w:t>and</w:t>
      </w:r>
      <w:r>
        <w:rPr>
          <w:color w:val="212121"/>
          <w:spacing w:val="40"/>
          <w:sz w:val="24"/>
        </w:rPr>
        <w:t xml:space="preserve">  </w:t>
      </w:r>
      <w:r>
        <w:rPr>
          <w:color w:val="212121"/>
          <w:sz w:val="24"/>
        </w:rPr>
        <w:t>treatment</w:t>
      </w:r>
      <w:r>
        <w:rPr>
          <w:color w:val="212121"/>
          <w:spacing w:val="40"/>
          <w:sz w:val="24"/>
        </w:rPr>
        <w:t xml:space="preserve"> </w:t>
      </w:r>
      <w:r>
        <w:rPr>
          <w:color w:val="212121"/>
          <w:sz w:val="24"/>
        </w:rPr>
        <w:t xml:space="preserve">options. </w:t>
      </w:r>
      <w:r>
        <w:rPr>
          <w:i/>
          <w:color w:val="212121"/>
          <w:sz w:val="24"/>
        </w:rPr>
        <w:t>Drugs</w:t>
      </w:r>
      <w:r>
        <w:rPr>
          <w:color w:val="212121"/>
          <w:sz w:val="24"/>
        </w:rPr>
        <w:t xml:space="preserve">, </w:t>
      </w:r>
      <w:r>
        <w:rPr>
          <w:i/>
          <w:color w:val="212121"/>
          <w:sz w:val="24"/>
        </w:rPr>
        <w:t>79</w:t>
      </w:r>
      <w:r>
        <w:rPr>
          <w:color w:val="212121"/>
          <w:sz w:val="24"/>
        </w:rPr>
        <w:t>, 1529-1541</w:t>
      </w:r>
    </w:p>
    <w:p w:rsidR="00B84776" w:rsidRDefault="00C65940">
      <w:pPr>
        <w:pStyle w:val="ListParagraph"/>
        <w:numPr>
          <w:ilvl w:val="0"/>
          <w:numId w:val="3"/>
        </w:numPr>
        <w:tabs>
          <w:tab w:val="left" w:pos="460"/>
        </w:tabs>
        <w:spacing w:line="360" w:lineRule="auto"/>
        <w:ind w:right="40" w:firstLine="0"/>
        <w:rPr>
          <w:sz w:val="24"/>
        </w:rPr>
      </w:pPr>
      <w:proofErr w:type="spellStart"/>
      <w:r>
        <w:rPr>
          <w:color w:val="202020"/>
          <w:sz w:val="24"/>
        </w:rPr>
        <w:t>Laxminarayan</w:t>
      </w:r>
      <w:proofErr w:type="spellEnd"/>
      <w:r>
        <w:rPr>
          <w:color w:val="202020"/>
          <w:sz w:val="24"/>
        </w:rPr>
        <w:t xml:space="preserve">, R., Duse, A., </w:t>
      </w:r>
      <w:proofErr w:type="spellStart"/>
      <w:r>
        <w:rPr>
          <w:color w:val="202020"/>
          <w:sz w:val="24"/>
        </w:rPr>
        <w:t>Wattal</w:t>
      </w:r>
      <w:proofErr w:type="spellEnd"/>
      <w:r>
        <w:rPr>
          <w:color w:val="202020"/>
          <w:sz w:val="24"/>
        </w:rPr>
        <w:t xml:space="preserve">, C., Zaidi, A. K., Wertheim, H. F., </w:t>
      </w:r>
      <w:proofErr w:type="spellStart"/>
      <w:r>
        <w:rPr>
          <w:color w:val="202020"/>
          <w:sz w:val="24"/>
        </w:rPr>
        <w:t>Sumpradit</w:t>
      </w:r>
      <w:proofErr w:type="spellEnd"/>
      <w:r>
        <w:rPr>
          <w:color w:val="202020"/>
          <w:sz w:val="24"/>
        </w:rPr>
        <w:t xml:space="preserve">, N., </w:t>
      </w:r>
      <w:proofErr w:type="spellStart"/>
      <w:r>
        <w:rPr>
          <w:color w:val="202020"/>
          <w:sz w:val="24"/>
        </w:rPr>
        <w:t>Vlieghe</w:t>
      </w:r>
      <w:proofErr w:type="spellEnd"/>
      <w:r>
        <w:rPr>
          <w:color w:val="202020"/>
          <w:sz w:val="24"/>
        </w:rPr>
        <w:t>, E.,</w:t>
      </w:r>
      <w:r>
        <w:rPr>
          <w:color w:val="202020"/>
          <w:spacing w:val="-3"/>
          <w:sz w:val="24"/>
        </w:rPr>
        <w:t xml:space="preserve"> </w:t>
      </w:r>
      <w:r>
        <w:rPr>
          <w:color w:val="202020"/>
          <w:sz w:val="24"/>
        </w:rPr>
        <w:t>Hara, G. L., Gould,</w:t>
      </w:r>
      <w:r>
        <w:rPr>
          <w:color w:val="202020"/>
          <w:spacing w:val="-2"/>
          <w:sz w:val="24"/>
        </w:rPr>
        <w:t xml:space="preserve"> </w:t>
      </w:r>
      <w:r>
        <w:rPr>
          <w:color w:val="202020"/>
          <w:sz w:val="24"/>
        </w:rPr>
        <w:t>I. M.,</w:t>
      </w:r>
      <w:r>
        <w:rPr>
          <w:color w:val="202020"/>
          <w:spacing w:val="-2"/>
          <w:sz w:val="24"/>
        </w:rPr>
        <w:t xml:space="preserve"> </w:t>
      </w:r>
      <w:proofErr w:type="spellStart"/>
      <w:r>
        <w:rPr>
          <w:color w:val="202020"/>
          <w:sz w:val="24"/>
        </w:rPr>
        <w:t>Goossens</w:t>
      </w:r>
      <w:proofErr w:type="spellEnd"/>
      <w:r>
        <w:rPr>
          <w:color w:val="202020"/>
          <w:sz w:val="24"/>
        </w:rPr>
        <w:t xml:space="preserve">, H., </w:t>
      </w:r>
      <w:proofErr w:type="spellStart"/>
      <w:r>
        <w:rPr>
          <w:color w:val="202020"/>
          <w:sz w:val="24"/>
        </w:rPr>
        <w:t>Greko</w:t>
      </w:r>
      <w:proofErr w:type="spellEnd"/>
      <w:r>
        <w:rPr>
          <w:color w:val="202020"/>
          <w:sz w:val="24"/>
        </w:rPr>
        <w:t>, C.,</w:t>
      </w:r>
      <w:r>
        <w:rPr>
          <w:color w:val="202020"/>
          <w:spacing w:val="-2"/>
          <w:sz w:val="24"/>
        </w:rPr>
        <w:t xml:space="preserve"> </w:t>
      </w:r>
      <w:r>
        <w:rPr>
          <w:color w:val="202020"/>
          <w:sz w:val="24"/>
        </w:rPr>
        <w:t xml:space="preserve">So, A. D., </w:t>
      </w:r>
      <w:proofErr w:type="spellStart"/>
      <w:r>
        <w:rPr>
          <w:color w:val="202020"/>
          <w:sz w:val="24"/>
        </w:rPr>
        <w:t>Bigdeli</w:t>
      </w:r>
      <w:proofErr w:type="spellEnd"/>
      <w:r>
        <w:rPr>
          <w:color w:val="202020"/>
          <w:sz w:val="24"/>
        </w:rPr>
        <w:t>,</w:t>
      </w:r>
    </w:p>
    <w:p w:rsidR="00B84776" w:rsidRDefault="00C65940">
      <w:pPr>
        <w:pStyle w:val="BodyText"/>
        <w:spacing w:line="360" w:lineRule="auto"/>
        <w:ind w:right="98"/>
      </w:pPr>
      <w:r>
        <w:rPr>
          <w:color w:val="202020"/>
        </w:rPr>
        <w:t xml:space="preserve">M., Tomson, G., Woodhouse, W., </w:t>
      </w:r>
      <w:proofErr w:type="spellStart"/>
      <w:r>
        <w:rPr>
          <w:color w:val="202020"/>
        </w:rPr>
        <w:t>Ombaka</w:t>
      </w:r>
      <w:proofErr w:type="spellEnd"/>
      <w:r>
        <w:rPr>
          <w:color w:val="202020"/>
        </w:rPr>
        <w:t xml:space="preserve">, E., Peralta, A. Q., Qamar, F. N., Mir, F., </w:t>
      </w:r>
      <w:proofErr w:type="gramStart"/>
      <w:r>
        <w:rPr>
          <w:color w:val="202020"/>
        </w:rPr>
        <w:t>Kariuki,</w:t>
      </w:r>
      <w:r>
        <w:rPr>
          <w:color w:val="202020"/>
          <w:spacing w:val="37"/>
        </w:rPr>
        <w:t xml:space="preserve">  </w:t>
      </w:r>
      <w:r>
        <w:rPr>
          <w:color w:val="202020"/>
        </w:rPr>
        <w:t>S.</w:t>
      </w:r>
      <w:proofErr w:type="gramEnd"/>
      <w:r>
        <w:rPr>
          <w:color w:val="202020"/>
        </w:rPr>
        <w:t>,</w:t>
      </w:r>
      <w:r>
        <w:rPr>
          <w:color w:val="202020"/>
          <w:spacing w:val="36"/>
        </w:rPr>
        <w:t xml:space="preserve">  </w:t>
      </w:r>
      <w:r>
        <w:rPr>
          <w:color w:val="202020"/>
        </w:rPr>
        <w:t>…</w:t>
      </w:r>
      <w:r>
        <w:rPr>
          <w:color w:val="202020"/>
          <w:spacing w:val="37"/>
        </w:rPr>
        <w:t xml:space="preserve">  </w:t>
      </w:r>
      <w:proofErr w:type="gramStart"/>
      <w:r>
        <w:rPr>
          <w:color w:val="202020"/>
        </w:rPr>
        <w:t>Cars,</w:t>
      </w:r>
      <w:r>
        <w:rPr>
          <w:color w:val="202020"/>
          <w:spacing w:val="37"/>
        </w:rPr>
        <w:t xml:space="preserve">  </w:t>
      </w:r>
      <w:r>
        <w:rPr>
          <w:color w:val="202020"/>
        </w:rPr>
        <w:t>O.</w:t>
      </w:r>
      <w:proofErr w:type="gramEnd"/>
      <w:r>
        <w:rPr>
          <w:color w:val="202020"/>
          <w:spacing w:val="38"/>
        </w:rPr>
        <w:t xml:space="preserve">  </w:t>
      </w:r>
      <w:r>
        <w:rPr>
          <w:color w:val="202020"/>
        </w:rPr>
        <w:t>(2013).</w:t>
      </w:r>
      <w:r>
        <w:rPr>
          <w:color w:val="202020"/>
          <w:spacing w:val="37"/>
        </w:rPr>
        <w:t xml:space="preserve">  </w:t>
      </w:r>
      <w:proofErr w:type="gramStart"/>
      <w:r>
        <w:rPr>
          <w:color w:val="202020"/>
        </w:rPr>
        <w:t>Antibiotic</w:t>
      </w:r>
      <w:r>
        <w:rPr>
          <w:color w:val="202020"/>
          <w:spacing w:val="35"/>
        </w:rPr>
        <w:t xml:space="preserve">  </w:t>
      </w:r>
      <w:r>
        <w:rPr>
          <w:color w:val="202020"/>
        </w:rPr>
        <w:t>resistance</w:t>
      </w:r>
      <w:proofErr w:type="gramEnd"/>
      <w:r>
        <w:rPr>
          <w:color w:val="202020"/>
        </w:rPr>
        <w:t>-the</w:t>
      </w:r>
      <w:r>
        <w:rPr>
          <w:color w:val="202020"/>
          <w:spacing w:val="39"/>
        </w:rPr>
        <w:t xml:space="preserve">  </w:t>
      </w:r>
      <w:r>
        <w:rPr>
          <w:color w:val="202020"/>
        </w:rPr>
        <w:t>need</w:t>
      </w:r>
      <w:r>
        <w:rPr>
          <w:color w:val="202020"/>
          <w:spacing w:val="37"/>
        </w:rPr>
        <w:t xml:space="preserve">  </w:t>
      </w:r>
      <w:r>
        <w:rPr>
          <w:color w:val="202020"/>
        </w:rPr>
        <w:t>for</w:t>
      </w:r>
      <w:r>
        <w:rPr>
          <w:color w:val="202020"/>
          <w:spacing w:val="38"/>
        </w:rPr>
        <w:t xml:space="preserve">  </w:t>
      </w:r>
      <w:r>
        <w:rPr>
          <w:color w:val="202020"/>
          <w:spacing w:val="-2"/>
        </w:rPr>
        <w:t>global</w:t>
      </w:r>
    </w:p>
    <w:p w:rsidR="00B84776" w:rsidRDefault="00B84776">
      <w:pPr>
        <w:pStyle w:val="BodyText"/>
        <w:spacing w:line="360" w:lineRule="auto"/>
        <w:sectPr w:rsidR="00B84776">
          <w:pgSz w:w="11910" w:h="16840"/>
          <w:pgMar w:top="1360" w:right="1700" w:bottom="280" w:left="1700" w:header="720" w:footer="720" w:gutter="0"/>
          <w:cols w:space="720"/>
        </w:sectPr>
      </w:pPr>
    </w:p>
    <w:p w:rsidR="00B84776" w:rsidRDefault="00C65940">
      <w:pPr>
        <w:spacing w:before="62" w:line="360" w:lineRule="auto"/>
        <w:ind w:left="100" w:right="97"/>
        <w:jc w:val="both"/>
        <w:rPr>
          <w:sz w:val="24"/>
        </w:rPr>
      </w:pPr>
      <w:r>
        <w:rPr>
          <w:color w:val="202020"/>
          <w:sz w:val="24"/>
        </w:rPr>
        <w:lastRenderedPageBreak/>
        <w:t xml:space="preserve">solutions. </w:t>
      </w:r>
      <w:r>
        <w:rPr>
          <w:i/>
          <w:color w:val="202020"/>
          <w:sz w:val="24"/>
        </w:rPr>
        <w:t>The Lancet. Infectious diseases</w:t>
      </w:r>
      <w:r>
        <w:rPr>
          <w:color w:val="202020"/>
          <w:sz w:val="24"/>
        </w:rPr>
        <w:t xml:space="preserve">, </w:t>
      </w:r>
      <w:r>
        <w:rPr>
          <w:i/>
          <w:color w:val="202020"/>
          <w:sz w:val="24"/>
        </w:rPr>
        <w:t>13</w:t>
      </w:r>
      <w:r>
        <w:rPr>
          <w:color w:val="202020"/>
          <w:sz w:val="24"/>
        </w:rPr>
        <w:t xml:space="preserve">(12), 1057–1098. </w:t>
      </w:r>
      <w:hyperlink r:id="rId34">
        <w:r>
          <w:rPr>
            <w:color w:val="0000FF"/>
            <w:spacing w:val="-2"/>
            <w:sz w:val="24"/>
            <w:u w:val="single" w:color="0000FF"/>
          </w:rPr>
          <w:t>https://doi.org/10.1016/S1473-3099(13)70318-9</w:t>
        </w:r>
      </w:hyperlink>
    </w:p>
    <w:p w:rsidR="00B84776" w:rsidRDefault="00C65940">
      <w:pPr>
        <w:pStyle w:val="ListParagraph"/>
        <w:numPr>
          <w:ilvl w:val="0"/>
          <w:numId w:val="3"/>
        </w:numPr>
        <w:tabs>
          <w:tab w:val="left" w:pos="460"/>
        </w:tabs>
        <w:spacing w:line="360" w:lineRule="auto"/>
        <w:ind w:right="100" w:firstLine="0"/>
        <w:rPr>
          <w:sz w:val="24"/>
        </w:rPr>
      </w:pPr>
      <w:proofErr w:type="spellStart"/>
      <w:r>
        <w:rPr>
          <w:color w:val="222222"/>
          <w:sz w:val="24"/>
        </w:rPr>
        <w:t>Aibinu</w:t>
      </w:r>
      <w:proofErr w:type="spellEnd"/>
      <w:r>
        <w:rPr>
          <w:color w:val="222222"/>
          <w:sz w:val="24"/>
        </w:rPr>
        <w:t xml:space="preserve"> I, </w:t>
      </w:r>
      <w:proofErr w:type="spellStart"/>
      <w:r>
        <w:rPr>
          <w:color w:val="222222"/>
          <w:sz w:val="24"/>
        </w:rPr>
        <w:t>Odugbemi</w:t>
      </w:r>
      <w:proofErr w:type="spellEnd"/>
      <w:r>
        <w:rPr>
          <w:color w:val="222222"/>
          <w:sz w:val="24"/>
        </w:rPr>
        <w:t xml:space="preserve"> T, Koenig W, </w:t>
      </w:r>
      <w:proofErr w:type="spellStart"/>
      <w:r>
        <w:rPr>
          <w:color w:val="222222"/>
          <w:sz w:val="24"/>
        </w:rPr>
        <w:t>Ghebremedhin</w:t>
      </w:r>
      <w:proofErr w:type="spellEnd"/>
      <w:r>
        <w:rPr>
          <w:color w:val="222222"/>
          <w:sz w:val="24"/>
        </w:rPr>
        <w:t xml:space="preserve"> B. Sequence Type ST131</w:t>
      </w:r>
      <w:r>
        <w:rPr>
          <w:color w:val="222222"/>
          <w:sz w:val="24"/>
        </w:rPr>
        <w:t xml:space="preserve"> and ST10 Complex (ST617) predominant among CTX-M-15-producing Escherichia coli isolates from Nigeria Clin Microbiol Infect. 2012;</w:t>
      </w:r>
      <w:proofErr w:type="gramStart"/>
      <w:r>
        <w:rPr>
          <w:color w:val="222222"/>
          <w:sz w:val="24"/>
        </w:rPr>
        <w:t>18:E</w:t>
      </w:r>
      <w:proofErr w:type="gramEnd"/>
      <w:r>
        <w:rPr>
          <w:color w:val="222222"/>
          <w:sz w:val="24"/>
        </w:rPr>
        <w:t>49–51</w:t>
      </w:r>
    </w:p>
    <w:p w:rsidR="00B84776" w:rsidRDefault="00C65940">
      <w:pPr>
        <w:pStyle w:val="ListParagraph"/>
        <w:numPr>
          <w:ilvl w:val="0"/>
          <w:numId w:val="3"/>
        </w:numPr>
        <w:tabs>
          <w:tab w:val="left" w:pos="460"/>
        </w:tabs>
        <w:spacing w:line="360" w:lineRule="auto"/>
        <w:ind w:right="98" w:firstLine="0"/>
        <w:rPr>
          <w:sz w:val="24"/>
        </w:rPr>
      </w:pPr>
      <w:proofErr w:type="spellStart"/>
      <w:r>
        <w:rPr>
          <w:color w:val="222222"/>
          <w:sz w:val="24"/>
        </w:rPr>
        <w:t>Maina</w:t>
      </w:r>
      <w:proofErr w:type="spellEnd"/>
      <w:r>
        <w:rPr>
          <w:color w:val="222222"/>
          <w:sz w:val="24"/>
        </w:rPr>
        <w:t xml:space="preserve">, D., </w:t>
      </w:r>
      <w:proofErr w:type="spellStart"/>
      <w:r>
        <w:rPr>
          <w:color w:val="222222"/>
          <w:sz w:val="24"/>
        </w:rPr>
        <w:t>Makau</w:t>
      </w:r>
      <w:proofErr w:type="spellEnd"/>
      <w:r>
        <w:rPr>
          <w:color w:val="222222"/>
          <w:sz w:val="24"/>
        </w:rPr>
        <w:t>, P., Nyerere, A. and Revathi, G. (2013) Antimicrobial Resistance Patterns in Extended-Spectrum β-La</w:t>
      </w:r>
      <w:r>
        <w:rPr>
          <w:color w:val="222222"/>
          <w:sz w:val="24"/>
        </w:rPr>
        <w:t>ctamase Producing Escherichia coli and Klebsiella pneumoniae Isolates in a Private Tertiary Hospital, Kenya. Microbiology Discovery, 1, 5.</w:t>
      </w:r>
    </w:p>
    <w:p w:rsidR="00B84776" w:rsidRDefault="00C65940">
      <w:pPr>
        <w:pStyle w:val="ListParagraph"/>
        <w:numPr>
          <w:ilvl w:val="0"/>
          <w:numId w:val="3"/>
        </w:numPr>
        <w:tabs>
          <w:tab w:val="left" w:pos="460"/>
        </w:tabs>
        <w:spacing w:line="360" w:lineRule="auto"/>
        <w:ind w:right="97" w:firstLine="0"/>
        <w:rPr>
          <w:color w:val="202020"/>
          <w:sz w:val="24"/>
        </w:rPr>
      </w:pPr>
      <w:proofErr w:type="spellStart"/>
      <w:r>
        <w:rPr>
          <w:color w:val="202020"/>
          <w:sz w:val="24"/>
        </w:rPr>
        <w:t>Ouedraogo</w:t>
      </w:r>
      <w:proofErr w:type="spellEnd"/>
      <w:r>
        <w:rPr>
          <w:color w:val="202020"/>
          <w:sz w:val="24"/>
        </w:rPr>
        <w:t xml:space="preserve">, A. S., </w:t>
      </w:r>
      <w:proofErr w:type="spellStart"/>
      <w:r>
        <w:rPr>
          <w:color w:val="202020"/>
          <w:sz w:val="24"/>
        </w:rPr>
        <w:t>Sanou</w:t>
      </w:r>
      <w:proofErr w:type="spellEnd"/>
      <w:r>
        <w:rPr>
          <w:color w:val="202020"/>
          <w:sz w:val="24"/>
        </w:rPr>
        <w:t xml:space="preserve">, M., </w:t>
      </w:r>
      <w:proofErr w:type="spellStart"/>
      <w:r>
        <w:rPr>
          <w:color w:val="202020"/>
          <w:sz w:val="24"/>
        </w:rPr>
        <w:t>Kissou</w:t>
      </w:r>
      <w:proofErr w:type="spellEnd"/>
      <w:r>
        <w:rPr>
          <w:color w:val="202020"/>
          <w:sz w:val="24"/>
        </w:rPr>
        <w:t xml:space="preserve">, A., </w:t>
      </w:r>
      <w:proofErr w:type="spellStart"/>
      <w:r>
        <w:rPr>
          <w:color w:val="202020"/>
          <w:sz w:val="24"/>
        </w:rPr>
        <w:t>Sanou</w:t>
      </w:r>
      <w:proofErr w:type="spellEnd"/>
      <w:r>
        <w:rPr>
          <w:color w:val="202020"/>
          <w:sz w:val="24"/>
        </w:rPr>
        <w:t xml:space="preserve">, S., </w:t>
      </w:r>
      <w:proofErr w:type="spellStart"/>
      <w:r>
        <w:rPr>
          <w:color w:val="202020"/>
          <w:sz w:val="24"/>
        </w:rPr>
        <w:t>Solaré</w:t>
      </w:r>
      <w:proofErr w:type="spellEnd"/>
      <w:r>
        <w:rPr>
          <w:color w:val="202020"/>
          <w:sz w:val="24"/>
        </w:rPr>
        <w:t xml:space="preserve">, H., </w:t>
      </w:r>
      <w:proofErr w:type="spellStart"/>
      <w:r>
        <w:rPr>
          <w:color w:val="202020"/>
          <w:sz w:val="24"/>
        </w:rPr>
        <w:t>Kaboré</w:t>
      </w:r>
      <w:proofErr w:type="spellEnd"/>
      <w:r>
        <w:rPr>
          <w:color w:val="202020"/>
          <w:sz w:val="24"/>
        </w:rPr>
        <w:t xml:space="preserve">, F., </w:t>
      </w:r>
      <w:proofErr w:type="spellStart"/>
      <w:r>
        <w:rPr>
          <w:color w:val="202020"/>
          <w:sz w:val="24"/>
        </w:rPr>
        <w:t>Poda</w:t>
      </w:r>
      <w:proofErr w:type="spellEnd"/>
      <w:r>
        <w:rPr>
          <w:color w:val="202020"/>
          <w:sz w:val="24"/>
        </w:rPr>
        <w:t xml:space="preserve">, A., </w:t>
      </w:r>
      <w:proofErr w:type="spellStart"/>
      <w:r>
        <w:rPr>
          <w:color w:val="202020"/>
          <w:sz w:val="24"/>
        </w:rPr>
        <w:t>Aberkane</w:t>
      </w:r>
      <w:proofErr w:type="spellEnd"/>
      <w:r>
        <w:rPr>
          <w:color w:val="202020"/>
          <w:sz w:val="24"/>
        </w:rPr>
        <w:t xml:space="preserve">, S., </w:t>
      </w:r>
      <w:proofErr w:type="spellStart"/>
      <w:r>
        <w:rPr>
          <w:color w:val="202020"/>
          <w:sz w:val="24"/>
        </w:rPr>
        <w:t>Bouzinbi</w:t>
      </w:r>
      <w:proofErr w:type="spellEnd"/>
      <w:r>
        <w:rPr>
          <w:color w:val="202020"/>
          <w:sz w:val="24"/>
        </w:rPr>
        <w:t>, N., San</w:t>
      </w:r>
      <w:r>
        <w:rPr>
          <w:color w:val="202020"/>
          <w:sz w:val="24"/>
        </w:rPr>
        <w:t xml:space="preserve">o, I., </w:t>
      </w:r>
      <w:proofErr w:type="spellStart"/>
      <w:r>
        <w:rPr>
          <w:color w:val="202020"/>
          <w:sz w:val="24"/>
        </w:rPr>
        <w:t>Nacro</w:t>
      </w:r>
      <w:proofErr w:type="spellEnd"/>
      <w:r>
        <w:rPr>
          <w:color w:val="202020"/>
          <w:sz w:val="24"/>
        </w:rPr>
        <w:t xml:space="preserve">, B., </w:t>
      </w:r>
      <w:proofErr w:type="spellStart"/>
      <w:r>
        <w:rPr>
          <w:color w:val="202020"/>
          <w:sz w:val="24"/>
        </w:rPr>
        <w:t>Sangaré</w:t>
      </w:r>
      <w:proofErr w:type="spellEnd"/>
      <w:r>
        <w:rPr>
          <w:color w:val="202020"/>
          <w:sz w:val="24"/>
        </w:rPr>
        <w:t xml:space="preserve">, L., </w:t>
      </w:r>
      <w:proofErr w:type="spellStart"/>
      <w:r>
        <w:rPr>
          <w:color w:val="202020"/>
          <w:sz w:val="24"/>
        </w:rPr>
        <w:t>Carrière</w:t>
      </w:r>
      <w:proofErr w:type="spellEnd"/>
      <w:r>
        <w:rPr>
          <w:color w:val="202020"/>
          <w:sz w:val="24"/>
        </w:rPr>
        <w:t xml:space="preserve">, C., </w:t>
      </w:r>
      <w:proofErr w:type="spellStart"/>
      <w:r>
        <w:rPr>
          <w:color w:val="202020"/>
          <w:sz w:val="24"/>
        </w:rPr>
        <w:t>Decré</w:t>
      </w:r>
      <w:proofErr w:type="spellEnd"/>
      <w:r>
        <w:rPr>
          <w:color w:val="202020"/>
          <w:sz w:val="24"/>
        </w:rPr>
        <w:t xml:space="preserve">, D., </w:t>
      </w:r>
      <w:proofErr w:type="spellStart"/>
      <w:r>
        <w:rPr>
          <w:color w:val="202020"/>
          <w:sz w:val="24"/>
        </w:rPr>
        <w:t>Ouégraogo</w:t>
      </w:r>
      <w:proofErr w:type="spellEnd"/>
      <w:r>
        <w:rPr>
          <w:color w:val="202020"/>
          <w:sz w:val="24"/>
        </w:rPr>
        <w:t xml:space="preserve">, R., Jean-Pierre, H., &amp; </w:t>
      </w:r>
      <w:proofErr w:type="spellStart"/>
      <w:r>
        <w:rPr>
          <w:color w:val="202020"/>
          <w:sz w:val="24"/>
        </w:rPr>
        <w:t>Godreuil</w:t>
      </w:r>
      <w:proofErr w:type="spellEnd"/>
      <w:r>
        <w:rPr>
          <w:color w:val="202020"/>
          <w:sz w:val="24"/>
        </w:rPr>
        <w:t xml:space="preserve">, S. (2016). High prevalence of extended-spectrum ß-lactamase producing </w:t>
      </w:r>
      <w:proofErr w:type="spellStart"/>
      <w:r>
        <w:rPr>
          <w:color w:val="202020"/>
          <w:sz w:val="24"/>
        </w:rPr>
        <w:t>enterobacteriaceae</w:t>
      </w:r>
      <w:proofErr w:type="spellEnd"/>
      <w:r>
        <w:rPr>
          <w:color w:val="202020"/>
          <w:sz w:val="24"/>
        </w:rPr>
        <w:t xml:space="preserve"> among clinical isolates in Burkina Faso. </w:t>
      </w:r>
      <w:r>
        <w:rPr>
          <w:i/>
          <w:color w:val="202020"/>
          <w:sz w:val="24"/>
        </w:rPr>
        <w:t>BMC infectious diseases</w:t>
      </w:r>
      <w:r>
        <w:rPr>
          <w:color w:val="202020"/>
          <w:sz w:val="24"/>
        </w:rPr>
        <w:t xml:space="preserve">, </w:t>
      </w:r>
      <w:r>
        <w:rPr>
          <w:i/>
          <w:color w:val="202020"/>
          <w:sz w:val="24"/>
        </w:rPr>
        <w:t>1</w:t>
      </w:r>
      <w:r>
        <w:rPr>
          <w:i/>
          <w:color w:val="202020"/>
          <w:sz w:val="24"/>
        </w:rPr>
        <w:t>6</w:t>
      </w:r>
      <w:r>
        <w:rPr>
          <w:color w:val="202020"/>
          <w:sz w:val="24"/>
        </w:rPr>
        <w:t xml:space="preserve">, 326. </w:t>
      </w:r>
      <w:hyperlink r:id="rId35">
        <w:r>
          <w:rPr>
            <w:color w:val="0000FF"/>
            <w:sz w:val="24"/>
            <w:u w:val="single" w:color="0000FF"/>
          </w:rPr>
          <w:t>https://doi.org/10.1186/s12879-</w:t>
        </w:r>
      </w:hyperlink>
      <w:r>
        <w:rPr>
          <w:color w:val="0000FF"/>
          <w:sz w:val="24"/>
        </w:rPr>
        <w:t xml:space="preserve"> </w:t>
      </w:r>
      <w:hyperlink r:id="rId36">
        <w:r>
          <w:rPr>
            <w:color w:val="0000FF"/>
            <w:spacing w:val="-2"/>
            <w:sz w:val="24"/>
            <w:u w:val="single" w:color="0000FF"/>
          </w:rPr>
          <w:t>016-1655-3</w:t>
        </w:r>
      </w:hyperlink>
    </w:p>
    <w:p w:rsidR="00B84776" w:rsidRDefault="00C65940">
      <w:pPr>
        <w:pStyle w:val="ListParagraph"/>
        <w:numPr>
          <w:ilvl w:val="0"/>
          <w:numId w:val="3"/>
        </w:numPr>
        <w:tabs>
          <w:tab w:val="left" w:pos="460"/>
          <w:tab w:val="left" w:pos="2451"/>
          <w:tab w:val="left" w:pos="4971"/>
          <w:tab w:val="left" w:pos="7266"/>
        </w:tabs>
        <w:spacing w:line="360" w:lineRule="auto"/>
        <w:ind w:right="97" w:firstLine="0"/>
        <w:rPr>
          <w:color w:val="1B1B1B"/>
          <w:sz w:val="24"/>
        </w:rPr>
      </w:pPr>
      <w:proofErr w:type="spellStart"/>
      <w:r>
        <w:rPr>
          <w:color w:val="202020"/>
          <w:sz w:val="24"/>
        </w:rPr>
        <w:t>Tamma</w:t>
      </w:r>
      <w:proofErr w:type="spellEnd"/>
      <w:r>
        <w:rPr>
          <w:color w:val="202020"/>
          <w:sz w:val="24"/>
        </w:rPr>
        <w:t xml:space="preserve">, P. D., </w:t>
      </w:r>
      <w:proofErr w:type="spellStart"/>
      <w:r>
        <w:rPr>
          <w:color w:val="202020"/>
          <w:sz w:val="24"/>
        </w:rPr>
        <w:t>Avdic</w:t>
      </w:r>
      <w:proofErr w:type="spellEnd"/>
      <w:r>
        <w:rPr>
          <w:color w:val="202020"/>
          <w:sz w:val="24"/>
        </w:rPr>
        <w:t xml:space="preserve">, E., Li, D. X., </w:t>
      </w:r>
      <w:proofErr w:type="spellStart"/>
      <w:r>
        <w:rPr>
          <w:color w:val="202020"/>
          <w:sz w:val="24"/>
        </w:rPr>
        <w:t>Dzintars</w:t>
      </w:r>
      <w:proofErr w:type="spellEnd"/>
      <w:r>
        <w:rPr>
          <w:color w:val="202020"/>
          <w:sz w:val="24"/>
        </w:rPr>
        <w:t>, K., &amp; Cosgrove, S. E. (2017). Associa</w:t>
      </w:r>
      <w:r>
        <w:rPr>
          <w:color w:val="202020"/>
          <w:sz w:val="24"/>
        </w:rPr>
        <w:t xml:space="preserve">tion of Adverse Events </w:t>
      </w:r>
      <w:proofErr w:type="gramStart"/>
      <w:r>
        <w:rPr>
          <w:color w:val="202020"/>
          <w:sz w:val="24"/>
        </w:rPr>
        <w:t>With</w:t>
      </w:r>
      <w:proofErr w:type="gramEnd"/>
      <w:r>
        <w:rPr>
          <w:color w:val="202020"/>
          <w:sz w:val="24"/>
        </w:rPr>
        <w:t xml:space="preserve"> Antibiotic Use in Hospitalized Patients. </w:t>
      </w:r>
      <w:r>
        <w:rPr>
          <w:i/>
          <w:color w:val="202020"/>
          <w:sz w:val="24"/>
        </w:rPr>
        <w:t xml:space="preserve">JAMA </w:t>
      </w:r>
      <w:r>
        <w:rPr>
          <w:i/>
          <w:color w:val="202020"/>
          <w:spacing w:val="-2"/>
          <w:sz w:val="24"/>
        </w:rPr>
        <w:t>internal</w:t>
      </w:r>
      <w:r>
        <w:rPr>
          <w:i/>
          <w:color w:val="202020"/>
          <w:sz w:val="24"/>
        </w:rPr>
        <w:tab/>
      </w:r>
      <w:r>
        <w:rPr>
          <w:i/>
          <w:color w:val="202020"/>
          <w:spacing w:val="-2"/>
          <w:sz w:val="24"/>
        </w:rPr>
        <w:t>medicine</w:t>
      </w:r>
      <w:r>
        <w:rPr>
          <w:color w:val="202020"/>
          <w:spacing w:val="-2"/>
          <w:sz w:val="24"/>
        </w:rPr>
        <w:t>,</w:t>
      </w:r>
      <w:r>
        <w:rPr>
          <w:color w:val="202020"/>
          <w:sz w:val="24"/>
        </w:rPr>
        <w:tab/>
      </w:r>
      <w:r>
        <w:rPr>
          <w:i/>
          <w:color w:val="202020"/>
          <w:spacing w:val="-2"/>
          <w:sz w:val="24"/>
        </w:rPr>
        <w:t>177</w:t>
      </w:r>
      <w:r>
        <w:rPr>
          <w:color w:val="202020"/>
          <w:spacing w:val="-2"/>
          <w:sz w:val="24"/>
        </w:rPr>
        <w:t>(9),</w:t>
      </w:r>
      <w:r>
        <w:rPr>
          <w:color w:val="202020"/>
          <w:sz w:val="24"/>
        </w:rPr>
        <w:tab/>
      </w:r>
      <w:r>
        <w:rPr>
          <w:color w:val="202020"/>
          <w:spacing w:val="-2"/>
          <w:sz w:val="24"/>
        </w:rPr>
        <w:t xml:space="preserve">1308–1315. </w:t>
      </w:r>
      <w:hyperlink r:id="rId37">
        <w:r>
          <w:rPr>
            <w:color w:val="0000FF"/>
            <w:spacing w:val="-2"/>
            <w:sz w:val="24"/>
            <w:u w:val="single" w:color="0000FF"/>
          </w:rPr>
          <w:t>https://doi.org/10.1001/jamainternmed.2017.1938</w:t>
        </w:r>
      </w:hyperlink>
    </w:p>
    <w:p w:rsidR="00B84776" w:rsidRDefault="00C65940">
      <w:pPr>
        <w:pStyle w:val="ListParagraph"/>
        <w:numPr>
          <w:ilvl w:val="0"/>
          <w:numId w:val="3"/>
        </w:numPr>
        <w:tabs>
          <w:tab w:val="left" w:pos="460"/>
        </w:tabs>
        <w:ind w:left="460" w:hanging="360"/>
        <w:rPr>
          <w:color w:val="202020"/>
          <w:sz w:val="24"/>
        </w:rPr>
      </w:pPr>
      <w:proofErr w:type="spellStart"/>
      <w:r>
        <w:rPr>
          <w:color w:val="1B1B1B"/>
          <w:sz w:val="24"/>
        </w:rPr>
        <w:t>Pillonetto</w:t>
      </w:r>
      <w:proofErr w:type="spellEnd"/>
      <w:r>
        <w:rPr>
          <w:color w:val="1B1B1B"/>
          <w:sz w:val="24"/>
        </w:rPr>
        <w:t>,</w:t>
      </w:r>
      <w:r>
        <w:rPr>
          <w:color w:val="1B1B1B"/>
          <w:spacing w:val="-1"/>
          <w:sz w:val="24"/>
        </w:rPr>
        <w:t xml:space="preserve"> </w:t>
      </w:r>
      <w:r>
        <w:rPr>
          <w:color w:val="1B1B1B"/>
          <w:sz w:val="24"/>
        </w:rPr>
        <w:t>M.,</w:t>
      </w:r>
      <w:r>
        <w:rPr>
          <w:color w:val="1B1B1B"/>
          <w:spacing w:val="-1"/>
          <w:sz w:val="24"/>
        </w:rPr>
        <w:t xml:space="preserve"> </w:t>
      </w:r>
      <w:proofErr w:type="spellStart"/>
      <w:r>
        <w:rPr>
          <w:color w:val="1B1B1B"/>
          <w:sz w:val="24"/>
        </w:rPr>
        <w:t>Jordão</w:t>
      </w:r>
      <w:proofErr w:type="spellEnd"/>
      <w:r>
        <w:rPr>
          <w:color w:val="1B1B1B"/>
          <w:sz w:val="24"/>
        </w:rPr>
        <w:t>,</w:t>
      </w:r>
      <w:r>
        <w:rPr>
          <w:color w:val="1B1B1B"/>
          <w:spacing w:val="2"/>
          <w:sz w:val="24"/>
        </w:rPr>
        <w:t xml:space="preserve"> </w:t>
      </w:r>
      <w:r>
        <w:rPr>
          <w:color w:val="1B1B1B"/>
          <w:sz w:val="24"/>
        </w:rPr>
        <w:t>R.</w:t>
      </w:r>
      <w:r>
        <w:rPr>
          <w:color w:val="1B1B1B"/>
          <w:spacing w:val="-1"/>
          <w:sz w:val="24"/>
        </w:rPr>
        <w:t xml:space="preserve"> </w:t>
      </w:r>
      <w:r>
        <w:rPr>
          <w:color w:val="1B1B1B"/>
          <w:sz w:val="24"/>
        </w:rPr>
        <w:t>T.</w:t>
      </w:r>
      <w:r>
        <w:rPr>
          <w:color w:val="1B1B1B"/>
          <w:spacing w:val="1"/>
          <w:sz w:val="24"/>
        </w:rPr>
        <w:t xml:space="preserve"> </w:t>
      </w:r>
      <w:r>
        <w:rPr>
          <w:color w:val="1B1B1B"/>
          <w:sz w:val="24"/>
        </w:rPr>
        <w:t>S.,</w:t>
      </w:r>
      <w:r>
        <w:rPr>
          <w:color w:val="1B1B1B"/>
          <w:spacing w:val="-1"/>
          <w:sz w:val="24"/>
        </w:rPr>
        <w:t xml:space="preserve"> </w:t>
      </w:r>
      <w:proofErr w:type="spellStart"/>
      <w:r>
        <w:rPr>
          <w:color w:val="1B1B1B"/>
          <w:sz w:val="24"/>
        </w:rPr>
        <w:t>Andraus</w:t>
      </w:r>
      <w:proofErr w:type="spellEnd"/>
      <w:r>
        <w:rPr>
          <w:color w:val="1B1B1B"/>
          <w:sz w:val="24"/>
        </w:rPr>
        <w:t>,</w:t>
      </w:r>
      <w:r>
        <w:rPr>
          <w:color w:val="1B1B1B"/>
          <w:spacing w:val="3"/>
          <w:sz w:val="24"/>
        </w:rPr>
        <w:t xml:space="preserve"> </w:t>
      </w:r>
      <w:r>
        <w:rPr>
          <w:color w:val="1B1B1B"/>
          <w:sz w:val="24"/>
        </w:rPr>
        <w:t>G.</w:t>
      </w:r>
      <w:r>
        <w:rPr>
          <w:color w:val="1B1B1B"/>
          <w:spacing w:val="-1"/>
          <w:sz w:val="24"/>
        </w:rPr>
        <w:t xml:space="preserve"> </w:t>
      </w:r>
      <w:r>
        <w:rPr>
          <w:color w:val="1B1B1B"/>
          <w:sz w:val="24"/>
        </w:rPr>
        <w:t>S., Bergamo,</w:t>
      </w:r>
      <w:r>
        <w:rPr>
          <w:color w:val="1B1B1B"/>
          <w:spacing w:val="1"/>
          <w:sz w:val="24"/>
        </w:rPr>
        <w:t xml:space="preserve"> </w:t>
      </w:r>
      <w:r>
        <w:rPr>
          <w:color w:val="1B1B1B"/>
          <w:sz w:val="24"/>
        </w:rPr>
        <w:t>R.,</w:t>
      </w:r>
      <w:r>
        <w:rPr>
          <w:color w:val="1B1B1B"/>
          <w:spacing w:val="1"/>
          <w:sz w:val="24"/>
        </w:rPr>
        <w:t xml:space="preserve"> </w:t>
      </w:r>
      <w:r>
        <w:rPr>
          <w:color w:val="1B1B1B"/>
          <w:sz w:val="24"/>
        </w:rPr>
        <w:t>Rocha,</w:t>
      </w:r>
      <w:r>
        <w:rPr>
          <w:color w:val="1B1B1B"/>
          <w:spacing w:val="2"/>
          <w:sz w:val="24"/>
        </w:rPr>
        <w:t xml:space="preserve"> </w:t>
      </w:r>
      <w:r>
        <w:rPr>
          <w:color w:val="1B1B1B"/>
          <w:sz w:val="24"/>
        </w:rPr>
        <w:t>F.</w:t>
      </w:r>
      <w:r>
        <w:rPr>
          <w:color w:val="1B1B1B"/>
          <w:spacing w:val="1"/>
          <w:sz w:val="24"/>
        </w:rPr>
        <w:t xml:space="preserve"> </w:t>
      </w:r>
      <w:r>
        <w:rPr>
          <w:color w:val="1B1B1B"/>
          <w:sz w:val="24"/>
        </w:rPr>
        <w:t>B.,</w:t>
      </w:r>
      <w:r>
        <w:rPr>
          <w:color w:val="1B1B1B"/>
          <w:spacing w:val="2"/>
          <w:sz w:val="24"/>
        </w:rPr>
        <w:t xml:space="preserve"> </w:t>
      </w:r>
      <w:proofErr w:type="spellStart"/>
      <w:r>
        <w:rPr>
          <w:color w:val="1B1B1B"/>
          <w:spacing w:val="-2"/>
          <w:sz w:val="24"/>
        </w:rPr>
        <w:t>Onishi</w:t>
      </w:r>
      <w:proofErr w:type="spellEnd"/>
      <w:r>
        <w:rPr>
          <w:color w:val="1B1B1B"/>
          <w:spacing w:val="-2"/>
          <w:sz w:val="24"/>
        </w:rPr>
        <w:t>,</w:t>
      </w:r>
    </w:p>
    <w:p w:rsidR="00B84776" w:rsidRDefault="00C65940">
      <w:pPr>
        <w:pStyle w:val="BodyText"/>
        <w:spacing w:before="136" w:line="360" w:lineRule="auto"/>
        <w:ind w:right="98"/>
      </w:pPr>
      <w:r>
        <w:rPr>
          <w:color w:val="1B1B1B"/>
        </w:rPr>
        <w:t>M. C., de Almeida, B. M. M., Nogueira, K. D. S., Dal Lin, A., Dias, V. M. C. H., &amp;</w:t>
      </w:r>
      <w:r>
        <w:rPr>
          <w:color w:val="1B1B1B"/>
          <w:spacing w:val="40"/>
        </w:rPr>
        <w:t xml:space="preserve"> </w:t>
      </w:r>
      <w:r>
        <w:rPr>
          <w:color w:val="1B1B1B"/>
        </w:rPr>
        <w:t>de Abreu, A. L. (2021). The Experience of Implementing a National Antimicrobial Resistance Surveillance System in Bra</w:t>
      </w:r>
      <w:r>
        <w:rPr>
          <w:color w:val="1B1B1B"/>
        </w:rPr>
        <w:t xml:space="preserve">zil. </w:t>
      </w:r>
      <w:r>
        <w:rPr>
          <w:i/>
          <w:color w:val="1B1B1B"/>
        </w:rPr>
        <w:t>Frontiers in public health</w:t>
      </w:r>
      <w:r>
        <w:rPr>
          <w:color w:val="1B1B1B"/>
        </w:rPr>
        <w:t xml:space="preserve">, </w:t>
      </w:r>
      <w:r>
        <w:rPr>
          <w:i/>
          <w:color w:val="1B1B1B"/>
        </w:rPr>
        <w:t>8</w:t>
      </w:r>
      <w:r>
        <w:rPr>
          <w:color w:val="1B1B1B"/>
        </w:rPr>
        <w:t xml:space="preserve">, 575536. </w:t>
      </w:r>
      <w:hyperlink r:id="rId38">
        <w:r>
          <w:rPr>
            <w:color w:val="0000FF"/>
            <w:spacing w:val="-2"/>
            <w:u w:val="single" w:color="0000FF"/>
          </w:rPr>
          <w:t>https://doi.org/10.3389/fpubh.2020.575536</w:t>
        </w:r>
      </w:hyperlink>
    </w:p>
    <w:p w:rsidR="00B84776" w:rsidRDefault="00C65940">
      <w:pPr>
        <w:pStyle w:val="ListParagraph"/>
        <w:numPr>
          <w:ilvl w:val="0"/>
          <w:numId w:val="3"/>
        </w:numPr>
        <w:tabs>
          <w:tab w:val="left" w:pos="460"/>
        </w:tabs>
        <w:spacing w:line="360" w:lineRule="auto"/>
        <w:ind w:right="97" w:firstLine="0"/>
        <w:rPr>
          <w:color w:val="202020"/>
          <w:sz w:val="24"/>
        </w:rPr>
      </w:pPr>
      <w:proofErr w:type="spellStart"/>
      <w:r>
        <w:rPr>
          <w:color w:val="202020"/>
          <w:sz w:val="24"/>
        </w:rPr>
        <w:t>Pavez</w:t>
      </w:r>
      <w:proofErr w:type="spellEnd"/>
      <w:r>
        <w:rPr>
          <w:color w:val="202020"/>
          <w:sz w:val="24"/>
        </w:rPr>
        <w:t xml:space="preserve">, M., </w:t>
      </w:r>
      <w:proofErr w:type="spellStart"/>
      <w:r>
        <w:rPr>
          <w:color w:val="202020"/>
          <w:sz w:val="24"/>
        </w:rPr>
        <w:t>Troncoso</w:t>
      </w:r>
      <w:proofErr w:type="spellEnd"/>
      <w:r>
        <w:rPr>
          <w:color w:val="202020"/>
          <w:sz w:val="24"/>
        </w:rPr>
        <w:t xml:space="preserve">, C., </w:t>
      </w:r>
      <w:proofErr w:type="spellStart"/>
      <w:r>
        <w:rPr>
          <w:color w:val="202020"/>
          <w:sz w:val="24"/>
        </w:rPr>
        <w:t>Osses</w:t>
      </w:r>
      <w:proofErr w:type="spellEnd"/>
      <w:r>
        <w:rPr>
          <w:color w:val="202020"/>
          <w:sz w:val="24"/>
        </w:rPr>
        <w:t xml:space="preserve">, I., Salazar, R., </w:t>
      </w:r>
      <w:proofErr w:type="spellStart"/>
      <w:r>
        <w:rPr>
          <w:color w:val="202020"/>
          <w:sz w:val="24"/>
        </w:rPr>
        <w:t>Illesca</w:t>
      </w:r>
      <w:proofErr w:type="spellEnd"/>
      <w:r>
        <w:rPr>
          <w:color w:val="202020"/>
          <w:sz w:val="24"/>
        </w:rPr>
        <w:t xml:space="preserve">, V., </w:t>
      </w:r>
      <w:proofErr w:type="spellStart"/>
      <w:r>
        <w:rPr>
          <w:color w:val="202020"/>
          <w:sz w:val="24"/>
        </w:rPr>
        <w:t>Reydet</w:t>
      </w:r>
      <w:proofErr w:type="spellEnd"/>
      <w:r>
        <w:rPr>
          <w:color w:val="202020"/>
          <w:sz w:val="24"/>
        </w:rPr>
        <w:t xml:space="preserve">, P., Rodríguez, C., </w:t>
      </w:r>
      <w:proofErr w:type="spellStart"/>
      <w:r>
        <w:rPr>
          <w:color w:val="202020"/>
          <w:sz w:val="24"/>
        </w:rPr>
        <w:t>Chahin</w:t>
      </w:r>
      <w:proofErr w:type="spellEnd"/>
      <w:r>
        <w:rPr>
          <w:color w:val="202020"/>
          <w:sz w:val="24"/>
        </w:rPr>
        <w:t xml:space="preserve">, C., Concha, </w:t>
      </w:r>
      <w:r>
        <w:rPr>
          <w:color w:val="202020"/>
          <w:sz w:val="24"/>
        </w:rPr>
        <w:t xml:space="preserve">C., &amp; Barrientos, L. (2019). High prevalence of CTX-M-1 group in ESBL-producing </w:t>
      </w:r>
      <w:proofErr w:type="spellStart"/>
      <w:r>
        <w:rPr>
          <w:color w:val="202020"/>
          <w:sz w:val="24"/>
        </w:rPr>
        <w:t>enterobacteriaceae</w:t>
      </w:r>
      <w:proofErr w:type="spellEnd"/>
      <w:r>
        <w:rPr>
          <w:color w:val="202020"/>
          <w:sz w:val="24"/>
        </w:rPr>
        <w:t xml:space="preserve"> infection in intensive care units in southern Chile.</w:t>
      </w:r>
      <w:r>
        <w:rPr>
          <w:color w:val="202020"/>
          <w:spacing w:val="-2"/>
          <w:sz w:val="24"/>
        </w:rPr>
        <w:t xml:space="preserve"> </w:t>
      </w:r>
      <w:r>
        <w:rPr>
          <w:i/>
          <w:color w:val="202020"/>
          <w:sz w:val="24"/>
        </w:rPr>
        <w:t>The</w:t>
      </w:r>
      <w:r>
        <w:rPr>
          <w:i/>
          <w:color w:val="202020"/>
          <w:spacing w:val="-1"/>
          <w:sz w:val="24"/>
        </w:rPr>
        <w:t xml:space="preserve"> </w:t>
      </w:r>
      <w:r>
        <w:rPr>
          <w:i/>
          <w:color w:val="202020"/>
          <w:sz w:val="24"/>
        </w:rPr>
        <w:t>Brazilian</w:t>
      </w:r>
      <w:r>
        <w:rPr>
          <w:i/>
          <w:color w:val="202020"/>
          <w:spacing w:val="-2"/>
          <w:sz w:val="24"/>
        </w:rPr>
        <w:t xml:space="preserve"> </w:t>
      </w:r>
      <w:r>
        <w:rPr>
          <w:i/>
          <w:color w:val="202020"/>
          <w:sz w:val="24"/>
        </w:rPr>
        <w:t>journal</w:t>
      </w:r>
      <w:r>
        <w:rPr>
          <w:i/>
          <w:color w:val="202020"/>
          <w:spacing w:val="-2"/>
          <w:sz w:val="24"/>
        </w:rPr>
        <w:t xml:space="preserve"> </w:t>
      </w:r>
      <w:r>
        <w:rPr>
          <w:i/>
          <w:color w:val="202020"/>
          <w:sz w:val="24"/>
        </w:rPr>
        <w:t>of infectious</w:t>
      </w:r>
      <w:r>
        <w:rPr>
          <w:i/>
          <w:color w:val="202020"/>
          <w:spacing w:val="-2"/>
          <w:sz w:val="24"/>
        </w:rPr>
        <w:t xml:space="preserve"> </w:t>
      </w:r>
      <w:proofErr w:type="gramStart"/>
      <w:r>
        <w:rPr>
          <w:i/>
          <w:color w:val="202020"/>
          <w:sz w:val="24"/>
        </w:rPr>
        <w:t>diseases :</w:t>
      </w:r>
      <w:proofErr w:type="gramEnd"/>
      <w:r>
        <w:rPr>
          <w:i/>
          <w:color w:val="202020"/>
          <w:spacing w:val="-1"/>
          <w:sz w:val="24"/>
        </w:rPr>
        <w:t xml:space="preserve"> </w:t>
      </w:r>
      <w:r>
        <w:rPr>
          <w:i/>
          <w:color w:val="202020"/>
          <w:sz w:val="24"/>
        </w:rPr>
        <w:t>an official</w:t>
      </w:r>
      <w:r>
        <w:rPr>
          <w:i/>
          <w:color w:val="202020"/>
          <w:spacing w:val="-2"/>
          <w:sz w:val="24"/>
        </w:rPr>
        <w:t xml:space="preserve"> </w:t>
      </w:r>
      <w:r>
        <w:rPr>
          <w:i/>
          <w:color w:val="202020"/>
          <w:sz w:val="24"/>
        </w:rPr>
        <w:t>publication</w:t>
      </w:r>
      <w:r>
        <w:rPr>
          <w:i/>
          <w:color w:val="202020"/>
          <w:spacing w:val="-2"/>
          <w:sz w:val="24"/>
        </w:rPr>
        <w:t xml:space="preserve"> </w:t>
      </w:r>
      <w:r>
        <w:rPr>
          <w:i/>
          <w:color w:val="202020"/>
          <w:sz w:val="24"/>
        </w:rPr>
        <w:t xml:space="preserve">of the Brazilian Society of </w:t>
      </w:r>
      <w:r>
        <w:rPr>
          <w:i/>
          <w:color w:val="202020"/>
          <w:sz w:val="24"/>
        </w:rPr>
        <w:t>Infectious Diseases</w:t>
      </w:r>
      <w:r>
        <w:rPr>
          <w:color w:val="202020"/>
          <w:sz w:val="24"/>
        </w:rPr>
        <w:t xml:space="preserve">, </w:t>
      </w:r>
      <w:r>
        <w:rPr>
          <w:i/>
          <w:color w:val="202020"/>
          <w:sz w:val="24"/>
        </w:rPr>
        <w:t>23</w:t>
      </w:r>
      <w:r>
        <w:rPr>
          <w:color w:val="202020"/>
          <w:sz w:val="24"/>
        </w:rPr>
        <w:t xml:space="preserve">(2), 102–110. </w:t>
      </w:r>
      <w:hyperlink r:id="rId39">
        <w:r>
          <w:rPr>
            <w:color w:val="0000FF"/>
            <w:spacing w:val="-2"/>
            <w:sz w:val="24"/>
            <w:u w:val="single" w:color="0000FF"/>
          </w:rPr>
          <w:t>https://doi.org/10.1016/j.bjid.2019.03.002</w:t>
        </w:r>
      </w:hyperlink>
    </w:p>
    <w:p w:rsidR="00B84776" w:rsidRDefault="00C65940">
      <w:pPr>
        <w:pStyle w:val="ListParagraph"/>
        <w:numPr>
          <w:ilvl w:val="0"/>
          <w:numId w:val="3"/>
        </w:numPr>
        <w:tabs>
          <w:tab w:val="left" w:pos="460"/>
        </w:tabs>
        <w:spacing w:line="360" w:lineRule="auto"/>
        <w:ind w:right="97" w:firstLine="0"/>
        <w:rPr>
          <w:sz w:val="24"/>
        </w:rPr>
      </w:pPr>
      <w:proofErr w:type="spellStart"/>
      <w:r>
        <w:rPr>
          <w:color w:val="202020"/>
          <w:sz w:val="24"/>
        </w:rPr>
        <w:t>Woerther</w:t>
      </w:r>
      <w:proofErr w:type="spellEnd"/>
      <w:r>
        <w:rPr>
          <w:color w:val="202020"/>
          <w:sz w:val="24"/>
        </w:rPr>
        <w:t xml:space="preserve">, P. L., </w:t>
      </w:r>
      <w:proofErr w:type="spellStart"/>
      <w:r>
        <w:rPr>
          <w:color w:val="202020"/>
          <w:sz w:val="24"/>
        </w:rPr>
        <w:t>Burdet</w:t>
      </w:r>
      <w:proofErr w:type="spellEnd"/>
      <w:r>
        <w:rPr>
          <w:color w:val="202020"/>
          <w:sz w:val="24"/>
        </w:rPr>
        <w:t xml:space="preserve">, C., </w:t>
      </w:r>
      <w:proofErr w:type="spellStart"/>
      <w:r>
        <w:rPr>
          <w:color w:val="202020"/>
          <w:sz w:val="24"/>
        </w:rPr>
        <w:t>Chachaty</w:t>
      </w:r>
      <w:proofErr w:type="spellEnd"/>
      <w:r>
        <w:rPr>
          <w:color w:val="202020"/>
          <w:sz w:val="24"/>
        </w:rPr>
        <w:t xml:space="preserve">, E., &amp; </w:t>
      </w:r>
      <w:proofErr w:type="spellStart"/>
      <w:r>
        <w:rPr>
          <w:color w:val="202020"/>
          <w:sz w:val="24"/>
        </w:rPr>
        <w:t>Andremont</w:t>
      </w:r>
      <w:proofErr w:type="spellEnd"/>
      <w:r>
        <w:rPr>
          <w:color w:val="202020"/>
          <w:sz w:val="24"/>
        </w:rPr>
        <w:t>, A. (2013). Trends in human fecal carriage of extended-spec</w:t>
      </w:r>
      <w:r>
        <w:rPr>
          <w:color w:val="202020"/>
          <w:sz w:val="24"/>
        </w:rPr>
        <w:t xml:space="preserve">trum β-lactamases in the community: toward the globalization of CTX-M. </w:t>
      </w:r>
      <w:r>
        <w:rPr>
          <w:i/>
          <w:color w:val="202020"/>
          <w:sz w:val="24"/>
        </w:rPr>
        <w:t>Clinical microbiology reviews</w:t>
      </w:r>
      <w:r>
        <w:rPr>
          <w:color w:val="202020"/>
          <w:sz w:val="24"/>
        </w:rPr>
        <w:t xml:space="preserve">, </w:t>
      </w:r>
      <w:r>
        <w:rPr>
          <w:i/>
          <w:color w:val="202020"/>
          <w:sz w:val="24"/>
        </w:rPr>
        <w:t>26</w:t>
      </w:r>
      <w:r>
        <w:rPr>
          <w:color w:val="202020"/>
          <w:sz w:val="24"/>
        </w:rPr>
        <w:t xml:space="preserve">(4), 744–758. </w:t>
      </w:r>
      <w:hyperlink r:id="rId40">
        <w:r>
          <w:rPr>
            <w:color w:val="0000FF"/>
            <w:spacing w:val="-2"/>
            <w:sz w:val="24"/>
            <w:u w:val="single" w:color="0000FF"/>
          </w:rPr>
          <w:t>https://doi.org/10.1128/CMR.00023-13</w:t>
        </w:r>
      </w:hyperlink>
    </w:p>
    <w:p w:rsidR="00B84776" w:rsidRDefault="00B84776">
      <w:pPr>
        <w:pStyle w:val="ListParagraph"/>
        <w:spacing w:line="360" w:lineRule="auto"/>
        <w:rPr>
          <w:sz w:val="24"/>
        </w:rPr>
        <w:sectPr w:rsidR="00B84776">
          <w:pgSz w:w="11910" w:h="16840"/>
          <w:pgMar w:top="1360" w:right="1700" w:bottom="280" w:left="1700" w:header="720" w:footer="720" w:gutter="0"/>
          <w:cols w:space="720"/>
        </w:sectPr>
      </w:pPr>
    </w:p>
    <w:p w:rsidR="00B84776" w:rsidRDefault="00C65940">
      <w:pPr>
        <w:pStyle w:val="ListParagraph"/>
        <w:numPr>
          <w:ilvl w:val="0"/>
          <w:numId w:val="3"/>
        </w:numPr>
        <w:tabs>
          <w:tab w:val="left" w:pos="460"/>
        </w:tabs>
        <w:spacing w:before="62" w:line="360" w:lineRule="auto"/>
        <w:ind w:right="98" w:firstLine="0"/>
        <w:rPr>
          <w:sz w:val="24"/>
        </w:rPr>
      </w:pPr>
      <w:proofErr w:type="spellStart"/>
      <w:r>
        <w:rPr>
          <w:sz w:val="24"/>
        </w:rPr>
        <w:lastRenderedPageBreak/>
        <w:t>Carattoli</w:t>
      </w:r>
      <w:proofErr w:type="spellEnd"/>
      <w:r>
        <w:rPr>
          <w:sz w:val="24"/>
        </w:rPr>
        <w:t xml:space="preserve">, A. (2013). Plasmids </w:t>
      </w:r>
      <w:r>
        <w:rPr>
          <w:sz w:val="24"/>
        </w:rPr>
        <w:t xml:space="preserve">and the spread of resistance. </w:t>
      </w:r>
      <w:r>
        <w:rPr>
          <w:i/>
          <w:sz w:val="24"/>
        </w:rPr>
        <w:t>International Journal of Medical Microbiology</w:t>
      </w:r>
      <w:r>
        <w:rPr>
          <w:sz w:val="24"/>
        </w:rPr>
        <w:t>, 303(6-7), 298–304.</w:t>
      </w:r>
    </w:p>
    <w:p w:rsidR="00B84776" w:rsidRDefault="00C65940">
      <w:pPr>
        <w:pStyle w:val="ListParagraph"/>
        <w:numPr>
          <w:ilvl w:val="0"/>
          <w:numId w:val="3"/>
        </w:numPr>
        <w:tabs>
          <w:tab w:val="left" w:pos="460"/>
        </w:tabs>
        <w:spacing w:line="360" w:lineRule="auto"/>
        <w:ind w:right="97" w:firstLine="0"/>
        <w:rPr>
          <w:sz w:val="24"/>
        </w:rPr>
      </w:pPr>
      <w:r>
        <w:rPr>
          <w:sz w:val="24"/>
        </w:rPr>
        <w:t xml:space="preserve">Van </w:t>
      </w:r>
      <w:proofErr w:type="spellStart"/>
      <w:r>
        <w:rPr>
          <w:sz w:val="24"/>
        </w:rPr>
        <w:t>Boeckel</w:t>
      </w:r>
      <w:proofErr w:type="spellEnd"/>
      <w:r>
        <w:rPr>
          <w:sz w:val="24"/>
        </w:rPr>
        <w:t xml:space="preserve">, T. P., Brower, C., Gilbert, M., Grenfell, B. T., Levin, S. A., Robinson, T. P., </w:t>
      </w:r>
      <w:proofErr w:type="spellStart"/>
      <w:r>
        <w:rPr>
          <w:sz w:val="24"/>
        </w:rPr>
        <w:t>Teillant</w:t>
      </w:r>
      <w:proofErr w:type="spellEnd"/>
      <w:r>
        <w:rPr>
          <w:sz w:val="24"/>
        </w:rPr>
        <w:t xml:space="preserve">, A., &amp; </w:t>
      </w:r>
      <w:proofErr w:type="spellStart"/>
      <w:r>
        <w:rPr>
          <w:sz w:val="24"/>
        </w:rPr>
        <w:t>Laxminarayan</w:t>
      </w:r>
      <w:proofErr w:type="spellEnd"/>
      <w:r>
        <w:rPr>
          <w:sz w:val="24"/>
        </w:rPr>
        <w:t>, R. (2015). Global trends in antimicro</w:t>
      </w:r>
      <w:r>
        <w:rPr>
          <w:sz w:val="24"/>
        </w:rPr>
        <w:t xml:space="preserve">bial use in food animals. </w:t>
      </w:r>
      <w:r>
        <w:rPr>
          <w:i/>
          <w:sz w:val="24"/>
        </w:rPr>
        <w:t>Proceedings of the National Academy of Sciences</w:t>
      </w:r>
      <w:r>
        <w:rPr>
          <w:sz w:val="24"/>
        </w:rPr>
        <w:t xml:space="preserve">, </w:t>
      </w:r>
      <w:r>
        <w:rPr>
          <w:i/>
          <w:sz w:val="24"/>
        </w:rPr>
        <w:t>112</w:t>
      </w:r>
      <w:r>
        <w:rPr>
          <w:sz w:val="24"/>
        </w:rPr>
        <w:t>(18), 5649-5654.</w:t>
      </w:r>
    </w:p>
    <w:p w:rsidR="00B84776" w:rsidRDefault="00C65940">
      <w:pPr>
        <w:pStyle w:val="ListParagraph"/>
        <w:numPr>
          <w:ilvl w:val="0"/>
          <w:numId w:val="3"/>
        </w:numPr>
        <w:tabs>
          <w:tab w:val="left" w:pos="460"/>
        </w:tabs>
        <w:spacing w:line="360" w:lineRule="auto"/>
        <w:ind w:right="100" w:firstLine="0"/>
        <w:rPr>
          <w:color w:val="222222"/>
          <w:sz w:val="24"/>
        </w:rPr>
      </w:pPr>
      <w:r>
        <w:rPr>
          <w:sz w:val="24"/>
        </w:rPr>
        <w:t xml:space="preserve">O'Neill, J. (2016). Tackling drug-resistant infections globally: Final report and recommendations. </w:t>
      </w:r>
      <w:r>
        <w:rPr>
          <w:i/>
          <w:sz w:val="24"/>
        </w:rPr>
        <w:t>Review on Antimicrobial Resistance</w:t>
      </w:r>
      <w:r>
        <w:rPr>
          <w:sz w:val="24"/>
        </w:rPr>
        <w:t xml:space="preserve">. </w:t>
      </w:r>
      <w:hyperlink r:id="rId41">
        <w:r>
          <w:rPr>
            <w:color w:val="0000FF"/>
            <w:sz w:val="24"/>
            <w:u w:val="single" w:color="0000FF"/>
          </w:rPr>
          <w:t>https://amr-review.org</w:t>
        </w:r>
      </w:hyperlink>
    </w:p>
    <w:p w:rsidR="00B84776" w:rsidRDefault="00C65940">
      <w:pPr>
        <w:pStyle w:val="ListParagraph"/>
        <w:numPr>
          <w:ilvl w:val="0"/>
          <w:numId w:val="3"/>
        </w:numPr>
        <w:tabs>
          <w:tab w:val="left" w:pos="460"/>
        </w:tabs>
        <w:spacing w:line="360" w:lineRule="auto"/>
        <w:ind w:right="99" w:firstLine="0"/>
        <w:rPr>
          <w:color w:val="202020"/>
          <w:sz w:val="24"/>
        </w:rPr>
      </w:pPr>
      <w:proofErr w:type="spellStart"/>
      <w:r>
        <w:rPr>
          <w:color w:val="222222"/>
          <w:sz w:val="24"/>
        </w:rPr>
        <w:t>Ayukekbong</w:t>
      </w:r>
      <w:proofErr w:type="spellEnd"/>
      <w:r>
        <w:rPr>
          <w:color w:val="222222"/>
          <w:sz w:val="24"/>
        </w:rPr>
        <w:t xml:space="preserve">, J.A., </w:t>
      </w:r>
      <w:proofErr w:type="spellStart"/>
      <w:r>
        <w:rPr>
          <w:color w:val="222222"/>
          <w:sz w:val="24"/>
        </w:rPr>
        <w:t>Ntemgwa</w:t>
      </w:r>
      <w:proofErr w:type="spellEnd"/>
      <w:r>
        <w:rPr>
          <w:color w:val="222222"/>
          <w:sz w:val="24"/>
        </w:rPr>
        <w:t xml:space="preserve">, M. and </w:t>
      </w:r>
      <w:proofErr w:type="spellStart"/>
      <w:r>
        <w:rPr>
          <w:color w:val="222222"/>
          <w:sz w:val="24"/>
        </w:rPr>
        <w:t>Atabe</w:t>
      </w:r>
      <w:proofErr w:type="spellEnd"/>
      <w:r>
        <w:rPr>
          <w:color w:val="222222"/>
          <w:sz w:val="24"/>
        </w:rPr>
        <w:t>, A.N. (2017) The Threat of Antimicrobial Resistance in Developing Countries: Causes and Control Strategies. Antimicrobial Resistance and Infection Control, 6, 47.</w:t>
      </w:r>
    </w:p>
    <w:p w:rsidR="00B84776" w:rsidRDefault="00C65940">
      <w:pPr>
        <w:pStyle w:val="BodyText"/>
        <w:jc w:val="left"/>
      </w:pPr>
      <w:hyperlink r:id="rId42">
        <w:r>
          <w:rPr>
            <w:color w:val="0000FF"/>
            <w:spacing w:val="-2"/>
            <w:u w:val="single" w:color="0000FF"/>
          </w:rPr>
          <w:t>https://doi.org/10.1186/s13756-017-0208-</w:t>
        </w:r>
        <w:r>
          <w:rPr>
            <w:color w:val="0000FF"/>
            <w:spacing w:val="-10"/>
            <w:u w:val="single" w:color="0000FF"/>
          </w:rPr>
          <w:t>x</w:t>
        </w:r>
      </w:hyperlink>
    </w:p>
    <w:p w:rsidR="00B84776" w:rsidRDefault="00C65940">
      <w:pPr>
        <w:pStyle w:val="ListParagraph"/>
        <w:numPr>
          <w:ilvl w:val="0"/>
          <w:numId w:val="3"/>
        </w:numPr>
        <w:tabs>
          <w:tab w:val="left" w:pos="460"/>
        </w:tabs>
        <w:spacing w:before="136" w:line="360" w:lineRule="auto"/>
        <w:ind w:right="97" w:firstLine="0"/>
        <w:rPr>
          <w:color w:val="202020"/>
          <w:sz w:val="24"/>
        </w:rPr>
      </w:pPr>
      <w:proofErr w:type="spellStart"/>
      <w:r>
        <w:rPr>
          <w:color w:val="202020"/>
          <w:sz w:val="24"/>
        </w:rPr>
        <w:t>Ogbolu</w:t>
      </w:r>
      <w:proofErr w:type="spellEnd"/>
      <w:r>
        <w:rPr>
          <w:color w:val="202020"/>
          <w:sz w:val="24"/>
        </w:rPr>
        <w:t>,</w:t>
      </w:r>
      <w:r>
        <w:rPr>
          <w:color w:val="202020"/>
          <w:spacing w:val="-3"/>
          <w:sz w:val="24"/>
        </w:rPr>
        <w:t xml:space="preserve"> </w:t>
      </w:r>
      <w:r>
        <w:rPr>
          <w:color w:val="202020"/>
          <w:sz w:val="24"/>
        </w:rPr>
        <w:t>D.</w:t>
      </w:r>
      <w:r>
        <w:rPr>
          <w:color w:val="202020"/>
          <w:spacing w:val="-1"/>
          <w:sz w:val="24"/>
        </w:rPr>
        <w:t xml:space="preserve"> </w:t>
      </w:r>
      <w:r>
        <w:rPr>
          <w:color w:val="202020"/>
          <w:sz w:val="24"/>
        </w:rPr>
        <w:t xml:space="preserve">O., </w:t>
      </w:r>
      <w:proofErr w:type="spellStart"/>
      <w:r>
        <w:rPr>
          <w:color w:val="202020"/>
          <w:sz w:val="24"/>
        </w:rPr>
        <w:t>Daini</w:t>
      </w:r>
      <w:proofErr w:type="spellEnd"/>
      <w:r>
        <w:rPr>
          <w:color w:val="202020"/>
          <w:sz w:val="24"/>
        </w:rPr>
        <w:t>,</w:t>
      </w:r>
      <w:r>
        <w:rPr>
          <w:color w:val="202020"/>
          <w:spacing w:val="-1"/>
          <w:sz w:val="24"/>
        </w:rPr>
        <w:t xml:space="preserve"> </w:t>
      </w:r>
      <w:r>
        <w:rPr>
          <w:color w:val="202020"/>
          <w:sz w:val="24"/>
        </w:rPr>
        <w:t>O.</w:t>
      </w:r>
      <w:r>
        <w:rPr>
          <w:color w:val="202020"/>
          <w:spacing w:val="-3"/>
          <w:sz w:val="24"/>
        </w:rPr>
        <w:t xml:space="preserve"> </w:t>
      </w:r>
      <w:r>
        <w:rPr>
          <w:color w:val="202020"/>
          <w:sz w:val="24"/>
        </w:rPr>
        <w:t>A.,</w:t>
      </w:r>
      <w:r>
        <w:rPr>
          <w:color w:val="202020"/>
          <w:spacing w:val="-1"/>
          <w:sz w:val="24"/>
        </w:rPr>
        <w:t xml:space="preserve"> </w:t>
      </w:r>
      <w:proofErr w:type="spellStart"/>
      <w:r>
        <w:rPr>
          <w:color w:val="202020"/>
          <w:sz w:val="24"/>
        </w:rPr>
        <w:t>Ogunledun</w:t>
      </w:r>
      <w:proofErr w:type="spellEnd"/>
      <w:r>
        <w:rPr>
          <w:color w:val="202020"/>
          <w:sz w:val="24"/>
        </w:rPr>
        <w:t>,</w:t>
      </w:r>
      <w:r>
        <w:rPr>
          <w:color w:val="202020"/>
          <w:spacing w:val="-1"/>
          <w:sz w:val="24"/>
        </w:rPr>
        <w:t xml:space="preserve"> </w:t>
      </w:r>
      <w:r>
        <w:rPr>
          <w:color w:val="202020"/>
          <w:sz w:val="24"/>
        </w:rPr>
        <w:t>A.,</w:t>
      </w:r>
      <w:r>
        <w:rPr>
          <w:color w:val="202020"/>
          <w:spacing w:val="-1"/>
          <w:sz w:val="24"/>
        </w:rPr>
        <w:t xml:space="preserve"> </w:t>
      </w:r>
      <w:r>
        <w:rPr>
          <w:color w:val="202020"/>
          <w:sz w:val="24"/>
        </w:rPr>
        <w:t>Alli,</w:t>
      </w:r>
      <w:r>
        <w:rPr>
          <w:color w:val="202020"/>
          <w:spacing w:val="-1"/>
          <w:sz w:val="24"/>
        </w:rPr>
        <w:t xml:space="preserve"> </w:t>
      </w:r>
      <w:r>
        <w:rPr>
          <w:color w:val="202020"/>
          <w:sz w:val="24"/>
        </w:rPr>
        <w:t>A.</w:t>
      </w:r>
      <w:r>
        <w:rPr>
          <w:color w:val="202020"/>
          <w:spacing w:val="-1"/>
          <w:sz w:val="24"/>
        </w:rPr>
        <w:t xml:space="preserve"> </w:t>
      </w:r>
      <w:r>
        <w:rPr>
          <w:color w:val="202020"/>
          <w:sz w:val="24"/>
        </w:rPr>
        <w:t>O.,</w:t>
      </w:r>
      <w:r>
        <w:rPr>
          <w:color w:val="202020"/>
          <w:spacing w:val="-1"/>
          <w:sz w:val="24"/>
        </w:rPr>
        <w:t xml:space="preserve"> </w:t>
      </w:r>
      <w:r>
        <w:rPr>
          <w:color w:val="202020"/>
          <w:sz w:val="24"/>
        </w:rPr>
        <w:t>&amp;</w:t>
      </w:r>
      <w:r>
        <w:rPr>
          <w:color w:val="202020"/>
          <w:spacing w:val="-3"/>
          <w:sz w:val="24"/>
        </w:rPr>
        <w:t xml:space="preserve"> </w:t>
      </w:r>
      <w:r>
        <w:rPr>
          <w:color w:val="202020"/>
          <w:sz w:val="24"/>
        </w:rPr>
        <w:t>Webber,</w:t>
      </w:r>
      <w:r>
        <w:rPr>
          <w:color w:val="202020"/>
          <w:spacing w:val="-1"/>
          <w:sz w:val="24"/>
        </w:rPr>
        <w:t xml:space="preserve"> </w:t>
      </w:r>
      <w:r>
        <w:rPr>
          <w:color w:val="202020"/>
          <w:sz w:val="24"/>
        </w:rPr>
        <w:t>M.</w:t>
      </w:r>
      <w:r>
        <w:rPr>
          <w:color w:val="202020"/>
          <w:spacing w:val="-1"/>
          <w:sz w:val="24"/>
        </w:rPr>
        <w:t xml:space="preserve"> </w:t>
      </w:r>
      <w:r>
        <w:rPr>
          <w:color w:val="202020"/>
          <w:sz w:val="24"/>
        </w:rPr>
        <w:t>A.</w:t>
      </w:r>
      <w:r>
        <w:rPr>
          <w:color w:val="202020"/>
          <w:spacing w:val="-1"/>
          <w:sz w:val="24"/>
        </w:rPr>
        <w:t xml:space="preserve"> </w:t>
      </w:r>
      <w:r>
        <w:rPr>
          <w:color w:val="202020"/>
          <w:sz w:val="24"/>
        </w:rPr>
        <w:t>(2011). High levels of multidrug resistance in clinical isolates of Gram-negativ</w:t>
      </w:r>
      <w:r>
        <w:rPr>
          <w:color w:val="202020"/>
          <w:sz w:val="24"/>
        </w:rPr>
        <w:t xml:space="preserve">e pathogens from Nigeria. </w:t>
      </w:r>
      <w:r>
        <w:rPr>
          <w:i/>
          <w:color w:val="202020"/>
          <w:sz w:val="24"/>
        </w:rPr>
        <w:t>International journal of antimicrobial agents</w:t>
      </w:r>
      <w:r>
        <w:rPr>
          <w:color w:val="202020"/>
          <w:sz w:val="24"/>
        </w:rPr>
        <w:t xml:space="preserve">, </w:t>
      </w:r>
      <w:r>
        <w:rPr>
          <w:i/>
          <w:color w:val="202020"/>
          <w:sz w:val="24"/>
        </w:rPr>
        <w:t>37</w:t>
      </w:r>
      <w:r>
        <w:rPr>
          <w:color w:val="202020"/>
          <w:sz w:val="24"/>
        </w:rPr>
        <w:t xml:space="preserve">(1), 62–66. </w:t>
      </w:r>
      <w:hyperlink r:id="rId43">
        <w:r>
          <w:rPr>
            <w:color w:val="0000FF"/>
            <w:spacing w:val="-2"/>
            <w:sz w:val="24"/>
            <w:u w:val="single" w:color="0000FF"/>
          </w:rPr>
          <w:t>https://doi.org/10.1016/j.ijantimicag.2010.08.019</w:t>
        </w:r>
      </w:hyperlink>
    </w:p>
    <w:p w:rsidR="00B84776" w:rsidRDefault="00C65940">
      <w:pPr>
        <w:pStyle w:val="ListParagraph"/>
        <w:numPr>
          <w:ilvl w:val="0"/>
          <w:numId w:val="3"/>
        </w:numPr>
        <w:tabs>
          <w:tab w:val="left" w:pos="460"/>
        </w:tabs>
        <w:ind w:left="460" w:hanging="360"/>
        <w:rPr>
          <w:sz w:val="24"/>
        </w:rPr>
      </w:pPr>
      <w:proofErr w:type="spellStart"/>
      <w:r>
        <w:rPr>
          <w:color w:val="202020"/>
          <w:sz w:val="24"/>
        </w:rPr>
        <w:t>Adekanmbi</w:t>
      </w:r>
      <w:proofErr w:type="spellEnd"/>
      <w:r>
        <w:rPr>
          <w:color w:val="202020"/>
          <w:sz w:val="24"/>
        </w:rPr>
        <w:t>, A.</w:t>
      </w:r>
      <w:r>
        <w:rPr>
          <w:color w:val="202020"/>
          <w:spacing w:val="6"/>
          <w:sz w:val="24"/>
        </w:rPr>
        <w:t xml:space="preserve"> </w:t>
      </w:r>
      <w:r>
        <w:rPr>
          <w:color w:val="202020"/>
          <w:sz w:val="24"/>
        </w:rPr>
        <w:t>O.,</w:t>
      </w:r>
      <w:r>
        <w:rPr>
          <w:color w:val="202020"/>
          <w:spacing w:val="2"/>
          <w:sz w:val="24"/>
        </w:rPr>
        <w:t xml:space="preserve"> </w:t>
      </w:r>
      <w:proofErr w:type="spellStart"/>
      <w:r>
        <w:rPr>
          <w:color w:val="202020"/>
          <w:sz w:val="24"/>
        </w:rPr>
        <w:t>Akinlabi</w:t>
      </w:r>
      <w:proofErr w:type="spellEnd"/>
      <w:r>
        <w:rPr>
          <w:color w:val="202020"/>
          <w:sz w:val="24"/>
        </w:rPr>
        <w:t>,</w:t>
      </w:r>
      <w:r>
        <w:rPr>
          <w:color w:val="202020"/>
          <w:spacing w:val="3"/>
          <w:sz w:val="24"/>
        </w:rPr>
        <w:t xml:space="preserve"> </w:t>
      </w:r>
      <w:r>
        <w:rPr>
          <w:color w:val="202020"/>
          <w:sz w:val="24"/>
        </w:rPr>
        <w:t>O.</w:t>
      </w:r>
      <w:r>
        <w:rPr>
          <w:color w:val="202020"/>
          <w:spacing w:val="5"/>
          <w:sz w:val="24"/>
        </w:rPr>
        <w:t xml:space="preserve"> </w:t>
      </w:r>
      <w:r>
        <w:rPr>
          <w:color w:val="202020"/>
          <w:sz w:val="24"/>
        </w:rPr>
        <w:t>C.,</w:t>
      </w:r>
      <w:r>
        <w:rPr>
          <w:color w:val="202020"/>
          <w:spacing w:val="1"/>
          <w:sz w:val="24"/>
        </w:rPr>
        <w:t xml:space="preserve"> </w:t>
      </w:r>
      <w:proofErr w:type="spellStart"/>
      <w:r>
        <w:rPr>
          <w:color w:val="202020"/>
          <w:sz w:val="24"/>
        </w:rPr>
        <w:t>Usidamen</w:t>
      </w:r>
      <w:proofErr w:type="spellEnd"/>
      <w:r>
        <w:rPr>
          <w:color w:val="202020"/>
          <w:sz w:val="24"/>
        </w:rPr>
        <w:t>,</w:t>
      </w:r>
      <w:r>
        <w:rPr>
          <w:color w:val="202020"/>
          <w:spacing w:val="5"/>
          <w:sz w:val="24"/>
        </w:rPr>
        <w:t xml:space="preserve"> </w:t>
      </w:r>
      <w:r>
        <w:rPr>
          <w:color w:val="202020"/>
          <w:sz w:val="24"/>
        </w:rPr>
        <w:t>S.,</w:t>
      </w:r>
      <w:r>
        <w:rPr>
          <w:color w:val="202020"/>
          <w:spacing w:val="3"/>
          <w:sz w:val="24"/>
        </w:rPr>
        <w:t xml:space="preserve"> </w:t>
      </w:r>
      <w:proofErr w:type="spellStart"/>
      <w:r>
        <w:rPr>
          <w:color w:val="202020"/>
          <w:sz w:val="24"/>
        </w:rPr>
        <w:t>Olaposi</w:t>
      </w:r>
      <w:proofErr w:type="spellEnd"/>
      <w:r>
        <w:rPr>
          <w:color w:val="202020"/>
          <w:sz w:val="24"/>
        </w:rPr>
        <w:t>,</w:t>
      </w:r>
      <w:r>
        <w:rPr>
          <w:color w:val="202020"/>
          <w:spacing w:val="2"/>
          <w:sz w:val="24"/>
        </w:rPr>
        <w:t xml:space="preserve"> </w:t>
      </w:r>
      <w:r>
        <w:rPr>
          <w:color w:val="202020"/>
          <w:sz w:val="24"/>
        </w:rPr>
        <w:t>A.</w:t>
      </w:r>
      <w:r>
        <w:rPr>
          <w:color w:val="202020"/>
          <w:spacing w:val="3"/>
          <w:sz w:val="24"/>
        </w:rPr>
        <w:t xml:space="preserve"> </w:t>
      </w:r>
      <w:r>
        <w:rPr>
          <w:color w:val="202020"/>
          <w:sz w:val="24"/>
        </w:rPr>
        <w:t>V.,</w:t>
      </w:r>
      <w:r>
        <w:rPr>
          <w:color w:val="202020"/>
          <w:spacing w:val="5"/>
          <w:sz w:val="24"/>
        </w:rPr>
        <w:t xml:space="preserve"> </w:t>
      </w:r>
      <w:r>
        <w:rPr>
          <w:color w:val="202020"/>
          <w:sz w:val="24"/>
        </w:rPr>
        <w:t>&amp;</w:t>
      </w:r>
      <w:r>
        <w:rPr>
          <w:color w:val="202020"/>
          <w:spacing w:val="4"/>
          <w:sz w:val="24"/>
        </w:rPr>
        <w:t xml:space="preserve"> </w:t>
      </w:r>
      <w:r>
        <w:rPr>
          <w:color w:val="202020"/>
          <w:sz w:val="24"/>
        </w:rPr>
        <w:t>Olaniyan,</w:t>
      </w:r>
      <w:r>
        <w:rPr>
          <w:color w:val="202020"/>
          <w:spacing w:val="3"/>
          <w:sz w:val="24"/>
        </w:rPr>
        <w:t xml:space="preserve"> </w:t>
      </w:r>
      <w:r>
        <w:rPr>
          <w:color w:val="202020"/>
          <w:spacing w:val="-5"/>
          <w:sz w:val="24"/>
        </w:rPr>
        <w:t>A.</w:t>
      </w:r>
    </w:p>
    <w:p w:rsidR="00B84776" w:rsidRDefault="00C65940">
      <w:pPr>
        <w:pStyle w:val="BodyText"/>
        <w:spacing w:before="139" w:line="360" w:lineRule="auto"/>
        <w:ind w:right="97"/>
      </w:pPr>
      <w:r>
        <w:rPr>
          <w:color w:val="202020"/>
        </w:rPr>
        <w:t xml:space="preserve">B. (2022). High burden of ESBL- producing Klebsiella spp., Proteus mirabilis, Enterobacter cloacae and Pseudomonas aeruginosa in diagnosed cases of urinary tract infection in a Nigerian Teaching Hospital. </w:t>
      </w:r>
      <w:r>
        <w:rPr>
          <w:i/>
          <w:color w:val="202020"/>
        </w:rPr>
        <w:t xml:space="preserve">Acta </w:t>
      </w:r>
      <w:proofErr w:type="spellStart"/>
      <w:r>
        <w:rPr>
          <w:i/>
          <w:color w:val="202020"/>
        </w:rPr>
        <w:t>microbiologica</w:t>
      </w:r>
      <w:proofErr w:type="spellEnd"/>
      <w:r>
        <w:rPr>
          <w:i/>
          <w:color w:val="202020"/>
        </w:rPr>
        <w:t xml:space="preserve"> </w:t>
      </w:r>
      <w:r>
        <w:rPr>
          <w:i/>
          <w:color w:val="202020"/>
        </w:rPr>
        <w:t xml:space="preserve">et </w:t>
      </w:r>
      <w:proofErr w:type="spellStart"/>
      <w:r>
        <w:rPr>
          <w:i/>
          <w:color w:val="202020"/>
        </w:rPr>
        <w:t>immunologica</w:t>
      </w:r>
      <w:proofErr w:type="spellEnd"/>
      <w:r>
        <w:rPr>
          <w:i/>
          <w:color w:val="202020"/>
        </w:rPr>
        <w:t xml:space="preserve"> </w:t>
      </w:r>
      <w:proofErr w:type="spellStart"/>
      <w:r>
        <w:rPr>
          <w:i/>
          <w:color w:val="202020"/>
        </w:rPr>
        <w:t>Hungarica</w:t>
      </w:r>
      <w:proofErr w:type="spellEnd"/>
      <w:r>
        <w:rPr>
          <w:color w:val="202020"/>
        </w:rPr>
        <w:t xml:space="preserve">, </w:t>
      </w:r>
      <w:r>
        <w:rPr>
          <w:i/>
          <w:color w:val="202020"/>
        </w:rPr>
        <w:t>69</w:t>
      </w:r>
      <w:r>
        <w:rPr>
          <w:color w:val="202020"/>
        </w:rPr>
        <w:t xml:space="preserve">(2), 127–134. </w:t>
      </w:r>
      <w:hyperlink r:id="rId44">
        <w:r>
          <w:rPr>
            <w:color w:val="0000FF"/>
            <w:u w:val="single" w:color="0000FF"/>
          </w:rPr>
          <w:t>https://doi.org/10.1556/030.2022.01747</w:t>
        </w:r>
      </w:hyperlink>
    </w:p>
    <w:p w:rsidR="00B84776" w:rsidRDefault="00C65940">
      <w:pPr>
        <w:pStyle w:val="ListParagraph"/>
        <w:numPr>
          <w:ilvl w:val="0"/>
          <w:numId w:val="3"/>
        </w:numPr>
        <w:tabs>
          <w:tab w:val="left" w:pos="460"/>
        </w:tabs>
        <w:spacing w:line="360" w:lineRule="auto"/>
        <w:ind w:right="37" w:firstLine="0"/>
        <w:rPr>
          <w:sz w:val="24"/>
        </w:rPr>
      </w:pPr>
      <w:proofErr w:type="spellStart"/>
      <w:r>
        <w:rPr>
          <w:sz w:val="24"/>
        </w:rPr>
        <w:t>Gulumbe</w:t>
      </w:r>
      <w:proofErr w:type="spellEnd"/>
      <w:r>
        <w:rPr>
          <w:sz w:val="24"/>
        </w:rPr>
        <w:t xml:space="preserve">, B.H. and </w:t>
      </w:r>
      <w:proofErr w:type="spellStart"/>
      <w:r>
        <w:rPr>
          <w:sz w:val="24"/>
        </w:rPr>
        <w:t>Faggo</w:t>
      </w:r>
      <w:proofErr w:type="spellEnd"/>
      <w:r>
        <w:rPr>
          <w:sz w:val="24"/>
        </w:rPr>
        <w:t>, A.A. (2019). Epidemiology of Multidrug-resistant Organisms</w:t>
      </w:r>
      <w:r>
        <w:rPr>
          <w:spacing w:val="-4"/>
          <w:sz w:val="24"/>
        </w:rPr>
        <w:t xml:space="preserve"> </w:t>
      </w:r>
      <w:r>
        <w:rPr>
          <w:sz w:val="24"/>
        </w:rPr>
        <w:t>in</w:t>
      </w:r>
      <w:r>
        <w:rPr>
          <w:spacing w:val="-4"/>
          <w:sz w:val="24"/>
        </w:rPr>
        <w:t xml:space="preserve"> </w:t>
      </w:r>
      <w:r>
        <w:rPr>
          <w:sz w:val="24"/>
        </w:rPr>
        <w:t>Africa.</w:t>
      </w:r>
      <w:r>
        <w:rPr>
          <w:spacing w:val="-4"/>
          <w:sz w:val="24"/>
        </w:rPr>
        <w:t xml:space="preserve"> </w:t>
      </w:r>
      <w:r>
        <w:rPr>
          <w:sz w:val="24"/>
        </w:rPr>
        <w:t>Mediterranean</w:t>
      </w:r>
      <w:r>
        <w:rPr>
          <w:spacing w:val="-3"/>
          <w:sz w:val="24"/>
        </w:rPr>
        <w:t xml:space="preserve"> </w:t>
      </w:r>
      <w:r>
        <w:rPr>
          <w:sz w:val="24"/>
        </w:rPr>
        <w:t>Journal</w:t>
      </w:r>
      <w:r>
        <w:rPr>
          <w:spacing w:val="-4"/>
          <w:sz w:val="24"/>
        </w:rPr>
        <w:t xml:space="preserve"> </w:t>
      </w:r>
      <w:r>
        <w:rPr>
          <w:sz w:val="24"/>
        </w:rPr>
        <w:t>of</w:t>
      </w:r>
      <w:r>
        <w:rPr>
          <w:spacing w:val="-5"/>
          <w:sz w:val="24"/>
        </w:rPr>
        <w:t xml:space="preserve"> </w:t>
      </w:r>
      <w:r>
        <w:rPr>
          <w:sz w:val="24"/>
        </w:rPr>
        <w:t>Infection</w:t>
      </w:r>
      <w:r>
        <w:rPr>
          <w:spacing w:val="-4"/>
          <w:sz w:val="24"/>
        </w:rPr>
        <w:t xml:space="preserve"> </w:t>
      </w:r>
      <w:r>
        <w:rPr>
          <w:sz w:val="24"/>
        </w:rPr>
        <w:t>Microbes</w:t>
      </w:r>
      <w:r>
        <w:rPr>
          <w:spacing w:val="-3"/>
          <w:sz w:val="24"/>
        </w:rPr>
        <w:t xml:space="preserve"> </w:t>
      </w:r>
      <w:r>
        <w:rPr>
          <w:sz w:val="24"/>
        </w:rPr>
        <w:t>and</w:t>
      </w:r>
      <w:r>
        <w:rPr>
          <w:spacing w:val="-3"/>
          <w:sz w:val="24"/>
        </w:rPr>
        <w:t xml:space="preserve"> </w:t>
      </w:r>
      <w:r>
        <w:rPr>
          <w:sz w:val="24"/>
        </w:rPr>
        <w:t>Antimicrobials, 8(1), 25-25.</w:t>
      </w:r>
    </w:p>
    <w:p w:rsidR="00B84776" w:rsidRDefault="00C65940">
      <w:pPr>
        <w:pStyle w:val="ListParagraph"/>
        <w:numPr>
          <w:ilvl w:val="0"/>
          <w:numId w:val="3"/>
        </w:numPr>
        <w:tabs>
          <w:tab w:val="left" w:pos="460"/>
        </w:tabs>
        <w:spacing w:line="360" w:lineRule="auto"/>
        <w:ind w:right="97" w:firstLine="0"/>
        <w:rPr>
          <w:color w:val="2D414F"/>
          <w:sz w:val="24"/>
        </w:rPr>
      </w:pPr>
      <w:proofErr w:type="spellStart"/>
      <w:r>
        <w:rPr>
          <w:sz w:val="24"/>
        </w:rPr>
        <w:t>Onanuga</w:t>
      </w:r>
      <w:proofErr w:type="spellEnd"/>
      <w:r>
        <w:rPr>
          <w:sz w:val="24"/>
        </w:rPr>
        <w:t xml:space="preserve"> A, </w:t>
      </w:r>
      <w:proofErr w:type="spellStart"/>
      <w:r>
        <w:rPr>
          <w:sz w:val="24"/>
        </w:rPr>
        <w:t>Eboh</w:t>
      </w:r>
      <w:proofErr w:type="spellEnd"/>
      <w:r>
        <w:rPr>
          <w:sz w:val="24"/>
        </w:rPr>
        <w:t xml:space="preserve"> DD, </w:t>
      </w:r>
      <w:proofErr w:type="spellStart"/>
      <w:r>
        <w:rPr>
          <w:sz w:val="24"/>
        </w:rPr>
        <w:t>Odetoyin</w:t>
      </w:r>
      <w:proofErr w:type="spellEnd"/>
      <w:r>
        <w:rPr>
          <w:sz w:val="24"/>
        </w:rPr>
        <w:t xml:space="preserve"> B, </w:t>
      </w:r>
      <w:proofErr w:type="spellStart"/>
      <w:r>
        <w:rPr>
          <w:sz w:val="24"/>
        </w:rPr>
        <w:t>Adamu</w:t>
      </w:r>
      <w:proofErr w:type="spellEnd"/>
      <w:r>
        <w:rPr>
          <w:sz w:val="24"/>
        </w:rPr>
        <w:t xml:space="preserve"> OJ. (2020). Detection of ESBLs and NDM-1 genes among urinary Escherichia coli and Klebsiella pneumoniae</w:t>
      </w:r>
      <w:r>
        <w:rPr>
          <w:spacing w:val="40"/>
          <w:sz w:val="24"/>
        </w:rPr>
        <w:t xml:space="preserve"> </w:t>
      </w:r>
      <w:proofErr w:type="spellStart"/>
      <w:r>
        <w:rPr>
          <w:sz w:val="24"/>
        </w:rPr>
        <w:t>fromhealthy</w:t>
      </w:r>
      <w:proofErr w:type="spellEnd"/>
      <w:r>
        <w:rPr>
          <w:sz w:val="24"/>
        </w:rPr>
        <w:t xml:space="preserve"> students in Niger delta University, </w:t>
      </w:r>
      <w:proofErr w:type="spellStart"/>
      <w:r>
        <w:rPr>
          <w:sz w:val="24"/>
        </w:rPr>
        <w:t>Amassoma</w:t>
      </w:r>
      <w:proofErr w:type="spellEnd"/>
      <w:r>
        <w:rPr>
          <w:sz w:val="24"/>
        </w:rPr>
        <w:t xml:space="preserve">, </w:t>
      </w:r>
      <w:r>
        <w:rPr>
          <w:sz w:val="24"/>
        </w:rPr>
        <w:t xml:space="preserve">Bayelsa State, </w:t>
      </w:r>
      <w:proofErr w:type="spellStart"/>
      <w:r>
        <w:rPr>
          <w:sz w:val="24"/>
        </w:rPr>
        <w:t>Nigeria.PAMJ</w:t>
      </w:r>
      <w:proofErr w:type="spellEnd"/>
      <w:r>
        <w:rPr>
          <w:sz w:val="24"/>
        </w:rPr>
        <w:t xml:space="preserve"> - One Heal. 2:12.</w:t>
      </w:r>
    </w:p>
    <w:p w:rsidR="00B84776" w:rsidRDefault="00C65940">
      <w:pPr>
        <w:pStyle w:val="ListParagraph"/>
        <w:numPr>
          <w:ilvl w:val="0"/>
          <w:numId w:val="3"/>
        </w:numPr>
        <w:tabs>
          <w:tab w:val="left" w:pos="460"/>
        </w:tabs>
        <w:spacing w:line="360" w:lineRule="auto"/>
        <w:ind w:right="99" w:firstLine="0"/>
        <w:rPr>
          <w:color w:val="202020"/>
          <w:sz w:val="24"/>
        </w:rPr>
      </w:pPr>
      <w:r>
        <w:rPr>
          <w:color w:val="2D414F"/>
          <w:sz w:val="24"/>
        </w:rPr>
        <w:t xml:space="preserve">Bello, R., Ibrahim, Y.K., Olayinka, B.O., </w:t>
      </w:r>
      <w:proofErr w:type="spellStart"/>
      <w:r>
        <w:rPr>
          <w:color w:val="2D414F"/>
          <w:sz w:val="24"/>
        </w:rPr>
        <w:t>Jimoh</w:t>
      </w:r>
      <w:proofErr w:type="spellEnd"/>
      <w:r>
        <w:rPr>
          <w:color w:val="2D414F"/>
          <w:sz w:val="24"/>
        </w:rPr>
        <w:t xml:space="preserve">, G.A., Afolabi-Balogun, N., Oni- Babatunde, A.O., Olabode, H.O., David, M.S., Aliyu, A., &amp; </w:t>
      </w:r>
      <w:proofErr w:type="spellStart"/>
      <w:r>
        <w:rPr>
          <w:color w:val="2D414F"/>
          <w:sz w:val="24"/>
        </w:rPr>
        <w:t>Olufadi</w:t>
      </w:r>
      <w:proofErr w:type="spellEnd"/>
      <w:r>
        <w:rPr>
          <w:color w:val="2D414F"/>
          <w:sz w:val="24"/>
        </w:rPr>
        <w:t>-Ahmed, H.Y. (2021). Molecular Characterization of Extended Spec</w:t>
      </w:r>
      <w:r>
        <w:rPr>
          <w:color w:val="2D414F"/>
          <w:sz w:val="24"/>
        </w:rPr>
        <w:t xml:space="preserve">trum Beta – Lactamase Producing Escherichia Coli Isolated from Pregnant Women with Urinary Tract Infections Attending Ante–Natal Clinics in Ilorin Metropolis. </w:t>
      </w:r>
      <w:r>
        <w:rPr>
          <w:i/>
          <w:color w:val="2D414F"/>
          <w:sz w:val="24"/>
        </w:rPr>
        <w:t>Nigerian Journal of Pharmaceutical Research</w:t>
      </w:r>
      <w:r>
        <w:rPr>
          <w:color w:val="2D414F"/>
          <w:sz w:val="24"/>
        </w:rPr>
        <w:t>.</w:t>
      </w:r>
    </w:p>
    <w:p w:rsidR="00B84776" w:rsidRDefault="00B84776">
      <w:pPr>
        <w:pStyle w:val="ListParagraph"/>
        <w:spacing w:line="360" w:lineRule="auto"/>
        <w:rPr>
          <w:sz w:val="24"/>
        </w:rPr>
        <w:sectPr w:rsidR="00B84776">
          <w:pgSz w:w="11910" w:h="16840"/>
          <w:pgMar w:top="1360" w:right="1700" w:bottom="280" w:left="1700" w:header="720" w:footer="720" w:gutter="0"/>
          <w:cols w:space="720"/>
        </w:sectPr>
      </w:pPr>
    </w:p>
    <w:p w:rsidR="00B84776" w:rsidRDefault="00C65940">
      <w:pPr>
        <w:pStyle w:val="ListParagraph"/>
        <w:numPr>
          <w:ilvl w:val="0"/>
          <w:numId w:val="3"/>
        </w:numPr>
        <w:tabs>
          <w:tab w:val="left" w:pos="460"/>
        </w:tabs>
        <w:spacing w:before="62" w:line="360" w:lineRule="auto"/>
        <w:ind w:right="96" w:firstLine="0"/>
        <w:rPr>
          <w:color w:val="202020"/>
          <w:sz w:val="24"/>
        </w:rPr>
      </w:pPr>
      <w:proofErr w:type="spellStart"/>
      <w:r>
        <w:rPr>
          <w:color w:val="202020"/>
          <w:sz w:val="24"/>
        </w:rPr>
        <w:lastRenderedPageBreak/>
        <w:t>Auta</w:t>
      </w:r>
      <w:proofErr w:type="spellEnd"/>
      <w:r>
        <w:rPr>
          <w:color w:val="202020"/>
          <w:sz w:val="24"/>
        </w:rPr>
        <w:t xml:space="preserve">, A., </w:t>
      </w:r>
      <w:proofErr w:type="spellStart"/>
      <w:r>
        <w:rPr>
          <w:color w:val="202020"/>
          <w:sz w:val="24"/>
        </w:rPr>
        <w:t>Hadi</w:t>
      </w:r>
      <w:proofErr w:type="spellEnd"/>
      <w:r>
        <w:rPr>
          <w:color w:val="202020"/>
          <w:sz w:val="24"/>
        </w:rPr>
        <w:t xml:space="preserve">, M. A., </w:t>
      </w:r>
      <w:proofErr w:type="spellStart"/>
      <w:r>
        <w:rPr>
          <w:color w:val="202020"/>
          <w:sz w:val="24"/>
        </w:rPr>
        <w:t>Oga</w:t>
      </w:r>
      <w:proofErr w:type="spellEnd"/>
      <w:r>
        <w:rPr>
          <w:color w:val="202020"/>
          <w:sz w:val="24"/>
        </w:rPr>
        <w:t xml:space="preserve">, E., </w:t>
      </w:r>
      <w:proofErr w:type="spellStart"/>
      <w:r>
        <w:rPr>
          <w:color w:val="202020"/>
          <w:sz w:val="24"/>
        </w:rPr>
        <w:t>Adewuy</w:t>
      </w:r>
      <w:r>
        <w:rPr>
          <w:color w:val="202020"/>
          <w:sz w:val="24"/>
        </w:rPr>
        <w:t>i</w:t>
      </w:r>
      <w:proofErr w:type="spellEnd"/>
      <w:r>
        <w:rPr>
          <w:color w:val="202020"/>
          <w:sz w:val="24"/>
        </w:rPr>
        <w:t>, E. O., Abdu-</w:t>
      </w:r>
      <w:proofErr w:type="spellStart"/>
      <w:r>
        <w:rPr>
          <w:color w:val="202020"/>
          <w:sz w:val="24"/>
        </w:rPr>
        <w:t>Aguye</w:t>
      </w:r>
      <w:proofErr w:type="spellEnd"/>
      <w:r>
        <w:rPr>
          <w:color w:val="202020"/>
          <w:sz w:val="24"/>
        </w:rPr>
        <w:t>, S. N.,</w:t>
      </w:r>
      <w:r>
        <w:rPr>
          <w:color w:val="202020"/>
          <w:spacing w:val="-1"/>
          <w:sz w:val="24"/>
        </w:rPr>
        <w:t xml:space="preserve"> </w:t>
      </w:r>
      <w:proofErr w:type="spellStart"/>
      <w:r>
        <w:rPr>
          <w:color w:val="202020"/>
          <w:sz w:val="24"/>
        </w:rPr>
        <w:t>Adeloye</w:t>
      </w:r>
      <w:proofErr w:type="spellEnd"/>
      <w:r>
        <w:rPr>
          <w:color w:val="202020"/>
          <w:sz w:val="24"/>
        </w:rPr>
        <w:t xml:space="preserve">, D., Strickland-Hodge, B., &amp; Morgan, D. J. (2019). Global access to antibiotics without prescription in community pharmacies: A systematic review and meta-analysis. </w:t>
      </w:r>
      <w:r>
        <w:rPr>
          <w:i/>
          <w:color w:val="202020"/>
          <w:sz w:val="24"/>
        </w:rPr>
        <w:t>The Journal of infection</w:t>
      </w:r>
      <w:r>
        <w:rPr>
          <w:color w:val="202020"/>
          <w:sz w:val="24"/>
        </w:rPr>
        <w:t xml:space="preserve">, </w:t>
      </w:r>
      <w:r>
        <w:rPr>
          <w:i/>
          <w:color w:val="202020"/>
          <w:sz w:val="24"/>
        </w:rPr>
        <w:t>78</w:t>
      </w:r>
      <w:r>
        <w:rPr>
          <w:color w:val="202020"/>
          <w:sz w:val="24"/>
        </w:rPr>
        <w:t xml:space="preserve">(1), 8–18. </w:t>
      </w:r>
      <w:hyperlink r:id="rId45">
        <w:r>
          <w:rPr>
            <w:color w:val="0000FF"/>
            <w:sz w:val="24"/>
            <w:u w:val="single" w:color="0000FF"/>
          </w:rPr>
          <w:t>https://doi.org/10.1016/j.jinf.2018.07.001</w:t>
        </w:r>
      </w:hyperlink>
    </w:p>
    <w:p w:rsidR="00B84776" w:rsidRDefault="00C65940">
      <w:pPr>
        <w:pStyle w:val="ListParagraph"/>
        <w:numPr>
          <w:ilvl w:val="0"/>
          <w:numId w:val="3"/>
        </w:numPr>
        <w:tabs>
          <w:tab w:val="left" w:pos="460"/>
          <w:tab w:val="left" w:pos="2425"/>
          <w:tab w:val="left" w:pos="3572"/>
          <w:tab w:val="left" w:pos="5144"/>
          <w:tab w:val="left" w:pos="6644"/>
        </w:tabs>
        <w:spacing w:line="360" w:lineRule="auto"/>
        <w:ind w:right="97" w:firstLine="0"/>
        <w:rPr>
          <w:color w:val="202020"/>
          <w:sz w:val="24"/>
        </w:rPr>
      </w:pPr>
      <w:proofErr w:type="spellStart"/>
      <w:r>
        <w:rPr>
          <w:color w:val="202020"/>
          <w:sz w:val="24"/>
        </w:rPr>
        <w:t>Bastidas-Caldes</w:t>
      </w:r>
      <w:proofErr w:type="spellEnd"/>
      <w:r>
        <w:rPr>
          <w:color w:val="202020"/>
          <w:sz w:val="24"/>
        </w:rPr>
        <w:t>, C., Hernández-</w:t>
      </w:r>
      <w:proofErr w:type="spellStart"/>
      <w:r>
        <w:rPr>
          <w:color w:val="202020"/>
          <w:sz w:val="24"/>
        </w:rPr>
        <w:t>Alomía</w:t>
      </w:r>
      <w:proofErr w:type="spellEnd"/>
      <w:r>
        <w:rPr>
          <w:color w:val="202020"/>
          <w:sz w:val="24"/>
        </w:rPr>
        <w:t xml:space="preserve">, F., Almeida, M., </w:t>
      </w:r>
      <w:proofErr w:type="spellStart"/>
      <w:r>
        <w:rPr>
          <w:color w:val="202020"/>
          <w:sz w:val="24"/>
        </w:rPr>
        <w:t>Ormaza</w:t>
      </w:r>
      <w:proofErr w:type="spellEnd"/>
      <w:r>
        <w:rPr>
          <w:color w:val="202020"/>
          <w:sz w:val="24"/>
        </w:rPr>
        <w:t xml:space="preserve">, M., Boada, J., Graham, J., </w:t>
      </w:r>
      <w:proofErr w:type="spellStart"/>
      <w:r>
        <w:rPr>
          <w:color w:val="202020"/>
          <w:sz w:val="24"/>
        </w:rPr>
        <w:t>Calvopiña</w:t>
      </w:r>
      <w:proofErr w:type="spellEnd"/>
      <w:r>
        <w:rPr>
          <w:color w:val="202020"/>
          <w:sz w:val="24"/>
        </w:rPr>
        <w:t xml:space="preserve">, M., &amp; </w:t>
      </w:r>
      <w:proofErr w:type="spellStart"/>
      <w:r>
        <w:rPr>
          <w:color w:val="202020"/>
          <w:sz w:val="24"/>
        </w:rPr>
        <w:t>Castillejo</w:t>
      </w:r>
      <w:proofErr w:type="spellEnd"/>
      <w:r>
        <w:rPr>
          <w:color w:val="202020"/>
          <w:sz w:val="24"/>
        </w:rPr>
        <w:t xml:space="preserve">, P. (2024). Molecular identification and antimicrobial resistance patterns of </w:t>
      </w:r>
      <w:proofErr w:type="spellStart"/>
      <w:r>
        <w:rPr>
          <w:color w:val="202020"/>
          <w:sz w:val="24"/>
        </w:rPr>
        <w:t>enterobacterales</w:t>
      </w:r>
      <w:proofErr w:type="spellEnd"/>
      <w:r>
        <w:rPr>
          <w:color w:val="202020"/>
          <w:sz w:val="24"/>
        </w:rPr>
        <w:t xml:space="preserve"> in community urinary tract infections amon</w:t>
      </w:r>
      <w:r>
        <w:rPr>
          <w:color w:val="202020"/>
          <w:sz w:val="24"/>
        </w:rPr>
        <w:t xml:space="preserve">g indigenous women in Ecuador: addressing microbiological </w:t>
      </w:r>
      <w:r>
        <w:rPr>
          <w:color w:val="202020"/>
          <w:spacing w:val="-2"/>
          <w:sz w:val="24"/>
        </w:rPr>
        <w:t>misidentification.</w:t>
      </w:r>
      <w:r>
        <w:rPr>
          <w:color w:val="202020"/>
          <w:sz w:val="24"/>
        </w:rPr>
        <w:tab/>
      </w:r>
      <w:r>
        <w:rPr>
          <w:i/>
          <w:color w:val="202020"/>
          <w:spacing w:val="-5"/>
          <w:sz w:val="24"/>
        </w:rPr>
        <w:t>BMC</w:t>
      </w:r>
      <w:r>
        <w:rPr>
          <w:i/>
          <w:color w:val="202020"/>
          <w:sz w:val="24"/>
        </w:rPr>
        <w:tab/>
      </w:r>
      <w:r>
        <w:rPr>
          <w:i/>
          <w:color w:val="202020"/>
          <w:spacing w:val="-2"/>
          <w:sz w:val="24"/>
        </w:rPr>
        <w:t>infectious</w:t>
      </w:r>
      <w:r>
        <w:rPr>
          <w:i/>
          <w:color w:val="202020"/>
          <w:sz w:val="24"/>
        </w:rPr>
        <w:tab/>
      </w:r>
      <w:r>
        <w:rPr>
          <w:i/>
          <w:color w:val="202020"/>
          <w:spacing w:val="-2"/>
          <w:sz w:val="24"/>
        </w:rPr>
        <w:t>diseases</w:t>
      </w:r>
      <w:r>
        <w:rPr>
          <w:color w:val="202020"/>
          <w:spacing w:val="-2"/>
          <w:sz w:val="24"/>
        </w:rPr>
        <w:t>,</w:t>
      </w:r>
      <w:r>
        <w:rPr>
          <w:color w:val="202020"/>
          <w:sz w:val="24"/>
        </w:rPr>
        <w:tab/>
      </w:r>
      <w:r>
        <w:rPr>
          <w:i/>
          <w:color w:val="202020"/>
          <w:sz w:val="24"/>
        </w:rPr>
        <w:t>24</w:t>
      </w:r>
      <w:r>
        <w:rPr>
          <w:color w:val="202020"/>
          <w:sz w:val="24"/>
        </w:rPr>
        <w:t>(1</w:t>
      </w:r>
      <w:proofErr w:type="gramStart"/>
      <w:r>
        <w:rPr>
          <w:color w:val="202020"/>
          <w:sz w:val="24"/>
        </w:rPr>
        <w:t>),</w:t>
      </w:r>
      <w:r>
        <w:rPr>
          <w:color w:val="202020"/>
          <w:spacing w:val="69"/>
          <w:w w:val="150"/>
          <w:sz w:val="24"/>
        </w:rPr>
        <w:t xml:space="preserve">   </w:t>
      </w:r>
      <w:proofErr w:type="gramEnd"/>
      <w:r>
        <w:rPr>
          <w:color w:val="202020"/>
          <w:spacing w:val="69"/>
          <w:w w:val="150"/>
          <w:sz w:val="24"/>
        </w:rPr>
        <w:t xml:space="preserve"> </w:t>
      </w:r>
      <w:r>
        <w:rPr>
          <w:color w:val="202020"/>
          <w:spacing w:val="-2"/>
          <w:sz w:val="24"/>
        </w:rPr>
        <w:t>1195.</w:t>
      </w:r>
    </w:p>
    <w:p w:rsidR="00B84776" w:rsidRDefault="00C65940">
      <w:pPr>
        <w:pStyle w:val="BodyText"/>
        <w:jc w:val="left"/>
      </w:pPr>
      <w:hyperlink r:id="rId46">
        <w:r>
          <w:rPr>
            <w:color w:val="0000FF"/>
            <w:spacing w:val="-2"/>
            <w:u w:val="single" w:color="0000FF"/>
          </w:rPr>
          <w:t>https://doi.org/10.1186/s12879-024-10096-</w:t>
        </w:r>
        <w:r>
          <w:rPr>
            <w:color w:val="0000FF"/>
            <w:spacing w:val="-10"/>
            <w:u w:val="single" w:color="0000FF"/>
          </w:rPr>
          <w:t>7</w:t>
        </w:r>
      </w:hyperlink>
    </w:p>
    <w:p w:rsidR="00B84776" w:rsidRDefault="00C65940">
      <w:pPr>
        <w:pStyle w:val="ListParagraph"/>
        <w:numPr>
          <w:ilvl w:val="0"/>
          <w:numId w:val="3"/>
        </w:numPr>
        <w:tabs>
          <w:tab w:val="left" w:pos="460"/>
        </w:tabs>
        <w:spacing w:before="136" w:line="360" w:lineRule="auto"/>
        <w:ind w:right="97" w:firstLine="0"/>
        <w:rPr>
          <w:sz w:val="24"/>
        </w:rPr>
      </w:pPr>
      <w:proofErr w:type="spellStart"/>
      <w:r>
        <w:rPr>
          <w:color w:val="202020"/>
          <w:sz w:val="24"/>
        </w:rPr>
        <w:t>Fadare</w:t>
      </w:r>
      <w:proofErr w:type="spellEnd"/>
      <w:r>
        <w:rPr>
          <w:color w:val="202020"/>
          <w:sz w:val="24"/>
        </w:rPr>
        <w:t xml:space="preserve">, J. O., Ogunleye, O., </w:t>
      </w:r>
      <w:proofErr w:type="spellStart"/>
      <w:r>
        <w:rPr>
          <w:color w:val="202020"/>
          <w:sz w:val="24"/>
        </w:rPr>
        <w:t>Iliyasu</w:t>
      </w:r>
      <w:proofErr w:type="spellEnd"/>
      <w:r>
        <w:rPr>
          <w:color w:val="202020"/>
          <w:sz w:val="24"/>
        </w:rPr>
        <w:t xml:space="preserve">, G., </w:t>
      </w:r>
      <w:proofErr w:type="spellStart"/>
      <w:r>
        <w:rPr>
          <w:color w:val="202020"/>
          <w:sz w:val="24"/>
        </w:rPr>
        <w:t>Adeoti</w:t>
      </w:r>
      <w:proofErr w:type="spellEnd"/>
      <w:r>
        <w:rPr>
          <w:color w:val="202020"/>
          <w:sz w:val="24"/>
        </w:rPr>
        <w:t xml:space="preserve">, A., </w:t>
      </w:r>
      <w:proofErr w:type="spellStart"/>
      <w:r>
        <w:rPr>
          <w:color w:val="202020"/>
          <w:sz w:val="24"/>
        </w:rPr>
        <w:t>Schellack</w:t>
      </w:r>
      <w:proofErr w:type="spellEnd"/>
      <w:r>
        <w:rPr>
          <w:color w:val="202020"/>
          <w:sz w:val="24"/>
        </w:rPr>
        <w:t xml:space="preserve">, N., Engler, D., </w:t>
      </w:r>
      <w:proofErr w:type="spellStart"/>
      <w:r>
        <w:rPr>
          <w:color w:val="202020"/>
          <w:sz w:val="24"/>
        </w:rPr>
        <w:t>Massele</w:t>
      </w:r>
      <w:proofErr w:type="spellEnd"/>
      <w:r>
        <w:rPr>
          <w:color w:val="202020"/>
          <w:sz w:val="24"/>
        </w:rPr>
        <w:t xml:space="preserve">, A., &amp; Godman, B. (2019). Status of antimicrobial stewardship </w:t>
      </w:r>
      <w:proofErr w:type="spellStart"/>
      <w:r>
        <w:rPr>
          <w:color w:val="202020"/>
          <w:sz w:val="24"/>
        </w:rPr>
        <w:t>programmes</w:t>
      </w:r>
      <w:proofErr w:type="spellEnd"/>
      <w:r>
        <w:rPr>
          <w:color w:val="202020"/>
          <w:sz w:val="24"/>
        </w:rPr>
        <w:t xml:space="preserve"> in Nigerian tertiary healthcare facilities: Findings and implications. </w:t>
      </w:r>
      <w:r>
        <w:rPr>
          <w:i/>
          <w:color w:val="202020"/>
          <w:sz w:val="24"/>
        </w:rPr>
        <w:t>Journal of global antim</w:t>
      </w:r>
      <w:r>
        <w:rPr>
          <w:i/>
          <w:color w:val="202020"/>
          <w:sz w:val="24"/>
        </w:rPr>
        <w:t>icrobial resistance</w:t>
      </w:r>
      <w:r>
        <w:rPr>
          <w:color w:val="202020"/>
          <w:sz w:val="24"/>
        </w:rPr>
        <w:t xml:space="preserve">, </w:t>
      </w:r>
      <w:r>
        <w:rPr>
          <w:i/>
          <w:color w:val="202020"/>
          <w:sz w:val="24"/>
        </w:rPr>
        <w:t>17</w:t>
      </w:r>
      <w:r>
        <w:rPr>
          <w:color w:val="202020"/>
          <w:sz w:val="24"/>
        </w:rPr>
        <w:t xml:space="preserve">, 132–136. </w:t>
      </w:r>
      <w:hyperlink r:id="rId47">
        <w:r>
          <w:rPr>
            <w:color w:val="0000FF"/>
            <w:sz w:val="24"/>
            <w:u w:val="single" w:color="0000FF"/>
          </w:rPr>
          <w:t>https://doi.org/10.1016/j.jgar.2018.11.025</w:t>
        </w:r>
      </w:hyperlink>
    </w:p>
    <w:p w:rsidR="00B84776" w:rsidRDefault="00C65940">
      <w:pPr>
        <w:pStyle w:val="ListParagraph"/>
        <w:numPr>
          <w:ilvl w:val="0"/>
          <w:numId w:val="3"/>
        </w:numPr>
        <w:tabs>
          <w:tab w:val="left" w:pos="460"/>
        </w:tabs>
        <w:ind w:left="460" w:hanging="360"/>
        <w:rPr>
          <w:sz w:val="24"/>
        </w:rPr>
      </w:pPr>
      <w:proofErr w:type="spellStart"/>
      <w:r>
        <w:rPr>
          <w:sz w:val="24"/>
        </w:rPr>
        <w:t>Iregbu</w:t>
      </w:r>
      <w:proofErr w:type="spellEnd"/>
      <w:r>
        <w:rPr>
          <w:sz w:val="24"/>
        </w:rPr>
        <w:t xml:space="preserve"> KC,</w:t>
      </w:r>
      <w:r>
        <w:rPr>
          <w:spacing w:val="2"/>
          <w:sz w:val="24"/>
        </w:rPr>
        <w:t xml:space="preserve"> </w:t>
      </w:r>
      <w:proofErr w:type="spellStart"/>
      <w:r>
        <w:rPr>
          <w:sz w:val="24"/>
        </w:rPr>
        <w:t>Nwajiobi-Princewill</w:t>
      </w:r>
      <w:proofErr w:type="spellEnd"/>
      <w:r>
        <w:rPr>
          <w:spacing w:val="3"/>
          <w:sz w:val="24"/>
        </w:rPr>
        <w:t xml:space="preserve"> </w:t>
      </w:r>
      <w:r>
        <w:rPr>
          <w:sz w:val="24"/>
        </w:rPr>
        <w:t>PI,</w:t>
      </w:r>
      <w:r>
        <w:rPr>
          <w:spacing w:val="4"/>
          <w:sz w:val="24"/>
        </w:rPr>
        <w:t xml:space="preserve"> </w:t>
      </w:r>
      <w:proofErr w:type="spellStart"/>
      <w:r>
        <w:rPr>
          <w:sz w:val="24"/>
        </w:rPr>
        <w:t>Medugu</w:t>
      </w:r>
      <w:proofErr w:type="spellEnd"/>
      <w:r>
        <w:rPr>
          <w:spacing w:val="2"/>
          <w:sz w:val="24"/>
        </w:rPr>
        <w:t xml:space="preserve"> </w:t>
      </w:r>
      <w:r>
        <w:rPr>
          <w:sz w:val="24"/>
        </w:rPr>
        <w:t>N,</w:t>
      </w:r>
      <w:r>
        <w:rPr>
          <w:spacing w:val="4"/>
          <w:sz w:val="24"/>
        </w:rPr>
        <w:t xml:space="preserve"> </w:t>
      </w:r>
      <w:proofErr w:type="spellStart"/>
      <w:r>
        <w:rPr>
          <w:sz w:val="24"/>
        </w:rPr>
        <w:t>Umeokonkwo</w:t>
      </w:r>
      <w:proofErr w:type="spellEnd"/>
      <w:r>
        <w:rPr>
          <w:sz w:val="24"/>
        </w:rPr>
        <w:t>,</w:t>
      </w:r>
      <w:r>
        <w:rPr>
          <w:spacing w:val="2"/>
          <w:sz w:val="24"/>
        </w:rPr>
        <w:t xml:space="preserve"> </w:t>
      </w:r>
      <w:r>
        <w:rPr>
          <w:sz w:val="24"/>
        </w:rPr>
        <w:t>C. D.,</w:t>
      </w:r>
      <w:r>
        <w:rPr>
          <w:spacing w:val="5"/>
          <w:sz w:val="24"/>
        </w:rPr>
        <w:t xml:space="preserve"> </w:t>
      </w:r>
      <w:proofErr w:type="spellStart"/>
      <w:r>
        <w:rPr>
          <w:spacing w:val="-2"/>
          <w:sz w:val="24"/>
        </w:rPr>
        <w:t>Uwaezuoke</w:t>
      </w:r>
      <w:proofErr w:type="spellEnd"/>
      <w:r>
        <w:rPr>
          <w:spacing w:val="-2"/>
          <w:sz w:val="24"/>
        </w:rPr>
        <w:t>,</w:t>
      </w:r>
    </w:p>
    <w:p w:rsidR="00B84776" w:rsidRDefault="00C65940">
      <w:pPr>
        <w:pStyle w:val="BodyText"/>
        <w:spacing w:before="139"/>
      </w:pPr>
      <w:r>
        <w:t>N.</w:t>
      </w:r>
      <w:r>
        <w:rPr>
          <w:spacing w:val="39"/>
        </w:rPr>
        <w:t xml:space="preserve"> </w:t>
      </w:r>
      <w:r>
        <w:t>S.,</w:t>
      </w:r>
      <w:r>
        <w:rPr>
          <w:spacing w:val="39"/>
        </w:rPr>
        <w:t xml:space="preserve"> </w:t>
      </w:r>
      <w:r>
        <w:t>Peter,</w:t>
      </w:r>
      <w:r>
        <w:rPr>
          <w:spacing w:val="44"/>
        </w:rPr>
        <w:t xml:space="preserve"> </w:t>
      </w:r>
      <w:r>
        <w:t>Y.</w:t>
      </w:r>
      <w:r>
        <w:rPr>
          <w:spacing w:val="41"/>
        </w:rPr>
        <w:t xml:space="preserve"> </w:t>
      </w:r>
      <w:r>
        <w:t>J.,</w:t>
      </w:r>
      <w:r>
        <w:rPr>
          <w:spacing w:val="42"/>
        </w:rPr>
        <w:t xml:space="preserve"> </w:t>
      </w:r>
      <w:proofErr w:type="spellStart"/>
      <w:r>
        <w:t>Nwafia</w:t>
      </w:r>
      <w:proofErr w:type="spellEnd"/>
      <w:r>
        <w:t>,</w:t>
      </w:r>
      <w:r>
        <w:rPr>
          <w:spacing w:val="42"/>
        </w:rPr>
        <w:t xml:space="preserve"> </w:t>
      </w:r>
      <w:r>
        <w:t>I.</w:t>
      </w:r>
      <w:r>
        <w:rPr>
          <w:spacing w:val="43"/>
        </w:rPr>
        <w:t xml:space="preserve"> </w:t>
      </w:r>
      <w:r>
        <w:t>N.,</w:t>
      </w:r>
      <w:r>
        <w:rPr>
          <w:spacing w:val="42"/>
        </w:rPr>
        <w:t xml:space="preserve"> </w:t>
      </w:r>
      <w:proofErr w:type="spellStart"/>
      <w:r>
        <w:t>Elikwu</w:t>
      </w:r>
      <w:proofErr w:type="spellEnd"/>
      <w:r>
        <w:t>,</w:t>
      </w:r>
      <w:r>
        <w:rPr>
          <w:spacing w:val="43"/>
        </w:rPr>
        <w:t xml:space="preserve"> </w:t>
      </w:r>
      <w:r>
        <w:t>C.,</w:t>
      </w:r>
      <w:r>
        <w:rPr>
          <w:spacing w:val="39"/>
        </w:rPr>
        <w:t xml:space="preserve"> </w:t>
      </w:r>
      <w:r>
        <w:t>7Shettima,</w:t>
      </w:r>
      <w:r>
        <w:rPr>
          <w:spacing w:val="39"/>
        </w:rPr>
        <w:t xml:space="preserve"> </w:t>
      </w:r>
      <w:r>
        <w:t>S.</w:t>
      </w:r>
      <w:r>
        <w:rPr>
          <w:spacing w:val="42"/>
        </w:rPr>
        <w:t xml:space="preserve"> </w:t>
      </w:r>
      <w:r>
        <w:t>A.,</w:t>
      </w:r>
      <w:r>
        <w:rPr>
          <w:spacing w:val="41"/>
        </w:rPr>
        <w:t xml:space="preserve"> </w:t>
      </w:r>
      <w:r>
        <w:t>Suleiman,</w:t>
      </w:r>
      <w:r>
        <w:rPr>
          <w:spacing w:val="42"/>
        </w:rPr>
        <w:t xml:space="preserve"> </w:t>
      </w:r>
      <w:r>
        <w:t>M.</w:t>
      </w:r>
      <w:r>
        <w:rPr>
          <w:spacing w:val="42"/>
        </w:rPr>
        <w:t xml:space="preserve"> </w:t>
      </w:r>
      <w:r>
        <w:rPr>
          <w:spacing w:val="-5"/>
        </w:rPr>
        <w:t>R.,</w:t>
      </w:r>
    </w:p>
    <w:p w:rsidR="00B84776" w:rsidRDefault="00C65940">
      <w:pPr>
        <w:pStyle w:val="BodyText"/>
        <w:spacing w:before="137"/>
        <w:jc w:val="left"/>
      </w:pPr>
      <w:proofErr w:type="spellStart"/>
      <w:r>
        <w:t>Awopeju</w:t>
      </w:r>
      <w:proofErr w:type="spellEnd"/>
      <w:r>
        <w:t>,</w:t>
      </w:r>
      <w:r>
        <w:rPr>
          <w:spacing w:val="17"/>
        </w:rPr>
        <w:t xml:space="preserve"> </w:t>
      </w:r>
      <w:r>
        <w:t>A.</w:t>
      </w:r>
      <w:r>
        <w:rPr>
          <w:spacing w:val="20"/>
        </w:rPr>
        <w:t xml:space="preserve"> </w:t>
      </w:r>
      <w:r>
        <w:t>T.</w:t>
      </w:r>
      <w:r>
        <w:rPr>
          <w:spacing w:val="20"/>
        </w:rPr>
        <w:t xml:space="preserve"> </w:t>
      </w:r>
      <w:r>
        <w:t>O.,</w:t>
      </w:r>
      <w:r>
        <w:rPr>
          <w:spacing w:val="19"/>
        </w:rPr>
        <w:t xml:space="preserve"> </w:t>
      </w:r>
      <w:r>
        <w:t>Udoh,</w:t>
      </w:r>
      <w:r>
        <w:rPr>
          <w:spacing w:val="20"/>
        </w:rPr>
        <w:t xml:space="preserve"> </w:t>
      </w:r>
      <w:r>
        <w:t>U.,</w:t>
      </w:r>
      <w:r>
        <w:rPr>
          <w:spacing w:val="20"/>
        </w:rPr>
        <w:t xml:space="preserve"> </w:t>
      </w:r>
      <w:proofErr w:type="spellStart"/>
      <w:r>
        <w:t>Adedosu</w:t>
      </w:r>
      <w:proofErr w:type="spellEnd"/>
      <w:r>
        <w:t>,</w:t>
      </w:r>
      <w:r>
        <w:rPr>
          <w:spacing w:val="19"/>
        </w:rPr>
        <w:t xml:space="preserve"> </w:t>
      </w:r>
      <w:r>
        <w:t>N.,</w:t>
      </w:r>
      <w:r>
        <w:rPr>
          <w:spacing w:val="20"/>
        </w:rPr>
        <w:t xml:space="preserve"> </w:t>
      </w:r>
      <w:r>
        <w:t>Mohammed,</w:t>
      </w:r>
      <w:r>
        <w:rPr>
          <w:spacing w:val="20"/>
        </w:rPr>
        <w:t xml:space="preserve"> </w:t>
      </w:r>
      <w:r>
        <w:t>A.,</w:t>
      </w:r>
      <w:r>
        <w:rPr>
          <w:spacing w:val="19"/>
        </w:rPr>
        <w:t xml:space="preserve"> </w:t>
      </w:r>
      <w:proofErr w:type="spellStart"/>
      <w:r>
        <w:t>Oshun</w:t>
      </w:r>
      <w:proofErr w:type="spellEnd"/>
      <w:r>
        <w:t>,</w:t>
      </w:r>
      <w:r>
        <w:rPr>
          <w:spacing w:val="20"/>
        </w:rPr>
        <w:t xml:space="preserve"> </w:t>
      </w:r>
      <w:r>
        <w:t>P.,</w:t>
      </w:r>
      <w:r>
        <w:rPr>
          <w:spacing w:val="18"/>
        </w:rPr>
        <w:t xml:space="preserve"> </w:t>
      </w:r>
      <w:proofErr w:type="spellStart"/>
      <w:r>
        <w:t>Ekuma</w:t>
      </w:r>
      <w:proofErr w:type="spellEnd"/>
      <w:r>
        <w:t>,</w:t>
      </w:r>
      <w:r>
        <w:rPr>
          <w:spacing w:val="20"/>
        </w:rPr>
        <w:t xml:space="preserve"> </w:t>
      </w:r>
      <w:r>
        <w:rPr>
          <w:spacing w:val="-5"/>
        </w:rPr>
        <w:t>A.,</w:t>
      </w:r>
    </w:p>
    <w:p w:rsidR="00B84776" w:rsidRDefault="00C65940">
      <w:pPr>
        <w:pStyle w:val="BodyText"/>
        <w:spacing w:before="139"/>
      </w:pPr>
      <w:r>
        <w:t>Manga,</w:t>
      </w:r>
      <w:r>
        <w:rPr>
          <w:spacing w:val="8"/>
        </w:rPr>
        <w:t xml:space="preserve"> </w:t>
      </w:r>
      <w:r>
        <w:t>M.</w:t>
      </w:r>
      <w:r>
        <w:rPr>
          <w:spacing w:val="8"/>
        </w:rPr>
        <w:t xml:space="preserve"> </w:t>
      </w:r>
      <w:r>
        <w:t>M.,</w:t>
      </w:r>
      <w:r>
        <w:rPr>
          <w:spacing w:val="6"/>
        </w:rPr>
        <w:t xml:space="preserve"> </w:t>
      </w:r>
      <w:proofErr w:type="spellStart"/>
      <w:r>
        <w:t>Osaigbovo</w:t>
      </w:r>
      <w:proofErr w:type="spellEnd"/>
      <w:r>
        <w:t>,</w:t>
      </w:r>
      <w:r>
        <w:rPr>
          <w:spacing w:val="11"/>
        </w:rPr>
        <w:t xml:space="preserve"> </w:t>
      </w:r>
      <w:r>
        <w:t>I.</w:t>
      </w:r>
      <w:r>
        <w:rPr>
          <w:spacing w:val="11"/>
        </w:rPr>
        <w:t xml:space="preserve"> </w:t>
      </w:r>
      <w:r>
        <w:t>I.,</w:t>
      </w:r>
      <w:r>
        <w:rPr>
          <w:spacing w:val="11"/>
        </w:rPr>
        <w:t xml:space="preserve"> </w:t>
      </w:r>
      <w:proofErr w:type="spellStart"/>
      <w:r>
        <w:t>Ejembi</w:t>
      </w:r>
      <w:proofErr w:type="spellEnd"/>
      <w:r>
        <w:t>,</w:t>
      </w:r>
      <w:r>
        <w:rPr>
          <w:spacing w:val="6"/>
        </w:rPr>
        <w:t xml:space="preserve"> </w:t>
      </w:r>
      <w:r>
        <w:t>C.</w:t>
      </w:r>
      <w:r>
        <w:rPr>
          <w:spacing w:val="7"/>
        </w:rPr>
        <w:t xml:space="preserve"> </w:t>
      </w:r>
      <w:r>
        <w:t>J.,</w:t>
      </w:r>
      <w:r>
        <w:rPr>
          <w:spacing w:val="8"/>
        </w:rPr>
        <w:t xml:space="preserve"> </w:t>
      </w:r>
      <w:proofErr w:type="spellStart"/>
      <w:r>
        <w:t>Akujobi</w:t>
      </w:r>
      <w:proofErr w:type="spellEnd"/>
      <w:r>
        <w:t>,</w:t>
      </w:r>
      <w:r>
        <w:rPr>
          <w:spacing w:val="8"/>
        </w:rPr>
        <w:t xml:space="preserve"> </w:t>
      </w:r>
      <w:r>
        <w:t>C.</w:t>
      </w:r>
      <w:r>
        <w:rPr>
          <w:spacing w:val="8"/>
        </w:rPr>
        <w:t xml:space="preserve"> </w:t>
      </w:r>
      <w:r>
        <w:t>N.,</w:t>
      </w:r>
      <w:r>
        <w:rPr>
          <w:spacing w:val="8"/>
        </w:rPr>
        <w:t xml:space="preserve"> </w:t>
      </w:r>
      <w:r>
        <w:t>Samuel,</w:t>
      </w:r>
      <w:r>
        <w:rPr>
          <w:spacing w:val="8"/>
        </w:rPr>
        <w:t xml:space="preserve"> </w:t>
      </w:r>
      <w:r>
        <w:t>S.</w:t>
      </w:r>
      <w:r>
        <w:rPr>
          <w:spacing w:val="8"/>
        </w:rPr>
        <w:t xml:space="preserve"> </w:t>
      </w:r>
      <w:r>
        <w:t>O.,</w:t>
      </w:r>
      <w:r>
        <w:rPr>
          <w:spacing w:val="8"/>
        </w:rPr>
        <w:t xml:space="preserve"> </w:t>
      </w:r>
      <w:r>
        <w:rPr>
          <w:spacing w:val="-2"/>
        </w:rPr>
        <w:t>Taiwo,</w:t>
      </w:r>
    </w:p>
    <w:p w:rsidR="00B84776" w:rsidRDefault="00C65940">
      <w:pPr>
        <w:pStyle w:val="BodyText"/>
        <w:tabs>
          <w:tab w:val="left" w:pos="6119"/>
        </w:tabs>
        <w:spacing w:before="137" w:line="360" w:lineRule="auto"/>
        <w:ind w:right="97"/>
      </w:pPr>
      <w:r>
        <w:t xml:space="preserve">S. S., and </w:t>
      </w:r>
      <w:proofErr w:type="spellStart"/>
      <w:r>
        <w:t>Oduyebo</w:t>
      </w:r>
      <w:proofErr w:type="spellEnd"/>
      <w:r>
        <w:t xml:space="preserve">, O. O. (2021). Antimicrobial Stewardship Implementation in Nigerian Hospitals: Gaps and Challenges. African Journal of Clinical and </w:t>
      </w:r>
      <w:r>
        <w:rPr>
          <w:spacing w:val="-2"/>
        </w:rPr>
        <w:t>Experimental</w:t>
      </w:r>
      <w:r>
        <w:tab/>
      </w:r>
      <w:r>
        <w:rPr>
          <w:spacing w:val="-2"/>
        </w:rPr>
        <w:t>Microbiology.22(1):60-</w:t>
      </w:r>
    </w:p>
    <w:p w:rsidR="00B84776" w:rsidRDefault="00C65940">
      <w:pPr>
        <w:pStyle w:val="BodyText"/>
        <w:spacing w:before="1"/>
        <w:jc w:val="left"/>
      </w:pPr>
      <w:r>
        <w:rPr>
          <w:spacing w:val="-2"/>
        </w:rPr>
        <w:t>66.</w:t>
      </w:r>
      <w:hyperlink r:id="rId48">
        <w:r>
          <w:rPr>
            <w:color w:val="0000FF"/>
            <w:spacing w:val="-2"/>
            <w:u w:val="single" w:color="0000FF"/>
          </w:rPr>
          <w:t>https://www.ajol.info/index.php/ajcem/article/view/203077</w:t>
        </w:r>
      </w:hyperlink>
    </w:p>
    <w:p w:rsidR="00B84776" w:rsidRDefault="00C65940">
      <w:pPr>
        <w:pStyle w:val="ListParagraph"/>
        <w:numPr>
          <w:ilvl w:val="0"/>
          <w:numId w:val="3"/>
        </w:numPr>
        <w:tabs>
          <w:tab w:val="left" w:pos="460"/>
        </w:tabs>
        <w:spacing w:before="137" w:line="360" w:lineRule="auto"/>
        <w:ind w:right="98" w:firstLine="0"/>
        <w:rPr>
          <w:sz w:val="24"/>
        </w:rPr>
      </w:pPr>
      <w:proofErr w:type="spellStart"/>
      <w:r>
        <w:rPr>
          <w:color w:val="2A2A2A"/>
          <w:sz w:val="24"/>
        </w:rPr>
        <w:t>Obiageli</w:t>
      </w:r>
      <w:proofErr w:type="spellEnd"/>
      <w:r>
        <w:rPr>
          <w:color w:val="2A2A2A"/>
          <w:sz w:val="24"/>
        </w:rPr>
        <w:t xml:space="preserve"> J.O., Uzoma I., </w:t>
      </w:r>
      <w:proofErr w:type="spellStart"/>
      <w:r>
        <w:rPr>
          <w:color w:val="2A2A2A"/>
          <w:sz w:val="24"/>
        </w:rPr>
        <w:t>Sanda</w:t>
      </w:r>
      <w:proofErr w:type="spellEnd"/>
      <w:r>
        <w:rPr>
          <w:color w:val="2A2A2A"/>
          <w:sz w:val="24"/>
        </w:rPr>
        <w:t xml:space="preserve"> U. I., </w:t>
      </w:r>
      <w:proofErr w:type="spellStart"/>
      <w:r>
        <w:rPr>
          <w:color w:val="2A2A2A"/>
          <w:sz w:val="24"/>
        </w:rPr>
        <w:t>Uzairue</w:t>
      </w:r>
      <w:proofErr w:type="spellEnd"/>
      <w:r>
        <w:rPr>
          <w:color w:val="2A2A2A"/>
          <w:sz w:val="24"/>
        </w:rPr>
        <w:t xml:space="preserve"> L. I., Emmanuel C. A. (2023). Systematic review of surveillance systems for AMR in Africa, </w:t>
      </w:r>
      <w:r>
        <w:rPr>
          <w:i/>
          <w:color w:val="2A2A2A"/>
          <w:sz w:val="24"/>
        </w:rPr>
        <w:t>Journal of Antimicrobial Chemotherapy</w:t>
      </w:r>
      <w:r>
        <w:rPr>
          <w:color w:val="2A2A2A"/>
          <w:sz w:val="24"/>
        </w:rPr>
        <w:t>, 78(1): 31–5</w:t>
      </w:r>
      <w:r>
        <w:rPr>
          <w:color w:val="2A2A2A"/>
          <w:sz w:val="24"/>
        </w:rPr>
        <w:t xml:space="preserve">1, </w:t>
      </w:r>
      <w:hyperlink r:id="rId49">
        <w:r>
          <w:rPr>
            <w:color w:val="006EB7"/>
            <w:sz w:val="24"/>
          </w:rPr>
          <w:t>https://doi.org/10.1093/jac/dkac342</w:t>
        </w:r>
      </w:hyperlink>
    </w:p>
    <w:p w:rsidR="00B84776" w:rsidRDefault="00C65940">
      <w:pPr>
        <w:pStyle w:val="ListParagraph"/>
        <w:numPr>
          <w:ilvl w:val="0"/>
          <w:numId w:val="3"/>
        </w:numPr>
        <w:tabs>
          <w:tab w:val="left" w:pos="460"/>
          <w:tab w:val="left" w:pos="1571"/>
          <w:tab w:val="left" w:pos="3882"/>
          <w:tab w:val="left" w:pos="5701"/>
          <w:tab w:val="left" w:pos="7772"/>
        </w:tabs>
        <w:spacing w:before="1" w:line="360" w:lineRule="auto"/>
        <w:ind w:right="100" w:firstLine="0"/>
        <w:rPr>
          <w:color w:val="202020"/>
          <w:sz w:val="24"/>
        </w:rPr>
      </w:pPr>
      <w:r>
        <w:rPr>
          <w:sz w:val="24"/>
        </w:rPr>
        <w:t xml:space="preserve">World Health Organization (WHO). (2021). Global antimicrobial resistance and </w:t>
      </w:r>
      <w:r>
        <w:rPr>
          <w:spacing w:val="-4"/>
          <w:sz w:val="24"/>
        </w:rPr>
        <w:t>use</w:t>
      </w:r>
      <w:r>
        <w:rPr>
          <w:sz w:val="24"/>
        </w:rPr>
        <w:tab/>
      </w:r>
      <w:r>
        <w:rPr>
          <w:sz w:val="24"/>
        </w:rPr>
        <w:tab/>
      </w:r>
      <w:r>
        <w:rPr>
          <w:spacing w:val="-2"/>
          <w:sz w:val="24"/>
        </w:rPr>
        <w:t>surveillance</w:t>
      </w:r>
      <w:r>
        <w:rPr>
          <w:sz w:val="24"/>
        </w:rPr>
        <w:tab/>
      </w:r>
      <w:r>
        <w:rPr>
          <w:spacing w:val="-2"/>
          <w:sz w:val="24"/>
        </w:rPr>
        <w:t>system</w:t>
      </w:r>
      <w:r>
        <w:rPr>
          <w:sz w:val="24"/>
        </w:rPr>
        <w:tab/>
      </w:r>
      <w:r>
        <w:rPr>
          <w:spacing w:val="-2"/>
          <w:sz w:val="24"/>
        </w:rPr>
        <w:t>(GLASS)</w:t>
      </w:r>
      <w:r>
        <w:rPr>
          <w:sz w:val="24"/>
        </w:rPr>
        <w:tab/>
      </w:r>
      <w:r>
        <w:rPr>
          <w:spacing w:val="-2"/>
          <w:sz w:val="24"/>
        </w:rPr>
        <w:t xml:space="preserve">report. </w:t>
      </w:r>
      <w:hyperlink r:id="rId50">
        <w:r>
          <w:rPr>
            <w:color w:val="0000FF"/>
            <w:spacing w:val="-2"/>
            <w:sz w:val="24"/>
            <w:u w:val="single" w:color="0000FF"/>
          </w:rPr>
          <w:t>https://www.who.int/publications/i/item/9789240027336</w:t>
        </w:r>
      </w:hyperlink>
    </w:p>
    <w:p w:rsidR="00B84776" w:rsidRDefault="00C65940">
      <w:pPr>
        <w:pStyle w:val="ListParagraph"/>
        <w:numPr>
          <w:ilvl w:val="0"/>
          <w:numId w:val="3"/>
        </w:numPr>
        <w:tabs>
          <w:tab w:val="left" w:pos="460"/>
        </w:tabs>
        <w:spacing w:line="360" w:lineRule="auto"/>
        <w:ind w:right="97" w:firstLine="0"/>
        <w:rPr>
          <w:sz w:val="24"/>
        </w:rPr>
      </w:pPr>
      <w:r>
        <w:rPr>
          <w:color w:val="202020"/>
          <w:sz w:val="24"/>
        </w:rPr>
        <w:t xml:space="preserve">Olalekan, A., </w:t>
      </w:r>
      <w:proofErr w:type="spellStart"/>
      <w:r>
        <w:rPr>
          <w:color w:val="202020"/>
          <w:sz w:val="24"/>
        </w:rPr>
        <w:t>Onwugamba</w:t>
      </w:r>
      <w:proofErr w:type="spellEnd"/>
      <w:r>
        <w:rPr>
          <w:color w:val="202020"/>
          <w:sz w:val="24"/>
        </w:rPr>
        <w:t xml:space="preserve">, F., </w:t>
      </w:r>
      <w:proofErr w:type="spellStart"/>
      <w:r>
        <w:rPr>
          <w:color w:val="202020"/>
          <w:sz w:val="24"/>
        </w:rPr>
        <w:t>Iwalokun</w:t>
      </w:r>
      <w:proofErr w:type="spellEnd"/>
      <w:r>
        <w:rPr>
          <w:color w:val="202020"/>
          <w:sz w:val="24"/>
        </w:rPr>
        <w:t xml:space="preserve">, B., </w:t>
      </w:r>
      <w:proofErr w:type="spellStart"/>
      <w:r>
        <w:rPr>
          <w:color w:val="202020"/>
          <w:sz w:val="24"/>
        </w:rPr>
        <w:t>Mellmann</w:t>
      </w:r>
      <w:proofErr w:type="spellEnd"/>
      <w:r>
        <w:rPr>
          <w:color w:val="202020"/>
          <w:sz w:val="24"/>
        </w:rPr>
        <w:t xml:space="preserve">, A., Becker, K., &amp; Schaumburg, F. (2020). High proportion of </w:t>
      </w:r>
      <w:proofErr w:type="spellStart"/>
      <w:r>
        <w:rPr>
          <w:color w:val="202020"/>
          <w:sz w:val="24"/>
        </w:rPr>
        <w:t>carbapenemase</w:t>
      </w:r>
      <w:proofErr w:type="spellEnd"/>
      <w:r>
        <w:rPr>
          <w:color w:val="202020"/>
          <w:sz w:val="24"/>
        </w:rPr>
        <w:t>-producing Escherichia</w:t>
      </w:r>
      <w:r>
        <w:rPr>
          <w:color w:val="202020"/>
          <w:spacing w:val="40"/>
          <w:sz w:val="24"/>
        </w:rPr>
        <w:t xml:space="preserve"> </w:t>
      </w:r>
      <w:r>
        <w:rPr>
          <w:color w:val="202020"/>
          <w:sz w:val="24"/>
        </w:rPr>
        <w:t xml:space="preserve">coli and Klebsiella pneumoniae among extended-spectrum β-lactamase-producers in Nigerian hospitals. </w:t>
      </w:r>
      <w:r>
        <w:rPr>
          <w:i/>
          <w:color w:val="202020"/>
          <w:sz w:val="24"/>
        </w:rPr>
        <w:t>Journal of global antimicrobial resistance</w:t>
      </w:r>
      <w:r>
        <w:rPr>
          <w:color w:val="202020"/>
          <w:sz w:val="24"/>
        </w:rPr>
        <w:t xml:space="preserve">, </w:t>
      </w:r>
      <w:r>
        <w:rPr>
          <w:i/>
          <w:color w:val="202020"/>
          <w:sz w:val="24"/>
        </w:rPr>
        <w:t>21</w:t>
      </w:r>
      <w:r>
        <w:rPr>
          <w:color w:val="202020"/>
          <w:sz w:val="24"/>
        </w:rPr>
        <w:t xml:space="preserve">, 8–12. </w:t>
      </w:r>
      <w:hyperlink r:id="rId51">
        <w:r>
          <w:rPr>
            <w:color w:val="0000FF"/>
            <w:spacing w:val="-2"/>
            <w:sz w:val="24"/>
            <w:u w:val="single" w:color="0000FF"/>
          </w:rPr>
          <w:t>https://doi.org/10.1016/j.jgar.2019.09.007</w:t>
        </w:r>
      </w:hyperlink>
    </w:p>
    <w:p w:rsidR="00B84776" w:rsidRDefault="00B84776">
      <w:pPr>
        <w:pStyle w:val="ListParagraph"/>
        <w:spacing w:line="360" w:lineRule="auto"/>
        <w:rPr>
          <w:sz w:val="24"/>
        </w:rPr>
        <w:sectPr w:rsidR="00B84776">
          <w:pgSz w:w="11910" w:h="16840"/>
          <w:pgMar w:top="1360" w:right="1700" w:bottom="280" w:left="1700" w:header="720" w:footer="720" w:gutter="0"/>
          <w:cols w:space="720"/>
        </w:sectPr>
      </w:pPr>
    </w:p>
    <w:p w:rsidR="00B84776" w:rsidRDefault="00C65940">
      <w:pPr>
        <w:pStyle w:val="ListParagraph"/>
        <w:numPr>
          <w:ilvl w:val="0"/>
          <w:numId w:val="3"/>
        </w:numPr>
        <w:tabs>
          <w:tab w:val="left" w:pos="460"/>
        </w:tabs>
        <w:spacing w:before="62" w:line="360" w:lineRule="auto"/>
        <w:ind w:right="99" w:firstLine="0"/>
        <w:rPr>
          <w:color w:val="202020"/>
          <w:sz w:val="24"/>
        </w:rPr>
      </w:pPr>
      <w:proofErr w:type="spellStart"/>
      <w:r>
        <w:rPr>
          <w:sz w:val="24"/>
        </w:rPr>
        <w:lastRenderedPageBreak/>
        <w:t>Sampah</w:t>
      </w:r>
      <w:proofErr w:type="spellEnd"/>
      <w:r>
        <w:rPr>
          <w:spacing w:val="-2"/>
          <w:sz w:val="24"/>
        </w:rPr>
        <w:t xml:space="preserve"> </w:t>
      </w:r>
      <w:r>
        <w:rPr>
          <w:sz w:val="24"/>
        </w:rPr>
        <w:t>J,</w:t>
      </w:r>
      <w:r>
        <w:rPr>
          <w:spacing w:val="-4"/>
          <w:sz w:val="24"/>
        </w:rPr>
        <w:t xml:space="preserve"> </w:t>
      </w:r>
      <w:r>
        <w:rPr>
          <w:sz w:val="24"/>
        </w:rPr>
        <w:t>Owusu-Frimpong</w:t>
      </w:r>
      <w:r>
        <w:rPr>
          <w:spacing w:val="-1"/>
          <w:sz w:val="24"/>
        </w:rPr>
        <w:t xml:space="preserve"> </w:t>
      </w:r>
      <w:r>
        <w:rPr>
          <w:sz w:val="24"/>
        </w:rPr>
        <w:t>I,</w:t>
      </w:r>
      <w:r>
        <w:rPr>
          <w:spacing w:val="-1"/>
          <w:sz w:val="24"/>
        </w:rPr>
        <w:t xml:space="preserve"> </w:t>
      </w:r>
      <w:r>
        <w:rPr>
          <w:sz w:val="24"/>
        </w:rPr>
        <w:t>Aboagye FT,</w:t>
      </w:r>
      <w:r>
        <w:rPr>
          <w:spacing w:val="-2"/>
          <w:sz w:val="24"/>
        </w:rPr>
        <w:t xml:space="preserve"> </w:t>
      </w:r>
      <w:r>
        <w:rPr>
          <w:sz w:val="24"/>
        </w:rPr>
        <w:t>Owusu-Ofori</w:t>
      </w:r>
      <w:r>
        <w:rPr>
          <w:spacing w:val="-3"/>
          <w:sz w:val="24"/>
        </w:rPr>
        <w:t xml:space="preserve"> </w:t>
      </w:r>
      <w:r>
        <w:rPr>
          <w:sz w:val="24"/>
        </w:rPr>
        <w:t>A</w:t>
      </w:r>
      <w:r>
        <w:rPr>
          <w:spacing w:val="-3"/>
          <w:sz w:val="24"/>
        </w:rPr>
        <w:t xml:space="preserve"> </w:t>
      </w:r>
      <w:r>
        <w:rPr>
          <w:sz w:val="24"/>
        </w:rPr>
        <w:t>(2023)</w:t>
      </w:r>
      <w:r>
        <w:rPr>
          <w:spacing w:val="-1"/>
          <w:sz w:val="24"/>
        </w:rPr>
        <w:t xml:space="preserve"> </w:t>
      </w:r>
      <w:r>
        <w:rPr>
          <w:sz w:val="24"/>
        </w:rPr>
        <w:t>Prevalence</w:t>
      </w:r>
      <w:r>
        <w:rPr>
          <w:spacing w:val="-3"/>
          <w:sz w:val="24"/>
        </w:rPr>
        <w:t xml:space="preserve"> </w:t>
      </w:r>
      <w:r>
        <w:rPr>
          <w:sz w:val="24"/>
        </w:rPr>
        <w:t xml:space="preserve">of carbapenem-resistant and extended-spectrum beta-lactamase-producing Enterobacteriaceae in a teaching hospital in Ghana. </w:t>
      </w:r>
      <w:proofErr w:type="spellStart"/>
      <w:r>
        <w:rPr>
          <w:sz w:val="24"/>
        </w:rPr>
        <w:t>PLoS</w:t>
      </w:r>
      <w:proofErr w:type="spellEnd"/>
      <w:r>
        <w:rPr>
          <w:sz w:val="24"/>
        </w:rPr>
        <w:t xml:space="preserve"> ONE 18(10): e0274156.</w:t>
      </w:r>
    </w:p>
    <w:p w:rsidR="00B84776" w:rsidRDefault="00C65940">
      <w:pPr>
        <w:pStyle w:val="ListParagraph"/>
        <w:numPr>
          <w:ilvl w:val="0"/>
          <w:numId w:val="3"/>
        </w:numPr>
        <w:tabs>
          <w:tab w:val="left" w:pos="460"/>
        </w:tabs>
        <w:spacing w:line="360" w:lineRule="auto"/>
        <w:ind w:right="100" w:firstLine="0"/>
        <w:rPr>
          <w:color w:val="202020"/>
          <w:sz w:val="24"/>
        </w:rPr>
      </w:pPr>
      <w:r>
        <w:rPr>
          <w:color w:val="202020"/>
          <w:sz w:val="24"/>
        </w:rPr>
        <w:t>Bush, K., &amp; Bradf</w:t>
      </w:r>
      <w:r>
        <w:rPr>
          <w:color w:val="202020"/>
          <w:sz w:val="24"/>
        </w:rPr>
        <w:t xml:space="preserve">ord, P. A. (2020). Epidemiology of β-Lactamase-Producing Pathogens. </w:t>
      </w:r>
      <w:r>
        <w:rPr>
          <w:i/>
          <w:color w:val="202020"/>
          <w:sz w:val="24"/>
        </w:rPr>
        <w:t>Clinical microbiology reviews</w:t>
      </w:r>
      <w:r>
        <w:rPr>
          <w:color w:val="202020"/>
          <w:sz w:val="24"/>
        </w:rPr>
        <w:t xml:space="preserve">, </w:t>
      </w:r>
      <w:r>
        <w:rPr>
          <w:i/>
          <w:color w:val="202020"/>
          <w:sz w:val="24"/>
        </w:rPr>
        <w:t>33</w:t>
      </w:r>
      <w:r>
        <w:rPr>
          <w:color w:val="202020"/>
          <w:sz w:val="24"/>
        </w:rPr>
        <w:t xml:space="preserve">(2), e00047-19. </w:t>
      </w:r>
      <w:hyperlink r:id="rId52">
        <w:r>
          <w:rPr>
            <w:color w:val="0000FF"/>
            <w:spacing w:val="-2"/>
            <w:sz w:val="24"/>
            <w:u w:val="single" w:color="0000FF"/>
          </w:rPr>
          <w:t>https://doi.org/10.1128/CMR.00047-19</w:t>
        </w:r>
      </w:hyperlink>
    </w:p>
    <w:p w:rsidR="00B84776" w:rsidRDefault="00C65940">
      <w:pPr>
        <w:pStyle w:val="ListParagraph"/>
        <w:numPr>
          <w:ilvl w:val="0"/>
          <w:numId w:val="3"/>
        </w:numPr>
        <w:tabs>
          <w:tab w:val="left" w:pos="460"/>
        </w:tabs>
        <w:spacing w:line="360" w:lineRule="auto"/>
        <w:ind w:right="97" w:firstLine="0"/>
        <w:rPr>
          <w:sz w:val="24"/>
        </w:rPr>
      </w:pPr>
      <w:r>
        <w:rPr>
          <w:color w:val="202020"/>
          <w:sz w:val="24"/>
        </w:rPr>
        <w:t xml:space="preserve">Paterson, D. L., &amp; </w:t>
      </w:r>
      <w:proofErr w:type="spellStart"/>
      <w:r>
        <w:rPr>
          <w:color w:val="202020"/>
          <w:sz w:val="24"/>
        </w:rPr>
        <w:t>Bonomo</w:t>
      </w:r>
      <w:proofErr w:type="spellEnd"/>
      <w:r>
        <w:rPr>
          <w:color w:val="202020"/>
          <w:sz w:val="24"/>
        </w:rPr>
        <w:t>, R. A. (2005). Exten</w:t>
      </w:r>
      <w:r>
        <w:rPr>
          <w:color w:val="202020"/>
          <w:sz w:val="24"/>
        </w:rPr>
        <w:t xml:space="preserve">ded-spectrum beta-lactamases: a clinical update. </w:t>
      </w:r>
      <w:r>
        <w:rPr>
          <w:i/>
          <w:color w:val="202020"/>
          <w:sz w:val="24"/>
        </w:rPr>
        <w:t>Clinical microbiology reviews</w:t>
      </w:r>
      <w:r>
        <w:rPr>
          <w:color w:val="202020"/>
          <w:sz w:val="24"/>
        </w:rPr>
        <w:t xml:space="preserve">, </w:t>
      </w:r>
      <w:r>
        <w:rPr>
          <w:i/>
          <w:color w:val="202020"/>
          <w:sz w:val="24"/>
        </w:rPr>
        <w:t>18</w:t>
      </w:r>
      <w:r>
        <w:rPr>
          <w:color w:val="202020"/>
          <w:sz w:val="24"/>
        </w:rPr>
        <w:t xml:space="preserve">(4), 657–686. </w:t>
      </w:r>
      <w:hyperlink r:id="rId53">
        <w:r>
          <w:rPr>
            <w:color w:val="0000FF"/>
            <w:spacing w:val="-2"/>
            <w:sz w:val="24"/>
            <w:u w:val="single" w:color="0000FF"/>
          </w:rPr>
          <w:t>https://doi.org/10.1128/CMR.18.4.657-686.2005</w:t>
        </w:r>
      </w:hyperlink>
    </w:p>
    <w:p w:rsidR="00B84776" w:rsidRDefault="00C65940">
      <w:pPr>
        <w:pStyle w:val="ListParagraph"/>
        <w:numPr>
          <w:ilvl w:val="0"/>
          <w:numId w:val="3"/>
        </w:numPr>
        <w:tabs>
          <w:tab w:val="left" w:pos="460"/>
        </w:tabs>
        <w:spacing w:line="360" w:lineRule="auto"/>
        <w:ind w:right="97" w:firstLine="0"/>
        <w:rPr>
          <w:color w:val="202020"/>
          <w:sz w:val="24"/>
        </w:rPr>
      </w:pPr>
      <w:proofErr w:type="spellStart"/>
      <w:r>
        <w:rPr>
          <w:color w:val="202020"/>
          <w:sz w:val="24"/>
        </w:rPr>
        <w:t>Cantón</w:t>
      </w:r>
      <w:proofErr w:type="spellEnd"/>
      <w:r>
        <w:rPr>
          <w:color w:val="202020"/>
          <w:sz w:val="24"/>
        </w:rPr>
        <w:t xml:space="preserve">, R., González-Alba, J. M., &amp; </w:t>
      </w:r>
      <w:proofErr w:type="spellStart"/>
      <w:r>
        <w:rPr>
          <w:color w:val="202020"/>
          <w:sz w:val="24"/>
        </w:rPr>
        <w:t>Galán</w:t>
      </w:r>
      <w:proofErr w:type="spellEnd"/>
      <w:r>
        <w:rPr>
          <w:color w:val="202020"/>
          <w:sz w:val="24"/>
        </w:rPr>
        <w:t xml:space="preserve">, J. C. </w:t>
      </w:r>
      <w:r>
        <w:rPr>
          <w:color w:val="202020"/>
          <w:sz w:val="24"/>
        </w:rPr>
        <w:t>(2012). CTX-M Enzymes:</w:t>
      </w:r>
      <w:r>
        <w:rPr>
          <w:color w:val="202020"/>
          <w:spacing w:val="40"/>
          <w:sz w:val="24"/>
        </w:rPr>
        <w:t xml:space="preserve"> </w:t>
      </w:r>
      <w:r>
        <w:rPr>
          <w:color w:val="202020"/>
          <w:sz w:val="24"/>
        </w:rPr>
        <w:t xml:space="preserve">Origin and Diffusion. </w:t>
      </w:r>
      <w:r>
        <w:rPr>
          <w:i/>
          <w:color w:val="202020"/>
          <w:sz w:val="24"/>
        </w:rPr>
        <w:t>Frontiers in microbiology</w:t>
      </w:r>
      <w:r>
        <w:rPr>
          <w:color w:val="202020"/>
          <w:sz w:val="24"/>
        </w:rPr>
        <w:t xml:space="preserve">, </w:t>
      </w:r>
      <w:r>
        <w:rPr>
          <w:i/>
          <w:color w:val="202020"/>
          <w:sz w:val="24"/>
        </w:rPr>
        <w:t>3</w:t>
      </w:r>
      <w:r>
        <w:rPr>
          <w:color w:val="202020"/>
          <w:sz w:val="24"/>
        </w:rPr>
        <w:t xml:space="preserve">, 110. </w:t>
      </w:r>
      <w:hyperlink r:id="rId54">
        <w:r>
          <w:rPr>
            <w:color w:val="0000FF"/>
            <w:spacing w:val="-2"/>
            <w:sz w:val="24"/>
            <w:u w:val="single" w:color="0000FF"/>
          </w:rPr>
          <w:t>https://doi.org/10.3389/fmicb.2012.00110</w:t>
        </w:r>
      </w:hyperlink>
    </w:p>
    <w:p w:rsidR="00B84776" w:rsidRDefault="00C65940">
      <w:pPr>
        <w:pStyle w:val="ListParagraph"/>
        <w:numPr>
          <w:ilvl w:val="0"/>
          <w:numId w:val="3"/>
        </w:numPr>
        <w:tabs>
          <w:tab w:val="left" w:pos="460"/>
        </w:tabs>
        <w:spacing w:line="360" w:lineRule="auto"/>
        <w:ind w:right="98" w:firstLine="0"/>
        <w:rPr>
          <w:color w:val="1B1B1B"/>
          <w:sz w:val="24"/>
        </w:rPr>
      </w:pPr>
      <w:r>
        <w:rPr>
          <w:color w:val="202020"/>
          <w:sz w:val="24"/>
        </w:rPr>
        <w:t xml:space="preserve">Bevan, E. R., Jones, A. M., &amp; </w:t>
      </w:r>
      <w:proofErr w:type="spellStart"/>
      <w:r>
        <w:rPr>
          <w:color w:val="202020"/>
          <w:sz w:val="24"/>
        </w:rPr>
        <w:t>Hawkey</w:t>
      </w:r>
      <w:proofErr w:type="spellEnd"/>
      <w:r>
        <w:rPr>
          <w:color w:val="202020"/>
          <w:sz w:val="24"/>
        </w:rPr>
        <w:t xml:space="preserve">, P. M. (2017). Global epidemiology of </w:t>
      </w:r>
      <w:r>
        <w:rPr>
          <w:color w:val="202020"/>
          <w:sz w:val="24"/>
        </w:rPr>
        <w:t xml:space="preserve">CTX-M β-lactamases: temporal and geographical shifts in genotype. </w:t>
      </w:r>
      <w:r>
        <w:rPr>
          <w:i/>
          <w:color w:val="202020"/>
          <w:sz w:val="24"/>
        </w:rPr>
        <w:t>The Journal of antimicrobial chemotherapy</w:t>
      </w:r>
      <w:r>
        <w:rPr>
          <w:color w:val="202020"/>
          <w:sz w:val="24"/>
        </w:rPr>
        <w:t xml:space="preserve">, </w:t>
      </w:r>
      <w:r>
        <w:rPr>
          <w:i/>
          <w:color w:val="202020"/>
          <w:sz w:val="24"/>
        </w:rPr>
        <w:t>72</w:t>
      </w:r>
      <w:r>
        <w:rPr>
          <w:color w:val="202020"/>
          <w:sz w:val="24"/>
        </w:rPr>
        <w:t xml:space="preserve">(8), 2145–2155. </w:t>
      </w:r>
      <w:hyperlink r:id="rId55">
        <w:r>
          <w:rPr>
            <w:color w:val="0000FF"/>
            <w:sz w:val="24"/>
            <w:u w:val="single" w:color="0000FF"/>
          </w:rPr>
          <w:t>https://doi.org/10.1093/jac/dkx146</w:t>
        </w:r>
      </w:hyperlink>
    </w:p>
    <w:p w:rsidR="00B84776" w:rsidRDefault="00C65940">
      <w:pPr>
        <w:pStyle w:val="ListParagraph"/>
        <w:numPr>
          <w:ilvl w:val="0"/>
          <w:numId w:val="3"/>
        </w:numPr>
        <w:tabs>
          <w:tab w:val="left" w:pos="460"/>
        </w:tabs>
        <w:spacing w:line="360" w:lineRule="auto"/>
        <w:ind w:right="97" w:firstLine="0"/>
        <w:rPr>
          <w:color w:val="202020"/>
          <w:sz w:val="24"/>
        </w:rPr>
      </w:pPr>
      <w:r>
        <w:rPr>
          <w:color w:val="1B1B1B"/>
          <w:sz w:val="24"/>
        </w:rPr>
        <w:t xml:space="preserve">Bonnet R. (2004). Growing group of extended-spectrum beta-lactamases: the CTX-M enzymes. </w:t>
      </w:r>
      <w:r>
        <w:rPr>
          <w:i/>
          <w:color w:val="1B1B1B"/>
          <w:sz w:val="24"/>
        </w:rPr>
        <w:t>Antimicrobial agents and chemotherapy</w:t>
      </w:r>
      <w:r>
        <w:rPr>
          <w:color w:val="1B1B1B"/>
          <w:sz w:val="24"/>
        </w:rPr>
        <w:t xml:space="preserve">, </w:t>
      </w:r>
      <w:r>
        <w:rPr>
          <w:i/>
          <w:color w:val="1B1B1B"/>
          <w:sz w:val="24"/>
        </w:rPr>
        <w:t>48</w:t>
      </w:r>
      <w:r>
        <w:rPr>
          <w:color w:val="1B1B1B"/>
          <w:sz w:val="24"/>
        </w:rPr>
        <w:t xml:space="preserve">(1), 1–14. </w:t>
      </w:r>
      <w:hyperlink r:id="rId56">
        <w:r>
          <w:rPr>
            <w:color w:val="0000FF"/>
            <w:spacing w:val="-2"/>
            <w:sz w:val="24"/>
            <w:u w:val="single" w:color="0000FF"/>
          </w:rPr>
          <w:t>https://doi.org/10.1128/AAC.48.1.1-14.2004</w:t>
        </w:r>
      </w:hyperlink>
    </w:p>
    <w:p w:rsidR="00B84776" w:rsidRDefault="00C65940">
      <w:pPr>
        <w:pStyle w:val="ListParagraph"/>
        <w:numPr>
          <w:ilvl w:val="0"/>
          <w:numId w:val="3"/>
        </w:numPr>
        <w:tabs>
          <w:tab w:val="left" w:pos="460"/>
          <w:tab w:val="left" w:pos="1381"/>
          <w:tab w:val="left" w:pos="2828"/>
          <w:tab w:val="left" w:pos="4782"/>
          <w:tab w:val="left" w:pos="6251"/>
          <w:tab w:val="left" w:pos="7506"/>
        </w:tabs>
        <w:spacing w:line="360" w:lineRule="auto"/>
        <w:ind w:right="97" w:firstLine="0"/>
        <w:rPr>
          <w:color w:val="202020"/>
          <w:sz w:val="24"/>
        </w:rPr>
      </w:pPr>
      <w:r>
        <w:rPr>
          <w:color w:val="202020"/>
          <w:sz w:val="24"/>
        </w:rPr>
        <w:t>Bradford P</w:t>
      </w:r>
      <w:r>
        <w:rPr>
          <w:color w:val="202020"/>
          <w:sz w:val="24"/>
        </w:rPr>
        <w:t>. A. (2001). Extended-spectrum beta-lactamases in the 21st century: characterization,</w:t>
      </w:r>
      <w:r>
        <w:rPr>
          <w:color w:val="202020"/>
          <w:spacing w:val="80"/>
          <w:sz w:val="24"/>
        </w:rPr>
        <w:t xml:space="preserve"> </w:t>
      </w:r>
      <w:r>
        <w:rPr>
          <w:color w:val="202020"/>
          <w:sz w:val="24"/>
        </w:rPr>
        <w:t>epidemiology,</w:t>
      </w:r>
      <w:r>
        <w:rPr>
          <w:color w:val="202020"/>
          <w:spacing w:val="80"/>
          <w:w w:val="150"/>
          <w:sz w:val="24"/>
        </w:rPr>
        <w:t xml:space="preserve"> </w:t>
      </w:r>
      <w:r>
        <w:rPr>
          <w:color w:val="202020"/>
          <w:sz w:val="24"/>
        </w:rPr>
        <w:t>and</w:t>
      </w:r>
      <w:r>
        <w:rPr>
          <w:color w:val="202020"/>
          <w:spacing w:val="80"/>
          <w:w w:val="150"/>
          <w:sz w:val="24"/>
        </w:rPr>
        <w:t xml:space="preserve"> </w:t>
      </w:r>
      <w:r>
        <w:rPr>
          <w:color w:val="202020"/>
          <w:sz w:val="24"/>
        </w:rPr>
        <w:t>detection</w:t>
      </w:r>
      <w:r>
        <w:rPr>
          <w:color w:val="202020"/>
          <w:spacing w:val="80"/>
          <w:w w:val="150"/>
          <w:sz w:val="24"/>
        </w:rPr>
        <w:t xml:space="preserve"> </w:t>
      </w:r>
      <w:r>
        <w:rPr>
          <w:color w:val="202020"/>
          <w:sz w:val="24"/>
        </w:rPr>
        <w:t>of</w:t>
      </w:r>
      <w:r>
        <w:rPr>
          <w:color w:val="202020"/>
          <w:spacing w:val="80"/>
          <w:sz w:val="24"/>
        </w:rPr>
        <w:t xml:space="preserve"> </w:t>
      </w:r>
      <w:r>
        <w:rPr>
          <w:color w:val="202020"/>
          <w:sz w:val="24"/>
        </w:rPr>
        <w:t>this</w:t>
      </w:r>
      <w:r>
        <w:rPr>
          <w:color w:val="202020"/>
          <w:spacing w:val="80"/>
          <w:sz w:val="24"/>
        </w:rPr>
        <w:t xml:space="preserve"> </w:t>
      </w:r>
      <w:r>
        <w:rPr>
          <w:color w:val="202020"/>
          <w:sz w:val="24"/>
        </w:rPr>
        <w:t>important</w:t>
      </w:r>
      <w:r>
        <w:rPr>
          <w:color w:val="202020"/>
          <w:spacing w:val="80"/>
          <w:sz w:val="24"/>
        </w:rPr>
        <w:t xml:space="preserve"> </w:t>
      </w:r>
      <w:r>
        <w:rPr>
          <w:color w:val="202020"/>
          <w:sz w:val="24"/>
        </w:rPr>
        <w:t>resistance</w:t>
      </w:r>
      <w:r>
        <w:rPr>
          <w:color w:val="202020"/>
          <w:spacing w:val="40"/>
          <w:sz w:val="24"/>
        </w:rPr>
        <w:t xml:space="preserve"> </w:t>
      </w:r>
      <w:r>
        <w:rPr>
          <w:color w:val="202020"/>
          <w:spacing w:val="-2"/>
          <w:sz w:val="24"/>
        </w:rPr>
        <w:t>threat.</w:t>
      </w:r>
      <w:r>
        <w:rPr>
          <w:color w:val="202020"/>
          <w:sz w:val="24"/>
        </w:rPr>
        <w:tab/>
      </w:r>
      <w:r>
        <w:rPr>
          <w:i/>
          <w:color w:val="202020"/>
          <w:spacing w:val="-2"/>
          <w:sz w:val="24"/>
        </w:rPr>
        <w:t>Clinical</w:t>
      </w:r>
      <w:r>
        <w:rPr>
          <w:i/>
          <w:color w:val="202020"/>
          <w:sz w:val="24"/>
        </w:rPr>
        <w:tab/>
      </w:r>
      <w:r>
        <w:rPr>
          <w:i/>
          <w:color w:val="202020"/>
          <w:spacing w:val="-2"/>
          <w:sz w:val="24"/>
        </w:rPr>
        <w:t>microbiology</w:t>
      </w:r>
      <w:r>
        <w:rPr>
          <w:i/>
          <w:color w:val="202020"/>
          <w:sz w:val="24"/>
        </w:rPr>
        <w:tab/>
      </w:r>
      <w:r>
        <w:rPr>
          <w:i/>
          <w:color w:val="202020"/>
          <w:spacing w:val="-2"/>
          <w:sz w:val="24"/>
        </w:rPr>
        <w:t>reviews</w:t>
      </w:r>
      <w:r>
        <w:rPr>
          <w:color w:val="202020"/>
          <w:spacing w:val="-2"/>
          <w:sz w:val="24"/>
        </w:rPr>
        <w:t>,</w:t>
      </w:r>
      <w:r>
        <w:rPr>
          <w:color w:val="202020"/>
          <w:sz w:val="24"/>
        </w:rPr>
        <w:tab/>
      </w:r>
      <w:r>
        <w:rPr>
          <w:i/>
          <w:color w:val="202020"/>
          <w:spacing w:val="-2"/>
          <w:sz w:val="24"/>
        </w:rPr>
        <w:t>14</w:t>
      </w:r>
      <w:r>
        <w:rPr>
          <w:color w:val="202020"/>
          <w:spacing w:val="-2"/>
          <w:sz w:val="24"/>
        </w:rPr>
        <w:t>(4),</w:t>
      </w:r>
      <w:r>
        <w:rPr>
          <w:color w:val="202020"/>
          <w:sz w:val="24"/>
        </w:rPr>
        <w:tab/>
      </w:r>
      <w:r>
        <w:rPr>
          <w:color w:val="202020"/>
          <w:spacing w:val="-2"/>
          <w:sz w:val="24"/>
        </w:rPr>
        <w:t xml:space="preserve">933–951. </w:t>
      </w:r>
      <w:hyperlink r:id="rId57">
        <w:r>
          <w:rPr>
            <w:color w:val="0000FF"/>
            <w:spacing w:val="-2"/>
            <w:sz w:val="24"/>
            <w:u w:val="single" w:color="0000FF"/>
          </w:rPr>
          <w:t>https://doi.org/10.1128/CMR.14.4.933-951.2001</w:t>
        </w:r>
      </w:hyperlink>
    </w:p>
    <w:p w:rsidR="00B84776" w:rsidRDefault="00C65940">
      <w:pPr>
        <w:pStyle w:val="ListParagraph"/>
        <w:numPr>
          <w:ilvl w:val="0"/>
          <w:numId w:val="3"/>
        </w:numPr>
        <w:tabs>
          <w:tab w:val="left" w:pos="460"/>
          <w:tab w:val="left" w:pos="1727"/>
          <w:tab w:val="left" w:pos="3248"/>
          <w:tab w:val="left" w:pos="4249"/>
          <w:tab w:val="left" w:pos="5991"/>
          <w:tab w:val="left" w:pos="7503"/>
        </w:tabs>
        <w:spacing w:line="360" w:lineRule="auto"/>
        <w:ind w:right="98" w:firstLine="0"/>
        <w:rPr>
          <w:color w:val="202020"/>
          <w:sz w:val="24"/>
        </w:rPr>
      </w:pPr>
      <w:r>
        <w:rPr>
          <w:color w:val="202020"/>
          <w:sz w:val="24"/>
        </w:rPr>
        <w:t xml:space="preserve">Jacoby, G. A., &amp; Munoz-Price, L. S. (2005). The new beta-lactamases. </w:t>
      </w:r>
      <w:r>
        <w:rPr>
          <w:i/>
          <w:color w:val="202020"/>
          <w:sz w:val="24"/>
        </w:rPr>
        <w:t xml:space="preserve">The New </w:t>
      </w:r>
      <w:r>
        <w:rPr>
          <w:i/>
          <w:color w:val="202020"/>
          <w:spacing w:val="-2"/>
          <w:sz w:val="24"/>
        </w:rPr>
        <w:t>England</w:t>
      </w:r>
      <w:r>
        <w:rPr>
          <w:i/>
          <w:color w:val="202020"/>
          <w:sz w:val="24"/>
        </w:rPr>
        <w:tab/>
      </w:r>
      <w:r>
        <w:rPr>
          <w:i/>
          <w:color w:val="202020"/>
          <w:spacing w:val="-2"/>
          <w:sz w:val="24"/>
        </w:rPr>
        <w:t>journal</w:t>
      </w:r>
      <w:r>
        <w:rPr>
          <w:i/>
          <w:color w:val="202020"/>
          <w:sz w:val="24"/>
        </w:rPr>
        <w:tab/>
      </w:r>
      <w:r>
        <w:rPr>
          <w:i/>
          <w:color w:val="202020"/>
          <w:spacing w:val="-6"/>
          <w:sz w:val="24"/>
        </w:rPr>
        <w:t>of</w:t>
      </w:r>
      <w:r>
        <w:rPr>
          <w:i/>
          <w:color w:val="202020"/>
          <w:sz w:val="24"/>
        </w:rPr>
        <w:tab/>
      </w:r>
      <w:r>
        <w:rPr>
          <w:i/>
          <w:color w:val="202020"/>
          <w:spacing w:val="-2"/>
          <w:sz w:val="24"/>
        </w:rPr>
        <w:t>medicine</w:t>
      </w:r>
      <w:r>
        <w:rPr>
          <w:color w:val="202020"/>
          <w:spacing w:val="-2"/>
          <w:sz w:val="24"/>
        </w:rPr>
        <w:t>,</w:t>
      </w:r>
      <w:r>
        <w:rPr>
          <w:color w:val="202020"/>
          <w:sz w:val="24"/>
        </w:rPr>
        <w:tab/>
      </w:r>
      <w:r>
        <w:rPr>
          <w:i/>
          <w:color w:val="202020"/>
          <w:spacing w:val="-2"/>
          <w:sz w:val="24"/>
        </w:rPr>
        <w:t>352</w:t>
      </w:r>
      <w:r>
        <w:rPr>
          <w:color w:val="202020"/>
          <w:spacing w:val="-2"/>
          <w:sz w:val="24"/>
        </w:rPr>
        <w:t>(4),</w:t>
      </w:r>
      <w:r>
        <w:rPr>
          <w:color w:val="202020"/>
          <w:sz w:val="24"/>
        </w:rPr>
        <w:tab/>
      </w:r>
      <w:r>
        <w:rPr>
          <w:color w:val="202020"/>
          <w:spacing w:val="-2"/>
          <w:sz w:val="24"/>
        </w:rPr>
        <w:t xml:space="preserve">380–391. </w:t>
      </w:r>
      <w:hyperlink r:id="rId58">
        <w:r>
          <w:rPr>
            <w:color w:val="0000FF"/>
            <w:spacing w:val="-2"/>
            <w:sz w:val="24"/>
            <w:u w:val="single" w:color="0000FF"/>
          </w:rPr>
          <w:t>https://doi.org/10.1056/NEJMra041359</w:t>
        </w:r>
      </w:hyperlink>
    </w:p>
    <w:p w:rsidR="00B84776" w:rsidRDefault="00C65940">
      <w:pPr>
        <w:pStyle w:val="ListParagraph"/>
        <w:numPr>
          <w:ilvl w:val="0"/>
          <w:numId w:val="3"/>
        </w:numPr>
        <w:tabs>
          <w:tab w:val="left" w:pos="460"/>
          <w:tab w:val="left" w:pos="1607"/>
          <w:tab w:val="left" w:pos="3635"/>
          <w:tab w:val="left" w:pos="4463"/>
          <w:tab w:val="left" w:pos="5857"/>
          <w:tab w:val="left" w:pos="7503"/>
        </w:tabs>
        <w:spacing w:line="360" w:lineRule="auto"/>
        <w:ind w:right="98" w:firstLine="0"/>
        <w:rPr>
          <w:sz w:val="24"/>
        </w:rPr>
      </w:pPr>
      <w:proofErr w:type="spellStart"/>
      <w:r>
        <w:rPr>
          <w:color w:val="202020"/>
          <w:sz w:val="24"/>
        </w:rPr>
        <w:t>D'Andrea</w:t>
      </w:r>
      <w:proofErr w:type="spellEnd"/>
      <w:r>
        <w:rPr>
          <w:color w:val="202020"/>
          <w:sz w:val="24"/>
        </w:rPr>
        <w:t xml:space="preserve">, M. M., Arena, F., </w:t>
      </w:r>
      <w:proofErr w:type="spellStart"/>
      <w:r>
        <w:rPr>
          <w:color w:val="202020"/>
          <w:sz w:val="24"/>
        </w:rPr>
        <w:t>Pallecchi</w:t>
      </w:r>
      <w:proofErr w:type="spellEnd"/>
      <w:r>
        <w:rPr>
          <w:color w:val="202020"/>
          <w:sz w:val="24"/>
        </w:rPr>
        <w:t xml:space="preserve">, L., &amp; </w:t>
      </w:r>
      <w:proofErr w:type="spellStart"/>
      <w:r>
        <w:rPr>
          <w:color w:val="202020"/>
          <w:sz w:val="24"/>
        </w:rPr>
        <w:t>Rossolini</w:t>
      </w:r>
      <w:proofErr w:type="spellEnd"/>
      <w:r>
        <w:rPr>
          <w:color w:val="202020"/>
          <w:sz w:val="24"/>
        </w:rPr>
        <w:t xml:space="preserve">, G. M. (2013). CTX-M- type β-lactamases: a successful story of antibiotic resistance. </w:t>
      </w:r>
      <w:r>
        <w:rPr>
          <w:i/>
          <w:color w:val="202020"/>
          <w:sz w:val="24"/>
        </w:rPr>
        <w:t xml:space="preserve">International journal of </w:t>
      </w:r>
      <w:r>
        <w:rPr>
          <w:i/>
          <w:color w:val="202020"/>
          <w:spacing w:val="-2"/>
          <w:sz w:val="24"/>
        </w:rPr>
        <w:t>medical</w:t>
      </w:r>
      <w:r>
        <w:rPr>
          <w:i/>
          <w:color w:val="202020"/>
          <w:sz w:val="24"/>
        </w:rPr>
        <w:tab/>
      </w:r>
      <w:r>
        <w:rPr>
          <w:i/>
          <w:color w:val="202020"/>
          <w:spacing w:val="-2"/>
          <w:sz w:val="24"/>
        </w:rPr>
        <w:t>microbiology</w:t>
      </w:r>
      <w:r>
        <w:rPr>
          <w:i/>
          <w:color w:val="202020"/>
          <w:sz w:val="24"/>
        </w:rPr>
        <w:tab/>
      </w:r>
      <w:r>
        <w:rPr>
          <w:i/>
          <w:color w:val="202020"/>
          <w:spacing w:val="-10"/>
          <w:sz w:val="24"/>
        </w:rPr>
        <w:t>:</w:t>
      </w:r>
      <w:r>
        <w:rPr>
          <w:i/>
          <w:color w:val="202020"/>
          <w:sz w:val="24"/>
        </w:rPr>
        <w:tab/>
      </w:r>
      <w:r>
        <w:rPr>
          <w:i/>
          <w:color w:val="202020"/>
          <w:spacing w:val="-4"/>
          <w:sz w:val="24"/>
        </w:rPr>
        <w:t>IJMM</w:t>
      </w:r>
      <w:r>
        <w:rPr>
          <w:color w:val="202020"/>
          <w:spacing w:val="-4"/>
          <w:sz w:val="24"/>
        </w:rPr>
        <w:t>,</w:t>
      </w:r>
      <w:r>
        <w:rPr>
          <w:color w:val="202020"/>
          <w:sz w:val="24"/>
        </w:rPr>
        <w:tab/>
      </w:r>
      <w:r>
        <w:rPr>
          <w:i/>
          <w:color w:val="202020"/>
          <w:spacing w:val="-2"/>
          <w:sz w:val="24"/>
        </w:rPr>
        <w:t>303</w:t>
      </w:r>
      <w:r>
        <w:rPr>
          <w:color w:val="202020"/>
          <w:spacing w:val="-2"/>
          <w:sz w:val="24"/>
        </w:rPr>
        <w:t>(6-7),</w:t>
      </w:r>
      <w:r>
        <w:rPr>
          <w:color w:val="202020"/>
          <w:sz w:val="24"/>
        </w:rPr>
        <w:tab/>
      </w:r>
      <w:r>
        <w:rPr>
          <w:color w:val="202020"/>
          <w:spacing w:val="-2"/>
          <w:sz w:val="24"/>
        </w:rPr>
        <w:t xml:space="preserve">305–317. </w:t>
      </w:r>
      <w:hyperlink r:id="rId59">
        <w:r>
          <w:rPr>
            <w:color w:val="0000FF"/>
            <w:spacing w:val="-2"/>
            <w:sz w:val="24"/>
            <w:u w:val="single" w:color="0000FF"/>
          </w:rPr>
          <w:t>https://doi.org/10.1016/j.ijmm.2013.02.008</w:t>
        </w:r>
      </w:hyperlink>
    </w:p>
    <w:p w:rsidR="00B84776" w:rsidRDefault="00C65940">
      <w:pPr>
        <w:pStyle w:val="ListParagraph"/>
        <w:numPr>
          <w:ilvl w:val="0"/>
          <w:numId w:val="3"/>
        </w:numPr>
        <w:tabs>
          <w:tab w:val="left" w:pos="460"/>
        </w:tabs>
        <w:spacing w:line="360" w:lineRule="auto"/>
        <w:ind w:right="99" w:firstLine="0"/>
        <w:rPr>
          <w:color w:val="202020"/>
          <w:sz w:val="24"/>
        </w:rPr>
      </w:pPr>
      <w:r>
        <w:rPr>
          <w:color w:val="202020"/>
          <w:sz w:val="24"/>
        </w:rPr>
        <w:t>Rodríguez-</w:t>
      </w:r>
      <w:proofErr w:type="spellStart"/>
      <w:r>
        <w:rPr>
          <w:color w:val="202020"/>
          <w:sz w:val="24"/>
        </w:rPr>
        <w:t>Baño</w:t>
      </w:r>
      <w:proofErr w:type="spellEnd"/>
      <w:r>
        <w:rPr>
          <w:color w:val="202020"/>
          <w:sz w:val="24"/>
        </w:rPr>
        <w:t xml:space="preserve">, J., Gutiérrez-Gutiérrez, B., </w:t>
      </w:r>
      <w:proofErr w:type="spellStart"/>
      <w:r>
        <w:rPr>
          <w:color w:val="202020"/>
          <w:sz w:val="24"/>
        </w:rPr>
        <w:t>Machuca</w:t>
      </w:r>
      <w:proofErr w:type="spellEnd"/>
      <w:r>
        <w:rPr>
          <w:color w:val="202020"/>
          <w:sz w:val="24"/>
        </w:rPr>
        <w:t xml:space="preserve">, I., &amp; Pascual, A. (2018). Treatment of Infections Caused </w:t>
      </w:r>
      <w:r>
        <w:rPr>
          <w:color w:val="202020"/>
          <w:sz w:val="24"/>
        </w:rPr>
        <w:t xml:space="preserve">by Extended-Spectrum-Beta-Lactamase-, </w:t>
      </w:r>
      <w:proofErr w:type="spellStart"/>
      <w:r>
        <w:rPr>
          <w:color w:val="202020"/>
          <w:sz w:val="24"/>
        </w:rPr>
        <w:t>AmpC</w:t>
      </w:r>
      <w:proofErr w:type="spellEnd"/>
      <w:r>
        <w:rPr>
          <w:color w:val="202020"/>
          <w:sz w:val="24"/>
        </w:rPr>
        <w:t>-,</w:t>
      </w:r>
      <w:r>
        <w:rPr>
          <w:color w:val="202020"/>
          <w:spacing w:val="80"/>
          <w:sz w:val="24"/>
        </w:rPr>
        <w:t xml:space="preserve"> </w:t>
      </w:r>
      <w:r>
        <w:rPr>
          <w:color w:val="202020"/>
          <w:sz w:val="24"/>
        </w:rPr>
        <w:t>and</w:t>
      </w:r>
      <w:r>
        <w:rPr>
          <w:color w:val="202020"/>
          <w:spacing w:val="80"/>
          <w:sz w:val="24"/>
        </w:rPr>
        <w:t xml:space="preserve"> </w:t>
      </w:r>
      <w:proofErr w:type="spellStart"/>
      <w:r>
        <w:rPr>
          <w:color w:val="202020"/>
          <w:sz w:val="24"/>
        </w:rPr>
        <w:t>Carbapenemase</w:t>
      </w:r>
      <w:proofErr w:type="spellEnd"/>
      <w:r>
        <w:rPr>
          <w:color w:val="202020"/>
          <w:sz w:val="24"/>
        </w:rPr>
        <w:t>-Producing</w:t>
      </w:r>
      <w:r>
        <w:rPr>
          <w:color w:val="202020"/>
          <w:spacing w:val="80"/>
          <w:sz w:val="24"/>
        </w:rPr>
        <w:t xml:space="preserve"> </w:t>
      </w:r>
      <w:r>
        <w:rPr>
          <w:color w:val="202020"/>
          <w:sz w:val="24"/>
        </w:rPr>
        <w:t>Enterobacteriaceae.</w:t>
      </w:r>
      <w:r>
        <w:rPr>
          <w:color w:val="202020"/>
          <w:spacing w:val="80"/>
          <w:sz w:val="24"/>
        </w:rPr>
        <w:t xml:space="preserve"> </w:t>
      </w:r>
      <w:r>
        <w:rPr>
          <w:i/>
          <w:color w:val="202020"/>
          <w:sz w:val="24"/>
        </w:rPr>
        <w:t>Clinical</w:t>
      </w:r>
      <w:r>
        <w:rPr>
          <w:i/>
          <w:color w:val="202020"/>
          <w:spacing w:val="80"/>
          <w:sz w:val="24"/>
        </w:rPr>
        <w:t xml:space="preserve"> </w:t>
      </w:r>
      <w:r>
        <w:rPr>
          <w:i/>
          <w:color w:val="202020"/>
          <w:sz w:val="24"/>
        </w:rPr>
        <w:t>microbiology</w:t>
      </w:r>
      <w:r>
        <w:rPr>
          <w:i/>
          <w:color w:val="202020"/>
          <w:spacing w:val="80"/>
          <w:sz w:val="24"/>
        </w:rPr>
        <w:t xml:space="preserve"> </w:t>
      </w:r>
      <w:r>
        <w:rPr>
          <w:i/>
          <w:color w:val="202020"/>
          <w:sz w:val="24"/>
        </w:rPr>
        <w:t>reviews</w:t>
      </w:r>
      <w:r>
        <w:rPr>
          <w:color w:val="202020"/>
          <w:sz w:val="24"/>
        </w:rPr>
        <w:t xml:space="preserve">, </w:t>
      </w:r>
      <w:r>
        <w:rPr>
          <w:i/>
          <w:color w:val="202020"/>
          <w:sz w:val="24"/>
        </w:rPr>
        <w:t>31</w:t>
      </w:r>
      <w:r>
        <w:rPr>
          <w:color w:val="202020"/>
          <w:sz w:val="24"/>
        </w:rPr>
        <w:t xml:space="preserve">(2), e00079-17. </w:t>
      </w:r>
      <w:hyperlink r:id="rId60">
        <w:r>
          <w:rPr>
            <w:color w:val="0000FF"/>
            <w:sz w:val="24"/>
            <w:u w:val="single" w:color="0000FF"/>
          </w:rPr>
          <w:t>https://doi.org/10.1128/CMR.00079-17</w:t>
        </w:r>
      </w:hyperlink>
    </w:p>
    <w:p w:rsidR="00B84776" w:rsidRDefault="00B84776">
      <w:pPr>
        <w:pStyle w:val="ListParagraph"/>
        <w:spacing w:line="360" w:lineRule="auto"/>
        <w:rPr>
          <w:sz w:val="24"/>
        </w:rPr>
        <w:sectPr w:rsidR="00B84776">
          <w:pgSz w:w="11910" w:h="16840"/>
          <w:pgMar w:top="1360" w:right="1700" w:bottom="280" w:left="1700" w:header="720" w:footer="720" w:gutter="0"/>
          <w:cols w:space="720"/>
        </w:sectPr>
      </w:pPr>
    </w:p>
    <w:p w:rsidR="00B84776" w:rsidRDefault="00C65940">
      <w:pPr>
        <w:pStyle w:val="ListParagraph"/>
        <w:numPr>
          <w:ilvl w:val="0"/>
          <w:numId w:val="3"/>
        </w:numPr>
        <w:tabs>
          <w:tab w:val="left" w:pos="460"/>
        </w:tabs>
        <w:spacing w:before="62" w:line="360" w:lineRule="auto"/>
        <w:ind w:right="99" w:firstLine="0"/>
        <w:rPr>
          <w:color w:val="202020"/>
          <w:sz w:val="24"/>
        </w:rPr>
      </w:pPr>
      <w:proofErr w:type="spellStart"/>
      <w:r>
        <w:rPr>
          <w:color w:val="202020"/>
          <w:sz w:val="24"/>
        </w:rPr>
        <w:lastRenderedPageBreak/>
        <w:t>Coque</w:t>
      </w:r>
      <w:proofErr w:type="spellEnd"/>
      <w:r>
        <w:rPr>
          <w:color w:val="202020"/>
          <w:sz w:val="24"/>
        </w:rPr>
        <w:t xml:space="preserve">, T. M., </w:t>
      </w:r>
      <w:proofErr w:type="spellStart"/>
      <w:r>
        <w:rPr>
          <w:color w:val="202020"/>
          <w:sz w:val="24"/>
        </w:rPr>
        <w:t>Novais</w:t>
      </w:r>
      <w:proofErr w:type="spellEnd"/>
      <w:r>
        <w:rPr>
          <w:color w:val="202020"/>
          <w:sz w:val="24"/>
        </w:rPr>
        <w:t xml:space="preserve">, A., </w:t>
      </w:r>
      <w:proofErr w:type="spellStart"/>
      <w:r>
        <w:rPr>
          <w:color w:val="202020"/>
          <w:sz w:val="24"/>
        </w:rPr>
        <w:t>Carattoli</w:t>
      </w:r>
      <w:proofErr w:type="spellEnd"/>
      <w:r>
        <w:rPr>
          <w:color w:val="202020"/>
          <w:sz w:val="24"/>
        </w:rPr>
        <w:t xml:space="preserve">, A., </w:t>
      </w:r>
      <w:proofErr w:type="spellStart"/>
      <w:r>
        <w:rPr>
          <w:color w:val="202020"/>
          <w:sz w:val="24"/>
        </w:rPr>
        <w:t>Poirel</w:t>
      </w:r>
      <w:proofErr w:type="spellEnd"/>
      <w:r>
        <w:rPr>
          <w:color w:val="202020"/>
          <w:sz w:val="24"/>
        </w:rPr>
        <w:t xml:space="preserve">, L., </w:t>
      </w:r>
      <w:proofErr w:type="spellStart"/>
      <w:r>
        <w:rPr>
          <w:color w:val="202020"/>
          <w:sz w:val="24"/>
        </w:rPr>
        <w:t>Pitout</w:t>
      </w:r>
      <w:proofErr w:type="spellEnd"/>
      <w:r>
        <w:rPr>
          <w:color w:val="202020"/>
          <w:sz w:val="24"/>
        </w:rPr>
        <w:t xml:space="preserve">, J., </w:t>
      </w:r>
      <w:proofErr w:type="spellStart"/>
      <w:r>
        <w:rPr>
          <w:color w:val="202020"/>
          <w:sz w:val="24"/>
        </w:rPr>
        <w:t>Peixe</w:t>
      </w:r>
      <w:proofErr w:type="spellEnd"/>
      <w:r>
        <w:rPr>
          <w:color w:val="202020"/>
          <w:sz w:val="24"/>
        </w:rPr>
        <w:t xml:space="preserve">, L., </w:t>
      </w:r>
      <w:proofErr w:type="spellStart"/>
      <w:r>
        <w:rPr>
          <w:color w:val="202020"/>
          <w:sz w:val="24"/>
        </w:rPr>
        <w:t>Baquero</w:t>
      </w:r>
      <w:proofErr w:type="spellEnd"/>
      <w:r>
        <w:rPr>
          <w:color w:val="202020"/>
          <w:sz w:val="24"/>
        </w:rPr>
        <w:t xml:space="preserve">, F., </w:t>
      </w:r>
      <w:proofErr w:type="spellStart"/>
      <w:r>
        <w:rPr>
          <w:color w:val="202020"/>
          <w:sz w:val="24"/>
        </w:rPr>
        <w:t>Cantón</w:t>
      </w:r>
      <w:proofErr w:type="spellEnd"/>
      <w:r>
        <w:rPr>
          <w:color w:val="202020"/>
          <w:sz w:val="24"/>
        </w:rPr>
        <w:t xml:space="preserve">, R., &amp; </w:t>
      </w:r>
      <w:proofErr w:type="spellStart"/>
      <w:r>
        <w:rPr>
          <w:color w:val="202020"/>
          <w:sz w:val="24"/>
        </w:rPr>
        <w:t>Nordmann</w:t>
      </w:r>
      <w:proofErr w:type="spellEnd"/>
      <w:r>
        <w:rPr>
          <w:color w:val="202020"/>
          <w:sz w:val="24"/>
        </w:rPr>
        <w:t xml:space="preserve">, P. (2008). Dissemination of clonally related Escherichia coli strains expressing extended-spectrum beta-lactamase CTX-M-15. </w:t>
      </w:r>
      <w:r>
        <w:rPr>
          <w:i/>
          <w:color w:val="202020"/>
          <w:sz w:val="24"/>
        </w:rPr>
        <w:t>Emerging infectious</w:t>
      </w:r>
      <w:r>
        <w:rPr>
          <w:i/>
          <w:color w:val="202020"/>
          <w:sz w:val="24"/>
        </w:rPr>
        <w:t xml:space="preserve"> diseases</w:t>
      </w:r>
      <w:r>
        <w:rPr>
          <w:color w:val="202020"/>
          <w:sz w:val="24"/>
        </w:rPr>
        <w:t xml:space="preserve">, </w:t>
      </w:r>
      <w:r>
        <w:rPr>
          <w:i/>
          <w:color w:val="202020"/>
          <w:sz w:val="24"/>
        </w:rPr>
        <w:t>14</w:t>
      </w:r>
      <w:r>
        <w:rPr>
          <w:color w:val="202020"/>
          <w:sz w:val="24"/>
        </w:rPr>
        <w:t xml:space="preserve">(2), 195–200. </w:t>
      </w:r>
      <w:hyperlink r:id="rId61">
        <w:r>
          <w:rPr>
            <w:color w:val="0000FF"/>
            <w:sz w:val="24"/>
            <w:u w:val="single" w:color="0000FF"/>
          </w:rPr>
          <w:t>https://doi.org/10.3201/eid1402.070350</w:t>
        </w:r>
      </w:hyperlink>
    </w:p>
    <w:p w:rsidR="00B84776" w:rsidRDefault="00C65940">
      <w:pPr>
        <w:pStyle w:val="ListParagraph"/>
        <w:numPr>
          <w:ilvl w:val="0"/>
          <w:numId w:val="3"/>
        </w:numPr>
        <w:tabs>
          <w:tab w:val="left" w:pos="460"/>
        </w:tabs>
        <w:spacing w:line="360" w:lineRule="auto"/>
        <w:ind w:right="97" w:firstLine="0"/>
        <w:rPr>
          <w:color w:val="1B1B1B"/>
          <w:sz w:val="24"/>
        </w:rPr>
      </w:pPr>
      <w:r>
        <w:rPr>
          <w:color w:val="202020"/>
          <w:sz w:val="24"/>
        </w:rPr>
        <w:t>Mathers, A.</w:t>
      </w:r>
      <w:r>
        <w:rPr>
          <w:color w:val="202020"/>
          <w:spacing w:val="-1"/>
          <w:sz w:val="24"/>
        </w:rPr>
        <w:t xml:space="preserve"> </w:t>
      </w:r>
      <w:r>
        <w:rPr>
          <w:color w:val="202020"/>
          <w:sz w:val="24"/>
        </w:rPr>
        <w:t xml:space="preserve">J., </w:t>
      </w:r>
      <w:proofErr w:type="spellStart"/>
      <w:r>
        <w:rPr>
          <w:color w:val="202020"/>
          <w:sz w:val="24"/>
        </w:rPr>
        <w:t>Peirano</w:t>
      </w:r>
      <w:proofErr w:type="spellEnd"/>
      <w:r>
        <w:rPr>
          <w:color w:val="202020"/>
          <w:sz w:val="24"/>
        </w:rPr>
        <w:t>, G.,</w:t>
      </w:r>
      <w:r>
        <w:rPr>
          <w:color w:val="202020"/>
          <w:spacing w:val="-1"/>
          <w:sz w:val="24"/>
        </w:rPr>
        <w:t xml:space="preserve"> </w:t>
      </w:r>
      <w:r>
        <w:rPr>
          <w:color w:val="202020"/>
          <w:sz w:val="24"/>
        </w:rPr>
        <w:t>&amp;</w:t>
      </w:r>
      <w:r>
        <w:rPr>
          <w:color w:val="202020"/>
          <w:spacing w:val="-1"/>
          <w:sz w:val="24"/>
        </w:rPr>
        <w:t xml:space="preserve"> </w:t>
      </w:r>
      <w:proofErr w:type="spellStart"/>
      <w:r>
        <w:rPr>
          <w:color w:val="202020"/>
          <w:sz w:val="24"/>
        </w:rPr>
        <w:t>Pitout</w:t>
      </w:r>
      <w:proofErr w:type="spellEnd"/>
      <w:r>
        <w:rPr>
          <w:color w:val="202020"/>
          <w:sz w:val="24"/>
        </w:rPr>
        <w:t>, J.</w:t>
      </w:r>
      <w:r>
        <w:rPr>
          <w:color w:val="202020"/>
          <w:spacing w:val="-1"/>
          <w:sz w:val="24"/>
        </w:rPr>
        <w:t xml:space="preserve"> </w:t>
      </w:r>
      <w:r>
        <w:rPr>
          <w:color w:val="202020"/>
          <w:sz w:val="24"/>
        </w:rPr>
        <w:t xml:space="preserve">D. (2015). The role of epidemic resistance plasmids and international high-risk clones in </w:t>
      </w:r>
      <w:r>
        <w:rPr>
          <w:color w:val="202020"/>
          <w:sz w:val="24"/>
        </w:rPr>
        <w:t xml:space="preserve">the spread of multidrug-resistant Enterobacteriaceae. </w:t>
      </w:r>
      <w:r>
        <w:rPr>
          <w:i/>
          <w:color w:val="202020"/>
          <w:sz w:val="24"/>
        </w:rPr>
        <w:t>Clinical microbiology reviews</w:t>
      </w:r>
      <w:r>
        <w:rPr>
          <w:color w:val="202020"/>
          <w:sz w:val="24"/>
        </w:rPr>
        <w:t xml:space="preserve">, </w:t>
      </w:r>
      <w:r>
        <w:rPr>
          <w:i/>
          <w:color w:val="202020"/>
          <w:sz w:val="24"/>
        </w:rPr>
        <w:t>28</w:t>
      </w:r>
      <w:r>
        <w:rPr>
          <w:color w:val="202020"/>
          <w:sz w:val="24"/>
        </w:rPr>
        <w:t xml:space="preserve">(3), 565–591. </w:t>
      </w:r>
      <w:hyperlink r:id="rId62">
        <w:r>
          <w:rPr>
            <w:color w:val="0000FF"/>
            <w:spacing w:val="-2"/>
            <w:sz w:val="24"/>
            <w:u w:val="single" w:color="0000FF"/>
          </w:rPr>
          <w:t>https://doi.org/10.1128/CMR.00116-14</w:t>
        </w:r>
      </w:hyperlink>
    </w:p>
    <w:p w:rsidR="00B84776" w:rsidRDefault="00C65940">
      <w:pPr>
        <w:pStyle w:val="ListParagraph"/>
        <w:numPr>
          <w:ilvl w:val="0"/>
          <w:numId w:val="3"/>
        </w:numPr>
        <w:tabs>
          <w:tab w:val="left" w:pos="460"/>
        </w:tabs>
        <w:spacing w:line="360" w:lineRule="auto"/>
        <w:ind w:right="96" w:firstLine="0"/>
        <w:rPr>
          <w:color w:val="202020"/>
          <w:sz w:val="24"/>
        </w:rPr>
      </w:pPr>
      <w:proofErr w:type="spellStart"/>
      <w:r>
        <w:rPr>
          <w:color w:val="1B1B1B"/>
          <w:sz w:val="24"/>
        </w:rPr>
        <w:t>Duicu</w:t>
      </w:r>
      <w:proofErr w:type="spellEnd"/>
      <w:r>
        <w:rPr>
          <w:color w:val="1B1B1B"/>
          <w:sz w:val="24"/>
        </w:rPr>
        <w:t xml:space="preserve">, C., </w:t>
      </w:r>
      <w:proofErr w:type="spellStart"/>
      <w:r>
        <w:rPr>
          <w:color w:val="1B1B1B"/>
          <w:sz w:val="24"/>
        </w:rPr>
        <w:t>Cozea</w:t>
      </w:r>
      <w:proofErr w:type="spellEnd"/>
      <w:r>
        <w:rPr>
          <w:color w:val="1B1B1B"/>
          <w:sz w:val="24"/>
        </w:rPr>
        <w:t xml:space="preserve">, I., </w:t>
      </w:r>
      <w:proofErr w:type="spellStart"/>
      <w:r>
        <w:rPr>
          <w:color w:val="1B1B1B"/>
          <w:sz w:val="24"/>
        </w:rPr>
        <w:t>Delean</w:t>
      </w:r>
      <w:proofErr w:type="spellEnd"/>
      <w:r>
        <w:rPr>
          <w:color w:val="1B1B1B"/>
          <w:sz w:val="24"/>
        </w:rPr>
        <w:t xml:space="preserve">, D., </w:t>
      </w:r>
      <w:proofErr w:type="spellStart"/>
      <w:r>
        <w:rPr>
          <w:color w:val="1B1B1B"/>
          <w:sz w:val="24"/>
        </w:rPr>
        <w:t>Aldea</w:t>
      </w:r>
      <w:proofErr w:type="spellEnd"/>
      <w:r>
        <w:rPr>
          <w:color w:val="1B1B1B"/>
          <w:sz w:val="24"/>
        </w:rPr>
        <w:t xml:space="preserve">, A. A., &amp; </w:t>
      </w:r>
      <w:proofErr w:type="spellStart"/>
      <w:r>
        <w:rPr>
          <w:color w:val="1B1B1B"/>
          <w:sz w:val="24"/>
        </w:rPr>
        <w:t>Aldea</w:t>
      </w:r>
      <w:proofErr w:type="spellEnd"/>
      <w:r>
        <w:rPr>
          <w:color w:val="1B1B1B"/>
          <w:sz w:val="24"/>
        </w:rPr>
        <w:t>, C. (2</w:t>
      </w:r>
      <w:r>
        <w:rPr>
          <w:color w:val="1B1B1B"/>
          <w:sz w:val="24"/>
        </w:rPr>
        <w:t>021). Antibiotic resistance</w:t>
      </w:r>
      <w:r>
        <w:rPr>
          <w:color w:val="1B1B1B"/>
          <w:spacing w:val="80"/>
          <w:sz w:val="24"/>
        </w:rPr>
        <w:t xml:space="preserve"> </w:t>
      </w:r>
      <w:r>
        <w:rPr>
          <w:color w:val="1B1B1B"/>
          <w:sz w:val="24"/>
        </w:rPr>
        <w:t>patterns</w:t>
      </w:r>
      <w:r>
        <w:rPr>
          <w:color w:val="1B1B1B"/>
          <w:spacing w:val="80"/>
          <w:sz w:val="24"/>
        </w:rPr>
        <w:t xml:space="preserve"> </w:t>
      </w:r>
      <w:r>
        <w:rPr>
          <w:color w:val="1B1B1B"/>
          <w:sz w:val="24"/>
        </w:rPr>
        <w:t>of</w:t>
      </w:r>
      <w:r>
        <w:rPr>
          <w:color w:val="1B1B1B"/>
          <w:spacing w:val="80"/>
          <w:sz w:val="24"/>
        </w:rPr>
        <w:t xml:space="preserve"> </w:t>
      </w:r>
      <w:r>
        <w:rPr>
          <w:color w:val="1B1B1B"/>
          <w:sz w:val="24"/>
        </w:rPr>
        <w:t>urinary</w:t>
      </w:r>
      <w:r>
        <w:rPr>
          <w:color w:val="1B1B1B"/>
          <w:spacing w:val="80"/>
          <w:sz w:val="24"/>
        </w:rPr>
        <w:t xml:space="preserve"> </w:t>
      </w:r>
      <w:r>
        <w:rPr>
          <w:color w:val="1B1B1B"/>
          <w:sz w:val="24"/>
        </w:rPr>
        <w:t>tract</w:t>
      </w:r>
      <w:r>
        <w:rPr>
          <w:color w:val="1B1B1B"/>
          <w:spacing w:val="80"/>
          <w:sz w:val="24"/>
        </w:rPr>
        <w:t xml:space="preserve"> </w:t>
      </w:r>
      <w:r>
        <w:rPr>
          <w:color w:val="1B1B1B"/>
          <w:sz w:val="24"/>
        </w:rPr>
        <w:t>pathogens</w:t>
      </w:r>
      <w:r>
        <w:rPr>
          <w:color w:val="1B1B1B"/>
          <w:spacing w:val="80"/>
          <w:sz w:val="24"/>
        </w:rPr>
        <w:t xml:space="preserve"> </w:t>
      </w:r>
      <w:r>
        <w:rPr>
          <w:color w:val="1B1B1B"/>
          <w:sz w:val="24"/>
        </w:rPr>
        <w:t>in</w:t>
      </w:r>
      <w:r>
        <w:rPr>
          <w:color w:val="1B1B1B"/>
          <w:spacing w:val="80"/>
          <w:sz w:val="24"/>
        </w:rPr>
        <w:t xml:space="preserve"> </w:t>
      </w:r>
      <w:r>
        <w:rPr>
          <w:color w:val="1B1B1B"/>
          <w:sz w:val="24"/>
        </w:rPr>
        <w:t>children</w:t>
      </w:r>
      <w:r>
        <w:rPr>
          <w:color w:val="1B1B1B"/>
          <w:spacing w:val="80"/>
          <w:sz w:val="24"/>
        </w:rPr>
        <w:t xml:space="preserve"> </w:t>
      </w:r>
      <w:r>
        <w:rPr>
          <w:color w:val="1B1B1B"/>
          <w:sz w:val="24"/>
        </w:rPr>
        <w:t>from</w:t>
      </w:r>
      <w:r>
        <w:rPr>
          <w:color w:val="1B1B1B"/>
          <w:spacing w:val="80"/>
          <w:sz w:val="24"/>
        </w:rPr>
        <w:t xml:space="preserve"> </w:t>
      </w:r>
      <w:r>
        <w:rPr>
          <w:color w:val="1B1B1B"/>
          <w:sz w:val="24"/>
        </w:rPr>
        <w:t xml:space="preserve">Central Romania. </w:t>
      </w:r>
      <w:r>
        <w:rPr>
          <w:i/>
          <w:color w:val="1B1B1B"/>
          <w:sz w:val="24"/>
        </w:rPr>
        <w:t>Experimental and therapeutic medicine</w:t>
      </w:r>
      <w:r>
        <w:rPr>
          <w:color w:val="1B1B1B"/>
          <w:sz w:val="24"/>
        </w:rPr>
        <w:t xml:space="preserve">, </w:t>
      </w:r>
      <w:r>
        <w:rPr>
          <w:i/>
          <w:color w:val="1B1B1B"/>
          <w:sz w:val="24"/>
        </w:rPr>
        <w:t>22</w:t>
      </w:r>
      <w:r>
        <w:rPr>
          <w:color w:val="1B1B1B"/>
          <w:sz w:val="24"/>
        </w:rPr>
        <w:t xml:space="preserve">(1), 748. </w:t>
      </w:r>
      <w:hyperlink r:id="rId63">
        <w:r>
          <w:rPr>
            <w:color w:val="0000FF"/>
            <w:spacing w:val="-2"/>
            <w:sz w:val="24"/>
            <w:u w:val="single" w:color="0000FF"/>
          </w:rPr>
          <w:t>https://doi.org/10.3892/etm.2021.10180</w:t>
        </w:r>
      </w:hyperlink>
    </w:p>
    <w:p w:rsidR="00B84776" w:rsidRDefault="00C65940">
      <w:pPr>
        <w:pStyle w:val="ListParagraph"/>
        <w:numPr>
          <w:ilvl w:val="0"/>
          <w:numId w:val="3"/>
        </w:numPr>
        <w:tabs>
          <w:tab w:val="left" w:pos="460"/>
        </w:tabs>
        <w:spacing w:line="360" w:lineRule="auto"/>
        <w:ind w:right="98" w:firstLine="0"/>
        <w:rPr>
          <w:color w:val="202020"/>
          <w:sz w:val="24"/>
        </w:rPr>
      </w:pPr>
      <w:r>
        <w:rPr>
          <w:color w:val="202020"/>
          <w:sz w:val="24"/>
        </w:rPr>
        <w:t>Nicolas-</w:t>
      </w:r>
      <w:proofErr w:type="spellStart"/>
      <w:r>
        <w:rPr>
          <w:color w:val="202020"/>
          <w:sz w:val="24"/>
        </w:rPr>
        <w:t>Chanoine</w:t>
      </w:r>
      <w:proofErr w:type="spellEnd"/>
      <w:r>
        <w:rPr>
          <w:color w:val="202020"/>
          <w:sz w:val="24"/>
        </w:rPr>
        <w:t xml:space="preserve">, M. H., Bertrand, X., &amp; </w:t>
      </w:r>
      <w:proofErr w:type="spellStart"/>
      <w:r>
        <w:rPr>
          <w:color w:val="202020"/>
          <w:sz w:val="24"/>
        </w:rPr>
        <w:t>Madec</w:t>
      </w:r>
      <w:proofErr w:type="spellEnd"/>
      <w:r>
        <w:rPr>
          <w:color w:val="202020"/>
          <w:sz w:val="24"/>
        </w:rPr>
        <w:t xml:space="preserve">, J. Y. (2014). Escherichia coli ST131, an intriguing clonal group. </w:t>
      </w:r>
      <w:r>
        <w:rPr>
          <w:i/>
          <w:color w:val="202020"/>
          <w:sz w:val="24"/>
        </w:rPr>
        <w:t>Clinical microbiology reviews</w:t>
      </w:r>
      <w:r>
        <w:rPr>
          <w:color w:val="202020"/>
          <w:sz w:val="24"/>
        </w:rPr>
        <w:t xml:space="preserve">, </w:t>
      </w:r>
      <w:r>
        <w:rPr>
          <w:i/>
          <w:color w:val="202020"/>
          <w:sz w:val="24"/>
        </w:rPr>
        <w:t>27</w:t>
      </w:r>
      <w:r>
        <w:rPr>
          <w:color w:val="202020"/>
          <w:sz w:val="24"/>
        </w:rPr>
        <w:t xml:space="preserve">(3), 543–574. </w:t>
      </w:r>
      <w:hyperlink r:id="rId64">
        <w:r>
          <w:rPr>
            <w:color w:val="0000FF"/>
            <w:spacing w:val="-2"/>
            <w:sz w:val="24"/>
            <w:u w:val="single" w:color="0000FF"/>
          </w:rPr>
          <w:t>https://doi.org/10.1128/CMR.00125-13</w:t>
        </w:r>
      </w:hyperlink>
    </w:p>
    <w:p w:rsidR="00B84776" w:rsidRDefault="00C65940">
      <w:pPr>
        <w:pStyle w:val="ListParagraph"/>
        <w:numPr>
          <w:ilvl w:val="0"/>
          <w:numId w:val="3"/>
        </w:numPr>
        <w:tabs>
          <w:tab w:val="left" w:pos="460"/>
        </w:tabs>
        <w:spacing w:line="360" w:lineRule="auto"/>
        <w:ind w:right="97" w:firstLine="0"/>
        <w:rPr>
          <w:color w:val="202020"/>
          <w:sz w:val="24"/>
        </w:rPr>
      </w:pPr>
      <w:proofErr w:type="spellStart"/>
      <w:r>
        <w:rPr>
          <w:color w:val="202020"/>
          <w:sz w:val="24"/>
        </w:rPr>
        <w:t>Tc</w:t>
      </w:r>
      <w:r>
        <w:rPr>
          <w:color w:val="202020"/>
          <w:sz w:val="24"/>
        </w:rPr>
        <w:t>hesnokova</w:t>
      </w:r>
      <w:proofErr w:type="spellEnd"/>
      <w:r>
        <w:rPr>
          <w:color w:val="202020"/>
          <w:sz w:val="24"/>
        </w:rPr>
        <w:t xml:space="preserve">, V., </w:t>
      </w:r>
      <w:proofErr w:type="spellStart"/>
      <w:r>
        <w:rPr>
          <w:color w:val="202020"/>
          <w:sz w:val="24"/>
        </w:rPr>
        <w:t>Radey</w:t>
      </w:r>
      <w:proofErr w:type="spellEnd"/>
      <w:r>
        <w:rPr>
          <w:color w:val="202020"/>
          <w:sz w:val="24"/>
        </w:rPr>
        <w:t xml:space="preserve">, M., Chattopadhyay, S., Larson, L., Weaver, J. L., </w:t>
      </w:r>
      <w:proofErr w:type="spellStart"/>
      <w:proofErr w:type="gramStart"/>
      <w:r>
        <w:rPr>
          <w:color w:val="202020"/>
          <w:sz w:val="24"/>
        </w:rPr>
        <w:t>Kisiela</w:t>
      </w:r>
      <w:proofErr w:type="spellEnd"/>
      <w:r>
        <w:rPr>
          <w:color w:val="202020"/>
          <w:sz w:val="24"/>
        </w:rPr>
        <w:t>,</w:t>
      </w:r>
      <w:r>
        <w:rPr>
          <w:color w:val="202020"/>
          <w:spacing w:val="40"/>
          <w:sz w:val="24"/>
        </w:rPr>
        <w:t xml:space="preserve">  </w:t>
      </w:r>
      <w:r>
        <w:rPr>
          <w:color w:val="202020"/>
          <w:sz w:val="24"/>
        </w:rPr>
        <w:t>D.</w:t>
      </w:r>
      <w:proofErr w:type="gramEnd"/>
      <w:r>
        <w:rPr>
          <w:color w:val="202020"/>
          <w:sz w:val="24"/>
        </w:rPr>
        <w:t>,</w:t>
      </w:r>
      <w:r>
        <w:rPr>
          <w:color w:val="202020"/>
          <w:spacing w:val="40"/>
          <w:sz w:val="24"/>
        </w:rPr>
        <w:t xml:space="preserve">  </w:t>
      </w:r>
      <w:r>
        <w:rPr>
          <w:color w:val="202020"/>
          <w:sz w:val="24"/>
        </w:rPr>
        <w:t>&amp;</w:t>
      </w:r>
      <w:r>
        <w:rPr>
          <w:color w:val="202020"/>
          <w:spacing w:val="40"/>
          <w:sz w:val="24"/>
        </w:rPr>
        <w:t xml:space="preserve">  </w:t>
      </w:r>
      <w:proofErr w:type="spellStart"/>
      <w:r>
        <w:rPr>
          <w:color w:val="202020"/>
          <w:sz w:val="24"/>
        </w:rPr>
        <w:t>Sokurenko</w:t>
      </w:r>
      <w:proofErr w:type="spellEnd"/>
      <w:r>
        <w:rPr>
          <w:color w:val="202020"/>
          <w:sz w:val="24"/>
        </w:rPr>
        <w:t>,</w:t>
      </w:r>
      <w:r>
        <w:rPr>
          <w:color w:val="202020"/>
          <w:spacing w:val="40"/>
          <w:sz w:val="24"/>
        </w:rPr>
        <w:t xml:space="preserve">  </w:t>
      </w:r>
      <w:r>
        <w:rPr>
          <w:color w:val="202020"/>
          <w:sz w:val="24"/>
        </w:rPr>
        <w:t>E.</w:t>
      </w:r>
      <w:r>
        <w:rPr>
          <w:color w:val="202020"/>
          <w:spacing w:val="40"/>
          <w:sz w:val="24"/>
        </w:rPr>
        <w:t xml:space="preserve">  </w:t>
      </w:r>
      <w:r>
        <w:rPr>
          <w:color w:val="202020"/>
          <w:sz w:val="24"/>
        </w:rPr>
        <w:t>V.</w:t>
      </w:r>
      <w:r>
        <w:rPr>
          <w:color w:val="202020"/>
          <w:spacing w:val="40"/>
          <w:sz w:val="24"/>
        </w:rPr>
        <w:t xml:space="preserve">  </w:t>
      </w:r>
      <w:r>
        <w:rPr>
          <w:color w:val="202020"/>
          <w:sz w:val="24"/>
        </w:rPr>
        <w:t>(2019).</w:t>
      </w:r>
      <w:r>
        <w:rPr>
          <w:color w:val="202020"/>
          <w:spacing w:val="40"/>
          <w:sz w:val="24"/>
        </w:rPr>
        <w:t xml:space="preserve">  </w:t>
      </w:r>
      <w:proofErr w:type="gramStart"/>
      <w:r>
        <w:rPr>
          <w:color w:val="202020"/>
          <w:sz w:val="24"/>
        </w:rPr>
        <w:t>Pandemic</w:t>
      </w:r>
      <w:r>
        <w:rPr>
          <w:color w:val="202020"/>
          <w:spacing w:val="40"/>
          <w:sz w:val="24"/>
        </w:rPr>
        <w:t xml:space="preserve">  </w:t>
      </w:r>
      <w:r>
        <w:rPr>
          <w:color w:val="202020"/>
          <w:sz w:val="24"/>
        </w:rPr>
        <w:t>fluoroquinolone</w:t>
      </w:r>
      <w:proofErr w:type="gramEnd"/>
      <w:r>
        <w:rPr>
          <w:color w:val="202020"/>
          <w:sz w:val="24"/>
        </w:rPr>
        <w:t xml:space="preserve"> resistant </w:t>
      </w:r>
      <w:r>
        <w:rPr>
          <w:i/>
          <w:color w:val="202020"/>
          <w:sz w:val="24"/>
        </w:rPr>
        <w:t xml:space="preserve">Escherichia coli </w:t>
      </w:r>
      <w:r>
        <w:rPr>
          <w:color w:val="202020"/>
          <w:sz w:val="24"/>
        </w:rPr>
        <w:t xml:space="preserve">clone ST1193 emerged via simultaneous homologous </w:t>
      </w:r>
      <w:proofErr w:type="spellStart"/>
      <w:r>
        <w:rPr>
          <w:color w:val="202020"/>
          <w:sz w:val="24"/>
        </w:rPr>
        <w:t>recombinations</w:t>
      </w:r>
      <w:proofErr w:type="spellEnd"/>
      <w:r>
        <w:rPr>
          <w:color w:val="202020"/>
          <w:sz w:val="24"/>
        </w:rPr>
        <w:t xml:space="preserve"> in 11 gene loci. </w:t>
      </w:r>
      <w:r>
        <w:rPr>
          <w:i/>
          <w:color w:val="202020"/>
          <w:sz w:val="24"/>
        </w:rPr>
        <w:t>Pro</w:t>
      </w:r>
      <w:r>
        <w:rPr>
          <w:i/>
          <w:color w:val="202020"/>
          <w:sz w:val="24"/>
        </w:rPr>
        <w:t>ceedings of the National Academy of Sciences of the United States of America</w:t>
      </w:r>
      <w:r>
        <w:rPr>
          <w:color w:val="202020"/>
          <w:sz w:val="24"/>
        </w:rPr>
        <w:t xml:space="preserve">, </w:t>
      </w:r>
      <w:r>
        <w:rPr>
          <w:i/>
          <w:color w:val="202020"/>
          <w:sz w:val="24"/>
        </w:rPr>
        <w:t>116</w:t>
      </w:r>
      <w:r>
        <w:rPr>
          <w:color w:val="202020"/>
          <w:sz w:val="24"/>
        </w:rPr>
        <w:t xml:space="preserve">(29), 14740–14748. </w:t>
      </w:r>
      <w:hyperlink r:id="rId65">
        <w:r>
          <w:rPr>
            <w:color w:val="0000FF"/>
            <w:spacing w:val="-2"/>
            <w:sz w:val="24"/>
            <w:u w:val="single" w:color="0000FF"/>
          </w:rPr>
          <w:t>https://doi.org/10.1073/pnas.1903002116</w:t>
        </w:r>
      </w:hyperlink>
    </w:p>
    <w:p w:rsidR="00B84776" w:rsidRDefault="00C65940">
      <w:pPr>
        <w:pStyle w:val="ListParagraph"/>
        <w:numPr>
          <w:ilvl w:val="0"/>
          <w:numId w:val="3"/>
        </w:numPr>
        <w:tabs>
          <w:tab w:val="left" w:pos="460"/>
        </w:tabs>
        <w:spacing w:line="360" w:lineRule="auto"/>
        <w:ind w:right="40" w:firstLine="0"/>
        <w:rPr>
          <w:sz w:val="24"/>
        </w:rPr>
      </w:pPr>
      <w:proofErr w:type="spellStart"/>
      <w:r>
        <w:rPr>
          <w:color w:val="202020"/>
          <w:sz w:val="24"/>
        </w:rPr>
        <w:t>Stoesser</w:t>
      </w:r>
      <w:proofErr w:type="spellEnd"/>
      <w:r>
        <w:rPr>
          <w:color w:val="202020"/>
          <w:sz w:val="24"/>
        </w:rPr>
        <w:t>,</w:t>
      </w:r>
      <w:r>
        <w:rPr>
          <w:color w:val="202020"/>
          <w:spacing w:val="-2"/>
          <w:sz w:val="24"/>
        </w:rPr>
        <w:t xml:space="preserve"> </w:t>
      </w:r>
      <w:r>
        <w:rPr>
          <w:color w:val="202020"/>
          <w:sz w:val="24"/>
        </w:rPr>
        <w:t xml:space="preserve">N., Sheppard, A. E., Pankhurst, L., De </w:t>
      </w:r>
      <w:proofErr w:type="spellStart"/>
      <w:r>
        <w:rPr>
          <w:color w:val="202020"/>
          <w:sz w:val="24"/>
        </w:rPr>
        <w:t>Maio</w:t>
      </w:r>
      <w:proofErr w:type="spellEnd"/>
      <w:r>
        <w:rPr>
          <w:color w:val="202020"/>
          <w:sz w:val="24"/>
        </w:rPr>
        <w:t xml:space="preserve">, </w:t>
      </w:r>
      <w:r>
        <w:rPr>
          <w:color w:val="202020"/>
          <w:sz w:val="24"/>
        </w:rPr>
        <w:t>N., Moore, C.</w:t>
      </w:r>
      <w:r>
        <w:rPr>
          <w:color w:val="202020"/>
          <w:spacing w:val="-2"/>
          <w:sz w:val="24"/>
        </w:rPr>
        <w:t xml:space="preserve"> </w:t>
      </w:r>
      <w:r>
        <w:rPr>
          <w:color w:val="202020"/>
          <w:sz w:val="24"/>
        </w:rPr>
        <w:t xml:space="preserve">E., </w:t>
      </w:r>
      <w:proofErr w:type="spellStart"/>
      <w:r>
        <w:rPr>
          <w:color w:val="202020"/>
          <w:sz w:val="24"/>
        </w:rPr>
        <w:t>Sebra</w:t>
      </w:r>
      <w:proofErr w:type="spellEnd"/>
      <w:r>
        <w:rPr>
          <w:color w:val="202020"/>
          <w:sz w:val="24"/>
        </w:rPr>
        <w:t xml:space="preserve">, R., Turner, P., Anson, L. W., </w:t>
      </w:r>
      <w:proofErr w:type="spellStart"/>
      <w:r>
        <w:rPr>
          <w:color w:val="202020"/>
          <w:sz w:val="24"/>
        </w:rPr>
        <w:t>Kasarskis</w:t>
      </w:r>
      <w:proofErr w:type="spellEnd"/>
      <w:r>
        <w:rPr>
          <w:color w:val="202020"/>
          <w:sz w:val="24"/>
        </w:rPr>
        <w:t xml:space="preserve">, A., Batty, E. M., Kos, V., Wilson, D. J., </w:t>
      </w:r>
      <w:proofErr w:type="spellStart"/>
      <w:r>
        <w:rPr>
          <w:color w:val="202020"/>
          <w:sz w:val="24"/>
        </w:rPr>
        <w:t>Phetsouvanh</w:t>
      </w:r>
      <w:proofErr w:type="spellEnd"/>
      <w:r>
        <w:rPr>
          <w:color w:val="202020"/>
          <w:sz w:val="24"/>
        </w:rPr>
        <w:t xml:space="preserve">, R., Wyllie, D., </w:t>
      </w:r>
      <w:proofErr w:type="spellStart"/>
      <w:r>
        <w:rPr>
          <w:color w:val="202020"/>
          <w:sz w:val="24"/>
        </w:rPr>
        <w:t>Sokurenko</w:t>
      </w:r>
      <w:proofErr w:type="spellEnd"/>
      <w:r>
        <w:rPr>
          <w:color w:val="202020"/>
          <w:sz w:val="24"/>
        </w:rPr>
        <w:t xml:space="preserve">, E., Manges, A. R., Johnson, T. J., Price, L. B., </w:t>
      </w:r>
      <w:proofErr w:type="spellStart"/>
      <w:r>
        <w:rPr>
          <w:color w:val="202020"/>
          <w:sz w:val="24"/>
        </w:rPr>
        <w:t>Peto</w:t>
      </w:r>
      <w:proofErr w:type="spellEnd"/>
      <w:r>
        <w:rPr>
          <w:color w:val="202020"/>
          <w:sz w:val="24"/>
        </w:rPr>
        <w:t>, T. E., Johnson, J. R., … Modernizing Medical Microbio</w:t>
      </w:r>
      <w:r>
        <w:rPr>
          <w:color w:val="202020"/>
          <w:sz w:val="24"/>
        </w:rPr>
        <w:t xml:space="preserve">logy Informatics Group (MMMIG) (2016). Evolutionary History of the Global Emergence of the Escherichia coli Epidemic Clone ST131. </w:t>
      </w:r>
      <w:r>
        <w:rPr>
          <w:i/>
          <w:color w:val="202020"/>
          <w:sz w:val="24"/>
        </w:rPr>
        <w:t>mBio</w:t>
      </w:r>
      <w:r>
        <w:rPr>
          <w:color w:val="202020"/>
          <w:sz w:val="24"/>
        </w:rPr>
        <w:t xml:space="preserve">, </w:t>
      </w:r>
      <w:r>
        <w:rPr>
          <w:i/>
          <w:color w:val="202020"/>
          <w:sz w:val="24"/>
        </w:rPr>
        <w:t>7</w:t>
      </w:r>
      <w:r>
        <w:rPr>
          <w:color w:val="202020"/>
          <w:sz w:val="24"/>
        </w:rPr>
        <w:t xml:space="preserve">(2), e02162. </w:t>
      </w:r>
      <w:hyperlink r:id="rId66">
        <w:r>
          <w:rPr>
            <w:color w:val="0000FF"/>
            <w:spacing w:val="-2"/>
            <w:sz w:val="24"/>
            <w:u w:val="single" w:color="0000FF"/>
          </w:rPr>
          <w:t>https://doi.org/10.1128/mBio.02162-15</w:t>
        </w:r>
      </w:hyperlink>
    </w:p>
    <w:p w:rsidR="00B84776" w:rsidRDefault="00C65940">
      <w:pPr>
        <w:pStyle w:val="ListParagraph"/>
        <w:numPr>
          <w:ilvl w:val="0"/>
          <w:numId w:val="3"/>
        </w:numPr>
        <w:tabs>
          <w:tab w:val="left" w:pos="460"/>
          <w:tab w:val="left" w:pos="2588"/>
          <w:tab w:val="left" w:pos="4134"/>
          <w:tab w:val="left" w:pos="6918"/>
        </w:tabs>
        <w:spacing w:line="360" w:lineRule="auto"/>
        <w:ind w:right="98" w:firstLine="0"/>
        <w:rPr>
          <w:sz w:val="24"/>
        </w:rPr>
      </w:pPr>
      <w:proofErr w:type="spellStart"/>
      <w:r>
        <w:rPr>
          <w:sz w:val="24"/>
        </w:rPr>
        <w:t>Enyi</w:t>
      </w:r>
      <w:proofErr w:type="spellEnd"/>
      <w:r>
        <w:rPr>
          <w:sz w:val="24"/>
        </w:rPr>
        <w:t xml:space="preserve">, E. </w:t>
      </w:r>
      <w:r>
        <w:rPr>
          <w:sz w:val="24"/>
        </w:rPr>
        <w:t xml:space="preserve">O., </w:t>
      </w:r>
      <w:proofErr w:type="spellStart"/>
      <w:r>
        <w:rPr>
          <w:sz w:val="24"/>
        </w:rPr>
        <w:t>Ekpunobi</w:t>
      </w:r>
      <w:proofErr w:type="spellEnd"/>
      <w:r>
        <w:rPr>
          <w:sz w:val="24"/>
        </w:rPr>
        <w:t>, N. F. (2022). Secondary metabolites from endophytic</w:t>
      </w:r>
      <w:r>
        <w:rPr>
          <w:spacing w:val="80"/>
          <w:sz w:val="24"/>
        </w:rPr>
        <w:t xml:space="preserve"> </w:t>
      </w:r>
      <w:r>
        <w:rPr>
          <w:sz w:val="24"/>
        </w:rPr>
        <w:t xml:space="preserve">fungi of </w:t>
      </w:r>
      <w:r>
        <w:rPr>
          <w:i/>
          <w:sz w:val="24"/>
        </w:rPr>
        <w:t>Moringa oleifera</w:t>
      </w:r>
      <w:r>
        <w:rPr>
          <w:sz w:val="24"/>
        </w:rPr>
        <w:t xml:space="preserve">: antimicrobial and antioxidant properties. </w:t>
      </w:r>
      <w:r>
        <w:rPr>
          <w:i/>
          <w:sz w:val="24"/>
        </w:rPr>
        <w:t xml:space="preserve">Journal of </w:t>
      </w:r>
      <w:r>
        <w:rPr>
          <w:i/>
          <w:spacing w:val="-2"/>
          <w:sz w:val="24"/>
        </w:rPr>
        <w:t>Microbiology</w:t>
      </w:r>
      <w:r>
        <w:rPr>
          <w:i/>
          <w:sz w:val="24"/>
        </w:rPr>
        <w:tab/>
      </w:r>
      <w:r>
        <w:rPr>
          <w:i/>
          <w:spacing w:val="-4"/>
          <w:sz w:val="24"/>
        </w:rPr>
        <w:t>and</w:t>
      </w:r>
      <w:r>
        <w:rPr>
          <w:i/>
          <w:sz w:val="24"/>
        </w:rPr>
        <w:tab/>
      </w:r>
      <w:r>
        <w:rPr>
          <w:i/>
          <w:spacing w:val="-2"/>
          <w:sz w:val="24"/>
        </w:rPr>
        <w:t>Experimentation</w:t>
      </w:r>
      <w:r>
        <w:rPr>
          <w:i/>
          <w:sz w:val="24"/>
        </w:rPr>
        <w:tab/>
      </w:r>
      <w:r>
        <w:rPr>
          <w:spacing w:val="-2"/>
          <w:sz w:val="24"/>
        </w:rPr>
        <w:t xml:space="preserve">10(5):150‒154. </w:t>
      </w:r>
      <w:hyperlink r:id="rId67">
        <w:r>
          <w:rPr>
            <w:color w:val="0000FF"/>
            <w:spacing w:val="-2"/>
            <w:sz w:val="24"/>
            <w:u w:val="single" w:color="0000FF"/>
          </w:rPr>
          <w:t>ht</w:t>
        </w:r>
        <w:r>
          <w:rPr>
            <w:color w:val="0000FF"/>
            <w:spacing w:val="-2"/>
            <w:sz w:val="24"/>
            <w:u w:val="single" w:color="0000FF"/>
          </w:rPr>
          <w:t>tps://doi.org/10.15406/jmen.2022.10.00367</w:t>
        </w:r>
      </w:hyperlink>
    </w:p>
    <w:p w:rsidR="00B84776" w:rsidRDefault="00C65940">
      <w:pPr>
        <w:pStyle w:val="ListParagraph"/>
        <w:numPr>
          <w:ilvl w:val="0"/>
          <w:numId w:val="3"/>
        </w:numPr>
        <w:tabs>
          <w:tab w:val="left" w:pos="460"/>
        </w:tabs>
        <w:spacing w:line="360" w:lineRule="auto"/>
        <w:ind w:right="98" w:firstLine="0"/>
        <w:rPr>
          <w:color w:val="202020"/>
          <w:sz w:val="24"/>
        </w:rPr>
      </w:pPr>
      <w:proofErr w:type="spellStart"/>
      <w:r>
        <w:rPr>
          <w:sz w:val="24"/>
        </w:rPr>
        <w:t>Ekpunobi</w:t>
      </w:r>
      <w:proofErr w:type="spellEnd"/>
      <w:r>
        <w:rPr>
          <w:sz w:val="24"/>
        </w:rPr>
        <w:t xml:space="preserve">, N. F. and </w:t>
      </w:r>
      <w:proofErr w:type="spellStart"/>
      <w:r>
        <w:rPr>
          <w:sz w:val="24"/>
        </w:rPr>
        <w:t>Adeleye</w:t>
      </w:r>
      <w:proofErr w:type="spellEnd"/>
      <w:r>
        <w:rPr>
          <w:sz w:val="24"/>
        </w:rPr>
        <w:t>, I. A. (2020). Phenotypic characterization of biofilm formation</w:t>
      </w:r>
      <w:r>
        <w:rPr>
          <w:spacing w:val="55"/>
          <w:sz w:val="24"/>
        </w:rPr>
        <w:t xml:space="preserve"> </w:t>
      </w:r>
      <w:r>
        <w:rPr>
          <w:sz w:val="24"/>
        </w:rPr>
        <w:t>and</w:t>
      </w:r>
      <w:r>
        <w:rPr>
          <w:spacing w:val="59"/>
          <w:sz w:val="24"/>
        </w:rPr>
        <w:t xml:space="preserve"> </w:t>
      </w:r>
      <w:r>
        <w:rPr>
          <w:sz w:val="24"/>
        </w:rPr>
        <w:t>efflux</w:t>
      </w:r>
      <w:r>
        <w:rPr>
          <w:spacing w:val="58"/>
          <w:sz w:val="24"/>
        </w:rPr>
        <w:t xml:space="preserve"> </w:t>
      </w:r>
      <w:r>
        <w:rPr>
          <w:sz w:val="24"/>
        </w:rPr>
        <w:t>pump</w:t>
      </w:r>
      <w:r>
        <w:rPr>
          <w:spacing w:val="58"/>
          <w:sz w:val="24"/>
        </w:rPr>
        <w:t xml:space="preserve"> </w:t>
      </w:r>
      <w:r>
        <w:rPr>
          <w:sz w:val="24"/>
        </w:rPr>
        <w:t>activity</w:t>
      </w:r>
      <w:r>
        <w:rPr>
          <w:spacing w:val="57"/>
          <w:sz w:val="24"/>
        </w:rPr>
        <w:t xml:space="preserve"> </w:t>
      </w:r>
      <w:r>
        <w:rPr>
          <w:sz w:val="24"/>
        </w:rPr>
        <w:t>in</w:t>
      </w:r>
      <w:r>
        <w:rPr>
          <w:spacing w:val="58"/>
          <w:sz w:val="24"/>
        </w:rPr>
        <w:t xml:space="preserve"> </w:t>
      </w:r>
      <w:r>
        <w:rPr>
          <w:sz w:val="24"/>
        </w:rPr>
        <w:t>multidrug-resistant</w:t>
      </w:r>
      <w:r>
        <w:rPr>
          <w:spacing w:val="57"/>
          <w:sz w:val="24"/>
        </w:rPr>
        <w:t xml:space="preserve"> </w:t>
      </w:r>
      <w:r>
        <w:rPr>
          <w:sz w:val="24"/>
        </w:rPr>
        <w:t>Staphylococcus</w:t>
      </w:r>
      <w:r>
        <w:rPr>
          <w:spacing w:val="60"/>
          <w:sz w:val="24"/>
        </w:rPr>
        <w:t xml:space="preserve"> </w:t>
      </w:r>
      <w:r>
        <w:rPr>
          <w:spacing w:val="-2"/>
          <w:sz w:val="24"/>
        </w:rPr>
        <w:t>species</w:t>
      </w:r>
    </w:p>
    <w:p w:rsidR="00B84776" w:rsidRDefault="00B84776">
      <w:pPr>
        <w:pStyle w:val="ListParagraph"/>
        <w:spacing w:line="360" w:lineRule="auto"/>
        <w:rPr>
          <w:sz w:val="24"/>
        </w:rPr>
        <w:sectPr w:rsidR="00B84776">
          <w:pgSz w:w="11910" w:h="16840"/>
          <w:pgMar w:top="1360" w:right="1700" w:bottom="280" w:left="1700" w:header="720" w:footer="720" w:gutter="0"/>
          <w:cols w:space="720"/>
        </w:sectPr>
      </w:pPr>
    </w:p>
    <w:p w:rsidR="00B84776" w:rsidRDefault="00C65940">
      <w:pPr>
        <w:spacing w:before="62"/>
        <w:ind w:left="100"/>
        <w:jc w:val="both"/>
        <w:rPr>
          <w:i/>
          <w:sz w:val="24"/>
        </w:rPr>
      </w:pPr>
      <w:r>
        <w:rPr>
          <w:sz w:val="24"/>
        </w:rPr>
        <w:lastRenderedPageBreak/>
        <w:t>isolated</w:t>
      </w:r>
      <w:r>
        <w:rPr>
          <w:spacing w:val="22"/>
          <w:sz w:val="24"/>
        </w:rPr>
        <w:t xml:space="preserve"> </w:t>
      </w:r>
      <w:r>
        <w:rPr>
          <w:sz w:val="24"/>
        </w:rPr>
        <w:t>from</w:t>
      </w:r>
      <w:r>
        <w:rPr>
          <w:spacing w:val="28"/>
          <w:sz w:val="24"/>
        </w:rPr>
        <w:t xml:space="preserve"> </w:t>
      </w:r>
      <w:r>
        <w:rPr>
          <w:sz w:val="24"/>
        </w:rPr>
        <w:t>asymptomatic</w:t>
      </w:r>
      <w:r>
        <w:rPr>
          <w:spacing w:val="25"/>
          <w:sz w:val="24"/>
        </w:rPr>
        <w:t xml:space="preserve"> </w:t>
      </w:r>
      <w:r>
        <w:rPr>
          <w:sz w:val="24"/>
        </w:rPr>
        <w:t>students.</w:t>
      </w:r>
      <w:r>
        <w:rPr>
          <w:spacing w:val="25"/>
          <w:sz w:val="24"/>
        </w:rPr>
        <w:t xml:space="preserve"> </w:t>
      </w:r>
      <w:r>
        <w:rPr>
          <w:i/>
          <w:sz w:val="24"/>
        </w:rPr>
        <w:t>Journal</w:t>
      </w:r>
      <w:r>
        <w:rPr>
          <w:i/>
          <w:spacing w:val="25"/>
          <w:sz w:val="24"/>
        </w:rPr>
        <w:t xml:space="preserve"> </w:t>
      </w:r>
      <w:r>
        <w:rPr>
          <w:i/>
          <w:sz w:val="24"/>
        </w:rPr>
        <w:t>of</w:t>
      </w:r>
      <w:r>
        <w:rPr>
          <w:i/>
          <w:spacing w:val="27"/>
          <w:sz w:val="24"/>
        </w:rPr>
        <w:t xml:space="preserve"> </w:t>
      </w:r>
      <w:r>
        <w:rPr>
          <w:i/>
          <w:sz w:val="24"/>
        </w:rPr>
        <w:t>Microbiology</w:t>
      </w:r>
      <w:r>
        <w:rPr>
          <w:i/>
          <w:spacing w:val="26"/>
          <w:sz w:val="24"/>
        </w:rPr>
        <w:t xml:space="preserve"> </w:t>
      </w:r>
      <w:r>
        <w:rPr>
          <w:i/>
          <w:sz w:val="24"/>
        </w:rPr>
        <w:t>and</w:t>
      </w:r>
      <w:r>
        <w:rPr>
          <w:i/>
          <w:spacing w:val="25"/>
          <w:sz w:val="24"/>
        </w:rPr>
        <w:t xml:space="preserve"> </w:t>
      </w:r>
      <w:r>
        <w:rPr>
          <w:i/>
          <w:spacing w:val="-2"/>
          <w:sz w:val="24"/>
        </w:rPr>
        <w:t>Experimentation</w:t>
      </w:r>
    </w:p>
    <w:p w:rsidR="00B84776" w:rsidRDefault="00C65940">
      <w:pPr>
        <w:pStyle w:val="BodyText"/>
        <w:spacing w:before="137"/>
      </w:pPr>
      <w:r>
        <w:t>8(6):</w:t>
      </w:r>
      <w:r>
        <w:rPr>
          <w:spacing w:val="-4"/>
        </w:rPr>
        <w:t xml:space="preserve"> </w:t>
      </w:r>
      <w:r>
        <w:t>223-229.</w:t>
      </w:r>
      <w:r>
        <w:rPr>
          <w:spacing w:val="-1"/>
        </w:rPr>
        <w:t xml:space="preserve"> </w:t>
      </w:r>
      <w:hyperlink r:id="rId68">
        <w:r>
          <w:rPr>
            <w:color w:val="0000FF"/>
            <w:spacing w:val="-2"/>
            <w:u w:val="single" w:color="0000FF"/>
          </w:rPr>
          <w:t>https://doi.org/10.15406/jmen.2020.08.00313</w:t>
        </w:r>
      </w:hyperlink>
    </w:p>
    <w:p w:rsidR="00B84776" w:rsidRDefault="00C65940">
      <w:pPr>
        <w:pStyle w:val="ListParagraph"/>
        <w:numPr>
          <w:ilvl w:val="0"/>
          <w:numId w:val="3"/>
        </w:numPr>
        <w:tabs>
          <w:tab w:val="left" w:pos="460"/>
        </w:tabs>
        <w:spacing w:before="136" w:line="360" w:lineRule="auto"/>
        <w:ind w:right="98" w:firstLine="0"/>
        <w:rPr>
          <w:color w:val="1B1B1B"/>
          <w:sz w:val="24"/>
        </w:rPr>
      </w:pPr>
      <w:r>
        <w:rPr>
          <w:color w:val="202020"/>
          <w:sz w:val="24"/>
        </w:rPr>
        <w:t xml:space="preserve">Logan, L. K., </w:t>
      </w:r>
      <w:proofErr w:type="spellStart"/>
      <w:r>
        <w:rPr>
          <w:color w:val="202020"/>
          <w:sz w:val="24"/>
        </w:rPr>
        <w:t>Braykov</w:t>
      </w:r>
      <w:proofErr w:type="spellEnd"/>
      <w:r>
        <w:rPr>
          <w:color w:val="202020"/>
          <w:sz w:val="24"/>
        </w:rPr>
        <w:t xml:space="preserve">, N. P., Weinstein, R. A., </w:t>
      </w:r>
      <w:proofErr w:type="spellStart"/>
      <w:r>
        <w:rPr>
          <w:color w:val="202020"/>
          <w:sz w:val="24"/>
        </w:rPr>
        <w:t>Laxminarayan</w:t>
      </w:r>
      <w:proofErr w:type="spellEnd"/>
      <w:r>
        <w:rPr>
          <w:color w:val="202020"/>
          <w:sz w:val="24"/>
        </w:rPr>
        <w:t>, R., &amp; CDC Epicente</w:t>
      </w:r>
      <w:r>
        <w:rPr>
          <w:color w:val="202020"/>
          <w:sz w:val="24"/>
        </w:rPr>
        <w:t>rs Prevention Program (2014). Extended-Spectrum β-Lactamase-Producing and Third-Generation Cephalosporin-Resistant Enterobacteriaceae in Children:</w:t>
      </w:r>
      <w:r>
        <w:rPr>
          <w:color w:val="202020"/>
          <w:spacing w:val="40"/>
          <w:sz w:val="24"/>
        </w:rPr>
        <w:t xml:space="preserve"> </w:t>
      </w:r>
      <w:r>
        <w:rPr>
          <w:color w:val="202020"/>
          <w:sz w:val="24"/>
        </w:rPr>
        <w:t xml:space="preserve">Trends in the United States, 1999-2011. </w:t>
      </w:r>
      <w:r>
        <w:rPr>
          <w:i/>
          <w:color w:val="202020"/>
          <w:sz w:val="24"/>
        </w:rPr>
        <w:t>Journal of the Pediatric Infectious Diseases Society</w:t>
      </w:r>
      <w:r>
        <w:rPr>
          <w:color w:val="202020"/>
          <w:sz w:val="24"/>
        </w:rPr>
        <w:t xml:space="preserve">, </w:t>
      </w:r>
      <w:r>
        <w:rPr>
          <w:i/>
          <w:color w:val="202020"/>
          <w:sz w:val="24"/>
        </w:rPr>
        <w:t>3</w:t>
      </w:r>
      <w:r>
        <w:rPr>
          <w:color w:val="202020"/>
          <w:sz w:val="24"/>
        </w:rPr>
        <w:t xml:space="preserve">(4), 320–328. </w:t>
      </w:r>
      <w:hyperlink r:id="rId69">
        <w:r>
          <w:rPr>
            <w:color w:val="0000FF"/>
            <w:sz w:val="24"/>
            <w:u w:val="single" w:color="0000FF"/>
          </w:rPr>
          <w:t>https://doi.org/10.1093/jpids/piu010</w:t>
        </w:r>
      </w:hyperlink>
    </w:p>
    <w:p w:rsidR="00B84776" w:rsidRDefault="00C65940">
      <w:pPr>
        <w:pStyle w:val="ListParagraph"/>
        <w:numPr>
          <w:ilvl w:val="0"/>
          <w:numId w:val="3"/>
        </w:numPr>
        <w:tabs>
          <w:tab w:val="left" w:pos="460"/>
        </w:tabs>
        <w:spacing w:before="2" w:line="360" w:lineRule="auto"/>
        <w:ind w:right="97" w:firstLine="0"/>
        <w:rPr>
          <w:sz w:val="24"/>
        </w:rPr>
      </w:pPr>
      <w:r>
        <w:rPr>
          <w:color w:val="1B1B1B"/>
          <w:sz w:val="24"/>
        </w:rPr>
        <w:t xml:space="preserve">Hughes, K., </w:t>
      </w:r>
      <w:proofErr w:type="spellStart"/>
      <w:r>
        <w:rPr>
          <w:color w:val="1B1B1B"/>
          <w:sz w:val="24"/>
        </w:rPr>
        <w:t>Cannings</w:t>
      </w:r>
      <w:proofErr w:type="spellEnd"/>
      <w:r>
        <w:rPr>
          <w:color w:val="1B1B1B"/>
          <w:sz w:val="24"/>
        </w:rPr>
        <w:t>-John, R., Jones, H., Lugg-</w:t>
      </w:r>
      <w:proofErr w:type="spellStart"/>
      <w:r>
        <w:rPr>
          <w:color w:val="1B1B1B"/>
          <w:sz w:val="24"/>
        </w:rPr>
        <w:t>Widger</w:t>
      </w:r>
      <w:proofErr w:type="spellEnd"/>
      <w:r>
        <w:rPr>
          <w:color w:val="1B1B1B"/>
          <w:sz w:val="24"/>
        </w:rPr>
        <w:t xml:space="preserve">, F., Lau, T. M. M., </w:t>
      </w:r>
      <w:proofErr w:type="spellStart"/>
      <w:r>
        <w:rPr>
          <w:color w:val="1B1B1B"/>
          <w:sz w:val="24"/>
        </w:rPr>
        <w:t>Paranjothy</w:t>
      </w:r>
      <w:proofErr w:type="spellEnd"/>
      <w:r>
        <w:rPr>
          <w:color w:val="1B1B1B"/>
          <w:sz w:val="24"/>
        </w:rPr>
        <w:t xml:space="preserve">, S., Francis, N., Hay, A. D., Butler, C. C., Angel, L., Van der </w:t>
      </w:r>
      <w:proofErr w:type="spellStart"/>
      <w:r>
        <w:rPr>
          <w:color w:val="1B1B1B"/>
          <w:sz w:val="24"/>
        </w:rPr>
        <w:t>Voort</w:t>
      </w:r>
      <w:proofErr w:type="spellEnd"/>
      <w:r>
        <w:rPr>
          <w:color w:val="1B1B1B"/>
          <w:sz w:val="24"/>
        </w:rPr>
        <w:t>, J., &amp; Hood, K. (2024). Long-term consequences of urinary tract infection in childhood: an electronic</w:t>
      </w:r>
      <w:r>
        <w:rPr>
          <w:color w:val="1B1B1B"/>
          <w:sz w:val="24"/>
        </w:rPr>
        <w:t xml:space="preserve"> population-based cohort study in Welsh primary and secondary care. </w:t>
      </w:r>
      <w:r>
        <w:rPr>
          <w:i/>
          <w:color w:val="1B1B1B"/>
          <w:sz w:val="24"/>
        </w:rPr>
        <w:t xml:space="preserve">The British journal of general </w:t>
      </w:r>
      <w:proofErr w:type="gramStart"/>
      <w:r>
        <w:rPr>
          <w:i/>
          <w:color w:val="1B1B1B"/>
          <w:sz w:val="24"/>
        </w:rPr>
        <w:t>practice :</w:t>
      </w:r>
      <w:proofErr w:type="gramEnd"/>
      <w:r>
        <w:rPr>
          <w:i/>
          <w:color w:val="1B1B1B"/>
          <w:sz w:val="24"/>
        </w:rPr>
        <w:t xml:space="preserve"> the journal of the Royal College of General Practitioners</w:t>
      </w:r>
      <w:r>
        <w:rPr>
          <w:color w:val="1B1B1B"/>
          <w:sz w:val="24"/>
        </w:rPr>
        <w:t xml:space="preserve">, </w:t>
      </w:r>
      <w:r>
        <w:rPr>
          <w:i/>
          <w:color w:val="1B1B1B"/>
          <w:sz w:val="24"/>
        </w:rPr>
        <w:t>74</w:t>
      </w:r>
      <w:r>
        <w:rPr>
          <w:color w:val="1B1B1B"/>
          <w:sz w:val="24"/>
        </w:rPr>
        <w:t xml:space="preserve">(743), e371–e378. </w:t>
      </w:r>
      <w:hyperlink r:id="rId70">
        <w:r>
          <w:rPr>
            <w:color w:val="0000FF"/>
            <w:sz w:val="24"/>
            <w:u w:val="single" w:color="0000FF"/>
          </w:rPr>
          <w:t>https://doi.</w:t>
        </w:r>
        <w:r>
          <w:rPr>
            <w:color w:val="0000FF"/>
            <w:sz w:val="24"/>
            <w:u w:val="single" w:color="0000FF"/>
          </w:rPr>
          <w:t>org/10.3399/BJGP.2023.0174</w:t>
        </w:r>
      </w:hyperlink>
    </w:p>
    <w:p w:rsidR="00B84776" w:rsidRDefault="00C65940">
      <w:pPr>
        <w:pStyle w:val="ListParagraph"/>
        <w:numPr>
          <w:ilvl w:val="0"/>
          <w:numId w:val="3"/>
        </w:numPr>
        <w:tabs>
          <w:tab w:val="left" w:pos="460"/>
        </w:tabs>
        <w:spacing w:line="360" w:lineRule="auto"/>
        <w:ind w:right="97" w:firstLine="0"/>
        <w:rPr>
          <w:sz w:val="24"/>
        </w:rPr>
      </w:pPr>
      <w:proofErr w:type="spellStart"/>
      <w:r>
        <w:rPr>
          <w:sz w:val="24"/>
        </w:rPr>
        <w:t>Afsharpaiman</w:t>
      </w:r>
      <w:proofErr w:type="spellEnd"/>
      <w:r>
        <w:rPr>
          <w:sz w:val="24"/>
        </w:rPr>
        <w:t xml:space="preserve"> S, </w:t>
      </w:r>
      <w:proofErr w:type="spellStart"/>
      <w:r>
        <w:rPr>
          <w:sz w:val="24"/>
        </w:rPr>
        <w:t>Bairaghdar</w:t>
      </w:r>
      <w:proofErr w:type="spellEnd"/>
      <w:r>
        <w:rPr>
          <w:sz w:val="24"/>
        </w:rPr>
        <w:t xml:space="preserve"> F, </w:t>
      </w:r>
      <w:proofErr w:type="spellStart"/>
      <w:r>
        <w:rPr>
          <w:sz w:val="24"/>
        </w:rPr>
        <w:t>Torkaman</w:t>
      </w:r>
      <w:proofErr w:type="spellEnd"/>
      <w:r>
        <w:rPr>
          <w:sz w:val="24"/>
        </w:rPr>
        <w:t xml:space="preserve"> M, </w:t>
      </w:r>
      <w:proofErr w:type="spellStart"/>
      <w:r>
        <w:rPr>
          <w:sz w:val="24"/>
        </w:rPr>
        <w:t>Kavehmanesh</w:t>
      </w:r>
      <w:proofErr w:type="spellEnd"/>
      <w:r>
        <w:rPr>
          <w:sz w:val="24"/>
        </w:rPr>
        <w:t xml:space="preserve"> Z, </w:t>
      </w:r>
      <w:proofErr w:type="spellStart"/>
      <w:r>
        <w:rPr>
          <w:sz w:val="24"/>
        </w:rPr>
        <w:t>Amirsalari</w:t>
      </w:r>
      <w:proofErr w:type="spellEnd"/>
      <w:r>
        <w:rPr>
          <w:sz w:val="24"/>
        </w:rPr>
        <w:t xml:space="preserve"> S, Moradi M, </w:t>
      </w:r>
      <w:proofErr w:type="spellStart"/>
      <w:r>
        <w:rPr>
          <w:sz w:val="24"/>
        </w:rPr>
        <w:t>Safavimirmahalleh</w:t>
      </w:r>
      <w:proofErr w:type="spellEnd"/>
      <w:r>
        <w:rPr>
          <w:sz w:val="24"/>
        </w:rPr>
        <w:t xml:space="preserve"> MJ. Bacterial Pathogens and Resistance Patterns in Children </w:t>
      </w:r>
      <w:proofErr w:type="gramStart"/>
      <w:r>
        <w:rPr>
          <w:sz w:val="24"/>
        </w:rPr>
        <w:t>With</w:t>
      </w:r>
      <w:proofErr w:type="gramEnd"/>
      <w:r>
        <w:rPr>
          <w:sz w:val="24"/>
        </w:rPr>
        <w:t xml:space="preserve"> Community-Acquired Urinary Tract Infection: A Cross Sectional </w:t>
      </w:r>
      <w:r>
        <w:rPr>
          <w:sz w:val="24"/>
        </w:rPr>
        <w:t xml:space="preserve">Study. J </w:t>
      </w:r>
      <w:proofErr w:type="spellStart"/>
      <w:r>
        <w:rPr>
          <w:sz w:val="24"/>
        </w:rPr>
        <w:t>Compr</w:t>
      </w:r>
      <w:proofErr w:type="spellEnd"/>
      <w:r>
        <w:rPr>
          <w:sz w:val="24"/>
        </w:rPr>
        <w:t xml:space="preserve"> Ped. 2012;3(1):16- 20. DOI: 10.17795/compreped-7078</w:t>
      </w:r>
    </w:p>
    <w:p w:rsidR="00B84776" w:rsidRDefault="00C65940">
      <w:pPr>
        <w:pStyle w:val="ListParagraph"/>
        <w:numPr>
          <w:ilvl w:val="0"/>
          <w:numId w:val="3"/>
        </w:numPr>
        <w:tabs>
          <w:tab w:val="left" w:pos="460"/>
        </w:tabs>
        <w:spacing w:line="360" w:lineRule="auto"/>
        <w:ind w:right="101" w:firstLine="0"/>
        <w:rPr>
          <w:sz w:val="24"/>
        </w:rPr>
      </w:pPr>
      <w:r>
        <w:rPr>
          <w:color w:val="202020"/>
          <w:sz w:val="24"/>
        </w:rPr>
        <w:t xml:space="preserve">Habib S. (2012). Highlights for management of a child with a urinary tract infection. </w:t>
      </w:r>
      <w:r>
        <w:rPr>
          <w:i/>
          <w:color w:val="202020"/>
          <w:sz w:val="24"/>
        </w:rPr>
        <w:t>International journal of pediatrics</w:t>
      </w:r>
      <w:r>
        <w:rPr>
          <w:color w:val="202020"/>
          <w:sz w:val="24"/>
        </w:rPr>
        <w:t xml:space="preserve">, </w:t>
      </w:r>
      <w:r>
        <w:rPr>
          <w:i/>
          <w:color w:val="202020"/>
          <w:sz w:val="24"/>
        </w:rPr>
        <w:t>2012</w:t>
      </w:r>
      <w:r>
        <w:rPr>
          <w:color w:val="202020"/>
          <w:sz w:val="24"/>
        </w:rPr>
        <w:t xml:space="preserve">, 943653. </w:t>
      </w:r>
      <w:hyperlink r:id="rId71">
        <w:r>
          <w:rPr>
            <w:color w:val="0000FF"/>
            <w:spacing w:val="-2"/>
            <w:sz w:val="24"/>
            <w:u w:val="single" w:color="0000FF"/>
          </w:rPr>
          <w:t>https://doi.org/10.1155/2012/943653</w:t>
        </w:r>
      </w:hyperlink>
    </w:p>
    <w:p w:rsidR="00B84776" w:rsidRDefault="00C65940">
      <w:pPr>
        <w:pStyle w:val="ListParagraph"/>
        <w:numPr>
          <w:ilvl w:val="0"/>
          <w:numId w:val="3"/>
        </w:numPr>
        <w:tabs>
          <w:tab w:val="left" w:pos="460"/>
        </w:tabs>
        <w:spacing w:line="360" w:lineRule="auto"/>
        <w:ind w:right="100" w:firstLine="0"/>
        <w:rPr>
          <w:sz w:val="24"/>
        </w:rPr>
      </w:pPr>
      <w:proofErr w:type="spellStart"/>
      <w:r>
        <w:rPr>
          <w:sz w:val="24"/>
        </w:rPr>
        <w:t>Drekonja</w:t>
      </w:r>
      <w:proofErr w:type="spellEnd"/>
      <w:r>
        <w:rPr>
          <w:sz w:val="24"/>
        </w:rPr>
        <w:t xml:space="preserve"> DM, Filice GA, Greer N, Olson A, MacDonald R, </w:t>
      </w:r>
      <w:proofErr w:type="spellStart"/>
      <w:r>
        <w:rPr>
          <w:sz w:val="24"/>
        </w:rPr>
        <w:t>Rutks</w:t>
      </w:r>
      <w:proofErr w:type="spellEnd"/>
      <w:r>
        <w:rPr>
          <w:sz w:val="24"/>
        </w:rPr>
        <w:t xml:space="preserve"> I, Wilt TJ. 2015. Antimicrobial stewardship in outpatient settings: a systematic review. Infect Control Hosp Epidemiol 36:142–152.</w:t>
      </w:r>
    </w:p>
    <w:p w:rsidR="00B84776" w:rsidRDefault="00C65940">
      <w:pPr>
        <w:pStyle w:val="ListParagraph"/>
        <w:numPr>
          <w:ilvl w:val="0"/>
          <w:numId w:val="3"/>
        </w:numPr>
        <w:tabs>
          <w:tab w:val="left" w:pos="460"/>
        </w:tabs>
        <w:spacing w:line="360" w:lineRule="auto"/>
        <w:ind w:right="97" w:firstLine="0"/>
        <w:rPr>
          <w:sz w:val="24"/>
        </w:rPr>
      </w:pPr>
      <w:r>
        <w:rPr>
          <w:color w:val="636363"/>
          <w:sz w:val="24"/>
        </w:rPr>
        <w:t xml:space="preserve">Cardoso T, Almeida M, </w:t>
      </w:r>
      <w:r>
        <w:rPr>
          <w:color w:val="636363"/>
          <w:sz w:val="24"/>
        </w:rPr>
        <w:t xml:space="preserve">Friedman ND, </w:t>
      </w:r>
      <w:proofErr w:type="spellStart"/>
      <w:r>
        <w:rPr>
          <w:color w:val="636363"/>
          <w:sz w:val="24"/>
        </w:rPr>
        <w:t>Aragao</w:t>
      </w:r>
      <w:proofErr w:type="spellEnd"/>
      <w:r>
        <w:rPr>
          <w:color w:val="636363"/>
          <w:sz w:val="24"/>
        </w:rPr>
        <w:t xml:space="preserve"> I, Costa-Pereira A, </w:t>
      </w:r>
      <w:proofErr w:type="spellStart"/>
      <w:r>
        <w:rPr>
          <w:color w:val="636363"/>
          <w:sz w:val="24"/>
        </w:rPr>
        <w:t>Sarmento</w:t>
      </w:r>
      <w:proofErr w:type="spellEnd"/>
      <w:r>
        <w:rPr>
          <w:color w:val="636363"/>
          <w:sz w:val="24"/>
        </w:rPr>
        <w:t xml:space="preserve"> AE, et al. (2014) Classification of healthcare-associated infection: a systematic review 10 years after the first proposal. BMC Med. 12:40</w:t>
      </w:r>
    </w:p>
    <w:p w:rsidR="00B84776" w:rsidRDefault="00C65940">
      <w:pPr>
        <w:pStyle w:val="ListParagraph"/>
        <w:numPr>
          <w:ilvl w:val="0"/>
          <w:numId w:val="3"/>
        </w:numPr>
        <w:tabs>
          <w:tab w:val="left" w:pos="460"/>
        </w:tabs>
        <w:spacing w:line="360" w:lineRule="auto"/>
        <w:ind w:right="98" w:firstLine="0"/>
        <w:rPr>
          <w:color w:val="202020"/>
          <w:sz w:val="24"/>
        </w:rPr>
      </w:pPr>
      <w:proofErr w:type="spellStart"/>
      <w:r>
        <w:rPr>
          <w:color w:val="202020"/>
          <w:sz w:val="24"/>
        </w:rPr>
        <w:t>Sencan</w:t>
      </w:r>
      <w:proofErr w:type="spellEnd"/>
      <w:r>
        <w:rPr>
          <w:color w:val="202020"/>
          <w:sz w:val="24"/>
        </w:rPr>
        <w:t xml:space="preserve">, A., </w:t>
      </w:r>
      <w:proofErr w:type="spellStart"/>
      <w:r>
        <w:rPr>
          <w:color w:val="202020"/>
          <w:sz w:val="24"/>
        </w:rPr>
        <w:t>Carvas</w:t>
      </w:r>
      <w:proofErr w:type="spellEnd"/>
      <w:r>
        <w:rPr>
          <w:color w:val="202020"/>
          <w:sz w:val="24"/>
        </w:rPr>
        <w:t xml:space="preserve">, F., </w:t>
      </w:r>
      <w:proofErr w:type="spellStart"/>
      <w:r>
        <w:rPr>
          <w:color w:val="202020"/>
          <w:sz w:val="24"/>
        </w:rPr>
        <w:t>Hekimoglu</w:t>
      </w:r>
      <w:proofErr w:type="spellEnd"/>
      <w:r>
        <w:rPr>
          <w:color w:val="202020"/>
          <w:sz w:val="24"/>
        </w:rPr>
        <w:t xml:space="preserve">, I. C., </w:t>
      </w:r>
      <w:proofErr w:type="spellStart"/>
      <w:r>
        <w:rPr>
          <w:color w:val="202020"/>
          <w:sz w:val="24"/>
        </w:rPr>
        <w:t>Caf</w:t>
      </w:r>
      <w:proofErr w:type="spellEnd"/>
      <w:r>
        <w:rPr>
          <w:color w:val="202020"/>
          <w:sz w:val="24"/>
        </w:rPr>
        <w:t xml:space="preserve">, N., </w:t>
      </w:r>
      <w:proofErr w:type="spellStart"/>
      <w:r>
        <w:rPr>
          <w:color w:val="202020"/>
          <w:sz w:val="24"/>
        </w:rPr>
        <w:t>Sencan</w:t>
      </w:r>
      <w:proofErr w:type="spellEnd"/>
      <w:r>
        <w:rPr>
          <w:color w:val="202020"/>
          <w:sz w:val="24"/>
        </w:rPr>
        <w:t>, A., Chow,</w:t>
      </w:r>
      <w:r>
        <w:rPr>
          <w:color w:val="202020"/>
          <w:sz w:val="24"/>
        </w:rPr>
        <w:t xml:space="preserve"> J., &amp; Nguyen, H. T. (2014). Urinary tract infection and vesicoureteral reflux in children with mild antenatal hydronephrosis. </w:t>
      </w:r>
      <w:r>
        <w:rPr>
          <w:i/>
          <w:color w:val="202020"/>
          <w:sz w:val="24"/>
        </w:rPr>
        <w:t>Journal of pediatric urology</w:t>
      </w:r>
      <w:r>
        <w:rPr>
          <w:color w:val="202020"/>
          <w:sz w:val="24"/>
        </w:rPr>
        <w:t xml:space="preserve">, </w:t>
      </w:r>
      <w:r>
        <w:rPr>
          <w:i/>
          <w:color w:val="202020"/>
          <w:sz w:val="24"/>
        </w:rPr>
        <w:t>10</w:t>
      </w:r>
      <w:r>
        <w:rPr>
          <w:color w:val="202020"/>
          <w:sz w:val="24"/>
        </w:rPr>
        <w:t xml:space="preserve">(6), 1008–1013. </w:t>
      </w:r>
      <w:hyperlink r:id="rId72">
        <w:r>
          <w:rPr>
            <w:color w:val="0000FF"/>
            <w:spacing w:val="-2"/>
            <w:sz w:val="24"/>
            <w:u w:val="single" w:color="0000FF"/>
          </w:rPr>
          <w:t>https://doi.org/10.1</w:t>
        </w:r>
        <w:r>
          <w:rPr>
            <w:color w:val="0000FF"/>
            <w:spacing w:val="-2"/>
            <w:sz w:val="24"/>
            <w:u w:val="single" w:color="0000FF"/>
          </w:rPr>
          <w:t>016/j.jpurol.2014.04.001</w:t>
        </w:r>
      </w:hyperlink>
    </w:p>
    <w:p w:rsidR="00B84776" w:rsidRDefault="00C65940">
      <w:pPr>
        <w:pStyle w:val="ListParagraph"/>
        <w:numPr>
          <w:ilvl w:val="0"/>
          <w:numId w:val="3"/>
        </w:numPr>
        <w:tabs>
          <w:tab w:val="left" w:pos="460"/>
        </w:tabs>
        <w:spacing w:line="360" w:lineRule="auto"/>
        <w:ind w:right="40" w:firstLine="0"/>
        <w:rPr>
          <w:color w:val="202020"/>
          <w:sz w:val="24"/>
        </w:rPr>
      </w:pPr>
      <w:proofErr w:type="spellStart"/>
      <w:r>
        <w:rPr>
          <w:color w:val="202020"/>
          <w:sz w:val="24"/>
        </w:rPr>
        <w:t>Laxminarayan</w:t>
      </w:r>
      <w:proofErr w:type="spellEnd"/>
      <w:r>
        <w:rPr>
          <w:color w:val="202020"/>
          <w:sz w:val="24"/>
        </w:rPr>
        <w:t xml:space="preserve">, R., Duse, A., </w:t>
      </w:r>
      <w:proofErr w:type="spellStart"/>
      <w:r>
        <w:rPr>
          <w:color w:val="202020"/>
          <w:sz w:val="24"/>
        </w:rPr>
        <w:t>Wattal</w:t>
      </w:r>
      <w:proofErr w:type="spellEnd"/>
      <w:r>
        <w:rPr>
          <w:color w:val="202020"/>
          <w:sz w:val="24"/>
        </w:rPr>
        <w:t xml:space="preserve">, C., Zaidi, A. K., Wertheim, H. F., </w:t>
      </w:r>
      <w:proofErr w:type="spellStart"/>
      <w:r>
        <w:rPr>
          <w:color w:val="202020"/>
          <w:sz w:val="24"/>
        </w:rPr>
        <w:t>Sumpradit</w:t>
      </w:r>
      <w:proofErr w:type="spellEnd"/>
      <w:r>
        <w:rPr>
          <w:color w:val="202020"/>
          <w:sz w:val="24"/>
        </w:rPr>
        <w:t xml:space="preserve">, N., </w:t>
      </w:r>
      <w:proofErr w:type="spellStart"/>
      <w:r>
        <w:rPr>
          <w:color w:val="202020"/>
          <w:sz w:val="24"/>
        </w:rPr>
        <w:t>Vlieghe</w:t>
      </w:r>
      <w:proofErr w:type="spellEnd"/>
      <w:r>
        <w:rPr>
          <w:color w:val="202020"/>
          <w:sz w:val="24"/>
        </w:rPr>
        <w:t>, E.,</w:t>
      </w:r>
      <w:r>
        <w:rPr>
          <w:color w:val="202020"/>
          <w:spacing w:val="-3"/>
          <w:sz w:val="24"/>
        </w:rPr>
        <w:t xml:space="preserve"> </w:t>
      </w:r>
      <w:r>
        <w:rPr>
          <w:color w:val="202020"/>
          <w:sz w:val="24"/>
        </w:rPr>
        <w:t>Hara, G. L., Gould,</w:t>
      </w:r>
      <w:r>
        <w:rPr>
          <w:color w:val="202020"/>
          <w:spacing w:val="-2"/>
          <w:sz w:val="24"/>
        </w:rPr>
        <w:t xml:space="preserve"> </w:t>
      </w:r>
      <w:r>
        <w:rPr>
          <w:color w:val="202020"/>
          <w:sz w:val="24"/>
        </w:rPr>
        <w:t>I. M.,</w:t>
      </w:r>
      <w:r>
        <w:rPr>
          <w:color w:val="202020"/>
          <w:spacing w:val="-2"/>
          <w:sz w:val="24"/>
        </w:rPr>
        <w:t xml:space="preserve"> </w:t>
      </w:r>
      <w:proofErr w:type="spellStart"/>
      <w:r>
        <w:rPr>
          <w:color w:val="202020"/>
          <w:sz w:val="24"/>
        </w:rPr>
        <w:t>Goossens</w:t>
      </w:r>
      <w:proofErr w:type="spellEnd"/>
      <w:r>
        <w:rPr>
          <w:color w:val="202020"/>
          <w:sz w:val="24"/>
        </w:rPr>
        <w:t xml:space="preserve">, H., </w:t>
      </w:r>
      <w:proofErr w:type="spellStart"/>
      <w:r>
        <w:rPr>
          <w:color w:val="202020"/>
          <w:sz w:val="24"/>
        </w:rPr>
        <w:t>Greko</w:t>
      </w:r>
      <w:proofErr w:type="spellEnd"/>
      <w:r>
        <w:rPr>
          <w:color w:val="202020"/>
          <w:sz w:val="24"/>
        </w:rPr>
        <w:t>, C.,</w:t>
      </w:r>
      <w:r>
        <w:rPr>
          <w:color w:val="202020"/>
          <w:spacing w:val="-2"/>
          <w:sz w:val="24"/>
        </w:rPr>
        <w:t xml:space="preserve"> </w:t>
      </w:r>
      <w:r>
        <w:rPr>
          <w:color w:val="202020"/>
          <w:sz w:val="24"/>
        </w:rPr>
        <w:t xml:space="preserve">So, A. D., </w:t>
      </w:r>
      <w:proofErr w:type="spellStart"/>
      <w:r>
        <w:rPr>
          <w:color w:val="202020"/>
          <w:sz w:val="24"/>
        </w:rPr>
        <w:t>Bigdeli</w:t>
      </w:r>
      <w:proofErr w:type="spellEnd"/>
      <w:r>
        <w:rPr>
          <w:color w:val="202020"/>
          <w:sz w:val="24"/>
        </w:rPr>
        <w:t>,</w:t>
      </w:r>
    </w:p>
    <w:p w:rsidR="00B84776" w:rsidRDefault="00C65940">
      <w:pPr>
        <w:pStyle w:val="BodyText"/>
        <w:spacing w:line="360" w:lineRule="auto"/>
        <w:ind w:right="98"/>
      </w:pPr>
      <w:r>
        <w:rPr>
          <w:color w:val="202020"/>
        </w:rPr>
        <w:t xml:space="preserve">M., Tomson, G., Woodhouse, W., </w:t>
      </w:r>
      <w:proofErr w:type="spellStart"/>
      <w:r>
        <w:rPr>
          <w:color w:val="202020"/>
        </w:rPr>
        <w:t>Ombaka</w:t>
      </w:r>
      <w:proofErr w:type="spellEnd"/>
      <w:r>
        <w:rPr>
          <w:color w:val="202020"/>
        </w:rPr>
        <w:t>, E., Peralta, A. Q.</w:t>
      </w:r>
      <w:r>
        <w:rPr>
          <w:color w:val="202020"/>
        </w:rPr>
        <w:t xml:space="preserve">, Qamar, F. N., Mir, F., </w:t>
      </w:r>
      <w:proofErr w:type="gramStart"/>
      <w:r>
        <w:rPr>
          <w:color w:val="202020"/>
        </w:rPr>
        <w:t>Kariuki,</w:t>
      </w:r>
      <w:r>
        <w:rPr>
          <w:color w:val="202020"/>
          <w:spacing w:val="37"/>
        </w:rPr>
        <w:t xml:space="preserve">  </w:t>
      </w:r>
      <w:r>
        <w:rPr>
          <w:color w:val="202020"/>
        </w:rPr>
        <w:t>S.</w:t>
      </w:r>
      <w:proofErr w:type="gramEnd"/>
      <w:r>
        <w:rPr>
          <w:color w:val="202020"/>
        </w:rPr>
        <w:t>,</w:t>
      </w:r>
      <w:r>
        <w:rPr>
          <w:color w:val="202020"/>
          <w:spacing w:val="36"/>
        </w:rPr>
        <w:t xml:space="preserve">  </w:t>
      </w:r>
      <w:r>
        <w:rPr>
          <w:color w:val="202020"/>
        </w:rPr>
        <w:t>…</w:t>
      </w:r>
      <w:r>
        <w:rPr>
          <w:color w:val="202020"/>
          <w:spacing w:val="37"/>
        </w:rPr>
        <w:t xml:space="preserve">  </w:t>
      </w:r>
      <w:proofErr w:type="gramStart"/>
      <w:r>
        <w:rPr>
          <w:color w:val="202020"/>
        </w:rPr>
        <w:t>Cars,</w:t>
      </w:r>
      <w:r>
        <w:rPr>
          <w:color w:val="202020"/>
          <w:spacing w:val="37"/>
        </w:rPr>
        <w:t xml:space="preserve">  </w:t>
      </w:r>
      <w:r>
        <w:rPr>
          <w:color w:val="202020"/>
        </w:rPr>
        <w:t>O.</w:t>
      </w:r>
      <w:proofErr w:type="gramEnd"/>
      <w:r>
        <w:rPr>
          <w:color w:val="202020"/>
          <w:spacing w:val="38"/>
        </w:rPr>
        <w:t xml:space="preserve">  </w:t>
      </w:r>
      <w:r>
        <w:rPr>
          <w:color w:val="202020"/>
        </w:rPr>
        <w:t>(2013).</w:t>
      </w:r>
      <w:r>
        <w:rPr>
          <w:color w:val="202020"/>
          <w:spacing w:val="37"/>
        </w:rPr>
        <w:t xml:space="preserve">  </w:t>
      </w:r>
      <w:proofErr w:type="gramStart"/>
      <w:r>
        <w:rPr>
          <w:color w:val="202020"/>
        </w:rPr>
        <w:t>Antibiotic</w:t>
      </w:r>
      <w:r>
        <w:rPr>
          <w:color w:val="202020"/>
          <w:spacing w:val="35"/>
        </w:rPr>
        <w:t xml:space="preserve">  </w:t>
      </w:r>
      <w:r>
        <w:rPr>
          <w:color w:val="202020"/>
        </w:rPr>
        <w:t>resistance</w:t>
      </w:r>
      <w:proofErr w:type="gramEnd"/>
      <w:r>
        <w:rPr>
          <w:color w:val="202020"/>
        </w:rPr>
        <w:t>-the</w:t>
      </w:r>
      <w:r>
        <w:rPr>
          <w:color w:val="202020"/>
          <w:spacing w:val="39"/>
        </w:rPr>
        <w:t xml:space="preserve">  </w:t>
      </w:r>
      <w:r>
        <w:rPr>
          <w:color w:val="202020"/>
        </w:rPr>
        <w:t>need</w:t>
      </w:r>
      <w:r>
        <w:rPr>
          <w:color w:val="202020"/>
          <w:spacing w:val="37"/>
        </w:rPr>
        <w:t xml:space="preserve">  </w:t>
      </w:r>
      <w:r>
        <w:rPr>
          <w:color w:val="202020"/>
        </w:rPr>
        <w:t>for</w:t>
      </w:r>
      <w:r>
        <w:rPr>
          <w:color w:val="202020"/>
          <w:spacing w:val="38"/>
        </w:rPr>
        <w:t xml:space="preserve">  </w:t>
      </w:r>
      <w:r>
        <w:rPr>
          <w:color w:val="202020"/>
          <w:spacing w:val="-2"/>
        </w:rPr>
        <w:t>global</w:t>
      </w:r>
    </w:p>
    <w:p w:rsidR="00B84776" w:rsidRDefault="00B84776">
      <w:pPr>
        <w:pStyle w:val="BodyText"/>
        <w:spacing w:line="360" w:lineRule="auto"/>
        <w:sectPr w:rsidR="00B84776">
          <w:pgSz w:w="11910" w:h="16840"/>
          <w:pgMar w:top="1360" w:right="1700" w:bottom="280" w:left="1700" w:header="720" w:footer="720" w:gutter="0"/>
          <w:cols w:space="720"/>
        </w:sectPr>
      </w:pPr>
    </w:p>
    <w:p w:rsidR="00B84776" w:rsidRDefault="00C65940">
      <w:pPr>
        <w:spacing w:before="62" w:line="360" w:lineRule="auto"/>
        <w:ind w:left="100" w:right="97"/>
        <w:jc w:val="both"/>
        <w:rPr>
          <w:sz w:val="24"/>
        </w:rPr>
      </w:pPr>
      <w:r>
        <w:rPr>
          <w:color w:val="202020"/>
          <w:sz w:val="24"/>
        </w:rPr>
        <w:lastRenderedPageBreak/>
        <w:t xml:space="preserve">solutions. </w:t>
      </w:r>
      <w:r>
        <w:rPr>
          <w:i/>
          <w:color w:val="202020"/>
          <w:sz w:val="24"/>
        </w:rPr>
        <w:t>The Lancet. Infectious diseases</w:t>
      </w:r>
      <w:r>
        <w:rPr>
          <w:color w:val="202020"/>
          <w:sz w:val="24"/>
        </w:rPr>
        <w:t xml:space="preserve">, </w:t>
      </w:r>
      <w:r>
        <w:rPr>
          <w:i/>
          <w:color w:val="202020"/>
          <w:sz w:val="24"/>
        </w:rPr>
        <w:t>13</w:t>
      </w:r>
      <w:r>
        <w:rPr>
          <w:color w:val="202020"/>
          <w:sz w:val="24"/>
        </w:rPr>
        <w:t xml:space="preserve">(12), 1057–1098. </w:t>
      </w:r>
      <w:hyperlink r:id="rId73">
        <w:r>
          <w:rPr>
            <w:color w:val="0000FF"/>
            <w:spacing w:val="-2"/>
            <w:sz w:val="24"/>
            <w:u w:val="single" w:color="0000FF"/>
          </w:rPr>
          <w:t>https://doi.org/10.1016/S1473-3099(13)70318-9</w:t>
        </w:r>
      </w:hyperlink>
    </w:p>
    <w:p w:rsidR="00B84776" w:rsidRDefault="00C65940">
      <w:pPr>
        <w:pStyle w:val="ListParagraph"/>
        <w:numPr>
          <w:ilvl w:val="0"/>
          <w:numId w:val="3"/>
        </w:numPr>
        <w:tabs>
          <w:tab w:val="left" w:pos="460"/>
        </w:tabs>
        <w:spacing w:line="360" w:lineRule="auto"/>
        <w:ind w:right="97" w:firstLine="0"/>
        <w:rPr>
          <w:color w:val="202020"/>
          <w:sz w:val="24"/>
        </w:rPr>
      </w:pPr>
      <w:proofErr w:type="spellStart"/>
      <w:r>
        <w:rPr>
          <w:color w:val="202020"/>
          <w:sz w:val="24"/>
        </w:rPr>
        <w:t>Woerther</w:t>
      </w:r>
      <w:proofErr w:type="spellEnd"/>
      <w:r>
        <w:rPr>
          <w:color w:val="202020"/>
          <w:sz w:val="24"/>
        </w:rPr>
        <w:t xml:space="preserve">, P. L., </w:t>
      </w:r>
      <w:proofErr w:type="spellStart"/>
      <w:r>
        <w:rPr>
          <w:color w:val="202020"/>
          <w:sz w:val="24"/>
        </w:rPr>
        <w:t>Burdet</w:t>
      </w:r>
      <w:proofErr w:type="spellEnd"/>
      <w:r>
        <w:rPr>
          <w:color w:val="202020"/>
          <w:sz w:val="24"/>
        </w:rPr>
        <w:t xml:space="preserve">, C., </w:t>
      </w:r>
      <w:proofErr w:type="spellStart"/>
      <w:r>
        <w:rPr>
          <w:color w:val="202020"/>
          <w:sz w:val="24"/>
        </w:rPr>
        <w:t>Chachaty</w:t>
      </w:r>
      <w:proofErr w:type="spellEnd"/>
      <w:r>
        <w:rPr>
          <w:color w:val="202020"/>
          <w:sz w:val="24"/>
        </w:rPr>
        <w:t xml:space="preserve">, E., &amp; </w:t>
      </w:r>
      <w:proofErr w:type="spellStart"/>
      <w:r>
        <w:rPr>
          <w:color w:val="202020"/>
          <w:sz w:val="24"/>
        </w:rPr>
        <w:t>Andremont</w:t>
      </w:r>
      <w:proofErr w:type="spellEnd"/>
      <w:r>
        <w:rPr>
          <w:color w:val="202020"/>
          <w:sz w:val="24"/>
        </w:rPr>
        <w:t xml:space="preserve">, A. (2013). Trends in human fecal carriage of extended-spectrum β-lactamases in the community: toward the globalization of CTX-M. </w:t>
      </w:r>
      <w:r>
        <w:rPr>
          <w:i/>
          <w:color w:val="202020"/>
          <w:sz w:val="24"/>
        </w:rPr>
        <w:t xml:space="preserve">Clinical microbiology </w:t>
      </w:r>
      <w:r>
        <w:rPr>
          <w:i/>
          <w:color w:val="202020"/>
          <w:sz w:val="24"/>
        </w:rPr>
        <w:t>reviews</w:t>
      </w:r>
      <w:r>
        <w:rPr>
          <w:color w:val="202020"/>
          <w:sz w:val="24"/>
        </w:rPr>
        <w:t xml:space="preserve">, </w:t>
      </w:r>
      <w:r>
        <w:rPr>
          <w:i/>
          <w:color w:val="202020"/>
          <w:sz w:val="24"/>
        </w:rPr>
        <w:t>26</w:t>
      </w:r>
      <w:r>
        <w:rPr>
          <w:color w:val="202020"/>
          <w:sz w:val="24"/>
        </w:rPr>
        <w:t xml:space="preserve">(4), 744–758. </w:t>
      </w:r>
      <w:r>
        <w:rPr>
          <w:color w:val="202020"/>
          <w:spacing w:val="-2"/>
          <w:sz w:val="24"/>
        </w:rPr>
        <w:t>https://doi.org/10.1128/CMR.00023-13</w:t>
      </w:r>
    </w:p>
    <w:p w:rsidR="00B84776" w:rsidRDefault="00C65940">
      <w:pPr>
        <w:pStyle w:val="ListParagraph"/>
        <w:numPr>
          <w:ilvl w:val="0"/>
          <w:numId w:val="3"/>
        </w:numPr>
        <w:tabs>
          <w:tab w:val="left" w:pos="460"/>
        </w:tabs>
        <w:spacing w:line="360" w:lineRule="auto"/>
        <w:ind w:right="40" w:firstLine="0"/>
        <w:rPr>
          <w:sz w:val="24"/>
        </w:rPr>
      </w:pPr>
      <w:proofErr w:type="spellStart"/>
      <w:r>
        <w:rPr>
          <w:color w:val="202020"/>
          <w:sz w:val="24"/>
        </w:rPr>
        <w:t>Magiorakos</w:t>
      </w:r>
      <w:proofErr w:type="spellEnd"/>
      <w:r>
        <w:rPr>
          <w:color w:val="202020"/>
          <w:sz w:val="24"/>
        </w:rPr>
        <w:t xml:space="preserve">, A. P., Srinivasan, A., Carey, R. B., </w:t>
      </w:r>
      <w:proofErr w:type="spellStart"/>
      <w:r>
        <w:rPr>
          <w:color w:val="202020"/>
          <w:sz w:val="24"/>
        </w:rPr>
        <w:t>Carmeli</w:t>
      </w:r>
      <w:proofErr w:type="spellEnd"/>
      <w:r>
        <w:rPr>
          <w:color w:val="202020"/>
          <w:sz w:val="24"/>
        </w:rPr>
        <w:t xml:space="preserve">, Y., </w:t>
      </w:r>
      <w:proofErr w:type="spellStart"/>
      <w:r>
        <w:rPr>
          <w:color w:val="202020"/>
          <w:sz w:val="24"/>
        </w:rPr>
        <w:t>Falagas</w:t>
      </w:r>
      <w:proofErr w:type="spellEnd"/>
      <w:r>
        <w:rPr>
          <w:color w:val="202020"/>
          <w:sz w:val="24"/>
        </w:rPr>
        <w:t xml:space="preserve">, M. E., </w:t>
      </w:r>
      <w:proofErr w:type="spellStart"/>
      <w:r>
        <w:rPr>
          <w:color w:val="202020"/>
          <w:sz w:val="24"/>
        </w:rPr>
        <w:t>Giske</w:t>
      </w:r>
      <w:proofErr w:type="spellEnd"/>
      <w:r>
        <w:rPr>
          <w:color w:val="202020"/>
          <w:sz w:val="24"/>
        </w:rPr>
        <w:t xml:space="preserve">, C. G., </w:t>
      </w:r>
      <w:proofErr w:type="spellStart"/>
      <w:r>
        <w:rPr>
          <w:color w:val="202020"/>
          <w:sz w:val="24"/>
        </w:rPr>
        <w:t>Harbarth</w:t>
      </w:r>
      <w:proofErr w:type="spellEnd"/>
      <w:r>
        <w:rPr>
          <w:color w:val="202020"/>
          <w:sz w:val="24"/>
        </w:rPr>
        <w:t xml:space="preserve">, S., </w:t>
      </w:r>
      <w:proofErr w:type="spellStart"/>
      <w:r>
        <w:rPr>
          <w:color w:val="202020"/>
          <w:sz w:val="24"/>
        </w:rPr>
        <w:t>Hindler</w:t>
      </w:r>
      <w:proofErr w:type="spellEnd"/>
      <w:r>
        <w:rPr>
          <w:color w:val="202020"/>
          <w:sz w:val="24"/>
        </w:rPr>
        <w:t xml:space="preserve">, J. F., </w:t>
      </w:r>
      <w:proofErr w:type="spellStart"/>
      <w:r>
        <w:rPr>
          <w:color w:val="202020"/>
          <w:sz w:val="24"/>
        </w:rPr>
        <w:t>Kahlmeter</w:t>
      </w:r>
      <w:proofErr w:type="spellEnd"/>
      <w:r>
        <w:rPr>
          <w:color w:val="202020"/>
          <w:sz w:val="24"/>
        </w:rPr>
        <w:t>, G., Olsson-</w:t>
      </w:r>
      <w:proofErr w:type="spellStart"/>
      <w:r>
        <w:rPr>
          <w:color w:val="202020"/>
          <w:sz w:val="24"/>
        </w:rPr>
        <w:t>Liljequist</w:t>
      </w:r>
      <w:proofErr w:type="spellEnd"/>
      <w:r>
        <w:rPr>
          <w:color w:val="202020"/>
          <w:sz w:val="24"/>
        </w:rPr>
        <w:t>, B., Paterson, D. L., Rice, L. B., Stel</w:t>
      </w:r>
      <w:r>
        <w:rPr>
          <w:color w:val="202020"/>
          <w:sz w:val="24"/>
        </w:rPr>
        <w:t xml:space="preserve">ling, J., </w:t>
      </w:r>
      <w:proofErr w:type="spellStart"/>
      <w:r>
        <w:rPr>
          <w:color w:val="202020"/>
          <w:sz w:val="24"/>
        </w:rPr>
        <w:t>Struelens</w:t>
      </w:r>
      <w:proofErr w:type="spellEnd"/>
      <w:r>
        <w:rPr>
          <w:color w:val="202020"/>
          <w:sz w:val="24"/>
        </w:rPr>
        <w:t>, M.</w:t>
      </w:r>
      <w:r>
        <w:rPr>
          <w:color w:val="202020"/>
          <w:spacing w:val="-1"/>
          <w:sz w:val="24"/>
        </w:rPr>
        <w:t xml:space="preserve"> </w:t>
      </w:r>
      <w:r>
        <w:rPr>
          <w:color w:val="202020"/>
          <w:sz w:val="24"/>
        </w:rPr>
        <w:t>J.,</w:t>
      </w:r>
      <w:r>
        <w:rPr>
          <w:color w:val="202020"/>
          <w:spacing w:val="-1"/>
          <w:sz w:val="24"/>
        </w:rPr>
        <w:t xml:space="preserve"> </w:t>
      </w:r>
      <w:proofErr w:type="spellStart"/>
      <w:r>
        <w:rPr>
          <w:color w:val="202020"/>
          <w:sz w:val="24"/>
        </w:rPr>
        <w:t>Vatopoulos</w:t>
      </w:r>
      <w:proofErr w:type="spellEnd"/>
      <w:r>
        <w:rPr>
          <w:color w:val="202020"/>
          <w:sz w:val="24"/>
        </w:rPr>
        <w:t>, A., Weber, J.</w:t>
      </w:r>
      <w:r>
        <w:rPr>
          <w:color w:val="202020"/>
          <w:spacing w:val="-1"/>
          <w:sz w:val="24"/>
        </w:rPr>
        <w:t xml:space="preserve"> </w:t>
      </w:r>
      <w:r>
        <w:rPr>
          <w:color w:val="202020"/>
          <w:sz w:val="24"/>
        </w:rPr>
        <w:t xml:space="preserve">T., &amp; Monnet, D. L. (2012). Multidrug-resistant, extensively drug-resistant and </w:t>
      </w:r>
      <w:proofErr w:type="spellStart"/>
      <w:r>
        <w:rPr>
          <w:color w:val="202020"/>
          <w:sz w:val="24"/>
        </w:rPr>
        <w:t>pandrug</w:t>
      </w:r>
      <w:proofErr w:type="spellEnd"/>
      <w:r>
        <w:rPr>
          <w:color w:val="202020"/>
          <w:sz w:val="24"/>
        </w:rPr>
        <w:t xml:space="preserve">- resistant bacteria: an international expert proposal for interim standard definitions for acquired resistance. </w:t>
      </w:r>
      <w:r>
        <w:rPr>
          <w:i/>
          <w:color w:val="202020"/>
          <w:sz w:val="24"/>
        </w:rPr>
        <w:t>Cl</w:t>
      </w:r>
      <w:r>
        <w:rPr>
          <w:i/>
          <w:color w:val="202020"/>
          <w:sz w:val="24"/>
        </w:rPr>
        <w:t xml:space="preserve">inical microbiology and </w:t>
      </w:r>
      <w:proofErr w:type="gramStart"/>
      <w:r>
        <w:rPr>
          <w:i/>
          <w:color w:val="202020"/>
          <w:sz w:val="24"/>
        </w:rPr>
        <w:t>infection :</w:t>
      </w:r>
      <w:proofErr w:type="gramEnd"/>
      <w:r>
        <w:rPr>
          <w:i/>
          <w:color w:val="202020"/>
          <w:sz w:val="24"/>
        </w:rPr>
        <w:t xml:space="preserve"> the official publication of</w:t>
      </w:r>
      <w:r>
        <w:rPr>
          <w:i/>
          <w:color w:val="202020"/>
          <w:spacing w:val="40"/>
          <w:sz w:val="24"/>
        </w:rPr>
        <w:t xml:space="preserve"> </w:t>
      </w:r>
      <w:r>
        <w:rPr>
          <w:i/>
          <w:color w:val="202020"/>
          <w:sz w:val="24"/>
        </w:rPr>
        <w:t>the European</w:t>
      </w:r>
      <w:r>
        <w:rPr>
          <w:i/>
          <w:color w:val="202020"/>
          <w:spacing w:val="26"/>
          <w:sz w:val="24"/>
        </w:rPr>
        <w:t xml:space="preserve"> </w:t>
      </w:r>
      <w:r>
        <w:rPr>
          <w:i/>
          <w:color w:val="202020"/>
          <w:sz w:val="24"/>
        </w:rPr>
        <w:t>Society</w:t>
      </w:r>
      <w:r>
        <w:rPr>
          <w:i/>
          <w:color w:val="202020"/>
          <w:spacing w:val="25"/>
          <w:sz w:val="24"/>
        </w:rPr>
        <w:t xml:space="preserve"> </w:t>
      </w:r>
      <w:r>
        <w:rPr>
          <w:i/>
          <w:color w:val="202020"/>
          <w:sz w:val="24"/>
        </w:rPr>
        <w:t>of</w:t>
      </w:r>
      <w:r>
        <w:rPr>
          <w:i/>
          <w:color w:val="202020"/>
          <w:spacing w:val="26"/>
          <w:sz w:val="24"/>
        </w:rPr>
        <w:t xml:space="preserve"> </w:t>
      </w:r>
      <w:r>
        <w:rPr>
          <w:i/>
          <w:color w:val="202020"/>
          <w:sz w:val="24"/>
        </w:rPr>
        <w:t>Clinical</w:t>
      </w:r>
      <w:r>
        <w:rPr>
          <w:i/>
          <w:color w:val="202020"/>
          <w:spacing w:val="24"/>
          <w:sz w:val="24"/>
        </w:rPr>
        <w:t xml:space="preserve"> </w:t>
      </w:r>
      <w:r>
        <w:rPr>
          <w:i/>
          <w:color w:val="202020"/>
          <w:sz w:val="24"/>
        </w:rPr>
        <w:t>Microbiology</w:t>
      </w:r>
      <w:r>
        <w:rPr>
          <w:i/>
          <w:color w:val="202020"/>
          <w:spacing w:val="25"/>
          <w:sz w:val="24"/>
        </w:rPr>
        <w:t xml:space="preserve"> </w:t>
      </w:r>
      <w:r>
        <w:rPr>
          <w:i/>
          <w:color w:val="202020"/>
          <w:sz w:val="24"/>
        </w:rPr>
        <w:t>and Infectious</w:t>
      </w:r>
      <w:r>
        <w:rPr>
          <w:i/>
          <w:color w:val="202020"/>
          <w:spacing w:val="28"/>
          <w:sz w:val="24"/>
        </w:rPr>
        <w:t xml:space="preserve"> </w:t>
      </w:r>
      <w:r>
        <w:rPr>
          <w:i/>
          <w:color w:val="202020"/>
          <w:sz w:val="24"/>
        </w:rPr>
        <w:t>Diseases</w:t>
      </w:r>
      <w:r>
        <w:rPr>
          <w:color w:val="202020"/>
          <w:sz w:val="24"/>
        </w:rPr>
        <w:t>,</w:t>
      </w:r>
      <w:r>
        <w:rPr>
          <w:color w:val="202020"/>
          <w:spacing w:val="26"/>
          <w:sz w:val="24"/>
        </w:rPr>
        <w:t xml:space="preserve"> </w:t>
      </w:r>
      <w:r>
        <w:rPr>
          <w:i/>
          <w:color w:val="202020"/>
          <w:sz w:val="24"/>
        </w:rPr>
        <w:t>18</w:t>
      </w:r>
      <w:r>
        <w:rPr>
          <w:color w:val="202020"/>
          <w:sz w:val="24"/>
        </w:rPr>
        <w:t>(3), 268–</w:t>
      </w:r>
    </w:p>
    <w:p w:rsidR="00B84776" w:rsidRDefault="00C65940">
      <w:pPr>
        <w:pStyle w:val="BodyText"/>
      </w:pPr>
      <w:r>
        <w:rPr>
          <w:color w:val="202020"/>
        </w:rPr>
        <w:t>281.</w:t>
      </w:r>
      <w:r>
        <w:rPr>
          <w:color w:val="202020"/>
          <w:spacing w:val="-7"/>
        </w:rPr>
        <w:t xml:space="preserve"> </w:t>
      </w:r>
      <w:hyperlink r:id="rId74">
        <w:r>
          <w:rPr>
            <w:color w:val="0000FF"/>
            <w:u w:val="single" w:color="0000FF"/>
          </w:rPr>
          <w:t>https://doi.org/10.1111/j.1469-</w:t>
        </w:r>
        <w:r>
          <w:rPr>
            <w:color w:val="0000FF"/>
            <w:spacing w:val="-2"/>
            <w:u w:val="single" w:color="0000FF"/>
          </w:rPr>
          <w:t>0691.2011.03570.x</w:t>
        </w:r>
      </w:hyperlink>
    </w:p>
    <w:p w:rsidR="00B84776" w:rsidRDefault="00C65940">
      <w:pPr>
        <w:pStyle w:val="ListParagraph"/>
        <w:numPr>
          <w:ilvl w:val="0"/>
          <w:numId w:val="3"/>
        </w:numPr>
        <w:tabs>
          <w:tab w:val="left" w:pos="460"/>
        </w:tabs>
        <w:spacing w:before="136" w:line="360" w:lineRule="auto"/>
        <w:ind w:right="97" w:firstLine="0"/>
        <w:rPr>
          <w:sz w:val="24"/>
        </w:rPr>
      </w:pPr>
      <w:r>
        <w:rPr>
          <w:sz w:val="24"/>
        </w:rPr>
        <w:t>Subcommittee on Urinary Tract Infection, Steering Committee on Quality Improvement and Management, Roberts, K. B. (2011). Urinary tract infection:</w:t>
      </w:r>
      <w:r>
        <w:rPr>
          <w:spacing w:val="80"/>
          <w:sz w:val="24"/>
        </w:rPr>
        <w:t xml:space="preserve"> </w:t>
      </w:r>
      <w:r>
        <w:rPr>
          <w:sz w:val="24"/>
        </w:rPr>
        <w:t>clinical practice guideline for the diagnosis and management of the initial UTI in febri</w:t>
      </w:r>
      <w:r>
        <w:rPr>
          <w:sz w:val="24"/>
        </w:rPr>
        <w:t>le infants and children 2 to 24 months. Pediatrics, 128(3), 595–610.</w:t>
      </w:r>
    </w:p>
    <w:p w:rsidR="00B84776" w:rsidRDefault="00C65940">
      <w:pPr>
        <w:pStyle w:val="ListParagraph"/>
        <w:numPr>
          <w:ilvl w:val="0"/>
          <w:numId w:val="3"/>
        </w:numPr>
        <w:tabs>
          <w:tab w:val="left" w:pos="460"/>
        </w:tabs>
        <w:spacing w:line="360" w:lineRule="auto"/>
        <w:ind w:right="102" w:firstLine="0"/>
        <w:rPr>
          <w:color w:val="202020"/>
          <w:sz w:val="24"/>
        </w:rPr>
      </w:pPr>
      <w:r>
        <w:rPr>
          <w:sz w:val="24"/>
        </w:rPr>
        <w:t>CLSI. (2023). Performance Standards for Antimicrobial Susceptibility Testing. Clinical and Laboratory Standards Institute.</w:t>
      </w:r>
    </w:p>
    <w:p w:rsidR="00B84776" w:rsidRDefault="00C65940">
      <w:pPr>
        <w:pStyle w:val="ListParagraph"/>
        <w:numPr>
          <w:ilvl w:val="0"/>
          <w:numId w:val="3"/>
        </w:numPr>
        <w:tabs>
          <w:tab w:val="left" w:pos="460"/>
        </w:tabs>
        <w:spacing w:line="360" w:lineRule="auto"/>
        <w:ind w:right="99" w:firstLine="0"/>
        <w:rPr>
          <w:color w:val="202020"/>
          <w:sz w:val="24"/>
        </w:rPr>
      </w:pPr>
      <w:proofErr w:type="spellStart"/>
      <w:r>
        <w:rPr>
          <w:color w:val="202020"/>
          <w:sz w:val="24"/>
        </w:rPr>
        <w:t>Pitout</w:t>
      </w:r>
      <w:proofErr w:type="spellEnd"/>
      <w:r>
        <w:rPr>
          <w:color w:val="202020"/>
          <w:sz w:val="24"/>
        </w:rPr>
        <w:t xml:space="preserve">, J. D., &amp; </w:t>
      </w:r>
      <w:proofErr w:type="spellStart"/>
      <w:r>
        <w:rPr>
          <w:color w:val="202020"/>
          <w:sz w:val="24"/>
        </w:rPr>
        <w:t>Laupland</w:t>
      </w:r>
      <w:proofErr w:type="spellEnd"/>
      <w:r>
        <w:rPr>
          <w:color w:val="202020"/>
          <w:sz w:val="24"/>
        </w:rPr>
        <w:t xml:space="preserve">, K. B. (2008). Extended-spectrum beta-lactamase- producing Enterobacteriaceae: an emerging public-health concern. </w:t>
      </w:r>
      <w:r>
        <w:rPr>
          <w:i/>
          <w:color w:val="202020"/>
          <w:sz w:val="24"/>
        </w:rPr>
        <w:t>The Lancet. Infectious diseases</w:t>
      </w:r>
      <w:r>
        <w:rPr>
          <w:color w:val="202020"/>
          <w:sz w:val="24"/>
        </w:rPr>
        <w:t xml:space="preserve">, </w:t>
      </w:r>
      <w:r>
        <w:rPr>
          <w:i/>
          <w:color w:val="202020"/>
          <w:sz w:val="24"/>
        </w:rPr>
        <w:t>8</w:t>
      </w:r>
      <w:r>
        <w:rPr>
          <w:color w:val="202020"/>
          <w:sz w:val="24"/>
        </w:rPr>
        <w:t xml:space="preserve">(3), 159–166. </w:t>
      </w:r>
      <w:hyperlink r:id="rId75">
        <w:r>
          <w:rPr>
            <w:color w:val="0000FF"/>
            <w:sz w:val="24"/>
            <w:u w:val="single" w:color="0000FF"/>
          </w:rPr>
          <w:t>https:</w:t>
        </w:r>
        <w:r>
          <w:rPr>
            <w:color w:val="0000FF"/>
            <w:sz w:val="24"/>
            <w:u w:val="single" w:color="0000FF"/>
          </w:rPr>
          <w:t>//doi.org/10.1016/S1473-3099(08)70041-0</w:t>
        </w:r>
      </w:hyperlink>
    </w:p>
    <w:p w:rsidR="00B84776" w:rsidRDefault="00C65940">
      <w:pPr>
        <w:pStyle w:val="ListParagraph"/>
        <w:numPr>
          <w:ilvl w:val="0"/>
          <w:numId w:val="3"/>
        </w:numPr>
        <w:tabs>
          <w:tab w:val="left" w:pos="460"/>
        </w:tabs>
        <w:spacing w:before="1" w:line="360" w:lineRule="auto"/>
        <w:ind w:right="97" w:firstLine="0"/>
        <w:rPr>
          <w:sz w:val="24"/>
        </w:rPr>
      </w:pPr>
      <w:proofErr w:type="spellStart"/>
      <w:r>
        <w:rPr>
          <w:color w:val="202020"/>
          <w:sz w:val="24"/>
        </w:rPr>
        <w:t>Giske</w:t>
      </w:r>
      <w:proofErr w:type="spellEnd"/>
      <w:r>
        <w:rPr>
          <w:color w:val="202020"/>
          <w:sz w:val="24"/>
        </w:rPr>
        <w:t xml:space="preserve">, C. G., </w:t>
      </w:r>
      <w:proofErr w:type="spellStart"/>
      <w:r>
        <w:rPr>
          <w:color w:val="202020"/>
          <w:sz w:val="24"/>
        </w:rPr>
        <w:t>Sundsfjord</w:t>
      </w:r>
      <w:proofErr w:type="spellEnd"/>
      <w:r>
        <w:rPr>
          <w:color w:val="202020"/>
          <w:sz w:val="24"/>
        </w:rPr>
        <w:t xml:space="preserve">, A. S., </w:t>
      </w:r>
      <w:proofErr w:type="spellStart"/>
      <w:r>
        <w:rPr>
          <w:color w:val="202020"/>
          <w:sz w:val="24"/>
        </w:rPr>
        <w:t>Kahlmeter</w:t>
      </w:r>
      <w:proofErr w:type="spellEnd"/>
      <w:r>
        <w:rPr>
          <w:color w:val="202020"/>
          <w:sz w:val="24"/>
        </w:rPr>
        <w:t xml:space="preserve">, G., Woodford, N., </w:t>
      </w:r>
      <w:proofErr w:type="spellStart"/>
      <w:r>
        <w:rPr>
          <w:color w:val="202020"/>
          <w:sz w:val="24"/>
        </w:rPr>
        <w:t>Nordmann</w:t>
      </w:r>
      <w:proofErr w:type="spellEnd"/>
      <w:r>
        <w:rPr>
          <w:color w:val="202020"/>
          <w:sz w:val="24"/>
        </w:rPr>
        <w:t xml:space="preserve">, P., Paterson, D. L., </w:t>
      </w:r>
      <w:proofErr w:type="spellStart"/>
      <w:r>
        <w:rPr>
          <w:color w:val="202020"/>
          <w:sz w:val="24"/>
        </w:rPr>
        <w:t>Cantón</w:t>
      </w:r>
      <w:proofErr w:type="spellEnd"/>
      <w:r>
        <w:rPr>
          <w:color w:val="202020"/>
          <w:sz w:val="24"/>
        </w:rPr>
        <w:t xml:space="preserve">, R., &amp; Walsh, T. R. (2009). Redefining extended-spectrum beta-lactamases: balancing science and clinical need. </w:t>
      </w:r>
      <w:r>
        <w:rPr>
          <w:i/>
          <w:color w:val="202020"/>
          <w:sz w:val="24"/>
        </w:rPr>
        <w:t>The Journal of antimicrobial chemotherapy</w:t>
      </w:r>
      <w:r>
        <w:rPr>
          <w:color w:val="202020"/>
          <w:sz w:val="24"/>
        </w:rPr>
        <w:t xml:space="preserve">, </w:t>
      </w:r>
      <w:r>
        <w:rPr>
          <w:i/>
          <w:color w:val="202020"/>
          <w:sz w:val="24"/>
        </w:rPr>
        <w:t>63</w:t>
      </w:r>
      <w:r>
        <w:rPr>
          <w:color w:val="202020"/>
          <w:sz w:val="24"/>
        </w:rPr>
        <w:t xml:space="preserve">(1), 1–4. </w:t>
      </w:r>
      <w:hyperlink r:id="rId76">
        <w:r>
          <w:rPr>
            <w:color w:val="0000FF"/>
            <w:sz w:val="24"/>
            <w:u w:val="single" w:color="0000FF"/>
          </w:rPr>
          <w:t>https://doi.org/10.1093/jac/dkn444</w:t>
        </w:r>
      </w:hyperlink>
    </w:p>
    <w:p w:rsidR="00B84776" w:rsidRDefault="00C65940">
      <w:pPr>
        <w:pStyle w:val="ListParagraph"/>
        <w:numPr>
          <w:ilvl w:val="0"/>
          <w:numId w:val="3"/>
        </w:numPr>
        <w:tabs>
          <w:tab w:val="left" w:pos="460"/>
        </w:tabs>
        <w:spacing w:before="1" w:line="360" w:lineRule="auto"/>
        <w:ind w:right="97" w:firstLine="0"/>
        <w:rPr>
          <w:color w:val="1B1B1B"/>
          <w:sz w:val="24"/>
        </w:rPr>
      </w:pPr>
      <w:proofErr w:type="spellStart"/>
      <w:r>
        <w:rPr>
          <w:color w:val="202020"/>
          <w:sz w:val="24"/>
        </w:rPr>
        <w:t>Notomi</w:t>
      </w:r>
      <w:proofErr w:type="spellEnd"/>
      <w:r>
        <w:rPr>
          <w:color w:val="202020"/>
          <w:sz w:val="24"/>
        </w:rPr>
        <w:t xml:space="preserve">, T., Okayama, H., </w:t>
      </w:r>
      <w:proofErr w:type="spellStart"/>
      <w:r>
        <w:rPr>
          <w:color w:val="202020"/>
          <w:sz w:val="24"/>
        </w:rPr>
        <w:t>Masubuchi</w:t>
      </w:r>
      <w:proofErr w:type="spellEnd"/>
      <w:r>
        <w:rPr>
          <w:color w:val="202020"/>
          <w:sz w:val="24"/>
        </w:rPr>
        <w:t xml:space="preserve">, H., </w:t>
      </w:r>
      <w:proofErr w:type="spellStart"/>
      <w:r>
        <w:rPr>
          <w:color w:val="202020"/>
          <w:sz w:val="24"/>
        </w:rPr>
        <w:t>Yonekawa</w:t>
      </w:r>
      <w:proofErr w:type="spellEnd"/>
      <w:r>
        <w:rPr>
          <w:color w:val="202020"/>
          <w:sz w:val="24"/>
        </w:rPr>
        <w:t xml:space="preserve">, T., Watanabe, K., Amino, N., &amp; </w:t>
      </w:r>
      <w:proofErr w:type="spellStart"/>
      <w:r>
        <w:rPr>
          <w:color w:val="202020"/>
          <w:sz w:val="24"/>
        </w:rPr>
        <w:t>Hase</w:t>
      </w:r>
      <w:proofErr w:type="spellEnd"/>
      <w:r>
        <w:rPr>
          <w:color w:val="202020"/>
          <w:sz w:val="24"/>
        </w:rPr>
        <w:t xml:space="preserve">, T. (2000). Loop-mediated </w:t>
      </w:r>
      <w:r>
        <w:rPr>
          <w:color w:val="202020"/>
          <w:sz w:val="24"/>
        </w:rPr>
        <w:t xml:space="preserve">isothermal amplification of DNA. </w:t>
      </w:r>
      <w:r>
        <w:rPr>
          <w:i/>
          <w:color w:val="202020"/>
          <w:sz w:val="24"/>
        </w:rPr>
        <w:t>Nucleic acids research</w:t>
      </w:r>
      <w:r>
        <w:rPr>
          <w:color w:val="202020"/>
          <w:sz w:val="24"/>
        </w:rPr>
        <w:t xml:space="preserve">, </w:t>
      </w:r>
      <w:r>
        <w:rPr>
          <w:i/>
          <w:color w:val="202020"/>
          <w:sz w:val="24"/>
        </w:rPr>
        <w:t>28</w:t>
      </w:r>
      <w:r>
        <w:rPr>
          <w:color w:val="202020"/>
          <w:sz w:val="24"/>
        </w:rPr>
        <w:t xml:space="preserve">(12), E63. </w:t>
      </w:r>
      <w:hyperlink r:id="rId77">
        <w:r>
          <w:rPr>
            <w:color w:val="0000FF"/>
            <w:sz w:val="24"/>
            <w:u w:val="single" w:color="0000FF"/>
          </w:rPr>
          <w:t>https://doi.org/10.1093/nar/28.12.e63</w:t>
        </w:r>
      </w:hyperlink>
    </w:p>
    <w:p w:rsidR="00B84776" w:rsidRDefault="00C65940">
      <w:pPr>
        <w:pStyle w:val="ListParagraph"/>
        <w:numPr>
          <w:ilvl w:val="0"/>
          <w:numId w:val="3"/>
        </w:numPr>
        <w:tabs>
          <w:tab w:val="left" w:pos="460"/>
        </w:tabs>
        <w:spacing w:line="360" w:lineRule="auto"/>
        <w:ind w:right="101" w:firstLine="0"/>
        <w:rPr>
          <w:sz w:val="24"/>
        </w:rPr>
      </w:pPr>
      <w:r>
        <w:rPr>
          <w:color w:val="1B1B1B"/>
          <w:sz w:val="24"/>
        </w:rPr>
        <w:t>Chen, H., Liu, K., Li, Z., &amp; Wang, P. (2019). Point of care testing for infectious diseases</w:t>
      </w:r>
      <w:r>
        <w:rPr>
          <w:color w:val="1B1B1B"/>
          <w:sz w:val="24"/>
        </w:rPr>
        <w:t>.</w:t>
      </w:r>
      <w:r>
        <w:rPr>
          <w:color w:val="1B1B1B"/>
          <w:spacing w:val="12"/>
          <w:sz w:val="24"/>
        </w:rPr>
        <w:t xml:space="preserve"> </w:t>
      </w:r>
      <w:proofErr w:type="spellStart"/>
      <w:r>
        <w:rPr>
          <w:i/>
          <w:color w:val="1B1B1B"/>
          <w:sz w:val="24"/>
        </w:rPr>
        <w:t>Clinica</w:t>
      </w:r>
      <w:proofErr w:type="spellEnd"/>
      <w:r>
        <w:rPr>
          <w:i/>
          <w:color w:val="1B1B1B"/>
          <w:spacing w:val="13"/>
          <w:sz w:val="24"/>
        </w:rPr>
        <w:t xml:space="preserve"> </w:t>
      </w:r>
      <w:proofErr w:type="spellStart"/>
      <w:r>
        <w:rPr>
          <w:i/>
          <w:color w:val="1B1B1B"/>
          <w:sz w:val="24"/>
        </w:rPr>
        <w:t>chimica</w:t>
      </w:r>
      <w:proofErr w:type="spellEnd"/>
      <w:r>
        <w:rPr>
          <w:i/>
          <w:color w:val="1B1B1B"/>
          <w:spacing w:val="13"/>
          <w:sz w:val="24"/>
        </w:rPr>
        <w:t xml:space="preserve"> </w:t>
      </w:r>
      <w:r>
        <w:rPr>
          <w:i/>
          <w:color w:val="1B1B1B"/>
          <w:sz w:val="24"/>
        </w:rPr>
        <w:t>acta;</w:t>
      </w:r>
      <w:r>
        <w:rPr>
          <w:i/>
          <w:color w:val="1B1B1B"/>
          <w:spacing w:val="11"/>
          <w:sz w:val="24"/>
        </w:rPr>
        <w:t xml:space="preserve"> </w:t>
      </w:r>
      <w:r>
        <w:rPr>
          <w:i/>
          <w:color w:val="1B1B1B"/>
          <w:sz w:val="24"/>
        </w:rPr>
        <w:t>international</w:t>
      </w:r>
      <w:r>
        <w:rPr>
          <w:i/>
          <w:color w:val="1B1B1B"/>
          <w:spacing w:val="11"/>
          <w:sz w:val="24"/>
        </w:rPr>
        <w:t xml:space="preserve"> </w:t>
      </w:r>
      <w:r>
        <w:rPr>
          <w:i/>
          <w:color w:val="1B1B1B"/>
          <w:sz w:val="24"/>
        </w:rPr>
        <w:t>journal</w:t>
      </w:r>
      <w:r>
        <w:rPr>
          <w:i/>
          <w:color w:val="1B1B1B"/>
          <w:spacing w:val="13"/>
          <w:sz w:val="24"/>
        </w:rPr>
        <w:t xml:space="preserve"> </w:t>
      </w:r>
      <w:r>
        <w:rPr>
          <w:i/>
          <w:color w:val="1B1B1B"/>
          <w:sz w:val="24"/>
        </w:rPr>
        <w:t>of</w:t>
      </w:r>
      <w:r>
        <w:rPr>
          <w:i/>
          <w:color w:val="1B1B1B"/>
          <w:spacing w:val="10"/>
          <w:sz w:val="24"/>
        </w:rPr>
        <w:t xml:space="preserve"> </w:t>
      </w:r>
      <w:r>
        <w:rPr>
          <w:i/>
          <w:color w:val="1B1B1B"/>
          <w:sz w:val="24"/>
        </w:rPr>
        <w:t>clinical</w:t>
      </w:r>
      <w:r>
        <w:rPr>
          <w:i/>
          <w:color w:val="1B1B1B"/>
          <w:spacing w:val="13"/>
          <w:sz w:val="24"/>
        </w:rPr>
        <w:t xml:space="preserve"> </w:t>
      </w:r>
      <w:r>
        <w:rPr>
          <w:i/>
          <w:color w:val="1B1B1B"/>
          <w:sz w:val="24"/>
        </w:rPr>
        <w:t>chemistry</w:t>
      </w:r>
      <w:r>
        <w:rPr>
          <w:color w:val="1B1B1B"/>
          <w:sz w:val="24"/>
        </w:rPr>
        <w:t>,</w:t>
      </w:r>
      <w:r>
        <w:rPr>
          <w:color w:val="1B1B1B"/>
          <w:spacing w:val="13"/>
          <w:sz w:val="24"/>
        </w:rPr>
        <w:t xml:space="preserve"> </w:t>
      </w:r>
      <w:r>
        <w:rPr>
          <w:i/>
          <w:color w:val="1B1B1B"/>
          <w:sz w:val="24"/>
        </w:rPr>
        <w:t>493</w:t>
      </w:r>
      <w:r>
        <w:rPr>
          <w:color w:val="1B1B1B"/>
          <w:sz w:val="24"/>
        </w:rPr>
        <w:t>,</w:t>
      </w:r>
      <w:r>
        <w:rPr>
          <w:color w:val="1B1B1B"/>
          <w:spacing w:val="11"/>
          <w:sz w:val="24"/>
        </w:rPr>
        <w:t xml:space="preserve"> </w:t>
      </w:r>
      <w:r>
        <w:rPr>
          <w:color w:val="1B1B1B"/>
          <w:spacing w:val="-4"/>
          <w:sz w:val="24"/>
        </w:rPr>
        <w:t>138–</w:t>
      </w:r>
    </w:p>
    <w:p w:rsidR="00B84776" w:rsidRDefault="00C65940">
      <w:pPr>
        <w:pStyle w:val="BodyText"/>
      </w:pPr>
      <w:r>
        <w:rPr>
          <w:color w:val="1B1B1B"/>
        </w:rPr>
        <w:t xml:space="preserve">147. </w:t>
      </w:r>
      <w:hyperlink r:id="rId78">
        <w:r>
          <w:rPr>
            <w:color w:val="0000FF"/>
            <w:spacing w:val="-2"/>
            <w:u w:val="single" w:color="0000FF"/>
          </w:rPr>
          <w:t>https://doi.org/10.1016/j.cca.2019.03.008</w:t>
        </w:r>
      </w:hyperlink>
    </w:p>
    <w:p w:rsidR="00B84776" w:rsidRDefault="00B84776">
      <w:pPr>
        <w:pStyle w:val="BodyText"/>
        <w:sectPr w:rsidR="00B84776">
          <w:pgSz w:w="11910" w:h="16840"/>
          <w:pgMar w:top="1360" w:right="1700" w:bottom="280" w:left="1700" w:header="720" w:footer="720" w:gutter="0"/>
          <w:cols w:space="720"/>
        </w:sectPr>
      </w:pPr>
    </w:p>
    <w:p w:rsidR="00B84776" w:rsidRDefault="00C65940">
      <w:pPr>
        <w:pStyle w:val="ListParagraph"/>
        <w:numPr>
          <w:ilvl w:val="0"/>
          <w:numId w:val="3"/>
        </w:numPr>
        <w:tabs>
          <w:tab w:val="left" w:pos="460"/>
        </w:tabs>
        <w:spacing w:before="62" w:line="360" w:lineRule="auto"/>
        <w:ind w:right="97" w:firstLine="0"/>
        <w:rPr>
          <w:color w:val="202020"/>
          <w:sz w:val="24"/>
        </w:rPr>
      </w:pPr>
      <w:proofErr w:type="spellStart"/>
      <w:r>
        <w:rPr>
          <w:sz w:val="24"/>
        </w:rPr>
        <w:lastRenderedPageBreak/>
        <w:t>Sunmonu</w:t>
      </w:r>
      <w:proofErr w:type="spellEnd"/>
      <w:r>
        <w:rPr>
          <w:sz w:val="24"/>
        </w:rPr>
        <w:t>,</w:t>
      </w:r>
      <w:r>
        <w:rPr>
          <w:spacing w:val="-3"/>
          <w:sz w:val="24"/>
        </w:rPr>
        <w:t xml:space="preserve"> </w:t>
      </w:r>
      <w:r>
        <w:rPr>
          <w:sz w:val="24"/>
        </w:rPr>
        <w:t>A.</w:t>
      </w:r>
      <w:r>
        <w:rPr>
          <w:spacing w:val="-1"/>
          <w:sz w:val="24"/>
        </w:rPr>
        <w:t xml:space="preserve"> </w:t>
      </w:r>
      <w:r>
        <w:rPr>
          <w:sz w:val="24"/>
        </w:rPr>
        <w:t>and</w:t>
      </w:r>
      <w:r>
        <w:rPr>
          <w:spacing w:val="-1"/>
          <w:sz w:val="24"/>
        </w:rPr>
        <w:t xml:space="preserve"> </w:t>
      </w:r>
      <w:proofErr w:type="spellStart"/>
      <w:r>
        <w:rPr>
          <w:sz w:val="24"/>
        </w:rPr>
        <w:t>Ekpunobi</w:t>
      </w:r>
      <w:proofErr w:type="spellEnd"/>
      <w:r>
        <w:rPr>
          <w:sz w:val="24"/>
        </w:rPr>
        <w:t>,</w:t>
      </w:r>
      <w:r>
        <w:rPr>
          <w:spacing w:val="-1"/>
          <w:sz w:val="24"/>
        </w:rPr>
        <w:t xml:space="preserve"> </w:t>
      </w:r>
      <w:r>
        <w:rPr>
          <w:sz w:val="24"/>
        </w:rPr>
        <w:t>N.</w:t>
      </w:r>
      <w:r>
        <w:rPr>
          <w:spacing w:val="-1"/>
          <w:sz w:val="24"/>
        </w:rPr>
        <w:t xml:space="preserve"> </w:t>
      </w:r>
      <w:r>
        <w:rPr>
          <w:sz w:val="24"/>
        </w:rPr>
        <w:t>(2023). Larvicidal</w:t>
      </w:r>
      <w:r>
        <w:rPr>
          <w:spacing w:val="-1"/>
          <w:sz w:val="24"/>
        </w:rPr>
        <w:t xml:space="preserve"> </w:t>
      </w:r>
      <w:r>
        <w:rPr>
          <w:sz w:val="24"/>
        </w:rPr>
        <w:t>potential</w:t>
      </w:r>
      <w:r>
        <w:rPr>
          <w:spacing w:val="-3"/>
          <w:sz w:val="24"/>
        </w:rPr>
        <w:t xml:space="preserve"> </w:t>
      </w:r>
      <w:r>
        <w:rPr>
          <w:sz w:val="24"/>
        </w:rPr>
        <w:t>of silver</w:t>
      </w:r>
      <w:r>
        <w:rPr>
          <w:spacing w:val="-4"/>
          <w:sz w:val="24"/>
        </w:rPr>
        <w:t xml:space="preserve"> </w:t>
      </w:r>
      <w:r>
        <w:rPr>
          <w:sz w:val="24"/>
        </w:rPr>
        <w:t xml:space="preserve">nanoparticles synthesized from </w:t>
      </w:r>
      <w:proofErr w:type="spellStart"/>
      <w:r>
        <w:rPr>
          <w:i/>
          <w:sz w:val="24"/>
        </w:rPr>
        <w:t>Ocimum</w:t>
      </w:r>
      <w:proofErr w:type="spellEnd"/>
      <w:r>
        <w:rPr>
          <w:i/>
          <w:sz w:val="24"/>
        </w:rPr>
        <w:t xml:space="preserve"> </w:t>
      </w:r>
      <w:proofErr w:type="spellStart"/>
      <w:r>
        <w:rPr>
          <w:i/>
          <w:sz w:val="24"/>
        </w:rPr>
        <w:t>gratissimum</w:t>
      </w:r>
      <w:proofErr w:type="spellEnd"/>
      <w:r>
        <w:rPr>
          <w:i/>
          <w:sz w:val="24"/>
        </w:rPr>
        <w:t xml:space="preserve"> </w:t>
      </w:r>
      <w:r>
        <w:rPr>
          <w:sz w:val="24"/>
        </w:rPr>
        <w:t>leaf extracts against anopheles' mosquito.</w:t>
      </w:r>
      <w:r>
        <w:rPr>
          <w:spacing w:val="40"/>
          <w:sz w:val="24"/>
        </w:rPr>
        <w:t xml:space="preserve"> </w:t>
      </w:r>
      <w:r>
        <w:rPr>
          <w:i/>
          <w:sz w:val="24"/>
        </w:rPr>
        <w:t>GSC Biological and Pharmaceutical Sciences</w:t>
      </w:r>
      <w:r>
        <w:rPr>
          <w:sz w:val="24"/>
        </w:rPr>
        <w:t xml:space="preserve">. 25. 41-48. </w:t>
      </w:r>
      <w:hyperlink r:id="rId79">
        <w:r>
          <w:rPr>
            <w:color w:val="0000FF"/>
            <w:spacing w:val="-2"/>
            <w:sz w:val="24"/>
            <w:u w:val="single" w:color="0000FF"/>
          </w:rPr>
          <w:t>https://doi.org/10.30574/</w:t>
        </w:r>
        <w:r>
          <w:rPr>
            <w:color w:val="0000FF"/>
            <w:spacing w:val="-2"/>
            <w:sz w:val="24"/>
            <w:u w:val="single" w:color="0000FF"/>
          </w:rPr>
          <w:t>gscbps.2023.25.3.0517</w:t>
        </w:r>
      </w:hyperlink>
    </w:p>
    <w:p w:rsidR="00B84776" w:rsidRDefault="00C65940">
      <w:pPr>
        <w:pStyle w:val="ListParagraph"/>
        <w:numPr>
          <w:ilvl w:val="0"/>
          <w:numId w:val="3"/>
        </w:numPr>
        <w:tabs>
          <w:tab w:val="left" w:pos="460"/>
          <w:tab w:val="left" w:pos="1739"/>
          <w:tab w:val="left" w:pos="3479"/>
          <w:tab w:val="left" w:pos="4851"/>
          <w:tab w:val="left" w:pos="6824"/>
          <w:tab w:val="left" w:pos="7986"/>
        </w:tabs>
        <w:spacing w:line="360" w:lineRule="auto"/>
        <w:ind w:right="97" w:firstLine="0"/>
        <w:rPr>
          <w:color w:val="202020"/>
          <w:sz w:val="24"/>
        </w:rPr>
      </w:pPr>
      <w:proofErr w:type="spellStart"/>
      <w:r>
        <w:rPr>
          <w:color w:val="202020"/>
          <w:sz w:val="24"/>
        </w:rPr>
        <w:t>Gajdács</w:t>
      </w:r>
      <w:proofErr w:type="spellEnd"/>
      <w:r>
        <w:rPr>
          <w:color w:val="202020"/>
          <w:sz w:val="24"/>
        </w:rPr>
        <w:t xml:space="preserve">, M., </w:t>
      </w:r>
      <w:proofErr w:type="spellStart"/>
      <w:r>
        <w:rPr>
          <w:color w:val="202020"/>
          <w:sz w:val="24"/>
        </w:rPr>
        <w:t>Burián</w:t>
      </w:r>
      <w:proofErr w:type="spellEnd"/>
      <w:r>
        <w:rPr>
          <w:color w:val="202020"/>
          <w:sz w:val="24"/>
        </w:rPr>
        <w:t xml:space="preserve">, K., &amp; </w:t>
      </w:r>
      <w:proofErr w:type="spellStart"/>
      <w:r>
        <w:rPr>
          <w:color w:val="202020"/>
          <w:sz w:val="24"/>
        </w:rPr>
        <w:t>Terhes</w:t>
      </w:r>
      <w:proofErr w:type="spellEnd"/>
      <w:r>
        <w:rPr>
          <w:color w:val="202020"/>
          <w:sz w:val="24"/>
        </w:rPr>
        <w:t>, G. (2019). Resistance Levels and Epidemiology of Non-Fermenting Gram-Negative Bacteria in Urinary Tract</w:t>
      </w:r>
      <w:r>
        <w:rPr>
          <w:color w:val="202020"/>
          <w:spacing w:val="40"/>
          <w:sz w:val="24"/>
        </w:rPr>
        <w:t xml:space="preserve"> </w:t>
      </w:r>
      <w:r>
        <w:rPr>
          <w:color w:val="202020"/>
          <w:sz w:val="24"/>
        </w:rPr>
        <w:t xml:space="preserve">Infections of Inpatients and Outpatients (RENFUTI): A 10-Year Epidemiological </w:t>
      </w:r>
      <w:r>
        <w:rPr>
          <w:color w:val="202020"/>
          <w:spacing w:val="-2"/>
          <w:sz w:val="24"/>
        </w:rPr>
        <w:t>Snapshot.</w:t>
      </w:r>
      <w:r>
        <w:rPr>
          <w:color w:val="202020"/>
          <w:sz w:val="24"/>
        </w:rPr>
        <w:tab/>
      </w:r>
      <w:r>
        <w:rPr>
          <w:i/>
          <w:color w:val="202020"/>
          <w:spacing w:val="-2"/>
          <w:sz w:val="24"/>
        </w:rPr>
        <w:t>Anti</w:t>
      </w:r>
      <w:r>
        <w:rPr>
          <w:i/>
          <w:color w:val="202020"/>
          <w:spacing w:val="-2"/>
          <w:sz w:val="24"/>
        </w:rPr>
        <w:t>biotics</w:t>
      </w:r>
      <w:r>
        <w:rPr>
          <w:i/>
          <w:color w:val="202020"/>
          <w:sz w:val="24"/>
        </w:rPr>
        <w:tab/>
      </w:r>
      <w:r>
        <w:rPr>
          <w:i/>
          <w:color w:val="202020"/>
          <w:spacing w:val="-2"/>
          <w:sz w:val="24"/>
        </w:rPr>
        <w:t>(Basel,</w:t>
      </w:r>
      <w:r>
        <w:rPr>
          <w:i/>
          <w:color w:val="202020"/>
          <w:sz w:val="24"/>
        </w:rPr>
        <w:tab/>
      </w:r>
      <w:r>
        <w:rPr>
          <w:i/>
          <w:color w:val="202020"/>
          <w:spacing w:val="-2"/>
          <w:sz w:val="24"/>
        </w:rPr>
        <w:t>Switzerland)</w:t>
      </w:r>
      <w:r>
        <w:rPr>
          <w:color w:val="202020"/>
          <w:spacing w:val="-2"/>
          <w:sz w:val="24"/>
        </w:rPr>
        <w:t>,</w:t>
      </w:r>
      <w:r>
        <w:rPr>
          <w:color w:val="202020"/>
          <w:sz w:val="24"/>
        </w:rPr>
        <w:tab/>
      </w:r>
      <w:r>
        <w:rPr>
          <w:i/>
          <w:color w:val="202020"/>
          <w:spacing w:val="-2"/>
          <w:sz w:val="24"/>
        </w:rPr>
        <w:t>8</w:t>
      </w:r>
      <w:r>
        <w:rPr>
          <w:color w:val="202020"/>
          <w:spacing w:val="-2"/>
          <w:sz w:val="24"/>
        </w:rPr>
        <w:t>(3),</w:t>
      </w:r>
      <w:r>
        <w:rPr>
          <w:color w:val="202020"/>
          <w:sz w:val="24"/>
        </w:rPr>
        <w:tab/>
      </w:r>
      <w:r>
        <w:rPr>
          <w:color w:val="202020"/>
          <w:spacing w:val="-4"/>
          <w:sz w:val="24"/>
        </w:rPr>
        <w:t>143.</w:t>
      </w:r>
    </w:p>
    <w:p w:rsidR="00B84776" w:rsidRDefault="00C65940">
      <w:pPr>
        <w:pStyle w:val="BodyText"/>
        <w:jc w:val="left"/>
      </w:pPr>
      <w:hyperlink r:id="rId80">
        <w:r>
          <w:rPr>
            <w:color w:val="0000FF"/>
            <w:spacing w:val="-2"/>
            <w:u w:val="single" w:color="0000FF"/>
          </w:rPr>
          <w:t>https://doi.org/10.3390/antibiotics8030143</w:t>
        </w:r>
      </w:hyperlink>
    </w:p>
    <w:p w:rsidR="00B84776" w:rsidRDefault="00C65940">
      <w:pPr>
        <w:pStyle w:val="ListParagraph"/>
        <w:numPr>
          <w:ilvl w:val="0"/>
          <w:numId w:val="3"/>
        </w:numPr>
        <w:tabs>
          <w:tab w:val="left" w:pos="460"/>
        </w:tabs>
        <w:spacing w:before="137" w:line="360" w:lineRule="auto"/>
        <w:ind w:right="100" w:firstLine="0"/>
        <w:rPr>
          <w:color w:val="202020"/>
          <w:sz w:val="24"/>
        </w:rPr>
      </w:pPr>
      <w:r>
        <w:rPr>
          <w:color w:val="202020"/>
          <w:sz w:val="24"/>
        </w:rPr>
        <w:t xml:space="preserve">Livermore, D. M., &amp; Woodford, N. (2006). The beta-lactamase threat in Enterobacteriaceae, Pseudomonas and Acinetobacter. </w:t>
      </w:r>
      <w:r>
        <w:rPr>
          <w:i/>
          <w:color w:val="202020"/>
          <w:sz w:val="24"/>
        </w:rPr>
        <w:t>Trends in microbiology</w:t>
      </w:r>
      <w:r>
        <w:rPr>
          <w:color w:val="202020"/>
          <w:sz w:val="24"/>
        </w:rPr>
        <w:t xml:space="preserve">, </w:t>
      </w:r>
      <w:r>
        <w:rPr>
          <w:i/>
          <w:color w:val="202020"/>
          <w:sz w:val="24"/>
        </w:rPr>
        <w:t>14</w:t>
      </w:r>
      <w:r>
        <w:rPr>
          <w:color w:val="202020"/>
          <w:sz w:val="24"/>
        </w:rPr>
        <w:t xml:space="preserve">(9), 413–420. </w:t>
      </w:r>
      <w:hyperlink r:id="rId81">
        <w:r>
          <w:rPr>
            <w:color w:val="0000FF"/>
            <w:sz w:val="24"/>
            <w:u w:val="single" w:color="0000FF"/>
          </w:rPr>
          <w:t>https://doi.org/10.1016/j.tim.2006.07</w:t>
        </w:r>
        <w:r>
          <w:rPr>
            <w:color w:val="0000FF"/>
            <w:sz w:val="24"/>
            <w:u w:val="single" w:color="0000FF"/>
          </w:rPr>
          <w:t>.008</w:t>
        </w:r>
      </w:hyperlink>
    </w:p>
    <w:p w:rsidR="00B84776" w:rsidRDefault="00C65940">
      <w:pPr>
        <w:pStyle w:val="ListParagraph"/>
        <w:numPr>
          <w:ilvl w:val="0"/>
          <w:numId w:val="3"/>
        </w:numPr>
        <w:tabs>
          <w:tab w:val="left" w:pos="460"/>
        </w:tabs>
        <w:spacing w:line="360" w:lineRule="auto"/>
        <w:ind w:right="97" w:firstLine="0"/>
        <w:rPr>
          <w:sz w:val="24"/>
        </w:rPr>
      </w:pPr>
      <w:proofErr w:type="spellStart"/>
      <w:r>
        <w:rPr>
          <w:color w:val="202020"/>
          <w:sz w:val="24"/>
        </w:rPr>
        <w:t>Codjoe</w:t>
      </w:r>
      <w:proofErr w:type="spellEnd"/>
      <w:r>
        <w:rPr>
          <w:color w:val="202020"/>
          <w:sz w:val="24"/>
        </w:rPr>
        <w:t>,</w:t>
      </w:r>
      <w:r>
        <w:rPr>
          <w:color w:val="202020"/>
          <w:spacing w:val="80"/>
          <w:sz w:val="24"/>
        </w:rPr>
        <w:t xml:space="preserve"> </w:t>
      </w:r>
      <w:r>
        <w:rPr>
          <w:color w:val="202020"/>
          <w:sz w:val="24"/>
        </w:rPr>
        <w:t>F.</w:t>
      </w:r>
      <w:r>
        <w:rPr>
          <w:color w:val="202020"/>
          <w:spacing w:val="80"/>
          <w:sz w:val="24"/>
        </w:rPr>
        <w:t xml:space="preserve"> </w:t>
      </w:r>
      <w:r>
        <w:rPr>
          <w:color w:val="202020"/>
          <w:sz w:val="24"/>
        </w:rPr>
        <w:t>S.,</w:t>
      </w:r>
      <w:r>
        <w:rPr>
          <w:color w:val="202020"/>
          <w:spacing w:val="80"/>
          <w:sz w:val="24"/>
        </w:rPr>
        <w:t xml:space="preserve"> </w:t>
      </w:r>
      <w:r>
        <w:rPr>
          <w:color w:val="202020"/>
          <w:sz w:val="24"/>
        </w:rPr>
        <w:t>&amp;</w:t>
      </w:r>
      <w:r>
        <w:rPr>
          <w:color w:val="202020"/>
          <w:spacing w:val="80"/>
          <w:sz w:val="24"/>
        </w:rPr>
        <w:t xml:space="preserve"> </w:t>
      </w:r>
      <w:r>
        <w:rPr>
          <w:color w:val="202020"/>
          <w:sz w:val="24"/>
        </w:rPr>
        <w:t>Donkor,</w:t>
      </w:r>
      <w:r>
        <w:rPr>
          <w:color w:val="202020"/>
          <w:spacing w:val="80"/>
          <w:sz w:val="24"/>
        </w:rPr>
        <w:t xml:space="preserve"> </w:t>
      </w:r>
      <w:r>
        <w:rPr>
          <w:color w:val="202020"/>
          <w:sz w:val="24"/>
        </w:rPr>
        <w:t>E.</w:t>
      </w:r>
      <w:r>
        <w:rPr>
          <w:color w:val="202020"/>
          <w:spacing w:val="80"/>
          <w:sz w:val="24"/>
        </w:rPr>
        <w:t xml:space="preserve"> </w:t>
      </w:r>
      <w:r>
        <w:rPr>
          <w:color w:val="202020"/>
          <w:sz w:val="24"/>
        </w:rPr>
        <w:t>S.</w:t>
      </w:r>
      <w:r>
        <w:rPr>
          <w:color w:val="202020"/>
          <w:spacing w:val="80"/>
          <w:sz w:val="24"/>
        </w:rPr>
        <w:t xml:space="preserve"> </w:t>
      </w:r>
      <w:r>
        <w:rPr>
          <w:color w:val="202020"/>
          <w:sz w:val="24"/>
        </w:rPr>
        <w:t>(2017).</w:t>
      </w:r>
      <w:r>
        <w:rPr>
          <w:color w:val="202020"/>
          <w:spacing w:val="80"/>
          <w:sz w:val="24"/>
        </w:rPr>
        <w:t xml:space="preserve"> </w:t>
      </w:r>
      <w:r>
        <w:rPr>
          <w:color w:val="202020"/>
          <w:sz w:val="24"/>
        </w:rPr>
        <w:t>Carbapenem</w:t>
      </w:r>
      <w:r>
        <w:rPr>
          <w:color w:val="202020"/>
          <w:spacing w:val="80"/>
          <w:sz w:val="24"/>
        </w:rPr>
        <w:t xml:space="preserve"> </w:t>
      </w:r>
      <w:r>
        <w:rPr>
          <w:color w:val="202020"/>
          <w:sz w:val="24"/>
        </w:rPr>
        <w:t>Resistance:</w:t>
      </w:r>
      <w:r>
        <w:rPr>
          <w:color w:val="202020"/>
          <w:spacing w:val="80"/>
          <w:sz w:val="24"/>
        </w:rPr>
        <w:t xml:space="preserve"> </w:t>
      </w:r>
      <w:r>
        <w:rPr>
          <w:color w:val="202020"/>
          <w:sz w:val="24"/>
        </w:rPr>
        <w:t>A Review.</w:t>
      </w:r>
      <w:r>
        <w:rPr>
          <w:color w:val="202020"/>
          <w:spacing w:val="78"/>
          <w:sz w:val="24"/>
        </w:rPr>
        <w:t xml:space="preserve">    </w:t>
      </w:r>
      <w:r>
        <w:rPr>
          <w:i/>
          <w:color w:val="202020"/>
          <w:sz w:val="24"/>
        </w:rPr>
        <w:t>Medical</w:t>
      </w:r>
      <w:r>
        <w:rPr>
          <w:i/>
          <w:color w:val="202020"/>
          <w:spacing w:val="79"/>
          <w:sz w:val="24"/>
        </w:rPr>
        <w:t xml:space="preserve">    </w:t>
      </w:r>
      <w:r>
        <w:rPr>
          <w:i/>
          <w:color w:val="202020"/>
          <w:sz w:val="24"/>
        </w:rPr>
        <w:t>sciences</w:t>
      </w:r>
      <w:r>
        <w:rPr>
          <w:i/>
          <w:color w:val="202020"/>
          <w:spacing w:val="78"/>
          <w:sz w:val="24"/>
        </w:rPr>
        <w:t xml:space="preserve"> </w:t>
      </w:r>
      <w:proofErr w:type="gramStart"/>
      <w:r>
        <w:rPr>
          <w:i/>
          <w:color w:val="202020"/>
          <w:spacing w:val="78"/>
          <w:sz w:val="24"/>
        </w:rPr>
        <w:t xml:space="preserve">   </w:t>
      </w:r>
      <w:r>
        <w:rPr>
          <w:i/>
          <w:color w:val="202020"/>
          <w:sz w:val="24"/>
        </w:rPr>
        <w:t>(</w:t>
      </w:r>
      <w:proofErr w:type="gramEnd"/>
      <w:r>
        <w:rPr>
          <w:i/>
          <w:color w:val="202020"/>
          <w:sz w:val="24"/>
        </w:rPr>
        <w:t>Basel,</w:t>
      </w:r>
      <w:r>
        <w:rPr>
          <w:i/>
          <w:color w:val="202020"/>
          <w:spacing w:val="79"/>
          <w:sz w:val="24"/>
        </w:rPr>
        <w:t xml:space="preserve">    </w:t>
      </w:r>
      <w:r>
        <w:rPr>
          <w:i/>
          <w:color w:val="202020"/>
          <w:sz w:val="24"/>
        </w:rPr>
        <w:t>Switzerland)</w:t>
      </w:r>
      <w:r>
        <w:rPr>
          <w:color w:val="202020"/>
          <w:sz w:val="24"/>
        </w:rPr>
        <w:t>,</w:t>
      </w:r>
      <w:r>
        <w:rPr>
          <w:color w:val="202020"/>
          <w:spacing w:val="79"/>
          <w:sz w:val="24"/>
        </w:rPr>
        <w:t xml:space="preserve">    </w:t>
      </w:r>
      <w:r>
        <w:rPr>
          <w:i/>
          <w:color w:val="202020"/>
          <w:sz w:val="24"/>
        </w:rPr>
        <w:t>6</w:t>
      </w:r>
      <w:r>
        <w:rPr>
          <w:color w:val="202020"/>
          <w:sz w:val="24"/>
        </w:rPr>
        <w:t>(1),</w:t>
      </w:r>
      <w:r>
        <w:rPr>
          <w:color w:val="202020"/>
          <w:spacing w:val="79"/>
          <w:sz w:val="24"/>
        </w:rPr>
        <w:t xml:space="preserve">    </w:t>
      </w:r>
      <w:r>
        <w:rPr>
          <w:color w:val="202020"/>
          <w:spacing w:val="-5"/>
          <w:sz w:val="24"/>
        </w:rPr>
        <w:t>1.</w:t>
      </w:r>
    </w:p>
    <w:p w:rsidR="00B84776" w:rsidRDefault="00C65940">
      <w:pPr>
        <w:pStyle w:val="BodyText"/>
        <w:jc w:val="left"/>
      </w:pPr>
      <w:hyperlink r:id="rId82">
        <w:r>
          <w:rPr>
            <w:color w:val="0000FF"/>
            <w:spacing w:val="-2"/>
            <w:u w:val="single" w:color="0000FF"/>
          </w:rPr>
          <w:t>https://doi.org/10.3390/medsci6010001</w:t>
        </w:r>
      </w:hyperlink>
    </w:p>
    <w:p w:rsidR="00B84776" w:rsidRDefault="00C65940">
      <w:pPr>
        <w:pStyle w:val="ListParagraph"/>
        <w:numPr>
          <w:ilvl w:val="0"/>
          <w:numId w:val="3"/>
        </w:numPr>
        <w:tabs>
          <w:tab w:val="left" w:pos="460"/>
        </w:tabs>
        <w:spacing w:before="138" w:line="360" w:lineRule="auto"/>
        <w:ind w:right="99" w:firstLine="0"/>
        <w:rPr>
          <w:color w:val="202020"/>
          <w:sz w:val="24"/>
        </w:rPr>
      </w:pPr>
      <w:proofErr w:type="spellStart"/>
      <w:r>
        <w:rPr>
          <w:sz w:val="24"/>
        </w:rPr>
        <w:t>Ekpunobi</w:t>
      </w:r>
      <w:proofErr w:type="spellEnd"/>
      <w:r>
        <w:rPr>
          <w:sz w:val="24"/>
        </w:rPr>
        <w:t xml:space="preserve">, N., </w:t>
      </w:r>
      <w:proofErr w:type="spellStart"/>
      <w:r>
        <w:rPr>
          <w:sz w:val="24"/>
        </w:rPr>
        <w:t>Markjonathan</w:t>
      </w:r>
      <w:proofErr w:type="spellEnd"/>
      <w:r>
        <w:rPr>
          <w:sz w:val="24"/>
        </w:rPr>
        <w:t xml:space="preserve">, I., Olanrewaju, O. and </w:t>
      </w:r>
      <w:proofErr w:type="spellStart"/>
      <w:r>
        <w:rPr>
          <w:sz w:val="24"/>
        </w:rPr>
        <w:t>Olanihun</w:t>
      </w:r>
      <w:proofErr w:type="spellEnd"/>
      <w:r>
        <w:rPr>
          <w:sz w:val="24"/>
        </w:rPr>
        <w:t xml:space="preserve">, D. (2020). Idiosyncrasies of COVID- </w:t>
      </w:r>
      <w:proofErr w:type="gramStart"/>
      <w:r>
        <w:rPr>
          <w:sz w:val="24"/>
        </w:rPr>
        <w:t>19;A</w:t>
      </w:r>
      <w:proofErr w:type="gramEnd"/>
      <w:r>
        <w:rPr>
          <w:sz w:val="24"/>
        </w:rPr>
        <w:t xml:space="preserve"> Review. </w:t>
      </w:r>
      <w:r>
        <w:rPr>
          <w:i/>
          <w:sz w:val="24"/>
        </w:rPr>
        <w:t xml:space="preserve">Iranian Journal of Medical Microbiology </w:t>
      </w:r>
      <w:r>
        <w:rPr>
          <w:sz w:val="24"/>
        </w:rPr>
        <w:t xml:space="preserve">14(3): 290-296. </w:t>
      </w:r>
      <w:hyperlink r:id="rId83">
        <w:r>
          <w:rPr>
            <w:color w:val="0000FF"/>
            <w:sz w:val="24"/>
            <w:u w:val="single" w:color="0000FF"/>
          </w:rPr>
          <w:t>http://dx.doi.org/10.30699/ijmm.1</w:t>
        </w:r>
        <w:r>
          <w:rPr>
            <w:color w:val="0000FF"/>
            <w:sz w:val="24"/>
            <w:u w:val="single" w:color="0000FF"/>
          </w:rPr>
          <w:t>4.3.290</w:t>
        </w:r>
      </w:hyperlink>
    </w:p>
    <w:p w:rsidR="00B84776" w:rsidRDefault="00C65940">
      <w:pPr>
        <w:pStyle w:val="ListParagraph"/>
        <w:numPr>
          <w:ilvl w:val="0"/>
          <w:numId w:val="3"/>
        </w:numPr>
        <w:tabs>
          <w:tab w:val="left" w:pos="460"/>
        </w:tabs>
        <w:spacing w:line="360" w:lineRule="auto"/>
        <w:ind w:right="99" w:firstLine="0"/>
        <w:rPr>
          <w:color w:val="202020"/>
          <w:sz w:val="24"/>
        </w:rPr>
      </w:pPr>
      <w:proofErr w:type="spellStart"/>
      <w:r>
        <w:rPr>
          <w:color w:val="202020"/>
          <w:sz w:val="24"/>
        </w:rPr>
        <w:t>Gandra</w:t>
      </w:r>
      <w:proofErr w:type="spellEnd"/>
      <w:r>
        <w:rPr>
          <w:color w:val="202020"/>
          <w:sz w:val="24"/>
        </w:rPr>
        <w:t>, S., Alvarez-</w:t>
      </w:r>
      <w:proofErr w:type="spellStart"/>
      <w:r>
        <w:rPr>
          <w:color w:val="202020"/>
          <w:sz w:val="24"/>
        </w:rPr>
        <w:t>Uria</w:t>
      </w:r>
      <w:proofErr w:type="spellEnd"/>
      <w:r>
        <w:rPr>
          <w:color w:val="202020"/>
          <w:sz w:val="24"/>
        </w:rPr>
        <w:t xml:space="preserve">, G., Turner, P., Joshi, J., </w:t>
      </w:r>
      <w:proofErr w:type="spellStart"/>
      <w:r>
        <w:rPr>
          <w:color w:val="202020"/>
          <w:sz w:val="24"/>
        </w:rPr>
        <w:t>Limmathurotsakul</w:t>
      </w:r>
      <w:proofErr w:type="spellEnd"/>
      <w:r>
        <w:rPr>
          <w:color w:val="202020"/>
          <w:sz w:val="24"/>
        </w:rPr>
        <w:t xml:space="preserve">, D., &amp; van </w:t>
      </w:r>
      <w:proofErr w:type="spellStart"/>
      <w:r>
        <w:rPr>
          <w:color w:val="202020"/>
          <w:sz w:val="24"/>
        </w:rPr>
        <w:t>Doorn</w:t>
      </w:r>
      <w:proofErr w:type="spellEnd"/>
      <w:r>
        <w:rPr>
          <w:color w:val="202020"/>
          <w:sz w:val="24"/>
        </w:rPr>
        <w:t>, H. R. (2020). Antimicrobial Resistance Surveillance in Low- and Middle- Income</w:t>
      </w:r>
      <w:r>
        <w:rPr>
          <w:color w:val="202020"/>
          <w:spacing w:val="-3"/>
          <w:sz w:val="24"/>
        </w:rPr>
        <w:t xml:space="preserve"> </w:t>
      </w:r>
      <w:r>
        <w:rPr>
          <w:color w:val="202020"/>
          <w:sz w:val="24"/>
        </w:rPr>
        <w:t>Countries:</w:t>
      </w:r>
      <w:r>
        <w:rPr>
          <w:color w:val="202020"/>
          <w:spacing w:val="-2"/>
          <w:sz w:val="24"/>
        </w:rPr>
        <w:t xml:space="preserve"> </w:t>
      </w:r>
      <w:r>
        <w:rPr>
          <w:color w:val="202020"/>
          <w:sz w:val="24"/>
        </w:rPr>
        <w:t>Progress</w:t>
      </w:r>
      <w:r>
        <w:rPr>
          <w:color w:val="202020"/>
          <w:spacing w:val="-2"/>
          <w:sz w:val="24"/>
        </w:rPr>
        <w:t xml:space="preserve"> </w:t>
      </w:r>
      <w:r>
        <w:rPr>
          <w:color w:val="202020"/>
          <w:sz w:val="24"/>
        </w:rPr>
        <w:t>and</w:t>
      </w:r>
      <w:r>
        <w:rPr>
          <w:color w:val="202020"/>
          <w:spacing w:val="-2"/>
          <w:sz w:val="24"/>
        </w:rPr>
        <w:t xml:space="preserve"> </w:t>
      </w:r>
      <w:r>
        <w:rPr>
          <w:color w:val="202020"/>
          <w:sz w:val="24"/>
        </w:rPr>
        <w:t>Challenges</w:t>
      </w:r>
      <w:r>
        <w:rPr>
          <w:color w:val="202020"/>
          <w:spacing w:val="-2"/>
          <w:sz w:val="24"/>
        </w:rPr>
        <w:t xml:space="preserve"> </w:t>
      </w:r>
      <w:r>
        <w:rPr>
          <w:color w:val="202020"/>
          <w:sz w:val="24"/>
        </w:rPr>
        <w:t>in</w:t>
      </w:r>
      <w:r>
        <w:rPr>
          <w:color w:val="202020"/>
          <w:spacing w:val="-2"/>
          <w:sz w:val="24"/>
        </w:rPr>
        <w:t xml:space="preserve"> </w:t>
      </w:r>
      <w:r>
        <w:rPr>
          <w:color w:val="202020"/>
          <w:sz w:val="24"/>
        </w:rPr>
        <w:t>Eight</w:t>
      </w:r>
      <w:r>
        <w:rPr>
          <w:color w:val="202020"/>
          <w:spacing w:val="-2"/>
          <w:sz w:val="24"/>
        </w:rPr>
        <w:t xml:space="preserve"> </w:t>
      </w:r>
      <w:r>
        <w:rPr>
          <w:color w:val="202020"/>
          <w:sz w:val="24"/>
        </w:rPr>
        <w:t>South</w:t>
      </w:r>
      <w:r>
        <w:rPr>
          <w:color w:val="202020"/>
          <w:spacing w:val="-3"/>
          <w:sz w:val="24"/>
        </w:rPr>
        <w:t xml:space="preserve"> </w:t>
      </w:r>
      <w:r>
        <w:rPr>
          <w:color w:val="202020"/>
          <w:sz w:val="24"/>
        </w:rPr>
        <w:t>Asian</w:t>
      </w:r>
      <w:r>
        <w:rPr>
          <w:color w:val="202020"/>
          <w:spacing w:val="-2"/>
          <w:sz w:val="24"/>
        </w:rPr>
        <w:t xml:space="preserve"> </w:t>
      </w:r>
      <w:r>
        <w:rPr>
          <w:color w:val="202020"/>
          <w:sz w:val="24"/>
        </w:rPr>
        <w:t>and</w:t>
      </w:r>
      <w:r>
        <w:rPr>
          <w:color w:val="202020"/>
          <w:spacing w:val="-2"/>
          <w:sz w:val="24"/>
        </w:rPr>
        <w:t xml:space="preserve"> </w:t>
      </w:r>
      <w:r>
        <w:rPr>
          <w:color w:val="202020"/>
          <w:sz w:val="24"/>
        </w:rPr>
        <w:t>Southeast</w:t>
      </w:r>
      <w:r>
        <w:rPr>
          <w:color w:val="202020"/>
          <w:spacing w:val="-2"/>
          <w:sz w:val="24"/>
        </w:rPr>
        <w:t xml:space="preserve"> </w:t>
      </w:r>
      <w:r>
        <w:rPr>
          <w:color w:val="202020"/>
          <w:sz w:val="24"/>
        </w:rPr>
        <w:t xml:space="preserve">Asian Countries. </w:t>
      </w:r>
      <w:r>
        <w:rPr>
          <w:i/>
          <w:color w:val="202020"/>
          <w:sz w:val="24"/>
        </w:rPr>
        <w:t>Clinical microbiology reviews</w:t>
      </w:r>
      <w:r>
        <w:rPr>
          <w:color w:val="202020"/>
          <w:sz w:val="24"/>
        </w:rPr>
        <w:t xml:space="preserve">, </w:t>
      </w:r>
      <w:r>
        <w:rPr>
          <w:i/>
          <w:color w:val="202020"/>
          <w:sz w:val="24"/>
        </w:rPr>
        <w:t>33</w:t>
      </w:r>
      <w:r>
        <w:rPr>
          <w:color w:val="202020"/>
          <w:sz w:val="24"/>
        </w:rPr>
        <w:t xml:space="preserve">(3), e00048-19. </w:t>
      </w:r>
      <w:hyperlink r:id="rId84">
        <w:r>
          <w:rPr>
            <w:color w:val="0000FF"/>
            <w:spacing w:val="-2"/>
            <w:sz w:val="24"/>
            <w:u w:val="single" w:color="0000FF"/>
          </w:rPr>
          <w:t>https://doi.org/10.1128/CMR.00048-19</w:t>
        </w:r>
      </w:hyperlink>
    </w:p>
    <w:p w:rsidR="00B84776" w:rsidRDefault="00C65940">
      <w:pPr>
        <w:pStyle w:val="ListParagraph"/>
        <w:numPr>
          <w:ilvl w:val="0"/>
          <w:numId w:val="3"/>
        </w:numPr>
        <w:tabs>
          <w:tab w:val="left" w:pos="460"/>
        </w:tabs>
        <w:spacing w:line="360" w:lineRule="auto"/>
        <w:ind w:right="97" w:firstLine="0"/>
        <w:rPr>
          <w:sz w:val="24"/>
        </w:rPr>
      </w:pPr>
      <w:proofErr w:type="spellStart"/>
      <w:r>
        <w:rPr>
          <w:sz w:val="24"/>
        </w:rPr>
        <w:t>Alqahtani</w:t>
      </w:r>
      <w:proofErr w:type="spellEnd"/>
      <w:r>
        <w:rPr>
          <w:sz w:val="24"/>
        </w:rPr>
        <w:t xml:space="preserve">, A., </w:t>
      </w:r>
      <w:proofErr w:type="spellStart"/>
      <w:r>
        <w:rPr>
          <w:sz w:val="24"/>
        </w:rPr>
        <w:t>Almubayedh</w:t>
      </w:r>
      <w:proofErr w:type="spellEnd"/>
      <w:r>
        <w:rPr>
          <w:sz w:val="24"/>
        </w:rPr>
        <w:t xml:space="preserve">, T., </w:t>
      </w:r>
      <w:proofErr w:type="spellStart"/>
      <w:r>
        <w:rPr>
          <w:sz w:val="24"/>
        </w:rPr>
        <w:t>Alkhamis</w:t>
      </w:r>
      <w:proofErr w:type="spellEnd"/>
      <w:r>
        <w:rPr>
          <w:sz w:val="24"/>
        </w:rPr>
        <w:t xml:space="preserve">, I. H., </w:t>
      </w:r>
      <w:proofErr w:type="spellStart"/>
      <w:r>
        <w:rPr>
          <w:sz w:val="24"/>
        </w:rPr>
        <w:t>AlMubayedh</w:t>
      </w:r>
      <w:proofErr w:type="spellEnd"/>
      <w:r>
        <w:rPr>
          <w:sz w:val="24"/>
        </w:rPr>
        <w:t xml:space="preserve">, A. A., </w:t>
      </w:r>
      <w:proofErr w:type="spellStart"/>
      <w:r>
        <w:rPr>
          <w:sz w:val="24"/>
        </w:rPr>
        <w:t>Shuiel</w:t>
      </w:r>
      <w:proofErr w:type="spellEnd"/>
      <w:r>
        <w:rPr>
          <w:sz w:val="24"/>
        </w:rPr>
        <w:t>, H. K.</w:t>
      </w:r>
      <w:r>
        <w:rPr>
          <w:sz w:val="24"/>
        </w:rPr>
        <w:t xml:space="preserve"> </w:t>
      </w:r>
      <w:r>
        <w:rPr>
          <w:color w:val="202020"/>
          <w:sz w:val="24"/>
        </w:rPr>
        <w:t xml:space="preserve">&amp; </w:t>
      </w:r>
      <w:proofErr w:type="spellStart"/>
      <w:r>
        <w:rPr>
          <w:sz w:val="24"/>
        </w:rPr>
        <w:t>Aldakail</w:t>
      </w:r>
      <w:proofErr w:type="spellEnd"/>
      <w:r>
        <w:rPr>
          <w:sz w:val="24"/>
        </w:rPr>
        <w:t>, M. (</w:t>
      </w:r>
      <w:r>
        <w:rPr>
          <w:sz w:val="24"/>
        </w:rPr>
        <w:t>2025). Knowledge, attitudes, and practices of Saudi parents regarding antibiotic use for children: A cross-sectional study. International Journal of Pediatrics and Adolescent Medicine 12(1): 20-29</w:t>
      </w:r>
    </w:p>
    <w:p w:rsidR="00B84776" w:rsidRDefault="00C65940">
      <w:pPr>
        <w:pStyle w:val="ListParagraph"/>
        <w:numPr>
          <w:ilvl w:val="0"/>
          <w:numId w:val="3"/>
        </w:numPr>
        <w:tabs>
          <w:tab w:val="left" w:pos="460"/>
        </w:tabs>
        <w:spacing w:before="1" w:line="360" w:lineRule="auto"/>
        <w:ind w:right="100" w:firstLine="0"/>
        <w:rPr>
          <w:color w:val="202020"/>
          <w:sz w:val="24"/>
        </w:rPr>
      </w:pPr>
      <w:r>
        <w:rPr>
          <w:sz w:val="24"/>
        </w:rPr>
        <w:t>National Institute for Health and Care Excellence (NICE). (</w:t>
      </w:r>
      <w:r>
        <w:rPr>
          <w:sz w:val="24"/>
        </w:rPr>
        <w:t xml:space="preserve">2018). Urinary tract infection in under 16s: Diagnosis and management. </w:t>
      </w:r>
      <w:hyperlink r:id="rId85">
        <w:r>
          <w:rPr>
            <w:color w:val="0000FF"/>
            <w:spacing w:val="-2"/>
            <w:sz w:val="24"/>
            <w:u w:val="single" w:color="0000FF"/>
          </w:rPr>
          <w:t>https://www.nice.org.uk/guidance/cg54</w:t>
        </w:r>
      </w:hyperlink>
    </w:p>
    <w:p w:rsidR="00B84776" w:rsidRDefault="00C65940">
      <w:pPr>
        <w:pStyle w:val="ListParagraph"/>
        <w:numPr>
          <w:ilvl w:val="0"/>
          <w:numId w:val="3"/>
        </w:numPr>
        <w:tabs>
          <w:tab w:val="left" w:pos="460"/>
        </w:tabs>
        <w:spacing w:line="360" w:lineRule="auto"/>
        <w:ind w:right="99" w:firstLine="0"/>
        <w:rPr>
          <w:sz w:val="24"/>
        </w:rPr>
      </w:pPr>
      <w:proofErr w:type="spellStart"/>
      <w:r>
        <w:rPr>
          <w:color w:val="202020"/>
          <w:sz w:val="24"/>
        </w:rPr>
        <w:t>Nordmann</w:t>
      </w:r>
      <w:proofErr w:type="spellEnd"/>
      <w:r>
        <w:rPr>
          <w:color w:val="202020"/>
          <w:sz w:val="24"/>
        </w:rPr>
        <w:t xml:space="preserve">, P., Naas, T., &amp; </w:t>
      </w:r>
      <w:proofErr w:type="spellStart"/>
      <w:r>
        <w:rPr>
          <w:color w:val="202020"/>
          <w:sz w:val="24"/>
        </w:rPr>
        <w:t>Poirel</w:t>
      </w:r>
      <w:proofErr w:type="spellEnd"/>
      <w:r>
        <w:rPr>
          <w:color w:val="202020"/>
          <w:sz w:val="24"/>
        </w:rPr>
        <w:t xml:space="preserve">, L. (2011). Global spread of </w:t>
      </w:r>
      <w:proofErr w:type="spellStart"/>
      <w:r>
        <w:rPr>
          <w:color w:val="202020"/>
          <w:sz w:val="24"/>
        </w:rPr>
        <w:t>Carbapenemase</w:t>
      </w:r>
      <w:proofErr w:type="spellEnd"/>
      <w:r>
        <w:rPr>
          <w:color w:val="202020"/>
          <w:sz w:val="24"/>
        </w:rPr>
        <w:t>- producing Ent</w:t>
      </w:r>
      <w:r>
        <w:rPr>
          <w:color w:val="202020"/>
          <w:sz w:val="24"/>
        </w:rPr>
        <w:t xml:space="preserve">erobacteriaceae. </w:t>
      </w:r>
      <w:r>
        <w:rPr>
          <w:i/>
          <w:color w:val="202020"/>
          <w:sz w:val="24"/>
        </w:rPr>
        <w:t>Emerging infectious diseases</w:t>
      </w:r>
      <w:r>
        <w:rPr>
          <w:color w:val="202020"/>
          <w:sz w:val="24"/>
        </w:rPr>
        <w:t xml:space="preserve">, </w:t>
      </w:r>
      <w:r>
        <w:rPr>
          <w:i/>
          <w:color w:val="202020"/>
          <w:sz w:val="24"/>
        </w:rPr>
        <w:t>17</w:t>
      </w:r>
      <w:r>
        <w:rPr>
          <w:color w:val="202020"/>
          <w:sz w:val="24"/>
        </w:rPr>
        <w:t xml:space="preserve">(10), 1791–1798. </w:t>
      </w:r>
      <w:hyperlink r:id="rId86">
        <w:r>
          <w:rPr>
            <w:color w:val="0000FF"/>
            <w:spacing w:val="-2"/>
            <w:sz w:val="24"/>
            <w:u w:val="single" w:color="0000FF"/>
          </w:rPr>
          <w:t>https://doi.org/10.3201/eid1710.110655</w:t>
        </w:r>
      </w:hyperlink>
    </w:p>
    <w:p w:rsidR="00B84776" w:rsidRDefault="00B84776">
      <w:pPr>
        <w:pStyle w:val="ListParagraph"/>
        <w:spacing w:line="360" w:lineRule="auto"/>
        <w:rPr>
          <w:sz w:val="24"/>
        </w:rPr>
        <w:sectPr w:rsidR="00B84776">
          <w:pgSz w:w="11910" w:h="16840"/>
          <w:pgMar w:top="1360" w:right="1700" w:bottom="280" w:left="1700" w:header="720" w:footer="720" w:gutter="0"/>
          <w:cols w:space="720"/>
        </w:sectPr>
      </w:pPr>
    </w:p>
    <w:p w:rsidR="00B84776" w:rsidRDefault="00C65940">
      <w:pPr>
        <w:pStyle w:val="ListParagraph"/>
        <w:numPr>
          <w:ilvl w:val="0"/>
          <w:numId w:val="3"/>
        </w:numPr>
        <w:tabs>
          <w:tab w:val="left" w:pos="460"/>
        </w:tabs>
        <w:spacing w:before="62" w:line="360" w:lineRule="auto"/>
        <w:ind w:right="96" w:firstLine="0"/>
        <w:rPr>
          <w:color w:val="202020"/>
          <w:sz w:val="24"/>
        </w:rPr>
      </w:pPr>
      <w:r>
        <w:rPr>
          <w:color w:val="202020"/>
          <w:sz w:val="24"/>
        </w:rPr>
        <w:lastRenderedPageBreak/>
        <w:t>Hersh, A. L., Jackson, M. A., Hicks, L. A., &amp; American Academy of Pediatrics Co</w:t>
      </w:r>
      <w:r>
        <w:rPr>
          <w:color w:val="202020"/>
          <w:sz w:val="24"/>
        </w:rPr>
        <w:t xml:space="preserve">mmittee on Infectious Diseases (2013). Principles of judicious antibiotic prescribing for upper respiratory tract infections in pediatrics. </w:t>
      </w:r>
      <w:r>
        <w:rPr>
          <w:i/>
          <w:color w:val="202020"/>
          <w:sz w:val="24"/>
        </w:rPr>
        <w:t>Pediatrics</w:t>
      </w:r>
      <w:r>
        <w:rPr>
          <w:color w:val="202020"/>
          <w:sz w:val="24"/>
        </w:rPr>
        <w:t xml:space="preserve">, </w:t>
      </w:r>
      <w:r>
        <w:rPr>
          <w:i/>
          <w:color w:val="202020"/>
          <w:sz w:val="24"/>
        </w:rPr>
        <w:t>132</w:t>
      </w:r>
      <w:r>
        <w:rPr>
          <w:color w:val="202020"/>
          <w:sz w:val="24"/>
        </w:rPr>
        <w:t xml:space="preserve">(6), 1146–1154. </w:t>
      </w:r>
      <w:hyperlink r:id="rId87">
        <w:r>
          <w:rPr>
            <w:color w:val="0000FF"/>
            <w:sz w:val="24"/>
            <w:u w:val="single" w:color="0000FF"/>
          </w:rPr>
          <w:t>https://doi.org/10.1542/peds.2</w:t>
        </w:r>
        <w:r>
          <w:rPr>
            <w:color w:val="0000FF"/>
            <w:sz w:val="24"/>
            <w:u w:val="single" w:color="0000FF"/>
          </w:rPr>
          <w:t>013-3260</w:t>
        </w:r>
      </w:hyperlink>
    </w:p>
    <w:p w:rsidR="00B84776" w:rsidRDefault="00C65940">
      <w:pPr>
        <w:pStyle w:val="ListParagraph"/>
        <w:numPr>
          <w:ilvl w:val="0"/>
          <w:numId w:val="3"/>
        </w:numPr>
        <w:tabs>
          <w:tab w:val="left" w:pos="460"/>
        </w:tabs>
        <w:spacing w:line="360" w:lineRule="auto"/>
        <w:ind w:right="97" w:firstLine="0"/>
        <w:rPr>
          <w:color w:val="202020"/>
          <w:sz w:val="24"/>
        </w:rPr>
      </w:pPr>
      <w:proofErr w:type="spellStart"/>
      <w:r>
        <w:rPr>
          <w:color w:val="202020"/>
          <w:sz w:val="24"/>
        </w:rPr>
        <w:t>Ventola</w:t>
      </w:r>
      <w:proofErr w:type="spellEnd"/>
      <w:r>
        <w:rPr>
          <w:color w:val="202020"/>
          <w:sz w:val="24"/>
        </w:rPr>
        <w:t xml:space="preserve"> C. L. (2015). The antibiotic resistance crisis: part 1: causes and threats. </w:t>
      </w:r>
      <w:r>
        <w:rPr>
          <w:i/>
          <w:color w:val="202020"/>
          <w:sz w:val="24"/>
        </w:rPr>
        <w:t xml:space="preserve">P &amp; </w:t>
      </w:r>
      <w:proofErr w:type="gramStart"/>
      <w:r>
        <w:rPr>
          <w:i/>
          <w:color w:val="202020"/>
          <w:sz w:val="24"/>
        </w:rPr>
        <w:t>T :</w:t>
      </w:r>
      <w:proofErr w:type="gramEnd"/>
      <w:r>
        <w:rPr>
          <w:i/>
          <w:color w:val="202020"/>
          <w:sz w:val="24"/>
        </w:rPr>
        <w:t xml:space="preserve"> a peer-reviewed journal for formulary management</w:t>
      </w:r>
      <w:r>
        <w:rPr>
          <w:color w:val="202020"/>
          <w:sz w:val="24"/>
        </w:rPr>
        <w:t xml:space="preserve">, </w:t>
      </w:r>
      <w:r>
        <w:rPr>
          <w:i/>
          <w:color w:val="202020"/>
          <w:sz w:val="24"/>
        </w:rPr>
        <w:t>40</w:t>
      </w:r>
      <w:r>
        <w:rPr>
          <w:color w:val="202020"/>
          <w:sz w:val="24"/>
        </w:rPr>
        <w:t>(4), 277–283.</w:t>
      </w:r>
    </w:p>
    <w:p w:rsidR="00B84776" w:rsidRDefault="00C65940">
      <w:pPr>
        <w:pStyle w:val="ListParagraph"/>
        <w:numPr>
          <w:ilvl w:val="0"/>
          <w:numId w:val="3"/>
        </w:numPr>
        <w:tabs>
          <w:tab w:val="left" w:pos="460"/>
        </w:tabs>
        <w:spacing w:line="360" w:lineRule="auto"/>
        <w:ind w:right="97" w:firstLine="0"/>
        <w:rPr>
          <w:sz w:val="20"/>
          <w:szCs w:val="20"/>
          <w:lang w:val="en-GB"/>
        </w:rPr>
      </w:pPr>
      <w:r>
        <w:rPr>
          <w:color w:val="202020"/>
          <w:sz w:val="24"/>
        </w:rPr>
        <w:t>Ogunleye, O.</w:t>
      </w:r>
      <w:r>
        <w:rPr>
          <w:color w:val="202020"/>
          <w:spacing w:val="-2"/>
          <w:sz w:val="24"/>
        </w:rPr>
        <w:t xml:space="preserve"> </w:t>
      </w:r>
      <w:r>
        <w:rPr>
          <w:color w:val="202020"/>
          <w:sz w:val="24"/>
        </w:rPr>
        <w:t>O.,</w:t>
      </w:r>
      <w:r>
        <w:rPr>
          <w:color w:val="202020"/>
          <w:spacing w:val="-2"/>
          <w:sz w:val="24"/>
        </w:rPr>
        <w:t xml:space="preserve"> </w:t>
      </w:r>
      <w:proofErr w:type="spellStart"/>
      <w:r>
        <w:rPr>
          <w:color w:val="202020"/>
          <w:sz w:val="24"/>
        </w:rPr>
        <w:t>Fadare</w:t>
      </w:r>
      <w:proofErr w:type="spellEnd"/>
      <w:r>
        <w:rPr>
          <w:color w:val="202020"/>
          <w:sz w:val="24"/>
        </w:rPr>
        <w:t>, J.</w:t>
      </w:r>
      <w:r>
        <w:rPr>
          <w:color w:val="202020"/>
          <w:spacing w:val="-2"/>
          <w:sz w:val="24"/>
        </w:rPr>
        <w:t xml:space="preserve"> </w:t>
      </w:r>
      <w:r>
        <w:rPr>
          <w:color w:val="202020"/>
          <w:sz w:val="24"/>
        </w:rPr>
        <w:t>O.,</w:t>
      </w:r>
      <w:r>
        <w:rPr>
          <w:color w:val="202020"/>
          <w:spacing w:val="-2"/>
          <w:sz w:val="24"/>
        </w:rPr>
        <w:t xml:space="preserve"> </w:t>
      </w:r>
      <w:r>
        <w:rPr>
          <w:color w:val="202020"/>
          <w:sz w:val="24"/>
        </w:rPr>
        <w:t>Yinka-Ogunleye, A.</w:t>
      </w:r>
      <w:r>
        <w:rPr>
          <w:color w:val="202020"/>
          <w:spacing w:val="-4"/>
          <w:sz w:val="24"/>
        </w:rPr>
        <w:t xml:space="preserve"> </w:t>
      </w:r>
      <w:r>
        <w:rPr>
          <w:color w:val="202020"/>
          <w:sz w:val="24"/>
        </w:rPr>
        <w:t xml:space="preserve">F., Anand </w:t>
      </w:r>
      <w:proofErr w:type="spellStart"/>
      <w:r>
        <w:rPr>
          <w:color w:val="202020"/>
          <w:sz w:val="24"/>
        </w:rPr>
        <w:t>Paramadhas</w:t>
      </w:r>
      <w:proofErr w:type="spellEnd"/>
      <w:r>
        <w:rPr>
          <w:color w:val="202020"/>
          <w:sz w:val="24"/>
        </w:rPr>
        <w:t xml:space="preserve">, B. D., &amp; Godman, B. (2019). Determinants of antibiotic prescribing among doctors in a Nigerian urban tertiary hospital. </w:t>
      </w:r>
      <w:r>
        <w:rPr>
          <w:i/>
          <w:color w:val="202020"/>
          <w:sz w:val="24"/>
        </w:rPr>
        <w:t>Hospital practice (1995)</w:t>
      </w:r>
      <w:r>
        <w:rPr>
          <w:color w:val="202020"/>
          <w:sz w:val="24"/>
        </w:rPr>
        <w:t xml:space="preserve">, </w:t>
      </w:r>
      <w:r>
        <w:rPr>
          <w:i/>
          <w:color w:val="202020"/>
          <w:sz w:val="24"/>
        </w:rPr>
        <w:t>47</w:t>
      </w:r>
      <w:r>
        <w:rPr>
          <w:color w:val="202020"/>
          <w:sz w:val="24"/>
        </w:rPr>
        <w:t xml:space="preserve">(1), 53–58. </w:t>
      </w:r>
      <w:hyperlink r:id="rId88">
        <w:r>
          <w:rPr>
            <w:color w:val="0000FF"/>
            <w:spacing w:val="-2"/>
            <w:sz w:val="24"/>
            <w:u w:val="single" w:color="0000FF"/>
          </w:rPr>
          <w:t>https://doi.</w:t>
        </w:r>
        <w:r>
          <w:rPr>
            <w:color w:val="0000FF"/>
            <w:spacing w:val="-2"/>
            <w:sz w:val="24"/>
            <w:u w:val="single" w:color="0000FF"/>
          </w:rPr>
          <w:t>org/10.1080/21548331.2018.1475997</w:t>
        </w:r>
      </w:hyperlink>
    </w:p>
    <w:p w:rsidR="00B84776" w:rsidRDefault="00C65940">
      <w:pPr>
        <w:pStyle w:val="ListParagraph"/>
        <w:numPr>
          <w:ilvl w:val="0"/>
          <w:numId w:val="3"/>
        </w:numPr>
        <w:tabs>
          <w:tab w:val="left" w:pos="460"/>
        </w:tabs>
        <w:spacing w:line="360" w:lineRule="auto"/>
        <w:ind w:right="97" w:firstLine="0"/>
        <w:rPr>
          <w:sz w:val="24"/>
          <w:szCs w:val="24"/>
          <w:lang w:val="en-GB"/>
        </w:rPr>
      </w:pPr>
      <w:r>
        <w:rPr>
          <w:sz w:val="24"/>
          <w:szCs w:val="24"/>
          <w:lang w:val="en-GB"/>
        </w:rPr>
        <w:t xml:space="preserve">Kumar, V. N., &amp; </w:t>
      </w:r>
      <w:proofErr w:type="spellStart"/>
      <w:r>
        <w:rPr>
          <w:sz w:val="24"/>
          <w:szCs w:val="24"/>
          <w:lang w:val="en-GB"/>
        </w:rPr>
        <w:t>Saikumar</w:t>
      </w:r>
      <w:proofErr w:type="spellEnd"/>
      <w:r>
        <w:rPr>
          <w:sz w:val="24"/>
          <w:szCs w:val="24"/>
          <w:lang w:val="en-GB"/>
        </w:rPr>
        <w:t xml:space="preserve">, C. (2021). Isolation and Identification of </w:t>
      </w:r>
      <w:proofErr w:type="spellStart"/>
      <w:r>
        <w:rPr>
          <w:sz w:val="24"/>
          <w:szCs w:val="24"/>
          <w:lang w:val="en-GB"/>
        </w:rPr>
        <w:t>Uropathogenic</w:t>
      </w:r>
      <w:proofErr w:type="spellEnd"/>
      <w:r>
        <w:rPr>
          <w:sz w:val="24"/>
          <w:szCs w:val="24"/>
          <w:lang w:val="en-GB"/>
        </w:rPr>
        <w:t xml:space="preserve"> E. coli and its Antimicrobial Susceptibility Pattern with Special Reference to Extended Spectrum Beta-Lactamases (</w:t>
      </w:r>
      <w:proofErr w:type="spellStart"/>
      <w:r>
        <w:rPr>
          <w:sz w:val="24"/>
          <w:szCs w:val="24"/>
          <w:lang w:val="en-GB"/>
        </w:rPr>
        <w:t>Esbl</w:t>
      </w:r>
      <w:proofErr w:type="spellEnd"/>
      <w:r>
        <w:rPr>
          <w:sz w:val="24"/>
          <w:szCs w:val="24"/>
          <w:lang w:val="en-GB"/>
        </w:rPr>
        <w:t>). Journal of Phar</w:t>
      </w:r>
      <w:r>
        <w:rPr>
          <w:sz w:val="24"/>
          <w:szCs w:val="24"/>
          <w:lang w:val="en-GB"/>
        </w:rPr>
        <w:t>maceutical Research International, 33(24A), 56–67</w:t>
      </w:r>
      <w:r>
        <w:rPr>
          <w:sz w:val="24"/>
          <w:szCs w:val="24"/>
        </w:rPr>
        <w:t xml:space="preserve">. </w:t>
      </w:r>
      <w:hyperlink r:id="rId89" w:history="1">
        <w:r>
          <w:rPr>
            <w:rStyle w:val="Hyperlink"/>
            <w:sz w:val="24"/>
            <w:szCs w:val="24"/>
            <w:lang w:val="en-GB"/>
          </w:rPr>
          <w:t>https://doi.org/10.9734/jpri/2021/v33i24A31431</w:t>
        </w:r>
      </w:hyperlink>
    </w:p>
    <w:p w:rsidR="00B84776" w:rsidRDefault="00C65940">
      <w:pPr>
        <w:pStyle w:val="ListParagraph"/>
        <w:numPr>
          <w:ilvl w:val="0"/>
          <w:numId w:val="3"/>
        </w:numPr>
        <w:tabs>
          <w:tab w:val="left" w:pos="460"/>
        </w:tabs>
        <w:spacing w:line="360" w:lineRule="auto"/>
        <w:ind w:right="97" w:firstLine="0"/>
      </w:pPr>
      <w:proofErr w:type="spellStart"/>
      <w:r>
        <w:rPr>
          <w:rFonts w:eastAsia="sans-serif"/>
          <w:sz w:val="24"/>
          <w:szCs w:val="24"/>
          <w:shd w:val="clear" w:color="auto" w:fill="FFFFFF"/>
        </w:rPr>
        <w:t>Ekpunobi</w:t>
      </w:r>
      <w:proofErr w:type="spellEnd"/>
      <w:r>
        <w:rPr>
          <w:rFonts w:eastAsia="sans-serif"/>
          <w:sz w:val="24"/>
          <w:szCs w:val="24"/>
          <w:shd w:val="clear" w:color="auto" w:fill="FFFFFF"/>
        </w:rPr>
        <w:t xml:space="preserve">, N. F., </w:t>
      </w:r>
      <w:proofErr w:type="spellStart"/>
      <w:r>
        <w:rPr>
          <w:rFonts w:eastAsia="sans-serif"/>
          <w:sz w:val="24"/>
          <w:szCs w:val="24"/>
          <w:shd w:val="clear" w:color="auto" w:fill="FFFFFF"/>
        </w:rPr>
        <w:t>Ugwu</w:t>
      </w:r>
      <w:proofErr w:type="spellEnd"/>
      <w:r>
        <w:rPr>
          <w:rFonts w:eastAsia="sans-serif"/>
          <w:sz w:val="24"/>
          <w:szCs w:val="24"/>
          <w:shd w:val="clear" w:color="auto" w:fill="FFFFFF"/>
        </w:rPr>
        <w:t xml:space="preserve">, M. C., </w:t>
      </w:r>
      <w:proofErr w:type="spellStart"/>
      <w:r>
        <w:rPr>
          <w:rFonts w:eastAsia="sans-serif"/>
          <w:sz w:val="24"/>
          <w:szCs w:val="24"/>
          <w:shd w:val="clear" w:color="auto" w:fill="FFFFFF"/>
        </w:rPr>
        <w:t>Agu</w:t>
      </w:r>
      <w:proofErr w:type="spellEnd"/>
      <w:r>
        <w:rPr>
          <w:rFonts w:eastAsia="sans-serif"/>
          <w:sz w:val="24"/>
          <w:szCs w:val="24"/>
          <w:shd w:val="clear" w:color="auto" w:fill="FFFFFF"/>
        </w:rPr>
        <w:t xml:space="preserve">, K. C., </w:t>
      </w:r>
      <w:proofErr w:type="spellStart"/>
      <w:r>
        <w:rPr>
          <w:rFonts w:eastAsia="sans-serif"/>
          <w:sz w:val="24"/>
          <w:szCs w:val="24"/>
          <w:shd w:val="clear" w:color="auto" w:fill="FFFFFF"/>
        </w:rPr>
        <w:t>Chukwunwejim</w:t>
      </w:r>
      <w:proofErr w:type="spellEnd"/>
      <w:r>
        <w:rPr>
          <w:rFonts w:eastAsia="sans-serif"/>
          <w:sz w:val="24"/>
          <w:szCs w:val="24"/>
          <w:shd w:val="clear" w:color="auto" w:fill="FFFFFF"/>
        </w:rPr>
        <w:t xml:space="preserve">, C. R., </w:t>
      </w:r>
      <w:proofErr w:type="spellStart"/>
      <w:r>
        <w:rPr>
          <w:rFonts w:eastAsia="sans-serif"/>
          <w:sz w:val="24"/>
          <w:szCs w:val="24"/>
          <w:shd w:val="clear" w:color="auto" w:fill="FFFFFF"/>
        </w:rPr>
        <w:t>Nedum</w:t>
      </w:r>
      <w:proofErr w:type="spellEnd"/>
      <w:r>
        <w:rPr>
          <w:rFonts w:eastAsia="sans-serif"/>
          <w:sz w:val="24"/>
          <w:szCs w:val="24"/>
          <w:shd w:val="clear" w:color="auto" w:fill="FFFFFF"/>
        </w:rPr>
        <w:t>, C. H.,</w:t>
      </w:r>
      <w:r>
        <w:rPr>
          <w:rFonts w:eastAsia="sans-serif"/>
          <w:sz w:val="24"/>
          <w:szCs w:val="24"/>
          <w:shd w:val="clear" w:color="auto" w:fill="FFFFFF"/>
        </w:rPr>
        <w:t xml:space="preserve"> </w:t>
      </w:r>
      <w:r>
        <w:rPr>
          <w:rFonts w:eastAsia="sans-serif"/>
          <w:sz w:val="24"/>
          <w:szCs w:val="24"/>
          <w:shd w:val="clear" w:color="auto" w:fill="FFFFFF"/>
        </w:rPr>
        <w:t xml:space="preserve">Okoye, L. C., </w:t>
      </w:r>
      <w:r>
        <w:rPr>
          <w:sz w:val="24"/>
          <w:szCs w:val="24"/>
          <w:lang w:val="en-GB"/>
        </w:rPr>
        <w:t xml:space="preserve">&amp; </w:t>
      </w:r>
      <w:proofErr w:type="spellStart"/>
      <w:r>
        <w:rPr>
          <w:rFonts w:eastAsia="sans-serif"/>
          <w:sz w:val="24"/>
          <w:szCs w:val="24"/>
          <w:shd w:val="clear" w:color="auto" w:fill="FFFFFF"/>
        </w:rPr>
        <w:t>Mgbedo</w:t>
      </w:r>
      <w:proofErr w:type="spellEnd"/>
      <w:r>
        <w:rPr>
          <w:rFonts w:eastAsia="sans-serif"/>
          <w:sz w:val="24"/>
          <w:szCs w:val="24"/>
          <w:shd w:val="clear" w:color="auto" w:fill="FFFFFF"/>
        </w:rPr>
        <w:t>, U. C.</w:t>
      </w:r>
      <w:r>
        <w:rPr>
          <w:rFonts w:eastAsia="sans-serif"/>
          <w:sz w:val="24"/>
          <w:szCs w:val="24"/>
          <w:shd w:val="clear" w:color="auto" w:fill="FFFFFF"/>
        </w:rPr>
        <w:t xml:space="preserve"> (2025). </w:t>
      </w:r>
      <w:r>
        <w:rPr>
          <w:rFonts w:eastAsia="sans-serif"/>
          <w:sz w:val="24"/>
          <w:szCs w:val="24"/>
          <w:shd w:val="clear" w:color="auto" w:fill="FFFFFF"/>
        </w:rPr>
        <w:t xml:space="preserve">Prevalence and molecular detection of ESBL genes </w:t>
      </w:r>
      <w:proofErr w:type="spellStart"/>
      <w:r>
        <w:rPr>
          <w:rFonts w:eastAsia="sans-serif"/>
          <w:sz w:val="24"/>
          <w:szCs w:val="24"/>
          <w:shd w:val="clear" w:color="auto" w:fill="FFFFFF"/>
        </w:rPr>
        <w:t>inuropathogens</w:t>
      </w:r>
      <w:proofErr w:type="spellEnd"/>
      <w:r>
        <w:rPr>
          <w:rFonts w:eastAsia="sans-serif"/>
          <w:sz w:val="24"/>
          <w:szCs w:val="24"/>
          <w:shd w:val="clear" w:color="auto" w:fill="FFFFFF"/>
        </w:rPr>
        <w:t xml:space="preserve"> isolated from children and adolescents in </w:t>
      </w:r>
      <w:proofErr w:type="spellStart"/>
      <w:r>
        <w:rPr>
          <w:rFonts w:eastAsia="sans-serif"/>
          <w:sz w:val="24"/>
          <w:szCs w:val="24"/>
          <w:shd w:val="clear" w:color="auto" w:fill="FFFFFF"/>
        </w:rPr>
        <w:t>aGeneral</w:t>
      </w:r>
      <w:proofErr w:type="spellEnd"/>
      <w:r>
        <w:rPr>
          <w:rFonts w:eastAsia="sans-serif"/>
          <w:sz w:val="24"/>
          <w:szCs w:val="24"/>
          <w:shd w:val="clear" w:color="auto" w:fill="FFFFFF"/>
        </w:rPr>
        <w:t xml:space="preserve"> Hospital in Lagos, Nigeria</w:t>
      </w:r>
      <w:r>
        <w:rPr>
          <w:rFonts w:eastAsia="sans-serif"/>
          <w:sz w:val="24"/>
          <w:szCs w:val="24"/>
          <w:shd w:val="clear" w:color="auto" w:fill="FFFFFF"/>
        </w:rPr>
        <w:t xml:space="preserve">. </w:t>
      </w:r>
      <w:r>
        <w:rPr>
          <w:rFonts w:eastAsia="sans-serif"/>
          <w:i/>
          <w:iCs/>
          <w:sz w:val="24"/>
          <w:szCs w:val="24"/>
          <w:shd w:val="clear" w:color="auto" w:fill="FFFFFF"/>
        </w:rPr>
        <w:t xml:space="preserve">Afr. J. Clin. </w:t>
      </w:r>
      <w:proofErr w:type="spellStart"/>
      <w:r>
        <w:rPr>
          <w:rFonts w:eastAsia="sans-serif"/>
          <w:i/>
          <w:iCs/>
          <w:sz w:val="24"/>
          <w:szCs w:val="24"/>
          <w:shd w:val="clear" w:color="auto" w:fill="FFFFFF"/>
        </w:rPr>
        <w:t>Exper</w:t>
      </w:r>
      <w:proofErr w:type="spellEnd"/>
      <w:r>
        <w:rPr>
          <w:rFonts w:eastAsia="sans-serif"/>
          <w:i/>
          <w:iCs/>
          <w:sz w:val="24"/>
          <w:szCs w:val="24"/>
          <w:shd w:val="clear" w:color="auto" w:fill="FFFFFF"/>
        </w:rPr>
        <w:t>. Microbiol</w:t>
      </w:r>
      <w:r>
        <w:rPr>
          <w:rFonts w:eastAsia="sans-serif"/>
          <w:sz w:val="24"/>
          <w:szCs w:val="24"/>
          <w:shd w:val="clear" w:color="auto" w:fill="FFFFFF"/>
        </w:rPr>
        <w:t>.</w:t>
      </w:r>
      <w:r>
        <w:rPr>
          <w:rFonts w:eastAsia="sans-serif"/>
          <w:sz w:val="24"/>
          <w:szCs w:val="24"/>
          <w:shd w:val="clear" w:color="auto" w:fill="FFFFFF"/>
        </w:rPr>
        <w:t xml:space="preserve"> </w:t>
      </w:r>
      <w:r>
        <w:rPr>
          <w:rFonts w:eastAsia="sans-serif"/>
          <w:sz w:val="24"/>
          <w:szCs w:val="24"/>
          <w:shd w:val="clear" w:color="auto" w:fill="FFFFFF"/>
        </w:rPr>
        <w:t>26 (3): 263 - 273</w:t>
      </w:r>
    </w:p>
    <w:p w:rsidR="00B84776" w:rsidRDefault="00C65940">
      <w:pPr>
        <w:pStyle w:val="ListParagraph"/>
        <w:numPr>
          <w:ilvl w:val="0"/>
          <w:numId w:val="3"/>
        </w:numPr>
        <w:tabs>
          <w:tab w:val="left" w:pos="460"/>
        </w:tabs>
        <w:spacing w:line="360" w:lineRule="auto"/>
        <w:ind w:right="97" w:firstLine="0"/>
        <w:rPr>
          <w:sz w:val="24"/>
          <w:szCs w:val="24"/>
          <w:lang w:val="en-GB"/>
        </w:rPr>
      </w:pPr>
      <w:proofErr w:type="spellStart"/>
      <w:r>
        <w:rPr>
          <w:rFonts w:eastAsia="SimSun"/>
          <w:color w:val="222222"/>
          <w:sz w:val="24"/>
          <w:szCs w:val="24"/>
          <w:shd w:val="clear" w:color="auto" w:fill="FFFFFF"/>
        </w:rPr>
        <w:t>Obidi</w:t>
      </w:r>
      <w:proofErr w:type="spellEnd"/>
      <w:r>
        <w:rPr>
          <w:rFonts w:eastAsia="SimSun"/>
          <w:color w:val="222222"/>
          <w:sz w:val="24"/>
          <w:szCs w:val="24"/>
          <w:shd w:val="clear" w:color="auto" w:fill="FFFFFF"/>
        </w:rPr>
        <w:t xml:space="preserve">, N., </w:t>
      </w:r>
      <w:proofErr w:type="spellStart"/>
      <w:r>
        <w:rPr>
          <w:rFonts w:eastAsia="SimSun"/>
          <w:color w:val="222222"/>
          <w:sz w:val="24"/>
          <w:szCs w:val="24"/>
          <w:shd w:val="clear" w:color="auto" w:fill="FFFFFF"/>
        </w:rPr>
        <w:t>Chukwunwejim</w:t>
      </w:r>
      <w:proofErr w:type="spellEnd"/>
      <w:r>
        <w:rPr>
          <w:rFonts w:eastAsia="SimSun"/>
          <w:color w:val="222222"/>
          <w:sz w:val="24"/>
          <w:szCs w:val="24"/>
          <w:shd w:val="clear" w:color="auto" w:fill="FFFFFF"/>
        </w:rPr>
        <w:t xml:space="preserve">, C. R., </w:t>
      </w:r>
      <w:proofErr w:type="spellStart"/>
      <w:r>
        <w:rPr>
          <w:rFonts w:eastAsia="SimSun"/>
          <w:color w:val="222222"/>
          <w:sz w:val="24"/>
          <w:szCs w:val="24"/>
          <w:shd w:val="clear" w:color="auto" w:fill="FFFFFF"/>
        </w:rPr>
        <w:t>Ekpunobi</w:t>
      </w:r>
      <w:proofErr w:type="spellEnd"/>
      <w:r>
        <w:rPr>
          <w:rFonts w:eastAsia="SimSun"/>
          <w:color w:val="222222"/>
          <w:sz w:val="24"/>
          <w:szCs w:val="24"/>
          <w:shd w:val="clear" w:color="auto" w:fill="FFFFFF"/>
        </w:rPr>
        <w:t>,</w:t>
      </w:r>
      <w:r>
        <w:rPr>
          <w:rFonts w:eastAsia="SimSun"/>
          <w:color w:val="222222"/>
          <w:sz w:val="24"/>
          <w:szCs w:val="24"/>
          <w:shd w:val="clear" w:color="auto" w:fill="FFFFFF"/>
        </w:rPr>
        <w:t xml:space="preserve"> N. F., </w:t>
      </w:r>
      <w:proofErr w:type="spellStart"/>
      <w:r>
        <w:rPr>
          <w:rFonts w:eastAsia="SimSun"/>
          <w:color w:val="222222"/>
          <w:sz w:val="24"/>
          <w:szCs w:val="24"/>
          <w:shd w:val="clear" w:color="auto" w:fill="FFFFFF"/>
        </w:rPr>
        <w:t>Obiajulu</w:t>
      </w:r>
      <w:proofErr w:type="spellEnd"/>
      <w:r>
        <w:rPr>
          <w:rFonts w:eastAsia="SimSun"/>
          <w:color w:val="222222"/>
          <w:sz w:val="24"/>
          <w:szCs w:val="24"/>
          <w:shd w:val="clear" w:color="auto" w:fill="FFFFFF"/>
        </w:rPr>
        <w:t xml:space="preserve">, A. C., </w:t>
      </w:r>
      <w:proofErr w:type="spellStart"/>
      <w:r>
        <w:rPr>
          <w:rFonts w:eastAsia="SimSun"/>
          <w:color w:val="222222"/>
          <w:sz w:val="24"/>
          <w:szCs w:val="24"/>
          <w:shd w:val="clear" w:color="auto" w:fill="FFFFFF"/>
        </w:rPr>
        <w:t>Obidi</w:t>
      </w:r>
      <w:proofErr w:type="spellEnd"/>
      <w:r>
        <w:rPr>
          <w:rFonts w:eastAsia="SimSun"/>
          <w:color w:val="222222"/>
          <w:sz w:val="24"/>
          <w:szCs w:val="24"/>
          <w:shd w:val="clear" w:color="auto" w:fill="FFFFFF"/>
        </w:rPr>
        <w:t xml:space="preserve">, N. L., &amp; Mirabelle, O. </w:t>
      </w:r>
      <w:r>
        <w:rPr>
          <w:rFonts w:eastAsia="SimSun"/>
          <w:color w:val="222222"/>
          <w:sz w:val="24"/>
          <w:szCs w:val="24"/>
          <w:shd w:val="clear" w:color="auto" w:fill="FFFFFF"/>
        </w:rPr>
        <w:t>(2025)</w:t>
      </w:r>
      <w:r>
        <w:rPr>
          <w:rFonts w:eastAsia="SimSun"/>
          <w:color w:val="222222"/>
          <w:sz w:val="24"/>
          <w:szCs w:val="24"/>
          <w:shd w:val="clear" w:color="auto" w:fill="FFFFFF"/>
        </w:rPr>
        <w:t>.</w:t>
      </w:r>
      <w:r>
        <w:rPr>
          <w:rFonts w:eastAsia="SimSun"/>
          <w:color w:val="222222"/>
          <w:sz w:val="24"/>
          <w:szCs w:val="24"/>
          <w:shd w:val="clear" w:color="auto" w:fill="FFFFFF"/>
        </w:rPr>
        <w:t xml:space="preserve"> </w:t>
      </w:r>
      <w:r>
        <w:rPr>
          <w:rFonts w:eastAsia="SimSun"/>
          <w:sz w:val="24"/>
          <w:szCs w:val="24"/>
        </w:rPr>
        <w:t>Parasitic diseases and coinfections: Unraveling the complex web of host-pathogen interactions, challenges and opportunities</w:t>
      </w:r>
      <w:r>
        <w:rPr>
          <w:rFonts w:eastAsia="SimSun"/>
          <w:sz w:val="24"/>
          <w:szCs w:val="24"/>
        </w:rPr>
        <w:t xml:space="preserve">. </w:t>
      </w:r>
      <w:r>
        <w:rPr>
          <w:rFonts w:eastAsia="SimSun"/>
          <w:i/>
          <w:iCs/>
          <w:sz w:val="24"/>
          <w:szCs w:val="24"/>
        </w:rPr>
        <w:t xml:space="preserve">IJMPR </w:t>
      </w:r>
      <w:r>
        <w:rPr>
          <w:rFonts w:eastAsia="SimSun"/>
          <w:sz w:val="24"/>
          <w:szCs w:val="24"/>
        </w:rPr>
        <w:t>2025, 9(6), 01-15</w:t>
      </w:r>
    </w:p>
    <w:p w:rsidR="00B84776" w:rsidRDefault="00B84776">
      <w:pPr>
        <w:pStyle w:val="ListParagraph"/>
        <w:rPr>
          <w:rStyle w:val="UnresolvedMention1"/>
        </w:rPr>
      </w:pPr>
    </w:p>
    <w:sectPr w:rsidR="00B84776">
      <w:pgSz w:w="11910" w:h="16840"/>
      <w:pgMar w:top="1360" w:right="170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5940" w:rsidRDefault="00C65940">
      <w:r>
        <w:separator/>
      </w:r>
    </w:p>
  </w:endnote>
  <w:endnote w:type="continuationSeparator" w:id="0">
    <w:p w:rsidR="00C65940" w:rsidRDefault="00C65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776" w:rsidRDefault="00B84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776" w:rsidRDefault="00B847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776" w:rsidRDefault="00B84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5940" w:rsidRDefault="00C65940">
      <w:r>
        <w:separator/>
      </w:r>
    </w:p>
  </w:footnote>
  <w:footnote w:type="continuationSeparator" w:id="0">
    <w:p w:rsidR="00C65940" w:rsidRDefault="00C65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776" w:rsidRDefault="00C65940">
    <w:pPr>
      <w:pStyle w:val="Header"/>
    </w:pPr>
    <w:r>
      <w:pict w14:anchorId="1A556C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45219" o:spid="_x0000_s2050" type="#_x0000_t136" style="position:absolute;margin-left:0;margin-top:0;width:539.85pt;height:59.95pt;rotation:315;z-index:-251656192;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776" w:rsidRDefault="00C65940">
    <w:pPr>
      <w:pStyle w:val="Header"/>
    </w:pPr>
    <w:r>
      <w:pict w14:anchorId="4765C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45220" o:spid="_x0000_s2051" type="#_x0000_t136" style="position:absolute;margin-left:0;margin-top:0;width:539.85pt;height:59.95pt;rotation:315;z-index:-251655168;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776" w:rsidRDefault="00C65940">
    <w:pPr>
      <w:pStyle w:val="Header"/>
    </w:pPr>
    <w:r>
      <w:pict w14:anchorId="50E64B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245218" o:spid="_x0000_s2049" type="#_x0000_t136" style="position:absolute;margin-left:0;margin-top:0;width:539.85pt;height:59.95pt;rotation:315;z-index:-251657216;mso-position-horizontal:center;mso-position-horizontal-relative:margin;mso-position-vertical:center;mso-position-vertical-relative:margin;mso-width-relative:page;mso-height-relative:page" o:allowincell="f" fillcolor="silver" stroked="f">
          <v:fill opacity=".5"/>
          <v:textpath style="font-family:&quot;Times New Roman&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205925"/>
    <w:multiLevelType w:val="multilevel"/>
    <w:tmpl w:val="BF205925"/>
    <w:lvl w:ilvl="0">
      <w:start w:val="1"/>
      <w:numFmt w:val="decimal"/>
      <w:lvlText w:val="%1."/>
      <w:lvlJc w:val="left"/>
      <w:pPr>
        <w:ind w:left="100" w:hanging="240"/>
      </w:pPr>
      <w:rPr>
        <w:rFonts w:hint="default"/>
        <w:spacing w:val="0"/>
        <w:w w:val="100"/>
        <w:sz w:val="20"/>
        <w:szCs w:val="20"/>
        <w:lang w:val="en-US" w:eastAsia="en-US" w:bidi="ar-SA"/>
      </w:rPr>
    </w:lvl>
    <w:lvl w:ilvl="1">
      <w:numFmt w:val="bullet"/>
      <w:lvlText w:val="•"/>
      <w:lvlJc w:val="left"/>
      <w:pPr>
        <w:ind w:left="940" w:hanging="240"/>
      </w:pPr>
      <w:rPr>
        <w:rFonts w:hint="default"/>
        <w:lang w:val="en-US" w:eastAsia="en-US" w:bidi="ar-SA"/>
      </w:rPr>
    </w:lvl>
    <w:lvl w:ilvl="2">
      <w:numFmt w:val="bullet"/>
      <w:lvlText w:val="•"/>
      <w:lvlJc w:val="left"/>
      <w:pPr>
        <w:ind w:left="1781" w:hanging="240"/>
      </w:pPr>
      <w:rPr>
        <w:rFonts w:hint="default"/>
        <w:lang w:val="en-US" w:eastAsia="en-US" w:bidi="ar-SA"/>
      </w:rPr>
    </w:lvl>
    <w:lvl w:ilvl="3">
      <w:numFmt w:val="bullet"/>
      <w:lvlText w:val="•"/>
      <w:lvlJc w:val="left"/>
      <w:pPr>
        <w:ind w:left="2621" w:hanging="240"/>
      </w:pPr>
      <w:rPr>
        <w:rFonts w:hint="default"/>
        <w:lang w:val="en-US" w:eastAsia="en-US" w:bidi="ar-SA"/>
      </w:rPr>
    </w:lvl>
    <w:lvl w:ilvl="4">
      <w:numFmt w:val="bullet"/>
      <w:lvlText w:val="•"/>
      <w:lvlJc w:val="left"/>
      <w:pPr>
        <w:ind w:left="3462" w:hanging="240"/>
      </w:pPr>
      <w:rPr>
        <w:rFonts w:hint="default"/>
        <w:lang w:val="en-US" w:eastAsia="en-US" w:bidi="ar-SA"/>
      </w:rPr>
    </w:lvl>
    <w:lvl w:ilvl="5">
      <w:numFmt w:val="bullet"/>
      <w:lvlText w:val="•"/>
      <w:lvlJc w:val="left"/>
      <w:pPr>
        <w:ind w:left="4303" w:hanging="240"/>
      </w:pPr>
      <w:rPr>
        <w:rFonts w:hint="default"/>
        <w:lang w:val="en-US" w:eastAsia="en-US" w:bidi="ar-SA"/>
      </w:rPr>
    </w:lvl>
    <w:lvl w:ilvl="6">
      <w:numFmt w:val="bullet"/>
      <w:lvlText w:val="•"/>
      <w:lvlJc w:val="left"/>
      <w:pPr>
        <w:ind w:left="5143" w:hanging="240"/>
      </w:pPr>
      <w:rPr>
        <w:rFonts w:hint="default"/>
        <w:lang w:val="en-US" w:eastAsia="en-US" w:bidi="ar-SA"/>
      </w:rPr>
    </w:lvl>
    <w:lvl w:ilvl="7">
      <w:numFmt w:val="bullet"/>
      <w:lvlText w:val="•"/>
      <w:lvlJc w:val="left"/>
      <w:pPr>
        <w:ind w:left="5984" w:hanging="240"/>
      </w:pPr>
      <w:rPr>
        <w:rFonts w:hint="default"/>
        <w:lang w:val="en-US" w:eastAsia="en-US" w:bidi="ar-SA"/>
      </w:rPr>
    </w:lvl>
    <w:lvl w:ilvl="8">
      <w:numFmt w:val="bullet"/>
      <w:lvlText w:val="•"/>
      <w:lvlJc w:val="left"/>
      <w:pPr>
        <w:ind w:left="6824" w:hanging="240"/>
      </w:pPr>
      <w:rPr>
        <w:rFonts w:hint="default"/>
        <w:lang w:val="en-US" w:eastAsia="en-US" w:bidi="ar-SA"/>
      </w:rPr>
    </w:lvl>
  </w:abstractNum>
  <w:abstractNum w:abstractNumId="1" w15:restartNumberingAfterBreak="0">
    <w:nsid w:val="CF092B84"/>
    <w:multiLevelType w:val="multilevel"/>
    <w:tmpl w:val="CF092B84"/>
    <w:lvl w:ilvl="0">
      <w:start w:val="1"/>
      <w:numFmt w:val="decimal"/>
      <w:lvlText w:val="%1."/>
      <w:lvlJc w:val="left"/>
      <w:pPr>
        <w:ind w:left="34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46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520" w:hanging="420"/>
      </w:pPr>
      <w:rPr>
        <w:rFonts w:ascii="Wingdings" w:eastAsia="Wingdings" w:hAnsi="Wingdings" w:cs="Wingdings" w:hint="default"/>
        <w:b w:val="0"/>
        <w:bCs w:val="0"/>
        <w:i w:val="0"/>
        <w:iCs w:val="0"/>
        <w:spacing w:val="0"/>
        <w:w w:val="100"/>
        <w:sz w:val="13"/>
        <w:szCs w:val="13"/>
        <w:lang w:val="en-US" w:eastAsia="en-US" w:bidi="ar-SA"/>
      </w:rPr>
    </w:lvl>
    <w:lvl w:ilvl="3">
      <w:numFmt w:val="bullet"/>
      <w:lvlText w:val="•"/>
      <w:lvlJc w:val="left"/>
      <w:pPr>
        <w:ind w:left="580" w:hanging="420"/>
      </w:pPr>
      <w:rPr>
        <w:rFonts w:hint="default"/>
        <w:lang w:val="en-US" w:eastAsia="en-US" w:bidi="ar-SA"/>
      </w:rPr>
    </w:lvl>
    <w:lvl w:ilvl="4">
      <w:numFmt w:val="bullet"/>
      <w:lvlText w:val="•"/>
      <w:lvlJc w:val="left"/>
      <w:pPr>
        <w:ind w:left="940" w:hanging="420"/>
      </w:pPr>
      <w:rPr>
        <w:rFonts w:hint="default"/>
        <w:lang w:val="en-US" w:eastAsia="en-US" w:bidi="ar-SA"/>
      </w:rPr>
    </w:lvl>
    <w:lvl w:ilvl="5">
      <w:numFmt w:val="bullet"/>
      <w:lvlText w:val="•"/>
      <w:lvlJc w:val="left"/>
      <w:pPr>
        <w:ind w:left="2201" w:hanging="420"/>
      </w:pPr>
      <w:rPr>
        <w:rFonts w:hint="default"/>
        <w:lang w:val="en-US" w:eastAsia="en-US" w:bidi="ar-SA"/>
      </w:rPr>
    </w:lvl>
    <w:lvl w:ilvl="6">
      <w:numFmt w:val="bullet"/>
      <w:lvlText w:val="•"/>
      <w:lvlJc w:val="left"/>
      <w:pPr>
        <w:ind w:left="3462" w:hanging="420"/>
      </w:pPr>
      <w:rPr>
        <w:rFonts w:hint="default"/>
        <w:lang w:val="en-US" w:eastAsia="en-US" w:bidi="ar-SA"/>
      </w:rPr>
    </w:lvl>
    <w:lvl w:ilvl="7">
      <w:numFmt w:val="bullet"/>
      <w:lvlText w:val="•"/>
      <w:lvlJc w:val="left"/>
      <w:pPr>
        <w:ind w:left="4723" w:hanging="420"/>
      </w:pPr>
      <w:rPr>
        <w:rFonts w:hint="default"/>
        <w:lang w:val="en-US" w:eastAsia="en-US" w:bidi="ar-SA"/>
      </w:rPr>
    </w:lvl>
    <w:lvl w:ilvl="8">
      <w:numFmt w:val="bullet"/>
      <w:lvlText w:val="•"/>
      <w:lvlJc w:val="left"/>
      <w:pPr>
        <w:ind w:left="5984" w:hanging="420"/>
      </w:pPr>
      <w:rPr>
        <w:rFonts w:hint="default"/>
        <w:lang w:val="en-US" w:eastAsia="en-US" w:bidi="ar-SA"/>
      </w:rPr>
    </w:lvl>
  </w:abstractNum>
  <w:abstractNum w:abstractNumId="2" w15:restartNumberingAfterBreak="0">
    <w:nsid w:val="1AF42F28"/>
    <w:multiLevelType w:val="multilevel"/>
    <w:tmpl w:val="CF092B84"/>
    <w:lvl w:ilvl="0">
      <w:start w:val="1"/>
      <w:numFmt w:val="decimal"/>
      <w:lvlText w:val="%1."/>
      <w:lvlJc w:val="left"/>
      <w:pPr>
        <w:ind w:left="340" w:hanging="24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460" w:hanging="360"/>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520" w:hanging="420"/>
      </w:pPr>
      <w:rPr>
        <w:rFonts w:ascii="Wingdings" w:eastAsia="Wingdings" w:hAnsi="Wingdings" w:cs="Wingdings" w:hint="default"/>
        <w:b w:val="0"/>
        <w:bCs w:val="0"/>
        <w:i w:val="0"/>
        <w:iCs w:val="0"/>
        <w:spacing w:val="0"/>
        <w:w w:val="100"/>
        <w:sz w:val="13"/>
        <w:szCs w:val="13"/>
        <w:lang w:val="en-US" w:eastAsia="en-US" w:bidi="ar-SA"/>
      </w:rPr>
    </w:lvl>
    <w:lvl w:ilvl="3">
      <w:numFmt w:val="bullet"/>
      <w:lvlText w:val="•"/>
      <w:lvlJc w:val="left"/>
      <w:pPr>
        <w:ind w:left="580" w:hanging="420"/>
      </w:pPr>
      <w:rPr>
        <w:rFonts w:hint="default"/>
        <w:lang w:val="en-US" w:eastAsia="en-US" w:bidi="ar-SA"/>
      </w:rPr>
    </w:lvl>
    <w:lvl w:ilvl="4">
      <w:numFmt w:val="bullet"/>
      <w:lvlText w:val="•"/>
      <w:lvlJc w:val="left"/>
      <w:pPr>
        <w:ind w:left="940" w:hanging="420"/>
      </w:pPr>
      <w:rPr>
        <w:rFonts w:hint="default"/>
        <w:lang w:val="en-US" w:eastAsia="en-US" w:bidi="ar-SA"/>
      </w:rPr>
    </w:lvl>
    <w:lvl w:ilvl="5">
      <w:numFmt w:val="bullet"/>
      <w:lvlText w:val="•"/>
      <w:lvlJc w:val="left"/>
      <w:pPr>
        <w:ind w:left="2201" w:hanging="420"/>
      </w:pPr>
      <w:rPr>
        <w:rFonts w:hint="default"/>
        <w:lang w:val="en-US" w:eastAsia="en-US" w:bidi="ar-SA"/>
      </w:rPr>
    </w:lvl>
    <w:lvl w:ilvl="6">
      <w:numFmt w:val="bullet"/>
      <w:lvlText w:val="•"/>
      <w:lvlJc w:val="left"/>
      <w:pPr>
        <w:ind w:left="3462" w:hanging="420"/>
      </w:pPr>
      <w:rPr>
        <w:rFonts w:hint="default"/>
        <w:lang w:val="en-US" w:eastAsia="en-US" w:bidi="ar-SA"/>
      </w:rPr>
    </w:lvl>
    <w:lvl w:ilvl="7">
      <w:numFmt w:val="bullet"/>
      <w:lvlText w:val="•"/>
      <w:lvlJc w:val="left"/>
      <w:pPr>
        <w:ind w:left="4723" w:hanging="420"/>
      </w:pPr>
      <w:rPr>
        <w:rFonts w:hint="default"/>
        <w:lang w:val="en-US" w:eastAsia="en-US" w:bidi="ar-SA"/>
      </w:rPr>
    </w:lvl>
    <w:lvl w:ilvl="8">
      <w:numFmt w:val="bullet"/>
      <w:lvlText w:val="•"/>
      <w:lvlJc w:val="left"/>
      <w:pPr>
        <w:ind w:left="5984" w:hanging="420"/>
      </w:pPr>
      <w:rPr>
        <w:rFonts w:hint="default"/>
        <w:lang w:val="en-US" w:eastAsia="en-US" w:bidi="ar-SA"/>
      </w:rPr>
    </w:lvl>
  </w:abstractNum>
  <w:abstractNum w:abstractNumId="3" w15:restartNumberingAfterBreak="0">
    <w:nsid w:val="59ADCABA"/>
    <w:multiLevelType w:val="multilevel"/>
    <w:tmpl w:val="59ADCABA"/>
    <w:lvl w:ilvl="0">
      <w:numFmt w:val="bullet"/>
      <w:lvlText w:val=""/>
      <w:lvlJc w:val="left"/>
      <w:pPr>
        <w:ind w:left="940" w:hanging="420"/>
      </w:pPr>
      <w:rPr>
        <w:rFonts w:ascii="Wingdings" w:eastAsia="Wingdings" w:hAnsi="Wingdings" w:cs="Wingdings" w:hint="default"/>
        <w:b w:val="0"/>
        <w:bCs w:val="0"/>
        <w:i w:val="0"/>
        <w:iCs w:val="0"/>
        <w:spacing w:val="0"/>
        <w:w w:val="100"/>
        <w:sz w:val="13"/>
        <w:szCs w:val="13"/>
        <w:lang w:val="en-US" w:eastAsia="en-US" w:bidi="ar-SA"/>
      </w:rPr>
    </w:lvl>
    <w:lvl w:ilvl="1">
      <w:numFmt w:val="bullet"/>
      <w:lvlText w:val="•"/>
      <w:lvlJc w:val="left"/>
      <w:pPr>
        <w:ind w:left="1696" w:hanging="420"/>
      </w:pPr>
      <w:rPr>
        <w:rFonts w:hint="default"/>
        <w:lang w:val="en-US" w:eastAsia="en-US" w:bidi="ar-SA"/>
      </w:rPr>
    </w:lvl>
    <w:lvl w:ilvl="2">
      <w:numFmt w:val="bullet"/>
      <w:lvlText w:val="•"/>
      <w:lvlJc w:val="left"/>
      <w:pPr>
        <w:ind w:left="2453" w:hanging="420"/>
      </w:pPr>
      <w:rPr>
        <w:rFonts w:hint="default"/>
        <w:lang w:val="en-US" w:eastAsia="en-US" w:bidi="ar-SA"/>
      </w:rPr>
    </w:lvl>
    <w:lvl w:ilvl="3">
      <w:numFmt w:val="bullet"/>
      <w:lvlText w:val="•"/>
      <w:lvlJc w:val="left"/>
      <w:pPr>
        <w:ind w:left="3209" w:hanging="420"/>
      </w:pPr>
      <w:rPr>
        <w:rFonts w:hint="default"/>
        <w:lang w:val="en-US" w:eastAsia="en-US" w:bidi="ar-SA"/>
      </w:rPr>
    </w:lvl>
    <w:lvl w:ilvl="4">
      <w:numFmt w:val="bullet"/>
      <w:lvlText w:val="•"/>
      <w:lvlJc w:val="left"/>
      <w:pPr>
        <w:ind w:left="3966" w:hanging="420"/>
      </w:pPr>
      <w:rPr>
        <w:rFonts w:hint="default"/>
        <w:lang w:val="en-US" w:eastAsia="en-US" w:bidi="ar-SA"/>
      </w:rPr>
    </w:lvl>
    <w:lvl w:ilvl="5">
      <w:numFmt w:val="bullet"/>
      <w:lvlText w:val="•"/>
      <w:lvlJc w:val="left"/>
      <w:pPr>
        <w:ind w:left="4723" w:hanging="420"/>
      </w:pPr>
      <w:rPr>
        <w:rFonts w:hint="default"/>
        <w:lang w:val="en-US" w:eastAsia="en-US" w:bidi="ar-SA"/>
      </w:rPr>
    </w:lvl>
    <w:lvl w:ilvl="6">
      <w:numFmt w:val="bullet"/>
      <w:lvlText w:val="•"/>
      <w:lvlJc w:val="left"/>
      <w:pPr>
        <w:ind w:left="5479" w:hanging="420"/>
      </w:pPr>
      <w:rPr>
        <w:rFonts w:hint="default"/>
        <w:lang w:val="en-US" w:eastAsia="en-US" w:bidi="ar-SA"/>
      </w:rPr>
    </w:lvl>
    <w:lvl w:ilvl="7">
      <w:numFmt w:val="bullet"/>
      <w:lvlText w:val="•"/>
      <w:lvlJc w:val="left"/>
      <w:pPr>
        <w:ind w:left="6236" w:hanging="420"/>
      </w:pPr>
      <w:rPr>
        <w:rFonts w:hint="default"/>
        <w:lang w:val="en-US" w:eastAsia="en-US" w:bidi="ar-SA"/>
      </w:rPr>
    </w:lvl>
    <w:lvl w:ilvl="8">
      <w:numFmt w:val="bullet"/>
      <w:lvlText w:val="•"/>
      <w:lvlJc w:val="left"/>
      <w:pPr>
        <w:ind w:left="6992" w:hanging="420"/>
      </w:pPr>
      <w:rPr>
        <w:rFonts w:hint="default"/>
        <w:lang w:val="en-US"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6529FB"/>
    <w:rsid w:val="001D7EAB"/>
    <w:rsid w:val="00207647"/>
    <w:rsid w:val="00215ED6"/>
    <w:rsid w:val="00276E22"/>
    <w:rsid w:val="002B26BF"/>
    <w:rsid w:val="002C4F4A"/>
    <w:rsid w:val="003F4170"/>
    <w:rsid w:val="004E0F73"/>
    <w:rsid w:val="006529FB"/>
    <w:rsid w:val="00736481"/>
    <w:rsid w:val="008F0F9E"/>
    <w:rsid w:val="00A267D8"/>
    <w:rsid w:val="00B00326"/>
    <w:rsid w:val="00B84776"/>
    <w:rsid w:val="00C65940"/>
    <w:rsid w:val="00D55AF3"/>
    <w:rsid w:val="00E42B86"/>
    <w:rsid w:val="13FB1DD5"/>
    <w:rsid w:val="414242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4C29845C"/>
  <w15:docId w15:val="{68BBC3D9-BA75-49FA-9D78-92D06BA3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1">
    <w:name w:val="heading 1"/>
    <w:basedOn w:val="Normal"/>
    <w:uiPriority w:val="1"/>
    <w:qFormat/>
    <w:pPr>
      <w:ind w:left="340" w:hanging="240"/>
      <w:outlineLvl w:val="0"/>
    </w:pPr>
    <w:rPr>
      <w:b/>
      <w:bCs/>
      <w:sz w:val="24"/>
      <w:szCs w:val="24"/>
    </w:rPr>
  </w:style>
  <w:style w:type="paragraph" w:styleId="Heading2">
    <w:name w:val="heading 2"/>
    <w:basedOn w:val="Normal"/>
    <w:uiPriority w:val="1"/>
    <w:qFormat/>
    <w:pPr>
      <w:ind w:left="460" w:hanging="360"/>
      <w:jc w:val="both"/>
      <w:outlineLvl w:val="1"/>
    </w:pPr>
    <w:rPr>
      <w:b/>
      <w:bCs/>
      <w:sz w:val="24"/>
      <w:szCs w:val="24"/>
    </w:rPr>
  </w:style>
  <w:style w:type="paragraph" w:styleId="Heading3">
    <w:name w:val="heading 3"/>
    <w:basedOn w:val="Normal"/>
    <w:uiPriority w:val="1"/>
    <w:qFormat/>
    <w:pPr>
      <w:ind w:left="100"/>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24"/>
      <w:szCs w:val="24"/>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character" w:styleId="Hyperlink">
    <w:name w:val="Hyperlink"/>
    <w:basedOn w:val="DefaultParagraphFont"/>
    <w:rPr>
      <w:color w:val="0000FF" w:themeColor="hyperlink"/>
      <w:u w:val="single"/>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100"/>
      <w:jc w:val="both"/>
    </w:pPr>
  </w:style>
  <w:style w:type="paragraph" w:customStyle="1" w:styleId="TableParagraph">
    <w:name w:val="Table Paragraph"/>
    <w:basedOn w:val="Normal"/>
    <w:uiPriority w:val="1"/>
    <w:qForma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rPr>
      <w:rFonts w:eastAsia="Times New Roman"/>
      <w:sz w:val="22"/>
      <w:szCs w:val="22"/>
      <w:lang w:val="en-US" w:eastAsia="en-US"/>
    </w:rPr>
  </w:style>
  <w:style w:type="character" w:customStyle="1" w:styleId="FooterChar">
    <w:name w:val="Footer Char"/>
    <w:basedOn w:val="DefaultParagraphFont"/>
    <w:link w:val="Footer"/>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1097/MOP.0000000000000182" TargetMode="External"/><Relationship Id="rId21" Type="http://schemas.openxmlformats.org/officeDocument/2006/relationships/hyperlink" Target="https://doi.org/10.35841/2591-7781.19.1000181" TargetMode="External"/><Relationship Id="rId42" Type="http://schemas.openxmlformats.org/officeDocument/2006/relationships/hyperlink" Target="https://doi.org/10.1186/s13756-017-0208-x" TargetMode="External"/><Relationship Id="rId47" Type="http://schemas.openxmlformats.org/officeDocument/2006/relationships/hyperlink" Target="https://doi.org/10.1016/j.jgar.2018.11.025" TargetMode="External"/><Relationship Id="rId63" Type="http://schemas.openxmlformats.org/officeDocument/2006/relationships/hyperlink" Target="https://doi.org/10.3892/etm.2021.10180" TargetMode="External"/><Relationship Id="rId68" Type="http://schemas.openxmlformats.org/officeDocument/2006/relationships/hyperlink" Target="https://doi.org/10.15406/jmen.2020.08.00313" TargetMode="External"/><Relationship Id="rId84" Type="http://schemas.openxmlformats.org/officeDocument/2006/relationships/hyperlink" Target="https://doi.org/10.1128/CMR.00048-19" TargetMode="External"/><Relationship Id="rId89" Type="http://schemas.openxmlformats.org/officeDocument/2006/relationships/hyperlink" Target="https://doi.org/10.9734/jpri/2021/v33i24A31431" TargetMode="External"/><Relationship Id="rId16" Type="http://schemas.openxmlformats.org/officeDocument/2006/relationships/image" Target="media/image3.jpeg"/><Relationship Id="rId11" Type="http://schemas.openxmlformats.org/officeDocument/2006/relationships/footer" Target="footer2.xml"/><Relationship Id="rId32" Type="http://schemas.openxmlformats.org/officeDocument/2006/relationships/hyperlink" Target="https://www.ecdc.europa.eu/en/publications-data/surveillance-antimicrobial-resistance-europe-2019" TargetMode="External"/><Relationship Id="rId37" Type="http://schemas.openxmlformats.org/officeDocument/2006/relationships/hyperlink" Target="https://doi.org/10.1001/jamainternmed.2017.1938" TargetMode="External"/><Relationship Id="rId53" Type="http://schemas.openxmlformats.org/officeDocument/2006/relationships/hyperlink" Target="https://doi.org/10.1128/CMR.18.4.657-686.2005" TargetMode="External"/><Relationship Id="rId58" Type="http://schemas.openxmlformats.org/officeDocument/2006/relationships/hyperlink" Target="https://doi.org/10.1056/NEJMra041359" TargetMode="External"/><Relationship Id="rId74" Type="http://schemas.openxmlformats.org/officeDocument/2006/relationships/hyperlink" Target="https://doi.org/10.1111/j.1469-0691.2011.03570.x" TargetMode="External"/><Relationship Id="rId79" Type="http://schemas.openxmlformats.org/officeDocument/2006/relationships/hyperlink" Target="https://doi.org/10.30574/gscbps.2023.25.3.0517"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image" Target="media/image1.jpeg"/><Relationship Id="rId22" Type="http://schemas.openxmlformats.org/officeDocument/2006/relationships/hyperlink" Target="https://doi.org/10.30574/gscbps.2024.26.2.0527" TargetMode="External"/><Relationship Id="rId27" Type="http://schemas.openxmlformats.org/officeDocument/2006/relationships/hyperlink" Target="https://doi.org/10.1093/cid/civ020" TargetMode="External"/><Relationship Id="rId30" Type="http://schemas.openxmlformats.org/officeDocument/2006/relationships/hyperlink" Target="https://doi.org/10.1016/j.ajic.2024.03.009" TargetMode="External"/><Relationship Id="rId35" Type="http://schemas.openxmlformats.org/officeDocument/2006/relationships/hyperlink" Target="https://doi.org/10.1186/s12879-016-1655-3" TargetMode="External"/><Relationship Id="rId43" Type="http://schemas.openxmlformats.org/officeDocument/2006/relationships/hyperlink" Target="https://doi.org/10.1016/j.ijantimicag.2010.08.019" TargetMode="External"/><Relationship Id="rId48" Type="http://schemas.openxmlformats.org/officeDocument/2006/relationships/hyperlink" Target="https://www.ajol.info/index.php/ajcem/article/view/203077" TargetMode="External"/><Relationship Id="rId56" Type="http://schemas.openxmlformats.org/officeDocument/2006/relationships/hyperlink" Target="https://doi.org/10.1128/AAC.48.1.1-14.2004" TargetMode="External"/><Relationship Id="rId64" Type="http://schemas.openxmlformats.org/officeDocument/2006/relationships/hyperlink" Target="https://doi.org/10.1128/CMR.00125-13" TargetMode="External"/><Relationship Id="rId69" Type="http://schemas.openxmlformats.org/officeDocument/2006/relationships/hyperlink" Target="https://doi.org/10.1093/jpids/piu010" TargetMode="External"/><Relationship Id="rId77" Type="http://schemas.openxmlformats.org/officeDocument/2006/relationships/hyperlink" Target="https://doi.org/10.1093/nar/28.12.e63" TargetMode="External"/><Relationship Id="rId8" Type="http://schemas.openxmlformats.org/officeDocument/2006/relationships/header" Target="header1.xml"/><Relationship Id="rId51" Type="http://schemas.openxmlformats.org/officeDocument/2006/relationships/hyperlink" Target="https://doi.org/10.1016/j.jgar.2019.09.007" TargetMode="External"/><Relationship Id="rId72" Type="http://schemas.openxmlformats.org/officeDocument/2006/relationships/hyperlink" Target="https://doi.org/10.1016/j.jpurol.2014.04.001" TargetMode="External"/><Relationship Id="rId80" Type="http://schemas.openxmlformats.org/officeDocument/2006/relationships/hyperlink" Target="https://doi.org/10.3390/antibiotics8030143" TargetMode="External"/><Relationship Id="rId85" Type="http://schemas.openxmlformats.org/officeDocument/2006/relationships/hyperlink" Target="https://www.nice.org.uk/guidance/cg54"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371/journal.pone.0174199" TargetMode="External"/><Relationship Id="rId25" Type="http://schemas.openxmlformats.org/officeDocument/2006/relationships/hyperlink" Target="https://doi.org/10.1136/jcp.2009.074617" TargetMode="External"/><Relationship Id="rId33" Type="http://schemas.openxmlformats.org/officeDocument/2006/relationships/hyperlink" Target="https://www.ecdc.europa.eu/en/publications-data/surveillance-antimicrobial-resistance-europe-2019" TargetMode="External"/><Relationship Id="rId38" Type="http://schemas.openxmlformats.org/officeDocument/2006/relationships/hyperlink" Target="https://doi.org/10.3389/fpubh.2020.575536" TargetMode="External"/><Relationship Id="rId46" Type="http://schemas.openxmlformats.org/officeDocument/2006/relationships/hyperlink" Target="https://doi.org/10.1186/s12879-024-10096-7" TargetMode="External"/><Relationship Id="rId59" Type="http://schemas.openxmlformats.org/officeDocument/2006/relationships/hyperlink" Target="https://doi.org/10.1016/j.ijmm.2013.02.008" TargetMode="External"/><Relationship Id="rId67" Type="http://schemas.openxmlformats.org/officeDocument/2006/relationships/hyperlink" Target="https://doi.org/10.15406/jmen.2022.10.00367" TargetMode="External"/><Relationship Id="rId20" Type="http://schemas.openxmlformats.org/officeDocument/2006/relationships/hyperlink" Target="https://doi.org/10.1542/peds.2015-2982" TargetMode="External"/><Relationship Id="rId41" Type="http://schemas.openxmlformats.org/officeDocument/2006/relationships/hyperlink" Target="https://amr-review.org/" TargetMode="External"/><Relationship Id="rId54" Type="http://schemas.openxmlformats.org/officeDocument/2006/relationships/hyperlink" Target="https://doi.org/10.3389/fmicb.2012.00110" TargetMode="External"/><Relationship Id="rId62" Type="http://schemas.openxmlformats.org/officeDocument/2006/relationships/hyperlink" Target="https://doi.org/10.1128/CMR.00116-14" TargetMode="External"/><Relationship Id="rId70" Type="http://schemas.openxmlformats.org/officeDocument/2006/relationships/hyperlink" Target="https://doi.org/10.3399/BJGP.2023.0174" TargetMode="External"/><Relationship Id="rId75" Type="http://schemas.openxmlformats.org/officeDocument/2006/relationships/hyperlink" Target="https://doi.org/10.1016/S1473-3099(08)70041-0" TargetMode="External"/><Relationship Id="rId83" Type="http://schemas.openxmlformats.org/officeDocument/2006/relationships/hyperlink" Target="http://dx.doi.org/10.30699/ijmm.14.3.290" TargetMode="External"/><Relationship Id="rId88" Type="http://schemas.openxmlformats.org/officeDocument/2006/relationships/hyperlink" Target="https://doi.org/10.1080/21548331.2018.1475997"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doi.org/10.30574/msabp.2025.15.1.0035" TargetMode="External"/><Relationship Id="rId28" Type="http://schemas.openxmlformats.org/officeDocument/2006/relationships/hyperlink" Target="https://doi.org/10.1016/j.juro.2013.01.069" TargetMode="External"/><Relationship Id="rId36" Type="http://schemas.openxmlformats.org/officeDocument/2006/relationships/hyperlink" Target="https://doi.org/10.1186/s12879-016-1655-3" TargetMode="External"/><Relationship Id="rId49" Type="http://schemas.openxmlformats.org/officeDocument/2006/relationships/hyperlink" Target="https://doi.org/10.1093/jac/dkac342" TargetMode="External"/><Relationship Id="rId57" Type="http://schemas.openxmlformats.org/officeDocument/2006/relationships/hyperlink" Target="https://doi.org/10.1128/CMR.14.4.933-951.2001" TargetMode="External"/><Relationship Id="rId10" Type="http://schemas.openxmlformats.org/officeDocument/2006/relationships/footer" Target="footer1.xml"/><Relationship Id="rId31" Type="http://schemas.openxmlformats.org/officeDocument/2006/relationships/hyperlink" Target="https://doi.org/10.1016/j.cmi.2016.05.003" TargetMode="External"/><Relationship Id="rId44" Type="http://schemas.openxmlformats.org/officeDocument/2006/relationships/hyperlink" Target="https://doi.org/10.1556/030.2022.01747" TargetMode="External"/><Relationship Id="rId52" Type="http://schemas.openxmlformats.org/officeDocument/2006/relationships/hyperlink" Target="https://doi.org/10.1128/CMR.00047-19" TargetMode="External"/><Relationship Id="rId60" Type="http://schemas.openxmlformats.org/officeDocument/2006/relationships/hyperlink" Target="https://doi.org/10.1128/CMR.00079-17" TargetMode="External"/><Relationship Id="rId65" Type="http://schemas.openxmlformats.org/officeDocument/2006/relationships/hyperlink" Target="https://doi.org/10.1073/pnas.1903002116" TargetMode="External"/><Relationship Id="rId73" Type="http://schemas.openxmlformats.org/officeDocument/2006/relationships/hyperlink" Target="https://doi.org/10.1016/S1473-3099(13)70318-9" TargetMode="External"/><Relationship Id="rId78" Type="http://schemas.openxmlformats.org/officeDocument/2006/relationships/hyperlink" Target="https://doi.org/10.1016/j.cca.2019.03.008" TargetMode="External"/><Relationship Id="rId81" Type="http://schemas.openxmlformats.org/officeDocument/2006/relationships/hyperlink" Target="https://doi.org/10.1016/j.tim.2006.07.008" TargetMode="External"/><Relationship Id="rId86" Type="http://schemas.openxmlformats.org/officeDocument/2006/relationships/hyperlink" Target="https://doi.org/10.3201/eid1710.110655"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136/archdischild-2013-304428" TargetMode="External"/><Relationship Id="rId39" Type="http://schemas.openxmlformats.org/officeDocument/2006/relationships/hyperlink" Target="https://doi.org/10.1016/j.bjid.2019.03.002" TargetMode="External"/><Relationship Id="rId34" Type="http://schemas.openxmlformats.org/officeDocument/2006/relationships/hyperlink" Target="https://doi.org/10.1016/S1473-3099(13)70318-9" TargetMode="External"/><Relationship Id="rId50" Type="http://schemas.openxmlformats.org/officeDocument/2006/relationships/hyperlink" Target="https://www.who.int/publications/i/item/9789240027336" TargetMode="External"/><Relationship Id="rId55" Type="http://schemas.openxmlformats.org/officeDocument/2006/relationships/hyperlink" Target="https://doi.org/10.1093/jac/dkx146" TargetMode="External"/><Relationship Id="rId76" Type="http://schemas.openxmlformats.org/officeDocument/2006/relationships/hyperlink" Target="https://doi.org/10.1093/jac/dkn444" TargetMode="External"/><Relationship Id="rId7" Type="http://schemas.openxmlformats.org/officeDocument/2006/relationships/endnotes" Target="endnotes.xml"/><Relationship Id="rId71" Type="http://schemas.openxmlformats.org/officeDocument/2006/relationships/hyperlink" Target="https://doi.org/10.1155/2012/943653" TargetMode="External"/><Relationship Id="rId2" Type="http://schemas.openxmlformats.org/officeDocument/2006/relationships/numbering" Target="numbering.xml"/><Relationship Id="rId29" Type="http://schemas.openxmlformats.org/officeDocument/2006/relationships/hyperlink" Target="https://doi.org/10.1186/s13756-016-0168-6" TargetMode="External"/><Relationship Id="rId24" Type="http://schemas.openxmlformats.org/officeDocument/2006/relationships/hyperlink" Target="https://doi.org/10.1136/bmj.i939" TargetMode="External"/><Relationship Id="rId40" Type="http://schemas.openxmlformats.org/officeDocument/2006/relationships/hyperlink" Target="https://doi.org/10.1128/CMR.00023-13" TargetMode="External"/><Relationship Id="rId45" Type="http://schemas.openxmlformats.org/officeDocument/2006/relationships/hyperlink" Target="https://doi.org/10.1016/j.jinf.2018.07.001" TargetMode="External"/><Relationship Id="rId66" Type="http://schemas.openxmlformats.org/officeDocument/2006/relationships/hyperlink" Target="https://doi.org/10.1128/mBio.02162-15" TargetMode="External"/><Relationship Id="rId87" Type="http://schemas.openxmlformats.org/officeDocument/2006/relationships/hyperlink" Target="https://doi.org/10.1542/peds.2013-3260" TargetMode="External"/><Relationship Id="rId61" Type="http://schemas.openxmlformats.org/officeDocument/2006/relationships/hyperlink" Target="https://doi.org/10.3201/eid1402.070350" TargetMode="External"/><Relationship Id="rId82" Type="http://schemas.openxmlformats.org/officeDocument/2006/relationships/hyperlink" Target="https://doi.org/10.3390/medsci6010001" TargetMode="External"/><Relationship Id="rId19" Type="http://schemas.openxmlformats.org/officeDocument/2006/relationships/hyperlink" Target="https://doi.org/10.1136/archdischild-2013-3044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34</Pages>
  <Words>10574</Words>
  <Characters>60274</Characters>
  <Application>Microsoft Office Word</Application>
  <DocSecurity>0</DocSecurity>
  <Lines>502</Lines>
  <Paragraphs>141</Paragraphs>
  <ScaleCrop>false</ScaleCrop>
  <Company/>
  <LinksUpToDate>false</LinksUpToDate>
  <CharactersWithSpaces>70707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nzube ekpunobi</dc:creator>
  <cp:lastModifiedBy>SDI 1089</cp:lastModifiedBy>
  <cp:revision>10</cp:revision>
  <dcterms:created xsi:type="dcterms:W3CDTF">2025-07-09T12:55:00Z</dcterms:created>
  <dcterms:modified xsi:type="dcterms:W3CDTF">2025-07-19T05:29:00Z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2025-05-24T00:00:00Z</vt:filetime>
  </property>
  <property fmtid="{D5CDD505-2E9C-101B-9397-08002B2CF9AE}" pid="3" name="Creator">
    <vt:lpwstr>WPS Writer</vt:lpwstr>
  </property>
  <property fmtid="{D5CDD505-2E9C-101B-9397-08002B2CF9AE}" pid="4" name="LastSaved">
    <vt:filetime>2025-07-09T00:00:00Z</vt:filetime>
  </property>
  <property fmtid="{D5CDD505-2E9C-101B-9397-08002B2CF9AE}" pid="5" name="SourceModified">
    <vt:lpwstr>D:20250524093944+01'00'</vt:lpwstr>
  </property>
  <property fmtid="{D5CDD505-2E9C-101B-9397-08002B2CF9AE}" pid="6" name="KSOProductBuildVer">
    <vt:lpwstr>1033-12.2.0.21931</vt:lpwstr>
  </property>
  <property fmtid="{D5CDD505-2E9C-101B-9397-08002B2CF9AE}" pid="7" name="ICV">
    <vt:lpwstr>DC662C71350F4561A8117F8C68108BAE_13</vt:lpwstr>
  </property>
</Properties>
</file>