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045B" w14:textId="20DC08EA" w:rsidR="0035081D" w:rsidRDefault="0035081D" w:rsidP="00441B6F">
      <w:pPr>
        <w:pStyle w:val="Author"/>
        <w:spacing w:line="240" w:lineRule="auto"/>
        <w:rPr>
          <w:rFonts w:ascii="Arial" w:hAnsi="Arial" w:cs="Arial"/>
          <w:bCs/>
          <w:i/>
          <w:iCs/>
          <w:kern w:val="28"/>
          <w:sz w:val="36"/>
          <w:u w:val="single"/>
        </w:rPr>
      </w:pPr>
      <w:bookmarkStart w:id="0" w:name="_Hlk207179780"/>
      <w:r w:rsidRPr="0035081D">
        <w:rPr>
          <w:rFonts w:ascii="Arial" w:hAnsi="Arial" w:cs="Arial"/>
          <w:bCs/>
          <w:i/>
          <w:iCs/>
          <w:kern w:val="28"/>
          <w:sz w:val="36"/>
          <w:u w:val="single"/>
        </w:rPr>
        <w:t>Original Research Article</w:t>
      </w:r>
    </w:p>
    <w:p w14:paraId="0C4DA633" w14:textId="77777777" w:rsidR="0035081D" w:rsidRDefault="0035081D" w:rsidP="00441B6F">
      <w:pPr>
        <w:pStyle w:val="Author"/>
        <w:spacing w:line="240" w:lineRule="auto"/>
        <w:rPr>
          <w:rFonts w:ascii="Arial" w:hAnsi="Arial" w:cs="Arial"/>
          <w:bCs/>
          <w:iCs/>
          <w:kern w:val="28"/>
          <w:sz w:val="36"/>
        </w:rPr>
      </w:pPr>
    </w:p>
    <w:bookmarkEnd w:id="0"/>
    <w:p w14:paraId="02B80BAB" w14:textId="1A02917C" w:rsidR="00A57EEF" w:rsidRDefault="00E25A7A" w:rsidP="00441B6F">
      <w:pPr>
        <w:pStyle w:val="Author"/>
        <w:spacing w:line="240" w:lineRule="auto"/>
        <w:rPr>
          <w:rFonts w:ascii="Arial" w:hAnsi="Arial" w:cs="Arial"/>
          <w:bCs/>
          <w:iCs/>
          <w:kern w:val="28"/>
          <w:sz w:val="36"/>
        </w:rPr>
      </w:pPr>
      <w:r w:rsidRPr="00E25A7A">
        <w:rPr>
          <w:rFonts w:ascii="Arial" w:hAnsi="Arial" w:cs="Arial"/>
          <w:bCs/>
          <w:iCs/>
          <w:kern w:val="28"/>
          <w:sz w:val="36"/>
          <w:highlight w:val="yellow"/>
        </w:rPr>
        <w:t>Synergistic Hepatoprotective Effects of Activated Carbon and Honey in Acetaminophen-Induced Hepatotoxicity in Albino Rats</w:t>
      </w:r>
    </w:p>
    <w:p w14:paraId="0371CC46" w14:textId="569A772B" w:rsidR="00B01FCD" w:rsidRPr="00FB3A86" w:rsidRDefault="00B01FCD" w:rsidP="00441B6F">
      <w:pPr>
        <w:pStyle w:val="Copyright"/>
        <w:spacing w:after="0" w:line="240" w:lineRule="auto"/>
        <w:jc w:val="both"/>
        <w:rPr>
          <w:rFonts w:ascii="Arial" w:hAnsi="Arial" w:cs="Arial"/>
        </w:rPr>
        <w:sectPr w:rsidR="00B01FCD" w:rsidRPr="00FB3A86" w:rsidSect="00D120F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0918E5EF" w14:textId="77777777" w:rsidR="00F31F3F" w:rsidRPr="0005397D" w:rsidRDefault="00CA1731" w:rsidP="00B911A2">
            <w:pPr>
              <w:pStyle w:val="Body"/>
              <w:spacing w:after="0"/>
              <w:rPr>
                <w:rFonts w:ascii="Arial" w:eastAsia="Calibri" w:hAnsi="Arial" w:cs="Arial"/>
                <w:bCs/>
                <w:szCs w:val="22"/>
                <w:highlight w:val="yellow"/>
              </w:rPr>
            </w:pPr>
            <w:r w:rsidRPr="0005397D">
              <w:rPr>
                <w:rFonts w:ascii="Arial" w:eastAsia="Calibri" w:hAnsi="Arial" w:cs="Arial"/>
                <w:b/>
                <w:szCs w:val="22"/>
                <w:highlight w:val="yellow"/>
              </w:rPr>
              <w:t>Aim:</w:t>
            </w:r>
            <w:r w:rsidRPr="0005397D">
              <w:rPr>
                <w:rFonts w:ascii="Arial" w:eastAsia="Calibri" w:hAnsi="Arial" w:cs="Arial"/>
                <w:bCs/>
                <w:szCs w:val="22"/>
                <w:highlight w:val="yellow"/>
              </w:rPr>
              <w:t xml:space="preserve"> </w:t>
            </w:r>
            <w:r w:rsidR="00202E69" w:rsidRPr="0005397D">
              <w:rPr>
                <w:rFonts w:ascii="Arial" w:eastAsia="Calibri" w:hAnsi="Arial" w:cs="Arial"/>
                <w:bCs/>
                <w:szCs w:val="22"/>
                <w:highlight w:val="yellow"/>
              </w:rPr>
              <w:t>The aim of th</w:t>
            </w:r>
            <w:r w:rsidR="00D417F3" w:rsidRPr="0005397D">
              <w:rPr>
                <w:rFonts w:ascii="Arial" w:eastAsia="Calibri" w:hAnsi="Arial" w:cs="Arial"/>
                <w:bCs/>
                <w:szCs w:val="22"/>
                <w:highlight w:val="yellow"/>
              </w:rPr>
              <w:t>is</w:t>
            </w:r>
            <w:r w:rsidR="00202E69" w:rsidRPr="0005397D">
              <w:rPr>
                <w:rFonts w:ascii="Arial" w:eastAsia="Calibri" w:hAnsi="Arial" w:cs="Arial"/>
                <w:bCs/>
                <w:szCs w:val="22"/>
                <w:highlight w:val="yellow"/>
              </w:rPr>
              <w:t xml:space="preserve"> study was to evaluate the effect of activated carbon and honey treatments on liver function in albino rats with acetaminophen-induced hepatotoxicity. </w:t>
            </w:r>
          </w:p>
          <w:p w14:paraId="3B1833F3" w14:textId="236A9C67" w:rsidR="00CD21FB" w:rsidRPr="0005397D" w:rsidRDefault="00F31F3F" w:rsidP="00B911A2">
            <w:pPr>
              <w:pStyle w:val="Body"/>
              <w:spacing w:after="0"/>
              <w:rPr>
                <w:rFonts w:ascii="Arial" w:eastAsia="Calibri" w:hAnsi="Arial" w:cs="Arial"/>
                <w:szCs w:val="22"/>
                <w:highlight w:val="yellow"/>
              </w:rPr>
            </w:pPr>
            <w:r w:rsidRPr="0005397D">
              <w:rPr>
                <w:rFonts w:ascii="Arial" w:eastAsia="Calibri" w:hAnsi="Arial" w:cs="Arial"/>
                <w:b/>
                <w:szCs w:val="22"/>
                <w:highlight w:val="yellow"/>
              </w:rPr>
              <w:t>Study Design:</w:t>
            </w:r>
            <w:r w:rsidRPr="0005397D">
              <w:rPr>
                <w:rFonts w:ascii="Arial" w:eastAsia="Calibri" w:hAnsi="Arial" w:cs="Arial"/>
                <w:szCs w:val="22"/>
                <w:highlight w:val="yellow"/>
              </w:rPr>
              <w:t xml:space="preserve"> </w:t>
            </w:r>
            <w:r w:rsidR="0005074F" w:rsidRPr="0005397D">
              <w:rPr>
                <w:rFonts w:ascii="Arial" w:eastAsia="Calibri" w:hAnsi="Arial" w:cs="Arial"/>
                <w:szCs w:val="22"/>
                <w:highlight w:val="yellow"/>
              </w:rPr>
              <w:t>Experimental st</w:t>
            </w:r>
            <w:r w:rsidR="00351D1C" w:rsidRPr="0005397D">
              <w:rPr>
                <w:rFonts w:ascii="Arial" w:eastAsia="Calibri" w:hAnsi="Arial" w:cs="Arial"/>
                <w:szCs w:val="22"/>
                <w:highlight w:val="yellow"/>
              </w:rPr>
              <w:t>udy</w:t>
            </w:r>
          </w:p>
          <w:p w14:paraId="3110182E" w14:textId="655514F9" w:rsidR="00610F42" w:rsidRPr="0005397D" w:rsidRDefault="00610F42" w:rsidP="00B911A2">
            <w:pPr>
              <w:pStyle w:val="Body"/>
              <w:spacing w:after="0"/>
              <w:rPr>
                <w:rFonts w:ascii="Arial" w:eastAsia="Calibri" w:hAnsi="Arial" w:cs="Arial"/>
                <w:b/>
                <w:szCs w:val="22"/>
                <w:highlight w:val="yellow"/>
              </w:rPr>
            </w:pPr>
            <w:r w:rsidRPr="0005397D">
              <w:rPr>
                <w:rFonts w:ascii="Arial" w:eastAsia="Calibri" w:hAnsi="Arial" w:cs="Arial"/>
                <w:b/>
                <w:szCs w:val="22"/>
                <w:highlight w:val="yellow"/>
              </w:rPr>
              <w:t>Place and Duration of Study:</w:t>
            </w:r>
            <w:r w:rsidR="00351D1C" w:rsidRPr="0005397D">
              <w:rPr>
                <w:rFonts w:ascii="Arial" w:eastAsia="Calibri" w:hAnsi="Arial" w:cs="Arial"/>
                <w:b/>
                <w:szCs w:val="22"/>
                <w:highlight w:val="yellow"/>
              </w:rPr>
              <w:t xml:space="preserve"> </w:t>
            </w:r>
            <w:r w:rsidR="00351D1C" w:rsidRPr="0005397D">
              <w:rPr>
                <w:rFonts w:ascii="Arial" w:eastAsia="Calibri" w:hAnsi="Arial" w:cs="Arial"/>
                <w:bCs/>
                <w:szCs w:val="22"/>
                <w:highlight w:val="yellow"/>
              </w:rPr>
              <w:t>Rivers State University, b</w:t>
            </w:r>
            <w:r w:rsidR="00EA7C43" w:rsidRPr="0005397D">
              <w:rPr>
                <w:rFonts w:ascii="Arial" w:eastAsia="Calibri" w:hAnsi="Arial" w:cs="Arial"/>
                <w:bCs/>
                <w:szCs w:val="22"/>
                <w:highlight w:val="yellow"/>
              </w:rPr>
              <w:t xml:space="preserve">etween May and </w:t>
            </w:r>
            <w:r w:rsidR="00EA23B6" w:rsidRPr="0005397D">
              <w:rPr>
                <w:rFonts w:ascii="Arial" w:eastAsia="Calibri" w:hAnsi="Arial" w:cs="Arial"/>
                <w:bCs/>
                <w:szCs w:val="22"/>
                <w:highlight w:val="yellow"/>
              </w:rPr>
              <w:t>September</w:t>
            </w:r>
            <w:r w:rsidR="00566AC6" w:rsidRPr="0005397D">
              <w:rPr>
                <w:rFonts w:ascii="Arial" w:eastAsia="Calibri" w:hAnsi="Arial" w:cs="Arial"/>
                <w:bCs/>
                <w:szCs w:val="22"/>
                <w:highlight w:val="yellow"/>
              </w:rPr>
              <w:t xml:space="preserve"> 2023</w:t>
            </w:r>
          </w:p>
          <w:p w14:paraId="14C69EEB" w14:textId="1B964CBC" w:rsidR="000133F0" w:rsidRPr="0005397D" w:rsidRDefault="0087271C" w:rsidP="00B911A2">
            <w:pPr>
              <w:pStyle w:val="Body"/>
              <w:spacing w:after="0"/>
              <w:rPr>
                <w:rFonts w:ascii="Arial" w:eastAsia="Calibri" w:hAnsi="Arial" w:cs="Arial"/>
                <w:bCs/>
                <w:szCs w:val="22"/>
                <w:highlight w:val="yellow"/>
              </w:rPr>
            </w:pPr>
            <w:r w:rsidRPr="0005397D">
              <w:rPr>
                <w:rFonts w:ascii="Arial" w:eastAsia="Calibri" w:hAnsi="Arial" w:cs="Arial"/>
                <w:b/>
                <w:bCs/>
                <w:szCs w:val="22"/>
                <w:highlight w:val="yellow"/>
              </w:rPr>
              <w:t>Methodology:</w:t>
            </w:r>
            <w:r w:rsidRPr="0005397D">
              <w:rPr>
                <w:rFonts w:ascii="Arial" w:eastAsia="Calibri" w:hAnsi="Arial" w:cs="Arial"/>
                <w:szCs w:val="22"/>
                <w:highlight w:val="yellow"/>
              </w:rPr>
              <w:t xml:space="preserve"> </w:t>
            </w:r>
            <w:r w:rsidR="00E25C86" w:rsidRPr="0005397D">
              <w:rPr>
                <w:rFonts w:ascii="Arial" w:eastAsia="Calibri" w:hAnsi="Arial" w:cs="Arial"/>
                <w:bCs/>
                <w:szCs w:val="22"/>
                <w:highlight w:val="yellow"/>
              </w:rPr>
              <w:t>Thirty (30) male albino rats were assigned into 5 groups of six (6) rats each. The groups were as follows: Negative control (allowed water and feed only), positive control (given 270mg/kg of Acetaminophen by gavage), Acetaminophen and honey (given 270mg/kg of acetaminophen and 1.5ml of honey orally), acetaminophen and activated carbon (given 270mg/kg of acetaminophen and 1.5ml of activated carbon gavage), acetaminophen, activated carbon, and honey (given 270mg/kg of acetaminophen, 1.5ml of activated carbon and honey orally)</w:t>
            </w:r>
            <w:r w:rsidR="00DC664D">
              <w:rPr>
                <w:rFonts w:ascii="Arial" w:eastAsia="Calibri" w:hAnsi="Arial" w:cs="Arial"/>
                <w:bCs/>
                <w:szCs w:val="22"/>
                <w:highlight w:val="yellow"/>
              </w:rPr>
              <w:t xml:space="preserve"> for 28 days</w:t>
            </w:r>
            <w:r w:rsidR="00E25C86" w:rsidRPr="0005397D">
              <w:rPr>
                <w:rFonts w:ascii="Arial" w:eastAsia="Calibri" w:hAnsi="Arial" w:cs="Arial"/>
                <w:bCs/>
                <w:szCs w:val="22"/>
                <w:highlight w:val="yellow"/>
              </w:rPr>
              <w:t>. The male albino rats were sacrificed after an overnight fast. They were anesthetized using chloroform. Blood samples were collected by cardiac puncture and put into Lithium heparin bottles for the assay of total protein, albumin, aspartate aminotransferase, alanine aminotransferase, alkaline phosphatase, gamma-glutamyl transferase, total and conjugated bilirubin. Data for this study were analyzed using SPSS (Statistical Package for Social Science) version 23. Values were expressed as mean ± SD; inferential statistics were done using the One – Way ANOVA (Post Hoc: Tukey’s Multiple Comparative Test) with p-values less than 0.05 was considered statistically significant.</w:t>
            </w:r>
          </w:p>
          <w:p w14:paraId="4EC71FB6" w14:textId="0FA7A7ED" w:rsidR="0005074F" w:rsidRPr="0005397D" w:rsidRDefault="000133F0" w:rsidP="00B911A2">
            <w:pPr>
              <w:pStyle w:val="Body"/>
              <w:spacing w:after="0"/>
              <w:rPr>
                <w:rFonts w:ascii="Arial" w:eastAsia="Calibri" w:hAnsi="Arial" w:cs="Arial"/>
                <w:szCs w:val="22"/>
                <w:highlight w:val="yellow"/>
              </w:rPr>
            </w:pPr>
            <w:r w:rsidRPr="0005397D">
              <w:rPr>
                <w:rFonts w:ascii="Arial" w:eastAsia="Calibri" w:hAnsi="Arial" w:cs="Arial"/>
                <w:b/>
                <w:bCs/>
                <w:szCs w:val="22"/>
                <w:highlight w:val="yellow"/>
              </w:rPr>
              <w:t>Results:</w:t>
            </w:r>
            <w:r w:rsidR="00E25C86" w:rsidRPr="0005397D">
              <w:rPr>
                <w:rFonts w:ascii="Arial" w:eastAsia="Calibri" w:hAnsi="Arial" w:cs="Arial"/>
                <w:b/>
                <w:bCs/>
                <w:szCs w:val="22"/>
                <w:highlight w:val="yellow"/>
              </w:rPr>
              <w:t xml:space="preserve"> </w:t>
            </w:r>
            <w:r w:rsidR="00E25C86" w:rsidRPr="0005397D">
              <w:rPr>
                <w:rFonts w:ascii="Arial" w:eastAsia="Calibri" w:hAnsi="Arial" w:cs="Arial"/>
                <w:bCs/>
                <w:szCs w:val="22"/>
                <w:highlight w:val="yellow"/>
              </w:rPr>
              <w:t xml:space="preserve">The results of our study showed a significant increase in the levels of AST (p=0.00), ALT (p=0.03), ALP (p=0.00), GGT (p=0.00), and total bilirubin (p=0.03) in the positive control group compared to the negative control group. </w:t>
            </w:r>
            <w:r w:rsidR="00ED7E50">
              <w:rPr>
                <w:rFonts w:ascii="Arial" w:eastAsia="Calibri" w:hAnsi="Arial" w:cs="Arial"/>
                <w:bCs/>
                <w:szCs w:val="22"/>
                <w:highlight w:val="yellow"/>
              </w:rPr>
              <w:t>T</w:t>
            </w:r>
            <w:r w:rsidR="00E25C86" w:rsidRPr="0005397D">
              <w:rPr>
                <w:rFonts w:ascii="Arial" w:eastAsia="Calibri" w:hAnsi="Arial" w:cs="Arial"/>
                <w:bCs/>
                <w:szCs w:val="22"/>
                <w:highlight w:val="yellow"/>
              </w:rPr>
              <w:t>here was a significant decrease in the levels of ALT, ALP, GGT, and total bilirubin in the groups treated with activated carbon, honey and the combination of activated carbon and honey compared to the positive control group.  However, there was a significant decrease in the levels of AST in the group treated with both honey and activated carbon compared to the positive control group. There was no significant difference between the levels of AST in the positive control group and the groups treated with activated carbon and honey. The positive control group had higher levels of total protein, albumin, and conjugated bilirubin compared to the negative control group and treatment groups; however, they were not statistically significant.</w:t>
            </w:r>
          </w:p>
          <w:p w14:paraId="7901656B" w14:textId="23451E10" w:rsidR="00505F06" w:rsidRPr="00202E69" w:rsidRDefault="0005074F" w:rsidP="00B911A2">
            <w:pPr>
              <w:pStyle w:val="Body"/>
              <w:spacing w:after="0"/>
              <w:rPr>
                <w:rFonts w:ascii="Arial" w:eastAsia="Calibri" w:hAnsi="Arial" w:cs="Arial"/>
                <w:bCs/>
                <w:szCs w:val="22"/>
              </w:rPr>
            </w:pPr>
            <w:r w:rsidRPr="0005397D">
              <w:rPr>
                <w:rFonts w:ascii="Arial" w:eastAsia="Calibri" w:hAnsi="Arial" w:cs="Arial"/>
                <w:b/>
                <w:bCs/>
                <w:szCs w:val="22"/>
                <w:highlight w:val="yellow"/>
              </w:rPr>
              <w:t>Conclusion:</w:t>
            </w:r>
            <w:r w:rsidRPr="0005397D">
              <w:rPr>
                <w:rFonts w:ascii="Arial" w:eastAsia="Calibri" w:hAnsi="Arial" w:cs="Arial"/>
                <w:szCs w:val="22"/>
                <w:highlight w:val="yellow"/>
              </w:rPr>
              <w:t xml:space="preserve"> </w:t>
            </w:r>
            <w:r w:rsidR="00202E69" w:rsidRPr="0005397D">
              <w:rPr>
                <w:rFonts w:ascii="Arial" w:eastAsia="Calibri" w:hAnsi="Arial" w:cs="Arial"/>
                <w:bCs/>
                <w:szCs w:val="22"/>
                <w:highlight w:val="yellow"/>
              </w:rPr>
              <w:t>This study has revealed the hepatoprotective effects of honey and activated carbon in ameliorating acetaminophen-induced hepatotoxicity.</w:t>
            </w:r>
          </w:p>
        </w:tc>
      </w:tr>
    </w:tbl>
    <w:p w14:paraId="5ED6FC68" w14:textId="5EFF3C3F" w:rsidR="00A24E7E" w:rsidRDefault="00A24E7E" w:rsidP="00441B6F">
      <w:pPr>
        <w:pStyle w:val="Body"/>
        <w:spacing w:after="0"/>
        <w:rPr>
          <w:rFonts w:ascii="Arial" w:hAnsi="Arial" w:cs="Arial"/>
          <w:i/>
        </w:rPr>
      </w:pPr>
      <w:r>
        <w:rPr>
          <w:rFonts w:ascii="Arial" w:hAnsi="Arial" w:cs="Arial"/>
          <w:i/>
        </w:rPr>
        <w:t xml:space="preserve">Keywords: </w:t>
      </w:r>
      <w:r w:rsidR="00202E69" w:rsidRPr="00202E69">
        <w:rPr>
          <w:rFonts w:ascii="Arial" w:hAnsi="Arial" w:cs="Arial"/>
          <w:i/>
        </w:rPr>
        <w:t>Liver Function</w:t>
      </w:r>
      <w:r w:rsidR="00202E69">
        <w:rPr>
          <w:rFonts w:ascii="Arial" w:hAnsi="Arial" w:cs="Arial"/>
          <w:i/>
        </w:rPr>
        <w:t>,</w:t>
      </w:r>
      <w:r w:rsidR="00202E69" w:rsidRPr="00202E69">
        <w:rPr>
          <w:rFonts w:ascii="Arial" w:hAnsi="Arial" w:cs="Arial"/>
          <w:i/>
        </w:rPr>
        <w:t xml:space="preserve"> Acetaminophen</w:t>
      </w:r>
      <w:r w:rsidR="00623056">
        <w:rPr>
          <w:rFonts w:ascii="Arial" w:hAnsi="Arial" w:cs="Arial"/>
          <w:i/>
        </w:rPr>
        <w:t>,</w:t>
      </w:r>
      <w:r w:rsidR="00202E69" w:rsidRPr="00202E69">
        <w:rPr>
          <w:rFonts w:ascii="Arial" w:hAnsi="Arial" w:cs="Arial"/>
          <w:i/>
        </w:rPr>
        <w:t xml:space="preserve"> Hepatotoxic</w:t>
      </w:r>
      <w:r w:rsidR="00623056">
        <w:rPr>
          <w:rFonts w:ascii="Arial" w:hAnsi="Arial" w:cs="Arial"/>
          <w:i/>
        </w:rPr>
        <w:t>ity,</w:t>
      </w:r>
      <w:r w:rsidR="00202E69" w:rsidRPr="00202E69">
        <w:rPr>
          <w:rFonts w:ascii="Arial" w:hAnsi="Arial" w:cs="Arial"/>
          <w:i/>
        </w:rPr>
        <w:t xml:space="preserve"> Albino Rats</w:t>
      </w:r>
      <w:r w:rsidR="00623056">
        <w:rPr>
          <w:rFonts w:ascii="Arial" w:hAnsi="Arial" w:cs="Arial"/>
          <w:i/>
        </w:rPr>
        <w:t>,</w:t>
      </w:r>
      <w:r w:rsidR="00202E69" w:rsidRPr="00202E69">
        <w:rPr>
          <w:rFonts w:ascii="Arial" w:hAnsi="Arial" w:cs="Arial"/>
          <w:i/>
        </w:rPr>
        <w:t xml:space="preserve"> Activated Carbon</w:t>
      </w:r>
      <w:r w:rsidR="00AA4CBA">
        <w:rPr>
          <w:rFonts w:ascii="Arial" w:hAnsi="Arial" w:cs="Arial"/>
          <w:i/>
        </w:rPr>
        <w:t>,</w:t>
      </w:r>
      <w:r w:rsidR="00202E69" w:rsidRPr="00202E69">
        <w:rPr>
          <w:rFonts w:ascii="Arial" w:hAnsi="Arial" w:cs="Arial"/>
          <w:i/>
        </w:rPr>
        <w:t xml:space="preserve"> Honey</w:t>
      </w: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6C41B9" w14:textId="4BC1C73A" w:rsidR="00F01623" w:rsidRPr="00F01623" w:rsidRDefault="00F01623" w:rsidP="00F01623">
      <w:pPr>
        <w:pStyle w:val="Body"/>
        <w:rPr>
          <w:rFonts w:ascii="Arial" w:eastAsia="Calibri" w:hAnsi="Arial" w:cs="Arial"/>
          <w:szCs w:val="22"/>
        </w:rPr>
      </w:pPr>
      <w:r w:rsidRPr="00F01623">
        <w:rPr>
          <w:rFonts w:ascii="Arial" w:eastAsia="Calibri" w:hAnsi="Arial" w:cs="Arial"/>
          <w:szCs w:val="22"/>
        </w:rPr>
        <w:t xml:space="preserve">Acetaminophen, also known as paracetamol and N-acetyl-p-aminophenol, is an aminophenol compound which functions centrally as a pain reliever and fever reducer </w:t>
      </w:r>
      <w:r w:rsidR="00946A56">
        <w:rPr>
          <w:rFonts w:ascii="Arial" w:eastAsia="Calibri" w:hAnsi="Arial" w:cs="Arial"/>
          <w:szCs w:val="22"/>
        </w:rPr>
        <w:t>[1]</w:t>
      </w:r>
      <w:r w:rsidRPr="00F01623">
        <w:rPr>
          <w:rFonts w:ascii="Arial" w:eastAsia="Calibri" w:hAnsi="Arial" w:cs="Arial"/>
          <w:szCs w:val="22"/>
        </w:rPr>
        <w:t xml:space="preserve">. While technically categorized as a nonsteroidal anti-inflammatory drug (NSAID), acetaminophen differs from </w:t>
      </w:r>
      <w:r w:rsidRPr="00F01623">
        <w:rPr>
          <w:rFonts w:ascii="Arial" w:eastAsia="Calibri" w:hAnsi="Arial" w:cs="Arial"/>
          <w:szCs w:val="22"/>
        </w:rPr>
        <w:lastRenderedPageBreak/>
        <w:t xml:space="preserve">typical NSAIDs like ibuprofen, naproxen, and indomethacin in that it has limited impact on tissue cyclooxygenase activity (Cox-1 and Cox-2) </w:t>
      </w:r>
      <w:r w:rsidR="00F04C74">
        <w:rPr>
          <w:rFonts w:ascii="Arial" w:eastAsia="Calibri" w:hAnsi="Arial" w:cs="Arial"/>
          <w:szCs w:val="22"/>
        </w:rPr>
        <w:t>[2]</w:t>
      </w:r>
      <w:r w:rsidRPr="00F01623">
        <w:rPr>
          <w:rFonts w:ascii="Arial" w:eastAsia="Calibri" w:hAnsi="Arial" w:cs="Arial"/>
          <w:szCs w:val="22"/>
        </w:rPr>
        <w:t xml:space="preserve">. Instead, it seems to alleviate pain by raising pain thresholds, potentially by inhibiting the nitric oxide pathway activated </w:t>
      </w:r>
      <w:r w:rsidR="005738F8" w:rsidRPr="005738F8">
        <w:rPr>
          <w:rFonts w:ascii="Arial" w:eastAsia="Calibri" w:hAnsi="Arial" w:cs="Arial"/>
          <w:szCs w:val="22"/>
          <w:highlight w:val="yellow"/>
        </w:rPr>
        <w:t>due to</w:t>
      </w:r>
      <w:r w:rsidR="005738F8">
        <w:rPr>
          <w:rFonts w:ascii="Arial" w:eastAsia="Calibri" w:hAnsi="Arial" w:cs="Arial"/>
          <w:szCs w:val="22"/>
        </w:rPr>
        <w:t xml:space="preserve"> </w:t>
      </w:r>
      <w:r w:rsidRPr="00F01623">
        <w:rPr>
          <w:rFonts w:ascii="Arial" w:eastAsia="Calibri" w:hAnsi="Arial" w:cs="Arial"/>
          <w:szCs w:val="22"/>
        </w:rPr>
        <w:t xml:space="preserve">many pain neurotransmitter receptors. Acetaminophen possesses lower anti-inflammatory properties compared to aspirin and traditional NSAIDs </w:t>
      </w:r>
      <w:r w:rsidR="00F04C74">
        <w:rPr>
          <w:rFonts w:ascii="Arial" w:eastAsia="Calibri" w:hAnsi="Arial" w:cs="Arial"/>
          <w:szCs w:val="22"/>
        </w:rPr>
        <w:t xml:space="preserve">[2]. </w:t>
      </w:r>
      <w:r w:rsidRPr="00F01623">
        <w:rPr>
          <w:rFonts w:ascii="Arial" w:eastAsia="Calibri" w:hAnsi="Arial" w:cs="Arial"/>
          <w:szCs w:val="22"/>
        </w:rPr>
        <w:t xml:space="preserve">It is typically recommended for managing minor discomfort stemming from various sources like the common cold, infections, sinusitis, headaches, toothaches, muscle strains, and more </w:t>
      </w:r>
      <w:r w:rsidR="005558DA">
        <w:rPr>
          <w:rFonts w:ascii="Arial" w:eastAsia="Calibri" w:hAnsi="Arial" w:cs="Arial"/>
          <w:szCs w:val="22"/>
        </w:rPr>
        <w:t>[3]</w:t>
      </w:r>
      <w:r w:rsidRPr="00F01623">
        <w:rPr>
          <w:rFonts w:ascii="Arial" w:eastAsia="Calibri" w:hAnsi="Arial" w:cs="Arial"/>
          <w:szCs w:val="22"/>
        </w:rPr>
        <w:t xml:space="preserve">. </w:t>
      </w:r>
      <w:r w:rsidR="0031037B" w:rsidRPr="00F01623">
        <w:rPr>
          <w:rFonts w:ascii="Arial" w:eastAsia="Calibri" w:hAnsi="Arial" w:cs="Arial"/>
          <w:szCs w:val="22"/>
        </w:rPr>
        <w:t xml:space="preserve">A lot of research has been conducted to know the pathogenesis of paracetamol-induced liver toxicity. N-acetyl cysteine (NAC) is used as an antidote for paracetamol-overdosed patients; however, it should be administered as early as possible </w:t>
      </w:r>
      <w:r w:rsidR="002418DF">
        <w:rPr>
          <w:rFonts w:ascii="Arial" w:eastAsia="Calibri" w:hAnsi="Arial" w:cs="Arial"/>
          <w:szCs w:val="22"/>
        </w:rPr>
        <w:t xml:space="preserve">[4]. </w:t>
      </w:r>
      <w:r w:rsidR="0031037B" w:rsidRPr="00F01623">
        <w:rPr>
          <w:rFonts w:ascii="Arial" w:eastAsia="Calibri" w:hAnsi="Arial" w:cs="Arial"/>
          <w:szCs w:val="22"/>
        </w:rPr>
        <w:t xml:space="preserve">It has now been recognized that paracetamol toxicity consists of multiple pathways, including paracetamol metabolism, oxidative stress, endoplasmic reticulum stress, autophagy, sterile inflammation, microcirculatory dysfunction, and compensatory liver repair and regeneration. Some patients with liver failure require liver transplantation for survival </w:t>
      </w:r>
      <w:r w:rsidR="00D32789">
        <w:rPr>
          <w:rFonts w:ascii="Arial" w:eastAsia="Calibri" w:hAnsi="Arial" w:cs="Arial"/>
          <w:szCs w:val="22"/>
        </w:rPr>
        <w:t>[5]</w:t>
      </w:r>
      <w:r w:rsidR="0031037B" w:rsidRPr="00F01623">
        <w:rPr>
          <w:rFonts w:ascii="Arial" w:eastAsia="Calibri" w:hAnsi="Arial" w:cs="Arial"/>
          <w:szCs w:val="22"/>
        </w:rPr>
        <w:t>.</w:t>
      </w:r>
      <w:r w:rsidR="0031037B">
        <w:rPr>
          <w:rFonts w:ascii="Arial" w:eastAsia="Calibri" w:hAnsi="Arial" w:cs="Arial"/>
          <w:szCs w:val="22"/>
        </w:rPr>
        <w:t xml:space="preserve"> </w:t>
      </w:r>
      <w:r w:rsidRPr="00F01623">
        <w:rPr>
          <w:rFonts w:ascii="Arial" w:eastAsia="Calibri" w:hAnsi="Arial" w:cs="Arial"/>
          <w:szCs w:val="22"/>
        </w:rPr>
        <w:t xml:space="preserve">The liver contributes significantly to the metabolism and removal of drugs from the human body </w:t>
      </w:r>
      <w:r w:rsidR="004A508F">
        <w:rPr>
          <w:rFonts w:ascii="Arial" w:eastAsia="Calibri" w:hAnsi="Arial" w:cs="Arial"/>
          <w:szCs w:val="22"/>
        </w:rPr>
        <w:t>[6]</w:t>
      </w:r>
      <w:r w:rsidRPr="00F01623">
        <w:rPr>
          <w:rFonts w:ascii="Arial" w:eastAsia="Calibri" w:hAnsi="Arial" w:cs="Arial"/>
          <w:szCs w:val="22"/>
        </w:rPr>
        <w:t xml:space="preserve">. Metabolization of drugs and xenobiotics to nontoxic substances in the liver by enzymes is important for the proper function of the body, alteration in these statuses leads to a shift of metabolism toward the production of oxidants, which coheres to lipids or nuclear proteins </w:t>
      </w:r>
      <w:r w:rsidR="00A05C6D" w:rsidRPr="002175A8">
        <w:rPr>
          <w:rFonts w:ascii="Arial" w:eastAsia="Calibri" w:hAnsi="Arial" w:cs="Arial"/>
          <w:szCs w:val="22"/>
          <w:highlight w:val="yellow"/>
        </w:rPr>
        <w:t>and</w:t>
      </w:r>
      <w:r w:rsidR="002175A8" w:rsidRPr="002175A8">
        <w:rPr>
          <w:rFonts w:ascii="Arial" w:eastAsia="Calibri" w:hAnsi="Arial" w:cs="Arial"/>
          <w:szCs w:val="22"/>
          <w:highlight w:val="yellow"/>
        </w:rPr>
        <w:t xml:space="preserve"> may</w:t>
      </w:r>
      <w:r w:rsidRPr="00F01623">
        <w:rPr>
          <w:rFonts w:ascii="Arial" w:eastAsia="Calibri" w:hAnsi="Arial" w:cs="Arial"/>
          <w:szCs w:val="22"/>
        </w:rPr>
        <w:t xml:space="preserve"> results in mutations, membrane damage, and alteration of enzyme activity </w:t>
      </w:r>
      <w:r w:rsidRPr="002175A8">
        <w:rPr>
          <w:rFonts w:ascii="Arial" w:eastAsia="Calibri" w:hAnsi="Arial" w:cs="Arial"/>
          <w:szCs w:val="22"/>
          <w:highlight w:val="yellow"/>
        </w:rPr>
        <w:t>respectively</w:t>
      </w:r>
      <w:r w:rsidR="002175A8" w:rsidRPr="002175A8">
        <w:rPr>
          <w:rFonts w:ascii="Arial" w:eastAsia="Calibri" w:hAnsi="Arial" w:cs="Arial"/>
          <w:szCs w:val="22"/>
          <w:highlight w:val="yellow"/>
        </w:rPr>
        <w:t>.</w:t>
      </w:r>
      <w:r w:rsidRPr="002175A8">
        <w:rPr>
          <w:rFonts w:ascii="Arial" w:eastAsia="Calibri" w:hAnsi="Arial" w:cs="Arial"/>
          <w:szCs w:val="22"/>
          <w:highlight w:val="yellow"/>
        </w:rPr>
        <w:t xml:space="preserve"> </w:t>
      </w:r>
      <w:r w:rsidR="002175A8" w:rsidRPr="002175A8">
        <w:rPr>
          <w:rFonts w:ascii="Arial" w:eastAsia="Calibri" w:hAnsi="Arial" w:cs="Arial"/>
          <w:szCs w:val="22"/>
          <w:highlight w:val="yellow"/>
        </w:rPr>
        <w:t>This may</w:t>
      </w:r>
      <w:r w:rsidRPr="002175A8">
        <w:rPr>
          <w:rFonts w:ascii="Arial" w:eastAsia="Calibri" w:hAnsi="Arial" w:cs="Arial"/>
          <w:szCs w:val="22"/>
          <w:highlight w:val="yellow"/>
        </w:rPr>
        <w:t xml:space="preserve"> further</w:t>
      </w:r>
      <w:r w:rsidRPr="00F01623">
        <w:rPr>
          <w:rFonts w:ascii="Arial" w:eastAsia="Calibri" w:hAnsi="Arial" w:cs="Arial"/>
          <w:szCs w:val="22"/>
        </w:rPr>
        <w:t xml:space="preserve"> leads to organ malfunction </w:t>
      </w:r>
      <w:r w:rsidR="009E1254">
        <w:rPr>
          <w:rFonts w:ascii="Arial" w:eastAsia="Calibri" w:hAnsi="Arial" w:cs="Arial"/>
          <w:szCs w:val="22"/>
        </w:rPr>
        <w:t>[</w:t>
      </w:r>
      <w:r w:rsidR="00B47493">
        <w:rPr>
          <w:rFonts w:ascii="Arial" w:eastAsia="Calibri" w:hAnsi="Arial" w:cs="Arial"/>
          <w:szCs w:val="22"/>
        </w:rPr>
        <w:t>7</w:t>
      </w:r>
      <w:r w:rsidR="009E1254">
        <w:rPr>
          <w:rFonts w:ascii="Arial" w:eastAsia="Calibri" w:hAnsi="Arial" w:cs="Arial"/>
          <w:szCs w:val="22"/>
        </w:rPr>
        <w:t>]</w:t>
      </w:r>
      <w:r w:rsidR="00B47493">
        <w:rPr>
          <w:rFonts w:ascii="Arial" w:eastAsia="Calibri" w:hAnsi="Arial" w:cs="Arial"/>
          <w:szCs w:val="22"/>
        </w:rPr>
        <w:t xml:space="preserve">. </w:t>
      </w:r>
      <w:r w:rsidRPr="00F01623">
        <w:rPr>
          <w:rFonts w:ascii="Arial" w:eastAsia="Calibri" w:hAnsi="Arial" w:cs="Arial"/>
          <w:szCs w:val="22"/>
        </w:rPr>
        <w:t xml:space="preserve">The production of oxidants is the most common action in the pathogenesis of liver damage by pharmaceutical drugs and herbal products </w:t>
      </w:r>
      <w:r w:rsidR="004C1B9C">
        <w:rPr>
          <w:rFonts w:ascii="Arial" w:eastAsia="Calibri" w:hAnsi="Arial" w:cs="Arial"/>
          <w:szCs w:val="22"/>
        </w:rPr>
        <w:t>[8]</w:t>
      </w:r>
      <w:r w:rsidRPr="00F01623">
        <w:rPr>
          <w:rFonts w:ascii="Arial" w:eastAsia="Calibri" w:hAnsi="Arial" w:cs="Arial"/>
          <w:szCs w:val="22"/>
        </w:rPr>
        <w:t xml:space="preserve">. Liver damage may occur due to environmental toxicants, drugs, and microbial metabolites. There are two sets of enzymes, phase I and phase II enzymes which play a very important role in the metabolism and detoxification of various drugs and other toxins </w:t>
      </w:r>
      <w:r w:rsidR="004C1B9C">
        <w:rPr>
          <w:rFonts w:ascii="Arial" w:eastAsia="Calibri" w:hAnsi="Arial" w:cs="Arial"/>
          <w:szCs w:val="22"/>
        </w:rPr>
        <w:t>[7]</w:t>
      </w:r>
      <w:r w:rsidR="00677893">
        <w:rPr>
          <w:rFonts w:ascii="Arial" w:eastAsia="Calibri" w:hAnsi="Arial" w:cs="Arial"/>
          <w:szCs w:val="22"/>
        </w:rPr>
        <w:t>.</w:t>
      </w:r>
    </w:p>
    <w:p w14:paraId="13D416D9" w14:textId="30B6A91E" w:rsidR="00B01FCD" w:rsidRDefault="00F01623" w:rsidP="0031037B">
      <w:pPr>
        <w:pStyle w:val="Body"/>
        <w:rPr>
          <w:rFonts w:ascii="Arial" w:eastAsia="Calibri" w:hAnsi="Arial" w:cs="Arial"/>
          <w:szCs w:val="22"/>
        </w:rPr>
      </w:pPr>
      <w:r w:rsidRPr="00F01623">
        <w:rPr>
          <w:rFonts w:ascii="Arial" w:eastAsia="Calibri" w:hAnsi="Arial" w:cs="Arial"/>
          <w:szCs w:val="22"/>
        </w:rPr>
        <w:t xml:space="preserve">Activated carbon, also known as activated charcoal, is a highly porous form of carbon that has been processed to increase its surface area. It is primarily used for its medicinal effects in emergency situations and for certain medical treatments. Activated carbon is valued for its ability to </w:t>
      </w:r>
      <w:r w:rsidRPr="003D61B3">
        <w:rPr>
          <w:rFonts w:ascii="Arial" w:eastAsia="Calibri" w:hAnsi="Arial" w:cs="Arial"/>
          <w:szCs w:val="22"/>
          <w:highlight w:val="yellow"/>
        </w:rPr>
        <w:t>a</w:t>
      </w:r>
      <w:r w:rsidR="003D61B3" w:rsidRPr="003D61B3">
        <w:rPr>
          <w:rFonts w:ascii="Arial" w:eastAsia="Calibri" w:hAnsi="Arial" w:cs="Arial"/>
          <w:szCs w:val="22"/>
          <w:highlight w:val="yellow"/>
        </w:rPr>
        <w:t>d</w:t>
      </w:r>
      <w:r w:rsidRPr="003D61B3">
        <w:rPr>
          <w:rFonts w:ascii="Arial" w:eastAsia="Calibri" w:hAnsi="Arial" w:cs="Arial"/>
          <w:szCs w:val="22"/>
          <w:highlight w:val="yellow"/>
        </w:rPr>
        <w:t>sorb</w:t>
      </w:r>
      <w:r w:rsidRPr="00F01623">
        <w:rPr>
          <w:rFonts w:ascii="Arial" w:eastAsia="Calibri" w:hAnsi="Arial" w:cs="Arial"/>
          <w:szCs w:val="22"/>
        </w:rPr>
        <w:t xml:space="preserve"> (bind to its surface) a wide range of substances, making it effective in several medicinal applications </w:t>
      </w:r>
      <w:r w:rsidR="00677893">
        <w:rPr>
          <w:rFonts w:ascii="Arial" w:eastAsia="Calibri" w:hAnsi="Arial" w:cs="Arial"/>
          <w:szCs w:val="22"/>
        </w:rPr>
        <w:t>[9]</w:t>
      </w:r>
      <w:r w:rsidRPr="00F01623">
        <w:rPr>
          <w:rFonts w:ascii="Arial" w:eastAsia="Calibri" w:hAnsi="Arial" w:cs="Arial"/>
          <w:szCs w:val="22"/>
        </w:rPr>
        <w:t xml:space="preserve">. According to Silberman et al. </w:t>
      </w:r>
      <w:r w:rsidR="00D13742">
        <w:rPr>
          <w:rFonts w:ascii="Arial" w:eastAsia="Calibri" w:hAnsi="Arial" w:cs="Arial"/>
          <w:szCs w:val="22"/>
        </w:rPr>
        <w:t>[10]</w:t>
      </w:r>
      <w:r w:rsidRPr="00F01623">
        <w:rPr>
          <w:rFonts w:ascii="Arial" w:eastAsia="Calibri" w:hAnsi="Arial" w:cs="Arial"/>
          <w:szCs w:val="22"/>
        </w:rPr>
        <w:t xml:space="preserve"> an oral suspension of activated carbon is considered in poisonings when gastrointestinal decontamination of an ingested toxin is indicated. Activated carbon is most efficacious when given within one hour of ingestion of the toxin. Activated charcoal adsorbs ingested toxins within the gastrointestinal tract preventing the systemic absorption of that toxin. Activated charcoal only adsorbs toxins that are in the dissolved liquid phase via direct contact.</w:t>
      </w:r>
      <w:r w:rsidR="0031037B">
        <w:rPr>
          <w:rFonts w:ascii="Arial" w:eastAsia="Calibri" w:hAnsi="Arial" w:cs="Arial"/>
          <w:szCs w:val="22"/>
        </w:rPr>
        <w:t xml:space="preserve"> </w:t>
      </w:r>
      <w:r w:rsidRPr="00F01623">
        <w:rPr>
          <w:rFonts w:ascii="Arial" w:eastAsia="Calibri" w:hAnsi="Arial" w:cs="Arial"/>
          <w:szCs w:val="22"/>
        </w:rPr>
        <w:t xml:space="preserve">Honey is a natural product formed from nectar of flowers by honeybees (Apis mellifera) </w:t>
      </w:r>
      <w:r w:rsidR="000311DD">
        <w:rPr>
          <w:rFonts w:ascii="Arial" w:eastAsia="Calibri" w:hAnsi="Arial" w:cs="Arial"/>
          <w:szCs w:val="22"/>
        </w:rPr>
        <w:t>[11]</w:t>
      </w:r>
      <w:r w:rsidRPr="00F01623">
        <w:rPr>
          <w:rFonts w:ascii="Arial" w:eastAsia="Calibri" w:hAnsi="Arial" w:cs="Arial"/>
          <w:szCs w:val="22"/>
        </w:rPr>
        <w:t xml:space="preserve">. It has been used by humans since ancient times, nearly 5500 years ago </w:t>
      </w:r>
      <w:r w:rsidR="00AA1E8E">
        <w:rPr>
          <w:rFonts w:ascii="Arial" w:eastAsia="Calibri" w:hAnsi="Arial" w:cs="Arial"/>
          <w:szCs w:val="22"/>
        </w:rPr>
        <w:t>[12]</w:t>
      </w:r>
      <w:r w:rsidRPr="00F01623">
        <w:rPr>
          <w:rFonts w:ascii="Arial" w:eastAsia="Calibri" w:hAnsi="Arial" w:cs="Arial"/>
          <w:szCs w:val="22"/>
        </w:rPr>
        <w:t xml:space="preserve">. </w:t>
      </w:r>
      <w:r w:rsidR="00CF0E6D">
        <w:rPr>
          <w:rFonts w:ascii="Arial" w:eastAsia="Calibri" w:hAnsi="Arial" w:cs="Arial"/>
          <w:szCs w:val="22"/>
        </w:rPr>
        <w:t>It</w:t>
      </w:r>
      <w:r w:rsidRPr="00F01623">
        <w:rPr>
          <w:rFonts w:ascii="Arial" w:eastAsia="Calibri" w:hAnsi="Arial" w:cs="Arial"/>
          <w:szCs w:val="22"/>
        </w:rPr>
        <w:t xml:space="preserve"> does not need refrigeration, it never spoils, and it can also be stored unopened at room temperature in a dry place </w:t>
      </w:r>
      <w:r w:rsidR="007D0E6A">
        <w:rPr>
          <w:rFonts w:ascii="Arial" w:eastAsia="Calibri" w:hAnsi="Arial" w:cs="Arial"/>
          <w:szCs w:val="22"/>
        </w:rPr>
        <w:t>[13]</w:t>
      </w:r>
      <w:r w:rsidRPr="00F01623">
        <w:rPr>
          <w:rFonts w:ascii="Arial" w:eastAsia="Calibri" w:hAnsi="Arial" w:cs="Arial"/>
          <w:szCs w:val="22"/>
        </w:rPr>
        <w:t xml:space="preserve">. The water activity (WA) of honey is between 0.56 and 0.62 and its value of pH is almost 3.9 </w:t>
      </w:r>
      <w:r w:rsidR="000F1E79">
        <w:rPr>
          <w:rFonts w:ascii="Arial" w:eastAsia="Calibri" w:hAnsi="Arial" w:cs="Arial"/>
          <w:szCs w:val="22"/>
        </w:rPr>
        <w:t xml:space="preserve">[13]. </w:t>
      </w:r>
      <w:r w:rsidRPr="00F01623">
        <w:rPr>
          <w:rFonts w:ascii="Arial" w:eastAsia="Calibri" w:hAnsi="Arial" w:cs="Arial"/>
          <w:szCs w:val="22"/>
        </w:rPr>
        <w:t xml:space="preserve">Honey was utilized as a natural sweetener from ancient period since it has high level of fructose (honey is 25% sweeter than tablet sugar) Moreover, the use of honey in beverages is also increasingly popular </w:t>
      </w:r>
      <w:r w:rsidR="00EC47A3">
        <w:rPr>
          <w:rFonts w:ascii="Arial" w:eastAsia="Calibri" w:hAnsi="Arial" w:cs="Arial"/>
          <w:szCs w:val="22"/>
        </w:rPr>
        <w:t>[</w:t>
      </w:r>
      <w:r w:rsidR="00202025">
        <w:rPr>
          <w:rFonts w:ascii="Arial" w:eastAsia="Calibri" w:hAnsi="Arial" w:cs="Arial"/>
          <w:szCs w:val="22"/>
        </w:rPr>
        <w:t>26</w:t>
      </w:r>
      <w:r w:rsidR="00EC47A3">
        <w:rPr>
          <w:rFonts w:ascii="Arial" w:eastAsia="Calibri" w:hAnsi="Arial" w:cs="Arial"/>
          <w:szCs w:val="22"/>
        </w:rPr>
        <w:t>]</w:t>
      </w:r>
      <w:r w:rsidRPr="00F01623">
        <w:rPr>
          <w:rFonts w:ascii="Arial" w:eastAsia="Calibri" w:hAnsi="Arial" w:cs="Arial"/>
          <w:szCs w:val="22"/>
        </w:rPr>
        <w:t xml:space="preserve">.   Nowadays, information on the usage of honey for the cure of many human diseases can be found in general magazines, journals, and natural products' leaflets and suggesting a wide variety of unknown activities. Evidence indicates that honey can exert several health-beneficial effects including </w:t>
      </w:r>
      <w:r w:rsidR="00CF0E6D" w:rsidRPr="00F01623">
        <w:rPr>
          <w:rFonts w:ascii="Arial" w:eastAsia="Calibri" w:hAnsi="Arial" w:cs="Arial"/>
          <w:szCs w:val="22"/>
        </w:rPr>
        <w:t>antioxidants</w:t>
      </w:r>
      <w:r w:rsidRPr="00F01623">
        <w:rPr>
          <w:rFonts w:ascii="Arial" w:eastAsia="Calibri" w:hAnsi="Arial" w:cs="Arial"/>
          <w:szCs w:val="22"/>
        </w:rPr>
        <w:t xml:space="preserve">, anti-inflammatory, antibacterial, antidiabetic, respiratory, gastrointestinal, cardiovascular, and nervous system protective effects </w:t>
      </w:r>
      <w:r w:rsidR="006251FA">
        <w:rPr>
          <w:rFonts w:ascii="Arial" w:eastAsia="Calibri" w:hAnsi="Arial" w:cs="Arial"/>
          <w:szCs w:val="22"/>
        </w:rPr>
        <w:t>[12</w:t>
      </w:r>
      <w:r w:rsidR="00EC4657">
        <w:rPr>
          <w:rFonts w:ascii="Arial" w:eastAsia="Calibri" w:hAnsi="Arial" w:cs="Arial"/>
          <w:szCs w:val="22"/>
        </w:rPr>
        <w:t>,</w:t>
      </w:r>
      <w:r w:rsidR="00EC4657" w:rsidRPr="00EC4657">
        <w:rPr>
          <w:rFonts w:ascii="Arial" w:eastAsia="Calibri" w:hAnsi="Arial" w:cs="Arial"/>
          <w:szCs w:val="22"/>
          <w:highlight w:val="yellow"/>
        </w:rPr>
        <w:t>27</w:t>
      </w:r>
      <w:r w:rsidR="006251FA" w:rsidRPr="00EC4657">
        <w:rPr>
          <w:rFonts w:ascii="Arial" w:eastAsia="Calibri" w:hAnsi="Arial" w:cs="Arial"/>
          <w:szCs w:val="22"/>
          <w:highlight w:val="yellow"/>
        </w:rPr>
        <w:t>].</w:t>
      </w:r>
      <w:r w:rsidR="0016511D">
        <w:rPr>
          <w:rFonts w:ascii="Arial" w:eastAsia="Calibri" w:hAnsi="Arial" w:cs="Arial"/>
          <w:szCs w:val="22"/>
        </w:rPr>
        <w:t xml:space="preserve"> </w:t>
      </w:r>
      <w:r w:rsidR="0016511D" w:rsidRPr="00910564">
        <w:rPr>
          <w:rFonts w:ascii="Arial" w:eastAsia="Calibri" w:hAnsi="Arial" w:cs="Arial"/>
          <w:szCs w:val="22"/>
          <w:highlight w:val="yellow"/>
        </w:rPr>
        <w:t>Therefore, this study so</w:t>
      </w:r>
      <w:r w:rsidR="00910564" w:rsidRPr="00910564">
        <w:rPr>
          <w:rFonts w:ascii="Arial" w:eastAsia="Calibri" w:hAnsi="Arial" w:cs="Arial"/>
          <w:szCs w:val="22"/>
          <w:highlight w:val="yellow"/>
        </w:rPr>
        <w:t xml:space="preserve">ught to </w:t>
      </w:r>
      <w:r w:rsidR="00910564" w:rsidRPr="00910564">
        <w:rPr>
          <w:rFonts w:ascii="Arial" w:eastAsia="Calibri" w:hAnsi="Arial" w:cs="Arial"/>
          <w:bCs/>
          <w:szCs w:val="22"/>
          <w:highlight w:val="yellow"/>
        </w:rPr>
        <w:t>evaluate the effect of activated carbon and honey treatments on liver function in albino rats with acetaminophen-induced hepatotoxicity.</w:t>
      </w:r>
    </w:p>
    <w:p w14:paraId="42A537FE" w14:textId="77777777" w:rsidR="00AC1B9F" w:rsidRDefault="00AC1B9F" w:rsidP="00F01623">
      <w:pPr>
        <w:pStyle w:val="Body"/>
        <w:spacing w:after="0"/>
        <w:rPr>
          <w:rFonts w:ascii="Arial" w:eastAsia="Calibri" w:hAnsi="Arial" w:cs="Arial"/>
          <w:szCs w:val="22"/>
        </w:rPr>
      </w:pPr>
    </w:p>
    <w:p w14:paraId="1CC5F8FE" w14:textId="77777777" w:rsidR="000D522A" w:rsidRDefault="000D522A" w:rsidP="00F01623">
      <w:pPr>
        <w:pStyle w:val="Body"/>
        <w:spacing w:after="0"/>
        <w:rPr>
          <w:rFonts w:ascii="Arial" w:hAnsi="Arial" w:cs="Arial"/>
        </w:rPr>
      </w:pP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8A4AD3">
      <w:pPr>
        <w:pStyle w:val="AbstHead"/>
        <w:jc w:val="both"/>
        <w:rPr>
          <w:rFonts w:ascii="Arial" w:hAnsi="Arial" w:cs="Arial"/>
        </w:rPr>
      </w:pPr>
      <w:r>
        <w:rPr>
          <w:rFonts w:ascii="Arial" w:hAnsi="Arial" w:cs="Arial"/>
        </w:rPr>
        <w:lastRenderedPageBreak/>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50F55795" w14:textId="2EB542AF" w:rsidR="001067C2" w:rsidRPr="00D26E7C" w:rsidRDefault="008A4AD3" w:rsidP="008A4AD3">
      <w:pPr>
        <w:pStyle w:val="Body"/>
        <w:spacing w:before="240" w:after="0"/>
        <w:rPr>
          <w:rFonts w:ascii="Arial" w:eastAsia="Calibri" w:hAnsi="Arial" w:cs="Arial"/>
          <w:b/>
          <w:bCs/>
          <w:sz w:val="22"/>
          <w:szCs w:val="24"/>
        </w:rPr>
      </w:pPr>
      <w:r w:rsidRPr="00D26E7C">
        <w:rPr>
          <w:rFonts w:ascii="Arial" w:eastAsia="Calibri" w:hAnsi="Arial" w:cs="Arial"/>
          <w:b/>
          <w:bCs/>
          <w:sz w:val="22"/>
          <w:szCs w:val="24"/>
        </w:rPr>
        <w:t xml:space="preserve">2.1 </w:t>
      </w:r>
      <w:r w:rsidR="001067C2" w:rsidRPr="00D26E7C">
        <w:rPr>
          <w:rFonts w:ascii="Arial" w:eastAsia="Calibri" w:hAnsi="Arial" w:cs="Arial"/>
          <w:b/>
          <w:bCs/>
          <w:sz w:val="22"/>
          <w:szCs w:val="24"/>
        </w:rPr>
        <w:t>Experimental Animals</w:t>
      </w:r>
    </w:p>
    <w:p w14:paraId="4D60A2C9" w14:textId="1E13DDF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The study was carried out using Thirty (30) male albino rats weighing 140-150g. The albino rats were purchased from the animal house of the Department of Animal and Environmental Biology, Rivers State University, Port Harcourt.</w:t>
      </w:r>
      <w:r w:rsidR="008A4AD3">
        <w:rPr>
          <w:rFonts w:ascii="Arial" w:eastAsia="Calibri" w:hAnsi="Arial" w:cs="Arial"/>
          <w:szCs w:val="22"/>
        </w:rPr>
        <w:t xml:space="preserve"> </w:t>
      </w:r>
      <w:r w:rsidRPr="001067C2">
        <w:rPr>
          <w:rFonts w:ascii="Arial" w:eastAsia="Calibri" w:hAnsi="Arial" w:cs="Arial"/>
          <w:szCs w:val="22"/>
        </w:rPr>
        <w:t xml:space="preserve">The albino rats were allowed to acclimatize for two weeks in well compartmentalized cages with 12-hours light exposure. The albino rats were grouped into five (5) groups with six (6) albino rats each and maintained under normal laboratory conditions (temperature of </w:t>
      </w:r>
      <w:r w:rsidRPr="000F1E79">
        <w:rPr>
          <w:rFonts w:ascii="Arial" w:eastAsia="Calibri" w:hAnsi="Arial" w:cs="Arial"/>
          <w:szCs w:val="22"/>
        </w:rPr>
        <w:t>25</w:t>
      </w:r>
      <w:r w:rsidR="000F1E79">
        <w:rPr>
          <w:rFonts w:ascii="Arial" w:eastAsia="Calibri" w:hAnsi="Arial" w:cs="Arial"/>
          <w:szCs w:val="22"/>
          <w:vertAlign w:val="superscript"/>
        </w:rPr>
        <w:t>o</w:t>
      </w:r>
      <w:r w:rsidRPr="000F1E79">
        <w:rPr>
          <w:rFonts w:ascii="Arial" w:eastAsia="Calibri" w:hAnsi="Arial" w:cs="Arial"/>
          <w:szCs w:val="22"/>
        </w:rPr>
        <w:t>C</w:t>
      </w:r>
      <w:r w:rsidRPr="001067C2">
        <w:rPr>
          <w:rFonts w:ascii="Arial" w:eastAsia="Calibri" w:hAnsi="Arial" w:cs="Arial"/>
          <w:szCs w:val="22"/>
        </w:rPr>
        <w:t>, relative humidity of 60-70%). The albino rats were allowed access to standard feed (finisher) (manufactured by Top Feeds Nig. Ltd) and water ad libitum.</w:t>
      </w:r>
    </w:p>
    <w:p w14:paraId="0F51E9CA" w14:textId="37CD3E13" w:rsidR="001067C2" w:rsidRPr="00D26E7C" w:rsidRDefault="008A4AD3" w:rsidP="00D26E7C">
      <w:pPr>
        <w:pStyle w:val="Body"/>
        <w:spacing w:after="0"/>
        <w:rPr>
          <w:rFonts w:ascii="Arial" w:eastAsia="Calibri" w:hAnsi="Arial" w:cs="Arial"/>
          <w:b/>
          <w:bCs/>
          <w:sz w:val="22"/>
          <w:szCs w:val="24"/>
        </w:rPr>
      </w:pPr>
      <w:r w:rsidRPr="00D26E7C">
        <w:rPr>
          <w:rFonts w:ascii="Arial" w:eastAsia="Calibri" w:hAnsi="Arial" w:cs="Arial"/>
          <w:b/>
          <w:bCs/>
          <w:sz w:val="22"/>
          <w:szCs w:val="24"/>
        </w:rPr>
        <w:t>2</w:t>
      </w:r>
      <w:r w:rsidR="001067C2" w:rsidRPr="00D26E7C">
        <w:rPr>
          <w:rFonts w:ascii="Arial" w:eastAsia="Calibri" w:hAnsi="Arial" w:cs="Arial"/>
          <w:b/>
          <w:bCs/>
          <w:sz w:val="22"/>
          <w:szCs w:val="24"/>
        </w:rPr>
        <w:t xml:space="preserve">.2 Study Design </w:t>
      </w:r>
    </w:p>
    <w:p w14:paraId="5482AC05" w14:textId="77777777"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Thirty (30) male albino rats were assigned into 5 groups of six (6) albino rats each.</w:t>
      </w:r>
    </w:p>
    <w:p w14:paraId="340E1A27" w14:textId="751809D2"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 xml:space="preserve">Group 1(Negative Control): 6 albino rats were given only feed and water daily for </w:t>
      </w:r>
      <w:r w:rsidR="00413136" w:rsidRPr="00413136">
        <w:rPr>
          <w:rFonts w:ascii="Arial" w:eastAsia="Calibri" w:hAnsi="Arial" w:cs="Arial"/>
          <w:szCs w:val="22"/>
          <w:highlight w:val="yellow"/>
        </w:rPr>
        <w:t>28</w:t>
      </w:r>
      <w:r w:rsidR="007D5FEB">
        <w:rPr>
          <w:rFonts w:ascii="Arial" w:eastAsia="Calibri" w:hAnsi="Arial" w:cs="Arial"/>
          <w:szCs w:val="22"/>
        </w:rPr>
        <w:t xml:space="preserve"> </w:t>
      </w:r>
      <w:r w:rsidRPr="001067C2">
        <w:rPr>
          <w:rFonts w:ascii="Arial" w:eastAsia="Calibri" w:hAnsi="Arial" w:cs="Arial"/>
          <w:szCs w:val="22"/>
        </w:rPr>
        <w:t>days</w:t>
      </w:r>
    </w:p>
    <w:p w14:paraId="1C0E17F2" w14:textId="6D801713"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 xml:space="preserve">Group 2 (Positive Control): 6 albino rats were given 270mg/kg each of acetaminophen by gavage daily for </w:t>
      </w:r>
      <w:r w:rsidR="0035058D" w:rsidRPr="0035058D">
        <w:rPr>
          <w:rFonts w:ascii="Arial" w:eastAsia="Calibri" w:hAnsi="Arial" w:cs="Arial"/>
          <w:szCs w:val="22"/>
          <w:highlight w:val="yellow"/>
        </w:rPr>
        <w:t>14</w:t>
      </w:r>
      <w:r w:rsidRPr="001067C2">
        <w:rPr>
          <w:rFonts w:ascii="Arial" w:eastAsia="Calibri" w:hAnsi="Arial" w:cs="Arial"/>
          <w:szCs w:val="22"/>
        </w:rPr>
        <w:t xml:space="preserve"> days</w:t>
      </w:r>
    </w:p>
    <w:p w14:paraId="63B96738" w14:textId="50271160"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 xml:space="preserve">Group 3 (Acetaminophen and Honey): 6 albino rats were induced with hepatotoxicity for </w:t>
      </w:r>
      <w:r w:rsidR="0035058D" w:rsidRPr="0035058D">
        <w:rPr>
          <w:rFonts w:ascii="Arial" w:eastAsia="Calibri" w:hAnsi="Arial" w:cs="Arial"/>
          <w:szCs w:val="22"/>
          <w:highlight w:val="yellow"/>
        </w:rPr>
        <w:t>14</w:t>
      </w:r>
      <w:r w:rsidRPr="001067C2">
        <w:rPr>
          <w:rFonts w:ascii="Arial" w:eastAsia="Calibri" w:hAnsi="Arial" w:cs="Arial"/>
          <w:szCs w:val="22"/>
        </w:rPr>
        <w:t xml:space="preserve"> days using 270mg/kg each of acetaminophen, then 1.5ml of honey by gavage daily for 14 days</w:t>
      </w:r>
    </w:p>
    <w:p w14:paraId="5AB9B40C" w14:textId="288D0041" w:rsidR="001067C2" w:rsidRPr="001067C2" w:rsidRDefault="001067C2" w:rsidP="00D26E7C">
      <w:pPr>
        <w:pStyle w:val="Body"/>
        <w:spacing w:after="0" w:line="276" w:lineRule="auto"/>
        <w:rPr>
          <w:rFonts w:ascii="Arial" w:eastAsia="Calibri" w:hAnsi="Arial" w:cs="Arial"/>
          <w:szCs w:val="22"/>
        </w:rPr>
      </w:pPr>
      <w:r w:rsidRPr="001067C2">
        <w:rPr>
          <w:rFonts w:ascii="Arial" w:eastAsia="Calibri" w:hAnsi="Arial" w:cs="Arial"/>
          <w:szCs w:val="22"/>
        </w:rPr>
        <w:t xml:space="preserve">Group 4 (Acetaminophen and Activated Carbon): 6 albino rats were induced with hepatotoxicity for </w:t>
      </w:r>
      <w:r w:rsidR="0035058D" w:rsidRPr="0035058D">
        <w:rPr>
          <w:rFonts w:ascii="Arial" w:eastAsia="Calibri" w:hAnsi="Arial" w:cs="Arial"/>
          <w:szCs w:val="22"/>
          <w:highlight w:val="yellow"/>
        </w:rPr>
        <w:t>14</w:t>
      </w:r>
      <w:r w:rsidRPr="001067C2">
        <w:rPr>
          <w:rFonts w:ascii="Arial" w:eastAsia="Calibri" w:hAnsi="Arial" w:cs="Arial"/>
          <w:szCs w:val="22"/>
        </w:rPr>
        <w:t xml:space="preserve"> days using 270mg/kg each of acetaminophen, and then given 1.5ml of activated carbon by gavage daily</w:t>
      </w:r>
      <w:r w:rsidR="00F93B5B">
        <w:rPr>
          <w:rFonts w:ascii="Arial" w:eastAsia="Calibri" w:hAnsi="Arial" w:cs="Arial"/>
          <w:szCs w:val="22"/>
        </w:rPr>
        <w:t xml:space="preserve"> </w:t>
      </w:r>
      <w:r w:rsidR="00F93B5B" w:rsidRPr="00F93B5B">
        <w:rPr>
          <w:rFonts w:ascii="Arial" w:eastAsia="Calibri" w:hAnsi="Arial" w:cs="Arial"/>
          <w:szCs w:val="22"/>
          <w:highlight w:val="yellow"/>
        </w:rPr>
        <w:t>for another</w:t>
      </w:r>
      <w:r w:rsidRPr="00F93B5B">
        <w:rPr>
          <w:rFonts w:ascii="Arial" w:eastAsia="Calibri" w:hAnsi="Arial" w:cs="Arial"/>
          <w:szCs w:val="22"/>
          <w:highlight w:val="yellow"/>
        </w:rPr>
        <w:t xml:space="preserve"> for 14 days.</w:t>
      </w:r>
    </w:p>
    <w:p w14:paraId="213D0EFF" w14:textId="2BB172F5" w:rsidR="001067C2" w:rsidRPr="001067C2" w:rsidRDefault="001067C2" w:rsidP="00A74539">
      <w:pPr>
        <w:pStyle w:val="Body"/>
        <w:spacing w:line="276" w:lineRule="auto"/>
        <w:rPr>
          <w:rFonts w:ascii="Arial" w:eastAsia="Calibri" w:hAnsi="Arial" w:cs="Arial"/>
          <w:szCs w:val="22"/>
        </w:rPr>
      </w:pPr>
      <w:r w:rsidRPr="001067C2">
        <w:rPr>
          <w:rFonts w:ascii="Arial" w:eastAsia="Calibri" w:hAnsi="Arial" w:cs="Arial"/>
          <w:szCs w:val="22"/>
        </w:rPr>
        <w:t xml:space="preserve">Group 5 (Acetaminophen, Honey and Activated Carbon): 6 albino rats were induced with hepatotoxicity for </w:t>
      </w:r>
      <w:r w:rsidR="00907828" w:rsidRPr="00907828">
        <w:rPr>
          <w:rFonts w:ascii="Arial" w:eastAsia="Calibri" w:hAnsi="Arial" w:cs="Arial"/>
          <w:szCs w:val="22"/>
          <w:highlight w:val="yellow"/>
        </w:rPr>
        <w:t>14</w:t>
      </w:r>
      <w:r w:rsidRPr="001067C2">
        <w:rPr>
          <w:rFonts w:ascii="Arial" w:eastAsia="Calibri" w:hAnsi="Arial" w:cs="Arial"/>
          <w:szCs w:val="22"/>
        </w:rPr>
        <w:t xml:space="preserve"> days using 270mg/kg each of acetaminophen, and then given 1.5ml of activated carbon and honey by gavage daily for 14 days.</w:t>
      </w:r>
    </w:p>
    <w:p w14:paraId="2BF0AEEC" w14:textId="4BEC86F4" w:rsidR="001067C2" w:rsidRPr="00A74539" w:rsidRDefault="00A74539" w:rsidP="00A74539">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.3 Dosage Calculation</w:t>
      </w:r>
    </w:p>
    <w:p w14:paraId="4B735393" w14:textId="623CE71B" w:rsidR="001067C2" w:rsidRPr="001067C2" w:rsidRDefault="001067C2" w:rsidP="00A74539">
      <w:pPr>
        <w:pStyle w:val="Body"/>
        <w:spacing w:after="0"/>
        <w:rPr>
          <w:rFonts w:ascii="Arial" w:eastAsia="Calibri" w:hAnsi="Arial" w:cs="Arial"/>
          <w:szCs w:val="22"/>
        </w:rPr>
      </w:pPr>
      <w:r w:rsidRPr="001067C2">
        <w:rPr>
          <w:rFonts w:ascii="Arial" w:eastAsia="Calibri" w:hAnsi="Arial" w:cs="Arial"/>
          <w:szCs w:val="22"/>
        </w:rPr>
        <w:t>In th</w:t>
      </w:r>
      <w:r w:rsidR="00001D4F">
        <w:rPr>
          <w:rFonts w:ascii="Arial" w:eastAsia="Calibri" w:hAnsi="Arial" w:cs="Arial"/>
          <w:szCs w:val="22"/>
        </w:rPr>
        <w:t>is</w:t>
      </w:r>
      <w:r w:rsidRPr="001067C2">
        <w:rPr>
          <w:rFonts w:ascii="Arial" w:eastAsia="Calibri" w:hAnsi="Arial" w:cs="Arial"/>
          <w:szCs w:val="22"/>
        </w:rPr>
        <w:t xml:space="preserve"> </w:t>
      </w:r>
      <w:r w:rsidR="00001D4F">
        <w:rPr>
          <w:rFonts w:ascii="Arial" w:eastAsia="Calibri" w:hAnsi="Arial" w:cs="Arial"/>
          <w:szCs w:val="22"/>
        </w:rPr>
        <w:t>st</w:t>
      </w:r>
      <w:r w:rsidR="00E4054E">
        <w:rPr>
          <w:rFonts w:ascii="Arial" w:eastAsia="Calibri" w:hAnsi="Arial" w:cs="Arial"/>
          <w:szCs w:val="22"/>
        </w:rPr>
        <w:t>udy,</w:t>
      </w:r>
      <w:r w:rsidRPr="001067C2">
        <w:rPr>
          <w:rFonts w:ascii="Arial" w:eastAsia="Calibri" w:hAnsi="Arial" w:cs="Arial"/>
          <w:szCs w:val="22"/>
        </w:rPr>
        <w:t xml:space="preserve"> 1500mg/kg of acetaminophen was used to induce hepatotoxicity in albino rats.</w:t>
      </w:r>
    </w:p>
    <w:p w14:paraId="2259FEF4"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Dose = (Dosage×weight)/1000g</w:t>
      </w:r>
    </w:p>
    <w:p w14:paraId="7196943B"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Dose=1500mg/kg </w:t>
      </w:r>
    </w:p>
    <w:p w14:paraId="38C1811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Weight of rat=180g</w:t>
      </w:r>
    </w:p>
    <w:p w14:paraId="7282FBBD"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Rat dose=(1500mg/kg ×180g)/1000g    =270mg</w:t>
      </w:r>
    </w:p>
    <w:p w14:paraId="2600896F" w14:textId="1FF71D8F"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According to OECD guidelines, 100g of albino rats </w:t>
      </w:r>
      <w:r w:rsidR="008A4224" w:rsidRPr="008A4224">
        <w:rPr>
          <w:rFonts w:ascii="Arial" w:eastAsia="Calibri" w:hAnsi="Arial" w:cs="Arial"/>
          <w:szCs w:val="22"/>
          <w:highlight w:val="yellow"/>
        </w:rPr>
        <w:t>was</w:t>
      </w:r>
      <w:r w:rsidRPr="001067C2">
        <w:rPr>
          <w:rFonts w:ascii="Arial" w:eastAsia="Calibri" w:hAnsi="Arial" w:cs="Arial"/>
          <w:szCs w:val="22"/>
        </w:rPr>
        <w:t xml:space="preserve"> given 1ml of substance; therefore, 180g of </w:t>
      </w:r>
      <w:r w:rsidRPr="008A4224">
        <w:rPr>
          <w:rFonts w:ascii="Arial" w:eastAsia="Calibri" w:hAnsi="Arial" w:cs="Arial"/>
          <w:szCs w:val="22"/>
          <w:highlight w:val="yellow"/>
        </w:rPr>
        <w:t>rat receive</w:t>
      </w:r>
      <w:r w:rsidR="008A4224" w:rsidRPr="008A4224">
        <w:rPr>
          <w:rFonts w:ascii="Arial" w:eastAsia="Calibri" w:hAnsi="Arial" w:cs="Arial"/>
          <w:szCs w:val="22"/>
          <w:highlight w:val="yellow"/>
        </w:rPr>
        <w:t>d</w:t>
      </w:r>
      <w:r w:rsidRPr="001067C2">
        <w:rPr>
          <w:rFonts w:ascii="Arial" w:eastAsia="Calibri" w:hAnsi="Arial" w:cs="Arial"/>
          <w:szCs w:val="22"/>
        </w:rPr>
        <w:t xml:space="preserve"> 1.8ml of substance.</w:t>
      </w:r>
    </w:p>
    <w:p w14:paraId="7DA51FE4" w14:textId="457593B5"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Thus, 270mg of acetaminophen </w:t>
      </w:r>
      <w:r w:rsidR="003357C5" w:rsidRPr="003357C5">
        <w:rPr>
          <w:rFonts w:ascii="Arial" w:eastAsia="Calibri" w:hAnsi="Arial" w:cs="Arial"/>
          <w:szCs w:val="22"/>
          <w:highlight w:val="yellow"/>
        </w:rPr>
        <w:t>was</w:t>
      </w:r>
      <w:r w:rsidRPr="003357C5">
        <w:rPr>
          <w:rFonts w:ascii="Arial" w:eastAsia="Calibri" w:hAnsi="Arial" w:cs="Arial"/>
          <w:szCs w:val="22"/>
          <w:highlight w:val="yellow"/>
        </w:rPr>
        <w:t xml:space="preserve"> dissolved</w:t>
      </w:r>
      <w:r w:rsidRPr="001067C2">
        <w:rPr>
          <w:rFonts w:ascii="Arial" w:eastAsia="Calibri" w:hAnsi="Arial" w:cs="Arial"/>
          <w:szCs w:val="22"/>
        </w:rPr>
        <w:t xml:space="preserve"> in 1.8ml of water. Each acetaminophen tablet </w:t>
      </w:r>
      <w:r w:rsidR="003357C5" w:rsidRPr="003357C5">
        <w:rPr>
          <w:rFonts w:ascii="Arial" w:eastAsia="Calibri" w:hAnsi="Arial" w:cs="Arial"/>
          <w:szCs w:val="22"/>
          <w:highlight w:val="yellow"/>
        </w:rPr>
        <w:t>contained</w:t>
      </w:r>
      <w:r w:rsidRPr="001067C2">
        <w:rPr>
          <w:rFonts w:ascii="Arial" w:eastAsia="Calibri" w:hAnsi="Arial" w:cs="Arial"/>
          <w:szCs w:val="22"/>
        </w:rPr>
        <w:t xml:space="preserve"> 500mg</w:t>
      </w:r>
    </w:p>
    <w:p w14:paraId="42C5735A" w14:textId="3FA0C088"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If 270mg of acetaminophen </w:t>
      </w:r>
      <w:r w:rsidR="00250F8A" w:rsidRPr="00250F8A">
        <w:rPr>
          <w:rFonts w:ascii="Arial" w:eastAsia="Calibri" w:hAnsi="Arial" w:cs="Arial"/>
          <w:szCs w:val="22"/>
          <w:highlight w:val="yellow"/>
        </w:rPr>
        <w:t>was</w:t>
      </w:r>
      <w:r w:rsidRPr="001067C2">
        <w:rPr>
          <w:rFonts w:ascii="Arial" w:eastAsia="Calibri" w:hAnsi="Arial" w:cs="Arial"/>
          <w:szCs w:val="22"/>
        </w:rPr>
        <w:t xml:space="preserve"> dissolved in 1.8ml of water, therefore, 500mg of acetaminophen </w:t>
      </w:r>
      <w:r w:rsidR="00250F8A" w:rsidRPr="00961437">
        <w:rPr>
          <w:rFonts w:ascii="Arial" w:eastAsia="Calibri" w:hAnsi="Arial" w:cs="Arial"/>
          <w:szCs w:val="22"/>
          <w:highlight w:val="yellow"/>
        </w:rPr>
        <w:t>con</w:t>
      </w:r>
      <w:r w:rsidR="00961437" w:rsidRPr="00961437">
        <w:rPr>
          <w:rFonts w:ascii="Arial" w:eastAsia="Calibri" w:hAnsi="Arial" w:cs="Arial"/>
          <w:szCs w:val="22"/>
          <w:highlight w:val="yellow"/>
        </w:rPr>
        <w:t>tained</w:t>
      </w:r>
      <w:r w:rsidRPr="001067C2">
        <w:rPr>
          <w:rFonts w:ascii="Arial" w:eastAsia="Calibri" w:hAnsi="Arial" w:cs="Arial"/>
          <w:szCs w:val="22"/>
        </w:rPr>
        <w:t xml:space="preserve">   (1.8ml ×500mg)/270mg       =3.3ml of water </w:t>
      </w:r>
    </w:p>
    <w:p w14:paraId="2BE7118C" w14:textId="1506F39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Therefore, a tablet of acetaminophen was dissolved in 3.3ml of </w:t>
      </w:r>
      <w:r w:rsidRPr="00961437">
        <w:rPr>
          <w:rFonts w:ascii="Arial" w:eastAsia="Calibri" w:hAnsi="Arial" w:cs="Arial"/>
          <w:szCs w:val="22"/>
          <w:highlight w:val="yellow"/>
        </w:rPr>
        <w:t>water</w:t>
      </w:r>
      <w:r w:rsidR="00961437" w:rsidRPr="00961437">
        <w:rPr>
          <w:rFonts w:ascii="Arial" w:eastAsia="Calibri" w:hAnsi="Arial" w:cs="Arial"/>
          <w:szCs w:val="22"/>
          <w:highlight w:val="yellow"/>
        </w:rPr>
        <w:t>.</w:t>
      </w:r>
    </w:p>
    <w:p w14:paraId="5A98F722" w14:textId="7AFA5408" w:rsidR="001067C2" w:rsidRPr="00A74539" w:rsidRDefault="00A74539" w:rsidP="00F33C8B">
      <w:pPr>
        <w:pStyle w:val="Body"/>
        <w:spacing w:after="0"/>
        <w:rPr>
          <w:rFonts w:ascii="Arial" w:eastAsia="Calibri" w:hAnsi="Arial" w:cs="Arial"/>
          <w:b/>
          <w:bCs/>
          <w:sz w:val="22"/>
          <w:szCs w:val="24"/>
        </w:rPr>
      </w:pPr>
      <w:r w:rsidRPr="00A74539">
        <w:rPr>
          <w:rFonts w:ascii="Arial" w:eastAsia="Calibri" w:hAnsi="Arial" w:cs="Arial"/>
          <w:b/>
          <w:bCs/>
          <w:sz w:val="22"/>
          <w:szCs w:val="24"/>
        </w:rPr>
        <w:t>2</w:t>
      </w:r>
      <w:r w:rsidR="001067C2" w:rsidRPr="00A74539">
        <w:rPr>
          <w:rFonts w:ascii="Arial" w:eastAsia="Calibri" w:hAnsi="Arial" w:cs="Arial"/>
          <w:b/>
          <w:bCs/>
          <w:sz w:val="22"/>
          <w:szCs w:val="24"/>
        </w:rPr>
        <w:t>.4</w:t>
      </w:r>
      <w:r w:rsidRPr="00A74539">
        <w:rPr>
          <w:rFonts w:ascii="Arial" w:eastAsia="Calibri" w:hAnsi="Arial" w:cs="Arial"/>
          <w:b/>
          <w:bCs/>
          <w:sz w:val="22"/>
          <w:szCs w:val="24"/>
        </w:rPr>
        <w:t xml:space="preserve"> </w:t>
      </w:r>
      <w:r w:rsidR="001067C2" w:rsidRPr="00A74539">
        <w:rPr>
          <w:rFonts w:ascii="Arial" w:eastAsia="Calibri" w:hAnsi="Arial" w:cs="Arial"/>
          <w:b/>
          <w:bCs/>
          <w:sz w:val="22"/>
          <w:szCs w:val="24"/>
        </w:rPr>
        <w:t>Sample Collection</w:t>
      </w:r>
    </w:p>
    <w:p w14:paraId="394DB3EF"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lastRenderedPageBreak/>
        <w:t>The albino rats were sacrificed on the 28th day after an overnight fast. They were anaesthetized using chloroform. Blood samples were collected by cardiac puncture and put into Lithium heparin bottles for the assay of Total protein, Albumin, Aspartate aminotransferase, Alanine aminotransferase, Alkaline phosphate, total and Conjugated bilirubin and Gamma-glutamyl transferase.</w:t>
      </w:r>
    </w:p>
    <w:p w14:paraId="7FFD36D6" w14:textId="3AEC4565" w:rsidR="001067C2" w:rsidRPr="00F33C8B" w:rsidRDefault="00F33C8B" w:rsidP="001067C2">
      <w:pPr>
        <w:pStyle w:val="Body"/>
        <w:rPr>
          <w:rFonts w:ascii="Arial" w:eastAsia="Calibri" w:hAnsi="Arial" w:cs="Arial"/>
          <w:b/>
          <w:bCs/>
          <w:sz w:val="22"/>
          <w:szCs w:val="24"/>
        </w:rPr>
      </w:pPr>
      <w:r w:rsidRPr="00F33C8B">
        <w:rPr>
          <w:rFonts w:ascii="Arial" w:eastAsia="Calibri" w:hAnsi="Arial" w:cs="Arial"/>
          <w:b/>
          <w:bCs/>
          <w:sz w:val="22"/>
          <w:szCs w:val="24"/>
        </w:rPr>
        <w:t>2</w:t>
      </w:r>
      <w:r w:rsidR="001067C2" w:rsidRPr="00F33C8B">
        <w:rPr>
          <w:rFonts w:ascii="Arial" w:eastAsia="Calibri" w:hAnsi="Arial" w:cs="Arial"/>
          <w:b/>
          <w:bCs/>
          <w:sz w:val="22"/>
          <w:szCs w:val="24"/>
        </w:rPr>
        <w:t xml:space="preserve">.5 Laboratory Analysis </w:t>
      </w:r>
    </w:p>
    <w:p w14:paraId="302DA023" w14:textId="62D4AFDB" w:rsidR="001067C2" w:rsidRPr="00F33C8B" w:rsidRDefault="00F33C8B" w:rsidP="001067C2">
      <w:pPr>
        <w:pStyle w:val="Body"/>
        <w:rPr>
          <w:rFonts w:ascii="Arial" w:eastAsia="Calibri" w:hAnsi="Arial" w:cs="Arial"/>
          <w:b/>
          <w:bCs/>
          <w:szCs w:val="22"/>
        </w:rPr>
      </w:pPr>
      <w:r>
        <w:rPr>
          <w:rFonts w:ascii="Arial" w:eastAsia="Calibri" w:hAnsi="Arial" w:cs="Arial"/>
          <w:b/>
          <w:bCs/>
          <w:szCs w:val="22"/>
        </w:rPr>
        <w:t>2</w:t>
      </w:r>
      <w:r w:rsidR="001067C2" w:rsidRPr="00F33C8B">
        <w:rPr>
          <w:rFonts w:ascii="Arial" w:eastAsia="Calibri" w:hAnsi="Arial" w:cs="Arial"/>
          <w:b/>
          <w:bCs/>
          <w:szCs w:val="22"/>
        </w:rPr>
        <w:t xml:space="preserve">.5.1 Estimation of Plasma Total Protein </w:t>
      </w:r>
    </w:p>
    <w:p w14:paraId="616523DF" w14:textId="64D1573D"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Biuret </w:t>
      </w:r>
      <w:r w:rsidR="003C5E44">
        <w:rPr>
          <w:rFonts w:ascii="Arial" w:eastAsia="Calibri" w:hAnsi="Arial" w:cs="Arial"/>
          <w:szCs w:val="22"/>
        </w:rPr>
        <w:t>[13]</w:t>
      </w:r>
      <w:r w:rsidRPr="001067C2">
        <w:rPr>
          <w:rFonts w:ascii="Arial" w:eastAsia="Calibri" w:hAnsi="Arial" w:cs="Arial"/>
          <w:szCs w:val="22"/>
        </w:rPr>
        <w:t>.</w:t>
      </w:r>
    </w:p>
    <w:p w14:paraId="1D16A08C" w14:textId="4BB0EF4C"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F33C8B">
        <w:rPr>
          <w:rFonts w:ascii="Arial" w:eastAsia="Calibri" w:hAnsi="Arial" w:cs="Arial"/>
          <w:szCs w:val="22"/>
        </w:rPr>
        <w:t xml:space="preserve">: </w:t>
      </w:r>
      <w:r w:rsidRPr="001067C2">
        <w:rPr>
          <w:rFonts w:ascii="Arial" w:eastAsia="Calibri" w:hAnsi="Arial" w:cs="Arial"/>
          <w:szCs w:val="22"/>
        </w:rPr>
        <w:t xml:space="preserve">In the biuret reaction, the cupric ions in the reagent react with the peptide bonds of protein molecules in an alkaline solution to form a blue-violet </w:t>
      </w:r>
      <w:proofErr w:type="spellStart"/>
      <w:r w:rsidRPr="009866AB">
        <w:rPr>
          <w:rFonts w:ascii="Arial" w:eastAsia="Calibri" w:hAnsi="Arial" w:cs="Arial"/>
          <w:szCs w:val="22"/>
          <w:highlight w:val="yellow"/>
        </w:rPr>
        <w:t>colo</w:t>
      </w:r>
      <w:r w:rsidR="00EC41B2" w:rsidRPr="009866AB">
        <w:rPr>
          <w:rFonts w:ascii="Arial" w:eastAsia="Calibri" w:hAnsi="Arial" w:cs="Arial"/>
          <w:szCs w:val="22"/>
          <w:highlight w:val="yellow"/>
        </w:rPr>
        <w:t>u</w:t>
      </w:r>
      <w:r w:rsidRPr="009866AB">
        <w:rPr>
          <w:rFonts w:ascii="Arial" w:eastAsia="Calibri" w:hAnsi="Arial" w:cs="Arial"/>
          <w:szCs w:val="22"/>
          <w:highlight w:val="yellow"/>
        </w:rPr>
        <w:t>red</w:t>
      </w:r>
      <w:proofErr w:type="spellEnd"/>
      <w:r w:rsidRPr="001067C2">
        <w:rPr>
          <w:rFonts w:ascii="Arial" w:eastAsia="Calibri" w:hAnsi="Arial" w:cs="Arial"/>
          <w:szCs w:val="22"/>
        </w:rPr>
        <w:t xml:space="preserve"> complex. The absorbance of the </w:t>
      </w:r>
      <w:proofErr w:type="spellStart"/>
      <w:r w:rsidRPr="00EC41B2">
        <w:rPr>
          <w:rFonts w:ascii="Arial" w:eastAsia="Calibri" w:hAnsi="Arial" w:cs="Arial"/>
          <w:szCs w:val="22"/>
          <w:highlight w:val="yellow"/>
        </w:rPr>
        <w:t>colo</w:t>
      </w:r>
      <w:r w:rsidR="00EC41B2" w:rsidRPr="00EC41B2">
        <w:rPr>
          <w:rFonts w:ascii="Arial" w:eastAsia="Calibri" w:hAnsi="Arial" w:cs="Arial"/>
          <w:szCs w:val="22"/>
          <w:highlight w:val="yellow"/>
        </w:rPr>
        <w:t>u</w:t>
      </w:r>
      <w:r w:rsidRPr="00EC41B2">
        <w:rPr>
          <w:rFonts w:ascii="Arial" w:eastAsia="Calibri" w:hAnsi="Arial" w:cs="Arial"/>
          <w:szCs w:val="22"/>
          <w:highlight w:val="yellow"/>
        </w:rPr>
        <w:t>r</w:t>
      </w:r>
      <w:proofErr w:type="spellEnd"/>
      <w:r w:rsidRPr="001067C2">
        <w:rPr>
          <w:rFonts w:ascii="Arial" w:eastAsia="Calibri" w:hAnsi="Arial" w:cs="Arial"/>
          <w:szCs w:val="22"/>
        </w:rPr>
        <w:t xml:space="preserve"> produced is measured at 540nm using a spectrophotometer or a colorimeter. The absorbance is directly proportional to the concentration of protein present in the plasma sample.</w:t>
      </w:r>
    </w:p>
    <w:p w14:paraId="0819CE6A"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Protein +Copper ions</w:t>
      </w:r>
      <w:r w:rsidRPr="001067C2">
        <w:rPr>
          <w:rFonts w:ascii="Arial" w:eastAsia="Calibri" w:hAnsi="Arial" w:cs="Arial"/>
          <w:szCs w:val="22"/>
        </w:rPr>
        <w:tab/>
        <w:t xml:space="preserve">      Alkaline pH</w:t>
      </w:r>
      <w:r w:rsidRPr="001067C2">
        <w:rPr>
          <w:rFonts w:ascii="Arial" w:eastAsia="Calibri" w:hAnsi="Arial" w:cs="Arial"/>
          <w:szCs w:val="22"/>
        </w:rPr>
        <w:tab/>
        <w:t xml:space="preserve">        Protein-Copper Complex (Blue-violet)</w:t>
      </w:r>
    </w:p>
    <w:p w14:paraId="7861E065" w14:textId="00DD6DCF" w:rsidR="001067C2" w:rsidRPr="00254814" w:rsidRDefault="00254814" w:rsidP="001067C2">
      <w:pPr>
        <w:pStyle w:val="Body"/>
        <w:rPr>
          <w:rFonts w:ascii="Arial" w:eastAsia="Calibri" w:hAnsi="Arial" w:cs="Arial"/>
          <w:b/>
          <w:bCs/>
          <w:szCs w:val="22"/>
        </w:rPr>
      </w:pPr>
      <w:r w:rsidRPr="00254814">
        <w:rPr>
          <w:rFonts w:ascii="Arial" w:eastAsia="Calibri" w:hAnsi="Arial" w:cs="Arial"/>
          <w:b/>
          <w:bCs/>
          <w:szCs w:val="22"/>
        </w:rPr>
        <w:t>2</w:t>
      </w:r>
      <w:r w:rsidR="001067C2" w:rsidRPr="00254814">
        <w:rPr>
          <w:rFonts w:ascii="Arial" w:eastAsia="Calibri" w:hAnsi="Arial" w:cs="Arial"/>
          <w:b/>
          <w:bCs/>
          <w:szCs w:val="22"/>
        </w:rPr>
        <w:t>.5.2</w:t>
      </w:r>
      <w:r w:rsidRPr="00254814">
        <w:rPr>
          <w:rFonts w:ascii="Arial" w:eastAsia="Calibri" w:hAnsi="Arial" w:cs="Arial"/>
          <w:b/>
          <w:bCs/>
          <w:szCs w:val="22"/>
        </w:rPr>
        <w:t xml:space="preserve"> </w:t>
      </w:r>
      <w:r w:rsidR="001067C2" w:rsidRPr="00254814">
        <w:rPr>
          <w:rFonts w:ascii="Arial" w:eastAsia="Calibri" w:hAnsi="Arial" w:cs="Arial"/>
          <w:b/>
          <w:bCs/>
          <w:szCs w:val="22"/>
        </w:rPr>
        <w:t xml:space="preserve">Estimation of Plasma Albumin </w:t>
      </w:r>
    </w:p>
    <w:p w14:paraId="5DEA8211" w14:textId="58837722"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Bromocresol green </w:t>
      </w:r>
      <w:r w:rsidR="00AF743A">
        <w:rPr>
          <w:rFonts w:ascii="Arial" w:eastAsia="Calibri" w:hAnsi="Arial" w:cs="Arial"/>
          <w:szCs w:val="22"/>
        </w:rPr>
        <w:t>[14]</w:t>
      </w:r>
    </w:p>
    <w:p w14:paraId="1A6CD6E1" w14:textId="5DB2786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6770BC">
        <w:rPr>
          <w:rFonts w:ascii="Arial" w:eastAsia="Calibri" w:hAnsi="Arial" w:cs="Arial"/>
          <w:szCs w:val="22"/>
        </w:rPr>
        <w:t xml:space="preserve">: </w:t>
      </w:r>
      <w:r w:rsidRPr="001067C2">
        <w:rPr>
          <w:rFonts w:ascii="Arial" w:eastAsia="Calibri" w:hAnsi="Arial" w:cs="Arial"/>
          <w:szCs w:val="22"/>
        </w:rPr>
        <w:t xml:space="preserve">Bromocresol green is an indicator which is yellow between pH 3.5-4.2. When it binds to albumin, the colour of the indicator changes from yellow to blue-green. The absorbance of the colour is measured in a calorimeter using an Orange green filter or in a spectrophotometer at 540nm wavelength. </w:t>
      </w:r>
    </w:p>
    <w:p w14:paraId="5C7C3FD7" w14:textId="6524E59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Bromocresol green +Albumin </w:t>
      </w:r>
      <w:r w:rsidR="006770BC">
        <w:rPr>
          <w:rFonts w:ascii="Arial" w:eastAsia="Calibri" w:hAnsi="Arial" w:cs="Arial"/>
          <w:szCs w:val="22"/>
        </w:rPr>
        <w:t xml:space="preserve"> -</w:t>
      </w:r>
      <w:r w:rsidRPr="001067C2">
        <w:rPr>
          <w:rFonts w:ascii="Arial" w:eastAsia="Calibri" w:hAnsi="Arial" w:cs="Arial"/>
          <w:szCs w:val="22"/>
        </w:rPr>
        <w:tab/>
        <w:t xml:space="preserve"> Bromocresol green-albumin complex</w:t>
      </w:r>
    </w:p>
    <w:p w14:paraId="028084B9" w14:textId="2B164E76" w:rsidR="001067C2" w:rsidRPr="00DC0BB1" w:rsidRDefault="00DC0BB1" w:rsidP="001067C2">
      <w:pPr>
        <w:pStyle w:val="Body"/>
        <w:rPr>
          <w:rFonts w:ascii="Arial" w:eastAsia="Calibri" w:hAnsi="Arial" w:cs="Arial"/>
          <w:b/>
          <w:bCs/>
          <w:szCs w:val="22"/>
        </w:rPr>
      </w:pPr>
      <w:r w:rsidRPr="00DC0BB1">
        <w:rPr>
          <w:rFonts w:ascii="Arial" w:eastAsia="Calibri" w:hAnsi="Arial" w:cs="Arial"/>
          <w:b/>
          <w:bCs/>
          <w:szCs w:val="22"/>
        </w:rPr>
        <w:t>2</w:t>
      </w:r>
      <w:r w:rsidR="001067C2" w:rsidRPr="00DC0BB1">
        <w:rPr>
          <w:rFonts w:ascii="Arial" w:eastAsia="Calibri" w:hAnsi="Arial" w:cs="Arial"/>
          <w:b/>
          <w:bCs/>
          <w:szCs w:val="22"/>
        </w:rPr>
        <w:t xml:space="preserve">.5.3 Estimation of Plasma Conjugated and Total Bilirubin </w:t>
      </w:r>
    </w:p>
    <w:p w14:paraId="177062DC" w14:textId="5D1CE291"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Jendrasik and Groff method </w:t>
      </w:r>
      <w:r w:rsidR="00AB4BD9">
        <w:rPr>
          <w:rFonts w:ascii="Arial" w:eastAsia="Calibri" w:hAnsi="Arial" w:cs="Arial"/>
          <w:szCs w:val="22"/>
        </w:rPr>
        <w:t>[15]</w:t>
      </w:r>
      <w:r w:rsidRPr="001067C2">
        <w:rPr>
          <w:rFonts w:ascii="Arial" w:eastAsia="Calibri" w:hAnsi="Arial" w:cs="Arial"/>
          <w:szCs w:val="22"/>
        </w:rPr>
        <w:t>.</w:t>
      </w:r>
    </w:p>
    <w:p w14:paraId="3FFCBF1C" w14:textId="748F70B9"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DC0BB1">
        <w:rPr>
          <w:rFonts w:ascii="Arial" w:eastAsia="Calibri" w:hAnsi="Arial" w:cs="Arial"/>
          <w:szCs w:val="22"/>
        </w:rPr>
        <w:t>:</w:t>
      </w:r>
      <w:r w:rsidRPr="001067C2">
        <w:rPr>
          <w:rFonts w:ascii="Arial" w:eastAsia="Calibri" w:hAnsi="Arial" w:cs="Arial"/>
          <w:szCs w:val="22"/>
        </w:rPr>
        <w:t>The test is based on van den Bergh diazo reaction, it involves treating the plasma with diazotized sulphanilic acid to form azobilirubin complex in the presence of Sodium Nitrite. In the absence of Sulphactant (Sulphanilic acid-0.3%) and HCl, only the Conjugated bilirubin reacts to give azobilirubin giving a pink to purple coloration which is measured in a spectrophotometer or a colorimeter at a wavelength of 540nm or 550nm. The absorbance of the solution is directly proportional to the concentration of bilirubin in the plasma sample.</w:t>
      </w:r>
    </w:p>
    <w:p w14:paraId="24B77DAE" w14:textId="1A10D32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.5.4</w:t>
      </w:r>
      <w:r w:rsidRPr="00BD0D31">
        <w:rPr>
          <w:rFonts w:ascii="Arial" w:eastAsia="Calibri" w:hAnsi="Arial" w:cs="Arial"/>
          <w:b/>
          <w:bCs/>
          <w:szCs w:val="22"/>
        </w:rPr>
        <w:t xml:space="preserve"> </w:t>
      </w:r>
      <w:r w:rsidR="001067C2" w:rsidRPr="00BD0D31">
        <w:rPr>
          <w:rFonts w:ascii="Arial" w:eastAsia="Calibri" w:hAnsi="Arial" w:cs="Arial"/>
          <w:b/>
          <w:bCs/>
          <w:szCs w:val="22"/>
        </w:rPr>
        <w:t>Estimation of Plasma Alkaline Phosphatase</w:t>
      </w:r>
    </w:p>
    <w:p w14:paraId="2E5D329C" w14:textId="4B2B660B"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p-nitrophenyl phosphate </w:t>
      </w:r>
      <w:r w:rsidR="00400ED3">
        <w:rPr>
          <w:rFonts w:ascii="Arial" w:eastAsia="Calibri" w:hAnsi="Arial" w:cs="Arial"/>
          <w:szCs w:val="22"/>
        </w:rPr>
        <w:t>[16]</w:t>
      </w:r>
    </w:p>
    <w:p w14:paraId="486B5F91"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p>
    <w:p w14:paraId="5A3E0FCC"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                                                       </w:t>
      </w:r>
      <w:r w:rsidRPr="001067C2">
        <w:rPr>
          <w:rFonts w:ascii="Arial" w:eastAsia="Calibri" w:hAnsi="Arial" w:cs="Arial"/>
          <w:szCs w:val="22"/>
        </w:rPr>
        <w:tab/>
        <w:t>ALP</w:t>
      </w:r>
    </w:p>
    <w:p w14:paraId="19F0E1F3" w14:textId="29D2DA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p-nitrophenylphosphate +H2O                  </w:t>
      </w:r>
      <w:r w:rsidR="00BD0D31">
        <w:rPr>
          <w:rFonts w:ascii="Arial" w:eastAsia="Calibri" w:hAnsi="Arial" w:cs="Arial"/>
          <w:szCs w:val="22"/>
        </w:rPr>
        <w:t>-</w:t>
      </w:r>
      <w:r w:rsidRPr="001067C2">
        <w:rPr>
          <w:rFonts w:ascii="Arial" w:eastAsia="Calibri" w:hAnsi="Arial" w:cs="Arial"/>
          <w:szCs w:val="22"/>
        </w:rPr>
        <w:t xml:space="preserve">                   Phosphate + p-nitrophenol</w:t>
      </w:r>
    </w:p>
    <w:p w14:paraId="327C4809" w14:textId="3862F68A"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lastRenderedPageBreak/>
        <w:t>2</w:t>
      </w:r>
      <w:r w:rsidR="001067C2" w:rsidRPr="00BD0D31">
        <w:rPr>
          <w:rFonts w:ascii="Arial" w:eastAsia="Calibri" w:hAnsi="Arial" w:cs="Arial"/>
          <w:b/>
          <w:bCs/>
          <w:szCs w:val="22"/>
        </w:rPr>
        <w:t>.5.5 Estimation of Aspartate Aminotransferase (AST) Concentration</w:t>
      </w:r>
    </w:p>
    <w:p w14:paraId="64E446A7" w14:textId="1FB31F6C"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Reitman-Frankel </w:t>
      </w:r>
      <w:r w:rsidR="00C418E4">
        <w:rPr>
          <w:rFonts w:ascii="Arial" w:eastAsia="Calibri" w:hAnsi="Arial" w:cs="Arial"/>
          <w:szCs w:val="22"/>
        </w:rPr>
        <w:t>[17]</w:t>
      </w:r>
    </w:p>
    <w:p w14:paraId="24775627" w14:textId="1D0F6C2A"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Principle: When AST is incubated at a temperature of 370C for 60 minutes in a pH 7.5 buffered substrate containing aspartate and alpha-ketoglutarate, it catalyzes the transfer of amino group from aspartate to ketoglutarate, following oxaloacetate and glutamate. The oxaloacetate reacts with 2,4-dinitrophenylhydrazine (DNPH) to form 2,4-dinitrophenylhydrazone which in an alkaline medium gives a red-brown </w:t>
      </w:r>
      <w:proofErr w:type="spellStart"/>
      <w:r w:rsidRPr="00D05002">
        <w:rPr>
          <w:rFonts w:ascii="Arial" w:eastAsia="Calibri" w:hAnsi="Arial" w:cs="Arial"/>
          <w:szCs w:val="22"/>
          <w:highlight w:val="yellow"/>
        </w:rPr>
        <w:t>colo</w:t>
      </w:r>
      <w:r w:rsidR="00592DE1" w:rsidRPr="00D05002">
        <w:rPr>
          <w:rFonts w:ascii="Arial" w:eastAsia="Calibri" w:hAnsi="Arial" w:cs="Arial"/>
          <w:szCs w:val="22"/>
          <w:highlight w:val="yellow"/>
        </w:rPr>
        <w:t>u</w:t>
      </w:r>
      <w:r w:rsidRPr="00D05002">
        <w:rPr>
          <w:rFonts w:ascii="Arial" w:eastAsia="Calibri" w:hAnsi="Arial" w:cs="Arial"/>
          <w:szCs w:val="22"/>
          <w:highlight w:val="yellow"/>
        </w:rPr>
        <w:t>r</w:t>
      </w:r>
      <w:proofErr w:type="spellEnd"/>
      <w:r w:rsidRPr="00D05002">
        <w:rPr>
          <w:rFonts w:ascii="Arial" w:eastAsia="Calibri" w:hAnsi="Arial" w:cs="Arial"/>
          <w:szCs w:val="22"/>
          <w:highlight w:val="yellow"/>
        </w:rPr>
        <w:t>.</w:t>
      </w:r>
      <w:r w:rsidRPr="001067C2">
        <w:rPr>
          <w:rFonts w:ascii="Arial" w:eastAsia="Calibri" w:hAnsi="Arial" w:cs="Arial"/>
          <w:szCs w:val="22"/>
        </w:rPr>
        <w:t xml:space="preserve"> The absorbance of the </w:t>
      </w:r>
      <w:proofErr w:type="spellStart"/>
      <w:r w:rsidRPr="00D05002">
        <w:rPr>
          <w:rFonts w:ascii="Arial" w:eastAsia="Calibri" w:hAnsi="Arial" w:cs="Arial"/>
          <w:szCs w:val="22"/>
          <w:highlight w:val="yellow"/>
        </w:rPr>
        <w:t>colo</w:t>
      </w:r>
      <w:r w:rsidR="00D05002" w:rsidRPr="00D05002">
        <w:rPr>
          <w:rFonts w:ascii="Arial" w:eastAsia="Calibri" w:hAnsi="Arial" w:cs="Arial"/>
          <w:szCs w:val="22"/>
          <w:highlight w:val="yellow"/>
        </w:rPr>
        <w:t>u</w:t>
      </w:r>
      <w:r w:rsidRPr="00D05002">
        <w:rPr>
          <w:rFonts w:ascii="Arial" w:eastAsia="Calibri" w:hAnsi="Arial" w:cs="Arial"/>
          <w:szCs w:val="22"/>
          <w:highlight w:val="yellow"/>
        </w:rPr>
        <w:t>r</w:t>
      </w:r>
      <w:proofErr w:type="spellEnd"/>
      <w:r w:rsidRPr="001067C2">
        <w:rPr>
          <w:rFonts w:ascii="Arial" w:eastAsia="Calibri" w:hAnsi="Arial" w:cs="Arial"/>
          <w:szCs w:val="22"/>
        </w:rPr>
        <w:t xml:space="preserve"> </w:t>
      </w:r>
      <w:r w:rsidR="00D05002" w:rsidRPr="00D05002">
        <w:rPr>
          <w:rFonts w:ascii="Arial" w:eastAsia="Calibri" w:hAnsi="Arial" w:cs="Arial"/>
          <w:szCs w:val="22"/>
          <w:highlight w:val="yellow"/>
        </w:rPr>
        <w:t>was</w:t>
      </w:r>
      <w:r w:rsidRPr="001067C2">
        <w:rPr>
          <w:rFonts w:ascii="Arial" w:eastAsia="Calibri" w:hAnsi="Arial" w:cs="Arial"/>
          <w:szCs w:val="22"/>
        </w:rPr>
        <w:t xml:space="preserve"> read at 505 nm wavelength.</w:t>
      </w:r>
    </w:p>
    <w:p w14:paraId="1130D5B6"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AST                            Glutamate + oxaloacetate</w:t>
      </w:r>
    </w:p>
    <w:p w14:paraId="5F6548D2" w14:textId="73B537F5"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Oxaloacetate + 2,4-DNPH         Alkaline                     2,4-Dinitrophenylhydrazone (red-brown </w:t>
      </w:r>
      <w:proofErr w:type="spellStart"/>
      <w:r w:rsidRPr="00D05002">
        <w:rPr>
          <w:rFonts w:ascii="Arial" w:eastAsia="Calibri" w:hAnsi="Arial" w:cs="Arial"/>
          <w:szCs w:val="22"/>
          <w:highlight w:val="yellow"/>
        </w:rPr>
        <w:t>colo</w:t>
      </w:r>
      <w:r w:rsidR="00D05002" w:rsidRPr="00D05002">
        <w:rPr>
          <w:rFonts w:ascii="Arial" w:eastAsia="Calibri" w:hAnsi="Arial" w:cs="Arial"/>
          <w:szCs w:val="22"/>
          <w:highlight w:val="yellow"/>
        </w:rPr>
        <w:t>u</w:t>
      </w:r>
      <w:r w:rsidRPr="00D05002">
        <w:rPr>
          <w:rFonts w:ascii="Arial" w:eastAsia="Calibri" w:hAnsi="Arial" w:cs="Arial"/>
          <w:szCs w:val="22"/>
          <w:highlight w:val="yellow"/>
        </w:rPr>
        <w:t>r</w:t>
      </w:r>
      <w:proofErr w:type="spellEnd"/>
      <w:r w:rsidRPr="001067C2">
        <w:rPr>
          <w:rFonts w:ascii="Arial" w:eastAsia="Calibri" w:hAnsi="Arial" w:cs="Arial"/>
          <w:szCs w:val="22"/>
        </w:rPr>
        <w:t>)</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7491C3CF" w14:textId="7C228E39" w:rsidR="001067C2" w:rsidRPr="00BD0D31" w:rsidRDefault="00BD0D31" w:rsidP="001067C2">
      <w:pPr>
        <w:pStyle w:val="Body"/>
        <w:rPr>
          <w:rFonts w:ascii="Arial" w:eastAsia="Calibri" w:hAnsi="Arial" w:cs="Arial"/>
          <w:b/>
          <w:bCs/>
          <w:szCs w:val="22"/>
        </w:rPr>
      </w:pPr>
      <w:r w:rsidRPr="00BD0D31">
        <w:rPr>
          <w:rFonts w:ascii="Arial" w:eastAsia="Calibri" w:hAnsi="Arial" w:cs="Arial"/>
          <w:b/>
          <w:bCs/>
          <w:szCs w:val="22"/>
        </w:rPr>
        <w:t>2</w:t>
      </w:r>
      <w:r w:rsidR="001067C2" w:rsidRPr="00BD0D31">
        <w:rPr>
          <w:rFonts w:ascii="Arial" w:eastAsia="Calibri" w:hAnsi="Arial" w:cs="Arial"/>
          <w:b/>
          <w:bCs/>
          <w:szCs w:val="22"/>
        </w:rPr>
        <w:t>.5.6 Estimation of Alanine Aminotransferase (ALT) Concentration</w:t>
      </w:r>
    </w:p>
    <w:p w14:paraId="1711E2B3" w14:textId="1961D89E"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Method: Reitman-Frankel</w:t>
      </w:r>
      <w:r w:rsidR="00C418E4">
        <w:rPr>
          <w:rFonts w:ascii="Arial" w:eastAsia="Calibri" w:hAnsi="Arial" w:cs="Arial"/>
          <w:szCs w:val="22"/>
        </w:rPr>
        <w:t xml:space="preserve"> [17]</w:t>
      </w:r>
    </w:p>
    <w:p w14:paraId="2432A24E"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 ALT is incubated at 37°C for exactly 30 minutes in a pH 7.4 buffered substrate containing alanine and alpha-ketoglutarate. ALT catalyzes the transfer of the amino group from alanine to ketoglutarate, forming pyruvate and glutamate. The pyruvate reacts with 2,4-dinitrophenylhydrazine (DNPH) to form 2,4-dinitrophenylhydrazone which in an alkaline medium gives a red-brown colour. The absorbance of the colour produced is measured in a spectrophotometer at 505 nm wavelength.</w:t>
      </w:r>
    </w:p>
    <w:p w14:paraId="3DECBC89" w14:textId="7777777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Aspartate + Ketoglutarate                      ALT                            Glutamate + Pyruvate</w:t>
      </w:r>
    </w:p>
    <w:p w14:paraId="13F16FE0" w14:textId="0A30B4C2"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Pyruvate + 2,4-DNPH                   Alkaline                  2,4- Dinitrophenylhydrazone (red-brown </w:t>
      </w:r>
      <w:proofErr w:type="spellStart"/>
      <w:r w:rsidRPr="00D05002">
        <w:rPr>
          <w:rFonts w:ascii="Arial" w:eastAsia="Calibri" w:hAnsi="Arial" w:cs="Arial"/>
          <w:szCs w:val="22"/>
          <w:highlight w:val="yellow"/>
        </w:rPr>
        <w:t>colo</w:t>
      </w:r>
      <w:r w:rsidR="00D05002" w:rsidRPr="00D05002">
        <w:rPr>
          <w:rFonts w:ascii="Arial" w:eastAsia="Calibri" w:hAnsi="Arial" w:cs="Arial"/>
          <w:szCs w:val="22"/>
          <w:highlight w:val="yellow"/>
        </w:rPr>
        <w:t>u</w:t>
      </w:r>
      <w:r w:rsidRPr="00D05002">
        <w:rPr>
          <w:rFonts w:ascii="Arial" w:eastAsia="Calibri" w:hAnsi="Arial" w:cs="Arial"/>
          <w:szCs w:val="22"/>
          <w:highlight w:val="yellow"/>
        </w:rPr>
        <w:t>r</w:t>
      </w:r>
      <w:proofErr w:type="spellEnd"/>
      <w:r w:rsidRPr="001067C2">
        <w:rPr>
          <w:rFonts w:ascii="Arial" w:eastAsia="Calibri" w:hAnsi="Arial" w:cs="Arial"/>
          <w:szCs w:val="22"/>
        </w:rPr>
        <w:t>)</w:t>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r>
      <w:r w:rsidRPr="001067C2">
        <w:rPr>
          <w:rFonts w:ascii="Arial" w:eastAsia="Calibri" w:hAnsi="Arial" w:cs="Arial"/>
          <w:szCs w:val="22"/>
        </w:rPr>
        <w:tab/>
        <w:t xml:space="preserve">    pH</w:t>
      </w:r>
    </w:p>
    <w:p w14:paraId="46097713" w14:textId="465C66C4" w:rsidR="001067C2" w:rsidRPr="008D75A6" w:rsidRDefault="008D75A6" w:rsidP="001067C2">
      <w:pPr>
        <w:pStyle w:val="Body"/>
        <w:rPr>
          <w:rFonts w:ascii="Arial" w:eastAsia="Calibri" w:hAnsi="Arial" w:cs="Arial"/>
          <w:b/>
          <w:bCs/>
          <w:szCs w:val="22"/>
        </w:rPr>
      </w:pPr>
      <w:r w:rsidRPr="008D75A6">
        <w:rPr>
          <w:rFonts w:ascii="Arial" w:eastAsia="Calibri" w:hAnsi="Arial" w:cs="Arial"/>
          <w:b/>
          <w:bCs/>
          <w:szCs w:val="22"/>
        </w:rPr>
        <w:t>2</w:t>
      </w:r>
      <w:r w:rsidR="001067C2" w:rsidRPr="008D75A6">
        <w:rPr>
          <w:rFonts w:ascii="Arial" w:eastAsia="Calibri" w:hAnsi="Arial" w:cs="Arial"/>
          <w:b/>
          <w:bCs/>
          <w:szCs w:val="22"/>
        </w:rPr>
        <w:t>.5.7</w:t>
      </w:r>
      <w:r w:rsidRPr="008D75A6">
        <w:rPr>
          <w:rFonts w:ascii="Arial" w:eastAsia="Calibri" w:hAnsi="Arial" w:cs="Arial"/>
          <w:b/>
          <w:bCs/>
          <w:szCs w:val="22"/>
        </w:rPr>
        <w:t xml:space="preserve"> </w:t>
      </w:r>
      <w:r w:rsidR="001067C2" w:rsidRPr="008D75A6">
        <w:rPr>
          <w:rFonts w:ascii="Arial" w:eastAsia="Calibri" w:hAnsi="Arial" w:cs="Arial"/>
          <w:b/>
          <w:bCs/>
          <w:szCs w:val="22"/>
        </w:rPr>
        <w:t>Estimation of Plasma ᵞ-glutamyltransferase (GGT)</w:t>
      </w:r>
    </w:p>
    <w:p w14:paraId="7429EAE4" w14:textId="78ACE214"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 xml:space="preserve">Method: Szasz/Persijn </w:t>
      </w:r>
      <w:r w:rsidR="00153D9B">
        <w:rPr>
          <w:rFonts w:ascii="Arial" w:eastAsia="Calibri" w:hAnsi="Arial" w:cs="Arial"/>
          <w:szCs w:val="22"/>
        </w:rPr>
        <w:t>[18]</w:t>
      </w:r>
    </w:p>
    <w:p w14:paraId="3793C536" w14:textId="05874497" w:rsidR="001067C2" w:rsidRPr="001067C2" w:rsidRDefault="001067C2" w:rsidP="001067C2">
      <w:pPr>
        <w:pStyle w:val="Body"/>
        <w:rPr>
          <w:rFonts w:ascii="Arial" w:eastAsia="Calibri" w:hAnsi="Arial" w:cs="Arial"/>
          <w:szCs w:val="22"/>
        </w:rPr>
      </w:pPr>
      <w:r w:rsidRPr="001067C2">
        <w:rPr>
          <w:rFonts w:ascii="Arial" w:eastAsia="Calibri" w:hAnsi="Arial" w:cs="Arial"/>
          <w:szCs w:val="22"/>
        </w:rPr>
        <w:t>Principle</w:t>
      </w:r>
      <w:r w:rsidR="008D75A6">
        <w:rPr>
          <w:rFonts w:ascii="Arial" w:eastAsia="Calibri" w:hAnsi="Arial" w:cs="Arial"/>
          <w:szCs w:val="22"/>
        </w:rPr>
        <w:t xml:space="preserve">: </w:t>
      </w:r>
      <w:r w:rsidRPr="001067C2">
        <w:rPr>
          <w:rFonts w:ascii="Arial" w:eastAsia="Calibri" w:hAnsi="Arial" w:cs="Arial"/>
          <w:szCs w:val="22"/>
        </w:rPr>
        <w:t>The substrate L-ᵞ-glutamyl-3-carboxy-4-nitroanilide, in the presence of glycylglycine is converted by ᵞ-glutamyltransferase in the sample to 5-amino-2-nitrobenzene which can be measured at 405nm.</w:t>
      </w:r>
    </w:p>
    <w:p w14:paraId="68457C99" w14:textId="504569C0" w:rsidR="001067C2" w:rsidRPr="008D75A6" w:rsidRDefault="001067C2" w:rsidP="00FF498D">
      <w:pPr>
        <w:pStyle w:val="Body"/>
        <w:spacing w:after="0"/>
        <w:rPr>
          <w:rFonts w:ascii="Arial" w:eastAsia="Calibri" w:hAnsi="Arial" w:cs="Arial"/>
          <w:b/>
          <w:bCs/>
          <w:sz w:val="22"/>
          <w:szCs w:val="24"/>
        </w:rPr>
      </w:pPr>
      <w:r w:rsidRPr="008D75A6">
        <w:rPr>
          <w:rFonts w:ascii="Arial" w:eastAsia="Calibri" w:hAnsi="Arial" w:cs="Arial"/>
          <w:b/>
          <w:bCs/>
          <w:sz w:val="22"/>
          <w:szCs w:val="24"/>
        </w:rPr>
        <w:t>3.6</w:t>
      </w:r>
      <w:r w:rsidR="008D75A6" w:rsidRPr="008D75A6">
        <w:rPr>
          <w:rFonts w:ascii="Arial" w:eastAsia="Calibri" w:hAnsi="Arial" w:cs="Arial"/>
          <w:b/>
          <w:bCs/>
          <w:sz w:val="22"/>
          <w:szCs w:val="24"/>
        </w:rPr>
        <w:t xml:space="preserve"> </w:t>
      </w:r>
      <w:r w:rsidRPr="008D75A6">
        <w:rPr>
          <w:rFonts w:ascii="Arial" w:eastAsia="Calibri" w:hAnsi="Arial" w:cs="Arial"/>
          <w:b/>
          <w:bCs/>
          <w:sz w:val="22"/>
          <w:szCs w:val="24"/>
        </w:rPr>
        <w:t>Data Analysis</w:t>
      </w:r>
    </w:p>
    <w:p w14:paraId="1151C696" w14:textId="5429803B" w:rsidR="00790ADA" w:rsidRDefault="001067C2" w:rsidP="001067C2">
      <w:pPr>
        <w:pStyle w:val="Body"/>
        <w:spacing w:after="0"/>
        <w:rPr>
          <w:rFonts w:ascii="Arial" w:eastAsia="Calibri" w:hAnsi="Arial" w:cs="Arial"/>
          <w:szCs w:val="22"/>
        </w:rPr>
      </w:pPr>
      <w:r w:rsidRPr="001067C2">
        <w:rPr>
          <w:rFonts w:ascii="Arial" w:eastAsia="Calibri" w:hAnsi="Arial" w:cs="Arial"/>
          <w:szCs w:val="22"/>
        </w:rPr>
        <w:t xml:space="preserve">Data for this study were analyzed using SPSS (Statistical Package for Social Science) version 23. Values were expressed as mean ±SD; inferential statistics were done using the One – Way ANOVA (Post Hoc: Tukey’s Multiple Comparative Test) with p-values less than 0.05 being considered </w:t>
      </w:r>
      <w:r w:rsidRPr="00835FAD">
        <w:rPr>
          <w:rFonts w:ascii="Arial" w:eastAsia="Calibri" w:hAnsi="Arial" w:cs="Arial"/>
          <w:szCs w:val="22"/>
          <w:highlight w:val="yellow"/>
        </w:rPr>
        <w:t>s</w:t>
      </w:r>
      <w:r w:rsidR="00835FAD" w:rsidRPr="00835FAD">
        <w:rPr>
          <w:rFonts w:ascii="Arial" w:eastAsia="Calibri" w:hAnsi="Arial" w:cs="Arial"/>
          <w:szCs w:val="22"/>
          <w:highlight w:val="yellow"/>
        </w:rPr>
        <w:t>tatisti</w:t>
      </w:r>
      <w:r w:rsidRPr="00835FAD">
        <w:rPr>
          <w:rFonts w:ascii="Arial" w:eastAsia="Calibri" w:hAnsi="Arial" w:cs="Arial"/>
          <w:szCs w:val="22"/>
          <w:highlight w:val="yellow"/>
        </w:rPr>
        <w:t>cally</w:t>
      </w:r>
      <w:r w:rsidRPr="001067C2">
        <w:rPr>
          <w:rFonts w:ascii="Arial" w:eastAsia="Calibri" w:hAnsi="Arial" w:cs="Arial"/>
          <w:szCs w:val="22"/>
        </w:rPr>
        <w:t xml:space="preserve"> significant.</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560D8F" w14:textId="7FA4CF1B" w:rsidR="00B12576" w:rsidRDefault="00B12576" w:rsidP="00712B2D">
      <w:pPr>
        <w:jc w:val="both"/>
        <w:rPr>
          <w:rFonts w:ascii="Arial" w:hAnsi="Arial" w:cs="Arial"/>
          <w:b/>
        </w:rPr>
      </w:pPr>
      <w:r w:rsidRPr="00712B2D">
        <w:rPr>
          <w:rFonts w:ascii="Arial" w:hAnsi="Arial" w:cs="Arial"/>
          <w:b/>
        </w:rPr>
        <w:t>Table 1: Comparison of the Levels of Some Biomarkers of Liver Function across the Different Experimental Group</w:t>
      </w:r>
    </w:p>
    <w:p w14:paraId="70F74653" w14:textId="77777777" w:rsidR="00DE1E54" w:rsidRDefault="00DE1E54" w:rsidP="00712B2D">
      <w:pPr>
        <w:jc w:val="both"/>
        <w:rPr>
          <w:rFonts w:ascii="Arial" w:hAnsi="Arial" w:cs="Arial"/>
          <w:b/>
        </w:rPr>
      </w:pPr>
    </w:p>
    <w:p w14:paraId="1208DF9B" w14:textId="77777777" w:rsidR="008D393B" w:rsidRPr="00712B2D" w:rsidRDefault="008D393B" w:rsidP="00712B2D">
      <w:pPr>
        <w:jc w:val="both"/>
        <w:rPr>
          <w:rFonts w:ascii="Arial" w:hAnsi="Arial" w:cs="Arial"/>
          <w:b/>
        </w:rPr>
      </w:pPr>
    </w:p>
    <w:tbl>
      <w:tblPr>
        <w:tblW w:w="5551" w:type="pct"/>
        <w:tblInd w:w="-5" w:type="dxa"/>
        <w:tblBorders>
          <w:top w:val="single" w:sz="4" w:space="0" w:color="auto"/>
          <w:bottom w:val="single" w:sz="4" w:space="0" w:color="auto"/>
        </w:tblBorders>
        <w:tblLook w:val="04A0" w:firstRow="1" w:lastRow="0" w:firstColumn="1" w:lastColumn="0" w:noHBand="0" w:noVBand="1"/>
      </w:tblPr>
      <w:tblGrid>
        <w:gridCol w:w="3548"/>
        <w:gridCol w:w="1342"/>
        <w:gridCol w:w="1179"/>
        <w:gridCol w:w="104"/>
        <w:gridCol w:w="1130"/>
        <w:gridCol w:w="283"/>
        <w:gridCol w:w="1290"/>
        <w:gridCol w:w="237"/>
      </w:tblGrid>
      <w:tr w:rsidR="00712B2D" w:rsidRPr="00DE1E54" w14:paraId="3F87DBE1" w14:textId="77777777" w:rsidTr="00DE1E54">
        <w:trPr>
          <w:trHeight w:val="132"/>
        </w:trPr>
        <w:tc>
          <w:tcPr>
            <w:tcW w:w="1946" w:type="pct"/>
            <w:tcBorders>
              <w:top w:val="single" w:sz="4" w:space="0" w:color="auto"/>
              <w:bottom w:val="single" w:sz="4" w:space="0" w:color="auto"/>
            </w:tcBorders>
            <w:shd w:val="clear" w:color="auto" w:fill="FFFFFF"/>
          </w:tcPr>
          <w:p w14:paraId="7452EB6E" w14:textId="4161A99C" w:rsidR="00B12576" w:rsidRPr="00DE1E54" w:rsidRDefault="00DE1E54"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lastRenderedPageBreak/>
              <w:t>Groups/Parameters</w:t>
            </w:r>
          </w:p>
        </w:tc>
        <w:tc>
          <w:tcPr>
            <w:tcW w:w="736" w:type="pct"/>
            <w:tcBorders>
              <w:top w:val="single" w:sz="4" w:space="0" w:color="auto"/>
              <w:bottom w:val="single" w:sz="4" w:space="0" w:color="auto"/>
            </w:tcBorders>
            <w:shd w:val="clear" w:color="auto" w:fill="FFFFFF"/>
          </w:tcPr>
          <w:p w14:paraId="2C1EDBEA"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TP (g/dl)</w:t>
            </w:r>
          </w:p>
        </w:tc>
        <w:tc>
          <w:tcPr>
            <w:tcW w:w="647" w:type="pct"/>
            <w:tcBorders>
              <w:top w:val="single" w:sz="4" w:space="0" w:color="auto"/>
              <w:bottom w:val="single" w:sz="4" w:space="0" w:color="auto"/>
            </w:tcBorders>
            <w:shd w:val="clear" w:color="auto" w:fill="FFFFFF"/>
          </w:tcPr>
          <w:p w14:paraId="36E76AB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 xml:space="preserve">Alb (g/dl) </w:t>
            </w:r>
          </w:p>
        </w:tc>
        <w:tc>
          <w:tcPr>
            <w:tcW w:w="677" w:type="pct"/>
            <w:gridSpan w:val="2"/>
            <w:tcBorders>
              <w:top w:val="single" w:sz="4" w:space="0" w:color="auto"/>
              <w:bottom w:val="single" w:sz="4" w:space="0" w:color="auto"/>
            </w:tcBorders>
            <w:shd w:val="clear" w:color="auto" w:fill="FFFFFF"/>
          </w:tcPr>
          <w:p w14:paraId="66F5A5A0" w14:textId="77777777" w:rsidR="00B12576" w:rsidRPr="00DE1E54" w:rsidRDefault="00B12576" w:rsidP="00712B2D">
            <w:pPr>
              <w:shd w:val="clear" w:color="auto" w:fill="FFFFFF"/>
              <w:tabs>
                <w:tab w:val="center" w:pos="1905"/>
                <w:tab w:val="right" w:pos="9360"/>
              </w:tabs>
              <w:jc w:val="both"/>
              <w:rPr>
                <w:rFonts w:ascii="Arial" w:hAnsi="Arial" w:cs="Arial"/>
                <w:b/>
                <w:bCs/>
                <w:color w:val="000000"/>
              </w:rPr>
            </w:pPr>
            <w:r w:rsidRPr="00DE1E54">
              <w:rPr>
                <w:rFonts w:ascii="Arial" w:hAnsi="Arial" w:cs="Arial"/>
                <w:b/>
                <w:bCs/>
                <w:color w:val="000000"/>
              </w:rPr>
              <w:t>TB (µmol/L)</w:t>
            </w:r>
          </w:p>
        </w:tc>
        <w:tc>
          <w:tcPr>
            <w:tcW w:w="993" w:type="pct"/>
            <w:gridSpan w:val="3"/>
            <w:tcBorders>
              <w:top w:val="single" w:sz="4" w:space="0" w:color="auto"/>
              <w:bottom w:val="single" w:sz="4" w:space="0" w:color="auto"/>
            </w:tcBorders>
            <w:shd w:val="clear" w:color="auto" w:fill="FFFFFF"/>
          </w:tcPr>
          <w:p w14:paraId="78DFDF56" w14:textId="77777777" w:rsidR="00B12576" w:rsidRPr="00DE1E54" w:rsidRDefault="00B12576" w:rsidP="00712B2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CB (µmol/L)</w:t>
            </w:r>
          </w:p>
        </w:tc>
      </w:tr>
      <w:tr w:rsidR="00B22F3F" w:rsidRPr="00DE1E54" w14:paraId="1134434F" w14:textId="77777777" w:rsidTr="005A3D5E">
        <w:trPr>
          <w:gridAfter w:val="1"/>
          <w:wAfter w:w="130" w:type="pct"/>
          <w:trHeight w:val="274"/>
        </w:trPr>
        <w:tc>
          <w:tcPr>
            <w:tcW w:w="1946" w:type="pct"/>
            <w:shd w:val="clear" w:color="auto" w:fill="FFFFFF"/>
          </w:tcPr>
          <w:p w14:paraId="5A0B2778"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Negative Control (N=6)</w:t>
            </w:r>
          </w:p>
        </w:tc>
        <w:tc>
          <w:tcPr>
            <w:tcW w:w="736" w:type="pct"/>
            <w:shd w:val="clear" w:color="auto" w:fill="FFFFFF"/>
          </w:tcPr>
          <w:p w14:paraId="78F6138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59.33±8.09</w:t>
            </w:r>
            <w:r w:rsidRPr="00DE1E54">
              <w:rPr>
                <w:rFonts w:ascii="Arial" w:hAnsi="Arial" w:cs="Arial"/>
                <w:color w:val="000000"/>
                <w:vertAlign w:val="superscript"/>
              </w:rPr>
              <w:t xml:space="preserve"> </w:t>
            </w:r>
          </w:p>
        </w:tc>
        <w:tc>
          <w:tcPr>
            <w:tcW w:w="704" w:type="pct"/>
            <w:gridSpan w:val="2"/>
            <w:shd w:val="clear" w:color="auto" w:fill="FFFFFF"/>
          </w:tcPr>
          <w:p w14:paraId="1358730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30.83±5.91</w:t>
            </w:r>
            <w:r w:rsidRPr="00DE1E54">
              <w:rPr>
                <w:rFonts w:ascii="Arial" w:hAnsi="Arial" w:cs="Arial"/>
                <w:color w:val="000000"/>
                <w:vertAlign w:val="superscript"/>
              </w:rPr>
              <w:t xml:space="preserve"> </w:t>
            </w:r>
          </w:p>
        </w:tc>
        <w:tc>
          <w:tcPr>
            <w:tcW w:w="775" w:type="pct"/>
            <w:gridSpan w:val="2"/>
            <w:shd w:val="clear" w:color="auto" w:fill="FFFFFF"/>
          </w:tcPr>
          <w:p w14:paraId="4341513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6.33±1.2</w:t>
            </w:r>
            <w:r w:rsidRPr="00DE1E54">
              <w:rPr>
                <w:rFonts w:ascii="Arial" w:hAnsi="Arial" w:cs="Arial"/>
                <w:color w:val="000000"/>
                <w:vertAlign w:val="superscript"/>
              </w:rPr>
              <w:t xml:space="preserve"> </w:t>
            </w:r>
            <w:r w:rsidRPr="00DE1E54">
              <w:rPr>
                <w:rFonts w:ascii="Arial" w:hAnsi="Arial" w:cs="Arial"/>
                <w:color w:val="000000"/>
              </w:rPr>
              <w:t>1</w:t>
            </w:r>
            <w:r w:rsidRPr="00DE1E54">
              <w:rPr>
                <w:rFonts w:ascii="Arial" w:hAnsi="Arial" w:cs="Arial"/>
                <w:color w:val="000000"/>
                <w:vertAlign w:val="superscript"/>
              </w:rPr>
              <w:t xml:space="preserve"> a</w:t>
            </w:r>
          </w:p>
        </w:tc>
        <w:tc>
          <w:tcPr>
            <w:tcW w:w="708" w:type="pct"/>
            <w:shd w:val="clear" w:color="auto" w:fill="FFFFFF"/>
          </w:tcPr>
          <w:p w14:paraId="3BD5B95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1.6</w:t>
            </w:r>
            <w:r w:rsidRPr="00DE1E54">
              <w:rPr>
                <w:rFonts w:ascii="Arial" w:hAnsi="Arial" w:cs="Arial"/>
                <w:color w:val="000000"/>
                <w:shd w:val="clear" w:color="auto" w:fill="FFFFFF"/>
              </w:rPr>
              <w:t>7±1.37</w:t>
            </w:r>
            <w:r w:rsidRPr="00DE1E54">
              <w:rPr>
                <w:rFonts w:ascii="Arial" w:hAnsi="Arial" w:cs="Arial"/>
                <w:color w:val="000000"/>
                <w:vertAlign w:val="superscript"/>
              </w:rPr>
              <w:t xml:space="preserve"> </w:t>
            </w:r>
          </w:p>
        </w:tc>
      </w:tr>
      <w:tr w:rsidR="00B22F3F" w:rsidRPr="00DE1E54" w14:paraId="3B5D63BA" w14:textId="77777777" w:rsidTr="005A3D5E">
        <w:trPr>
          <w:gridAfter w:val="1"/>
          <w:wAfter w:w="130" w:type="pct"/>
          <w:trHeight w:val="63"/>
        </w:trPr>
        <w:tc>
          <w:tcPr>
            <w:tcW w:w="1946" w:type="pct"/>
            <w:shd w:val="clear" w:color="auto" w:fill="FFFFFF"/>
          </w:tcPr>
          <w:p w14:paraId="1D06D51D"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Positive Control (N=6)</w:t>
            </w:r>
          </w:p>
        </w:tc>
        <w:tc>
          <w:tcPr>
            <w:tcW w:w="736" w:type="pct"/>
            <w:shd w:val="clear" w:color="auto" w:fill="FFFFFF"/>
          </w:tcPr>
          <w:p w14:paraId="2A2A81D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62.17±8.68</w:t>
            </w:r>
          </w:p>
        </w:tc>
        <w:tc>
          <w:tcPr>
            <w:tcW w:w="704" w:type="pct"/>
            <w:gridSpan w:val="2"/>
            <w:shd w:val="clear" w:color="auto" w:fill="FFFFFF"/>
          </w:tcPr>
          <w:p w14:paraId="3BC3F9CF"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22.67±6.37</w:t>
            </w:r>
          </w:p>
        </w:tc>
        <w:tc>
          <w:tcPr>
            <w:tcW w:w="775" w:type="pct"/>
            <w:gridSpan w:val="2"/>
            <w:shd w:val="clear" w:color="auto" w:fill="FFFFFF"/>
          </w:tcPr>
          <w:p w14:paraId="685358D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12.67±5.57</w:t>
            </w:r>
            <w:r w:rsidRPr="00DE1E54">
              <w:rPr>
                <w:rFonts w:ascii="Arial" w:hAnsi="Arial" w:cs="Arial"/>
                <w:color w:val="000000"/>
                <w:vertAlign w:val="superscript"/>
              </w:rPr>
              <w:t xml:space="preserve"> b</w:t>
            </w:r>
          </w:p>
        </w:tc>
        <w:tc>
          <w:tcPr>
            <w:tcW w:w="708" w:type="pct"/>
            <w:shd w:val="clear" w:color="auto" w:fill="FFFFFF"/>
          </w:tcPr>
          <w:p w14:paraId="6083CD07"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4.00±5.79</w:t>
            </w:r>
          </w:p>
        </w:tc>
      </w:tr>
      <w:tr w:rsidR="00B22F3F" w:rsidRPr="00DE1E54" w14:paraId="3A9B55B5" w14:textId="77777777" w:rsidTr="005A3D5E">
        <w:trPr>
          <w:gridAfter w:val="1"/>
          <w:wAfter w:w="130" w:type="pct"/>
          <w:trHeight w:val="324"/>
        </w:trPr>
        <w:tc>
          <w:tcPr>
            <w:tcW w:w="1946" w:type="pct"/>
            <w:shd w:val="clear" w:color="auto" w:fill="FFFFFF"/>
          </w:tcPr>
          <w:p w14:paraId="08C7BCC7"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and Honey (N=6)</w:t>
            </w:r>
          </w:p>
        </w:tc>
        <w:tc>
          <w:tcPr>
            <w:tcW w:w="736" w:type="pct"/>
            <w:shd w:val="clear" w:color="auto" w:fill="FFFFFF"/>
          </w:tcPr>
          <w:p w14:paraId="71A1C87A"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61.67±9.93</w:t>
            </w:r>
          </w:p>
        </w:tc>
        <w:tc>
          <w:tcPr>
            <w:tcW w:w="704" w:type="pct"/>
            <w:gridSpan w:val="2"/>
            <w:shd w:val="clear" w:color="auto" w:fill="FFFFFF"/>
          </w:tcPr>
          <w:p w14:paraId="6694D44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25.67±9.37</w:t>
            </w:r>
          </w:p>
        </w:tc>
        <w:tc>
          <w:tcPr>
            <w:tcW w:w="775" w:type="pct"/>
            <w:gridSpan w:val="2"/>
            <w:shd w:val="clear" w:color="auto" w:fill="FFFFFF"/>
          </w:tcPr>
          <w:p w14:paraId="76A0674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9.33±1.97</w:t>
            </w:r>
            <w:r w:rsidRPr="00DE1E54">
              <w:rPr>
                <w:rFonts w:ascii="Arial" w:hAnsi="Arial" w:cs="Arial"/>
                <w:color w:val="000000"/>
                <w:vertAlign w:val="superscript"/>
              </w:rPr>
              <w:t xml:space="preserve"> a</w:t>
            </w:r>
          </w:p>
        </w:tc>
        <w:tc>
          <w:tcPr>
            <w:tcW w:w="708" w:type="pct"/>
            <w:shd w:val="clear" w:color="auto" w:fill="FFFFFF"/>
          </w:tcPr>
          <w:p w14:paraId="02A6230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2.67±2.33</w:t>
            </w:r>
          </w:p>
        </w:tc>
      </w:tr>
      <w:tr w:rsidR="00B22F3F" w:rsidRPr="00DE1E54" w14:paraId="1271415D" w14:textId="77777777" w:rsidTr="005A3D5E">
        <w:trPr>
          <w:gridAfter w:val="1"/>
          <w:wAfter w:w="130" w:type="pct"/>
          <w:trHeight w:val="158"/>
        </w:trPr>
        <w:tc>
          <w:tcPr>
            <w:tcW w:w="1946" w:type="pct"/>
            <w:shd w:val="clear" w:color="auto" w:fill="FFFFFF"/>
          </w:tcPr>
          <w:p w14:paraId="7433CC22" w14:textId="48349786"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 xml:space="preserve">Acetaminophen </w:t>
            </w:r>
            <w:r w:rsidR="00B22F3F" w:rsidRPr="00DE1E54">
              <w:rPr>
                <w:rFonts w:ascii="Arial" w:hAnsi="Arial" w:cs="Arial"/>
                <w:b/>
                <w:bCs/>
                <w:color w:val="000000"/>
              </w:rPr>
              <w:t>&amp;</w:t>
            </w:r>
            <w:r w:rsidRPr="00DE1E54">
              <w:rPr>
                <w:rFonts w:ascii="Arial" w:hAnsi="Arial" w:cs="Arial"/>
                <w:b/>
                <w:bCs/>
                <w:color w:val="000000"/>
              </w:rPr>
              <w:t xml:space="preserve"> Activated carbon (N=6)</w:t>
            </w:r>
          </w:p>
        </w:tc>
        <w:tc>
          <w:tcPr>
            <w:tcW w:w="736" w:type="pct"/>
            <w:shd w:val="clear" w:color="auto" w:fill="FFFFFF"/>
          </w:tcPr>
          <w:p w14:paraId="022B1ADC"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65.33±8.24</w:t>
            </w:r>
          </w:p>
        </w:tc>
        <w:tc>
          <w:tcPr>
            <w:tcW w:w="704" w:type="pct"/>
            <w:gridSpan w:val="2"/>
            <w:shd w:val="clear" w:color="auto" w:fill="FFFFFF"/>
          </w:tcPr>
          <w:p w14:paraId="4AB2099E"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28.17±6.34</w:t>
            </w:r>
          </w:p>
        </w:tc>
        <w:tc>
          <w:tcPr>
            <w:tcW w:w="775" w:type="pct"/>
            <w:gridSpan w:val="2"/>
            <w:shd w:val="clear" w:color="auto" w:fill="FFFFFF"/>
          </w:tcPr>
          <w:p w14:paraId="2B27C5DF" w14:textId="77777777" w:rsidR="00B12576" w:rsidRPr="00DE1E54" w:rsidRDefault="00B12576" w:rsidP="00712B2D">
            <w:pPr>
              <w:tabs>
                <w:tab w:val="center" w:pos="1905"/>
                <w:tab w:val="right" w:pos="9360"/>
              </w:tabs>
              <w:jc w:val="both"/>
              <w:rPr>
                <w:rFonts w:ascii="Arial" w:hAnsi="Arial" w:cs="Arial"/>
                <w:color w:val="000000"/>
              </w:rPr>
            </w:pPr>
            <w:r w:rsidRPr="00DE1E54">
              <w:rPr>
                <w:rFonts w:ascii="Arial" w:hAnsi="Arial" w:cs="Arial"/>
                <w:color w:val="000000"/>
              </w:rPr>
              <w:t>8.50±2.43</w:t>
            </w:r>
            <w:r w:rsidRPr="00DE1E54">
              <w:rPr>
                <w:rFonts w:ascii="Arial" w:hAnsi="Arial" w:cs="Arial"/>
                <w:color w:val="000000"/>
                <w:vertAlign w:val="superscript"/>
              </w:rPr>
              <w:t xml:space="preserve"> a</w:t>
            </w:r>
          </w:p>
        </w:tc>
        <w:tc>
          <w:tcPr>
            <w:tcW w:w="708" w:type="pct"/>
            <w:shd w:val="clear" w:color="auto" w:fill="FFFFFF"/>
          </w:tcPr>
          <w:p w14:paraId="2FDED3D4"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778EC15D" w14:textId="77777777" w:rsidTr="005A3D5E">
        <w:trPr>
          <w:gridAfter w:val="1"/>
          <w:wAfter w:w="130" w:type="pct"/>
          <w:trHeight w:val="332"/>
        </w:trPr>
        <w:tc>
          <w:tcPr>
            <w:tcW w:w="1946" w:type="pct"/>
            <w:shd w:val="clear" w:color="auto" w:fill="FFFFFF"/>
          </w:tcPr>
          <w:p w14:paraId="1DE53BFE"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Acetaminophen, Honey and Activated carbon (N=6)</w:t>
            </w:r>
          </w:p>
        </w:tc>
        <w:tc>
          <w:tcPr>
            <w:tcW w:w="736" w:type="pct"/>
            <w:shd w:val="clear" w:color="auto" w:fill="FFFFFF"/>
          </w:tcPr>
          <w:p w14:paraId="7E3B4361"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64.33±7.39</w:t>
            </w:r>
          </w:p>
        </w:tc>
        <w:tc>
          <w:tcPr>
            <w:tcW w:w="704" w:type="pct"/>
            <w:gridSpan w:val="2"/>
            <w:shd w:val="clear" w:color="auto" w:fill="FFFFFF"/>
          </w:tcPr>
          <w:p w14:paraId="4294E4B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33.17±7.49</w:t>
            </w:r>
          </w:p>
        </w:tc>
        <w:tc>
          <w:tcPr>
            <w:tcW w:w="775" w:type="pct"/>
            <w:gridSpan w:val="2"/>
            <w:shd w:val="clear" w:color="auto" w:fill="FFFFFF"/>
          </w:tcPr>
          <w:p w14:paraId="6516F95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8.83±2.79</w:t>
            </w:r>
            <w:r w:rsidRPr="00DE1E54">
              <w:rPr>
                <w:rFonts w:ascii="Arial" w:hAnsi="Arial" w:cs="Arial"/>
                <w:color w:val="000000"/>
                <w:vertAlign w:val="superscript"/>
              </w:rPr>
              <w:t xml:space="preserve"> a</w:t>
            </w:r>
          </w:p>
        </w:tc>
        <w:tc>
          <w:tcPr>
            <w:tcW w:w="708" w:type="pct"/>
            <w:shd w:val="clear" w:color="auto" w:fill="FFFFFF"/>
          </w:tcPr>
          <w:p w14:paraId="3D68C65D"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2.00±2.53</w:t>
            </w:r>
          </w:p>
        </w:tc>
      </w:tr>
      <w:tr w:rsidR="00B22F3F" w:rsidRPr="00DE1E54" w14:paraId="349E8AF3" w14:textId="77777777" w:rsidTr="005A3D5E">
        <w:trPr>
          <w:gridAfter w:val="1"/>
          <w:wAfter w:w="130" w:type="pct"/>
          <w:trHeight w:val="154"/>
        </w:trPr>
        <w:tc>
          <w:tcPr>
            <w:tcW w:w="1946" w:type="pct"/>
            <w:shd w:val="clear" w:color="auto" w:fill="FFFFFF"/>
          </w:tcPr>
          <w:p w14:paraId="3A9CF5FC"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p-value</w:t>
            </w:r>
          </w:p>
        </w:tc>
        <w:tc>
          <w:tcPr>
            <w:tcW w:w="736" w:type="pct"/>
            <w:shd w:val="clear" w:color="auto" w:fill="FFFFFF"/>
          </w:tcPr>
          <w:p w14:paraId="32959F4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0.76</w:t>
            </w:r>
          </w:p>
        </w:tc>
        <w:tc>
          <w:tcPr>
            <w:tcW w:w="704" w:type="pct"/>
            <w:gridSpan w:val="2"/>
            <w:shd w:val="clear" w:color="auto" w:fill="FFFFFF"/>
          </w:tcPr>
          <w:p w14:paraId="310C8C16"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0.12</w:t>
            </w:r>
          </w:p>
        </w:tc>
        <w:tc>
          <w:tcPr>
            <w:tcW w:w="775" w:type="pct"/>
            <w:gridSpan w:val="2"/>
            <w:shd w:val="clear" w:color="auto" w:fill="FFFFFF"/>
          </w:tcPr>
          <w:p w14:paraId="4966F64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0.03</w:t>
            </w:r>
          </w:p>
        </w:tc>
        <w:tc>
          <w:tcPr>
            <w:tcW w:w="708" w:type="pct"/>
            <w:shd w:val="clear" w:color="auto" w:fill="FFFFFF"/>
          </w:tcPr>
          <w:p w14:paraId="0E036DF8"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0.72</w:t>
            </w:r>
          </w:p>
        </w:tc>
      </w:tr>
      <w:tr w:rsidR="00B22F3F" w:rsidRPr="00DE1E54" w14:paraId="47896684" w14:textId="77777777" w:rsidTr="005A3D5E">
        <w:trPr>
          <w:gridAfter w:val="1"/>
          <w:wAfter w:w="130" w:type="pct"/>
          <w:trHeight w:val="63"/>
        </w:trPr>
        <w:tc>
          <w:tcPr>
            <w:tcW w:w="1946" w:type="pct"/>
            <w:shd w:val="clear" w:color="auto" w:fill="FFFFFF"/>
          </w:tcPr>
          <w:p w14:paraId="41456D89" w14:textId="77777777" w:rsidR="00B12576" w:rsidRPr="00DE1E54" w:rsidRDefault="00B12576" w:rsidP="00712B2D">
            <w:pPr>
              <w:tabs>
                <w:tab w:val="center" w:pos="4680"/>
                <w:tab w:val="right" w:pos="9360"/>
              </w:tabs>
              <w:rPr>
                <w:rFonts w:ascii="Arial" w:hAnsi="Arial" w:cs="Arial"/>
                <w:b/>
                <w:bCs/>
                <w:color w:val="000000"/>
              </w:rPr>
            </w:pPr>
            <w:r w:rsidRPr="00DE1E54">
              <w:rPr>
                <w:rFonts w:ascii="Arial" w:hAnsi="Arial" w:cs="Arial"/>
                <w:b/>
                <w:bCs/>
                <w:color w:val="000000"/>
              </w:rPr>
              <w:t>F-value</w:t>
            </w:r>
          </w:p>
        </w:tc>
        <w:tc>
          <w:tcPr>
            <w:tcW w:w="736" w:type="pct"/>
            <w:shd w:val="clear" w:color="auto" w:fill="FFFFFF"/>
          </w:tcPr>
          <w:p w14:paraId="1F87F1C5"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0.46</w:t>
            </w:r>
          </w:p>
        </w:tc>
        <w:tc>
          <w:tcPr>
            <w:tcW w:w="704" w:type="pct"/>
            <w:gridSpan w:val="2"/>
            <w:shd w:val="clear" w:color="auto" w:fill="FFFFFF"/>
          </w:tcPr>
          <w:p w14:paraId="3D52D39B"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1.98</w:t>
            </w:r>
          </w:p>
        </w:tc>
        <w:tc>
          <w:tcPr>
            <w:tcW w:w="775" w:type="pct"/>
            <w:gridSpan w:val="2"/>
            <w:shd w:val="clear" w:color="auto" w:fill="FFFFFF"/>
          </w:tcPr>
          <w:p w14:paraId="2D8CAE43"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3.12</w:t>
            </w:r>
          </w:p>
        </w:tc>
        <w:tc>
          <w:tcPr>
            <w:tcW w:w="708" w:type="pct"/>
            <w:shd w:val="clear" w:color="auto" w:fill="FFFFFF"/>
          </w:tcPr>
          <w:p w14:paraId="090608B9" w14:textId="77777777" w:rsidR="00B12576" w:rsidRPr="00DE1E54" w:rsidRDefault="00B12576" w:rsidP="00712B2D">
            <w:pPr>
              <w:tabs>
                <w:tab w:val="center" w:pos="4680"/>
                <w:tab w:val="right" w:pos="9360"/>
              </w:tabs>
              <w:jc w:val="both"/>
              <w:rPr>
                <w:rFonts w:ascii="Arial" w:hAnsi="Arial" w:cs="Arial"/>
                <w:color w:val="000000"/>
              </w:rPr>
            </w:pPr>
            <w:r w:rsidRPr="00DE1E54">
              <w:rPr>
                <w:rFonts w:ascii="Arial" w:hAnsi="Arial" w:cs="Arial"/>
                <w:color w:val="000000"/>
              </w:rPr>
              <w:t>0.52</w:t>
            </w:r>
          </w:p>
        </w:tc>
      </w:tr>
      <w:tr w:rsidR="00FE2E92" w:rsidRPr="00DE1E54" w14:paraId="2B99F899" w14:textId="77777777" w:rsidTr="005A3D5E">
        <w:trPr>
          <w:gridAfter w:val="1"/>
          <w:wAfter w:w="130" w:type="pct"/>
          <w:trHeight w:val="63"/>
        </w:trPr>
        <w:tc>
          <w:tcPr>
            <w:tcW w:w="1946" w:type="pct"/>
            <w:shd w:val="clear" w:color="auto" w:fill="FFFFFF"/>
          </w:tcPr>
          <w:p w14:paraId="623C1668" w14:textId="3B9F6409" w:rsidR="00FE2E92" w:rsidRPr="00DE1E54" w:rsidRDefault="00FE2E92" w:rsidP="00712B2D">
            <w:pPr>
              <w:tabs>
                <w:tab w:val="center" w:pos="4680"/>
                <w:tab w:val="right" w:pos="9360"/>
              </w:tabs>
              <w:rPr>
                <w:rFonts w:ascii="Arial" w:hAnsi="Arial" w:cs="Arial"/>
                <w:b/>
                <w:bCs/>
                <w:color w:val="000000"/>
              </w:rPr>
            </w:pPr>
            <w:r w:rsidRPr="00DE1E54">
              <w:rPr>
                <w:rFonts w:ascii="Arial" w:hAnsi="Arial" w:cs="Arial"/>
                <w:b/>
                <w:bCs/>
                <w:color w:val="000000"/>
              </w:rPr>
              <w:t>Remark</w:t>
            </w:r>
          </w:p>
        </w:tc>
        <w:tc>
          <w:tcPr>
            <w:tcW w:w="736" w:type="pct"/>
            <w:shd w:val="clear" w:color="auto" w:fill="FFFFFF"/>
          </w:tcPr>
          <w:p w14:paraId="36348706" w14:textId="33609FC6"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04" w:type="pct"/>
            <w:gridSpan w:val="2"/>
            <w:shd w:val="clear" w:color="auto" w:fill="FFFFFF"/>
          </w:tcPr>
          <w:p w14:paraId="182CB298" w14:textId="349FC687"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c>
          <w:tcPr>
            <w:tcW w:w="775" w:type="pct"/>
            <w:gridSpan w:val="2"/>
            <w:shd w:val="clear" w:color="auto" w:fill="FFFFFF"/>
          </w:tcPr>
          <w:p w14:paraId="05CC3AA7" w14:textId="5DE87F80"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S</w:t>
            </w:r>
          </w:p>
        </w:tc>
        <w:tc>
          <w:tcPr>
            <w:tcW w:w="708" w:type="pct"/>
            <w:shd w:val="clear" w:color="auto" w:fill="FFFFFF"/>
          </w:tcPr>
          <w:p w14:paraId="06F2CC72" w14:textId="2FE5505B" w:rsidR="00FE2E92" w:rsidRPr="00DE1E54" w:rsidRDefault="00FE2E92" w:rsidP="00712B2D">
            <w:pPr>
              <w:tabs>
                <w:tab w:val="center" w:pos="4680"/>
                <w:tab w:val="right" w:pos="9360"/>
              </w:tabs>
              <w:jc w:val="both"/>
              <w:rPr>
                <w:rFonts w:ascii="Arial" w:hAnsi="Arial" w:cs="Arial"/>
                <w:color w:val="000000"/>
              </w:rPr>
            </w:pPr>
            <w:r w:rsidRPr="00DE1E54">
              <w:rPr>
                <w:rFonts w:ascii="Arial" w:hAnsi="Arial" w:cs="Arial"/>
                <w:color w:val="000000"/>
              </w:rPr>
              <w:t>NS</w:t>
            </w:r>
          </w:p>
        </w:tc>
      </w:tr>
    </w:tbl>
    <w:p w14:paraId="0926AE54" w14:textId="57938BCE" w:rsidR="008D393B" w:rsidRPr="001E7C47" w:rsidRDefault="00692C01" w:rsidP="00692C01">
      <w:pPr>
        <w:rPr>
          <w:rFonts w:ascii="Times New Roman" w:hAnsi="Times New Roman"/>
          <w:sz w:val="10"/>
          <w:szCs w:val="24"/>
        </w:rPr>
      </w:pPr>
      <w:r w:rsidRPr="00692C01">
        <w:rPr>
          <w:rFonts w:ascii="Arial" w:hAnsi="Arial" w:cs="Arial"/>
          <w:i/>
          <w:iCs/>
          <w:szCs w:val="44"/>
        </w:rPr>
        <w:t>Key: S- Significant, NS – Not significant. Superscripts indicate same alphabet for significant groups.</w:t>
      </w:r>
    </w:p>
    <w:p w14:paraId="025AA287" w14:textId="0066D16D" w:rsidR="00296184" w:rsidRPr="00660564" w:rsidRDefault="00296184" w:rsidP="00660564">
      <w:pPr>
        <w:jc w:val="both"/>
        <w:rPr>
          <w:rFonts w:ascii="Arial" w:hAnsi="Arial" w:cs="Arial"/>
        </w:rPr>
      </w:pPr>
      <w:r w:rsidRPr="00660564">
        <w:rPr>
          <w:rFonts w:ascii="Arial" w:hAnsi="Arial" w:cs="Arial"/>
          <w:b/>
        </w:rPr>
        <w:t>Table 2: Comparison of the Levels of Some Liver Enzymes across the Different Experimental Group</w:t>
      </w:r>
    </w:p>
    <w:tbl>
      <w:tblPr>
        <w:tblW w:w="5530" w:type="pct"/>
        <w:tblBorders>
          <w:top w:val="single" w:sz="4" w:space="0" w:color="auto"/>
          <w:bottom w:val="single" w:sz="4" w:space="0" w:color="auto"/>
        </w:tblBorders>
        <w:tblLook w:val="04A0" w:firstRow="1" w:lastRow="0" w:firstColumn="1" w:lastColumn="0" w:noHBand="0" w:noVBand="1"/>
      </w:tblPr>
      <w:tblGrid>
        <w:gridCol w:w="2829"/>
        <w:gridCol w:w="1556"/>
        <w:gridCol w:w="1698"/>
        <w:gridCol w:w="1557"/>
        <w:gridCol w:w="1438"/>
      </w:tblGrid>
      <w:tr w:rsidR="005C26F4" w:rsidRPr="00DE1E54" w14:paraId="66376394" w14:textId="77777777" w:rsidTr="005A3D5E">
        <w:trPr>
          <w:trHeight w:val="145"/>
        </w:trPr>
        <w:tc>
          <w:tcPr>
            <w:tcW w:w="1561" w:type="pct"/>
            <w:tcBorders>
              <w:top w:val="single" w:sz="4" w:space="0" w:color="auto"/>
              <w:bottom w:val="single" w:sz="4" w:space="0" w:color="auto"/>
            </w:tcBorders>
          </w:tcPr>
          <w:p w14:paraId="6A19BF60" w14:textId="3E564A30" w:rsidR="00296184" w:rsidRPr="00DE1E54" w:rsidRDefault="00DE1E5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Groups/Parameters</w:t>
            </w:r>
          </w:p>
        </w:tc>
        <w:tc>
          <w:tcPr>
            <w:tcW w:w="860" w:type="pct"/>
            <w:tcBorders>
              <w:top w:val="single" w:sz="4" w:space="0" w:color="auto"/>
              <w:bottom w:val="single" w:sz="4" w:space="0" w:color="auto"/>
            </w:tcBorders>
          </w:tcPr>
          <w:p w14:paraId="78CFB7C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AST (IU/L)</w:t>
            </w:r>
          </w:p>
        </w:tc>
        <w:tc>
          <w:tcPr>
            <w:tcW w:w="938" w:type="pct"/>
            <w:tcBorders>
              <w:top w:val="single" w:sz="4" w:space="0" w:color="auto"/>
              <w:bottom w:val="single" w:sz="4" w:space="0" w:color="auto"/>
            </w:tcBorders>
          </w:tcPr>
          <w:p w14:paraId="53C9CEA4"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ALT (IU/L)</w:t>
            </w:r>
          </w:p>
        </w:tc>
        <w:tc>
          <w:tcPr>
            <w:tcW w:w="860" w:type="pct"/>
            <w:tcBorders>
              <w:top w:val="single" w:sz="4" w:space="0" w:color="auto"/>
              <w:bottom w:val="single" w:sz="4" w:space="0" w:color="auto"/>
            </w:tcBorders>
          </w:tcPr>
          <w:p w14:paraId="00094DE9"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ALP (IU/L)</w:t>
            </w:r>
          </w:p>
        </w:tc>
        <w:tc>
          <w:tcPr>
            <w:tcW w:w="781" w:type="pct"/>
            <w:tcBorders>
              <w:top w:val="single" w:sz="4" w:space="0" w:color="auto"/>
              <w:bottom w:val="single" w:sz="4" w:space="0" w:color="auto"/>
            </w:tcBorders>
          </w:tcPr>
          <w:p w14:paraId="7FFE9F6F" w14:textId="77777777" w:rsidR="00296184" w:rsidRPr="00DE1E54" w:rsidRDefault="00296184" w:rsidP="0088548D">
            <w:pPr>
              <w:shd w:val="clear" w:color="auto" w:fill="FFFFFF"/>
              <w:tabs>
                <w:tab w:val="center" w:pos="4680"/>
                <w:tab w:val="right" w:pos="9360"/>
              </w:tabs>
              <w:jc w:val="both"/>
              <w:rPr>
                <w:rFonts w:ascii="Arial" w:hAnsi="Arial" w:cs="Arial"/>
                <w:b/>
                <w:bCs/>
                <w:color w:val="000000"/>
              </w:rPr>
            </w:pPr>
            <w:r w:rsidRPr="00DE1E54">
              <w:rPr>
                <w:rFonts w:ascii="Arial" w:hAnsi="Arial" w:cs="Arial"/>
                <w:b/>
                <w:bCs/>
                <w:color w:val="000000"/>
              </w:rPr>
              <w:t>GGT (IU/L)</w:t>
            </w:r>
          </w:p>
        </w:tc>
      </w:tr>
      <w:tr w:rsidR="005C26F4" w:rsidRPr="00DE1E54" w14:paraId="447392B3" w14:textId="77777777" w:rsidTr="005A3D5E">
        <w:trPr>
          <w:trHeight w:val="221"/>
        </w:trPr>
        <w:tc>
          <w:tcPr>
            <w:tcW w:w="1561" w:type="pct"/>
            <w:tcBorders>
              <w:top w:val="single" w:sz="4" w:space="0" w:color="auto"/>
            </w:tcBorders>
            <w:shd w:val="clear" w:color="auto" w:fill="FFFFFF"/>
          </w:tcPr>
          <w:p w14:paraId="75F40EC9"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Negative Control (N=6)</w:t>
            </w:r>
          </w:p>
        </w:tc>
        <w:tc>
          <w:tcPr>
            <w:tcW w:w="860" w:type="pct"/>
            <w:tcBorders>
              <w:top w:val="single" w:sz="4" w:space="0" w:color="auto"/>
            </w:tcBorders>
            <w:shd w:val="clear" w:color="auto" w:fill="FFFFFF"/>
          </w:tcPr>
          <w:p w14:paraId="2EE8360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59.17±4.42</w:t>
            </w:r>
            <w:r w:rsidRPr="00DE1E54">
              <w:rPr>
                <w:rFonts w:ascii="Arial" w:hAnsi="Arial" w:cs="Arial"/>
                <w:color w:val="000000"/>
                <w:vertAlign w:val="superscript"/>
              </w:rPr>
              <w:t>a</w:t>
            </w:r>
          </w:p>
        </w:tc>
        <w:tc>
          <w:tcPr>
            <w:tcW w:w="938" w:type="pct"/>
            <w:tcBorders>
              <w:top w:val="single" w:sz="4" w:space="0" w:color="auto"/>
            </w:tcBorders>
            <w:shd w:val="clear" w:color="auto" w:fill="FFFFFF"/>
          </w:tcPr>
          <w:p w14:paraId="1D6E3C1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27.50±7.37</w:t>
            </w:r>
            <w:r w:rsidRPr="00DE1E54">
              <w:rPr>
                <w:rFonts w:ascii="Arial" w:hAnsi="Arial" w:cs="Arial"/>
                <w:color w:val="000000"/>
                <w:vertAlign w:val="superscript"/>
              </w:rPr>
              <w:t xml:space="preserve"> a</w:t>
            </w:r>
          </w:p>
        </w:tc>
        <w:tc>
          <w:tcPr>
            <w:tcW w:w="860" w:type="pct"/>
            <w:tcBorders>
              <w:top w:val="single" w:sz="4" w:space="0" w:color="auto"/>
            </w:tcBorders>
            <w:shd w:val="clear" w:color="auto" w:fill="FFFFFF"/>
          </w:tcPr>
          <w:p w14:paraId="2904B82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62.17±6.4</w:t>
            </w:r>
            <w:r w:rsidRPr="00DE1E54">
              <w:rPr>
                <w:rFonts w:ascii="Arial" w:hAnsi="Arial" w:cs="Arial"/>
                <w:color w:val="000000"/>
                <w:vertAlign w:val="superscript"/>
              </w:rPr>
              <w:t xml:space="preserve"> a</w:t>
            </w:r>
          </w:p>
        </w:tc>
        <w:tc>
          <w:tcPr>
            <w:tcW w:w="781" w:type="pct"/>
            <w:tcBorders>
              <w:top w:val="single" w:sz="4" w:space="0" w:color="auto"/>
            </w:tcBorders>
            <w:shd w:val="clear" w:color="auto" w:fill="FFFFFF"/>
          </w:tcPr>
          <w:p w14:paraId="351A13BA"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15.67±6.80</w:t>
            </w:r>
            <w:r w:rsidRPr="00DE1E54">
              <w:rPr>
                <w:rFonts w:ascii="Arial" w:hAnsi="Arial" w:cs="Arial"/>
                <w:color w:val="000000"/>
                <w:vertAlign w:val="superscript"/>
              </w:rPr>
              <w:t xml:space="preserve"> a</w:t>
            </w:r>
          </w:p>
        </w:tc>
      </w:tr>
      <w:tr w:rsidR="005C26F4" w:rsidRPr="00DE1E54" w14:paraId="542AA63C" w14:textId="77777777" w:rsidTr="005A3D5E">
        <w:trPr>
          <w:trHeight w:val="141"/>
        </w:trPr>
        <w:tc>
          <w:tcPr>
            <w:tcW w:w="1561" w:type="pct"/>
            <w:shd w:val="clear" w:color="auto" w:fill="FFFFFF"/>
          </w:tcPr>
          <w:p w14:paraId="20CFA57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Positive Control (N=6)</w:t>
            </w:r>
          </w:p>
        </w:tc>
        <w:tc>
          <w:tcPr>
            <w:tcW w:w="860" w:type="pct"/>
            <w:shd w:val="clear" w:color="auto" w:fill="FFFFFF"/>
          </w:tcPr>
          <w:p w14:paraId="590C5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270.83±36.69</w:t>
            </w:r>
            <w:r w:rsidRPr="00DE1E54">
              <w:rPr>
                <w:rFonts w:ascii="Arial" w:hAnsi="Arial" w:cs="Arial"/>
                <w:color w:val="000000"/>
                <w:vertAlign w:val="superscript"/>
              </w:rPr>
              <w:t>b</w:t>
            </w:r>
          </w:p>
        </w:tc>
        <w:tc>
          <w:tcPr>
            <w:tcW w:w="938" w:type="pct"/>
            <w:shd w:val="clear" w:color="auto" w:fill="FFFFFF"/>
          </w:tcPr>
          <w:p w14:paraId="48BF108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264.83±244.63</w:t>
            </w:r>
            <w:r w:rsidRPr="00DE1E54">
              <w:rPr>
                <w:rFonts w:ascii="Arial" w:hAnsi="Arial" w:cs="Arial"/>
                <w:color w:val="000000"/>
                <w:vertAlign w:val="superscript"/>
              </w:rPr>
              <w:t xml:space="preserve"> b</w:t>
            </w:r>
          </w:p>
        </w:tc>
        <w:tc>
          <w:tcPr>
            <w:tcW w:w="860" w:type="pct"/>
            <w:shd w:val="clear" w:color="auto" w:fill="FFFFFF"/>
          </w:tcPr>
          <w:p w14:paraId="64EA8EE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330.66±66.65</w:t>
            </w:r>
            <w:r w:rsidRPr="00DE1E54">
              <w:rPr>
                <w:rFonts w:ascii="Arial" w:hAnsi="Arial" w:cs="Arial"/>
                <w:color w:val="000000"/>
                <w:vertAlign w:val="superscript"/>
              </w:rPr>
              <w:t xml:space="preserve"> b</w:t>
            </w:r>
          </w:p>
        </w:tc>
        <w:tc>
          <w:tcPr>
            <w:tcW w:w="781" w:type="pct"/>
            <w:shd w:val="clear" w:color="auto" w:fill="FFFFFF"/>
          </w:tcPr>
          <w:p w14:paraId="1578BE5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105.67±22.55</w:t>
            </w:r>
            <w:r w:rsidRPr="00DE1E54">
              <w:rPr>
                <w:rFonts w:ascii="Arial" w:hAnsi="Arial" w:cs="Arial"/>
                <w:color w:val="000000"/>
                <w:vertAlign w:val="superscript"/>
              </w:rPr>
              <w:t xml:space="preserve"> b</w:t>
            </w:r>
          </w:p>
        </w:tc>
      </w:tr>
      <w:tr w:rsidR="005C26F4" w:rsidRPr="00DE1E54" w14:paraId="5CA62643" w14:textId="77777777" w:rsidTr="005A3D5E">
        <w:trPr>
          <w:trHeight w:val="63"/>
        </w:trPr>
        <w:tc>
          <w:tcPr>
            <w:tcW w:w="1561" w:type="pct"/>
            <w:shd w:val="clear" w:color="auto" w:fill="FFFFFF"/>
          </w:tcPr>
          <w:p w14:paraId="03382018"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Honey (N=6)</w:t>
            </w:r>
          </w:p>
        </w:tc>
        <w:tc>
          <w:tcPr>
            <w:tcW w:w="860" w:type="pct"/>
            <w:shd w:val="clear" w:color="auto" w:fill="FFFFFF"/>
          </w:tcPr>
          <w:p w14:paraId="1B33F97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183.17±48.00</w:t>
            </w:r>
            <w:r w:rsidRPr="00DE1E54">
              <w:rPr>
                <w:rFonts w:ascii="Arial" w:hAnsi="Arial" w:cs="Arial"/>
                <w:color w:val="000000"/>
                <w:vertAlign w:val="superscript"/>
              </w:rPr>
              <w:t xml:space="preserve"> b</w:t>
            </w:r>
          </w:p>
        </w:tc>
        <w:tc>
          <w:tcPr>
            <w:tcW w:w="938" w:type="pct"/>
            <w:shd w:val="clear" w:color="auto" w:fill="FFFFFF"/>
          </w:tcPr>
          <w:p w14:paraId="33F5D4F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155.67±29.3</w:t>
            </w:r>
            <w:r w:rsidRPr="00DE1E54">
              <w:rPr>
                <w:rFonts w:ascii="Arial" w:hAnsi="Arial" w:cs="Arial"/>
                <w:color w:val="000000"/>
                <w:vertAlign w:val="superscript"/>
              </w:rPr>
              <w:t xml:space="preserve"> a</w:t>
            </w:r>
          </w:p>
        </w:tc>
        <w:tc>
          <w:tcPr>
            <w:tcW w:w="860" w:type="pct"/>
            <w:shd w:val="clear" w:color="auto" w:fill="FFFFFF"/>
          </w:tcPr>
          <w:p w14:paraId="78F737C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212.00±83.39</w:t>
            </w:r>
            <w:r w:rsidRPr="00DE1E54">
              <w:rPr>
                <w:rFonts w:ascii="Arial" w:hAnsi="Arial" w:cs="Arial"/>
                <w:color w:val="000000"/>
                <w:vertAlign w:val="superscript"/>
              </w:rPr>
              <w:t>c</w:t>
            </w:r>
          </w:p>
        </w:tc>
        <w:tc>
          <w:tcPr>
            <w:tcW w:w="781" w:type="pct"/>
            <w:shd w:val="clear" w:color="auto" w:fill="FFFFFF"/>
          </w:tcPr>
          <w:p w14:paraId="3F23D4C4"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70.50±16.28</w:t>
            </w:r>
            <w:r w:rsidRPr="00DE1E54">
              <w:rPr>
                <w:rFonts w:ascii="Arial" w:hAnsi="Arial" w:cs="Arial"/>
                <w:color w:val="000000"/>
                <w:vertAlign w:val="superscript"/>
              </w:rPr>
              <w:t xml:space="preserve"> c</w:t>
            </w:r>
          </w:p>
        </w:tc>
      </w:tr>
      <w:tr w:rsidR="005C26F4" w:rsidRPr="00DE1E54" w14:paraId="1F070FA5" w14:textId="77777777" w:rsidTr="005A3D5E">
        <w:trPr>
          <w:trHeight w:val="516"/>
        </w:trPr>
        <w:tc>
          <w:tcPr>
            <w:tcW w:w="1561" w:type="pct"/>
            <w:shd w:val="clear" w:color="auto" w:fill="FFFFFF"/>
          </w:tcPr>
          <w:p w14:paraId="6D16C7FB"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and Activated carbon (N=6)</w:t>
            </w:r>
          </w:p>
        </w:tc>
        <w:tc>
          <w:tcPr>
            <w:tcW w:w="860" w:type="pct"/>
            <w:shd w:val="clear" w:color="auto" w:fill="FFFFFF"/>
          </w:tcPr>
          <w:p w14:paraId="1E02DAC0"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197.50±98.84</w:t>
            </w:r>
            <w:r w:rsidRPr="00DE1E54">
              <w:rPr>
                <w:rFonts w:ascii="Arial" w:hAnsi="Arial" w:cs="Arial"/>
                <w:color w:val="000000"/>
                <w:vertAlign w:val="superscript"/>
              </w:rPr>
              <w:t xml:space="preserve"> b</w:t>
            </w:r>
          </w:p>
        </w:tc>
        <w:tc>
          <w:tcPr>
            <w:tcW w:w="938" w:type="pct"/>
            <w:shd w:val="clear" w:color="auto" w:fill="FFFFFF"/>
          </w:tcPr>
          <w:p w14:paraId="6E8EC73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157.00±142.26</w:t>
            </w:r>
            <w:r w:rsidRPr="00DE1E54">
              <w:rPr>
                <w:rFonts w:ascii="Arial" w:hAnsi="Arial" w:cs="Arial"/>
                <w:color w:val="000000"/>
                <w:vertAlign w:val="superscript"/>
              </w:rPr>
              <w:t xml:space="preserve"> a</w:t>
            </w:r>
          </w:p>
        </w:tc>
        <w:tc>
          <w:tcPr>
            <w:tcW w:w="860" w:type="pct"/>
            <w:shd w:val="clear" w:color="auto" w:fill="FFFFFF"/>
          </w:tcPr>
          <w:p w14:paraId="767EB15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174.50±19.74</w:t>
            </w:r>
            <w:r w:rsidRPr="00DE1E54">
              <w:rPr>
                <w:rFonts w:ascii="Arial" w:hAnsi="Arial" w:cs="Arial"/>
                <w:color w:val="000000"/>
                <w:vertAlign w:val="superscript"/>
              </w:rPr>
              <w:t xml:space="preserve"> c</w:t>
            </w:r>
          </w:p>
        </w:tc>
        <w:tc>
          <w:tcPr>
            <w:tcW w:w="781" w:type="pct"/>
            <w:shd w:val="clear" w:color="auto" w:fill="FFFFFF"/>
          </w:tcPr>
          <w:p w14:paraId="75678285"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68.83±18.28</w:t>
            </w:r>
            <w:r w:rsidRPr="00DE1E54">
              <w:rPr>
                <w:rFonts w:ascii="Arial" w:hAnsi="Arial" w:cs="Arial"/>
                <w:color w:val="000000"/>
                <w:vertAlign w:val="superscript"/>
              </w:rPr>
              <w:t xml:space="preserve"> c</w:t>
            </w:r>
          </w:p>
        </w:tc>
      </w:tr>
      <w:tr w:rsidR="005C26F4" w:rsidRPr="00DE1E54" w14:paraId="3DA0BD44" w14:textId="77777777" w:rsidTr="005A3D5E">
        <w:trPr>
          <w:trHeight w:val="410"/>
        </w:trPr>
        <w:tc>
          <w:tcPr>
            <w:tcW w:w="1561" w:type="pct"/>
            <w:shd w:val="clear" w:color="auto" w:fill="FFFFFF"/>
          </w:tcPr>
          <w:p w14:paraId="6CEFF2FF"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Acetaminophen, Honey and Activated carbon (N=6)</w:t>
            </w:r>
          </w:p>
        </w:tc>
        <w:tc>
          <w:tcPr>
            <w:tcW w:w="860" w:type="pct"/>
            <w:shd w:val="clear" w:color="auto" w:fill="FFFFFF"/>
          </w:tcPr>
          <w:p w14:paraId="4C4A1A7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85.17±17.94</w:t>
            </w:r>
            <w:r w:rsidRPr="00DE1E54">
              <w:rPr>
                <w:rFonts w:ascii="Arial" w:hAnsi="Arial" w:cs="Arial"/>
                <w:color w:val="000000"/>
                <w:vertAlign w:val="superscript"/>
              </w:rPr>
              <w:t xml:space="preserve"> a</w:t>
            </w:r>
          </w:p>
        </w:tc>
        <w:tc>
          <w:tcPr>
            <w:tcW w:w="938" w:type="pct"/>
            <w:shd w:val="clear" w:color="auto" w:fill="FFFFFF"/>
          </w:tcPr>
          <w:p w14:paraId="51E654EB"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50.67±22.94</w:t>
            </w:r>
            <w:r w:rsidRPr="00DE1E54">
              <w:rPr>
                <w:rFonts w:ascii="Arial" w:hAnsi="Arial" w:cs="Arial"/>
                <w:color w:val="000000"/>
                <w:vertAlign w:val="superscript"/>
              </w:rPr>
              <w:t xml:space="preserve"> a</w:t>
            </w:r>
          </w:p>
        </w:tc>
        <w:tc>
          <w:tcPr>
            <w:tcW w:w="860" w:type="pct"/>
            <w:shd w:val="clear" w:color="auto" w:fill="FFFFFF"/>
          </w:tcPr>
          <w:p w14:paraId="0C54A7B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86.00±34.96</w:t>
            </w:r>
            <w:r w:rsidRPr="00DE1E54">
              <w:rPr>
                <w:rFonts w:ascii="Arial" w:hAnsi="Arial" w:cs="Arial"/>
                <w:color w:val="000000"/>
                <w:vertAlign w:val="superscript"/>
              </w:rPr>
              <w:t xml:space="preserve"> c</w:t>
            </w:r>
          </w:p>
        </w:tc>
        <w:tc>
          <w:tcPr>
            <w:tcW w:w="781" w:type="pct"/>
            <w:shd w:val="clear" w:color="auto" w:fill="FFFFFF"/>
          </w:tcPr>
          <w:p w14:paraId="26B30A5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44.17±8.03</w:t>
            </w:r>
            <w:r w:rsidRPr="00DE1E54">
              <w:rPr>
                <w:rFonts w:ascii="Arial" w:hAnsi="Arial" w:cs="Arial"/>
                <w:color w:val="000000"/>
                <w:vertAlign w:val="superscript"/>
              </w:rPr>
              <w:t xml:space="preserve"> c</w:t>
            </w:r>
          </w:p>
        </w:tc>
      </w:tr>
      <w:tr w:rsidR="005C26F4" w:rsidRPr="00DE1E54" w14:paraId="66D04D56" w14:textId="77777777" w:rsidTr="005A3D5E">
        <w:trPr>
          <w:trHeight w:val="233"/>
        </w:trPr>
        <w:tc>
          <w:tcPr>
            <w:tcW w:w="1561" w:type="pct"/>
            <w:shd w:val="clear" w:color="auto" w:fill="FFFFFF"/>
          </w:tcPr>
          <w:p w14:paraId="5A89B7BD"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p-value</w:t>
            </w:r>
          </w:p>
        </w:tc>
        <w:tc>
          <w:tcPr>
            <w:tcW w:w="860" w:type="pct"/>
            <w:shd w:val="clear" w:color="auto" w:fill="FFFFFF"/>
          </w:tcPr>
          <w:p w14:paraId="705AA5EC"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938" w:type="pct"/>
            <w:shd w:val="clear" w:color="auto" w:fill="FFFFFF"/>
          </w:tcPr>
          <w:p w14:paraId="609C4DE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0.03</w:t>
            </w:r>
          </w:p>
        </w:tc>
        <w:tc>
          <w:tcPr>
            <w:tcW w:w="860" w:type="pct"/>
            <w:shd w:val="clear" w:color="auto" w:fill="FFFFFF"/>
          </w:tcPr>
          <w:p w14:paraId="6764E0B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c>
          <w:tcPr>
            <w:tcW w:w="781" w:type="pct"/>
            <w:shd w:val="clear" w:color="auto" w:fill="FFFFFF"/>
          </w:tcPr>
          <w:p w14:paraId="240ECCB7"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0.00</w:t>
            </w:r>
          </w:p>
        </w:tc>
      </w:tr>
      <w:tr w:rsidR="005C26F4" w:rsidRPr="00DE1E54" w14:paraId="53F9F6E0" w14:textId="77777777" w:rsidTr="005A3D5E">
        <w:trPr>
          <w:trHeight w:val="265"/>
        </w:trPr>
        <w:tc>
          <w:tcPr>
            <w:tcW w:w="1561" w:type="pct"/>
            <w:shd w:val="clear" w:color="auto" w:fill="FFFFFF"/>
          </w:tcPr>
          <w:p w14:paraId="6033D9AC" w14:textId="77777777" w:rsidR="00296184" w:rsidRPr="00DE1E54" w:rsidRDefault="00296184" w:rsidP="0088548D">
            <w:pPr>
              <w:tabs>
                <w:tab w:val="right" w:pos="2610"/>
                <w:tab w:val="center" w:pos="4680"/>
              </w:tabs>
              <w:rPr>
                <w:rFonts w:ascii="Arial" w:hAnsi="Arial" w:cs="Arial"/>
                <w:b/>
                <w:bCs/>
                <w:color w:val="000000"/>
              </w:rPr>
            </w:pPr>
            <w:r w:rsidRPr="00DE1E54">
              <w:rPr>
                <w:rFonts w:ascii="Arial" w:hAnsi="Arial" w:cs="Arial"/>
                <w:b/>
                <w:bCs/>
                <w:color w:val="000000"/>
              </w:rPr>
              <w:t>F-value</w:t>
            </w:r>
          </w:p>
        </w:tc>
        <w:tc>
          <w:tcPr>
            <w:tcW w:w="860" w:type="pct"/>
            <w:shd w:val="clear" w:color="auto" w:fill="FFFFFF"/>
          </w:tcPr>
          <w:p w14:paraId="403277DF"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10.93</w:t>
            </w:r>
          </w:p>
        </w:tc>
        <w:tc>
          <w:tcPr>
            <w:tcW w:w="938" w:type="pct"/>
            <w:shd w:val="clear" w:color="auto" w:fill="FFFFFF"/>
          </w:tcPr>
          <w:p w14:paraId="6B2D7E6D"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3.28</w:t>
            </w:r>
          </w:p>
        </w:tc>
        <w:tc>
          <w:tcPr>
            <w:tcW w:w="860" w:type="pct"/>
            <w:shd w:val="clear" w:color="auto" w:fill="FFFFFF"/>
          </w:tcPr>
          <w:p w14:paraId="4B580253"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26.16</w:t>
            </w:r>
          </w:p>
        </w:tc>
        <w:tc>
          <w:tcPr>
            <w:tcW w:w="781" w:type="pct"/>
            <w:shd w:val="clear" w:color="auto" w:fill="FFFFFF"/>
          </w:tcPr>
          <w:p w14:paraId="0A5E0532"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27.01</w:t>
            </w:r>
          </w:p>
        </w:tc>
      </w:tr>
      <w:tr w:rsidR="005C26F4" w:rsidRPr="00DE1E54" w14:paraId="14DCB204" w14:textId="77777777" w:rsidTr="005A3D5E">
        <w:trPr>
          <w:trHeight w:val="297"/>
        </w:trPr>
        <w:tc>
          <w:tcPr>
            <w:tcW w:w="1561" w:type="pct"/>
            <w:shd w:val="clear" w:color="auto" w:fill="FFFFFF"/>
          </w:tcPr>
          <w:p w14:paraId="3780D38E" w14:textId="5F450E31" w:rsidR="00296184" w:rsidRPr="00DE1E54" w:rsidRDefault="003B6481" w:rsidP="0088548D">
            <w:pPr>
              <w:tabs>
                <w:tab w:val="right" w:pos="2610"/>
                <w:tab w:val="center" w:pos="4680"/>
              </w:tabs>
              <w:rPr>
                <w:rFonts w:ascii="Arial" w:hAnsi="Arial" w:cs="Arial"/>
                <w:b/>
                <w:bCs/>
                <w:color w:val="000000"/>
              </w:rPr>
            </w:pPr>
            <w:r w:rsidRPr="00DE1E54">
              <w:rPr>
                <w:rFonts w:ascii="Arial" w:hAnsi="Arial" w:cs="Arial"/>
                <w:b/>
                <w:bCs/>
                <w:color w:val="000000"/>
              </w:rPr>
              <w:t>Remark</w:t>
            </w:r>
          </w:p>
        </w:tc>
        <w:tc>
          <w:tcPr>
            <w:tcW w:w="860" w:type="pct"/>
            <w:shd w:val="clear" w:color="auto" w:fill="FFFFFF"/>
          </w:tcPr>
          <w:p w14:paraId="6440C2CE"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938" w:type="pct"/>
            <w:shd w:val="clear" w:color="auto" w:fill="FFFFFF"/>
          </w:tcPr>
          <w:p w14:paraId="237E38F9"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860" w:type="pct"/>
            <w:shd w:val="clear" w:color="auto" w:fill="FFFFFF"/>
          </w:tcPr>
          <w:p w14:paraId="3C5C5DA8"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c>
          <w:tcPr>
            <w:tcW w:w="781" w:type="pct"/>
            <w:shd w:val="clear" w:color="auto" w:fill="FFFFFF"/>
          </w:tcPr>
          <w:p w14:paraId="3E81CE86" w14:textId="77777777" w:rsidR="00296184" w:rsidRPr="00DE1E54" w:rsidRDefault="00296184" w:rsidP="0088548D">
            <w:pPr>
              <w:tabs>
                <w:tab w:val="center" w:pos="4680"/>
                <w:tab w:val="right" w:pos="9360"/>
              </w:tabs>
              <w:jc w:val="both"/>
              <w:rPr>
                <w:rFonts w:ascii="Arial" w:hAnsi="Arial" w:cs="Arial"/>
                <w:color w:val="000000"/>
              </w:rPr>
            </w:pPr>
            <w:r w:rsidRPr="00DE1E54">
              <w:rPr>
                <w:rFonts w:ascii="Arial" w:hAnsi="Arial" w:cs="Arial"/>
                <w:color w:val="000000"/>
              </w:rPr>
              <w:t>S</w:t>
            </w:r>
          </w:p>
        </w:tc>
      </w:tr>
    </w:tbl>
    <w:p w14:paraId="71A5F3EE" w14:textId="77777777" w:rsidR="00296184" w:rsidRDefault="00296184" w:rsidP="00296184">
      <w:pPr>
        <w:spacing w:line="480" w:lineRule="auto"/>
        <w:rPr>
          <w:rFonts w:ascii="Times New Roman" w:hAnsi="Times New Roman"/>
          <w:sz w:val="6"/>
          <w:szCs w:val="24"/>
        </w:rPr>
      </w:pPr>
    </w:p>
    <w:p w14:paraId="74779D47" w14:textId="77777777" w:rsidR="00F76EE9" w:rsidRPr="00692C01" w:rsidRDefault="00F76EE9" w:rsidP="00692C01">
      <w:pPr>
        <w:rPr>
          <w:rFonts w:ascii="Arial" w:hAnsi="Arial" w:cs="Arial"/>
          <w:i/>
          <w:iCs/>
          <w:szCs w:val="44"/>
        </w:rPr>
      </w:pPr>
      <w:r w:rsidRPr="00692C01">
        <w:rPr>
          <w:rFonts w:ascii="Arial" w:hAnsi="Arial" w:cs="Arial"/>
          <w:i/>
          <w:iCs/>
          <w:szCs w:val="44"/>
        </w:rPr>
        <w:t>Key: S- Significant, NS – Not significant. Superscripts indicate same alphabet for significant groups.</w:t>
      </w:r>
    </w:p>
    <w:p w14:paraId="551A8F2F" w14:textId="77777777" w:rsidR="00F76EE9" w:rsidRPr="006F45F5" w:rsidRDefault="00F76EE9" w:rsidP="00F76EE9">
      <w:pPr>
        <w:rPr>
          <w:rFonts w:ascii="Times New Roman" w:hAnsi="Times New Roman"/>
          <w:sz w:val="6"/>
          <w:szCs w:val="24"/>
        </w:rPr>
      </w:pPr>
    </w:p>
    <w:p w14:paraId="313CFA23" w14:textId="784B63F3" w:rsidR="00900DC0" w:rsidRPr="00900DC0" w:rsidRDefault="00900DC0" w:rsidP="00F76EE9">
      <w:pPr>
        <w:jc w:val="both"/>
        <w:rPr>
          <w:rFonts w:ascii="Arial" w:hAnsi="Arial" w:cs="Arial"/>
          <w:bCs/>
        </w:rPr>
      </w:pPr>
      <w:r w:rsidRPr="00900DC0">
        <w:rPr>
          <w:rFonts w:ascii="Arial" w:hAnsi="Arial" w:cs="Arial"/>
          <w:bCs/>
        </w:rPr>
        <w:t xml:space="preserve">The aim of the study was to evaluate the effects of activated carbon and honey treatments on liver function in albino rats with acetaminophen-induced hepatotoxicity. The results of our study showed a significant increase (p&lt;0.01) in the levels of aspartate aminotransferase (AST), alanine aminotransferase (ALT), alkaline phosphatase (ALP), and ᵞ-glutamyltransferase (GGT) in the positive control group compared to the negative control group. Acetaminophen undergoes metabolism primarily through glucuronidation and sulfuration in the liver. In cases of overdose, these pathways become saturated, leading to increased conversion of acetaminophen to NAPQI by cytochrome P450. NAPQI is a toxic substance that is safely converted by glutathione into non-toxic mercaptate and cysteine compounds, which are then excreted through the kidneys. Overdosing depletes glutathione stores, and when they drop below 30% of normal levels, NAPQI levels rise, binding to hepatic macromolecules and causing hepatic necrosis </w:t>
      </w:r>
      <w:r w:rsidR="0023209C">
        <w:rPr>
          <w:rFonts w:ascii="Arial" w:eastAsia="Calibri" w:hAnsi="Arial" w:cs="Arial"/>
          <w:szCs w:val="22"/>
        </w:rPr>
        <w:t>[</w:t>
      </w:r>
      <w:r w:rsidR="00FF11D4">
        <w:rPr>
          <w:rFonts w:ascii="Arial" w:eastAsia="Calibri" w:hAnsi="Arial" w:cs="Arial"/>
          <w:szCs w:val="22"/>
        </w:rPr>
        <w:t>19</w:t>
      </w:r>
      <w:r w:rsidR="0023209C">
        <w:rPr>
          <w:rFonts w:ascii="Arial" w:eastAsia="Calibri" w:hAnsi="Arial" w:cs="Arial"/>
          <w:szCs w:val="22"/>
        </w:rPr>
        <w:t>]</w:t>
      </w:r>
      <w:r w:rsidRPr="00900DC0">
        <w:rPr>
          <w:rFonts w:ascii="Arial" w:hAnsi="Arial" w:cs="Arial"/>
          <w:bCs/>
        </w:rPr>
        <w:t xml:space="preserve">. According to Yoon et al. </w:t>
      </w:r>
      <w:r w:rsidR="003E32A7">
        <w:rPr>
          <w:rFonts w:ascii="Arial" w:eastAsia="Calibri" w:hAnsi="Arial" w:cs="Arial"/>
          <w:szCs w:val="22"/>
        </w:rPr>
        <w:t>[20]</w:t>
      </w:r>
      <w:r w:rsidRPr="00900DC0">
        <w:rPr>
          <w:rFonts w:ascii="Arial" w:hAnsi="Arial" w:cs="Arial"/>
          <w:bCs/>
        </w:rPr>
        <w:t xml:space="preserve">, acetaminophen-induced hepatotoxicity causes the necrosis of hepatocytes and the release of cellular contents. Thus, the high levels of AST, ALT, ALP, and GGT in </w:t>
      </w:r>
      <w:r w:rsidR="003E32A7" w:rsidRPr="00900DC0">
        <w:rPr>
          <w:rFonts w:ascii="Arial" w:hAnsi="Arial" w:cs="Arial"/>
          <w:bCs/>
        </w:rPr>
        <w:t>positive</w:t>
      </w:r>
      <w:r w:rsidRPr="00900DC0">
        <w:rPr>
          <w:rFonts w:ascii="Arial" w:hAnsi="Arial" w:cs="Arial"/>
          <w:bCs/>
        </w:rPr>
        <w:t xml:space="preserve"> control compared to the negative control may be a result of acetaminophen-induced hepatotoxicity that caused necrosis of hepatocytes and the release of these enzymes from damaged hepatocytes. Enzymes released from the necrotic hepatocytes enter the bloodstream, causing elevated levels of these enzymes in plasma. This result is supported by </w:t>
      </w:r>
      <w:r w:rsidR="008D393B" w:rsidRPr="00900DC0">
        <w:rPr>
          <w:rFonts w:ascii="Arial" w:hAnsi="Arial" w:cs="Arial"/>
          <w:bCs/>
        </w:rPr>
        <w:t>research</w:t>
      </w:r>
      <w:r w:rsidRPr="00900DC0">
        <w:rPr>
          <w:rFonts w:ascii="Arial" w:hAnsi="Arial" w:cs="Arial"/>
          <w:bCs/>
        </w:rPr>
        <w:t xml:space="preserve"> of Hinson et al. </w:t>
      </w:r>
      <w:r w:rsidR="00BA13B8">
        <w:rPr>
          <w:rFonts w:ascii="Arial" w:eastAsia="Calibri" w:hAnsi="Arial" w:cs="Arial"/>
          <w:szCs w:val="22"/>
        </w:rPr>
        <w:t>[21]</w:t>
      </w:r>
      <w:r w:rsidRPr="00900DC0">
        <w:rPr>
          <w:rFonts w:ascii="Arial" w:hAnsi="Arial" w:cs="Arial"/>
          <w:bCs/>
        </w:rPr>
        <w:t xml:space="preserve">, who stated that acetaminophen-induced hepatotoxicity is associated with a marked </w:t>
      </w:r>
      <w:r w:rsidRPr="00900DC0">
        <w:rPr>
          <w:rFonts w:ascii="Arial" w:hAnsi="Arial" w:cs="Arial"/>
          <w:bCs/>
        </w:rPr>
        <w:lastRenderedPageBreak/>
        <w:t xml:space="preserve">increase in plasma ALT, ALP, and AST levels. Additionally, Omidi et al. </w:t>
      </w:r>
      <w:r w:rsidR="003243AF">
        <w:rPr>
          <w:rFonts w:ascii="Arial" w:eastAsia="Calibri" w:hAnsi="Arial" w:cs="Arial"/>
          <w:szCs w:val="22"/>
        </w:rPr>
        <w:t>[22]</w:t>
      </w:r>
      <w:r w:rsidRPr="00900DC0">
        <w:rPr>
          <w:rFonts w:ascii="Arial" w:hAnsi="Arial" w:cs="Arial"/>
          <w:bCs/>
        </w:rPr>
        <w:t xml:space="preserve"> stated that acetaminophen toxicity causes elevated plasma ALT and AST.</w:t>
      </w:r>
    </w:p>
    <w:p w14:paraId="0B54DFEB" w14:textId="77777777" w:rsidR="00900DC0" w:rsidRPr="00900DC0" w:rsidRDefault="00900DC0" w:rsidP="00F76EE9">
      <w:pPr>
        <w:jc w:val="both"/>
        <w:rPr>
          <w:rFonts w:ascii="Arial" w:hAnsi="Arial" w:cs="Arial"/>
          <w:bCs/>
        </w:rPr>
      </w:pPr>
      <w:r w:rsidRPr="00900DC0">
        <w:rPr>
          <w:rFonts w:ascii="Arial" w:hAnsi="Arial" w:cs="Arial"/>
          <w:bCs/>
        </w:rPr>
        <w:t>There was no significant decrease between the levels of AST in the groups treated with activated carbon and honey compared with the positive control group. From the findings in this research, it could be inferred that activated carbon and honey used separately do not ameliorate the acetaminophen induced elevation of AST. However, there was a significant decrease in AST levels in the group treated with both honey and activated carbon compared to the positive control group. Thus, it could be inferred that activated carbon and honey when used together have a synergistic effect in ameliorating acetaminophen-induced elevation of AST since when both used together were able to ameliorate the acetaminophen-induced hepatotoxicity.</w:t>
      </w:r>
    </w:p>
    <w:p w14:paraId="521EED9F" w14:textId="026ACB61" w:rsidR="00900DC0" w:rsidRPr="00900DC0" w:rsidRDefault="00900DC0" w:rsidP="00F76EE9">
      <w:pPr>
        <w:jc w:val="both"/>
        <w:rPr>
          <w:rFonts w:ascii="Arial" w:hAnsi="Arial" w:cs="Arial"/>
          <w:bCs/>
        </w:rPr>
      </w:pPr>
      <w:r w:rsidRPr="00900DC0">
        <w:rPr>
          <w:rFonts w:ascii="Arial" w:hAnsi="Arial" w:cs="Arial"/>
          <w:bCs/>
        </w:rPr>
        <w:t xml:space="preserve">There was a significant decrease in the levels of ALT, ALP, and GGT in the groups treated with Activated carbon, honey, and a combination of activated carbon and honey compared to the positive control group. Thus, activated carbon and honey may ameliorate the acetaminophen-induced elevation of ALT, ALP, and GGT since they caused a decrease in the levels of these enzymes in the groups treated with activated carbon, honey, and a combination of activated carbon and honey compared to the positive control group. Activated carbon is known to prevent the absorption of substances from the gastrointestinal tract. Thus, activated carbon may ameliorate acetaminophen induced hepatotoxicity by reducing the absorption of acetaminophen, thus preventing the accumulation of acetaminophen in the liver.  Honey may ameliorate acetaminophen induced hepatotoxicity due to its ability to cause regeneration of hepatocytes. This is consistent with the research study of Zhou et al. </w:t>
      </w:r>
      <w:r w:rsidR="00856873">
        <w:rPr>
          <w:rFonts w:ascii="Arial" w:eastAsia="Calibri" w:hAnsi="Arial" w:cs="Arial"/>
          <w:szCs w:val="22"/>
        </w:rPr>
        <w:t>[23]</w:t>
      </w:r>
      <w:r w:rsidRPr="00900DC0">
        <w:rPr>
          <w:rFonts w:ascii="Arial" w:hAnsi="Arial" w:cs="Arial"/>
          <w:bCs/>
        </w:rPr>
        <w:t>, whose results showed a significant reduction of ALT, AST, ALP, and γ-GT in albino rats treated with honey after the induction of hepatotoxicity using alcohol. Also, in their research, they stated that honey improves liver injury.</w:t>
      </w:r>
    </w:p>
    <w:p w14:paraId="078ECFE5" w14:textId="4C6ABFC5" w:rsidR="00900DC0" w:rsidRPr="00900DC0" w:rsidRDefault="00900DC0" w:rsidP="00F76EE9">
      <w:pPr>
        <w:jc w:val="both"/>
        <w:rPr>
          <w:rFonts w:ascii="Arial" w:hAnsi="Arial" w:cs="Arial"/>
          <w:bCs/>
        </w:rPr>
      </w:pPr>
      <w:r w:rsidRPr="00900DC0">
        <w:rPr>
          <w:rFonts w:ascii="Arial" w:hAnsi="Arial" w:cs="Arial"/>
          <w:bCs/>
        </w:rPr>
        <w:t xml:space="preserve">Total bilirubin is considered one of the accurate tests of liver functions since it reflects the ability of this organ to take up and process bilirubin into bile. The results presented in Table 1 showed a significant increase (p=0.030) in the levels of total bilirubin in the positive control group compared to the negative control group. The elevated total bilirubin may be due to acetaminophen-induced hepatotoxicity that causes necrosis of hepatocytes, thus, reducing the capacity of the liver to metabolism bilirubin. This result is supported by the research of Hinson et al. </w:t>
      </w:r>
      <w:r w:rsidR="0084088C">
        <w:rPr>
          <w:rFonts w:ascii="Arial" w:eastAsia="Calibri" w:hAnsi="Arial" w:cs="Arial"/>
          <w:szCs w:val="22"/>
        </w:rPr>
        <w:t>[21]</w:t>
      </w:r>
      <w:r w:rsidRPr="00900DC0">
        <w:rPr>
          <w:rFonts w:ascii="Arial" w:hAnsi="Arial" w:cs="Arial"/>
          <w:bCs/>
        </w:rPr>
        <w:t xml:space="preserve">, who stated that acetaminophen-induced hepatotoxicity leads to hyperbilirubinaemia. Also, Omidi et al. </w:t>
      </w:r>
      <w:r w:rsidR="004C1A3D">
        <w:rPr>
          <w:rFonts w:ascii="Arial" w:eastAsia="Calibri" w:hAnsi="Arial" w:cs="Arial"/>
          <w:szCs w:val="22"/>
        </w:rPr>
        <w:t>[22]</w:t>
      </w:r>
      <w:r w:rsidRPr="00900DC0">
        <w:rPr>
          <w:rFonts w:ascii="Arial" w:hAnsi="Arial" w:cs="Arial"/>
          <w:bCs/>
        </w:rPr>
        <w:t xml:space="preserve"> stated that acetaminophen toxicity causes hyperbilirubinaemia. Also, there was a significant decrease (p&lt;0.03) in the levels of total bilirubin in the treatment groups compared to the positive control group. From the findings in this study, it could be inferred that activated carbon and honey ameliorate the acetaminophen-induced elevation of total bilirubin.</w:t>
      </w:r>
    </w:p>
    <w:p w14:paraId="0CCA4396" w14:textId="5B286035" w:rsidR="00900DC0" w:rsidRPr="00900DC0" w:rsidRDefault="00900DC0" w:rsidP="00F76EE9">
      <w:pPr>
        <w:jc w:val="both"/>
        <w:rPr>
          <w:rFonts w:ascii="Arial" w:hAnsi="Arial" w:cs="Arial"/>
          <w:bCs/>
        </w:rPr>
      </w:pPr>
      <w:r w:rsidRPr="00900DC0">
        <w:rPr>
          <w:rFonts w:ascii="Arial" w:hAnsi="Arial" w:cs="Arial"/>
          <w:bCs/>
        </w:rPr>
        <w:t xml:space="preserve">According to Chiew et al. </w:t>
      </w:r>
      <w:r w:rsidR="00C416BD">
        <w:rPr>
          <w:rFonts w:ascii="Arial" w:eastAsia="Calibri" w:hAnsi="Arial" w:cs="Arial"/>
          <w:szCs w:val="22"/>
        </w:rPr>
        <w:t>[24]</w:t>
      </w:r>
      <w:r w:rsidRPr="00900DC0">
        <w:rPr>
          <w:rFonts w:ascii="Arial" w:hAnsi="Arial" w:cs="Arial"/>
          <w:bCs/>
        </w:rPr>
        <w:t>, activated carbon reduces acetaminophen absorption and decreases plasma acetaminophen concentration. Thus, the reduction in acetaminophen absorption and concentration in plasma caused by activated carbon may have resulted in hepatoprotection, hence reduced levels of AST, ALT, ALP, GGT, and total bilirubin observed in the groups treated with Activated carbon, honey and a combination of activated carbon and honey compared to the positive control group.</w:t>
      </w:r>
    </w:p>
    <w:p w14:paraId="468F783B" w14:textId="25B9CFE7" w:rsidR="00900DC0" w:rsidRPr="00900DC0" w:rsidRDefault="00900DC0" w:rsidP="00F76EE9">
      <w:pPr>
        <w:jc w:val="both"/>
        <w:rPr>
          <w:rFonts w:ascii="Arial" w:hAnsi="Arial" w:cs="Arial"/>
          <w:bCs/>
        </w:rPr>
      </w:pPr>
      <w:r w:rsidRPr="00900DC0">
        <w:rPr>
          <w:rFonts w:ascii="Arial" w:hAnsi="Arial" w:cs="Arial"/>
          <w:bCs/>
        </w:rPr>
        <w:t xml:space="preserve">The levels of AST and ALT were significantly lower in the group treated with both activated carbon and honey compared to the group that was treated with only activated carbon. Thus, the addition of honey has a better therapeutic preventive efficacy. According to Prasetyo and Hestianah </w:t>
      </w:r>
      <w:r w:rsidR="001E424E">
        <w:rPr>
          <w:rFonts w:ascii="Arial" w:eastAsia="Calibri" w:hAnsi="Arial" w:cs="Arial"/>
          <w:szCs w:val="22"/>
        </w:rPr>
        <w:t>[25]</w:t>
      </w:r>
      <w:r w:rsidRPr="00900DC0">
        <w:rPr>
          <w:rFonts w:ascii="Arial" w:hAnsi="Arial" w:cs="Arial"/>
          <w:bCs/>
        </w:rPr>
        <w:t>, honey enhances liver tissue by mobilizing endogenous stem cells (CD34 and CD45), expressing Hsp70 and VEGF-1 as markers of regeneration and improvement, and promoting histological regeneration of the liver tissue. Thus, this regeneration of hepatic tissues may have resulted in decreased plasma levels of AST, ALT, ALP, GGT, and total bilirubin observed in the groups treated with activated carbon, honey and a combination of activated carbon and honey compared to the positive control group.</w:t>
      </w:r>
    </w:p>
    <w:p w14:paraId="0888B5B6" w14:textId="090445C1" w:rsidR="00B12576" w:rsidRPr="00900DC0" w:rsidRDefault="00900DC0" w:rsidP="00F76EE9">
      <w:pPr>
        <w:jc w:val="both"/>
        <w:rPr>
          <w:rFonts w:ascii="Arial" w:hAnsi="Arial" w:cs="Arial"/>
          <w:bCs/>
        </w:rPr>
      </w:pPr>
      <w:r w:rsidRPr="00900DC0">
        <w:rPr>
          <w:rFonts w:ascii="Arial" w:hAnsi="Arial" w:cs="Arial"/>
          <w:bCs/>
        </w:rPr>
        <w:lastRenderedPageBreak/>
        <w:t>According to the results of our study, there was no significant difference (p&gt;0.05) between the levels of total protein, albumin, and conjugated bilirubin in the experimental groups.</w:t>
      </w:r>
    </w:p>
    <w:p w14:paraId="3BD401F4" w14:textId="7FAFCC46" w:rsidR="00E053D0" w:rsidRDefault="00E053D0" w:rsidP="00401964">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C5F5B5" w14:textId="73F9D856" w:rsidR="00B01FCD" w:rsidRDefault="005F7869" w:rsidP="00441B6F">
      <w:pPr>
        <w:pStyle w:val="Body"/>
        <w:spacing w:after="0"/>
        <w:rPr>
          <w:rFonts w:ascii="Arial" w:hAnsi="Arial" w:cs="Arial"/>
        </w:rPr>
      </w:pPr>
      <w:r w:rsidRPr="005F7869">
        <w:rPr>
          <w:rFonts w:ascii="Arial" w:hAnsi="Arial" w:cs="Arial"/>
        </w:rPr>
        <w:t>This study has revealed the hepatoprotective effects of honey and activated carbon in ameliorating acetaminophen-induced hepatotoxicity. It also revealed that honey and activated carbon have synergistic effect in ameliorating acetaminophen induced hepatotoxicity. This research has contributed valuable information to the scientific community, emphasizing potential strategies for ameliorating acetaminophen-induced liver damage.</w:t>
      </w:r>
    </w:p>
    <w:p w14:paraId="4B0C7C3C" w14:textId="77777777" w:rsidR="004F64A8" w:rsidRPr="004F64A8" w:rsidRDefault="004F64A8" w:rsidP="004F64A8">
      <w:pPr>
        <w:pStyle w:val="Body"/>
        <w:rPr>
          <w:rFonts w:ascii="Arial" w:hAnsi="Arial" w:cs="Arial"/>
        </w:rPr>
      </w:pPr>
      <w:r w:rsidRPr="004F64A8">
        <w:rPr>
          <w:rFonts w:ascii="Arial" w:hAnsi="Arial" w:cs="Arial"/>
        </w:rPr>
        <w:t>Ethical Approval</w:t>
      </w:r>
    </w:p>
    <w:p w14:paraId="20698961" w14:textId="3906DEC4" w:rsidR="004F64A8" w:rsidRDefault="004F64A8" w:rsidP="004F64A8">
      <w:pPr>
        <w:pStyle w:val="Body"/>
        <w:spacing w:after="0"/>
        <w:rPr>
          <w:rFonts w:ascii="Arial" w:hAnsi="Arial" w:cs="Arial"/>
        </w:rPr>
      </w:pPr>
      <w:r w:rsidRPr="004F64A8">
        <w:rPr>
          <w:rFonts w:ascii="Arial" w:hAnsi="Arial" w:cs="Arial"/>
        </w:rPr>
        <w:t>Animal Ethic committee approval has been collected and preserved by the author(s)</w:t>
      </w:r>
    </w:p>
    <w:p w14:paraId="52ED51C7" w14:textId="756726EA" w:rsidR="004342B8" w:rsidRDefault="004342B8" w:rsidP="00441B6F">
      <w:pPr>
        <w:pStyle w:val="Body"/>
        <w:spacing w:after="0"/>
        <w:rPr>
          <w:rFonts w:ascii="Arial" w:hAnsi="Arial" w:cs="Arial"/>
        </w:rPr>
      </w:pPr>
    </w:p>
    <w:p w14:paraId="4B68B7DA" w14:textId="77777777" w:rsidR="004342B8" w:rsidRPr="00005ED1" w:rsidRDefault="004342B8" w:rsidP="004342B8">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0B6200B6" w14:textId="77777777" w:rsidR="004342B8" w:rsidRPr="00005ED1" w:rsidRDefault="004342B8" w:rsidP="004342B8">
      <w:pPr>
        <w:pStyle w:val="NoSpacing"/>
        <w:rPr>
          <w:rFonts w:ascii="Arial" w:hAnsi="Arial" w:cs="Arial"/>
          <w:highlight w:val="yellow"/>
        </w:rPr>
      </w:pPr>
    </w:p>
    <w:p w14:paraId="49C209C7"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 xml:space="preserve">Option 1: </w:t>
      </w:r>
    </w:p>
    <w:p w14:paraId="33FDF1F5" w14:textId="77777777" w:rsidR="004342B8" w:rsidRPr="00005ED1" w:rsidRDefault="004342B8" w:rsidP="004342B8">
      <w:pPr>
        <w:pStyle w:val="NoSpacing"/>
        <w:rPr>
          <w:rFonts w:ascii="Arial" w:hAnsi="Arial" w:cs="Arial"/>
          <w:highlight w:val="yellow"/>
        </w:rPr>
      </w:pPr>
    </w:p>
    <w:p w14:paraId="3038159A"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72A1875D" w14:textId="77777777" w:rsidR="004342B8" w:rsidRPr="00005ED1" w:rsidRDefault="004342B8" w:rsidP="004342B8">
      <w:pPr>
        <w:pStyle w:val="NoSpacing"/>
        <w:rPr>
          <w:rFonts w:ascii="Arial" w:hAnsi="Arial" w:cs="Arial"/>
          <w:highlight w:val="yellow"/>
        </w:rPr>
      </w:pPr>
    </w:p>
    <w:p w14:paraId="39D2F37F"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 xml:space="preserve">Option 2: </w:t>
      </w:r>
    </w:p>
    <w:p w14:paraId="6CD41A96" w14:textId="77777777" w:rsidR="004342B8" w:rsidRPr="00005ED1" w:rsidRDefault="004342B8" w:rsidP="004342B8">
      <w:pPr>
        <w:pStyle w:val="NoSpacing"/>
        <w:rPr>
          <w:rFonts w:ascii="Arial" w:hAnsi="Arial" w:cs="Arial"/>
          <w:highlight w:val="yellow"/>
        </w:rPr>
      </w:pPr>
    </w:p>
    <w:p w14:paraId="200CE953"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A5FE04F" w14:textId="77777777" w:rsidR="004342B8" w:rsidRPr="00005ED1" w:rsidRDefault="004342B8" w:rsidP="004342B8">
      <w:pPr>
        <w:pStyle w:val="NoSpacing"/>
        <w:rPr>
          <w:rFonts w:ascii="Arial" w:hAnsi="Arial" w:cs="Arial"/>
          <w:highlight w:val="yellow"/>
        </w:rPr>
      </w:pPr>
    </w:p>
    <w:p w14:paraId="3B2CF14B"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Details of the AI usage are given below:</w:t>
      </w:r>
    </w:p>
    <w:p w14:paraId="4631A5BC"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1.</w:t>
      </w:r>
    </w:p>
    <w:p w14:paraId="79AFEED1" w14:textId="77777777" w:rsidR="004342B8" w:rsidRPr="00005ED1" w:rsidRDefault="004342B8" w:rsidP="004342B8">
      <w:pPr>
        <w:pStyle w:val="NoSpacing"/>
        <w:rPr>
          <w:rFonts w:ascii="Arial" w:hAnsi="Arial" w:cs="Arial"/>
          <w:highlight w:val="yellow"/>
        </w:rPr>
      </w:pPr>
      <w:r w:rsidRPr="00005ED1">
        <w:rPr>
          <w:rFonts w:ascii="Arial" w:hAnsi="Arial" w:cs="Arial"/>
          <w:highlight w:val="yellow"/>
        </w:rPr>
        <w:t>2.</w:t>
      </w:r>
    </w:p>
    <w:p w14:paraId="6D69B9BD" w14:textId="77777777" w:rsidR="004342B8" w:rsidRPr="00005ED1" w:rsidRDefault="004342B8" w:rsidP="004342B8">
      <w:pPr>
        <w:pStyle w:val="NoSpacing"/>
        <w:rPr>
          <w:rFonts w:ascii="Arial" w:hAnsi="Arial" w:cs="Arial"/>
        </w:rPr>
      </w:pPr>
      <w:r w:rsidRPr="00005ED1">
        <w:rPr>
          <w:rFonts w:ascii="Arial" w:hAnsi="Arial" w:cs="Arial"/>
          <w:highlight w:val="yellow"/>
        </w:rPr>
        <w:t>3.</w:t>
      </w:r>
      <w:bookmarkEnd w:id="1"/>
    </w:p>
    <w:p w14:paraId="114CE73B" w14:textId="77777777" w:rsidR="004342B8" w:rsidRDefault="004342B8" w:rsidP="00441B6F">
      <w:pPr>
        <w:pStyle w:val="Body"/>
        <w:spacing w:after="0"/>
        <w:rPr>
          <w:rFonts w:ascii="Arial" w:hAnsi="Arial" w:cs="Arial"/>
        </w:rPr>
      </w:pPr>
    </w:p>
    <w:p w14:paraId="5C43B7B5" w14:textId="77777777" w:rsidR="002B685A" w:rsidRDefault="002B685A" w:rsidP="00441B6F">
      <w:pPr>
        <w:pStyle w:val="ReferHead"/>
        <w:spacing w:after="0"/>
        <w:jc w:val="both"/>
        <w:rPr>
          <w:rFonts w:ascii="Arial" w:hAnsi="Arial" w:cs="Arial"/>
          <w:b w:val="0"/>
          <w:caps w:val="0"/>
          <w:sz w:val="20"/>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5EE9EBB" w14:textId="5F82E60A" w:rsidR="00B06471" w:rsidRPr="00FD122C" w:rsidRDefault="00B06471" w:rsidP="00970A59">
      <w:pPr>
        <w:ind w:left="142" w:hanging="295"/>
        <w:jc w:val="both"/>
        <w:rPr>
          <w:rFonts w:ascii="Arial" w:hAnsi="Arial" w:cs="Arial"/>
        </w:rPr>
      </w:pPr>
      <w:r w:rsidRPr="00FD122C">
        <w:rPr>
          <w:rFonts w:ascii="Arial" w:hAnsi="Arial" w:cs="Arial"/>
        </w:rPr>
        <w:t>1.</w:t>
      </w:r>
      <w:r w:rsidR="008F2595">
        <w:rPr>
          <w:rFonts w:ascii="Arial" w:hAnsi="Arial" w:cs="Arial"/>
        </w:rPr>
        <w:t xml:space="preserve"> </w:t>
      </w:r>
      <w:r w:rsidRPr="00FD122C">
        <w:rPr>
          <w:rFonts w:ascii="Arial" w:hAnsi="Arial" w:cs="Arial"/>
        </w:rPr>
        <w:t xml:space="preserve">Agarwal, R., MacMillan-Crow, L. A., Rafferty, T. M., Saba, H., Roberts, D. W., Fifer, E. K., James, L. P. &amp; Hinson, J. A. </w:t>
      </w:r>
      <w:r w:rsidR="003A5ECB">
        <w:rPr>
          <w:rFonts w:ascii="Arial" w:hAnsi="Arial" w:cs="Arial"/>
        </w:rPr>
        <w:t xml:space="preserve"> </w:t>
      </w:r>
      <w:r w:rsidRPr="00FD122C">
        <w:rPr>
          <w:rFonts w:ascii="Arial" w:hAnsi="Arial" w:cs="Arial"/>
        </w:rPr>
        <w:t xml:space="preserve">Acetaminophen-induced hepatotoxicity in mice occurs with inhibition of activity and nitration of mitochondrial manganese superoxide dismutase. </w:t>
      </w:r>
      <w:r w:rsidRPr="00FD122C">
        <w:rPr>
          <w:rFonts w:ascii="Arial" w:hAnsi="Arial" w:cs="Arial"/>
          <w:i/>
        </w:rPr>
        <w:t>The Journal of Pharmacology and Experimental Therapeutics</w:t>
      </w:r>
      <w:r w:rsidRPr="00FD122C">
        <w:rPr>
          <w:rFonts w:ascii="Arial" w:hAnsi="Arial" w:cs="Arial"/>
        </w:rPr>
        <w:t>,</w:t>
      </w:r>
      <w:r w:rsidR="003A5ECB" w:rsidRP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337(1)</w:t>
      </w:r>
      <w:r w:rsidR="003A5ECB">
        <w:rPr>
          <w:rFonts w:ascii="Arial" w:hAnsi="Arial" w:cs="Arial"/>
        </w:rPr>
        <w:t>:</w:t>
      </w:r>
      <w:r w:rsidRPr="00FD122C">
        <w:rPr>
          <w:rFonts w:ascii="Arial" w:hAnsi="Arial" w:cs="Arial"/>
        </w:rPr>
        <w:t xml:space="preserve"> 110–6. </w:t>
      </w:r>
    </w:p>
    <w:p w14:paraId="7E4C1690" w14:textId="73D7E17F" w:rsidR="00B06471" w:rsidRPr="00FD122C" w:rsidRDefault="00B06471" w:rsidP="00970A59">
      <w:pPr>
        <w:ind w:left="142" w:hanging="295"/>
        <w:jc w:val="both"/>
        <w:rPr>
          <w:rFonts w:ascii="Arial" w:hAnsi="Arial" w:cs="Arial"/>
        </w:rPr>
      </w:pPr>
      <w:r w:rsidRPr="00FD122C">
        <w:rPr>
          <w:rFonts w:ascii="Arial" w:hAnsi="Arial" w:cs="Arial"/>
        </w:rPr>
        <w:t>2.</w:t>
      </w:r>
      <w:r w:rsidR="008F2595">
        <w:rPr>
          <w:rFonts w:ascii="Arial" w:hAnsi="Arial" w:cs="Arial"/>
        </w:rPr>
        <w:t xml:space="preserve"> </w:t>
      </w:r>
      <w:r w:rsidRPr="00FD122C">
        <w:rPr>
          <w:rFonts w:ascii="Arial" w:hAnsi="Arial" w:cs="Arial"/>
        </w:rPr>
        <w:t xml:space="preserve">Chan, A. T., Manson, J. E., Albert, C. M., Chae, C. U., Rexrode, K. M., Curhan, G. C., Rimm, E. B., Willett, W. C. &amp; Fuchs, C. S. Non-steroidal antiinflammatory drugs, acetaminophen, and the risk of cardiovascular events. </w:t>
      </w:r>
      <w:r w:rsidRPr="00FD122C">
        <w:rPr>
          <w:rFonts w:ascii="Arial" w:hAnsi="Arial" w:cs="Arial"/>
          <w:i/>
        </w:rPr>
        <w:t>Circulation</w:t>
      </w:r>
      <w:r w:rsidRPr="00FD122C">
        <w:rPr>
          <w:rFonts w:ascii="Arial" w:hAnsi="Arial" w:cs="Arial"/>
        </w:rPr>
        <w:t>,</w:t>
      </w:r>
      <w:r w:rsidR="003A5ECB">
        <w:rPr>
          <w:rFonts w:ascii="Arial" w:hAnsi="Arial" w:cs="Arial"/>
        </w:rPr>
        <w:t xml:space="preserve"> </w:t>
      </w:r>
      <w:r w:rsidR="003A5ECB" w:rsidRPr="00FD122C">
        <w:rPr>
          <w:rFonts w:ascii="Arial" w:hAnsi="Arial" w:cs="Arial"/>
        </w:rPr>
        <w:t>2016</w:t>
      </w:r>
      <w:r w:rsidR="003A5ECB">
        <w:rPr>
          <w:rFonts w:ascii="Arial" w:hAnsi="Arial" w:cs="Arial"/>
        </w:rPr>
        <w:t>;</w:t>
      </w:r>
      <w:r w:rsidRPr="00FD122C">
        <w:rPr>
          <w:rFonts w:ascii="Arial" w:hAnsi="Arial" w:cs="Arial"/>
        </w:rPr>
        <w:t xml:space="preserve"> 113(12)</w:t>
      </w:r>
      <w:r w:rsidR="003A5ECB">
        <w:rPr>
          <w:rFonts w:ascii="Arial" w:hAnsi="Arial" w:cs="Arial"/>
        </w:rPr>
        <w:t>:</w:t>
      </w:r>
      <w:r w:rsidRPr="00FD122C">
        <w:rPr>
          <w:rFonts w:ascii="Arial" w:hAnsi="Arial" w:cs="Arial"/>
        </w:rPr>
        <w:t xml:space="preserve"> 1578–87. </w:t>
      </w:r>
    </w:p>
    <w:p w14:paraId="480AA014" w14:textId="1BF6F7FA" w:rsidR="00B06471" w:rsidRPr="00FD122C" w:rsidRDefault="00B06471" w:rsidP="00970A59">
      <w:pPr>
        <w:ind w:left="142" w:hanging="295"/>
        <w:jc w:val="both"/>
        <w:rPr>
          <w:rFonts w:ascii="Arial" w:hAnsi="Arial" w:cs="Arial"/>
        </w:rPr>
      </w:pPr>
      <w:r w:rsidRPr="00FD122C">
        <w:rPr>
          <w:rFonts w:ascii="Arial" w:hAnsi="Arial" w:cs="Arial"/>
        </w:rPr>
        <w:t>3.</w:t>
      </w:r>
      <w:r w:rsidR="008F2595">
        <w:rPr>
          <w:rFonts w:ascii="Arial" w:hAnsi="Arial" w:cs="Arial"/>
        </w:rPr>
        <w:t xml:space="preserve"> </w:t>
      </w:r>
      <w:r w:rsidRPr="00FD122C">
        <w:rPr>
          <w:rFonts w:ascii="Arial" w:hAnsi="Arial" w:cs="Arial"/>
        </w:rPr>
        <w:t xml:space="preserve">Blough, E. R. &amp; Wu, M. Acetaminophen: beyond pain and Fever-relieving. </w:t>
      </w:r>
      <w:r w:rsidRPr="00FD122C">
        <w:rPr>
          <w:rFonts w:ascii="Arial" w:hAnsi="Arial" w:cs="Arial"/>
          <w:i/>
        </w:rPr>
        <w:t>Frontiers in Pharmacology</w:t>
      </w:r>
      <w:r w:rsidRPr="00FD122C">
        <w:rPr>
          <w:rFonts w:ascii="Arial" w:hAnsi="Arial" w:cs="Arial"/>
        </w:rPr>
        <w:t>,</w:t>
      </w:r>
      <w:r w:rsidR="003A5ECB">
        <w:rPr>
          <w:rFonts w:ascii="Arial" w:hAnsi="Arial" w:cs="Arial"/>
        </w:rPr>
        <w:t xml:space="preserve"> </w:t>
      </w:r>
      <w:r w:rsidR="003A5ECB" w:rsidRPr="00FD122C">
        <w:rPr>
          <w:rFonts w:ascii="Arial" w:hAnsi="Arial" w:cs="Arial"/>
        </w:rPr>
        <w:t>2011</w:t>
      </w:r>
      <w:r w:rsidR="003A5ECB">
        <w:rPr>
          <w:rFonts w:ascii="Arial" w:hAnsi="Arial" w:cs="Arial"/>
        </w:rPr>
        <w:t>;</w:t>
      </w:r>
      <w:r w:rsidRPr="00FD122C">
        <w:rPr>
          <w:rFonts w:ascii="Arial" w:hAnsi="Arial" w:cs="Arial"/>
        </w:rPr>
        <w:t xml:space="preserve"> 2</w:t>
      </w:r>
      <w:r w:rsidR="003A5ECB">
        <w:rPr>
          <w:rFonts w:ascii="Arial" w:hAnsi="Arial" w:cs="Arial"/>
        </w:rPr>
        <w:t>:</w:t>
      </w:r>
      <w:r w:rsidRPr="00FD122C">
        <w:rPr>
          <w:rFonts w:ascii="Arial" w:hAnsi="Arial" w:cs="Arial"/>
        </w:rPr>
        <w:t xml:space="preserve"> 72-8.</w:t>
      </w:r>
    </w:p>
    <w:p w14:paraId="5AABEC37" w14:textId="7F2F38CA" w:rsidR="00B06471" w:rsidRPr="00FD122C" w:rsidRDefault="00B06471" w:rsidP="00970A59">
      <w:pPr>
        <w:ind w:left="142" w:hanging="295"/>
        <w:jc w:val="both"/>
        <w:rPr>
          <w:rFonts w:ascii="Arial" w:hAnsi="Arial" w:cs="Arial"/>
        </w:rPr>
      </w:pPr>
      <w:r w:rsidRPr="00FD122C">
        <w:rPr>
          <w:rFonts w:ascii="Arial" w:hAnsi="Arial" w:cs="Arial"/>
        </w:rPr>
        <w:t>4.</w:t>
      </w:r>
      <w:r w:rsidR="008F2595">
        <w:rPr>
          <w:rFonts w:ascii="Arial" w:hAnsi="Arial" w:cs="Arial"/>
        </w:rPr>
        <w:t xml:space="preserve"> </w:t>
      </w:r>
      <w:r w:rsidRPr="00FD122C">
        <w:rPr>
          <w:rFonts w:ascii="Arial" w:hAnsi="Arial" w:cs="Arial"/>
        </w:rPr>
        <w:t xml:space="preserve">Jaeschke, H., Williams, C. D., Ramachandran, A. &amp; Bajt, M. L. Acetaminophen hepatotoxicity and repair: The role of sterile inflammation and innate immunity. </w:t>
      </w:r>
      <w:r w:rsidRPr="00FD122C">
        <w:rPr>
          <w:rFonts w:ascii="Arial" w:hAnsi="Arial" w:cs="Arial"/>
          <w:i/>
        </w:rPr>
        <w:t>Journal of the International Association for the Study of the Liver</w:t>
      </w:r>
      <w:r w:rsidRPr="00FD122C">
        <w:rPr>
          <w:rFonts w:ascii="Arial" w:hAnsi="Arial" w:cs="Arial"/>
        </w:rPr>
        <w:t>,</w:t>
      </w:r>
      <w:r w:rsidR="003A5ECB">
        <w:rPr>
          <w:rFonts w:ascii="Arial" w:hAnsi="Arial" w:cs="Arial"/>
        </w:rPr>
        <w:t xml:space="preserve"> </w:t>
      </w:r>
      <w:r w:rsidR="003A5ECB" w:rsidRPr="00FD122C">
        <w:rPr>
          <w:rFonts w:ascii="Arial" w:hAnsi="Arial" w:cs="Arial"/>
        </w:rPr>
        <w:t>2022</w:t>
      </w:r>
      <w:r w:rsidR="003A5ECB">
        <w:rPr>
          <w:rFonts w:ascii="Arial" w:hAnsi="Arial" w:cs="Arial"/>
        </w:rPr>
        <w:t>;</w:t>
      </w:r>
      <w:r w:rsidRPr="00FD122C">
        <w:rPr>
          <w:rFonts w:ascii="Arial" w:hAnsi="Arial" w:cs="Arial"/>
        </w:rPr>
        <w:t xml:space="preserve"> 32(1)</w:t>
      </w:r>
      <w:r w:rsidR="003A5ECB">
        <w:rPr>
          <w:rFonts w:ascii="Arial" w:hAnsi="Arial" w:cs="Arial"/>
        </w:rPr>
        <w:t>:</w:t>
      </w:r>
      <w:r w:rsidRPr="00FD122C">
        <w:rPr>
          <w:rFonts w:ascii="Arial" w:hAnsi="Arial" w:cs="Arial"/>
        </w:rPr>
        <w:t xml:space="preserve"> 8–20. </w:t>
      </w:r>
    </w:p>
    <w:p w14:paraId="1091E8BA" w14:textId="3C407CE3" w:rsidR="00B06471" w:rsidRPr="00FD122C" w:rsidRDefault="00B06471" w:rsidP="00970A59">
      <w:pPr>
        <w:ind w:left="142" w:hanging="295"/>
        <w:jc w:val="both"/>
        <w:rPr>
          <w:rFonts w:ascii="Arial" w:hAnsi="Arial" w:cs="Arial"/>
        </w:rPr>
      </w:pPr>
      <w:r w:rsidRPr="00FD122C">
        <w:rPr>
          <w:rFonts w:ascii="Arial" w:hAnsi="Arial" w:cs="Arial"/>
        </w:rPr>
        <w:t>5.</w:t>
      </w:r>
      <w:r w:rsidR="008F2595">
        <w:rPr>
          <w:rFonts w:ascii="Arial" w:hAnsi="Arial" w:cs="Arial"/>
        </w:rPr>
        <w:t xml:space="preserve"> </w:t>
      </w:r>
      <w:r w:rsidRPr="00FD122C">
        <w:rPr>
          <w:rFonts w:ascii="Arial" w:hAnsi="Arial" w:cs="Arial"/>
        </w:rPr>
        <w:t xml:space="preserve">Oh, R. C., Hustead, T. R., Ali, S. M. &amp; Pantsari, M. W. Mildly elevated liver transaminase levels: Causes and evaluation. </w:t>
      </w:r>
      <w:r w:rsidRPr="00FD122C">
        <w:rPr>
          <w:rFonts w:ascii="Arial" w:hAnsi="Arial" w:cs="Arial"/>
          <w:i/>
        </w:rPr>
        <w:t>American Family Physician</w:t>
      </w:r>
      <w:r w:rsidRPr="00FD122C">
        <w:rPr>
          <w:rFonts w:ascii="Arial" w:hAnsi="Arial" w:cs="Arial"/>
        </w:rPr>
        <w:t>,</w:t>
      </w:r>
      <w:r w:rsidR="003A5ECB">
        <w:rPr>
          <w:rFonts w:ascii="Arial" w:hAnsi="Arial" w:cs="Arial"/>
        </w:rPr>
        <w:t xml:space="preserve"> </w:t>
      </w:r>
      <w:r w:rsidR="003A5ECB" w:rsidRPr="00FD122C">
        <w:rPr>
          <w:rFonts w:ascii="Arial" w:hAnsi="Arial" w:cs="Arial"/>
        </w:rPr>
        <w:t>2017</w:t>
      </w:r>
      <w:r w:rsidR="003A5ECB">
        <w:rPr>
          <w:rFonts w:ascii="Arial" w:hAnsi="Arial" w:cs="Arial"/>
        </w:rPr>
        <w:t>;</w:t>
      </w:r>
      <w:r w:rsidRPr="00FD122C">
        <w:rPr>
          <w:rFonts w:ascii="Arial" w:hAnsi="Arial" w:cs="Arial"/>
        </w:rPr>
        <w:t xml:space="preserve"> 96(11)</w:t>
      </w:r>
      <w:r w:rsidR="003A5ECB">
        <w:rPr>
          <w:rFonts w:ascii="Arial" w:hAnsi="Arial" w:cs="Arial"/>
        </w:rPr>
        <w:t xml:space="preserve">: </w:t>
      </w:r>
      <w:r w:rsidRPr="00FD122C">
        <w:rPr>
          <w:rFonts w:ascii="Arial" w:hAnsi="Arial" w:cs="Arial"/>
        </w:rPr>
        <w:t>709–15.</w:t>
      </w:r>
    </w:p>
    <w:p w14:paraId="4899ECE1" w14:textId="60525FF0" w:rsidR="00B06471" w:rsidRPr="00FD122C" w:rsidRDefault="00B06471" w:rsidP="00970A59">
      <w:pPr>
        <w:ind w:left="142" w:hanging="295"/>
        <w:jc w:val="both"/>
        <w:rPr>
          <w:rFonts w:ascii="Arial" w:hAnsi="Arial" w:cs="Arial"/>
        </w:rPr>
      </w:pPr>
      <w:r w:rsidRPr="00FD122C">
        <w:rPr>
          <w:rFonts w:ascii="Arial" w:hAnsi="Arial" w:cs="Arial"/>
        </w:rPr>
        <w:lastRenderedPageBreak/>
        <w:t>6.</w:t>
      </w:r>
      <w:r w:rsidR="008F2595">
        <w:rPr>
          <w:rFonts w:ascii="Arial" w:hAnsi="Arial" w:cs="Arial"/>
        </w:rPr>
        <w:t xml:space="preserve"> </w:t>
      </w:r>
      <w:r w:rsidRPr="00FD122C">
        <w:rPr>
          <w:rFonts w:ascii="Arial" w:hAnsi="Arial" w:cs="Arial"/>
        </w:rPr>
        <w:t xml:space="preserve">Ramachandran, A., Visschers, R. G. J., Duan, L., Akakpo, J. Y. &amp; Jaeschke, H.  Mitochondrial dysfunction as a mechanism of drug-induced hepatotoxicity: current understanding and future perspectives. </w:t>
      </w:r>
      <w:r w:rsidRPr="00FD122C">
        <w:rPr>
          <w:rFonts w:ascii="Arial" w:hAnsi="Arial" w:cs="Arial"/>
          <w:i/>
        </w:rPr>
        <w:t>Journal of Clinical and Translational Research</w:t>
      </w:r>
      <w:r w:rsidRPr="00FD122C">
        <w:rPr>
          <w:rFonts w:ascii="Arial" w:hAnsi="Arial" w:cs="Arial"/>
        </w:rPr>
        <w:t>,</w:t>
      </w:r>
      <w:r w:rsidR="003A5ECB">
        <w:rPr>
          <w:rFonts w:ascii="Arial" w:hAnsi="Arial" w:cs="Arial"/>
        </w:rPr>
        <w:t xml:space="preserve"> </w:t>
      </w:r>
      <w:r w:rsidR="003A5ECB" w:rsidRPr="00FD122C">
        <w:rPr>
          <w:rFonts w:ascii="Arial" w:hAnsi="Arial" w:cs="Arial"/>
        </w:rPr>
        <w:t>2018</w:t>
      </w:r>
      <w:r w:rsidR="003A5ECB">
        <w:rPr>
          <w:rFonts w:ascii="Arial" w:hAnsi="Arial" w:cs="Arial"/>
        </w:rPr>
        <w:t>;</w:t>
      </w:r>
      <w:r w:rsidRPr="00FD122C">
        <w:rPr>
          <w:rFonts w:ascii="Arial" w:hAnsi="Arial" w:cs="Arial"/>
        </w:rPr>
        <w:t xml:space="preserve"> 4(1)</w:t>
      </w:r>
      <w:r w:rsidR="003A5ECB">
        <w:rPr>
          <w:rFonts w:ascii="Arial" w:hAnsi="Arial" w:cs="Arial"/>
        </w:rPr>
        <w:t>:</w:t>
      </w:r>
      <w:r w:rsidRPr="00FD122C">
        <w:rPr>
          <w:rFonts w:ascii="Arial" w:hAnsi="Arial" w:cs="Arial"/>
        </w:rPr>
        <w:t xml:space="preserve"> 75–100. </w:t>
      </w:r>
    </w:p>
    <w:p w14:paraId="54214E40" w14:textId="7898ED7C" w:rsidR="00B06471" w:rsidRPr="00FD122C" w:rsidRDefault="00B06471" w:rsidP="00970A59">
      <w:pPr>
        <w:ind w:left="142" w:hanging="295"/>
        <w:jc w:val="both"/>
        <w:rPr>
          <w:rFonts w:ascii="Arial" w:hAnsi="Arial" w:cs="Arial"/>
        </w:rPr>
      </w:pPr>
      <w:r w:rsidRPr="00FD122C">
        <w:rPr>
          <w:rFonts w:ascii="Arial" w:hAnsi="Arial" w:cs="Arial"/>
        </w:rPr>
        <w:t>7.</w:t>
      </w:r>
      <w:r w:rsidR="008F2595">
        <w:rPr>
          <w:rFonts w:ascii="Arial" w:hAnsi="Arial" w:cs="Arial"/>
        </w:rPr>
        <w:t xml:space="preserve"> </w:t>
      </w:r>
      <w:r w:rsidRPr="00FD122C">
        <w:rPr>
          <w:rFonts w:ascii="Arial" w:hAnsi="Arial" w:cs="Arial"/>
        </w:rPr>
        <w:t xml:space="preserve">Shertzer, H. G., Kendig, E. L., Nasrallah, H. A., Johansson, E. &amp; Genter, M. B. Protection from olanzapine-induced metabolic toxicity in mice by acetaminophen and tetrahydroindenoindole. </w:t>
      </w:r>
      <w:r w:rsidRPr="00FD122C">
        <w:rPr>
          <w:rFonts w:ascii="Arial" w:hAnsi="Arial" w:cs="Arial"/>
          <w:i/>
        </w:rPr>
        <w:t>International Journal of Obesity</w:t>
      </w:r>
      <w:r w:rsidRPr="00FD122C">
        <w:rPr>
          <w:rFonts w:ascii="Arial" w:hAnsi="Arial" w:cs="Arial"/>
        </w:rPr>
        <w:t xml:space="preserve"> (2005),</w:t>
      </w:r>
      <w:r w:rsidR="003A5ECB">
        <w:rPr>
          <w:rFonts w:ascii="Arial" w:hAnsi="Arial" w:cs="Arial"/>
        </w:rPr>
        <w:t xml:space="preserve"> </w:t>
      </w:r>
      <w:r w:rsidR="003A5ECB" w:rsidRPr="00FD122C">
        <w:rPr>
          <w:rFonts w:ascii="Arial" w:hAnsi="Arial" w:cs="Arial"/>
        </w:rPr>
        <w:t>2010</w:t>
      </w:r>
      <w:r w:rsidR="003A5ECB">
        <w:rPr>
          <w:rFonts w:ascii="Arial" w:hAnsi="Arial" w:cs="Arial"/>
        </w:rPr>
        <w:t>;</w:t>
      </w:r>
      <w:r w:rsidRPr="00FD122C">
        <w:rPr>
          <w:rFonts w:ascii="Arial" w:hAnsi="Arial" w:cs="Arial"/>
        </w:rPr>
        <w:t xml:space="preserve"> 34(6)</w:t>
      </w:r>
      <w:r w:rsidR="003A5ECB">
        <w:rPr>
          <w:rFonts w:ascii="Arial" w:hAnsi="Arial" w:cs="Arial"/>
        </w:rPr>
        <w:t>:</w:t>
      </w:r>
      <w:r w:rsidRPr="00FD122C">
        <w:rPr>
          <w:rFonts w:ascii="Arial" w:hAnsi="Arial" w:cs="Arial"/>
        </w:rPr>
        <w:t xml:space="preserve"> 970–9. </w:t>
      </w:r>
    </w:p>
    <w:p w14:paraId="1CC3D747" w14:textId="4AC5D9A3" w:rsidR="00B06471" w:rsidRPr="00FD122C" w:rsidRDefault="00B06471" w:rsidP="00970A59">
      <w:pPr>
        <w:ind w:left="142" w:hanging="295"/>
        <w:jc w:val="both"/>
        <w:rPr>
          <w:rFonts w:ascii="Arial" w:hAnsi="Arial" w:cs="Arial"/>
        </w:rPr>
      </w:pPr>
      <w:r w:rsidRPr="00FD122C">
        <w:rPr>
          <w:rFonts w:ascii="Arial" w:hAnsi="Arial" w:cs="Arial"/>
        </w:rPr>
        <w:t>8.</w:t>
      </w:r>
      <w:r w:rsidR="008F2595">
        <w:rPr>
          <w:rFonts w:ascii="Arial" w:hAnsi="Arial" w:cs="Arial"/>
        </w:rPr>
        <w:t xml:space="preserve"> </w:t>
      </w:r>
      <w:r w:rsidRPr="00FD122C">
        <w:rPr>
          <w:rFonts w:ascii="Arial" w:hAnsi="Arial" w:cs="Arial"/>
        </w:rPr>
        <w:t>Ramachandran, A., Lebofsky, M., Weinman, S. A. &amp; Jaeschke, H. The impact of partial manganese superoxide dismutase (SOD2)-deficiency on mitochondrial oxidant stress, DNA fragmentation and liver injury during acetaminophen hepatotoxicity</w:t>
      </w:r>
      <w:r w:rsidRPr="00FD122C">
        <w:rPr>
          <w:rFonts w:ascii="Arial" w:hAnsi="Arial" w:cs="Arial"/>
          <w:i/>
        </w:rPr>
        <w:t>. Toxicology and Applied Pharmacology</w:t>
      </w:r>
      <w:r w:rsidRPr="00FD122C">
        <w:rPr>
          <w:rFonts w:ascii="Arial" w:hAnsi="Arial" w:cs="Arial"/>
        </w:rPr>
        <w:t>,</w:t>
      </w:r>
      <w:r w:rsidR="00112444">
        <w:rPr>
          <w:rFonts w:ascii="Arial" w:hAnsi="Arial" w:cs="Arial"/>
        </w:rPr>
        <w:t xml:space="preserve"> </w:t>
      </w:r>
      <w:r w:rsidR="00112444" w:rsidRPr="00FD122C">
        <w:rPr>
          <w:rFonts w:ascii="Arial" w:hAnsi="Arial" w:cs="Arial"/>
        </w:rPr>
        <w:t>2011</w:t>
      </w:r>
      <w:r w:rsidR="00D36094">
        <w:rPr>
          <w:rFonts w:ascii="Arial" w:hAnsi="Arial" w:cs="Arial"/>
        </w:rPr>
        <w:t>;</w:t>
      </w:r>
      <w:r w:rsidRPr="00FD122C">
        <w:rPr>
          <w:rFonts w:ascii="Arial" w:hAnsi="Arial" w:cs="Arial"/>
        </w:rPr>
        <w:t xml:space="preserve"> 251(3)</w:t>
      </w:r>
      <w:r w:rsidR="00D36094">
        <w:rPr>
          <w:rFonts w:ascii="Arial" w:hAnsi="Arial" w:cs="Arial"/>
        </w:rPr>
        <w:t>:</w:t>
      </w:r>
      <w:r w:rsidRPr="00FD122C">
        <w:rPr>
          <w:rFonts w:ascii="Arial" w:hAnsi="Arial" w:cs="Arial"/>
        </w:rPr>
        <w:t xml:space="preserve"> 226–33</w:t>
      </w:r>
    </w:p>
    <w:p w14:paraId="20267318" w14:textId="085E79C4" w:rsidR="00B06471" w:rsidRPr="00FD122C" w:rsidRDefault="00B06471" w:rsidP="00970A59">
      <w:pPr>
        <w:ind w:left="142" w:hanging="295"/>
        <w:jc w:val="both"/>
        <w:rPr>
          <w:rFonts w:ascii="Arial" w:hAnsi="Arial" w:cs="Arial"/>
        </w:rPr>
      </w:pPr>
      <w:r w:rsidRPr="00FD122C">
        <w:rPr>
          <w:rFonts w:ascii="Arial" w:hAnsi="Arial" w:cs="Arial"/>
        </w:rPr>
        <w:t>9.</w:t>
      </w:r>
      <w:r w:rsidR="008F2595">
        <w:rPr>
          <w:rFonts w:ascii="Arial" w:hAnsi="Arial" w:cs="Arial"/>
        </w:rPr>
        <w:t xml:space="preserve"> </w:t>
      </w:r>
      <w:r w:rsidRPr="00FD122C">
        <w:rPr>
          <w:rFonts w:ascii="Arial" w:hAnsi="Arial" w:cs="Arial"/>
        </w:rPr>
        <w:t xml:space="preserve">Zellner, T., Prasa, D., Färber, E., Hoffmann-Walbeck, P., Genser, D. &amp; Eyer, F.  The use of activated charcoal to treat intoxications. </w:t>
      </w:r>
      <w:r w:rsidRPr="00FD122C">
        <w:rPr>
          <w:rFonts w:ascii="Arial" w:hAnsi="Arial" w:cs="Arial"/>
          <w:i/>
        </w:rPr>
        <w:t>Deutsches Arzteblatt International</w:t>
      </w:r>
      <w:r w:rsidRPr="00FD122C">
        <w:rPr>
          <w:rFonts w:ascii="Arial" w:hAnsi="Arial" w:cs="Arial"/>
        </w:rPr>
        <w:t>,</w:t>
      </w:r>
      <w:r w:rsidR="00D36094">
        <w:rPr>
          <w:rFonts w:ascii="Arial" w:hAnsi="Arial" w:cs="Arial"/>
        </w:rPr>
        <w:t xml:space="preserve"> </w:t>
      </w:r>
      <w:r w:rsidR="00D36094" w:rsidRPr="00FD122C">
        <w:rPr>
          <w:rFonts w:ascii="Arial" w:hAnsi="Arial" w:cs="Arial"/>
        </w:rPr>
        <w:t>2019</w:t>
      </w:r>
      <w:r w:rsidR="00D36094">
        <w:rPr>
          <w:rFonts w:ascii="Arial" w:hAnsi="Arial" w:cs="Arial"/>
        </w:rPr>
        <w:t>;</w:t>
      </w:r>
      <w:r w:rsidRPr="00FD122C">
        <w:rPr>
          <w:rFonts w:ascii="Arial" w:hAnsi="Arial" w:cs="Arial"/>
        </w:rPr>
        <w:t xml:space="preserve"> 116(18)</w:t>
      </w:r>
      <w:r w:rsidR="00D36094">
        <w:rPr>
          <w:rFonts w:ascii="Arial" w:hAnsi="Arial" w:cs="Arial"/>
        </w:rPr>
        <w:t>:</w:t>
      </w:r>
      <w:r w:rsidRPr="00FD122C">
        <w:rPr>
          <w:rFonts w:ascii="Arial" w:hAnsi="Arial" w:cs="Arial"/>
        </w:rPr>
        <w:t xml:space="preserve"> 311–7. </w:t>
      </w:r>
    </w:p>
    <w:p w14:paraId="7E1A3150" w14:textId="77777777" w:rsidR="00B06471" w:rsidRPr="00FD122C" w:rsidRDefault="00B06471" w:rsidP="00970A59">
      <w:pPr>
        <w:ind w:left="142" w:hanging="295"/>
        <w:jc w:val="both"/>
        <w:rPr>
          <w:rFonts w:ascii="Arial" w:hAnsi="Arial" w:cs="Arial"/>
        </w:rPr>
      </w:pPr>
    </w:p>
    <w:p w14:paraId="4DE2C2D9" w14:textId="2B5DF73B" w:rsidR="00B06471" w:rsidRPr="00FD122C" w:rsidRDefault="00B06471" w:rsidP="00970A59">
      <w:pPr>
        <w:ind w:left="142" w:hanging="295"/>
        <w:jc w:val="both"/>
        <w:rPr>
          <w:rFonts w:ascii="Arial" w:hAnsi="Arial" w:cs="Arial"/>
        </w:rPr>
      </w:pPr>
      <w:r w:rsidRPr="00FD122C">
        <w:rPr>
          <w:rFonts w:ascii="Arial" w:hAnsi="Arial" w:cs="Arial"/>
        </w:rPr>
        <w:t>10.</w:t>
      </w:r>
      <w:r w:rsidR="008F2595">
        <w:rPr>
          <w:rFonts w:ascii="Arial" w:hAnsi="Arial" w:cs="Arial"/>
        </w:rPr>
        <w:t xml:space="preserve"> </w:t>
      </w:r>
      <w:r w:rsidRPr="00FD122C">
        <w:rPr>
          <w:rFonts w:ascii="Arial" w:hAnsi="Arial" w:cs="Arial"/>
        </w:rPr>
        <w:t xml:space="preserve">Silberman, J., Galuska, M. A. &amp; Alan Taylor, A. </w:t>
      </w:r>
      <w:r w:rsidRPr="00FD122C">
        <w:rPr>
          <w:rFonts w:ascii="Arial" w:hAnsi="Arial" w:cs="Arial"/>
          <w:i/>
        </w:rPr>
        <w:t>Charcoal</w:t>
      </w:r>
      <w:r w:rsidRPr="00FD122C">
        <w:rPr>
          <w:rFonts w:ascii="Arial" w:hAnsi="Arial" w:cs="Arial"/>
        </w:rPr>
        <w:t>. Florida, USA: StatPearls Publishing</w:t>
      </w:r>
      <w:r w:rsidR="00E051E1">
        <w:rPr>
          <w:rFonts w:ascii="Arial" w:hAnsi="Arial" w:cs="Arial"/>
        </w:rPr>
        <w:t xml:space="preserve">, </w:t>
      </w:r>
      <w:r w:rsidR="00E051E1" w:rsidRPr="00FD122C">
        <w:rPr>
          <w:rFonts w:ascii="Arial" w:hAnsi="Arial" w:cs="Arial"/>
        </w:rPr>
        <w:t>2023</w:t>
      </w:r>
      <w:r w:rsidRPr="00FD122C">
        <w:rPr>
          <w:rFonts w:ascii="Arial" w:hAnsi="Arial" w:cs="Arial"/>
        </w:rPr>
        <w:t>.</w:t>
      </w:r>
    </w:p>
    <w:p w14:paraId="0F59D12E" w14:textId="6C632312" w:rsidR="00B06471" w:rsidRPr="00FD122C" w:rsidRDefault="00B06471" w:rsidP="00970A59">
      <w:pPr>
        <w:ind w:left="142" w:hanging="295"/>
        <w:jc w:val="both"/>
        <w:rPr>
          <w:rFonts w:ascii="Arial" w:hAnsi="Arial" w:cs="Arial"/>
        </w:rPr>
      </w:pPr>
      <w:r w:rsidRPr="00FD122C">
        <w:rPr>
          <w:rFonts w:ascii="Arial" w:hAnsi="Arial" w:cs="Arial"/>
        </w:rPr>
        <w:t>11.</w:t>
      </w:r>
      <w:r w:rsidR="008F2595">
        <w:rPr>
          <w:rFonts w:ascii="Arial" w:hAnsi="Arial" w:cs="Arial"/>
        </w:rPr>
        <w:t xml:space="preserve"> </w:t>
      </w:r>
      <w:r w:rsidRPr="00FD122C">
        <w:rPr>
          <w:rFonts w:ascii="Arial" w:hAnsi="Arial" w:cs="Arial"/>
        </w:rPr>
        <w:t xml:space="preserve">Isoardi, K. Z., Henry, C., Harris, K. &amp; Isbister, G. K. Activated Charcoal and Bicarbonate for Aspirin Toxicity: a Retrospective Series. </w:t>
      </w:r>
      <w:r w:rsidRPr="00FD122C">
        <w:rPr>
          <w:rFonts w:ascii="Arial" w:hAnsi="Arial" w:cs="Arial"/>
          <w:i/>
        </w:rPr>
        <w:t>Journal of Medical Toxicology</w:t>
      </w:r>
      <w:r w:rsidRPr="00FD122C">
        <w:rPr>
          <w:rFonts w:ascii="Arial" w:hAnsi="Arial" w:cs="Arial"/>
        </w:rPr>
        <w:t>,</w:t>
      </w:r>
      <w:r w:rsidR="00E051E1">
        <w:rPr>
          <w:rFonts w:ascii="Arial" w:hAnsi="Arial" w:cs="Arial"/>
        </w:rPr>
        <w:t xml:space="preserve"> </w:t>
      </w:r>
      <w:r w:rsidR="00E051E1" w:rsidRPr="00FD122C">
        <w:rPr>
          <w:rFonts w:ascii="Arial" w:hAnsi="Arial" w:cs="Arial"/>
        </w:rPr>
        <w:t>2022</w:t>
      </w:r>
      <w:r w:rsidR="00E051E1">
        <w:rPr>
          <w:rFonts w:ascii="Arial" w:hAnsi="Arial" w:cs="Arial"/>
        </w:rPr>
        <w:t>;</w:t>
      </w:r>
      <w:r w:rsidRPr="00FD122C">
        <w:rPr>
          <w:rFonts w:ascii="Arial" w:hAnsi="Arial" w:cs="Arial"/>
        </w:rPr>
        <w:t xml:space="preserve"> 18(1)</w:t>
      </w:r>
      <w:r w:rsidR="00E051E1">
        <w:rPr>
          <w:rFonts w:ascii="Arial" w:hAnsi="Arial" w:cs="Arial"/>
        </w:rPr>
        <w:t>:</w:t>
      </w:r>
      <w:r w:rsidRPr="00FD122C">
        <w:rPr>
          <w:rFonts w:ascii="Arial" w:hAnsi="Arial" w:cs="Arial"/>
        </w:rPr>
        <w:t xml:space="preserve"> 30–7. </w:t>
      </w:r>
    </w:p>
    <w:p w14:paraId="03BA9D18" w14:textId="36C9B7EC" w:rsidR="00B06471" w:rsidRPr="00FD122C" w:rsidRDefault="00B06471" w:rsidP="00970A59">
      <w:pPr>
        <w:ind w:left="142" w:hanging="295"/>
        <w:jc w:val="both"/>
        <w:rPr>
          <w:rFonts w:ascii="Arial" w:hAnsi="Arial" w:cs="Arial"/>
        </w:rPr>
      </w:pPr>
      <w:r w:rsidRPr="00FD122C">
        <w:rPr>
          <w:rFonts w:ascii="Arial" w:hAnsi="Arial" w:cs="Arial"/>
        </w:rPr>
        <w:t>12.</w:t>
      </w:r>
      <w:r w:rsidR="008F2595">
        <w:rPr>
          <w:rFonts w:ascii="Arial" w:hAnsi="Arial" w:cs="Arial"/>
        </w:rPr>
        <w:t xml:space="preserve"> </w:t>
      </w:r>
      <w:r w:rsidRPr="00FD122C">
        <w:rPr>
          <w:rFonts w:ascii="Arial" w:hAnsi="Arial" w:cs="Arial"/>
        </w:rPr>
        <w:t>Samarghandian, S., Farkhondeh, T. &amp; Samini, F. Honey and health: A review of recent clinical research</w:t>
      </w:r>
      <w:r w:rsidRPr="00FD122C">
        <w:rPr>
          <w:rFonts w:ascii="Arial" w:hAnsi="Arial" w:cs="Arial"/>
          <w:i/>
        </w:rPr>
        <w:t>. Pharmacognosy Research</w:t>
      </w:r>
      <w:r w:rsidRPr="00FD122C">
        <w:rPr>
          <w:rFonts w:ascii="Arial" w:hAnsi="Arial" w:cs="Arial"/>
        </w:rPr>
        <w:t>,</w:t>
      </w:r>
      <w:r w:rsidR="00E051E1">
        <w:rPr>
          <w:rFonts w:ascii="Arial" w:hAnsi="Arial" w:cs="Arial"/>
        </w:rPr>
        <w:t xml:space="preserve"> </w:t>
      </w:r>
      <w:r w:rsidR="00E051E1" w:rsidRPr="00FD122C">
        <w:rPr>
          <w:rFonts w:ascii="Arial" w:hAnsi="Arial" w:cs="Arial"/>
        </w:rPr>
        <w:t>2017</w:t>
      </w:r>
      <w:r w:rsidR="00E051E1">
        <w:rPr>
          <w:rFonts w:ascii="Arial" w:hAnsi="Arial" w:cs="Arial"/>
        </w:rPr>
        <w:t>;</w:t>
      </w:r>
      <w:r w:rsidRPr="00FD122C">
        <w:rPr>
          <w:rFonts w:ascii="Arial" w:hAnsi="Arial" w:cs="Arial"/>
        </w:rPr>
        <w:t xml:space="preserve"> 9(2)</w:t>
      </w:r>
      <w:r w:rsidR="00E051E1">
        <w:rPr>
          <w:rFonts w:ascii="Arial" w:hAnsi="Arial" w:cs="Arial"/>
        </w:rPr>
        <w:t>:</w:t>
      </w:r>
      <w:r w:rsidRPr="00FD122C">
        <w:rPr>
          <w:rFonts w:ascii="Arial" w:hAnsi="Arial" w:cs="Arial"/>
        </w:rPr>
        <w:t xml:space="preserve"> 121–7.</w:t>
      </w:r>
    </w:p>
    <w:p w14:paraId="29294ADB" w14:textId="4BC845EF" w:rsidR="00B06471" w:rsidRPr="00FD122C" w:rsidRDefault="00B06471" w:rsidP="00970A59">
      <w:pPr>
        <w:ind w:left="142" w:hanging="295"/>
        <w:jc w:val="both"/>
        <w:rPr>
          <w:rFonts w:ascii="Arial" w:hAnsi="Arial" w:cs="Arial"/>
        </w:rPr>
      </w:pPr>
      <w:r w:rsidRPr="00FD122C">
        <w:rPr>
          <w:rFonts w:ascii="Arial" w:hAnsi="Arial" w:cs="Arial"/>
        </w:rPr>
        <w:t>13.</w:t>
      </w:r>
      <w:r w:rsidR="008F2595">
        <w:rPr>
          <w:rFonts w:ascii="Arial" w:hAnsi="Arial" w:cs="Arial"/>
        </w:rPr>
        <w:t xml:space="preserve"> </w:t>
      </w:r>
      <w:r w:rsidRPr="00FD122C">
        <w:rPr>
          <w:rFonts w:ascii="Arial" w:hAnsi="Arial" w:cs="Arial"/>
        </w:rPr>
        <w:t xml:space="preserve">Baines, C. P. &amp; Gutiérrez-Aguilar, M. The still uncertain identity of the channel-forming unit(s) of the mitochondrial permeability transition pore. </w:t>
      </w:r>
      <w:r w:rsidRPr="00FD122C">
        <w:rPr>
          <w:rFonts w:ascii="Arial" w:hAnsi="Arial" w:cs="Arial"/>
          <w:i/>
        </w:rPr>
        <w:t>Cell Calcium</w:t>
      </w:r>
      <w:r w:rsidRPr="00FD122C">
        <w:rPr>
          <w:rFonts w:ascii="Arial" w:hAnsi="Arial" w:cs="Arial"/>
        </w:rPr>
        <w:t>,</w:t>
      </w:r>
      <w:r w:rsidR="00E051E1">
        <w:rPr>
          <w:rFonts w:ascii="Arial" w:hAnsi="Arial" w:cs="Arial"/>
        </w:rPr>
        <w:t xml:space="preserve"> </w:t>
      </w:r>
      <w:r w:rsidR="00E051E1" w:rsidRPr="00FD122C">
        <w:rPr>
          <w:rFonts w:ascii="Arial" w:hAnsi="Arial" w:cs="Arial"/>
        </w:rPr>
        <w:t>2018</w:t>
      </w:r>
      <w:r w:rsidR="00E051E1">
        <w:rPr>
          <w:rFonts w:ascii="Arial" w:hAnsi="Arial" w:cs="Arial"/>
        </w:rPr>
        <w:t>;</w:t>
      </w:r>
      <w:r w:rsidRPr="00FD122C">
        <w:rPr>
          <w:rFonts w:ascii="Arial" w:hAnsi="Arial" w:cs="Arial"/>
        </w:rPr>
        <w:t xml:space="preserve"> 73</w:t>
      </w:r>
      <w:r w:rsidR="00E051E1">
        <w:rPr>
          <w:rFonts w:ascii="Arial" w:hAnsi="Arial" w:cs="Arial"/>
        </w:rPr>
        <w:t>:</w:t>
      </w:r>
      <w:r w:rsidRPr="00FD122C">
        <w:rPr>
          <w:rFonts w:ascii="Arial" w:hAnsi="Arial" w:cs="Arial"/>
        </w:rPr>
        <w:t xml:space="preserve"> 121–30.</w:t>
      </w:r>
    </w:p>
    <w:p w14:paraId="302982AF" w14:textId="6F893B85" w:rsidR="00B06471" w:rsidRPr="00FD122C" w:rsidRDefault="00B06471" w:rsidP="00970A59">
      <w:pPr>
        <w:ind w:left="142" w:hanging="295"/>
        <w:jc w:val="both"/>
        <w:rPr>
          <w:rFonts w:ascii="Arial" w:hAnsi="Arial" w:cs="Arial"/>
        </w:rPr>
      </w:pPr>
      <w:r w:rsidRPr="00FD122C">
        <w:rPr>
          <w:rFonts w:ascii="Arial" w:hAnsi="Arial" w:cs="Arial"/>
        </w:rPr>
        <w:t>14.</w:t>
      </w:r>
      <w:r w:rsidR="008F2595">
        <w:rPr>
          <w:rFonts w:ascii="Arial" w:hAnsi="Arial" w:cs="Arial"/>
        </w:rPr>
        <w:t xml:space="preserve"> </w:t>
      </w:r>
      <w:r w:rsidRPr="00FD122C">
        <w:rPr>
          <w:rFonts w:ascii="Arial" w:hAnsi="Arial" w:cs="Arial"/>
        </w:rPr>
        <w:t xml:space="preserve">Harding, J. R. &amp; Keyser, J. W. Bromocresol Green as a Reagent for Serum Albumin. </w:t>
      </w:r>
      <w:r w:rsidRPr="00FD122C">
        <w:rPr>
          <w:rFonts w:ascii="Arial" w:hAnsi="Arial" w:cs="Arial"/>
          <w:i/>
        </w:rPr>
        <w:t>International Journal of Laboratory Medicine</w:t>
      </w:r>
      <w:r w:rsidRPr="00FD122C">
        <w:rPr>
          <w:rFonts w:ascii="Arial" w:hAnsi="Arial" w:cs="Arial"/>
        </w:rPr>
        <w:t>,</w:t>
      </w:r>
      <w:r w:rsidR="00E051E1">
        <w:rPr>
          <w:rFonts w:ascii="Arial" w:hAnsi="Arial" w:cs="Arial"/>
        </w:rPr>
        <w:t xml:space="preserve"> </w:t>
      </w:r>
      <w:r w:rsidR="00E051E1" w:rsidRPr="00FD122C">
        <w:rPr>
          <w:rFonts w:ascii="Arial" w:hAnsi="Arial" w:cs="Arial"/>
        </w:rPr>
        <w:t>1968</w:t>
      </w:r>
      <w:r w:rsidR="00E051E1">
        <w:rPr>
          <w:rFonts w:ascii="Arial" w:hAnsi="Arial" w:cs="Arial"/>
        </w:rPr>
        <w:t>;</w:t>
      </w:r>
      <w:r w:rsidRPr="00FD122C">
        <w:rPr>
          <w:rFonts w:ascii="Arial" w:hAnsi="Arial" w:cs="Arial"/>
        </w:rPr>
        <w:t xml:space="preserve"> 5(2)</w:t>
      </w:r>
      <w:r w:rsidR="00E051E1">
        <w:rPr>
          <w:rFonts w:ascii="Arial" w:hAnsi="Arial" w:cs="Arial"/>
        </w:rPr>
        <w:t>:</w:t>
      </w:r>
      <w:r w:rsidRPr="00FD122C">
        <w:rPr>
          <w:rFonts w:ascii="Arial" w:hAnsi="Arial" w:cs="Arial"/>
        </w:rPr>
        <w:t xml:space="preserve"> 33-4.</w:t>
      </w:r>
    </w:p>
    <w:p w14:paraId="43874638" w14:textId="6D9AB8C3" w:rsidR="00B06471" w:rsidRPr="00FD122C" w:rsidRDefault="00B06471" w:rsidP="00970A59">
      <w:pPr>
        <w:ind w:left="142" w:hanging="295"/>
        <w:jc w:val="both"/>
        <w:rPr>
          <w:rFonts w:ascii="Arial" w:hAnsi="Arial" w:cs="Arial"/>
        </w:rPr>
      </w:pPr>
      <w:r w:rsidRPr="00FD122C">
        <w:rPr>
          <w:rFonts w:ascii="Arial" w:hAnsi="Arial" w:cs="Arial"/>
        </w:rPr>
        <w:t>15.</w:t>
      </w:r>
      <w:r w:rsidR="008F2595">
        <w:rPr>
          <w:rFonts w:ascii="Arial" w:hAnsi="Arial" w:cs="Arial"/>
        </w:rPr>
        <w:t xml:space="preserve"> </w:t>
      </w:r>
      <w:r w:rsidRPr="00FD122C">
        <w:rPr>
          <w:rFonts w:ascii="Arial" w:hAnsi="Arial" w:cs="Arial"/>
        </w:rPr>
        <w:t xml:space="preserve">Poon, P. K. A Jendrassik-Grof method modified to eliminate haemoglobin interference with assay of total serum bilirubin. </w:t>
      </w:r>
      <w:r w:rsidRPr="00FD122C">
        <w:rPr>
          <w:rFonts w:ascii="Arial" w:hAnsi="Arial" w:cs="Arial"/>
          <w:i/>
        </w:rPr>
        <w:t>Clinical Chemistry</w:t>
      </w:r>
      <w:r w:rsidRPr="00FD122C">
        <w:rPr>
          <w:rFonts w:ascii="Arial" w:hAnsi="Arial" w:cs="Arial"/>
        </w:rPr>
        <w:t>,</w:t>
      </w:r>
      <w:r w:rsidR="00E93A9F">
        <w:rPr>
          <w:rFonts w:ascii="Arial" w:hAnsi="Arial" w:cs="Arial"/>
        </w:rPr>
        <w:t xml:space="preserve"> </w:t>
      </w:r>
      <w:r w:rsidR="00E93A9F" w:rsidRPr="00FD122C">
        <w:rPr>
          <w:rFonts w:ascii="Arial" w:hAnsi="Arial" w:cs="Arial"/>
        </w:rPr>
        <w:t>1981</w:t>
      </w:r>
      <w:r w:rsidR="00E93A9F">
        <w:rPr>
          <w:rFonts w:ascii="Arial" w:hAnsi="Arial" w:cs="Arial"/>
        </w:rPr>
        <w:t>;</w:t>
      </w:r>
      <w:r w:rsidRPr="00FD122C">
        <w:rPr>
          <w:rFonts w:ascii="Arial" w:hAnsi="Arial" w:cs="Arial"/>
        </w:rPr>
        <w:t xml:space="preserve"> 27(4)</w:t>
      </w:r>
      <w:r w:rsidR="00E93A9F">
        <w:rPr>
          <w:rFonts w:ascii="Arial" w:hAnsi="Arial" w:cs="Arial"/>
        </w:rPr>
        <w:t>:</w:t>
      </w:r>
      <w:r w:rsidRPr="00FD122C">
        <w:rPr>
          <w:rFonts w:ascii="Arial" w:hAnsi="Arial" w:cs="Arial"/>
        </w:rPr>
        <w:t xml:space="preserve"> 636–7.</w:t>
      </w:r>
    </w:p>
    <w:p w14:paraId="379DB999" w14:textId="5F767B0C" w:rsidR="00B06471" w:rsidRPr="00FD122C" w:rsidRDefault="00B06471" w:rsidP="00970A59">
      <w:pPr>
        <w:ind w:left="142" w:hanging="295"/>
        <w:jc w:val="both"/>
        <w:rPr>
          <w:rFonts w:ascii="Arial" w:hAnsi="Arial" w:cs="Arial"/>
        </w:rPr>
      </w:pPr>
      <w:r w:rsidRPr="00FD122C">
        <w:rPr>
          <w:rFonts w:ascii="Arial" w:hAnsi="Arial" w:cs="Arial"/>
        </w:rPr>
        <w:t>16.</w:t>
      </w:r>
      <w:r w:rsidR="008F2595">
        <w:rPr>
          <w:rFonts w:ascii="Arial" w:hAnsi="Arial" w:cs="Arial"/>
        </w:rPr>
        <w:t xml:space="preserve"> </w:t>
      </w:r>
      <w:r w:rsidRPr="00FD122C">
        <w:rPr>
          <w:rFonts w:ascii="Arial" w:hAnsi="Arial" w:cs="Arial"/>
        </w:rPr>
        <w:t xml:space="preserve">Neumann, H. &amp; Vreedendaal, V. An improved alkaline phosphatase determination with p-nitrophenyl phosphate. </w:t>
      </w:r>
      <w:r w:rsidRPr="00FD122C">
        <w:rPr>
          <w:rFonts w:ascii="Arial" w:hAnsi="Arial" w:cs="Arial"/>
          <w:i/>
        </w:rPr>
        <w:t>Clinica Chimica Acta</w:t>
      </w:r>
      <w:r w:rsidRPr="00FD122C">
        <w:rPr>
          <w:rFonts w:ascii="Arial" w:hAnsi="Arial" w:cs="Arial"/>
        </w:rPr>
        <w:t>,</w:t>
      </w:r>
      <w:r w:rsidR="00E93A9F">
        <w:rPr>
          <w:rFonts w:ascii="Arial" w:hAnsi="Arial" w:cs="Arial"/>
        </w:rPr>
        <w:t xml:space="preserve"> </w:t>
      </w:r>
      <w:r w:rsidR="00E93A9F" w:rsidRPr="00FD122C">
        <w:rPr>
          <w:rFonts w:ascii="Arial" w:hAnsi="Arial" w:cs="Arial"/>
        </w:rPr>
        <w:t>1967</w:t>
      </w:r>
      <w:r w:rsidR="00E93A9F">
        <w:rPr>
          <w:rFonts w:ascii="Arial" w:hAnsi="Arial" w:cs="Arial"/>
        </w:rPr>
        <w:t>;</w:t>
      </w:r>
      <w:r w:rsidRPr="00FD122C">
        <w:rPr>
          <w:rFonts w:ascii="Arial" w:hAnsi="Arial" w:cs="Arial"/>
        </w:rPr>
        <w:t xml:space="preserve"> 17(2)</w:t>
      </w:r>
      <w:r w:rsidR="00E93A9F">
        <w:rPr>
          <w:rFonts w:ascii="Arial" w:hAnsi="Arial" w:cs="Arial"/>
        </w:rPr>
        <w:t>:</w:t>
      </w:r>
      <w:r w:rsidRPr="00FD122C">
        <w:rPr>
          <w:rFonts w:ascii="Arial" w:hAnsi="Arial" w:cs="Arial"/>
        </w:rPr>
        <w:t xml:space="preserve"> 183-7.</w:t>
      </w:r>
    </w:p>
    <w:p w14:paraId="38E5E199" w14:textId="2D21BB43" w:rsidR="00B06471" w:rsidRPr="00FD122C" w:rsidRDefault="00B06471" w:rsidP="00970A59">
      <w:pPr>
        <w:ind w:left="142" w:hanging="295"/>
        <w:jc w:val="both"/>
        <w:rPr>
          <w:rFonts w:ascii="Arial" w:hAnsi="Arial" w:cs="Arial"/>
        </w:rPr>
      </w:pPr>
      <w:r w:rsidRPr="00FD122C">
        <w:rPr>
          <w:rFonts w:ascii="Arial" w:hAnsi="Arial" w:cs="Arial"/>
        </w:rPr>
        <w:t>17.</w:t>
      </w:r>
      <w:r w:rsidR="008F2595">
        <w:rPr>
          <w:rFonts w:ascii="Arial" w:hAnsi="Arial" w:cs="Arial"/>
        </w:rPr>
        <w:t xml:space="preserve"> </w:t>
      </w:r>
      <w:r w:rsidRPr="00FD122C">
        <w:rPr>
          <w:rFonts w:ascii="Arial" w:hAnsi="Arial" w:cs="Arial"/>
        </w:rPr>
        <w:t xml:space="preserve">Reitman, S. &amp; Frankel, S. A colorimetric method for the determination of serum glutamic oxalacetic and glutamic pyruvic transaminases. </w:t>
      </w:r>
      <w:r w:rsidRPr="00FD122C">
        <w:rPr>
          <w:rFonts w:ascii="Arial" w:hAnsi="Arial" w:cs="Arial"/>
          <w:i/>
        </w:rPr>
        <w:t>American Journal of Clinical Pathology</w:t>
      </w:r>
      <w:r w:rsidRPr="00FD122C">
        <w:rPr>
          <w:rFonts w:ascii="Arial" w:hAnsi="Arial" w:cs="Arial"/>
        </w:rPr>
        <w:t>,</w:t>
      </w:r>
      <w:r w:rsidR="00E93A9F">
        <w:rPr>
          <w:rFonts w:ascii="Arial" w:hAnsi="Arial" w:cs="Arial"/>
        </w:rPr>
        <w:t xml:space="preserve"> </w:t>
      </w:r>
      <w:r w:rsidR="00E93A9F" w:rsidRPr="00FD122C">
        <w:rPr>
          <w:rFonts w:ascii="Arial" w:hAnsi="Arial" w:cs="Arial"/>
        </w:rPr>
        <w:t>1957</w:t>
      </w:r>
      <w:r w:rsidR="00E93A9F">
        <w:rPr>
          <w:rFonts w:ascii="Arial" w:hAnsi="Arial" w:cs="Arial"/>
        </w:rPr>
        <w:t>;</w:t>
      </w:r>
      <w:r w:rsidRPr="00FD122C">
        <w:rPr>
          <w:rFonts w:ascii="Arial" w:hAnsi="Arial" w:cs="Arial"/>
        </w:rPr>
        <w:t xml:space="preserve"> 28(1)</w:t>
      </w:r>
      <w:r w:rsidR="00E93A9F">
        <w:rPr>
          <w:rFonts w:ascii="Arial" w:hAnsi="Arial" w:cs="Arial"/>
        </w:rPr>
        <w:t>:</w:t>
      </w:r>
      <w:r w:rsidRPr="00FD122C">
        <w:rPr>
          <w:rFonts w:ascii="Arial" w:hAnsi="Arial" w:cs="Arial"/>
        </w:rPr>
        <w:t xml:space="preserve"> 56–63. </w:t>
      </w:r>
    </w:p>
    <w:p w14:paraId="660C7B34" w14:textId="3A8A58AC" w:rsidR="00B06471" w:rsidRPr="00FD122C" w:rsidRDefault="00B06471" w:rsidP="00970A59">
      <w:pPr>
        <w:ind w:left="142" w:hanging="295"/>
        <w:jc w:val="both"/>
        <w:rPr>
          <w:rFonts w:ascii="Arial" w:hAnsi="Arial" w:cs="Arial"/>
        </w:rPr>
      </w:pPr>
      <w:r w:rsidRPr="00FD122C">
        <w:rPr>
          <w:rFonts w:ascii="Arial" w:hAnsi="Arial" w:cs="Arial"/>
        </w:rPr>
        <w:t>18.</w:t>
      </w:r>
      <w:r w:rsidR="008F2595">
        <w:rPr>
          <w:rFonts w:ascii="Arial" w:hAnsi="Arial" w:cs="Arial"/>
        </w:rPr>
        <w:t xml:space="preserve"> </w:t>
      </w:r>
      <w:r w:rsidRPr="00FD122C">
        <w:rPr>
          <w:rFonts w:ascii="Arial" w:hAnsi="Arial" w:cs="Arial"/>
        </w:rPr>
        <w:t>Persijn, J. P. &amp; van der Slik, W. A new method for the determination of gamma-glutamyltransferase in serum</w:t>
      </w:r>
      <w:r w:rsidRPr="00FD122C">
        <w:rPr>
          <w:rFonts w:ascii="Arial" w:hAnsi="Arial" w:cs="Arial"/>
          <w:i/>
        </w:rPr>
        <w:t>. Journal of Clinical Biochemistry</w:t>
      </w:r>
      <w:r w:rsidRPr="00FD122C">
        <w:rPr>
          <w:rFonts w:ascii="Arial" w:hAnsi="Arial" w:cs="Arial"/>
        </w:rPr>
        <w:t>,</w:t>
      </w:r>
      <w:r w:rsidR="00E93A9F">
        <w:rPr>
          <w:rFonts w:ascii="Arial" w:hAnsi="Arial" w:cs="Arial"/>
        </w:rPr>
        <w:t xml:space="preserve"> </w:t>
      </w:r>
      <w:r w:rsidR="00E93A9F" w:rsidRPr="00FD122C">
        <w:rPr>
          <w:rFonts w:ascii="Arial" w:hAnsi="Arial" w:cs="Arial"/>
        </w:rPr>
        <w:t>1976</w:t>
      </w:r>
      <w:r w:rsidR="00E93A9F">
        <w:rPr>
          <w:rFonts w:ascii="Arial" w:hAnsi="Arial" w:cs="Arial"/>
        </w:rPr>
        <w:t>;</w:t>
      </w:r>
      <w:r w:rsidRPr="00FD122C">
        <w:rPr>
          <w:rFonts w:ascii="Arial" w:hAnsi="Arial" w:cs="Arial"/>
        </w:rPr>
        <w:t xml:space="preserve"> 14(9)</w:t>
      </w:r>
      <w:r w:rsidR="00E93A9F">
        <w:rPr>
          <w:rFonts w:ascii="Arial" w:hAnsi="Arial" w:cs="Arial"/>
        </w:rPr>
        <w:t>:</w:t>
      </w:r>
      <w:r w:rsidRPr="00FD122C">
        <w:rPr>
          <w:rFonts w:ascii="Arial" w:hAnsi="Arial" w:cs="Arial"/>
        </w:rPr>
        <w:t xml:space="preserve"> 421-7.</w:t>
      </w:r>
    </w:p>
    <w:p w14:paraId="07DF64D1" w14:textId="0A0B96E6" w:rsidR="00B06471" w:rsidRPr="00FD122C" w:rsidRDefault="00B06471" w:rsidP="00970A59">
      <w:pPr>
        <w:ind w:left="142" w:hanging="295"/>
        <w:jc w:val="both"/>
        <w:rPr>
          <w:rFonts w:ascii="Arial" w:hAnsi="Arial" w:cs="Arial"/>
        </w:rPr>
      </w:pPr>
      <w:r w:rsidRPr="00FD122C">
        <w:rPr>
          <w:rFonts w:ascii="Arial" w:hAnsi="Arial" w:cs="Arial"/>
        </w:rPr>
        <w:t>19.</w:t>
      </w:r>
      <w:r w:rsidR="008F2595">
        <w:rPr>
          <w:rFonts w:ascii="Arial" w:hAnsi="Arial" w:cs="Arial"/>
        </w:rPr>
        <w:t xml:space="preserve"> </w:t>
      </w:r>
      <w:r w:rsidRPr="00FD122C">
        <w:rPr>
          <w:rFonts w:ascii="Arial" w:hAnsi="Arial" w:cs="Arial"/>
        </w:rPr>
        <w:t xml:space="preserve">Agrawal, S. &amp; Khazaeni, B. </w:t>
      </w:r>
      <w:r w:rsidRPr="00FD122C">
        <w:rPr>
          <w:rFonts w:ascii="Arial" w:hAnsi="Arial" w:cs="Arial"/>
          <w:i/>
        </w:rPr>
        <w:t>Acetaminophen toxicity</w:t>
      </w:r>
      <w:r w:rsidRPr="00FD122C">
        <w:rPr>
          <w:rFonts w:ascii="Arial" w:hAnsi="Arial" w:cs="Arial"/>
        </w:rPr>
        <w:t>. Florida, USA: StatPearls Publishing</w:t>
      </w:r>
      <w:r w:rsidR="00E93A9F">
        <w:rPr>
          <w:rFonts w:ascii="Arial" w:hAnsi="Arial" w:cs="Arial"/>
        </w:rPr>
        <w:t xml:space="preserve">, </w:t>
      </w:r>
      <w:r w:rsidR="00E93A9F" w:rsidRPr="00FD122C">
        <w:rPr>
          <w:rFonts w:ascii="Arial" w:hAnsi="Arial" w:cs="Arial"/>
        </w:rPr>
        <w:t>2023</w:t>
      </w:r>
      <w:r w:rsidRPr="00FD122C">
        <w:rPr>
          <w:rFonts w:ascii="Arial" w:hAnsi="Arial" w:cs="Arial"/>
        </w:rPr>
        <w:t xml:space="preserve">. </w:t>
      </w:r>
    </w:p>
    <w:p w14:paraId="202B611F" w14:textId="756A9625" w:rsidR="00B06471" w:rsidRPr="00FD122C" w:rsidRDefault="00B06471" w:rsidP="00970A59">
      <w:pPr>
        <w:ind w:left="142" w:hanging="295"/>
        <w:jc w:val="both"/>
        <w:rPr>
          <w:rFonts w:ascii="Arial" w:hAnsi="Arial" w:cs="Arial"/>
        </w:rPr>
      </w:pPr>
      <w:r w:rsidRPr="00FD122C">
        <w:rPr>
          <w:rFonts w:ascii="Arial" w:hAnsi="Arial" w:cs="Arial"/>
        </w:rPr>
        <w:t>20.</w:t>
      </w:r>
      <w:r w:rsidR="008F2595">
        <w:rPr>
          <w:rFonts w:ascii="Arial" w:hAnsi="Arial" w:cs="Arial"/>
        </w:rPr>
        <w:t xml:space="preserve"> </w:t>
      </w:r>
      <w:r w:rsidRPr="00FD122C">
        <w:rPr>
          <w:rFonts w:ascii="Arial" w:hAnsi="Arial" w:cs="Arial"/>
        </w:rPr>
        <w:t xml:space="preserve">Yoon, E., Babar, A., Choudhary, M., Kutner, M. &amp; Pyrsopoulos, N. Acetaminophen-Induced Hepatotoxicity: A Comprehensive Update. </w:t>
      </w:r>
      <w:r w:rsidRPr="00FD122C">
        <w:rPr>
          <w:rFonts w:ascii="Arial" w:hAnsi="Arial" w:cs="Arial"/>
          <w:i/>
        </w:rPr>
        <w:t>Journal of Clinical and Translational Hepatology</w:t>
      </w:r>
      <w:r w:rsidRPr="00FD122C">
        <w:rPr>
          <w:rFonts w:ascii="Arial" w:hAnsi="Arial" w:cs="Arial"/>
        </w:rPr>
        <w:t>,</w:t>
      </w:r>
      <w:r w:rsidR="00C433D8">
        <w:rPr>
          <w:rFonts w:ascii="Arial" w:hAnsi="Arial" w:cs="Arial"/>
        </w:rPr>
        <w:t xml:space="preserve"> </w:t>
      </w:r>
      <w:r w:rsidR="00C433D8" w:rsidRPr="00FD122C">
        <w:rPr>
          <w:rFonts w:ascii="Arial" w:hAnsi="Arial" w:cs="Arial"/>
        </w:rPr>
        <w:t>2016</w:t>
      </w:r>
      <w:r w:rsidR="00C433D8">
        <w:rPr>
          <w:rFonts w:ascii="Arial" w:hAnsi="Arial" w:cs="Arial"/>
        </w:rPr>
        <w:t>;</w:t>
      </w:r>
      <w:r w:rsidRPr="00FD122C">
        <w:rPr>
          <w:rFonts w:ascii="Arial" w:hAnsi="Arial" w:cs="Arial"/>
        </w:rPr>
        <w:t xml:space="preserve"> 4(2)</w:t>
      </w:r>
      <w:r w:rsidR="00C433D8">
        <w:rPr>
          <w:rFonts w:ascii="Arial" w:hAnsi="Arial" w:cs="Arial"/>
        </w:rPr>
        <w:t>:</w:t>
      </w:r>
      <w:r w:rsidRPr="00FD122C">
        <w:rPr>
          <w:rFonts w:ascii="Arial" w:hAnsi="Arial" w:cs="Arial"/>
        </w:rPr>
        <w:t xml:space="preserve"> 131–42. </w:t>
      </w:r>
    </w:p>
    <w:p w14:paraId="3B39A8C5" w14:textId="4FDAAFF1" w:rsidR="00B06471" w:rsidRPr="00FD122C" w:rsidRDefault="00B06471" w:rsidP="00970A59">
      <w:pPr>
        <w:ind w:left="142" w:hanging="295"/>
        <w:jc w:val="both"/>
        <w:rPr>
          <w:rFonts w:ascii="Arial" w:hAnsi="Arial" w:cs="Arial"/>
        </w:rPr>
      </w:pPr>
      <w:r w:rsidRPr="00FD122C">
        <w:rPr>
          <w:rFonts w:ascii="Arial" w:hAnsi="Arial" w:cs="Arial"/>
        </w:rPr>
        <w:t xml:space="preserve">21.Hinson, J. A., Roberts, D. W. &amp; James, L. P. Mechanisms of acetaminophen-induced liver necrosis. </w:t>
      </w:r>
      <w:r w:rsidRPr="00FD122C">
        <w:rPr>
          <w:rFonts w:ascii="Arial" w:hAnsi="Arial" w:cs="Arial"/>
          <w:i/>
        </w:rPr>
        <w:t>Handbook of Experimental Pharmacology</w:t>
      </w:r>
      <w:r w:rsidRPr="00FD122C">
        <w:rPr>
          <w:rFonts w:ascii="Arial" w:hAnsi="Arial" w:cs="Arial"/>
        </w:rPr>
        <w:t>,</w:t>
      </w:r>
      <w:r w:rsidR="00C433D8">
        <w:rPr>
          <w:rFonts w:ascii="Arial" w:hAnsi="Arial" w:cs="Arial"/>
        </w:rPr>
        <w:t xml:space="preserve"> </w:t>
      </w:r>
      <w:r w:rsidR="00C433D8" w:rsidRPr="00FD122C">
        <w:rPr>
          <w:rFonts w:ascii="Arial" w:hAnsi="Arial" w:cs="Arial"/>
        </w:rPr>
        <w:t>2010</w:t>
      </w:r>
      <w:r w:rsidR="00C433D8">
        <w:rPr>
          <w:rFonts w:ascii="Arial" w:hAnsi="Arial" w:cs="Arial"/>
        </w:rPr>
        <w:t>;</w:t>
      </w:r>
      <w:r w:rsidRPr="00FD122C">
        <w:rPr>
          <w:rFonts w:ascii="Arial" w:hAnsi="Arial" w:cs="Arial"/>
        </w:rPr>
        <w:t xml:space="preserve"> (196)</w:t>
      </w:r>
      <w:r w:rsidR="00C433D8">
        <w:rPr>
          <w:rFonts w:ascii="Arial" w:hAnsi="Arial" w:cs="Arial"/>
        </w:rPr>
        <w:t>:</w:t>
      </w:r>
      <w:r w:rsidRPr="00FD122C">
        <w:rPr>
          <w:rFonts w:ascii="Arial" w:hAnsi="Arial" w:cs="Arial"/>
        </w:rPr>
        <w:t xml:space="preserve"> 369–405. </w:t>
      </w:r>
    </w:p>
    <w:p w14:paraId="2E0C647C" w14:textId="1DBBF833" w:rsidR="00B06471" w:rsidRPr="00FD122C" w:rsidRDefault="00B06471" w:rsidP="00970A59">
      <w:pPr>
        <w:ind w:left="142" w:hanging="295"/>
        <w:jc w:val="both"/>
        <w:rPr>
          <w:rFonts w:ascii="Arial" w:hAnsi="Arial" w:cs="Arial"/>
        </w:rPr>
      </w:pPr>
      <w:r w:rsidRPr="00FD122C">
        <w:rPr>
          <w:rFonts w:ascii="Arial" w:hAnsi="Arial" w:cs="Arial"/>
        </w:rPr>
        <w:t>22.</w:t>
      </w:r>
      <w:r w:rsidR="008F2595">
        <w:rPr>
          <w:rFonts w:ascii="Arial" w:hAnsi="Arial" w:cs="Arial"/>
        </w:rPr>
        <w:t xml:space="preserve"> </w:t>
      </w:r>
      <w:r w:rsidRPr="00FD122C">
        <w:rPr>
          <w:rFonts w:ascii="Arial" w:hAnsi="Arial" w:cs="Arial"/>
        </w:rPr>
        <w:t xml:space="preserve">Omidi, A., Riahinia, N., Montazer Torbati, M. B. &amp; Behdani, M. A. Hepatoprotective effect of </w:t>
      </w:r>
      <w:r w:rsidRPr="00FD122C">
        <w:rPr>
          <w:rFonts w:ascii="Arial" w:hAnsi="Arial" w:cs="Arial"/>
          <w:i/>
        </w:rPr>
        <w:t>Crocus sativus</w:t>
      </w:r>
      <w:r w:rsidRPr="00FD122C">
        <w:rPr>
          <w:rFonts w:ascii="Arial" w:hAnsi="Arial" w:cs="Arial"/>
        </w:rPr>
        <w:t xml:space="preserve"> (saffron) petals extract against acetaminophen toxicity in male Wistar rats. </w:t>
      </w:r>
      <w:r w:rsidRPr="00FD122C">
        <w:rPr>
          <w:rFonts w:ascii="Arial" w:hAnsi="Arial" w:cs="Arial"/>
          <w:i/>
        </w:rPr>
        <w:t>Avicenna Journal of Phytomedicine</w:t>
      </w:r>
      <w:r w:rsidRPr="00FD122C">
        <w:rPr>
          <w:rFonts w:ascii="Arial" w:hAnsi="Arial" w:cs="Arial"/>
        </w:rPr>
        <w:t>,</w:t>
      </w:r>
      <w:r w:rsidR="00C433D8" w:rsidRPr="00C433D8">
        <w:rPr>
          <w:rFonts w:ascii="Arial" w:hAnsi="Arial" w:cs="Arial"/>
        </w:rPr>
        <w:t xml:space="preserve"> </w:t>
      </w:r>
      <w:r w:rsidR="00C433D8" w:rsidRPr="00FD122C">
        <w:rPr>
          <w:rFonts w:ascii="Arial" w:hAnsi="Arial" w:cs="Arial"/>
        </w:rPr>
        <w:t>2014</w:t>
      </w:r>
      <w:r w:rsidR="00C433D8">
        <w:rPr>
          <w:rFonts w:ascii="Arial" w:hAnsi="Arial" w:cs="Arial"/>
        </w:rPr>
        <w:t>;</w:t>
      </w:r>
      <w:r w:rsidRPr="00FD122C">
        <w:rPr>
          <w:rFonts w:ascii="Arial" w:hAnsi="Arial" w:cs="Arial"/>
        </w:rPr>
        <w:t xml:space="preserve"> 4(5)</w:t>
      </w:r>
      <w:r w:rsidR="00C433D8">
        <w:rPr>
          <w:rFonts w:ascii="Arial" w:hAnsi="Arial" w:cs="Arial"/>
        </w:rPr>
        <w:t>:</w:t>
      </w:r>
      <w:r w:rsidRPr="00FD122C">
        <w:rPr>
          <w:rFonts w:ascii="Arial" w:hAnsi="Arial" w:cs="Arial"/>
        </w:rPr>
        <w:t xml:space="preserve"> 330–6.</w:t>
      </w:r>
    </w:p>
    <w:p w14:paraId="2C77B780" w14:textId="20B270DA" w:rsidR="00B06471" w:rsidRPr="00FD122C" w:rsidRDefault="00B06471" w:rsidP="00970A59">
      <w:pPr>
        <w:ind w:left="142" w:hanging="295"/>
        <w:jc w:val="both"/>
        <w:rPr>
          <w:rFonts w:ascii="Arial" w:hAnsi="Arial" w:cs="Arial"/>
        </w:rPr>
      </w:pPr>
      <w:r w:rsidRPr="00FD122C">
        <w:rPr>
          <w:rFonts w:ascii="Arial" w:hAnsi="Arial" w:cs="Arial"/>
        </w:rPr>
        <w:t>23.</w:t>
      </w:r>
      <w:r w:rsidR="008F2595">
        <w:rPr>
          <w:rFonts w:ascii="Arial" w:hAnsi="Arial" w:cs="Arial"/>
        </w:rPr>
        <w:t xml:space="preserve"> </w:t>
      </w:r>
      <w:r w:rsidRPr="00FD122C">
        <w:rPr>
          <w:rFonts w:ascii="Arial" w:hAnsi="Arial" w:cs="Arial"/>
        </w:rPr>
        <w:t xml:space="preserve">Zhou, J., Zhang, N., Zhao, L., Soliman, M. M., Wu, W., Li, J., Zhou, F. &amp; Zhang, L. Protective effects of honey-processed astragalus on liver injury and gut microbiota in mice induced by chronic alcohol intake. </w:t>
      </w:r>
      <w:r w:rsidRPr="00FD122C">
        <w:rPr>
          <w:rFonts w:ascii="Arial" w:hAnsi="Arial" w:cs="Arial"/>
          <w:i/>
        </w:rPr>
        <w:t>Journal of Food Quality</w:t>
      </w:r>
      <w:r w:rsidRPr="00FD122C">
        <w:rPr>
          <w:rFonts w:ascii="Arial" w:hAnsi="Arial" w:cs="Arial"/>
        </w:rPr>
        <w:t>,</w:t>
      </w:r>
      <w:r w:rsidR="00C433D8">
        <w:rPr>
          <w:rFonts w:ascii="Arial" w:hAnsi="Arial" w:cs="Arial"/>
        </w:rPr>
        <w:t xml:space="preserve"> </w:t>
      </w:r>
      <w:r w:rsidR="00C433D8" w:rsidRPr="00FD122C">
        <w:rPr>
          <w:rFonts w:ascii="Arial" w:hAnsi="Arial" w:cs="Arial"/>
        </w:rPr>
        <w:t>2022</w:t>
      </w:r>
      <w:r w:rsidR="00C433D8">
        <w:rPr>
          <w:rFonts w:ascii="Arial" w:hAnsi="Arial" w:cs="Arial"/>
        </w:rPr>
        <w:t>;</w:t>
      </w:r>
      <w:r w:rsidRPr="00FD122C">
        <w:rPr>
          <w:rFonts w:ascii="Arial" w:hAnsi="Arial" w:cs="Arial"/>
        </w:rPr>
        <w:t xml:space="preserve"> 3(2)</w:t>
      </w:r>
      <w:r w:rsidR="00C433D8">
        <w:rPr>
          <w:rFonts w:ascii="Arial" w:hAnsi="Arial" w:cs="Arial"/>
        </w:rPr>
        <w:t>:</w:t>
      </w:r>
      <w:r w:rsidRPr="00FD122C">
        <w:rPr>
          <w:rFonts w:ascii="Arial" w:hAnsi="Arial" w:cs="Arial"/>
        </w:rPr>
        <w:t xml:space="preserve"> 66-80.</w:t>
      </w:r>
    </w:p>
    <w:p w14:paraId="07C763CC" w14:textId="6C637342" w:rsidR="00B06471" w:rsidRPr="00FD122C" w:rsidRDefault="00B06471" w:rsidP="00970A59">
      <w:pPr>
        <w:ind w:left="142" w:hanging="295"/>
        <w:jc w:val="both"/>
        <w:rPr>
          <w:rFonts w:ascii="Arial" w:hAnsi="Arial" w:cs="Arial"/>
        </w:rPr>
      </w:pPr>
      <w:r w:rsidRPr="00FD122C">
        <w:rPr>
          <w:rFonts w:ascii="Arial" w:hAnsi="Arial" w:cs="Arial"/>
        </w:rPr>
        <w:t>24.</w:t>
      </w:r>
      <w:r w:rsidR="008F2595">
        <w:rPr>
          <w:rFonts w:ascii="Arial" w:hAnsi="Arial" w:cs="Arial"/>
        </w:rPr>
        <w:t xml:space="preserve"> </w:t>
      </w:r>
      <w:r w:rsidRPr="00FD122C">
        <w:rPr>
          <w:rFonts w:ascii="Arial" w:hAnsi="Arial" w:cs="Arial"/>
        </w:rPr>
        <w:t xml:space="preserve">Chiew, A. L., Gluud, C., Brok, J. &amp; Buckley, N. A. Interventions for paracetamol (acetaminophen) overdose. </w:t>
      </w:r>
      <w:r w:rsidRPr="00FD122C">
        <w:rPr>
          <w:rFonts w:ascii="Arial" w:hAnsi="Arial" w:cs="Arial"/>
          <w:i/>
        </w:rPr>
        <w:t>The Cochrane Database of Systematic Reviews</w:t>
      </w:r>
      <w:r w:rsidRPr="00FD122C">
        <w:rPr>
          <w:rFonts w:ascii="Arial" w:hAnsi="Arial" w:cs="Arial"/>
        </w:rPr>
        <w:t>,</w:t>
      </w:r>
      <w:r w:rsidR="000F6D0E">
        <w:rPr>
          <w:rFonts w:ascii="Arial" w:hAnsi="Arial" w:cs="Arial"/>
        </w:rPr>
        <w:t xml:space="preserve"> </w:t>
      </w:r>
      <w:r w:rsidR="000F6D0E" w:rsidRPr="00FD122C">
        <w:rPr>
          <w:rFonts w:ascii="Arial" w:hAnsi="Arial" w:cs="Arial"/>
        </w:rPr>
        <w:t>2018</w:t>
      </w:r>
      <w:r w:rsidR="000F6D0E">
        <w:rPr>
          <w:rFonts w:ascii="Arial" w:hAnsi="Arial" w:cs="Arial"/>
        </w:rPr>
        <w:t>;</w:t>
      </w:r>
      <w:r w:rsidRPr="00FD122C">
        <w:rPr>
          <w:rFonts w:ascii="Arial" w:hAnsi="Arial" w:cs="Arial"/>
        </w:rPr>
        <w:t xml:space="preserve"> 2(2)</w:t>
      </w:r>
      <w:r w:rsidR="000F6D0E">
        <w:rPr>
          <w:rFonts w:ascii="Arial" w:hAnsi="Arial" w:cs="Arial"/>
        </w:rPr>
        <w:t>:</w:t>
      </w:r>
      <w:r w:rsidRPr="00FD122C">
        <w:rPr>
          <w:rFonts w:ascii="Arial" w:hAnsi="Arial" w:cs="Arial"/>
        </w:rPr>
        <w:t xml:space="preserve"> 33-9.</w:t>
      </w:r>
    </w:p>
    <w:p w14:paraId="074C48BA" w14:textId="07BB7471" w:rsidR="00B06471" w:rsidRPr="00FD122C" w:rsidRDefault="00B06471" w:rsidP="00970A59">
      <w:pPr>
        <w:ind w:left="142" w:hanging="295"/>
        <w:jc w:val="both"/>
        <w:rPr>
          <w:rFonts w:ascii="Arial" w:hAnsi="Arial" w:cs="Arial"/>
        </w:rPr>
      </w:pPr>
      <w:r w:rsidRPr="00FD122C">
        <w:rPr>
          <w:rFonts w:ascii="Arial" w:hAnsi="Arial" w:cs="Arial"/>
        </w:rPr>
        <w:t>25.</w:t>
      </w:r>
      <w:r w:rsidR="008F2595">
        <w:rPr>
          <w:rFonts w:ascii="Arial" w:hAnsi="Arial" w:cs="Arial"/>
        </w:rPr>
        <w:t xml:space="preserve"> </w:t>
      </w:r>
      <w:r w:rsidRPr="00FD122C">
        <w:rPr>
          <w:rFonts w:ascii="Arial" w:hAnsi="Arial" w:cs="Arial"/>
        </w:rPr>
        <w:t xml:space="preserve">Prasetyo, R. H. &amp; Hestianah, E. P. Honey can repair damage of liver tissue due to protein energy malnutrition through induction of endogenous stem cells. </w:t>
      </w:r>
      <w:r w:rsidRPr="00FD122C">
        <w:rPr>
          <w:rFonts w:ascii="Arial" w:hAnsi="Arial" w:cs="Arial"/>
          <w:i/>
        </w:rPr>
        <w:t>Veterinary World</w:t>
      </w:r>
      <w:r w:rsidRPr="00FD122C">
        <w:rPr>
          <w:rFonts w:ascii="Arial" w:hAnsi="Arial" w:cs="Arial"/>
        </w:rPr>
        <w:t>,</w:t>
      </w:r>
      <w:r w:rsidR="000F6D0E">
        <w:rPr>
          <w:rFonts w:ascii="Arial" w:hAnsi="Arial" w:cs="Arial"/>
        </w:rPr>
        <w:t xml:space="preserve"> </w:t>
      </w:r>
      <w:r w:rsidR="000F6D0E" w:rsidRPr="00FD122C">
        <w:rPr>
          <w:rFonts w:ascii="Arial" w:hAnsi="Arial" w:cs="Arial"/>
        </w:rPr>
        <w:t>2017</w:t>
      </w:r>
      <w:r w:rsidR="000F6D0E">
        <w:rPr>
          <w:rFonts w:ascii="Arial" w:hAnsi="Arial" w:cs="Arial"/>
        </w:rPr>
        <w:t>;</w:t>
      </w:r>
      <w:r w:rsidRPr="00FD122C">
        <w:rPr>
          <w:rFonts w:ascii="Arial" w:hAnsi="Arial" w:cs="Arial"/>
        </w:rPr>
        <w:t xml:space="preserve"> 10(6)</w:t>
      </w:r>
      <w:r w:rsidR="000F6D0E">
        <w:rPr>
          <w:rFonts w:ascii="Arial" w:hAnsi="Arial" w:cs="Arial"/>
        </w:rPr>
        <w:t>:</w:t>
      </w:r>
      <w:r w:rsidRPr="00FD122C">
        <w:rPr>
          <w:rFonts w:ascii="Arial" w:hAnsi="Arial" w:cs="Arial"/>
        </w:rPr>
        <w:t xml:space="preserve"> 711–5. </w:t>
      </w:r>
    </w:p>
    <w:p w14:paraId="43E3DEEF" w14:textId="6AF3C9CA" w:rsidR="00B06471" w:rsidRDefault="00B06471" w:rsidP="00A03ADF">
      <w:pPr>
        <w:ind w:left="142" w:hanging="295"/>
        <w:jc w:val="both"/>
        <w:rPr>
          <w:rFonts w:ascii="Arial" w:hAnsi="Arial" w:cs="Arial"/>
        </w:rPr>
      </w:pPr>
      <w:r w:rsidRPr="00FD122C">
        <w:rPr>
          <w:rFonts w:ascii="Arial" w:hAnsi="Arial" w:cs="Arial"/>
        </w:rPr>
        <w:lastRenderedPageBreak/>
        <w:t>26.</w:t>
      </w:r>
      <w:r w:rsidR="008F2595">
        <w:rPr>
          <w:rFonts w:ascii="Arial" w:hAnsi="Arial" w:cs="Arial"/>
        </w:rPr>
        <w:t xml:space="preserve"> </w:t>
      </w:r>
      <w:r w:rsidRPr="00FD122C">
        <w:rPr>
          <w:rFonts w:ascii="Arial" w:hAnsi="Arial" w:cs="Arial"/>
        </w:rPr>
        <w:t xml:space="preserve">Wokes, F. &amp; Still, B. M. The estimation of protein by the biuret and Greenberg methods. </w:t>
      </w:r>
      <w:r w:rsidRPr="00FD122C">
        <w:rPr>
          <w:rFonts w:ascii="Arial" w:hAnsi="Arial" w:cs="Arial"/>
          <w:i/>
        </w:rPr>
        <w:t>The Biochemical Journal</w:t>
      </w:r>
      <w:r w:rsidRPr="00FD122C">
        <w:rPr>
          <w:rFonts w:ascii="Arial" w:hAnsi="Arial" w:cs="Arial"/>
        </w:rPr>
        <w:t>,</w:t>
      </w:r>
      <w:r w:rsidR="00831B35">
        <w:rPr>
          <w:rFonts w:ascii="Arial" w:hAnsi="Arial" w:cs="Arial"/>
        </w:rPr>
        <w:t xml:space="preserve"> </w:t>
      </w:r>
      <w:r w:rsidR="00831B35" w:rsidRPr="00FD122C">
        <w:rPr>
          <w:rFonts w:ascii="Arial" w:hAnsi="Arial" w:cs="Arial"/>
        </w:rPr>
        <w:t>1942</w:t>
      </w:r>
      <w:r w:rsidR="00831B35">
        <w:rPr>
          <w:rFonts w:ascii="Arial" w:hAnsi="Arial" w:cs="Arial"/>
        </w:rPr>
        <w:t>;</w:t>
      </w:r>
      <w:r w:rsidRPr="00FD122C">
        <w:rPr>
          <w:rFonts w:ascii="Arial" w:hAnsi="Arial" w:cs="Arial"/>
        </w:rPr>
        <w:t xml:space="preserve"> 36(10-12)</w:t>
      </w:r>
      <w:r w:rsidR="00831B35">
        <w:rPr>
          <w:rFonts w:ascii="Arial" w:hAnsi="Arial" w:cs="Arial"/>
        </w:rPr>
        <w:t>:</w:t>
      </w:r>
      <w:r w:rsidRPr="00FD122C">
        <w:rPr>
          <w:rFonts w:ascii="Arial" w:hAnsi="Arial" w:cs="Arial"/>
        </w:rPr>
        <w:t xml:space="preserve"> 797–806.</w:t>
      </w:r>
    </w:p>
    <w:p w14:paraId="42068C73" w14:textId="77777777" w:rsidR="0047097F" w:rsidRPr="0047097F" w:rsidRDefault="0047097F" w:rsidP="0047097F">
      <w:pPr>
        <w:ind w:left="-142"/>
        <w:jc w:val="both"/>
        <w:rPr>
          <w:rFonts w:ascii="Arial" w:hAnsi="Arial" w:cs="Arial"/>
        </w:rPr>
      </w:pPr>
      <w:r w:rsidRPr="0047097F">
        <w:rPr>
          <w:rFonts w:ascii="Arial" w:hAnsi="Arial" w:cs="Arial"/>
          <w:highlight w:val="yellow"/>
        </w:rPr>
        <w:t xml:space="preserve">27. Gbenga Opeyemi Owolabi, </w:t>
      </w:r>
      <w:proofErr w:type="spellStart"/>
      <w:r w:rsidRPr="0047097F">
        <w:rPr>
          <w:rFonts w:ascii="Arial" w:hAnsi="Arial" w:cs="Arial"/>
          <w:highlight w:val="yellow"/>
        </w:rPr>
        <w:t>Onaopepo</w:t>
      </w:r>
      <w:proofErr w:type="spellEnd"/>
      <w:r w:rsidRPr="0047097F">
        <w:rPr>
          <w:rFonts w:ascii="Arial" w:hAnsi="Arial" w:cs="Arial"/>
          <w:highlight w:val="yellow"/>
        </w:rPr>
        <w:t xml:space="preserve"> </w:t>
      </w:r>
      <w:proofErr w:type="spellStart"/>
      <w:r w:rsidRPr="0047097F">
        <w:rPr>
          <w:rFonts w:ascii="Arial" w:hAnsi="Arial" w:cs="Arial"/>
          <w:highlight w:val="yellow"/>
        </w:rPr>
        <w:t>Abdulwakeel</w:t>
      </w:r>
      <w:proofErr w:type="spellEnd"/>
      <w:r w:rsidRPr="0047097F">
        <w:rPr>
          <w:rFonts w:ascii="Arial" w:hAnsi="Arial" w:cs="Arial"/>
          <w:highlight w:val="yellow"/>
        </w:rPr>
        <w:t xml:space="preserve"> Lawal, Innocent </w:t>
      </w:r>
      <w:proofErr w:type="spellStart"/>
      <w:r w:rsidRPr="0047097F">
        <w:rPr>
          <w:rFonts w:ascii="Arial" w:hAnsi="Arial" w:cs="Arial"/>
          <w:highlight w:val="yellow"/>
        </w:rPr>
        <w:t>Effiom</w:t>
      </w:r>
      <w:proofErr w:type="spellEnd"/>
      <w:r w:rsidRPr="0047097F">
        <w:rPr>
          <w:rFonts w:ascii="Arial" w:hAnsi="Arial" w:cs="Arial"/>
          <w:highlight w:val="yellow"/>
        </w:rPr>
        <w:t xml:space="preserve"> Offiong and Aliyat Nafiu Olanrewaju. Effects of Restraint Stress and Cadmium Chloride on the Liver Function of Female Wistar Rats (Rattus norvegicus). Asian J. Med. Health. [Internet]. 2024 Nov. 21 [cited 2025 Aug. 28];22(12):1–13. Available from: https://journalajmah.com/index.php/AJMAH/article/view/1131</w:t>
      </w:r>
    </w:p>
    <w:p w14:paraId="0C180327" w14:textId="1046EDCC" w:rsidR="0047097F" w:rsidRPr="00FD122C" w:rsidRDefault="0047097F" w:rsidP="00A03ADF">
      <w:pPr>
        <w:ind w:left="142" w:hanging="295"/>
        <w:jc w:val="both"/>
        <w:rPr>
          <w:rFonts w:ascii="Arial" w:hAnsi="Arial" w:cs="Arial"/>
          <w:sz w:val="18"/>
          <w:szCs w:val="18"/>
        </w:rPr>
      </w:pPr>
    </w:p>
    <w:p w14:paraId="69074606" w14:textId="77777777" w:rsidR="004D4277" w:rsidRDefault="004D4277" w:rsidP="00441B6F">
      <w:pPr>
        <w:pStyle w:val="Appendix"/>
        <w:spacing w:after="0"/>
        <w:jc w:val="both"/>
        <w:rPr>
          <w:rFonts w:ascii="Arial" w:hAnsi="Arial" w:cs="Arial"/>
          <w:b w:val="0"/>
        </w:rPr>
      </w:pPr>
    </w:p>
    <w:p w14:paraId="6F14A7D8" w14:textId="29420A08" w:rsidR="0047097F" w:rsidRPr="00FB3A86" w:rsidRDefault="0047097F" w:rsidP="00441B6F">
      <w:pPr>
        <w:pStyle w:val="Appendix"/>
        <w:spacing w:after="0"/>
        <w:jc w:val="both"/>
        <w:rPr>
          <w:rFonts w:ascii="Arial" w:hAnsi="Arial" w:cs="Arial"/>
          <w:b w:val="0"/>
        </w:rPr>
        <w:sectPr w:rsidR="0047097F" w:rsidRPr="00FB3A86" w:rsidSect="00D120F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D120F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80ED" w14:textId="77777777" w:rsidR="00A37377" w:rsidRDefault="00A37377" w:rsidP="00C37E61">
      <w:r>
        <w:separator/>
      </w:r>
    </w:p>
  </w:endnote>
  <w:endnote w:type="continuationSeparator" w:id="0">
    <w:p w14:paraId="647610E1" w14:textId="77777777" w:rsidR="00A37377" w:rsidRDefault="00A3737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FEA8" w14:textId="77777777" w:rsidR="00F13870" w:rsidRDefault="00F1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B7A7" w14:textId="77777777" w:rsidR="00F13870" w:rsidRDefault="00F13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55C2" w14:textId="77777777" w:rsidR="009E048A" w:rsidRDefault="009E048A">
    <w:pPr>
      <w:pStyle w:val="Footer"/>
      <w:rPr>
        <w:rFonts w:ascii="Arial" w:hAnsi="Arial" w:cs="Arial"/>
        <w:sz w:val="16"/>
      </w:rPr>
    </w:pPr>
  </w:p>
  <w:p w14:paraId="6C3CB9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09830E2" w14:textId="77777777" w:rsidR="009E048A" w:rsidRDefault="009E048A">
    <w:pPr>
      <w:pStyle w:val="Footer"/>
      <w:rPr>
        <w:rFonts w:ascii="Arial" w:hAnsi="Arial" w:cs="Arial"/>
        <w:sz w:val="16"/>
      </w:rPr>
    </w:pPr>
  </w:p>
  <w:p w14:paraId="199849F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0DFF0" w14:textId="77777777" w:rsidR="00A37377" w:rsidRDefault="00A37377" w:rsidP="00C37E61">
      <w:r>
        <w:separator/>
      </w:r>
    </w:p>
  </w:footnote>
  <w:footnote w:type="continuationSeparator" w:id="0">
    <w:p w14:paraId="5B68E581" w14:textId="77777777" w:rsidR="00A37377" w:rsidRDefault="00A3737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8E54" w14:textId="60912C56" w:rsidR="00F13870" w:rsidRDefault="00000000">
    <w:pPr>
      <w:pStyle w:val="Header"/>
    </w:pPr>
    <w:r>
      <w:rPr>
        <w:noProof/>
      </w:rPr>
      <w:pict w14:anchorId="565A4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445B" w14:textId="16E5B410" w:rsidR="00F13870" w:rsidRDefault="00000000">
    <w:pPr>
      <w:pStyle w:val="Header"/>
    </w:pPr>
    <w:r>
      <w:rPr>
        <w:noProof/>
      </w:rPr>
      <w:pict w14:anchorId="67A09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5E9C" w14:textId="2752A7B7" w:rsidR="00296529" w:rsidRPr="00296529" w:rsidRDefault="00000000" w:rsidP="00296529">
    <w:pPr>
      <w:ind w:left="2160"/>
      <w:jc w:val="center"/>
      <w:rPr>
        <w:rFonts w:ascii="Times New Roman" w:eastAsia="Calibri" w:hAnsi="Times New Roman"/>
        <w:i/>
        <w:sz w:val="18"/>
        <w:szCs w:val="22"/>
      </w:rPr>
    </w:pPr>
    <w:r>
      <w:rPr>
        <w:noProof/>
      </w:rPr>
      <w:pict w14:anchorId="27349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C519" w14:textId="19C66D6A" w:rsidR="00F13870" w:rsidRDefault="00000000">
    <w:pPr>
      <w:pStyle w:val="Header"/>
    </w:pPr>
    <w:r>
      <w:rPr>
        <w:noProof/>
      </w:rPr>
      <w:pict w14:anchorId="094AE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9C3" w14:textId="350DD0B8" w:rsidR="00F13870" w:rsidRDefault="00000000">
    <w:pPr>
      <w:pStyle w:val="Header"/>
    </w:pPr>
    <w:r>
      <w:rPr>
        <w:noProof/>
      </w:rPr>
      <w:pict w14:anchorId="6BDDB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6860" w14:textId="05793ECF" w:rsidR="00F13870" w:rsidRDefault="00000000">
    <w:pPr>
      <w:pStyle w:val="Header"/>
    </w:pPr>
    <w:r>
      <w:rPr>
        <w:noProof/>
      </w:rPr>
      <w:pict w14:anchorId="18A82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6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21632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4055136">
    <w:abstractNumId w:val="15"/>
  </w:num>
  <w:num w:numId="3" w16cid:durableId="115688064">
    <w:abstractNumId w:val="23"/>
  </w:num>
  <w:num w:numId="4" w16cid:durableId="19306952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10401714">
    <w:abstractNumId w:val="7"/>
  </w:num>
  <w:num w:numId="6" w16cid:durableId="844898448">
    <w:abstractNumId w:val="6"/>
  </w:num>
  <w:num w:numId="7" w16cid:durableId="181362141">
    <w:abstractNumId w:val="1"/>
  </w:num>
  <w:num w:numId="8" w16cid:durableId="1663392496">
    <w:abstractNumId w:val="12"/>
  </w:num>
  <w:num w:numId="9" w16cid:durableId="71974753">
    <w:abstractNumId w:val="25"/>
  </w:num>
  <w:num w:numId="10" w16cid:durableId="979655512">
    <w:abstractNumId w:val="2"/>
  </w:num>
  <w:num w:numId="11" w16cid:durableId="2105689871">
    <w:abstractNumId w:val="18"/>
  </w:num>
  <w:num w:numId="12" w16cid:durableId="1116944485">
    <w:abstractNumId w:val="3"/>
  </w:num>
  <w:num w:numId="13" w16cid:durableId="837770648">
    <w:abstractNumId w:val="17"/>
  </w:num>
  <w:num w:numId="14" w16cid:durableId="22826266">
    <w:abstractNumId w:val="8"/>
  </w:num>
  <w:num w:numId="15" w16cid:durableId="990669762">
    <w:abstractNumId w:val="21"/>
  </w:num>
  <w:num w:numId="16" w16cid:durableId="799885769">
    <w:abstractNumId w:val="5"/>
  </w:num>
  <w:num w:numId="17" w16cid:durableId="1960143602">
    <w:abstractNumId w:val="22"/>
  </w:num>
  <w:num w:numId="18" w16cid:durableId="1838496976">
    <w:abstractNumId w:val="14"/>
  </w:num>
  <w:num w:numId="19" w16cid:durableId="1790929824">
    <w:abstractNumId w:val="28"/>
  </w:num>
  <w:num w:numId="20" w16cid:durableId="350421348">
    <w:abstractNumId w:val="11"/>
  </w:num>
  <w:num w:numId="21" w16cid:durableId="1182083844">
    <w:abstractNumId w:val="9"/>
  </w:num>
  <w:num w:numId="22" w16cid:durableId="1593078868">
    <w:abstractNumId w:val="13"/>
  </w:num>
  <w:num w:numId="23" w16cid:durableId="856893729">
    <w:abstractNumId w:val="19"/>
  </w:num>
  <w:num w:numId="24" w16cid:durableId="1190996796">
    <w:abstractNumId w:val="26"/>
  </w:num>
  <w:num w:numId="25" w16cid:durableId="1448163095">
    <w:abstractNumId w:val="4"/>
  </w:num>
  <w:num w:numId="26" w16cid:durableId="1809123415">
    <w:abstractNumId w:val="16"/>
  </w:num>
  <w:num w:numId="27" w16cid:durableId="725303532">
    <w:abstractNumId w:val="20"/>
  </w:num>
  <w:num w:numId="28" w16cid:durableId="147022234">
    <w:abstractNumId w:val="27"/>
  </w:num>
  <w:num w:numId="29" w16cid:durableId="125204375">
    <w:abstractNumId w:val="24"/>
  </w:num>
  <w:num w:numId="30" w16cid:durableId="123743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4F"/>
    <w:rsid w:val="00011A3C"/>
    <w:rsid w:val="000133F0"/>
    <w:rsid w:val="00030174"/>
    <w:rsid w:val="000311DD"/>
    <w:rsid w:val="0004579C"/>
    <w:rsid w:val="0005074F"/>
    <w:rsid w:val="0005397D"/>
    <w:rsid w:val="00060231"/>
    <w:rsid w:val="00061A48"/>
    <w:rsid w:val="000A47FA"/>
    <w:rsid w:val="000A65D3"/>
    <w:rsid w:val="000B1E33"/>
    <w:rsid w:val="000D522A"/>
    <w:rsid w:val="000D689F"/>
    <w:rsid w:val="000E7B7B"/>
    <w:rsid w:val="000E7D62"/>
    <w:rsid w:val="000F1E79"/>
    <w:rsid w:val="000F6D0E"/>
    <w:rsid w:val="00103357"/>
    <w:rsid w:val="001067C2"/>
    <w:rsid w:val="00112444"/>
    <w:rsid w:val="00117DCE"/>
    <w:rsid w:val="00123C9F"/>
    <w:rsid w:val="00126190"/>
    <w:rsid w:val="00130F17"/>
    <w:rsid w:val="001320BF"/>
    <w:rsid w:val="00153D9B"/>
    <w:rsid w:val="00163BC4"/>
    <w:rsid w:val="0016511D"/>
    <w:rsid w:val="001664D1"/>
    <w:rsid w:val="00175078"/>
    <w:rsid w:val="00191062"/>
    <w:rsid w:val="00191557"/>
    <w:rsid w:val="00192B72"/>
    <w:rsid w:val="001A29D8"/>
    <w:rsid w:val="001A5CAA"/>
    <w:rsid w:val="001B0427"/>
    <w:rsid w:val="001D3A51"/>
    <w:rsid w:val="001D45EF"/>
    <w:rsid w:val="001D7C54"/>
    <w:rsid w:val="001E10D2"/>
    <w:rsid w:val="001E1F73"/>
    <w:rsid w:val="001E25B4"/>
    <w:rsid w:val="001E424E"/>
    <w:rsid w:val="001E44FE"/>
    <w:rsid w:val="00200595"/>
    <w:rsid w:val="00200B1D"/>
    <w:rsid w:val="00202025"/>
    <w:rsid w:val="00202E69"/>
    <w:rsid w:val="00204835"/>
    <w:rsid w:val="0020556B"/>
    <w:rsid w:val="00211DE4"/>
    <w:rsid w:val="002175A8"/>
    <w:rsid w:val="00231920"/>
    <w:rsid w:val="0023195C"/>
    <w:rsid w:val="0023209C"/>
    <w:rsid w:val="00234E6C"/>
    <w:rsid w:val="002359DE"/>
    <w:rsid w:val="002418DF"/>
    <w:rsid w:val="0024282C"/>
    <w:rsid w:val="002460DC"/>
    <w:rsid w:val="00250985"/>
    <w:rsid w:val="00250F8A"/>
    <w:rsid w:val="00254814"/>
    <w:rsid w:val="002556F6"/>
    <w:rsid w:val="00283105"/>
    <w:rsid w:val="00284C4C"/>
    <w:rsid w:val="00296184"/>
    <w:rsid w:val="00296529"/>
    <w:rsid w:val="002B27FB"/>
    <w:rsid w:val="002B685A"/>
    <w:rsid w:val="002C57D2"/>
    <w:rsid w:val="002D2997"/>
    <w:rsid w:val="002E0D56"/>
    <w:rsid w:val="002E7B20"/>
    <w:rsid w:val="003043EC"/>
    <w:rsid w:val="0031037B"/>
    <w:rsid w:val="00315186"/>
    <w:rsid w:val="003243AF"/>
    <w:rsid w:val="0033343E"/>
    <w:rsid w:val="003357C5"/>
    <w:rsid w:val="0035058D"/>
    <w:rsid w:val="0035081D"/>
    <w:rsid w:val="003512C2"/>
    <w:rsid w:val="00351D1C"/>
    <w:rsid w:val="00353B07"/>
    <w:rsid w:val="00364411"/>
    <w:rsid w:val="00371FB6"/>
    <w:rsid w:val="003763C1"/>
    <w:rsid w:val="00376BBE"/>
    <w:rsid w:val="0039224F"/>
    <w:rsid w:val="00395507"/>
    <w:rsid w:val="003A43A4"/>
    <w:rsid w:val="003A5ECB"/>
    <w:rsid w:val="003A7E18"/>
    <w:rsid w:val="003B6481"/>
    <w:rsid w:val="003C4C86"/>
    <w:rsid w:val="003C503C"/>
    <w:rsid w:val="003C5E44"/>
    <w:rsid w:val="003C6258"/>
    <w:rsid w:val="003D61B3"/>
    <w:rsid w:val="003E2904"/>
    <w:rsid w:val="003E32A7"/>
    <w:rsid w:val="00400ED3"/>
    <w:rsid w:val="0040110F"/>
    <w:rsid w:val="00401927"/>
    <w:rsid w:val="00401964"/>
    <w:rsid w:val="0041027F"/>
    <w:rsid w:val="00412475"/>
    <w:rsid w:val="00413136"/>
    <w:rsid w:val="00423789"/>
    <w:rsid w:val="004342B8"/>
    <w:rsid w:val="00440F43"/>
    <w:rsid w:val="00441B6F"/>
    <w:rsid w:val="00443EEB"/>
    <w:rsid w:val="00446221"/>
    <w:rsid w:val="00450E62"/>
    <w:rsid w:val="004539DB"/>
    <w:rsid w:val="0047097F"/>
    <w:rsid w:val="00471A80"/>
    <w:rsid w:val="00474297"/>
    <w:rsid w:val="00483372"/>
    <w:rsid w:val="004A508F"/>
    <w:rsid w:val="004C1A3D"/>
    <w:rsid w:val="004C1B9C"/>
    <w:rsid w:val="004D305E"/>
    <w:rsid w:val="004D4277"/>
    <w:rsid w:val="004F5EC6"/>
    <w:rsid w:val="004F64A8"/>
    <w:rsid w:val="00502516"/>
    <w:rsid w:val="00505F06"/>
    <w:rsid w:val="00506828"/>
    <w:rsid w:val="00513DF0"/>
    <w:rsid w:val="0053056E"/>
    <w:rsid w:val="00530E52"/>
    <w:rsid w:val="00554FDA"/>
    <w:rsid w:val="005558DA"/>
    <w:rsid w:val="00566AC6"/>
    <w:rsid w:val="005738F8"/>
    <w:rsid w:val="00585EDB"/>
    <w:rsid w:val="00592DE1"/>
    <w:rsid w:val="00597704"/>
    <w:rsid w:val="005A3D5E"/>
    <w:rsid w:val="005C26F4"/>
    <w:rsid w:val="005C6FE3"/>
    <w:rsid w:val="005C784C"/>
    <w:rsid w:val="005D17F6"/>
    <w:rsid w:val="005E5539"/>
    <w:rsid w:val="005F7869"/>
    <w:rsid w:val="00602BF5"/>
    <w:rsid w:val="00610F42"/>
    <w:rsid w:val="00611534"/>
    <w:rsid w:val="00617FDD"/>
    <w:rsid w:val="0062089F"/>
    <w:rsid w:val="00623056"/>
    <w:rsid w:val="006251FA"/>
    <w:rsid w:val="00633614"/>
    <w:rsid w:val="00633F68"/>
    <w:rsid w:val="00636EB2"/>
    <w:rsid w:val="006375B8"/>
    <w:rsid w:val="00660564"/>
    <w:rsid w:val="0066510A"/>
    <w:rsid w:val="00673F9F"/>
    <w:rsid w:val="006770BC"/>
    <w:rsid w:val="00677893"/>
    <w:rsid w:val="00686953"/>
    <w:rsid w:val="00687DEA"/>
    <w:rsid w:val="00687E67"/>
    <w:rsid w:val="006914AA"/>
    <w:rsid w:val="00692C01"/>
    <w:rsid w:val="006967F7"/>
    <w:rsid w:val="006A250C"/>
    <w:rsid w:val="006A3B7B"/>
    <w:rsid w:val="006B21D3"/>
    <w:rsid w:val="006B57D0"/>
    <w:rsid w:val="006D30FF"/>
    <w:rsid w:val="006D6940"/>
    <w:rsid w:val="006F11EC"/>
    <w:rsid w:val="006F6193"/>
    <w:rsid w:val="0070082C"/>
    <w:rsid w:val="00712B2D"/>
    <w:rsid w:val="007369E6"/>
    <w:rsid w:val="00746E59"/>
    <w:rsid w:val="00752B3E"/>
    <w:rsid w:val="00754C9A"/>
    <w:rsid w:val="0075599A"/>
    <w:rsid w:val="00761D52"/>
    <w:rsid w:val="0077708C"/>
    <w:rsid w:val="0077749E"/>
    <w:rsid w:val="00790ADA"/>
    <w:rsid w:val="007C7815"/>
    <w:rsid w:val="007D0E6A"/>
    <w:rsid w:val="007D2288"/>
    <w:rsid w:val="007D5FEB"/>
    <w:rsid w:val="007E088F"/>
    <w:rsid w:val="007F7B32"/>
    <w:rsid w:val="00804BC2"/>
    <w:rsid w:val="0081431A"/>
    <w:rsid w:val="008178FF"/>
    <w:rsid w:val="008245EF"/>
    <w:rsid w:val="00831B35"/>
    <w:rsid w:val="0083216F"/>
    <w:rsid w:val="00835FAD"/>
    <w:rsid w:val="0084088C"/>
    <w:rsid w:val="00856873"/>
    <w:rsid w:val="00860000"/>
    <w:rsid w:val="00862208"/>
    <w:rsid w:val="00863BD3"/>
    <w:rsid w:val="00866D66"/>
    <w:rsid w:val="008671C6"/>
    <w:rsid w:val="0087271C"/>
    <w:rsid w:val="00875803"/>
    <w:rsid w:val="0088548D"/>
    <w:rsid w:val="008A4224"/>
    <w:rsid w:val="008A4AD3"/>
    <w:rsid w:val="008B459E"/>
    <w:rsid w:val="008D1E92"/>
    <w:rsid w:val="008D393B"/>
    <w:rsid w:val="008D75A6"/>
    <w:rsid w:val="008E13AE"/>
    <w:rsid w:val="008E1506"/>
    <w:rsid w:val="008E710C"/>
    <w:rsid w:val="008F2595"/>
    <w:rsid w:val="008F69D6"/>
    <w:rsid w:val="00900DC0"/>
    <w:rsid w:val="00902823"/>
    <w:rsid w:val="00907828"/>
    <w:rsid w:val="00910564"/>
    <w:rsid w:val="00915CA6"/>
    <w:rsid w:val="00927834"/>
    <w:rsid w:val="00946A56"/>
    <w:rsid w:val="009500A6"/>
    <w:rsid w:val="00957C18"/>
    <w:rsid w:val="00961437"/>
    <w:rsid w:val="009659BA"/>
    <w:rsid w:val="00970A59"/>
    <w:rsid w:val="009710F6"/>
    <w:rsid w:val="00983040"/>
    <w:rsid w:val="009866AB"/>
    <w:rsid w:val="009B3FB9"/>
    <w:rsid w:val="009C0F84"/>
    <w:rsid w:val="009C2465"/>
    <w:rsid w:val="009D0FBF"/>
    <w:rsid w:val="009D15D4"/>
    <w:rsid w:val="009D35A0"/>
    <w:rsid w:val="009D7EB7"/>
    <w:rsid w:val="009E048A"/>
    <w:rsid w:val="009E08E9"/>
    <w:rsid w:val="009E1254"/>
    <w:rsid w:val="009E3DB9"/>
    <w:rsid w:val="009E6E35"/>
    <w:rsid w:val="009F0EDA"/>
    <w:rsid w:val="00A03ADF"/>
    <w:rsid w:val="00A03B96"/>
    <w:rsid w:val="00A05B19"/>
    <w:rsid w:val="00A05C6D"/>
    <w:rsid w:val="00A1134E"/>
    <w:rsid w:val="00A12C32"/>
    <w:rsid w:val="00A24E7E"/>
    <w:rsid w:val="00A258C3"/>
    <w:rsid w:val="00A258DC"/>
    <w:rsid w:val="00A303FD"/>
    <w:rsid w:val="00A347C0"/>
    <w:rsid w:val="00A37377"/>
    <w:rsid w:val="00A43706"/>
    <w:rsid w:val="00A51431"/>
    <w:rsid w:val="00A52D6D"/>
    <w:rsid w:val="00A5389C"/>
    <w:rsid w:val="00A539AD"/>
    <w:rsid w:val="00A57EEF"/>
    <w:rsid w:val="00A74539"/>
    <w:rsid w:val="00A94063"/>
    <w:rsid w:val="00AA1E8E"/>
    <w:rsid w:val="00AA4812"/>
    <w:rsid w:val="00AA4CBA"/>
    <w:rsid w:val="00AA6219"/>
    <w:rsid w:val="00AA74E0"/>
    <w:rsid w:val="00AB12B3"/>
    <w:rsid w:val="00AB4BD9"/>
    <w:rsid w:val="00AB703F"/>
    <w:rsid w:val="00AC1B9F"/>
    <w:rsid w:val="00AC6BB8"/>
    <w:rsid w:val="00AD3135"/>
    <w:rsid w:val="00AE008F"/>
    <w:rsid w:val="00AF743A"/>
    <w:rsid w:val="00B01FCD"/>
    <w:rsid w:val="00B06471"/>
    <w:rsid w:val="00B12576"/>
    <w:rsid w:val="00B14BA9"/>
    <w:rsid w:val="00B1776C"/>
    <w:rsid w:val="00B22F3F"/>
    <w:rsid w:val="00B277C8"/>
    <w:rsid w:val="00B45C26"/>
    <w:rsid w:val="00B47493"/>
    <w:rsid w:val="00B52896"/>
    <w:rsid w:val="00B86163"/>
    <w:rsid w:val="00B911A2"/>
    <w:rsid w:val="00B95236"/>
    <w:rsid w:val="00B96BD9"/>
    <w:rsid w:val="00BA13B8"/>
    <w:rsid w:val="00BA1B01"/>
    <w:rsid w:val="00BA2641"/>
    <w:rsid w:val="00BB37AA"/>
    <w:rsid w:val="00BC53A0"/>
    <w:rsid w:val="00BD0D31"/>
    <w:rsid w:val="00BD28FB"/>
    <w:rsid w:val="00BE62AD"/>
    <w:rsid w:val="00BF121F"/>
    <w:rsid w:val="00BF1F80"/>
    <w:rsid w:val="00BF5184"/>
    <w:rsid w:val="00BF77A6"/>
    <w:rsid w:val="00C10234"/>
    <w:rsid w:val="00C166EF"/>
    <w:rsid w:val="00C17EB0"/>
    <w:rsid w:val="00C27F5F"/>
    <w:rsid w:val="00C30A0F"/>
    <w:rsid w:val="00C37E61"/>
    <w:rsid w:val="00C416BD"/>
    <w:rsid w:val="00C418E4"/>
    <w:rsid w:val="00C433D8"/>
    <w:rsid w:val="00C47119"/>
    <w:rsid w:val="00C63EE8"/>
    <w:rsid w:val="00C70F1B"/>
    <w:rsid w:val="00C71A47"/>
    <w:rsid w:val="00C7464C"/>
    <w:rsid w:val="00C82BF3"/>
    <w:rsid w:val="00C85588"/>
    <w:rsid w:val="00CA1731"/>
    <w:rsid w:val="00CD21FB"/>
    <w:rsid w:val="00CD6755"/>
    <w:rsid w:val="00CD6856"/>
    <w:rsid w:val="00CD724D"/>
    <w:rsid w:val="00CE0089"/>
    <w:rsid w:val="00CE793C"/>
    <w:rsid w:val="00CF0E6D"/>
    <w:rsid w:val="00D05002"/>
    <w:rsid w:val="00D120F5"/>
    <w:rsid w:val="00D13742"/>
    <w:rsid w:val="00D173F1"/>
    <w:rsid w:val="00D26E7C"/>
    <w:rsid w:val="00D32789"/>
    <w:rsid w:val="00D36094"/>
    <w:rsid w:val="00D417F3"/>
    <w:rsid w:val="00D56D16"/>
    <w:rsid w:val="00D63F78"/>
    <w:rsid w:val="00D8295D"/>
    <w:rsid w:val="00DA1A92"/>
    <w:rsid w:val="00DC0BB1"/>
    <w:rsid w:val="00DC2A65"/>
    <w:rsid w:val="00DC4B69"/>
    <w:rsid w:val="00DC4F96"/>
    <w:rsid w:val="00DC664D"/>
    <w:rsid w:val="00DE15F0"/>
    <w:rsid w:val="00DE1E54"/>
    <w:rsid w:val="00DE5663"/>
    <w:rsid w:val="00DE78AA"/>
    <w:rsid w:val="00E051E1"/>
    <w:rsid w:val="00E053D0"/>
    <w:rsid w:val="00E15994"/>
    <w:rsid w:val="00E220F4"/>
    <w:rsid w:val="00E25A7A"/>
    <w:rsid w:val="00E25C86"/>
    <w:rsid w:val="00E30D3B"/>
    <w:rsid w:val="00E3114E"/>
    <w:rsid w:val="00E31A70"/>
    <w:rsid w:val="00E34698"/>
    <w:rsid w:val="00E35B02"/>
    <w:rsid w:val="00E4054E"/>
    <w:rsid w:val="00E66496"/>
    <w:rsid w:val="00E66B35"/>
    <w:rsid w:val="00E66E10"/>
    <w:rsid w:val="00E707B1"/>
    <w:rsid w:val="00E769F6"/>
    <w:rsid w:val="00E8407C"/>
    <w:rsid w:val="00E84F3C"/>
    <w:rsid w:val="00E93A9F"/>
    <w:rsid w:val="00EA012C"/>
    <w:rsid w:val="00EA125E"/>
    <w:rsid w:val="00EA23B6"/>
    <w:rsid w:val="00EA7C43"/>
    <w:rsid w:val="00EC41B2"/>
    <w:rsid w:val="00EC4657"/>
    <w:rsid w:val="00EC47A3"/>
    <w:rsid w:val="00ED0288"/>
    <w:rsid w:val="00ED7E50"/>
    <w:rsid w:val="00EE52CB"/>
    <w:rsid w:val="00EF105E"/>
    <w:rsid w:val="00EF581D"/>
    <w:rsid w:val="00EF7FD8"/>
    <w:rsid w:val="00F01623"/>
    <w:rsid w:val="00F04C74"/>
    <w:rsid w:val="00F06F59"/>
    <w:rsid w:val="00F13870"/>
    <w:rsid w:val="00F17988"/>
    <w:rsid w:val="00F309A2"/>
    <w:rsid w:val="00F31F3F"/>
    <w:rsid w:val="00F33C8B"/>
    <w:rsid w:val="00F469F0"/>
    <w:rsid w:val="00F52026"/>
    <w:rsid w:val="00F53273"/>
    <w:rsid w:val="00F755E4"/>
    <w:rsid w:val="00F76EE9"/>
    <w:rsid w:val="00F77D02"/>
    <w:rsid w:val="00F93B5B"/>
    <w:rsid w:val="00FB3A86"/>
    <w:rsid w:val="00FD36C8"/>
    <w:rsid w:val="00FE129E"/>
    <w:rsid w:val="00FE2E92"/>
    <w:rsid w:val="00FE2F31"/>
    <w:rsid w:val="00FF11D4"/>
    <w:rsid w:val="00FF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EE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35081D"/>
    <w:rPr>
      <w:color w:val="605E5C"/>
      <w:shd w:val="clear" w:color="auto" w:fill="E1DFDD"/>
    </w:rPr>
  </w:style>
  <w:style w:type="paragraph" w:styleId="NoSpacing">
    <w:name w:val="No Spacing"/>
    <w:uiPriority w:val="1"/>
    <w:qFormat/>
    <w:rsid w:val="004342B8"/>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D83A-4DB7-4923-9BE9-3D0BE9CF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10</Pages>
  <Words>4300</Words>
  <Characters>24516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51</cp:revision>
  <cp:lastPrinted>1999-07-06T11:00:00Z</cp:lastPrinted>
  <dcterms:created xsi:type="dcterms:W3CDTF">2025-09-01T18:02:00Z</dcterms:created>
  <dcterms:modified xsi:type="dcterms:W3CDTF">2025-09-03T06:51:00Z</dcterms:modified>
</cp:coreProperties>
</file>