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2A0B" w14:textId="50AAFED4" w:rsidR="006E2AE1" w:rsidRDefault="006E2AE1" w:rsidP="006E2AE1">
      <w:pPr>
        <w:jc w:val="center"/>
        <w:rPr>
          <w:rFonts w:ascii="Times New Roman" w:hAnsi="Times New Roman" w:cs="Times New Roman"/>
          <w:b/>
          <w:bCs/>
        </w:rPr>
      </w:pPr>
      <w:r w:rsidRPr="006E2AE1">
        <w:rPr>
          <w:rFonts w:ascii="Times New Roman" w:hAnsi="Times New Roman" w:cs="Times New Roman"/>
          <w:b/>
          <w:bCs/>
        </w:rPr>
        <w:t>"Synthetic Xanthone Derivatives as Multifunctional Therapeutics for Alzheimer’s Disease: Chemistry, Mechanisms, and Future Perspectives"</w:t>
      </w:r>
    </w:p>
    <w:p w14:paraId="32356931" w14:textId="77777777" w:rsidR="006E2AE1" w:rsidRDefault="006E2AE1" w:rsidP="006E2AE1">
      <w:pPr>
        <w:jc w:val="both"/>
        <w:rPr>
          <w:rFonts w:ascii="Times New Roman" w:hAnsi="Times New Roman" w:cs="Times New Roman"/>
          <w:b/>
          <w:bCs/>
        </w:rPr>
      </w:pPr>
    </w:p>
    <w:p w14:paraId="648CC87B" w14:textId="3385E1D5"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Abstract</w:t>
      </w:r>
    </w:p>
    <w:p w14:paraId="07F3FA31"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Introduction:</w:t>
      </w:r>
      <w:r w:rsidRPr="006E2AE1">
        <w:rPr>
          <w:rFonts w:ascii="Times New Roman" w:hAnsi="Times New Roman" w:cs="Times New Roman"/>
        </w:rPr>
        <w:t xml:space="preserve"> Alzheimer’s disease (AD) is a progressive neurodegenerative disorder characterized by cognitive decline and memory loss, with limited effective therapeutic options available. Synthetic xanthone derivatives have recently garnered attention due to their diverse pharmacological properties and potential to target multiple AD pathological pathways.</w:t>
      </w:r>
    </w:p>
    <w:p w14:paraId="35D1E5AB" w14:textId="701AA642"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Methods: </w:t>
      </w:r>
      <w:r w:rsidRPr="006E2AE1">
        <w:rPr>
          <w:rFonts w:ascii="Times New Roman" w:hAnsi="Times New Roman" w:cs="Times New Roman"/>
        </w:rPr>
        <w:t>This review comprehensively analyzes recent advances in the synthesis, chemical modifications, and biological activities of synthetic xanthone derivatives relevant to AD. Literature from various databases was critically evaluated, focusing on structure</w:t>
      </w:r>
      <w:r>
        <w:rPr>
          <w:rFonts w:ascii="Times New Roman" w:hAnsi="Times New Roman" w:cs="Times New Roman"/>
        </w:rPr>
        <w:t xml:space="preserve"> </w:t>
      </w:r>
      <w:r w:rsidRPr="006E2AE1">
        <w:rPr>
          <w:rFonts w:ascii="Times New Roman" w:hAnsi="Times New Roman" w:cs="Times New Roman"/>
        </w:rPr>
        <w:t>activity relationships (SAR), mechanisms of action, pharmacokinetics, and drug delivery approaches. Emphasis was placed on multidisciplinary strategies integrating medicinal chemistry, pharmacology, and neuroscience to accelerate therapeutic development.</w:t>
      </w:r>
    </w:p>
    <w:p w14:paraId="5064AFFB"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Results: </w:t>
      </w:r>
      <w:r w:rsidRPr="006E2AE1">
        <w:rPr>
          <w:rFonts w:ascii="Times New Roman" w:hAnsi="Times New Roman" w:cs="Times New Roman"/>
        </w:rPr>
        <w:t>Synthetic xanthones demonstrate multiple bioactivities including antioxidant, anti-inflammatory, acetylcholinesterase inhibitory, and anti-amyloidogenic effects, contributing to their neuroprotective potential. SAR studies and computational modeling have identified key structural motifs that enhance potency and selectivity for AD targets. However, challenges such as limited blood–brain barrier permeability and in vivo efficacy require innovative drug delivery systems, including nanocarriers and prodrug strategies. The review highlights successful preclinical studies showcasing cognitive improvements and neuropathological mitigation in AD models</w:t>
      </w:r>
      <w:r w:rsidRPr="006E2AE1">
        <w:rPr>
          <w:rFonts w:ascii="Times New Roman" w:hAnsi="Times New Roman" w:cs="Times New Roman"/>
          <w:b/>
          <w:bCs/>
        </w:rPr>
        <w:t>.</w:t>
      </w:r>
    </w:p>
    <w:p w14:paraId="41C00860"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Conclusion: </w:t>
      </w:r>
      <w:r w:rsidRPr="006E2AE1">
        <w:rPr>
          <w:rFonts w:ascii="Times New Roman" w:hAnsi="Times New Roman" w:cs="Times New Roman"/>
        </w:rPr>
        <w:t>Synthetic xanthone derivatives represent a promising scaffold for multi-targeted AD therapy. Future research should focus on optimizing pharmacokinetic properties, expanding in vivo validation, and clinical translation through a collaborative multidisciplinary approach. Harnessing advances in chemistry, biology, and drug delivery will be critical to realize the therapeutic potential of xanthone-based compounds and address the unmet needs in Alzheimer’s disease treatment.</w:t>
      </w:r>
    </w:p>
    <w:p w14:paraId="7F0E1CB1"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Keywords: </w:t>
      </w:r>
      <w:r w:rsidRPr="006E2AE1">
        <w:rPr>
          <w:rFonts w:ascii="Times New Roman" w:hAnsi="Times New Roman" w:cs="Times New Roman"/>
        </w:rPr>
        <w:t>Alzheimer’s disease, synthetic xanthones, neuroprotection, multi-target therapy, drug delivery, medicinal chemistry</w:t>
      </w:r>
    </w:p>
    <w:p w14:paraId="2D52C1D0" w14:textId="77777777" w:rsidR="006E2AE1" w:rsidRDefault="006E2AE1" w:rsidP="00A0146C">
      <w:pPr>
        <w:jc w:val="both"/>
        <w:rPr>
          <w:rFonts w:ascii="Times New Roman" w:hAnsi="Times New Roman" w:cs="Times New Roman"/>
          <w:b/>
          <w:bCs/>
        </w:rPr>
      </w:pPr>
    </w:p>
    <w:p w14:paraId="2FECDF7D" w14:textId="77777777" w:rsidR="006E2AE1" w:rsidRDefault="006E2AE1" w:rsidP="00A0146C">
      <w:pPr>
        <w:jc w:val="both"/>
        <w:rPr>
          <w:rFonts w:ascii="Times New Roman" w:hAnsi="Times New Roman" w:cs="Times New Roman"/>
          <w:b/>
          <w:bCs/>
        </w:rPr>
      </w:pPr>
    </w:p>
    <w:p w14:paraId="063AB8B9" w14:textId="77777777" w:rsidR="006E2AE1" w:rsidRDefault="006E2AE1" w:rsidP="00A0146C">
      <w:pPr>
        <w:jc w:val="both"/>
        <w:rPr>
          <w:rFonts w:ascii="Times New Roman" w:hAnsi="Times New Roman" w:cs="Times New Roman"/>
          <w:b/>
          <w:bCs/>
        </w:rPr>
      </w:pPr>
    </w:p>
    <w:p w14:paraId="7D668F8A" w14:textId="77777777" w:rsidR="006E2AE1" w:rsidRDefault="006E2AE1" w:rsidP="00A0146C">
      <w:pPr>
        <w:jc w:val="both"/>
        <w:rPr>
          <w:rFonts w:ascii="Times New Roman" w:hAnsi="Times New Roman" w:cs="Times New Roman"/>
          <w:b/>
          <w:bCs/>
        </w:rPr>
      </w:pPr>
    </w:p>
    <w:p w14:paraId="5185D18B" w14:textId="77777777" w:rsidR="006E2AE1" w:rsidRDefault="006E2AE1" w:rsidP="00A0146C">
      <w:pPr>
        <w:jc w:val="both"/>
        <w:rPr>
          <w:rFonts w:ascii="Times New Roman" w:hAnsi="Times New Roman" w:cs="Times New Roman"/>
          <w:b/>
          <w:bCs/>
        </w:rPr>
      </w:pPr>
    </w:p>
    <w:p w14:paraId="267CB640" w14:textId="77777777" w:rsidR="006E2AE1" w:rsidRDefault="006E2AE1" w:rsidP="00A0146C">
      <w:pPr>
        <w:jc w:val="both"/>
        <w:rPr>
          <w:rFonts w:ascii="Times New Roman" w:hAnsi="Times New Roman" w:cs="Times New Roman"/>
          <w:b/>
          <w:bCs/>
        </w:rPr>
      </w:pPr>
    </w:p>
    <w:p w14:paraId="01752ACF" w14:textId="50D56B28"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lastRenderedPageBreak/>
        <w:t>Introduction</w:t>
      </w:r>
    </w:p>
    <w:p w14:paraId="06F7E852"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Alzheimer’s disease (AD) is a progressive neurodegenerative disorder characterized by cognitive decline, memory impairment, and behavioral disturbances. It is the most common form of dementia, accounting for approximately 60–70% of all cases worldwide [1]. With a rapidly aging global population, the incidence of AD is projected to rise significantly, posing a growing public health burden and challenging healthcare systems globally.</w:t>
      </w:r>
    </w:p>
    <w:p w14:paraId="6F985034" w14:textId="7CA13F65" w:rsidR="00A0146C" w:rsidRPr="00A0146C" w:rsidRDefault="00A0146C" w:rsidP="00A0146C">
      <w:pPr>
        <w:jc w:val="both"/>
        <w:rPr>
          <w:rFonts w:ascii="Times New Roman" w:hAnsi="Times New Roman" w:cs="Times New Roman"/>
        </w:rPr>
      </w:pPr>
      <w:r w:rsidRPr="00A0146C">
        <w:rPr>
          <w:rFonts w:ascii="Times New Roman" w:hAnsi="Times New Roman" w:cs="Times New Roman"/>
        </w:rPr>
        <w:t>The underlying pathology of AD is multifactorial, involving the accumulation of amyloid-β (Aβ) plaques, hyperphosphorylation of tau proteins leading to neurofibrillary tangles, oxidative stress, mitochondrial dysfunction, neuroinflammation, and impaired cholinergic neurotransmission [2]. Current pharmacological interventions, including cholinesterase inhibitors (e.g.,</w:t>
      </w:r>
      <w:r>
        <w:rPr>
          <w:rFonts w:ascii="Times New Roman" w:hAnsi="Times New Roman" w:cs="Times New Roman"/>
        </w:rPr>
        <w:t xml:space="preserve"> </w:t>
      </w:r>
      <w:r w:rsidRPr="00A0146C">
        <w:rPr>
          <w:rFonts w:ascii="Times New Roman" w:hAnsi="Times New Roman" w:cs="Times New Roman"/>
        </w:rPr>
        <w:t>donepezil, rivastigmine) and NMDA receptor antagonists (e.g., memantine), provide only symptomatic relief and do not halt disease progression [3]. Moreover, the therapeutic efficacy of these drugs is limited, and adverse effects often compromise long-term use. These limitations underscore the urgent need for novel, multitarget-directed therapeutics capable of modulating various pathogenic pathways involved in AD.</w:t>
      </w:r>
    </w:p>
    <w:p w14:paraId="4149CBFF" w14:textId="277DA401" w:rsidR="00A0146C" w:rsidRPr="00A0146C" w:rsidRDefault="00A0146C" w:rsidP="00A0146C">
      <w:pPr>
        <w:jc w:val="both"/>
        <w:rPr>
          <w:rFonts w:ascii="Times New Roman" w:hAnsi="Times New Roman" w:cs="Times New Roman"/>
        </w:rPr>
      </w:pPr>
      <w:r w:rsidRPr="00A0146C">
        <w:rPr>
          <w:rFonts w:ascii="Times New Roman" w:hAnsi="Times New Roman" w:cs="Times New Roman"/>
        </w:rPr>
        <w:t>In recent years, xanthone derivatives have gained attention as promising scaffolds in the search for effective AD therapeutics. Xanthones are a class of oxygenated heterocyclic compounds with a dibenzo-γ-pyrone structure, widely found in natural sources such as mangosteen and certain fungi and lichens [4]. Their broad spectrum of biological activities</w:t>
      </w:r>
      <w:r>
        <w:rPr>
          <w:rFonts w:ascii="Times New Roman" w:hAnsi="Times New Roman" w:cs="Times New Roman"/>
        </w:rPr>
        <w:t xml:space="preserve"> </w:t>
      </w:r>
      <w:r w:rsidRPr="00A0146C">
        <w:rPr>
          <w:rFonts w:ascii="Times New Roman" w:hAnsi="Times New Roman" w:cs="Times New Roman"/>
        </w:rPr>
        <w:t>including antioxidant, anti-inflammatory, and neuroprotective effects</w:t>
      </w:r>
      <w:r>
        <w:rPr>
          <w:rFonts w:ascii="Times New Roman" w:hAnsi="Times New Roman" w:cs="Times New Roman"/>
        </w:rPr>
        <w:t xml:space="preserve"> </w:t>
      </w:r>
      <w:proofErr w:type="gramStart"/>
      <w:r w:rsidRPr="00A0146C">
        <w:rPr>
          <w:rFonts w:ascii="Times New Roman" w:hAnsi="Times New Roman" w:cs="Times New Roman"/>
        </w:rPr>
        <w:t>make</w:t>
      </w:r>
      <w:proofErr w:type="gramEnd"/>
      <w:r w:rsidRPr="00A0146C">
        <w:rPr>
          <w:rFonts w:ascii="Times New Roman" w:hAnsi="Times New Roman" w:cs="Times New Roman"/>
        </w:rPr>
        <w:t xml:space="preserve"> them particularly attractive for neurodegenerative disease research. Furthermore, chemical modifications of the xanthone core have yielded synthetic derivatives with enhanced potency and selectivity for AD-relevant targets, such as Aβ aggregation, acetylcholinesterase inhibition, and oxidative stress mitigation [5–6]. These multifunctional potential positions synthetic xanthone derivatives as viable candidates for disease-modifying therapy in Alzheimer’s disease.</w:t>
      </w:r>
    </w:p>
    <w:p w14:paraId="7C19DE39" w14:textId="77777777"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Xanthone Core: Chemistry and Bioactivity</w:t>
      </w:r>
    </w:p>
    <w:p w14:paraId="076F2FDD" w14:textId="77777777" w:rsidR="00A0146C" w:rsidRDefault="00A0146C" w:rsidP="00A0146C">
      <w:pPr>
        <w:jc w:val="both"/>
        <w:rPr>
          <w:rFonts w:ascii="Times New Roman" w:hAnsi="Times New Roman" w:cs="Times New Roman"/>
        </w:rPr>
      </w:pPr>
      <w:r w:rsidRPr="00A0146C">
        <w:rPr>
          <w:rFonts w:ascii="Times New Roman" w:hAnsi="Times New Roman" w:cs="Times New Roman"/>
        </w:rPr>
        <w:t xml:space="preserve">Xanthones are a class of polyphenolic compounds characterized by a tricyclic aromatic structure consisting of a dibenzo-γ-pyrone scaffold. This structure features two benzene rings (A and B rings) linked by a central six-membered </w:t>
      </w:r>
      <w:proofErr w:type="spellStart"/>
      <w:r w:rsidRPr="00A0146C">
        <w:rPr>
          <w:rFonts w:ascii="Times New Roman" w:hAnsi="Times New Roman" w:cs="Times New Roman"/>
        </w:rPr>
        <w:t>pyranone</w:t>
      </w:r>
      <w:proofErr w:type="spellEnd"/>
      <w:r w:rsidRPr="00A0146C">
        <w:rPr>
          <w:rFonts w:ascii="Times New Roman" w:hAnsi="Times New Roman" w:cs="Times New Roman"/>
        </w:rPr>
        <w:t xml:space="preserve"> ring, forming a rigid, planar framework (Figure 1). This unique arrangement provides a versatile platform for structural modifications, enabling the design of derivatives with improved pharmacological properties [7].</w:t>
      </w:r>
    </w:p>
    <w:p w14:paraId="01308716" w14:textId="77777777" w:rsidR="000E330B" w:rsidRDefault="000E330B" w:rsidP="00A0146C">
      <w:pPr>
        <w:jc w:val="center"/>
        <w:rPr>
          <w:rFonts w:ascii="Times New Roman" w:hAnsi="Times New Roman" w:cs="Times New Roman"/>
        </w:rPr>
      </w:pPr>
    </w:p>
    <w:p w14:paraId="4B1A7470" w14:textId="77777777" w:rsidR="000E330B" w:rsidRDefault="000E330B" w:rsidP="00A0146C">
      <w:pPr>
        <w:jc w:val="center"/>
        <w:rPr>
          <w:rFonts w:ascii="Times New Roman" w:hAnsi="Times New Roman" w:cs="Times New Roman"/>
        </w:rPr>
      </w:pPr>
    </w:p>
    <w:p w14:paraId="69B5740B" w14:textId="77777777" w:rsidR="000E330B" w:rsidRDefault="000E330B" w:rsidP="00A0146C">
      <w:pPr>
        <w:jc w:val="center"/>
        <w:rPr>
          <w:rFonts w:ascii="Times New Roman" w:hAnsi="Times New Roman" w:cs="Times New Roman"/>
        </w:rPr>
      </w:pPr>
    </w:p>
    <w:p w14:paraId="1D6640DE" w14:textId="77777777" w:rsidR="000E330B" w:rsidRDefault="000E330B" w:rsidP="00A0146C">
      <w:pPr>
        <w:jc w:val="center"/>
        <w:rPr>
          <w:rFonts w:ascii="Times New Roman" w:hAnsi="Times New Roman" w:cs="Times New Roman"/>
        </w:rPr>
      </w:pPr>
    </w:p>
    <w:p w14:paraId="6ED5E1CB" w14:textId="39671DAB" w:rsidR="00622B29" w:rsidRDefault="00295B2D" w:rsidP="00A0146C">
      <w:pPr>
        <w:jc w:val="center"/>
        <w:rPr>
          <w:rFonts w:ascii="Times New Roman" w:hAnsi="Times New Roman" w:cs="Times New Roman"/>
        </w:rPr>
      </w:pPr>
      <w:r>
        <w:rPr>
          <w:rFonts w:ascii="Times New Roman" w:hAnsi="Times New Roman" w:cs="Times New Roman"/>
          <w:noProof/>
          <w:lang w:val="en-IN" w:eastAsia="en-IN" w:bidi="ar-SA"/>
        </w:rPr>
        <w:lastRenderedPageBreak/>
        <mc:AlternateContent>
          <mc:Choice Requires="wps">
            <w:drawing>
              <wp:anchor distT="0" distB="0" distL="114300" distR="114300" simplePos="0" relativeHeight="251659264" behindDoc="0" locked="0" layoutInCell="1" allowOverlap="1" wp14:anchorId="30E70017" wp14:editId="53C8381B">
                <wp:simplePos x="0" y="0"/>
                <wp:positionH relativeFrom="margin">
                  <wp:align>right</wp:align>
                </wp:positionH>
                <wp:positionV relativeFrom="paragraph">
                  <wp:posOffset>-552450</wp:posOffset>
                </wp:positionV>
                <wp:extent cx="2647950" cy="1590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647950" cy="1590675"/>
                        </a:xfrm>
                        <a:prstGeom prst="rect">
                          <a:avLst/>
                        </a:prstGeom>
                        <a:solidFill>
                          <a:schemeClr val="lt1"/>
                        </a:solidFill>
                        <a:ln w="6350">
                          <a:solidFill>
                            <a:prstClr val="black"/>
                          </a:solidFill>
                        </a:ln>
                      </wps:spPr>
                      <wps:txbx>
                        <w:txbxContent>
                          <w:p w14:paraId="7F1A9FFC" w14:textId="42E17240" w:rsidR="00622B29" w:rsidRDefault="00622B29">
                            <w:r>
                              <w:rPr>
                                <w:noProof/>
                                <w:lang w:val="en-IN" w:eastAsia="en-IN" w:bidi="ar-SA"/>
                              </w:rPr>
                              <w:drawing>
                                <wp:inline distT="0" distB="0" distL="0" distR="0" wp14:anchorId="5DE8EA99" wp14:editId="0D28976E">
                                  <wp:extent cx="2411095" cy="1524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11095" cy="1524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70017" id="_x0000_t202" coordsize="21600,21600" o:spt="202" path="m,l,21600r21600,l21600,xe">
                <v:stroke joinstyle="miter"/>
                <v:path gradientshapeok="t" o:connecttype="rect"/>
              </v:shapetype>
              <v:shape id="Text Box 3" o:spid="_x0000_s1026" type="#_x0000_t202" style="position:absolute;left:0;text-align:left;margin-left:157.3pt;margin-top:-43.5pt;width:208.5pt;height:12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" fillcolor="white [3201]" strokeweight=".5pt">
                <v:textbox>
                  <w:txbxContent>
                    <w:p w14:paraId="7F1A9FFC" w14:textId="42E17240" w:rsidR="00622B29" w:rsidRDefault="00622B29">
                      <w:r>
                        <w:rPr>
                          <w:noProof/>
                          <w:lang w:val="en-IN" w:eastAsia="en-IN" w:bidi="ar-SA"/>
                        </w:rPr>
                        <w:drawing>
                          <wp:inline distT="0" distB="0" distL="0" distR="0" wp14:anchorId="5DE8EA99" wp14:editId="0D28976E">
                            <wp:extent cx="2411095" cy="1524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11095" cy="1524000"/>
                                    </a:xfrm>
                                    <a:prstGeom prst="rect">
                                      <a:avLst/>
                                    </a:prstGeom>
                                  </pic:spPr>
                                </pic:pic>
                              </a:graphicData>
                            </a:graphic>
                          </wp:inline>
                        </w:drawing>
                      </w:r>
                    </w:p>
                  </w:txbxContent>
                </v:textbox>
                <w10:wrap anchorx="margin"/>
              </v:shape>
            </w:pict>
          </mc:Fallback>
        </mc:AlternateContent>
      </w:r>
      <w:r>
        <w:rPr>
          <w:rFonts w:ascii="Times New Roman" w:hAnsi="Times New Roman" w:cs="Times New Roman"/>
          <w:noProof/>
          <w:lang w:val="en-IN" w:eastAsia="en-IN" w:bidi="ar-SA"/>
        </w:rPr>
        <mc:AlternateContent>
          <mc:Choice Requires="wps">
            <w:drawing>
              <wp:anchor distT="0" distB="0" distL="114300" distR="114300" simplePos="0" relativeHeight="251660288" behindDoc="0" locked="0" layoutInCell="1" allowOverlap="1" wp14:anchorId="63CF54D8" wp14:editId="170AA9E5">
                <wp:simplePos x="0" y="0"/>
                <wp:positionH relativeFrom="column">
                  <wp:posOffset>161925</wp:posOffset>
                </wp:positionH>
                <wp:positionV relativeFrom="paragraph">
                  <wp:posOffset>-552450</wp:posOffset>
                </wp:positionV>
                <wp:extent cx="2667000" cy="1619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667000" cy="1619250"/>
                        </a:xfrm>
                        <a:prstGeom prst="rect">
                          <a:avLst/>
                        </a:prstGeom>
                        <a:solidFill>
                          <a:schemeClr val="lt1"/>
                        </a:solidFill>
                        <a:ln w="6350">
                          <a:solidFill>
                            <a:prstClr val="black"/>
                          </a:solidFill>
                        </a:ln>
                      </wps:spPr>
                      <wps:txbx>
                        <w:txbxContent>
                          <w:p w14:paraId="08601000" w14:textId="2DE21EA3" w:rsidR="00622B29" w:rsidRDefault="00622B29">
                            <w:r>
                              <w:object w:dxaOrig="2741" w:dyaOrig="1726" w14:anchorId="2DB3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5pt;height:116.25pt">
                                  <v:imagedata r:id="rId7" o:title=""/>
                                </v:shape>
                                <o:OLEObject Type="Embed" ProgID="Unknown" ShapeID="_x0000_i1026" DrawAspect="Content" ObjectID="_1815661537" r:id="rId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F54D8" id="Text Box 5" o:spid="_x0000_s1027" type="#_x0000_t202" style="position:absolute;left:0;text-align:left;margin-left:12.75pt;margin-top:-43.5pt;width:210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" fillcolor="white [3201]" strokeweight=".5pt">
                <v:textbox>
                  <w:txbxContent>
                    <w:p w14:paraId="08601000" w14:textId="2DE21EA3" w:rsidR="00622B29" w:rsidRDefault="00622B29">
                      <w:r>
                        <w:object w:dxaOrig="2741" w:dyaOrig="1726" w14:anchorId="2DB38279">
                          <v:shape id="_x0000_i1026" type="#_x0000_t75" style="width:184.5pt;height:116.25pt">
                            <v:imagedata r:id="rId7" o:title=""/>
                          </v:shape>
                          <o:OLEObject Type="Embed" ProgID="Unknown" ShapeID="_x0000_i1026" DrawAspect="Content" ObjectID="_1815661537" r:id="rId9"/>
                        </w:object>
                      </w:r>
                    </w:p>
                  </w:txbxContent>
                </v:textbox>
              </v:shape>
            </w:pict>
          </mc:Fallback>
        </mc:AlternateContent>
      </w:r>
    </w:p>
    <w:p w14:paraId="34DBA6F1" w14:textId="77777777" w:rsidR="00622B29" w:rsidRDefault="00622B29" w:rsidP="00A0146C">
      <w:pPr>
        <w:jc w:val="center"/>
        <w:rPr>
          <w:rFonts w:ascii="Times New Roman" w:hAnsi="Times New Roman" w:cs="Times New Roman"/>
        </w:rPr>
      </w:pPr>
    </w:p>
    <w:p w14:paraId="4592B37D" w14:textId="0BAFBD03" w:rsidR="00622B29" w:rsidRDefault="00622B29" w:rsidP="00A0146C">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A149190" w14:textId="77777777" w:rsidR="00295B2D" w:rsidRDefault="00295B2D" w:rsidP="00295B2D">
      <w:pPr>
        <w:rPr>
          <w:rFonts w:ascii="Times New Roman" w:hAnsi="Times New Roman" w:cs="Times New Roman"/>
        </w:rPr>
      </w:pPr>
    </w:p>
    <w:p w14:paraId="093CA9B7" w14:textId="34FE491E" w:rsidR="00A0146C" w:rsidRPr="00A0146C" w:rsidRDefault="00295B2D" w:rsidP="00295B2D">
      <w:pPr>
        <w:rPr>
          <w:rFonts w:ascii="Times New Roman" w:hAnsi="Times New Roman" w:cs="Times New Roman"/>
        </w:rPr>
      </w:pPr>
      <w:r>
        <w:rPr>
          <w:rFonts w:ascii="Times New Roman" w:hAnsi="Times New Roman" w:cs="Times New Roman"/>
        </w:rPr>
        <w:t xml:space="preserve">                Fig 1: 2D Structure of Xanthone</w:t>
      </w:r>
      <w:r>
        <w:rPr>
          <w:rFonts w:ascii="Times New Roman" w:hAnsi="Times New Roman" w:cs="Times New Roman"/>
        </w:rPr>
        <w:tab/>
      </w:r>
      <w:r>
        <w:rPr>
          <w:rFonts w:ascii="Times New Roman" w:hAnsi="Times New Roman" w:cs="Times New Roman"/>
        </w:rPr>
        <w:tab/>
        <w:t xml:space="preserve">       Fig 2: 3D Structure of Xanthone</w:t>
      </w:r>
    </w:p>
    <w:p w14:paraId="4F8BEE34" w14:textId="477091F1"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Chemical Diversity and Natural Occurrence</w:t>
      </w:r>
    </w:p>
    <w:p w14:paraId="463E0E37"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 xml:space="preserve">Naturally occurring xanthones have been isolated from a wide variety of sources, including higher plants (especially </w:t>
      </w:r>
      <w:r w:rsidRPr="00A0146C">
        <w:rPr>
          <w:rFonts w:ascii="Times New Roman" w:hAnsi="Times New Roman" w:cs="Times New Roman"/>
          <w:i/>
          <w:iCs/>
        </w:rPr>
        <w:t>Garcinia</w:t>
      </w:r>
      <w:r w:rsidRPr="00A0146C">
        <w:rPr>
          <w:rFonts w:ascii="Times New Roman" w:hAnsi="Times New Roman" w:cs="Times New Roman"/>
        </w:rPr>
        <w:t xml:space="preserve"> species), fungi, lichens, and even some marine organisms [8]. More than 200 natural xanthone analogues have been identified, many of which exhibit significant biological activities. These compounds are often classified based on the presence and position of substituent groups such as hydroxyl, </w:t>
      </w:r>
      <w:proofErr w:type="spellStart"/>
      <w:r w:rsidRPr="00A0146C">
        <w:rPr>
          <w:rFonts w:ascii="Times New Roman" w:hAnsi="Times New Roman" w:cs="Times New Roman"/>
        </w:rPr>
        <w:t>methoxyl</w:t>
      </w:r>
      <w:proofErr w:type="spellEnd"/>
      <w:r w:rsidRPr="00A0146C">
        <w:rPr>
          <w:rFonts w:ascii="Times New Roman" w:hAnsi="Times New Roman" w:cs="Times New Roman"/>
        </w:rPr>
        <w:t xml:space="preserve">, </w:t>
      </w:r>
      <w:proofErr w:type="spellStart"/>
      <w:r w:rsidRPr="00A0146C">
        <w:rPr>
          <w:rFonts w:ascii="Times New Roman" w:hAnsi="Times New Roman" w:cs="Times New Roman"/>
        </w:rPr>
        <w:t>prenyl</w:t>
      </w:r>
      <w:proofErr w:type="spellEnd"/>
      <w:r w:rsidRPr="00A0146C">
        <w:rPr>
          <w:rFonts w:ascii="Times New Roman" w:hAnsi="Times New Roman" w:cs="Times New Roman"/>
        </w:rPr>
        <w:t>, and glycosyl moieties. Such substitutions significantly influence their solubility, bioavailability, and target specificity [9].</w:t>
      </w:r>
    </w:p>
    <w:p w14:paraId="55B43F34" w14:textId="5FBCC811"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2.2 Structure</w:t>
      </w:r>
      <w:r>
        <w:rPr>
          <w:rFonts w:ascii="Times New Roman" w:hAnsi="Times New Roman" w:cs="Times New Roman"/>
          <w:b/>
          <w:bCs/>
        </w:rPr>
        <w:t xml:space="preserve"> </w:t>
      </w:r>
      <w:r w:rsidRPr="00A0146C">
        <w:rPr>
          <w:rFonts w:ascii="Times New Roman" w:hAnsi="Times New Roman" w:cs="Times New Roman"/>
          <w:b/>
          <w:bCs/>
        </w:rPr>
        <w:t>Activity Relationship (SAR)</w:t>
      </w:r>
    </w:p>
    <w:p w14:paraId="7EE984F4"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The biological activity of xanthones is highly dependent on their substitution pattern. For example:</w:t>
      </w:r>
    </w:p>
    <w:p w14:paraId="5F9E8764" w14:textId="77777777" w:rsidR="00A0146C" w:rsidRPr="00A0146C" w:rsidRDefault="00A0146C" w:rsidP="00A0146C">
      <w:pPr>
        <w:numPr>
          <w:ilvl w:val="0"/>
          <w:numId w:val="2"/>
        </w:numPr>
        <w:jc w:val="both"/>
        <w:rPr>
          <w:rFonts w:ascii="Times New Roman" w:hAnsi="Times New Roman" w:cs="Times New Roman"/>
        </w:rPr>
      </w:pPr>
      <w:r w:rsidRPr="00A0146C">
        <w:rPr>
          <w:rFonts w:ascii="Times New Roman" w:hAnsi="Times New Roman" w:cs="Times New Roman"/>
          <w:b/>
          <w:bCs/>
        </w:rPr>
        <w:t>Hydroxyl groups</w:t>
      </w:r>
      <w:r w:rsidRPr="00A0146C">
        <w:rPr>
          <w:rFonts w:ascii="Times New Roman" w:hAnsi="Times New Roman" w:cs="Times New Roman"/>
        </w:rPr>
        <w:t>, especially at positions C-1, C-3, and C-6, contribute to antioxidant and free radical-scavenging effects [10].</w:t>
      </w:r>
    </w:p>
    <w:p w14:paraId="5FBCDFD1" w14:textId="77777777" w:rsidR="00A0146C" w:rsidRPr="00A0146C" w:rsidRDefault="00A0146C" w:rsidP="00A0146C">
      <w:pPr>
        <w:numPr>
          <w:ilvl w:val="0"/>
          <w:numId w:val="2"/>
        </w:numPr>
        <w:jc w:val="both"/>
        <w:rPr>
          <w:rFonts w:ascii="Times New Roman" w:hAnsi="Times New Roman" w:cs="Times New Roman"/>
        </w:rPr>
      </w:pPr>
      <w:r w:rsidRPr="00A0146C">
        <w:rPr>
          <w:rFonts w:ascii="Times New Roman" w:hAnsi="Times New Roman" w:cs="Times New Roman"/>
          <w:b/>
          <w:bCs/>
        </w:rPr>
        <w:t>Prenylated xanthones</w:t>
      </w:r>
      <w:r w:rsidRPr="00A0146C">
        <w:rPr>
          <w:rFonts w:ascii="Times New Roman" w:hAnsi="Times New Roman" w:cs="Times New Roman"/>
        </w:rPr>
        <w:t xml:space="preserve"> show enhanced membrane permeability and often exhibit potent anticancer and neuroprotective activities [11].</w:t>
      </w:r>
    </w:p>
    <w:p w14:paraId="6BE3429E" w14:textId="77777777" w:rsidR="00A0146C" w:rsidRPr="00A0146C" w:rsidRDefault="00A0146C" w:rsidP="00A0146C">
      <w:pPr>
        <w:numPr>
          <w:ilvl w:val="0"/>
          <w:numId w:val="2"/>
        </w:numPr>
        <w:jc w:val="both"/>
        <w:rPr>
          <w:rFonts w:ascii="Times New Roman" w:hAnsi="Times New Roman" w:cs="Times New Roman"/>
        </w:rPr>
      </w:pPr>
      <w:r w:rsidRPr="00A0146C">
        <w:rPr>
          <w:rFonts w:ascii="Times New Roman" w:hAnsi="Times New Roman" w:cs="Times New Roman"/>
          <w:b/>
          <w:bCs/>
        </w:rPr>
        <w:t>Methoxy and glycoside groups</w:t>
      </w:r>
      <w:r w:rsidRPr="00A0146C">
        <w:rPr>
          <w:rFonts w:ascii="Times New Roman" w:hAnsi="Times New Roman" w:cs="Times New Roman"/>
        </w:rPr>
        <w:t xml:space="preserve"> can modulate solubility and cellular uptake, influencing pharmacokinetics and target engagement [12].</w:t>
      </w:r>
    </w:p>
    <w:p w14:paraId="087FA49B"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This rich chemical flexibility makes xanthones an attractive core structure for synthetic modification, particularly for designing multifunctional agents against complex diseases like Alzheimer’s.</w:t>
      </w:r>
    </w:p>
    <w:p w14:paraId="23DA95DE" w14:textId="77777777"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2.3 Biological Activities Relevant to Alzheimer’s Disease</w:t>
      </w:r>
    </w:p>
    <w:p w14:paraId="13B42B09"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Xanthones and their derivatives have demonstrated a broad range of bioactivities relevant to neurodegenerative conditions, particularly AD. Notable pharmacological properties include:</w:t>
      </w:r>
    </w:p>
    <w:p w14:paraId="01E3B364"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t>Antioxidant activity</w:t>
      </w:r>
      <w:r w:rsidRPr="00A0146C">
        <w:rPr>
          <w:rFonts w:ascii="Times New Roman" w:hAnsi="Times New Roman" w:cs="Times New Roman"/>
        </w:rPr>
        <w:t>: Many xanthones effectively neutralize reactive oxygen species (ROS) and upregulate endogenous antioxidant enzymes, protecting neurons from oxidative damage [13].</w:t>
      </w:r>
    </w:p>
    <w:p w14:paraId="1765C2DF"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t>Anti-inflammatory effects</w:t>
      </w:r>
      <w:r w:rsidRPr="00A0146C">
        <w:rPr>
          <w:rFonts w:ascii="Times New Roman" w:hAnsi="Times New Roman" w:cs="Times New Roman"/>
        </w:rPr>
        <w:t>: Xanthones inhibit the expression of pro-inflammatory mediators such as TNF-α, IL-6, and COX-2, which are upregulated in AD pathology [14].</w:t>
      </w:r>
    </w:p>
    <w:p w14:paraId="35F199B1"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lastRenderedPageBreak/>
        <w:t>Acetylcholinesterase inhibition</w:t>
      </w:r>
      <w:r w:rsidRPr="00A0146C">
        <w:rPr>
          <w:rFonts w:ascii="Times New Roman" w:hAnsi="Times New Roman" w:cs="Times New Roman"/>
        </w:rPr>
        <w:t>: Certain synthetic xanthones can inhibit acetylcholinesterase (</w:t>
      </w:r>
      <w:proofErr w:type="spellStart"/>
      <w:r w:rsidRPr="00A0146C">
        <w:rPr>
          <w:rFonts w:ascii="Times New Roman" w:hAnsi="Times New Roman" w:cs="Times New Roman"/>
        </w:rPr>
        <w:t>AChE</w:t>
      </w:r>
      <w:proofErr w:type="spellEnd"/>
      <w:r w:rsidRPr="00A0146C">
        <w:rPr>
          <w:rFonts w:ascii="Times New Roman" w:hAnsi="Times New Roman" w:cs="Times New Roman"/>
        </w:rPr>
        <w:t xml:space="preserve">), </w:t>
      </w:r>
      <w:proofErr w:type="gramStart"/>
      <w:r w:rsidRPr="00A0146C">
        <w:rPr>
          <w:rFonts w:ascii="Times New Roman" w:hAnsi="Times New Roman" w:cs="Times New Roman"/>
        </w:rPr>
        <w:t>enhancing</w:t>
      </w:r>
      <w:proofErr w:type="gramEnd"/>
      <w:r w:rsidRPr="00A0146C">
        <w:rPr>
          <w:rFonts w:ascii="Times New Roman" w:hAnsi="Times New Roman" w:cs="Times New Roman"/>
        </w:rPr>
        <w:t xml:space="preserve"> cholinergic neurotransmission and improving cognitive function [15].</w:t>
      </w:r>
    </w:p>
    <w:p w14:paraId="10A1DA05"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t>Amyloid-β aggregation inhibition</w:t>
      </w:r>
      <w:r w:rsidRPr="00A0146C">
        <w:rPr>
          <w:rFonts w:ascii="Times New Roman" w:hAnsi="Times New Roman" w:cs="Times New Roman"/>
        </w:rPr>
        <w:t>: Some derivatives interfere with Aβ fibril formation, reducing plaque accumulation and associated toxicity [16].</w:t>
      </w:r>
    </w:p>
    <w:p w14:paraId="2C35A691"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These multifunctional activities support the continued investigation of xanthone scaffolds for the development of disease-modifying therapies for AD.</w:t>
      </w:r>
    </w:p>
    <w:p w14:paraId="48345129"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Pathophysiology of Alzheimer’s Disease</w:t>
      </w:r>
    </w:p>
    <w:p w14:paraId="1A1A782D"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Alzheimer’s disease (AD) is a complex, multifactorial neurodegenerative disorder with several interlinked pathological mechanisms. Although its exact etiology remains unclear, extensive research has identified a set of hallmark features that underlie the progressive cognitive decline seen in affected individuals.</w:t>
      </w:r>
    </w:p>
    <w:p w14:paraId="04810781" w14:textId="3FB5069C"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Amyloid-β (Aβ) Plaque Formation</w:t>
      </w:r>
    </w:p>
    <w:p w14:paraId="65099955"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One of the central pathological features of AD is the accumulation of amyloid-β peptides in the brain. These peptides are produced by the enzymatic cleavage of amyloid precursor protein (APP) by β- and γ-secretases. Aggregation of Aβ, particularly Aβ₄₂, leads to the formation of extracellular senile plaques that disrupt synaptic communication and trigger a cascade of neuroinflammatory and neurotoxic responses [17].</w:t>
      </w:r>
    </w:p>
    <w:p w14:paraId="3C4C37EF" w14:textId="1ECB6178"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Tau Hyperphosphorylation and Neurofibrillary Tangles (NFTs)</w:t>
      </w:r>
    </w:p>
    <w:p w14:paraId="530A8E6F" w14:textId="66035EB7" w:rsidR="00257F60" w:rsidRPr="00257F60" w:rsidRDefault="00257F60" w:rsidP="00257F60">
      <w:pPr>
        <w:jc w:val="both"/>
        <w:rPr>
          <w:rFonts w:ascii="Times New Roman" w:hAnsi="Times New Roman" w:cs="Times New Roman"/>
        </w:rPr>
      </w:pPr>
      <w:r w:rsidRPr="00257F60">
        <w:rPr>
          <w:rFonts w:ascii="Times New Roman" w:hAnsi="Times New Roman" w:cs="Times New Roman"/>
        </w:rPr>
        <w:t>Intracellularly, hyperphosphorylation of tau protein</w:t>
      </w:r>
      <w:r>
        <w:rPr>
          <w:rFonts w:ascii="Times New Roman" w:hAnsi="Times New Roman" w:cs="Times New Roman"/>
        </w:rPr>
        <w:t xml:space="preserve"> </w:t>
      </w:r>
      <w:r w:rsidRPr="00257F60">
        <w:rPr>
          <w:rFonts w:ascii="Times New Roman" w:hAnsi="Times New Roman" w:cs="Times New Roman"/>
        </w:rPr>
        <w:t>normally involved in stabilizing microtubules</w:t>
      </w:r>
      <w:r>
        <w:rPr>
          <w:rFonts w:ascii="Times New Roman" w:hAnsi="Times New Roman" w:cs="Times New Roman"/>
        </w:rPr>
        <w:t xml:space="preserve"> </w:t>
      </w:r>
      <w:r w:rsidRPr="00257F60">
        <w:rPr>
          <w:rFonts w:ascii="Times New Roman" w:hAnsi="Times New Roman" w:cs="Times New Roman"/>
        </w:rPr>
        <w:t>leads to the formation of neurofibrillary tangles. These tangles compromise axonal transport and disrupt neuronal integrity, ultimately contributing to neuronal death [18]. Tau pathology often correlates more closely with disease severity than Aβ plaque load.</w:t>
      </w:r>
    </w:p>
    <w:p w14:paraId="57072485" w14:textId="6BC02B2C"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Oxidative Stress and Mitochondrial Dysfunction</w:t>
      </w:r>
    </w:p>
    <w:p w14:paraId="4810E73F" w14:textId="652FC31D"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Oxidative stress, characterized by an imbalance between reactive oxygen species (ROS) production and the brain’s antioxidant </w:t>
      </w:r>
      <w:proofErr w:type="gramStart"/>
      <w:r w:rsidRPr="00257F60">
        <w:rPr>
          <w:rFonts w:ascii="Times New Roman" w:hAnsi="Times New Roman" w:cs="Times New Roman"/>
        </w:rPr>
        <w:t>defenses</w:t>
      </w:r>
      <w:proofErr w:type="gramEnd"/>
      <w:r w:rsidRPr="00257F60">
        <w:rPr>
          <w:rFonts w:ascii="Times New Roman" w:hAnsi="Times New Roman" w:cs="Times New Roman"/>
        </w:rPr>
        <w:t>, plays a major role in AD pathogenesis. Aβ aggregation exacerbates ROS formation, leading to lipid peroxidation, DNA damage, and mitochondrial dysfunction</w:t>
      </w:r>
      <w:r>
        <w:rPr>
          <w:rFonts w:ascii="Times New Roman" w:hAnsi="Times New Roman" w:cs="Times New Roman"/>
        </w:rPr>
        <w:t xml:space="preserve"> </w:t>
      </w:r>
      <w:r w:rsidRPr="00257F60">
        <w:rPr>
          <w:rFonts w:ascii="Times New Roman" w:hAnsi="Times New Roman" w:cs="Times New Roman"/>
        </w:rPr>
        <w:t>all of which impair neuronal energy metabolism and survival [19].</w:t>
      </w:r>
    </w:p>
    <w:p w14:paraId="4B842910" w14:textId="2A556F9E"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Neuroinflammation</w:t>
      </w:r>
    </w:p>
    <w:p w14:paraId="2828281A"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Chronic activation of microglia and astrocytes in response to Aβ deposition results in sustained release of pro-inflammatory cytokines (e.g., TNF-α, IL-1β), chemokines, and reactive nitrogen species. This neuroinflammatory state not only worsens Aβ and tau pathology but also contributes to synaptic dysfunction and neuronal loss [20].</w:t>
      </w:r>
    </w:p>
    <w:p w14:paraId="53995D90" w14:textId="77777777" w:rsidR="00295B2D" w:rsidRDefault="00295B2D" w:rsidP="00257F60">
      <w:pPr>
        <w:jc w:val="both"/>
        <w:rPr>
          <w:rFonts w:ascii="Times New Roman" w:hAnsi="Times New Roman" w:cs="Times New Roman"/>
          <w:b/>
          <w:bCs/>
        </w:rPr>
      </w:pPr>
    </w:p>
    <w:p w14:paraId="27972665" w14:textId="431D3C26"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Cholinergic Deficit</w:t>
      </w:r>
    </w:p>
    <w:p w14:paraId="6CA8A5F7" w14:textId="4ECFBDB2" w:rsidR="00257F60" w:rsidRPr="00257F60" w:rsidRDefault="00257F60" w:rsidP="00257F60">
      <w:pPr>
        <w:jc w:val="both"/>
        <w:rPr>
          <w:rFonts w:ascii="Times New Roman" w:hAnsi="Times New Roman" w:cs="Times New Roman"/>
        </w:rPr>
      </w:pPr>
      <w:r w:rsidRPr="00257F60">
        <w:rPr>
          <w:rFonts w:ascii="Times New Roman" w:hAnsi="Times New Roman" w:cs="Times New Roman"/>
        </w:rPr>
        <w:t>A significant reduction in acetylcholine levels, especially in the hippocampus and cortex, is a prominent feature in AD. Loss of cholinergic neurons and reduced activity of choline acetyltransferase result in impaired neurotransmission, correlating with memory deficits and cognitive decline [21].</w:t>
      </w:r>
    </w:p>
    <w:p w14:paraId="1CF3D431" w14:textId="03275673"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Metal Ion Dysregulation and Other Emerging Mechanisms</w:t>
      </w:r>
    </w:p>
    <w:p w14:paraId="51201F29"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Abnormal homeostasis of metal ions (e.g., copper, zinc, iron) has been linked to enhanced Aβ aggregation and oxidative damage. Additionally, emerging studies highlight the role of glymphatic system impairment, gut–brain axis dysregulation, and genetic mutations (e.g., </w:t>
      </w:r>
      <w:r w:rsidRPr="00257F60">
        <w:rPr>
          <w:rFonts w:ascii="Times New Roman" w:hAnsi="Times New Roman" w:cs="Times New Roman"/>
          <w:i/>
          <w:iCs/>
        </w:rPr>
        <w:t>APOE4</w:t>
      </w:r>
      <w:r w:rsidRPr="00257F60">
        <w:rPr>
          <w:rFonts w:ascii="Times New Roman" w:hAnsi="Times New Roman" w:cs="Times New Roman"/>
        </w:rPr>
        <w:t xml:space="preserve">, </w:t>
      </w:r>
      <w:r w:rsidRPr="00257F60">
        <w:rPr>
          <w:rFonts w:ascii="Times New Roman" w:hAnsi="Times New Roman" w:cs="Times New Roman"/>
          <w:i/>
          <w:iCs/>
        </w:rPr>
        <w:t>PSEN1</w:t>
      </w:r>
      <w:r w:rsidRPr="00257F60">
        <w:rPr>
          <w:rFonts w:ascii="Times New Roman" w:hAnsi="Times New Roman" w:cs="Times New Roman"/>
        </w:rPr>
        <w:t>) in the pathogenesis of AD [22].</w:t>
      </w:r>
    </w:p>
    <w:p w14:paraId="58584D0C" w14:textId="6D52A48F" w:rsidR="00257F60" w:rsidRDefault="00295B2D" w:rsidP="00257F60">
      <w:pPr>
        <w:jc w:val="both"/>
        <w:rPr>
          <w:rFonts w:ascii="Times New Roman" w:hAnsi="Times New Roman" w:cs="Times New Roman"/>
        </w:rPr>
      </w:pPr>
      <w:r>
        <w:rPr>
          <w:rFonts w:ascii="Times New Roman" w:hAnsi="Times New Roman" w:cs="Times New Roman"/>
          <w:noProof/>
          <w:lang w:val="en-IN" w:eastAsia="en-IN" w:bidi="ar-SA"/>
        </w:rPr>
        <w:drawing>
          <wp:anchor distT="0" distB="0" distL="114300" distR="114300" simplePos="0" relativeHeight="251662336" behindDoc="0" locked="0" layoutInCell="1" allowOverlap="1" wp14:anchorId="1CAA6F82" wp14:editId="167FE801">
            <wp:simplePos x="0" y="0"/>
            <wp:positionH relativeFrom="margin">
              <wp:align>right</wp:align>
            </wp:positionH>
            <wp:positionV relativeFrom="margin">
              <wp:posOffset>3220085</wp:posOffset>
            </wp:positionV>
            <wp:extent cx="5943600" cy="4161790"/>
            <wp:effectExtent l="19050" t="19050" r="1905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design.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161790"/>
                    </a:xfrm>
                    <a:prstGeom prst="rect">
                      <a:avLst/>
                    </a:prstGeom>
                    <a:ln w="9525" cap="sq" cmpd="thickThin">
                      <a:solidFill>
                        <a:srgbClr val="000000"/>
                      </a:solidFill>
                      <a:prstDash val="solid"/>
                      <a:miter lim="800000"/>
                    </a:ln>
                    <a:effectLst>
                      <a:innerShdw blurRad="76200">
                        <a:srgbClr val="000000"/>
                      </a:innerShdw>
                    </a:effectLst>
                  </pic:spPr>
                </pic:pic>
              </a:graphicData>
            </a:graphic>
          </wp:anchor>
        </w:drawing>
      </w:r>
      <w:r w:rsidR="00257F60" w:rsidRPr="00257F60">
        <w:rPr>
          <w:rFonts w:ascii="Times New Roman" w:hAnsi="Times New Roman" w:cs="Times New Roman"/>
        </w:rPr>
        <w:t>Understanding these mechanisms is crucial for the development of multitarget-directed therapies</w:t>
      </w:r>
      <w:r w:rsidR="00257F60">
        <w:rPr>
          <w:rFonts w:ascii="Times New Roman" w:hAnsi="Times New Roman" w:cs="Times New Roman"/>
        </w:rPr>
        <w:t xml:space="preserve"> </w:t>
      </w:r>
      <w:r w:rsidR="00257F60" w:rsidRPr="00257F60">
        <w:rPr>
          <w:rFonts w:ascii="Times New Roman" w:hAnsi="Times New Roman" w:cs="Times New Roman"/>
        </w:rPr>
        <w:t>like synthetic xanthone derivatives</w:t>
      </w:r>
      <w:r w:rsidR="00257F60">
        <w:rPr>
          <w:rFonts w:ascii="Times New Roman" w:hAnsi="Times New Roman" w:cs="Times New Roman"/>
        </w:rPr>
        <w:t xml:space="preserve"> </w:t>
      </w:r>
      <w:r w:rsidR="00257F60" w:rsidRPr="00257F60">
        <w:rPr>
          <w:rFonts w:ascii="Times New Roman" w:hAnsi="Times New Roman" w:cs="Times New Roman"/>
        </w:rPr>
        <w:t>that can intervene in multiple pathological pathways simultaneously.</w:t>
      </w:r>
    </w:p>
    <w:p w14:paraId="1803E03D" w14:textId="40043B61" w:rsidR="00295B2D" w:rsidRDefault="00295B2D" w:rsidP="00295B2D">
      <w:pPr>
        <w:jc w:val="both"/>
        <w:rPr>
          <w:rFonts w:ascii="Times New Roman" w:hAnsi="Times New Roman" w:cs="Times New Roman"/>
        </w:rPr>
      </w:pPr>
    </w:p>
    <w:p w14:paraId="60528104" w14:textId="70DA885C" w:rsidR="000E330B" w:rsidRDefault="007C2E11" w:rsidP="007C2E11">
      <w:pPr>
        <w:ind w:firstLine="720"/>
        <w:jc w:val="both"/>
        <w:rPr>
          <w:rFonts w:ascii="Times New Roman" w:hAnsi="Times New Roman" w:cs="Times New Roman"/>
        </w:rPr>
      </w:pPr>
      <w:r>
        <w:rPr>
          <w:rFonts w:ascii="Times New Roman" w:hAnsi="Times New Roman" w:cs="Times New Roman"/>
        </w:rPr>
        <w:t xml:space="preserve">    </w:t>
      </w:r>
      <w:r w:rsidR="00295B2D">
        <w:rPr>
          <w:rFonts w:ascii="Times New Roman" w:hAnsi="Times New Roman" w:cs="Times New Roman"/>
        </w:rPr>
        <w:t xml:space="preserve">Fig No. 3: </w:t>
      </w:r>
      <w:r w:rsidRPr="007C2E11">
        <w:rPr>
          <w:rFonts w:ascii="Times New Roman" w:hAnsi="Times New Roman" w:cs="Times New Roman"/>
        </w:rPr>
        <w:t>Targeting Amyloid &amp; Tau in Alzheimer's with Xanthone</w:t>
      </w:r>
    </w:p>
    <w:p w14:paraId="21FB9B37" w14:textId="77777777" w:rsidR="00295B2D" w:rsidRPr="00257F60" w:rsidRDefault="00295B2D" w:rsidP="000E330B">
      <w:pPr>
        <w:ind w:left="2880" w:firstLine="720"/>
        <w:jc w:val="both"/>
        <w:rPr>
          <w:rFonts w:ascii="Times New Roman" w:hAnsi="Times New Roman" w:cs="Times New Roman"/>
        </w:rPr>
      </w:pPr>
    </w:p>
    <w:p w14:paraId="7FDBCC1B"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Synthetic Xanthone Derivatives and Their Mechanisms in Alzheimer’s Disease</w:t>
      </w:r>
    </w:p>
    <w:p w14:paraId="54E55075" w14:textId="02CA8AF2" w:rsidR="00257F60" w:rsidRPr="00257F60" w:rsidRDefault="00257F60" w:rsidP="00257F60">
      <w:pPr>
        <w:jc w:val="both"/>
        <w:rPr>
          <w:rFonts w:ascii="Times New Roman" w:hAnsi="Times New Roman" w:cs="Times New Roman"/>
        </w:rPr>
      </w:pPr>
      <w:r w:rsidRPr="00257F60">
        <w:rPr>
          <w:rFonts w:ascii="Times New Roman" w:hAnsi="Times New Roman" w:cs="Times New Roman"/>
        </w:rPr>
        <w:t>The inherent biological activity of the xanthone scaffold has inspired the development of synthetic derivatives tailored to target multiple pathological processes in Alzheimer’s disease (AD). Structural modifications of the xanthone core</w:t>
      </w:r>
      <w:r>
        <w:rPr>
          <w:rFonts w:ascii="Times New Roman" w:hAnsi="Times New Roman" w:cs="Times New Roman"/>
        </w:rPr>
        <w:t xml:space="preserve"> </w:t>
      </w:r>
      <w:r w:rsidRPr="00257F60">
        <w:rPr>
          <w:rFonts w:ascii="Times New Roman" w:hAnsi="Times New Roman" w:cs="Times New Roman"/>
        </w:rPr>
        <w:t xml:space="preserve">including substitution with alkyl, amino, methoxy, and </w:t>
      </w:r>
      <w:proofErr w:type="spellStart"/>
      <w:r w:rsidRPr="00257F60">
        <w:rPr>
          <w:rFonts w:ascii="Times New Roman" w:hAnsi="Times New Roman" w:cs="Times New Roman"/>
        </w:rPr>
        <w:t>prenyl</w:t>
      </w:r>
      <w:proofErr w:type="spellEnd"/>
      <w:r w:rsidRPr="00257F60">
        <w:rPr>
          <w:rFonts w:ascii="Times New Roman" w:hAnsi="Times New Roman" w:cs="Times New Roman"/>
        </w:rPr>
        <w:t xml:space="preserve"> groups</w:t>
      </w:r>
      <w:r>
        <w:rPr>
          <w:rFonts w:ascii="Times New Roman" w:hAnsi="Times New Roman" w:cs="Times New Roman"/>
        </w:rPr>
        <w:t xml:space="preserve"> </w:t>
      </w:r>
      <w:r w:rsidRPr="00257F60">
        <w:rPr>
          <w:rFonts w:ascii="Times New Roman" w:hAnsi="Times New Roman" w:cs="Times New Roman"/>
        </w:rPr>
        <w:t>have been shown to enhance neuroprotective efficacy, bioavailability, and selectivity for AD-relevant targets. These synthetic derivatives exert their therapeutic potential via multiple mechanisms, including inhibition of amyloid aggregation, modulation of oxidative stress, anti-inflammatory activity, and acetylcholinesterase inhibition.</w:t>
      </w:r>
    </w:p>
    <w:p w14:paraId="7C4C7928" w14:textId="2F411ABD"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Inhibition of Amyloid-β (Aβ) Aggregation</w:t>
      </w:r>
    </w:p>
    <w:p w14:paraId="18F4F018" w14:textId="0968BD19"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Several synthetic xanthones have demonstrated the ability to inhibit Aβ peptide aggregation, a key event in AD pathogenesis. By interacting with Aβ monomers and oligomers through hydrogen bonding and π–π stacking interactions, these compounds disrupt the formation of β-sheet-rich fibrils and reduce plaque burden [23]. For instance, xanthone derivatives bearing hydroxyl or </w:t>
      </w:r>
      <w:r w:rsidR="0088713C" w:rsidRPr="00257F60">
        <w:rPr>
          <w:rFonts w:ascii="Times New Roman" w:hAnsi="Times New Roman" w:cs="Times New Roman"/>
        </w:rPr>
        <w:t>amino alkyl</w:t>
      </w:r>
      <w:r w:rsidRPr="00257F60">
        <w:rPr>
          <w:rFonts w:ascii="Times New Roman" w:hAnsi="Times New Roman" w:cs="Times New Roman"/>
        </w:rPr>
        <w:t xml:space="preserve"> side chains have shown strong anti-aggregation properties and reduced Aβ-induced cytotoxicity in neuronal cell models [24].</w:t>
      </w:r>
    </w:p>
    <w:p w14:paraId="07AB99A5" w14:textId="59F7262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Tau Pathology Modulation</w:t>
      </w:r>
    </w:p>
    <w:p w14:paraId="63908929" w14:textId="0AA8062D" w:rsidR="00257F60" w:rsidRPr="00257F60" w:rsidRDefault="00257F60" w:rsidP="00257F60">
      <w:pPr>
        <w:jc w:val="both"/>
        <w:rPr>
          <w:rFonts w:ascii="Times New Roman" w:hAnsi="Times New Roman" w:cs="Times New Roman"/>
        </w:rPr>
      </w:pPr>
      <w:r w:rsidRPr="00257F60">
        <w:rPr>
          <w:rFonts w:ascii="Times New Roman" w:hAnsi="Times New Roman" w:cs="Times New Roman"/>
        </w:rPr>
        <w:t>Though less extensively studied than Aβ, some synthetic xanthones have been reported to inhibit tau hyperphosphorylation by modulating kinases such as GSK-3β and CDK5 [25]. These derivatives may interfere with tau misfolding and aggregation, thereby preventing neurofibrillary tangle formation. This multi-target action offers a promising strategy for mitigating parallel pathologies in AD.</w:t>
      </w:r>
    </w:p>
    <w:p w14:paraId="3AEAD844" w14:textId="2FB9EC39"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Antioxidant and Mitochondrial Protective Effects</w:t>
      </w:r>
    </w:p>
    <w:p w14:paraId="274B5D87" w14:textId="377FDD48" w:rsidR="00257F60" w:rsidRPr="00257F60" w:rsidRDefault="00257F60" w:rsidP="00257F60">
      <w:pPr>
        <w:jc w:val="both"/>
        <w:rPr>
          <w:rFonts w:ascii="Times New Roman" w:hAnsi="Times New Roman" w:cs="Times New Roman"/>
        </w:rPr>
      </w:pPr>
      <w:r w:rsidRPr="00257F60">
        <w:rPr>
          <w:rFonts w:ascii="Times New Roman" w:hAnsi="Times New Roman" w:cs="Times New Roman"/>
        </w:rPr>
        <w:t>Synthetic xanthones with hydroxyl, methoxy, or carboxyl groups exhibit potent antioxidant activity, effectively scavenging reactive oxygen species (ROS) and preventing lipid peroxidation [26]. By preserving mitochondrial integrity and reducing oxidative stress, these compounds help maintain neuronal homeostasis. In some studies, they also upregulated antioxidant enzymes such as superoxide dismutase (SOD) and catalase [27].</w:t>
      </w:r>
    </w:p>
    <w:p w14:paraId="114FC5D5" w14:textId="3F58F709"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Inhibition of Acetylcholinesterase (</w:t>
      </w:r>
      <w:proofErr w:type="spellStart"/>
      <w:r w:rsidRPr="00257F60">
        <w:rPr>
          <w:rFonts w:ascii="Times New Roman" w:hAnsi="Times New Roman" w:cs="Times New Roman"/>
          <w:b/>
          <w:bCs/>
        </w:rPr>
        <w:t>AChE</w:t>
      </w:r>
      <w:proofErr w:type="spellEnd"/>
      <w:r w:rsidRPr="00257F60">
        <w:rPr>
          <w:rFonts w:ascii="Times New Roman" w:hAnsi="Times New Roman" w:cs="Times New Roman"/>
          <w:b/>
          <w:bCs/>
        </w:rPr>
        <w:t>)</w:t>
      </w:r>
    </w:p>
    <w:p w14:paraId="13ACD66B" w14:textId="08AA3530"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A significant number of synthetic xanthones have been developed as cholinesterase inhibitors to enhance cholinergic neurotransmission, which is typically impaired in AD. Derivatives substituted with tertiary amines or heterocycles such as piperidine or morpholine rings have shown </w:t>
      </w:r>
      <w:r w:rsidR="0088713C" w:rsidRPr="00257F60">
        <w:rPr>
          <w:rFonts w:ascii="Times New Roman" w:hAnsi="Times New Roman" w:cs="Times New Roman"/>
        </w:rPr>
        <w:t>Nano molar</w:t>
      </w:r>
      <w:r w:rsidRPr="00257F60">
        <w:rPr>
          <w:rFonts w:ascii="Times New Roman" w:hAnsi="Times New Roman" w:cs="Times New Roman"/>
        </w:rPr>
        <w:t xml:space="preserve">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inhibitory activity, comparable to clinically approved drugs [28]. Dual-binding site inhibitors that interact with both the catalytic active site and peripheral anionic site of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have also been reported, offering improved inhibition of Aβ aggregation alongside cholinergic modulation [29].</w:t>
      </w:r>
    </w:p>
    <w:p w14:paraId="68AA8FED" w14:textId="10300FC1"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Anti-Inflammatory Activity</w:t>
      </w:r>
    </w:p>
    <w:p w14:paraId="74A07243" w14:textId="0A93A68C" w:rsidR="00257F60" w:rsidRPr="00257F60" w:rsidRDefault="00257F60" w:rsidP="00257F60">
      <w:pPr>
        <w:jc w:val="both"/>
        <w:rPr>
          <w:rFonts w:ascii="Times New Roman" w:hAnsi="Times New Roman" w:cs="Times New Roman"/>
        </w:rPr>
      </w:pPr>
      <w:r w:rsidRPr="00257F60">
        <w:rPr>
          <w:rFonts w:ascii="Times New Roman" w:hAnsi="Times New Roman" w:cs="Times New Roman"/>
        </w:rPr>
        <w:t>Neuroinflammation is a hallmark of AD, and synthetic xanthones have demonstrated significant anti-inflammatory effects by downregulating pro-inflammatory cytokines (e.g., TNF-α, IL-6) and inhibiting NF-</w:t>
      </w:r>
      <w:proofErr w:type="spellStart"/>
      <w:r w:rsidRPr="00257F60">
        <w:rPr>
          <w:rFonts w:ascii="Times New Roman" w:hAnsi="Times New Roman" w:cs="Times New Roman"/>
        </w:rPr>
        <w:t>κB</w:t>
      </w:r>
      <w:proofErr w:type="spellEnd"/>
      <w:r w:rsidRPr="00257F60">
        <w:rPr>
          <w:rFonts w:ascii="Times New Roman" w:hAnsi="Times New Roman" w:cs="Times New Roman"/>
        </w:rPr>
        <w:t xml:space="preserve"> signaling pathways [30]. Some derivatives also reduced microglial activation, thus limiting further neuronal damage [31].</w:t>
      </w:r>
    </w:p>
    <w:p w14:paraId="4A4C61CF" w14:textId="1E12D306"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 xml:space="preserve"> Multi-Target-Directed Ligands (MTDLs)</w:t>
      </w:r>
    </w:p>
    <w:p w14:paraId="6F512A92"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Given the multifactorial nature of AD, there is increasing interest in designing xanthone-based multi-target-directed ligands that combine several mechanisms of action into a single molecule. For example, hybrid molecules incorporating xanthone and tacrine moieties have shown both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inhibition and antioxidant effects [32]. These dual- or triple-action agents may provide more comprehensive neuroprotection and therapeutic efficacy than single-target drugs.</w:t>
      </w:r>
    </w:p>
    <w:p w14:paraId="03A7926F"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Advantages and Limitations of Synthetic Xanthones in Alzheimer’s Therapy</w:t>
      </w:r>
    </w:p>
    <w:p w14:paraId="50FB6218" w14:textId="28CD381C" w:rsidR="00257F60" w:rsidRPr="00257F60" w:rsidRDefault="00257F60" w:rsidP="00257F60">
      <w:pPr>
        <w:jc w:val="both"/>
        <w:rPr>
          <w:rFonts w:ascii="Times New Roman" w:hAnsi="Times New Roman" w:cs="Times New Roman"/>
        </w:rPr>
      </w:pPr>
      <w:r w:rsidRPr="00257F60">
        <w:rPr>
          <w:rFonts w:ascii="Times New Roman" w:hAnsi="Times New Roman" w:cs="Times New Roman"/>
        </w:rPr>
        <w:t>The development of synthetic xanthone derivatives as therapeutic agents for Alzheimer’s disease (AD) has shown significant promise, especially due to their ability to interact with multiple pathological targets. However, while their pharmacological profile is encouraging, challenges remain in translating these compounds into clinically approved drugs.</w:t>
      </w:r>
    </w:p>
    <w:p w14:paraId="56EF1B8B"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5.1 Advantages</w:t>
      </w:r>
    </w:p>
    <w:p w14:paraId="2E0081C2"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 Multi-target Mechanisms</w:t>
      </w:r>
    </w:p>
    <w:p w14:paraId="647EB648"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One of the greatest advantages of synthetic xanthones is their potential to act on multiple disease pathways simultaneously. These include:</w:t>
      </w:r>
    </w:p>
    <w:p w14:paraId="6C23DAF2" w14:textId="7777777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Inhibition of amyloid-β aggregation</w:t>
      </w:r>
    </w:p>
    <w:p w14:paraId="36935A3E" w14:textId="7777777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Antioxidant and mitochondrial protection</w:t>
      </w:r>
    </w:p>
    <w:p w14:paraId="4DF9DEC1" w14:textId="7777777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Anti-inflammatory activity</w:t>
      </w:r>
    </w:p>
    <w:p w14:paraId="05E370FA" w14:textId="281596D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Acetylcholinesterase inhibition</w:t>
      </w:r>
      <w:r>
        <w:rPr>
          <w:rFonts w:ascii="Times New Roman" w:hAnsi="Times New Roman" w:cs="Times New Roman"/>
        </w:rPr>
        <w:t xml:space="preserve">- </w:t>
      </w:r>
      <w:r w:rsidRPr="00257F60">
        <w:rPr>
          <w:rFonts w:ascii="Times New Roman" w:hAnsi="Times New Roman" w:cs="Times New Roman"/>
        </w:rPr>
        <w:t>This multi-target-directed ligand (MTDL) approach is especially valuable for a multifactorial disease like AD, where no single mechanism fully explains its progression [33].</w:t>
      </w:r>
    </w:p>
    <w:p w14:paraId="0171D8A7"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b) Structural Versatility</w:t>
      </w:r>
    </w:p>
    <w:p w14:paraId="07912A21"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The xanthone core structure is highly amenable to chemical modification. Various functional groups (e.g., hydroxyl, amino, halogen, alkyl chains) can be introduced at different positions to optimize lipophilicity, blood-brain barrier (BBB) permeability, and target affinity [34].</w:t>
      </w:r>
    </w:p>
    <w:p w14:paraId="6709F4F3"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c) Favorable Drug-like Properties</w:t>
      </w:r>
    </w:p>
    <w:p w14:paraId="04070621"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Several synthetic xanthones demonstrate favorable pharmacokinetic profiles, including:</w:t>
      </w:r>
    </w:p>
    <w:p w14:paraId="1C82D4BE" w14:textId="77777777" w:rsidR="00257F60" w:rsidRPr="00257F60" w:rsidRDefault="00257F60" w:rsidP="00257F60">
      <w:pPr>
        <w:numPr>
          <w:ilvl w:val="0"/>
          <w:numId w:val="6"/>
        </w:numPr>
        <w:jc w:val="both"/>
        <w:rPr>
          <w:rFonts w:ascii="Times New Roman" w:hAnsi="Times New Roman" w:cs="Times New Roman"/>
        </w:rPr>
      </w:pPr>
      <w:r w:rsidRPr="00257F60">
        <w:rPr>
          <w:rFonts w:ascii="Times New Roman" w:hAnsi="Times New Roman" w:cs="Times New Roman"/>
        </w:rPr>
        <w:lastRenderedPageBreak/>
        <w:t>Oral bioavailability</w:t>
      </w:r>
    </w:p>
    <w:p w14:paraId="62282BB4" w14:textId="77777777" w:rsidR="00257F60" w:rsidRPr="00257F60" w:rsidRDefault="00257F60" w:rsidP="00257F60">
      <w:pPr>
        <w:numPr>
          <w:ilvl w:val="0"/>
          <w:numId w:val="6"/>
        </w:numPr>
        <w:jc w:val="both"/>
        <w:rPr>
          <w:rFonts w:ascii="Times New Roman" w:hAnsi="Times New Roman" w:cs="Times New Roman"/>
        </w:rPr>
      </w:pPr>
      <w:r w:rsidRPr="00257F60">
        <w:rPr>
          <w:rFonts w:ascii="Times New Roman" w:hAnsi="Times New Roman" w:cs="Times New Roman"/>
        </w:rPr>
        <w:t>Reasonable metabolic stability</w:t>
      </w:r>
    </w:p>
    <w:p w14:paraId="3A217873" w14:textId="515F24B4" w:rsidR="00257F60" w:rsidRPr="00257F60" w:rsidRDefault="00257F60" w:rsidP="00257F60">
      <w:pPr>
        <w:numPr>
          <w:ilvl w:val="0"/>
          <w:numId w:val="6"/>
        </w:numPr>
        <w:jc w:val="both"/>
        <w:rPr>
          <w:rFonts w:ascii="Times New Roman" w:hAnsi="Times New Roman" w:cs="Times New Roman"/>
        </w:rPr>
      </w:pPr>
      <w:r w:rsidRPr="00257F60">
        <w:rPr>
          <w:rFonts w:ascii="Times New Roman" w:hAnsi="Times New Roman" w:cs="Times New Roman"/>
        </w:rPr>
        <w:t>Good central nervous system (CNS) penetration [35]</w:t>
      </w:r>
      <w:r>
        <w:rPr>
          <w:rFonts w:ascii="Times New Roman" w:hAnsi="Times New Roman" w:cs="Times New Roman"/>
        </w:rPr>
        <w:t xml:space="preserve"> </w:t>
      </w:r>
      <w:r w:rsidRPr="00257F60">
        <w:rPr>
          <w:rFonts w:ascii="Times New Roman" w:hAnsi="Times New Roman" w:cs="Times New Roman"/>
        </w:rPr>
        <w:t>These properties make them suitable candidates for further drug development and clinical translation.</w:t>
      </w:r>
    </w:p>
    <w:p w14:paraId="3116A85F"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d) Low Toxicity in Early Studies</w:t>
      </w:r>
    </w:p>
    <w:p w14:paraId="16718F96" w14:textId="60F83F27" w:rsidR="00257F60" w:rsidRPr="00257F60" w:rsidRDefault="00257F60" w:rsidP="00257F60">
      <w:pPr>
        <w:jc w:val="both"/>
        <w:rPr>
          <w:rFonts w:ascii="Times New Roman" w:hAnsi="Times New Roman" w:cs="Times New Roman"/>
        </w:rPr>
      </w:pPr>
      <w:r w:rsidRPr="00257F60">
        <w:rPr>
          <w:rFonts w:ascii="Times New Roman" w:hAnsi="Times New Roman" w:cs="Times New Roman"/>
        </w:rPr>
        <w:t>In vitro and in vivo toxicity assessments of many xanthone derivatives have shown low cytotoxicity at therapeutic concentrations, particularly in neuronal models [36]. This improves their safety margin compared to some other experimental AD drugs.</w:t>
      </w:r>
    </w:p>
    <w:p w14:paraId="1D9E217F"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5.2 Limitations</w:t>
      </w:r>
    </w:p>
    <w:p w14:paraId="5677BADC"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 Limited In Vivo and Clinical Data</w:t>
      </w:r>
    </w:p>
    <w:p w14:paraId="4A486CD4"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Despite encouraging in vitro results, very few synthetic xanthones have progressed to animal models of AD, and none have entered clinical trials as of yet. Translating molecular efficacy into cognitive improvement in living organisms remains a challenge [37].</w:t>
      </w:r>
    </w:p>
    <w:p w14:paraId="5783D1DD"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b) Blood–Brain Barrier Penetration Variability</w:t>
      </w:r>
    </w:p>
    <w:p w14:paraId="7716E4BF"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While some xanthone derivatives have demonstrated good BBB penetration, others suffer from poor CNS bioavailability due to unfavorable polarity or size. Systematic pharmacokinetic optimization is necessary to overcome this limitation [38].</w:t>
      </w:r>
    </w:p>
    <w:p w14:paraId="44526EF2"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c) Potential for Off-Target Effects</w:t>
      </w:r>
    </w:p>
    <w:p w14:paraId="2977019F"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Given their broad activity spectrum, there is a risk of non-specific interactions with unintended biological targets, leading to side effects or toxicity in vivo. Fine-tuning the structure to maintain selectivity without compromising efficacy is essential [39].</w:t>
      </w:r>
    </w:p>
    <w:p w14:paraId="55860415"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d) Synthetic Complexity and Cost</w:t>
      </w:r>
    </w:p>
    <w:p w14:paraId="62DE954C" w14:textId="250E989A" w:rsidR="00257F60" w:rsidRDefault="00257F60" w:rsidP="00257F60">
      <w:pPr>
        <w:jc w:val="both"/>
        <w:rPr>
          <w:rFonts w:ascii="Times New Roman" w:hAnsi="Times New Roman" w:cs="Times New Roman"/>
        </w:rPr>
      </w:pPr>
      <w:r w:rsidRPr="00257F60">
        <w:rPr>
          <w:rFonts w:ascii="Times New Roman" w:hAnsi="Times New Roman" w:cs="Times New Roman"/>
        </w:rPr>
        <w:t>Some potent xanthone derivatives require multi-step synthetic procedures, rare reagents, or specific reaction conditions, which may hinder large-scale manufacturing and commercialization [40].</w:t>
      </w:r>
    </w:p>
    <w:p w14:paraId="309DBB53" w14:textId="664B7C15"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Synthetic </w:t>
      </w:r>
      <w:r w:rsidR="0088713C" w:rsidRPr="00257F60">
        <w:rPr>
          <w:rFonts w:ascii="Times New Roman" w:hAnsi="Times New Roman" w:cs="Times New Roman"/>
        </w:rPr>
        <w:t>Xanthone</w:t>
      </w:r>
      <w:r w:rsidRPr="00257F60">
        <w:rPr>
          <w:rFonts w:ascii="Times New Roman" w:hAnsi="Times New Roman" w:cs="Times New Roman"/>
        </w:rPr>
        <w:t xml:space="preserve"> offer a promising avenue for AD drug discovery due to their multi-target mechanisms, modifiable structure, and relatively low toxicity. However, their clinical potential is constrained by limited in vivo validation, pharmacokinetic challenges, and synthetic hurdles. Overcoming these limitations through rational drug design, in vivo testing, and optimization of formulation will be essential for moving this class of compounds toward clinical application.</w:t>
      </w:r>
    </w:p>
    <w:p w14:paraId="7CF182B2" w14:textId="77777777" w:rsidR="0050753C" w:rsidRDefault="0050753C" w:rsidP="00257F60">
      <w:pPr>
        <w:jc w:val="both"/>
        <w:rPr>
          <w:rFonts w:ascii="Times New Roman" w:hAnsi="Times New Roman" w:cs="Times New Roman"/>
          <w:b/>
          <w:bCs/>
        </w:rPr>
      </w:pPr>
    </w:p>
    <w:p w14:paraId="652D6BFD" w14:textId="77777777" w:rsidR="0088713C" w:rsidRDefault="0088713C" w:rsidP="00257F60">
      <w:pPr>
        <w:jc w:val="both"/>
        <w:rPr>
          <w:rFonts w:ascii="Times New Roman" w:hAnsi="Times New Roman" w:cs="Times New Roman"/>
          <w:b/>
          <w:bCs/>
        </w:rPr>
      </w:pPr>
    </w:p>
    <w:p w14:paraId="05E1B57F" w14:textId="78E430B4"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Future Directions and Perspectives</w:t>
      </w:r>
    </w:p>
    <w:p w14:paraId="79D7A717" w14:textId="14D96C7A" w:rsidR="00257F60" w:rsidRPr="00257F60" w:rsidRDefault="00257F60" w:rsidP="00257F60">
      <w:pPr>
        <w:jc w:val="both"/>
        <w:rPr>
          <w:rFonts w:ascii="Times New Roman" w:hAnsi="Times New Roman" w:cs="Times New Roman"/>
        </w:rPr>
      </w:pPr>
      <w:r w:rsidRPr="00257F60">
        <w:rPr>
          <w:rFonts w:ascii="Times New Roman" w:hAnsi="Times New Roman" w:cs="Times New Roman"/>
        </w:rPr>
        <w:t>Despite significant progress in understanding the potential of synthetic xanthone derivatives for Alzheimer’s disease (AD) therapy, several gaps remain in both basic research and translational development. Future efforts should focus on overcoming current limitations and expanding the therapeutic promise of this versatile chemical class.</w:t>
      </w:r>
    </w:p>
    <w:p w14:paraId="6132061B" w14:textId="7423303A"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Expanding Structure–Activity Relationship (SAR) Studies</w:t>
      </w:r>
    </w:p>
    <w:p w14:paraId="57211140"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To optimize the efficacy and selectivity of xanthone derivatives, comprehensive structure–activity relationship (SAR) analyses are essential. Future work should:</w:t>
      </w:r>
    </w:p>
    <w:p w14:paraId="2A9F9D1E" w14:textId="77777777" w:rsidR="00257F60" w:rsidRPr="00257F60" w:rsidRDefault="00257F60" w:rsidP="00257F60">
      <w:pPr>
        <w:numPr>
          <w:ilvl w:val="0"/>
          <w:numId w:val="7"/>
        </w:numPr>
        <w:jc w:val="both"/>
        <w:rPr>
          <w:rFonts w:ascii="Times New Roman" w:hAnsi="Times New Roman" w:cs="Times New Roman"/>
        </w:rPr>
      </w:pPr>
      <w:r w:rsidRPr="00257F60">
        <w:rPr>
          <w:rFonts w:ascii="Times New Roman" w:hAnsi="Times New Roman" w:cs="Times New Roman"/>
        </w:rPr>
        <w:t xml:space="preserve">Investigate underexplored substituents (e.g., halogens, sulfonamides, </w:t>
      </w:r>
      <w:proofErr w:type="spellStart"/>
      <w:r w:rsidRPr="00257F60">
        <w:rPr>
          <w:rFonts w:ascii="Times New Roman" w:hAnsi="Times New Roman" w:cs="Times New Roman"/>
        </w:rPr>
        <w:t>bioisosteres</w:t>
      </w:r>
      <w:proofErr w:type="spellEnd"/>
      <w:r w:rsidRPr="00257F60">
        <w:rPr>
          <w:rFonts w:ascii="Times New Roman" w:hAnsi="Times New Roman" w:cs="Times New Roman"/>
        </w:rPr>
        <w:t>) at various ring positions.</w:t>
      </w:r>
    </w:p>
    <w:p w14:paraId="485B4BB5" w14:textId="77777777" w:rsidR="00257F60" w:rsidRPr="00257F60" w:rsidRDefault="00257F60" w:rsidP="00257F60">
      <w:pPr>
        <w:numPr>
          <w:ilvl w:val="0"/>
          <w:numId w:val="7"/>
        </w:numPr>
        <w:jc w:val="both"/>
        <w:rPr>
          <w:rFonts w:ascii="Times New Roman" w:hAnsi="Times New Roman" w:cs="Times New Roman"/>
        </w:rPr>
      </w:pPr>
      <w:r w:rsidRPr="00257F60">
        <w:rPr>
          <w:rFonts w:ascii="Times New Roman" w:hAnsi="Times New Roman" w:cs="Times New Roman"/>
        </w:rPr>
        <w:t>Apply computational modeling (e.g., molecular docking, QSAR, machine learning) to predict active pharmacophores.</w:t>
      </w:r>
    </w:p>
    <w:p w14:paraId="7174475A" w14:textId="77777777" w:rsidR="00257F60" w:rsidRPr="00257F60" w:rsidRDefault="00257F60" w:rsidP="00257F60">
      <w:pPr>
        <w:numPr>
          <w:ilvl w:val="0"/>
          <w:numId w:val="7"/>
        </w:numPr>
        <w:jc w:val="both"/>
        <w:rPr>
          <w:rFonts w:ascii="Times New Roman" w:hAnsi="Times New Roman" w:cs="Times New Roman"/>
        </w:rPr>
      </w:pPr>
      <w:r w:rsidRPr="00257F60">
        <w:rPr>
          <w:rFonts w:ascii="Times New Roman" w:hAnsi="Times New Roman" w:cs="Times New Roman"/>
        </w:rPr>
        <w:t>Utilize combinatorial and diversity-oriented synthesis to generate new libraries of analogues.</w:t>
      </w:r>
    </w:p>
    <w:p w14:paraId="4574B0C1" w14:textId="2119312A" w:rsidR="00257F60" w:rsidRPr="00257F60" w:rsidRDefault="00257F60" w:rsidP="00257F60">
      <w:pPr>
        <w:jc w:val="both"/>
        <w:rPr>
          <w:rFonts w:ascii="Times New Roman" w:hAnsi="Times New Roman" w:cs="Times New Roman"/>
        </w:rPr>
      </w:pPr>
      <w:r w:rsidRPr="00257F60">
        <w:rPr>
          <w:rFonts w:ascii="Times New Roman" w:hAnsi="Times New Roman" w:cs="Times New Roman"/>
        </w:rPr>
        <w:t>This systematic approach can guide the rational design of next-generation derivatives with improved pharmacodynamic and pharmacokinetic profiles.</w:t>
      </w:r>
    </w:p>
    <w:p w14:paraId="28ADAE63" w14:textId="5E7FEDF9"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Enhancing Blood–Brain Barrier (BBB) Permeability</w:t>
      </w:r>
    </w:p>
    <w:p w14:paraId="2A07D060"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A major bottleneck in CNS drug development is ensuring sufficient compound delivery across the BBB. Strategies to improve xanthone brain permeability may include:</w:t>
      </w:r>
    </w:p>
    <w:p w14:paraId="08D1C680" w14:textId="77777777" w:rsidR="00257F60" w:rsidRPr="00257F60" w:rsidRDefault="00257F60" w:rsidP="00257F60">
      <w:pPr>
        <w:numPr>
          <w:ilvl w:val="0"/>
          <w:numId w:val="8"/>
        </w:numPr>
        <w:jc w:val="both"/>
        <w:rPr>
          <w:rFonts w:ascii="Times New Roman" w:hAnsi="Times New Roman" w:cs="Times New Roman"/>
        </w:rPr>
      </w:pPr>
      <w:r w:rsidRPr="00257F60">
        <w:rPr>
          <w:rFonts w:ascii="Times New Roman" w:hAnsi="Times New Roman" w:cs="Times New Roman"/>
          <w:b/>
          <w:bCs/>
        </w:rPr>
        <w:t>Lipophilic modifications</w:t>
      </w:r>
      <w:r w:rsidRPr="00257F60">
        <w:rPr>
          <w:rFonts w:ascii="Times New Roman" w:hAnsi="Times New Roman" w:cs="Times New Roman"/>
        </w:rPr>
        <w:t xml:space="preserve"> or prodrug approaches to facilitate passive diffusion.</w:t>
      </w:r>
    </w:p>
    <w:p w14:paraId="72B8C4E2" w14:textId="77777777" w:rsidR="00257F60" w:rsidRPr="00257F60" w:rsidRDefault="00257F60" w:rsidP="00257F60">
      <w:pPr>
        <w:numPr>
          <w:ilvl w:val="0"/>
          <w:numId w:val="8"/>
        </w:numPr>
        <w:jc w:val="both"/>
        <w:rPr>
          <w:rFonts w:ascii="Times New Roman" w:hAnsi="Times New Roman" w:cs="Times New Roman"/>
        </w:rPr>
      </w:pPr>
      <w:r w:rsidRPr="00257F60">
        <w:rPr>
          <w:rFonts w:ascii="Times New Roman" w:hAnsi="Times New Roman" w:cs="Times New Roman"/>
          <w:b/>
          <w:bCs/>
        </w:rPr>
        <w:t>Nanocarrier systems</w:t>
      </w:r>
      <w:r w:rsidRPr="00257F60">
        <w:rPr>
          <w:rFonts w:ascii="Times New Roman" w:hAnsi="Times New Roman" w:cs="Times New Roman"/>
        </w:rPr>
        <w:t xml:space="preserve"> (e.g., liposomes, dendrimers, or polymeric nanoparticles) for targeted delivery.</w:t>
      </w:r>
    </w:p>
    <w:p w14:paraId="35660EA2" w14:textId="77777777" w:rsidR="00257F60" w:rsidRPr="00257F60" w:rsidRDefault="00257F60" w:rsidP="00257F60">
      <w:pPr>
        <w:numPr>
          <w:ilvl w:val="0"/>
          <w:numId w:val="8"/>
        </w:numPr>
        <w:jc w:val="both"/>
        <w:rPr>
          <w:rFonts w:ascii="Times New Roman" w:hAnsi="Times New Roman" w:cs="Times New Roman"/>
        </w:rPr>
      </w:pPr>
      <w:r w:rsidRPr="00257F60">
        <w:rPr>
          <w:rFonts w:ascii="Times New Roman" w:hAnsi="Times New Roman" w:cs="Times New Roman"/>
          <w:b/>
          <w:bCs/>
        </w:rPr>
        <w:t>Peptide or ligand conjugation</w:t>
      </w:r>
      <w:r w:rsidRPr="00257F60">
        <w:rPr>
          <w:rFonts w:ascii="Times New Roman" w:hAnsi="Times New Roman" w:cs="Times New Roman"/>
        </w:rPr>
        <w:t xml:space="preserve"> to exploit receptor-mediated transcytosis mechanisms (e.g., transferrin or insulin receptors).</w:t>
      </w:r>
    </w:p>
    <w:p w14:paraId="3139FD37" w14:textId="6A8C5784" w:rsidR="00257F60" w:rsidRPr="00257F60" w:rsidRDefault="00257F60" w:rsidP="00257F60">
      <w:pPr>
        <w:jc w:val="both"/>
        <w:rPr>
          <w:rFonts w:ascii="Times New Roman" w:hAnsi="Times New Roman" w:cs="Times New Roman"/>
        </w:rPr>
      </w:pPr>
      <w:r w:rsidRPr="00257F60">
        <w:rPr>
          <w:rFonts w:ascii="Times New Roman" w:hAnsi="Times New Roman" w:cs="Times New Roman"/>
        </w:rPr>
        <w:t>Such strategies will be critical for translating in vitro activity into effective in vivo neuroprotection.</w:t>
      </w:r>
    </w:p>
    <w:p w14:paraId="18B400F9" w14:textId="3D031116"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Development of Multi-Target Xanthone Hybrids</w:t>
      </w:r>
    </w:p>
    <w:p w14:paraId="4C9609B4"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Given the multifactorial nature of AD, the design of multi-target-directed ligands (MTDLs) based on the xanthone core remains a promising direction. Future research should focus on:</w:t>
      </w:r>
    </w:p>
    <w:p w14:paraId="32FF0F8A" w14:textId="77777777" w:rsidR="00257F60" w:rsidRPr="00257F60" w:rsidRDefault="00257F60" w:rsidP="00257F60">
      <w:pPr>
        <w:numPr>
          <w:ilvl w:val="0"/>
          <w:numId w:val="9"/>
        </w:numPr>
        <w:jc w:val="both"/>
        <w:rPr>
          <w:rFonts w:ascii="Times New Roman" w:hAnsi="Times New Roman" w:cs="Times New Roman"/>
        </w:rPr>
      </w:pPr>
      <w:r w:rsidRPr="00257F60">
        <w:rPr>
          <w:rFonts w:ascii="Times New Roman" w:hAnsi="Times New Roman" w:cs="Times New Roman"/>
        </w:rPr>
        <w:t>Hybrid molecules that combine xanthone with known pharmacophores (e.g., tacrine, donepezil, curcumin).</w:t>
      </w:r>
    </w:p>
    <w:p w14:paraId="7E03F01B" w14:textId="77777777" w:rsidR="00257F60" w:rsidRPr="00257F60" w:rsidRDefault="00257F60" w:rsidP="00257F60">
      <w:pPr>
        <w:numPr>
          <w:ilvl w:val="0"/>
          <w:numId w:val="9"/>
        </w:numPr>
        <w:jc w:val="both"/>
        <w:rPr>
          <w:rFonts w:ascii="Times New Roman" w:hAnsi="Times New Roman" w:cs="Times New Roman"/>
        </w:rPr>
      </w:pPr>
      <w:r w:rsidRPr="00257F60">
        <w:rPr>
          <w:rFonts w:ascii="Times New Roman" w:hAnsi="Times New Roman" w:cs="Times New Roman"/>
        </w:rPr>
        <w:t xml:space="preserve">Dual-acting compounds that simultaneously inhibit Aβ aggregation and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or reduce oxidative stress and neuroinflammation.</w:t>
      </w:r>
    </w:p>
    <w:p w14:paraId="781F26E1" w14:textId="77777777" w:rsidR="00257F60" w:rsidRPr="00257F60" w:rsidRDefault="00257F60" w:rsidP="00257F60">
      <w:pPr>
        <w:numPr>
          <w:ilvl w:val="0"/>
          <w:numId w:val="9"/>
        </w:numPr>
        <w:jc w:val="both"/>
        <w:rPr>
          <w:rFonts w:ascii="Times New Roman" w:hAnsi="Times New Roman" w:cs="Times New Roman"/>
        </w:rPr>
      </w:pPr>
      <w:r w:rsidRPr="00257F60">
        <w:rPr>
          <w:rFonts w:ascii="Times New Roman" w:hAnsi="Times New Roman" w:cs="Times New Roman"/>
        </w:rPr>
        <w:lastRenderedPageBreak/>
        <w:t>Use of linker chemistry to balance affinity, selectivity, and bioavailability.</w:t>
      </w:r>
    </w:p>
    <w:p w14:paraId="11581D03" w14:textId="20B2C4C6" w:rsidR="00257F60" w:rsidRPr="00257F60" w:rsidRDefault="00257F60" w:rsidP="00257F60">
      <w:pPr>
        <w:jc w:val="both"/>
        <w:rPr>
          <w:rFonts w:ascii="Times New Roman" w:hAnsi="Times New Roman" w:cs="Times New Roman"/>
        </w:rPr>
      </w:pPr>
      <w:r w:rsidRPr="00257F60">
        <w:rPr>
          <w:rFonts w:ascii="Times New Roman" w:hAnsi="Times New Roman" w:cs="Times New Roman"/>
        </w:rPr>
        <w:t>This approach may offer superior efficacy compared to single-target drugs.</w:t>
      </w:r>
    </w:p>
    <w:p w14:paraId="7C5DB03D" w14:textId="0533A3D2"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 Vivo Validation and Translational Studies</w:t>
      </w:r>
    </w:p>
    <w:p w14:paraId="313EFE2F"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To date, most xanthone-based research has been limited to in vitro or cellular models. Moving forward, researchers should:</w:t>
      </w:r>
    </w:p>
    <w:p w14:paraId="58AA2BD0" w14:textId="77777777" w:rsidR="00257F60" w:rsidRPr="00257F60" w:rsidRDefault="00257F60" w:rsidP="00257F60">
      <w:pPr>
        <w:numPr>
          <w:ilvl w:val="0"/>
          <w:numId w:val="10"/>
        </w:numPr>
        <w:jc w:val="both"/>
        <w:rPr>
          <w:rFonts w:ascii="Times New Roman" w:hAnsi="Times New Roman" w:cs="Times New Roman"/>
        </w:rPr>
      </w:pPr>
      <w:r w:rsidRPr="00257F60">
        <w:rPr>
          <w:rFonts w:ascii="Times New Roman" w:hAnsi="Times New Roman" w:cs="Times New Roman"/>
        </w:rPr>
        <w:t>Conduct preclinical studies in transgenic animal models of AD to assess behavioral, biochemical, and histopathological effects.</w:t>
      </w:r>
    </w:p>
    <w:p w14:paraId="135FA321" w14:textId="77777777" w:rsidR="00257F60" w:rsidRPr="00257F60" w:rsidRDefault="00257F60" w:rsidP="00257F60">
      <w:pPr>
        <w:numPr>
          <w:ilvl w:val="0"/>
          <w:numId w:val="10"/>
        </w:numPr>
        <w:jc w:val="both"/>
        <w:rPr>
          <w:rFonts w:ascii="Times New Roman" w:hAnsi="Times New Roman" w:cs="Times New Roman"/>
        </w:rPr>
      </w:pPr>
      <w:r w:rsidRPr="00257F60">
        <w:rPr>
          <w:rFonts w:ascii="Times New Roman" w:hAnsi="Times New Roman" w:cs="Times New Roman"/>
        </w:rPr>
        <w:t>Evaluate long-term safety and toxicity, as well as pharmacokinetics and biodistribution.</w:t>
      </w:r>
    </w:p>
    <w:p w14:paraId="5701F74A" w14:textId="77777777" w:rsidR="00257F60" w:rsidRPr="00257F60" w:rsidRDefault="00257F60" w:rsidP="00257F60">
      <w:pPr>
        <w:numPr>
          <w:ilvl w:val="0"/>
          <w:numId w:val="10"/>
        </w:numPr>
        <w:jc w:val="both"/>
        <w:rPr>
          <w:rFonts w:ascii="Times New Roman" w:hAnsi="Times New Roman" w:cs="Times New Roman"/>
        </w:rPr>
      </w:pPr>
      <w:r w:rsidRPr="00257F60">
        <w:rPr>
          <w:rFonts w:ascii="Times New Roman" w:hAnsi="Times New Roman" w:cs="Times New Roman"/>
        </w:rPr>
        <w:t>Explore drug metabolism and pharmacokinetics (DMPK) to identify favorable candidates for progression to clinical trials.</w:t>
      </w:r>
    </w:p>
    <w:p w14:paraId="0C4F962B" w14:textId="3C757086" w:rsidR="00257F60" w:rsidRPr="00257F60" w:rsidRDefault="00257F60" w:rsidP="00257F60">
      <w:pPr>
        <w:jc w:val="both"/>
        <w:rPr>
          <w:rFonts w:ascii="Times New Roman" w:hAnsi="Times New Roman" w:cs="Times New Roman"/>
        </w:rPr>
      </w:pPr>
      <w:r w:rsidRPr="00257F60">
        <w:rPr>
          <w:rFonts w:ascii="Times New Roman" w:hAnsi="Times New Roman" w:cs="Times New Roman"/>
        </w:rPr>
        <w:t>Such validation is crucial to bridge the gap between lab-based discoveries and real-world application.</w:t>
      </w:r>
    </w:p>
    <w:p w14:paraId="6440AA84" w14:textId="39B35A1A"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Integration of Green and Scalable Synthesis Methods</w:t>
      </w:r>
    </w:p>
    <w:p w14:paraId="1FDA6674"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To support commercial viability, future synthesis of xanthone derivatives should emphasize:</w:t>
      </w:r>
    </w:p>
    <w:p w14:paraId="18993FDE" w14:textId="77777777" w:rsidR="00257F60" w:rsidRPr="00257F60" w:rsidRDefault="00257F60" w:rsidP="00257F60">
      <w:pPr>
        <w:numPr>
          <w:ilvl w:val="0"/>
          <w:numId w:val="11"/>
        </w:numPr>
        <w:jc w:val="both"/>
        <w:rPr>
          <w:rFonts w:ascii="Times New Roman" w:hAnsi="Times New Roman" w:cs="Times New Roman"/>
        </w:rPr>
      </w:pPr>
      <w:r w:rsidRPr="00257F60">
        <w:rPr>
          <w:rFonts w:ascii="Times New Roman" w:hAnsi="Times New Roman" w:cs="Times New Roman"/>
        </w:rPr>
        <w:t>Eco-friendly, sustainable methodologies (e.g., solvent-free synthesis, microwave-assisted reactions).</w:t>
      </w:r>
    </w:p>
    <w:p w14:paraId="4A33E550" w14:textId="77777777" w:rsidR="00257F60" w:rsidRPr="00257F60" w:rsidRDefault="00257F60" w:rsidP="00257F60">
      <w:pPr>
        <w:numPr>
          <w:ilvl w:val="0"/>
          <w:numId w:val="11"/>
        </w:numPr>
        <w:jc w:val="both"/>
        <w:rPr>
          <w:rFonts w:ascii="Times New Roman" w:hAnsi="Times New Roman" w:cs="Times New Roman"/>
        </w:rPr>
      </w:pPr>
      <w:r w:rsidRPr="00257F60">
        <w:rPr>
          <w:rFonts w:ascii="Times New Roman" w:hAnsi="Times New Roman" w:cs="Times New Roman"/>
        </w:rPr>
        <w:t>Scalable synthetic routes with cost-effective reagents and minimal purification steps.</w:t>
      </w:r>
    </w:p>
    <w:p w14:paraId="43F11AB5" w14:textId="77777777" w:rsidR="00257F60" w:rsidRPr="00257F60" w:rsidRDefault="00257F60" w:rsidP="00257F60">
      <w:pPr>
        <w:numPr>
          <w:ilvl w:val="0"/>
          <w:numId w:val="11"/>
        </w:numPr>
        <w:jc w:val="both"/>
        <w:rPr>
          <w:rFonts w:ascii="Times New Roman" w:hAnsi="Times New Roman" w:cs="Times New Roman"/>
        </w:rPr>
      </w:pPr>
      <w:r w:rsidRPr="00257F60">
        <w:rPr>
          <w:rFonts w:ascii="Times New Roman" w:hAnsi="Times New Roman" w:cs="Times New Roman"/>
        </w:rPr>
        <w:t>Potential incorporation of biocatalytic or enzymatic steps to reduce environmental impact.</w:t>
      </w:r>
    </w:p>
    <w:p w14:paraId="284C1ECE" w14:textId="1655BA39" w:rsidR="00257F60" w:rsidRPr="00257F60" w:rsidRDefault="00257F60" w:rsidP="00257F60">
      <w:pPr>
        <w:jc w:val="both"/>
        <w:rPr>
          <w:rFonts w:ascii="Times New Roman" w:hAnsi="Times New Roman" w:cs="Times New Roman"/>
        </w:rPr>
      </w:pPr>
      <w:r w:rsidRPr="00257F60">
        <w:rPr>
          <w:rFonts w:ascii="Times New Roman" w:hAnsi="Times New Roman" w:cs="Times New Roman"/>
        </w:rPr>
        <w:t>These practices align with modern principles of green chemistry and pharmaceutical sustainability.</w:t>
      </w:r>
    </w:p>
    <w:p w14:paraId="0B467E03" w14:textId="30945A82"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Personalized and Precision Medicine Approaches</w:t>
      </w:r>
    </w:p>
    <w:p w14:paraId="2A5CDCE8"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With the advent of precision medicine, it is increasingly possible to tailor therapies based on genetic and biomarker profiles. Xanthone-based drugs could be developed to:</w:t>
      </w:r>
    </w:p>
    <w:p w14:paraId="47938360" w14:textId="77777777" w:rsidR="00257F60" w:rsidRPr="00257F60" w:rsidRDefault="00257F60" w:rsidP="00257F60">
      <w:pPr>
        <w:numPr>
          <w:ilvl w:val="0"/>
          <w:numId w:val="12"/>
        </w:numPr>
        <w:jc w:val="both"/>
        <w:rPr>
          <w:rFonts w:ascii="Times New Roman" w:hAnsi="Times New Roman" w:cs="Times New Roman"/>
        </w:rPr>
      </w:pPr>
      <w:r w:rsidRPr="00257F60">
        <w:rPr>
          <w:rFonts w:ascii="Times New Roman" w:hAnsi="Times New Roman" w:cs="Times New Roman"/>
        </w:rPr>
        <w:t>Target specific AD subtypes (e.g., early-onset familial vs. late-onset sporadic).</w:t>
      </w:r>
    </w:p>
    <w:p w14:paraId="0123E494" w14:textId="77777777" w:rsidR="00257F60" w:rsidRPr="00257F60" w:rsidRDefault="00257F60" w:rsidP="00257F60">
      <w:pPr>
        <w:numPr>
          <w:ilvl w:val="0"/>
          <w:numId w:val="12"/>
        </w:numPr>
        <w:jc w:val="both"/>
        <w:rPr>
          <w:rFonts w:ascii="Times New Roman" w:hAnsi="Times New Roman" w:cs="Times New Roman"/>
        </w:rPr>
      </w:pPr>
      <w:r w:rsidRPr="00257F60">
        <w:rPr>
          <w:rFonts w:ascii="Times New Roman" w:hAnsi="Times New Roman" w:cs="Times New Roman"/>
        </w:rPr>
        <w:t>Match individual APOE genotypes, inflammatory markers, or oxidative stress levels.</w:t>
      </w:r>
    </w:p>
    <w:p w14:paraId="5904A80E" w14:textId="77777777" w:rsidR="00257F60" w:rsidRPr="00257F60" w:rsidRDefault="00257F60" w:rsidP="00257F60">
      <w:pPr>
        <w:numPr>
          <w:ilvl w:val="0"/>
          <w:numId w:val="12"/>
        </w:numPr>
        <w:jc w:val="both"/>
        <w:rPr>
          <w:rFonts w:ascii="Times New Roman" w:hAnsi="Times New Roman" w:cs="Times New Roman"/>
        </w:rPr>
      </w:pPr>
      <w:r w:rsidRPr="00257F60">
        <w:rPr>
          <w:rFonts w:ascii="Times New Roman" w:hAnsi="Times New Roman" w:cs="Times New Roman"/>
        </w:rPr>
        <w:t>Serve as adjuvants in combination therapies alongside existing FDA-approved drugs.</w:t>
      </w:r>
    </w:p>
    <w:p w14:paraId="532EDF43" w14:textId="33D9CA27" w:rsidR="00257F60" w:rsidRPr="00257F60" w:rsidRDefault="00257F60" w:rsidP="00257F60">
      <w:pPr>
        <w:jc w:val="both"/>
        <w:rPr>
          <w:rFonts w:ascii="Times New Roman" w:hAnsi="Times New Roman" w:cs="Times New Roman"/>
        </w:rPr>
      </w:pPr>
      <w:r w:rsidRPr="00257F60">
        <w:rPr>
          <w:rFonts w:ascii="Times New Roman" w:hAnsi="Times New Roman" w:cs="Times New Roman"/>
        </w:rPr>
        <w:t>Incorporating patient-specific insights may improve therapeutic outcomes and minimize adverse effects.</w:t>
      </w:r>
    </w:p>
    <w:p w14:paraId="4837DE56" w14:textId="41B678B0" w:rsidR="00257F60" w:rsidRPr="00106D17" w:rsidRDefault="00257F60" w:rsidP="00106D17">
      <w:pPr>
        <w:jc w:val="both"/>
        <w:rPr>
          <w:rFonts w:ascii="Times New Roman" w:hAnsi="Times New Roman" w:cs="Times New Roman"/>
          <w:b/>
          <w:bCs/>
        </w:rPr>
      </w:pPr>
      <w:r w:rsidRPr="00106D17">
        <w:rPr>
          <w:rFonts w:ascii="Times New Roman" w:hAnsi="Times New Roman" w:cs="Times New Roman"/>
          <w:b/>
          <w:bCs/>
        </w:rPr>
        <w:t>Exploring Other CNS Applications</w:t>
      </w:r>
    </w:p>
    <w:p w14:paraId="3703EBA2" w14:textId="55732298" w:rsidR="00257F60" w:rsidRPr="00257F60" w:rsidRDefault="00257F60" w:rsidP="00106D17">
      <w:pPr>
        <w:jc w:val="both"/>
        <w:rPr>
          <w:rFonts w:ascii="Times New Roman" w:hAnsi="Times New Roman" w:cs="Times New Roman"/>
        </w:rPr>
      </w:pPr>
      <w:r w:rsidRPr="00257F60">
        <w:rPr>
          <w:rFonts w:ascii="Times New Roman" w:hAnsi="Times New Roman" w:cs="Times New Roman"/>
        </w:rPr>
        <w:t>Finally, the neuroprotective properties of xanthone derivatives are not limited to Alzheimer’s disease. Future investigations could explore their potential in related conditions such as</w:t>
      </w:r>
      <w:r w:rsidR="00106D17">
        <w:rPr>
          <w:rFonts w:ascii="Times New Roman" w:hAnsi="Times New Roman" w:cs="Times New Roman"/>
        </w:rPr>
        <w:t xml:space="preserve"> </w:t>
      </w:r>
      <w:r w:rsidRPr="00257F60">
        <w:rPr>
          <w:rFonts w:ascii="Times New Roman" w:hAnsi="Times New Roman" w:cs="Times New Roman"/>
        </w:rPr>
        <w:lastRenderedPageBreak/>
        <w:t>Parkinson’s disease</w:t>
      </w:r>
      <w:r w:rsidR="00106D17" w:rsidRPr="00106D17">
        <w:rPr>
          <w:rFonts w:ascii="Times New Roman" w:hAnsi="Times New Roman" w:cs="Times New Roman"/>
        </w:rPr>
        <w:t xml:space="preserve">, </w:t>
      </w:r>
      <w:r w:rsidRPr="00257F60">
        <w:rPr>
          <w:rFonts w:ascii="Times New Roman" w:hAnsi="Times New Roman" w:cs="Times New Roman"/>
        </w:rPr>
        <w:t xml:space="preserve">Huntington’s </w:t>
      </w:r>
      <w:r w:rsidR="00106D17" w:rsidRPr="00257F60">
        <w:rPr>
          <w:rFonts w:ascii="Times New Roman" w:hAnsi="Times New Roman" w:cs="Times New Roman"/>
        </w:rPr>
        <w:t>disease</w:t>
      </w:r>
      <w:r w:rsidR="00106D17" w:rsidRPr="00106D17">
        <w:rPr>
          <w:rFonts w:ascii="Times New Roman" w:hAnsi="Times New Roman" w:cs="Times New Roman"/>
        </w:rPr>
        <w:t xml:space="preserve">, </w:t>
      </w:r>
      <w:r w:rsidRPr="00257F60">
        <w:rPr>
          <w:rFonts w:ascii="Times New Roman" w:hAnsi="Times New Roman" w:cs="Times New Roman"/>
        </w:rPr>
        <w:t>Amyotrophic lateral sclerosis (ALS</w:t>
      </w:r>
      <w:r w:rsidR="00106D17" w:rsidRPr="00257F60">
        <w:rPr>
          <w:rFonts w:ascii="Times New Roman" w:hAnsi="Times New Roman" w:cs="Times New Roman"/>
        </w:rPr>
        <w:t>)</w:t>
      </w:r>
      <w:r w:rsidR="00106D17" w:rsidRPr="00106D17">
        <w:rPr>
          <w:rFonts w:ascii="Times New Roman" w:hAnsi="Times New Roman" w:cs="Times New Roman"/>
        </w:rPr>
        <w:t xml:space="preserve">, </w:t>
      </w:r>
      <w:r w:rsidRPr="00257F60">
        <w:rPr>
          <w:rFonts w:ascii="Times New Roman" w:hAnsi="Times New Roman" w:cs="Times New Roman"/>
        </w:rPr>
        <w:t>Multiple sclerosis</w:t>
      </w:r>
      <w:r w:rsidR="00106D17">
        <w:rPr>
          <w:rFonts w:ascii="Times New Roman" w:hAnsi="Times New Roman" w:cs="Times New Roman"/>
        </w:rPr>
        <w:t xml:space="preserve">. </w:t>
      </w:r>
      <w:r w:rsidRPr="00257F60">
        <w:rPr>
          <w:rFonts w:ascii="Times New Roman" w:hAnsi="Times New Roman" w:cs="Times New Roman"/>
        </w:rPr>
        <w:t>These indications may benefit from the antioxidant, anti-inflammatory, and cholinergic-modulating properties of the xanthone scaffold.</w:t>
      </w:r>
    </w:p>
    <w:p w14:paraId="3DB69F66" w14:textId="1E88A56E"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Multidisciplinary Approach</w:t>
      </w:r>
      <w:r>
        <w:rPr>
          <w:rFonts w:ascii="Times New Roman" w:hAnsi="Times New Roman" w:cs="Times New Roman"/>
          <w:b/>
          <w:bCs/>
        </w:rPr>
        <w:t xml:space="preserve"> </w:t>
      </w:r>
      <w:r w:rsidRPr="00106D17">
        <w:rPr>
          <w:rFonts w:ascii="Times New Roman" w:hAnsi="Times New Roman" w:cs="Times New Roman"/>
          <w:b/>
          <w:bCs/>
        </w:rPr>
        <w:t>Combining Medicinal Chemistry, Pharmacology, and Beyond</w:t>
      </w:r>
    </w:p>
    <w:p w14:paraId="09843C04" w14:textId="4310B4BA" w:rsidR="00106D17" w:rsidRPr="00106D17" w:rsidRDefault="00106D17" w:rsidP="00106D17">
      <w:pPr>
        <w:jc w:val="both"/>
        <w:rPr>
          <w:rFonts w:ascii="Times New Roman" w:hAnsi="Times New Roman" w:cs="Times New Roman"/>
        </w:rPr>
      </w:pPr>
      <w:r w:rsidRPr="00106D17">
        <w:rPr>
          <w:rFonts w:ascii="Times New Roman" w:hAnsi="Times New Roman" w:cs="Times New Roman"/>
        </w:rPr>
        <w:t>The successful development of synthetic xanthone derivatives for Alzheimer’s disease (AD) necessitates a multidisciplinary approach that integrates diverse scientific domains to address the complexities of drug discovery and clinical translation.</w:t>
      </w:r>
    </w:p>
    <w:p w14:paraId="30FF0F90"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1. Medicinal Chemistry</w:t>
      </w:r>
    </w:p>
    <w:p w14:paraId="0AB72169" w14:textId="4BD268AA" w:rsidR="00106D17" w:rsidRPr="00106D17" w:rsidRDefault="00106D17" w:rsidP="00106D17">
      <w:pPr>
        <w:jc w:val="both"/>
        <w:rPr>
          <w:rFonts w:ascii="Times New Roman" w:hAnsi="Times New Roman" w:cs="Times New Roman"/>
        </w:rPr>
      </w:pPr>
      <w:r w:rsidRPr="00106D17">
        <w:rPr>
          <w:rFonts w:ascii="Times New Roman" w:hAnsi="Times New Roman" w:cs="Times New Roman"/>
        </w:rPr>
        <w:t>Medicinal chemistry underpins the rational design and synthesis of xanthone derivatives. Through systematic structure–activity relationship (SAR) studies, chemists can optimize molecular features such as lipophilicity, electronic distribution, and steric factors to enhance target affinity and metabolic stability [41]. Computational methods like molecular docking and QSAR further guide the design of compounds with improved interactions with AD-related targets such as acetylcholinesterase and β-amyloid aggregates [42]. Additionally, adopting scalable and green synthetic methods aligns with sustainable pharmaceutical development [43].</w:t>
      </w:r>
    </w:p>
    <w:p w14:paraId="2E897EE7"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2. Pharmacology</w:t>
      </w:r>
    </w:p>
    <w:p w14:paraId="15AA260A" w14:textId="1E499AAC" w:rsidR="00106D17" w:rsidRPr="00106D17" w:rsidRDefault="00106D17" w:rsidP="00106D17">
      <w:pPr>
        <w:jc w:val="both"/>
        <w:rPr>
          <w:rFonts w:ascii="Times New Roman" w:hAnsi="Times New Roman" w:cs="Times New Roman"/>
        </w:rPr>
      </w:pPr>
      <w:r w:rsidRPr="00106D17">
        <w:rPr>
          <w:rFonts w:ascii="Times New Roman" w:hAnsi="Times New Roman" w:cs="Times New Roman"/>
        </w:rPr>
        <w:t>Pharmacological evaluation is crucial to determine the efficacy and safety of xanthone derivatives. In vitro assays provide insights into antioxidant, anti-inflammatory, and enzyme inhibitory activities [44]. In vivo studies in transgenic AD models allow assessment of cognitive benefits and neuropathological changes, supporting translational relevance [45]. Pharmacokinetic profiling, including brain penetration and metabolic stability, ensures that promising compounds can reach therapeutic concentrations within the central nervous system (CNS) [46]. Toxicological studies are essential to minimize off-target effects and ensure safety profiles compatible with long-term use [47].</w:t>
      </w:r>
    </w:p>
    <w:p w14:paraId="3B820442"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3. Molecular and Cellular Neuroscience</w:t>
      </w:r>
    </w:p>
    <w:p w14:paraId="012A7745" w14:textId="34583A20" w:rsidR="00106D17" w:rsidRPr="00106D17" w:rsidRDefault="00106D17" w:rsidP="00106D17">
      <w:pPr>
        <w:jc w:val="both"/>
        <w:rPr>
          <w:rFonts w:ascii="Times New Roman" w:hAnsi="Times New Roman" w:cs="Times New Roman"/>
        </w:rPr>
      </w:pPr>
      <w:r w:rsidRPr="00106D17">
        <w:rPr>
          <w:rFonts w:ascii="Times New Roman" w:hAnsi="Times New Roman" w:cs="Times New Roman"/>
        </w:rPr>
        <w:t>Understanding the molecular mechanisms of AD and the modulatory effects of xanthone derivatives involves detailed neurobiological research. Studies focus on how these compounds inhibit amyloid-β aggregation, reduce tau hyperphosphorylation, mitigate oxidative stress, and modulate neuroinflammation [48]. Advanced imaging and biomarker analyses facilitate monitoring of neuronal health and pathological changes, deepening understanding of drug action at the cellular level [49].</w:t>
      </w:r>
    </w:p>
    <w:p w14:paraId="552E49AA"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4. Computational Biology and Bioinformatics</w:t>
      </w:r>
    </w:p>
    <w:p w14:paraId="2B569176" w14:textId="0DECC6A2" w:rsidR="00106D17" w:rsidRPr="00106D17" w:rsidRDefault="00106D17" w:rsidP="00106D17">
      <w:pPr>
        <w:jc w:val="both"/>
        <w:rPr>
          <w:rFonts w:ascii="Times New Roman" w:hAnsi="Times New Roman" w:cs="Times New Roman"/>
        </w:rPr>
      </w:pPr>
      <w:r w:rsidRPr="00106D17">
        <w:rPr>
          <w:rFonts w:ascii="Times New Roman" w:hAnsi="Times New Roman" w:cs="Times New Roman"/>
        </w:rPr>
        <w:t xml:space="preserve">Computational approaches expedite lead optimization by predicting pharmacodynamic and pharmacokinetic properties, including blood–brain barrier (BBB) permeability and potential off-target interactions [50]. Integration of omics data and machine learning algorithms aids in </w:t>
      </w:r>
      <w:r w:rsidRPr="00106D17">
        <w:rPr>
          <w:rFonts w:ascii="Times New Roman" w:hAnsi="Times New Roman" w:cs="Times New Roman"/>
        </w:rPr>
        <w:lastRenderedPageBreak/>
        <w:t>identifying novel targets and predicting compound efficacy and toxicity profiles [51]. Such in silico tools reduce time and cost in early drug development phases.</w:t>
      </w:r>
    </w:p>
    <w:p w14:paraId="331736C2"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5. Drug Delivery and Nanotechnology</w:t>
      </w:r>
    </w:p>
    <w:p w14:paraId="38992375" w14:textId="6E93CF56" w:rsidR="00106D17" w:rsidRPr="00106D17" w:rsidRDefault="00106D17" w:rsidP="00106D17">
      <w:pPr>
        <w:jc w:val="both"/>
        <w:rPr>
          <w:rFonts w:ascii="Times New Roman" w:hAnsi="Times New Roman" w:cs="Times New Roman"/>
        </w:rPr>
      </w:pPr>
      <w:r w:rsidRPr="00106D17">
        <w:rPr>
          <w:rFonts w:ascii="Times New Roman" w:hAnsi="Times New Roman" w:cs="Times New Roman"/>
        </w:rPr>
        <w:t>Effective CNS delivery remains a major challenge. Nanocarriers such as liposomes, polymeric nanoparticles, and dendrimers have been explored to enhance solubility, stability, and targeted delivery of xanthone derivatives [52]. Prodrug strategies and ligand conjugation can further improve BBB penetration and reduce peripheral metabolism [53]. Controlled release formulations contribute to sustained therapeutic levels and improved patient compliance [54].</w:t>
      </w:r>
    </w:p>
    <w:p w14:paraId="65F212F9"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6. Clinical Neuroscience and Translational Medicine</w:t>
      </w:r>
    </w:p>
    <w:p w14:paraId="12CEC1A3"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t>Bridging preclinical findings with clinical application requires well-designed translational studies. Utilizing animal models that recapitulate human AD pathology ensures better predictability of clinical outcomes [55]. Biomarkers are vital for monitoring drug efficacy and disease progression in clinical trials [56]. Early-phase clinical studies should incorporate patient stratification based on genetics and biomarkers to personalize therapy and optimize outcomes [57].</w:t>
      </w:r>
    </w:p>
    <w:tbl>
      <w:tblPr>
        <w:tblStyle w:val="TableGrid"/>
        <w:tblW w:w="9791" w:type="dxa"/>
        <w:tblLook w:val="04A0" w:firstRow="1" w:lastRow="0" w:firstColumn="1" w:lastColumn="0" w:noHBand="0" w:noVBand="1"/>
      </w:tblPr>
      <w:tblGrid>
        <w:gridCol w:w="2257"/>
        <w:gridCol w:w="2274"/>
        <w:gridCol w:w="3507"/>
        <w:gridCol w:w="1753"/>
      </w:tblGrid>
      <w:tr w:rsidR="00106D17" w:rsidRPr="00106D17" w14:paraId="4585E9E1" w14:textId="77777777" w:rsidTr="004F347E">
        <w:trPr>
          <w:trHeight w:val="759"/>
        </w:trPr>
        <w:tc>
          <w:tcPr>
            <w:tcW w:w="0" w:type="auto"/>
            <w:vAlign w:val="center"/>
            <w:hideMark/>
          </w:tcPr>
          <w:p w14:paraId="45C9FC73" w14:textId="77777777"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Discipline</w:t>
            </w:r>
          </w:p>
        </w:tc>
        <w:tc>
          <w:tcPr>
            <w:tcW w:w="2274" w:type="dxa"/>
            <w:vAlign w:val="center"/>
            <w:hideMark/>
          </w:tcPr>
          <w:p w14:paraId="70E6AFC6" w14:textId="77777777"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Role/Contribution</w:t>
            </w:r>
          </w:p>
        </w:tc>
        <w:tc>
          <w:tcPr>
            <w:tcW w:w="3507" w:type="dxa"/>
            <w:vAlign w:val="center"/>
            <w:hideMark/>
          </w:tcPr>
          <w:p w14:paraId="5CF243A0" w14:textId="77777777"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Key Focus Areas</w:t>
            </w:r>
          </w:p>
        </w:tc>
        <w:tc>
          <w:tcPr>
            <w:tcW w:w="1753" w:type="dxa"/>
            <w:vAlign w:val="center"/>
            <w:hideMark/>
          </w:tcPr>
          <w:p w14:paraId="55194556" w14:textId="0A762128"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References</w:t>
            </w:r>
          </w:p>
        </w:tc>
      </w:tr>
      <w:tr w:rsidR="00106D17" w:rsidRPr="00106D17" w14:paraId="510C20BC" w14:textId="77777777" w:rsidTr="004F347E">
        <w:trPr>
          <w:trHeight w:val="1267"/>
        </w:trPr>
        <w:tc>
          <w:tcPr>
            <w:tcW w:w="0" w:type="auto"/>
            <w:vAlign w:val="center"/>
            <w:hideMark/>
          </w:tcPr>
          <w:p w14:paraId="3D6A3D52"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Medicinal Chemistry</w:t>
            </w:r>
          </w:p>
        </w:tc>
        <w:tc>
          <w:tcPr>
            <w:tcW w:w="2274" w:type="dxa"/>
            <w:vAlign w:val="center"/>
            <w:hideMark/>
          </w:tcPr>
          <w:p w14:paraId="2FBF51CD"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Design and synthesis of xanthone derivatives optimized for AD targets</w:t>
            </w:r>
          </w:p>
        </w:tc>
        <w:tc>
          <w:tcPr>
            <w:tcW w:w="3507" w:type="dxa"/>
            <w:vAlign w:val="center"/>
            <w:hideMark/>
          </w:tcPr>
          <w:p w14:paraId="59B1E53C" w14:textId="3D08F43F"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Structure–Activity Relationship (SAR) studies- Computational drug design (docking, QSAR)- Green, scalable synthesis</w:t>
            </w:r>
          </w:p>
        </w:tc>
        <w:tc>
          <w:tcPr>
            <w:tcW w:w="1753" w:type="dxa"/>
            <w:vAlign w:val="center"/>
            <w:hideMark/>
          </w:tcPr>
          <w:p w14:paraId="64B50480" w14:textId="004CC96E"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[41], [42],</w:t>
            </w:r>
          </w:p>
          <w:p w14:paraId="18B41EBE" w14:textId="70E2AEDB"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[43]</w:t>
            </w:r>
          </w:p>
        </w:tc>
      </w:tr>
      <w:tr w:rsidR="00106D17" w:rsidRPr="00106D17" w14:paraId="1204BDBB" w14:textId="77777777" w:rsidTr="004F347E">
        <w:trPr>
          <w:trHeight w:val="1374"/>
        </w:trPr>
        <w:tc>
          <w:tcPr>
            <w:tcW w:w="0" w:type="auto"/>
            <w:vAlign w:val="center"/>
            <w:hideMark/>
          </w:tcPr>
          <w:p w14:paraId="5950B199"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Pharmacology</w:t>
            </w:r>
          </w:p>
        </w:tc>
        <w:tc>
          <w:tcPr>
            <w:tcW w:w="2274" w:type="dxa"/>
            <w:vAlign w:val="center"/>
            <w:hideMark/>
          </w:tcPr>
          <w:p w14:paraId="07BA2A9B"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Evaluate biological efficacy, safety, and pharmacokinetics</w:t>
            </w:r>
          </w:p>
        </w:tc>
        <w:tc>
          <w:tcPr>
            <w:tcW w:w="3507" w:type="dxa"/>
            <w:vAlign w:val="center"/>
            <w:hideMark/>
          </w:tcPr>
          <w:p w14:paraId="0C011EA1" w14:textId="539D3BEF"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In vitro anti-amyloid, antioxidant, anti-inflammatory assays- In vivo cognitive and neuropathological studies- PK &amp; toxicity</w:t>
            </w:r>
          </w:p>
        </w:tc>
        <w:tc>
          <w:tcPr>
            <w:tcW w:w="1753" w:type="dxa"/>
            <w:vAlign w:val="center"/>
            <w:hideMark/>
          </w:tcPr>
          <w:p w14:paraId="3FF7F668" w14:textId="435AF1A8"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[44], [45],</w:t>
            </w:r>
          </w:p>
          <w:p w14:paraId="2200C14F" w14:textId="370B1A2D"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[46], [47]</w:t>
            </w:r>
          </w:p>
        </w:tc>
      </w:tr>
      <w:tr w:rsidR="00106D17" w:rsidRPr="00106D17" w14:paraId="24427081" w14:textId="77777777" w:rsidTr="004F347E">
        <w:trPr>
          <w:trHeight w:val="1360"/>
        </w:trPr>
        <w:tc>
          <w:tcPr>
            <w:tcW w:w="0" w:type="auto"/>
            <w:vAlign w:val="center"/>
            <w:hideMark/>
          </w:tcPr>
          <w:p w14:paraId="5AEF7417"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Molecular &amp; Cellular Neuroscience</w:t>
            </w:r>
          </w:p>
        </w:tc>
        <w:tc>
          <w:tcPr>
            <w:tcW w:w="2274" w:type="dxa"/>
            <w:vAlign w:val="center"/>
            <w:hideMark/>
          </w:tcPr>
          <w:p w14:paraId="2F45894C"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Understand molecular mechanisms and neuronal effects</w:t>
            </w:r>
          </w:p>
        </w:tc>
        <w:tc>
          <w:tcPr>
            <w:tcW w:w="3507" w:type="dxa"/>
            <w:vAlign w:val="center"/>
            <w:hideMark/>
          </w:tcPr>
          <w:p w14:paraId="19B0F484" w14:textId="761514CA"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Modulation of Aβ aggregation, tau phosphorylation- Oxidative stress &amp; inflammation pathways- Imaging &amp; biomarker studies</w:t>
            </w:r>
          </w:p>
        </w:tc>
        <w:tc>
          <w:tcPr>
            <w:tcW w:w="1753" w:type="dxa"/>
            <w:vAlign w:val="center"/>
            <w:hideMark/>
          </w:tcPr>
          <w:p w14:paraId="34A11F81"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[48], [49]</w:t>
            </w:r>
          </w:p>
        </w:tc>
      </w:tr>
      <w:tr w:rsidR="00106D17" w:rsidRPr="00106D17" w14:paraId="30533A25" w14:textId="77777777" w:rsidTr="004F347E">
        <w:trPr>
          <w:trHeight w:val="1675"/>
        </w:trPr>
        <w:tc>
          <w:tcPr>
            <w:tcW w:w="0" w:type="auto"/>
            <w:vAlign w:val="center"/>
            <w:hideMark/>
          </w:tcPr>
          <w:p w14:paraId="23E2DA22"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Computational Biology &amp; Bioinformatics</w:t>
            </w:r>
          </w:p>
        </w:tc>
        <w:tc>
          <w:tcPr>
            <w:tcW w:w="2274" w:type="dxa"/>
            <w:vAlign w:val="center"/>
            <w:hideMark/>
          </w:tcPr>
          <w:p w14:paraId="50D718F3"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Predict drug properties, optimize lead compounds, analyze omics data</w:t>
            </w:r>
          </w:p>
        </w:tc>
        <w:tc>
          <w:tcPr>
            <w:tcW w:w="3507" w:type="dxa"/>
            <w:vAlign w:val="center"/>
            <w:hideMark/>
          </w:tcPr>
          <w:p w14:paraId="66E510DF" w14:textId="6E0B1F01"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 xml:space="preserve">BBB </w:t>
            </w:r>
            <w:r w:rsidR="004F347E">
              <w:rPr>
                <w:rFonts w:ascii="Times New Roman" w:hAnsi="Times New Roman" w:cs="Times New Roman"/>
              </w:rPr>
              <w:t>permeability prediction- o</w:t>
            </w:r>
            <w:r w:rsidRPr="00106D17">
              <w:rPr>
                <w:rFonts w:ascii="Times New Roman" w:hAnsi="Times New Roman" w:cs="Times New Roman"/>
              </w:rPr>
              <w:t>ff-target and toxicity prediction- Machine learning for target identification</w:t>
            </w:r>
          </w:p>
        </w:tc>
        <w:tc>
          <w:tcPr>
            <w:tcW w:w="1753" w:type="dxa"/>
            <w:vAlign w:val="center"/>
            <w:hideMark/>
          </w:tcPr>
          <w:p w14:paraId="7CC518BE"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[50], [51]</w:t>
            </w:r>
          </w:p>
        </w:tc>
      </w:tr>
      <w:tr w:rsidR="00106D17" w:rsidRPr="00106D17" w14:paraId="16BDE84F" w14:textId="77777777" w:rsidTr="004F347E">
        <w:trPr>
          <w:trHeight w:val="1675"/>
        </w:trPr>
        <w:tc>
          <w:tcPr>
            <w:tcW w:w="0" w:type="auto"/>
            <w:vAlign w:val="center"/>
            <w:hideMark/>
          </w:tcPr>
          <w:p w14:paraId="03EA6082"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lastRenderedPageBreak/>
              <w:t>Drug Delivery &amp; Nanotechnology</w:t>
            </w:r>
          </w:p>
        </w:tc>
        <w:tc>
          <w:tcPr>
            <w:tcW w:w="2274" w:type="dxa"/>
            <w:vAlign w:val="center"/>
            <w:hideMark/>
          </w:tcPr>
          <w:p w14:paraId="5184FE24"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Develop methods to improve CNS delivery of xanthone derivatives</w:t>
            </w:r>
          </w:p>
        </w:tc>
        <w:tc>
          <w:tcPr>
            <w:tcW w:w="3507" w:type="dxa"/>
            <w:vAlign w:val="center"/>
            <w:hideMark/>
          </w:tcPr>
          <w:p w14:paraId="76169DA4" w14:textId="1481BE3F"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Nanocarriers (liposomes, nanoparticles)- Prodrug and ligand conjugation- Controlled release formulations</w:t>
            </w:r>
          </w:p>
        </w:tc>
        <w:tc>
          <w:tcPr>
            <w:tcW w:w="1753" w:type="dxa"/>
            <w:vAlign w:val="center"/>
            <w:hideMark/>
          </w:tcPr>
          <w:p w14:paraId="2E0FD679" w14:textId="12F59BAA"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[52], [53],</w:t>
            </w:r>
          </w:p>
          <w:p w14:paraId="5CAA925D" w14:textId="1CD83903"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[54]</w:t>
            </w:r>
          </w:p>
        </w:tc>
      </w:tr>
      <w:tr w:rsidR="00106D17" w:rsidRPr="00106D17" w14:paraId="5782824E" w14:textId="77777777" w:rsidTr="004F347E">
        <w:trPr>
          <w:trHeight w:val="1360"/>
        </w:trPr>
        <w:tc>
          <w:tcPr>
            <w:tcW w:w="0" w:type="auto"/>
            <w:vAlign w:val="center"/>
            <w:hideMark/>
          </w:tcPr>
          <w:p w14:paraId="0E85CF1B"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Clinical Neuroscience &amp; Translational Medicine</w:t>
            </w:r>
          </w:p>
        </w:tc>
        <w:tc>
          <w:tcPr>
            <w:tcW w:w="2274" w:type="dxa"/>
            <w:vAlign w:val="center"/>
            <w:hideMark/>
          </w:tcPr>
          <w:p w14:paraId="3E66FF53"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Bridge preclinical results to clinical trials</w:t>
            </w:r>
          </w:p>
        </w:tc>
        <w:tc>
          <w:tcPr>
            <w:tcW w:w="3507" w:type="dxa"/>
            <w:vAlign w:val="center"/>
            <w:hideMark/>
          </w:tcPr>
          <w:p w14:paraId="105DD5B1" w14:textId="556660CC"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Translational animal models- Biomarker development- Patient stratification for personalized therapy</w:t>
            </w:r>
          </w:p>
        </w:tc>
        <w:tc>
          <w:tcPr>
            <w:tcW w:w="1753" w:type="dxa"/>
            <w:vAlign w:val="center"/>
            <w:hideMark/>
          </w:tcPr>
          <w:p w14:paraId="1304C554" w14:textId="77777777"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[55], [56],</w:t>
            </w:r>
          </w:p>
          <w:p w14:paraId="7ADBA62A" w14:textId="7361963B"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[57], [58]</w:t>
            </w:r>
          </w:p>
        </w:tc>
      </w:tr>
    </w:tbl>
    <w:p w14:paraId="26C53096" w14:textId="77777777" w:rsidR="003D548A" w:rsidRDefault="003D548A" w:rsidP="00A0146C">
      <w:pPr>
        <w:jc w:val="both"/>
        <w:rPr>
          <w:rFonts w:ascii="Times New Roman" w:hAnsi="Times New Roman" w:cs="Times New Roman"/>
        </w:rPr>
      </w:pPr>
    </w:p>
    <w:p w14:paraId="332F04B7" w14:textId="7D87D757" w:rsidR="00A0146C" w:rsidRDefault="0050753C" w:rsidP="00106D17">
      <w:pPr>
        <w:jc w:val="center"/>
        <w:rPr>
          <w:rFonts w:ascii="Times New Roman" w:hAnsi="Times New Roman" w:cs="Times New Roman"/>
        </w:rPr>
      </w:pPr>
      <w:r w:rsidRPr="004F347E">
        <w:rPr>
          <w:rFonts w:ascii="Times New Roman" w:hAnsi="Times New Roman" w:cs="Times New Roman"/>
          <w:b/>
        </w:rPr>
        <w:t>Table No. 1</w:t>
      </w:r>
      <w:r>
        <w:rPr>
          <w:rFonts w:ascii="Times New Roman" w:hAnsi="Times New Roman" w:cs="Times New Roman"/>
        </w:rPr>
        <w:t xml:space="preserve">: </w:t>
      </w:r>
      <w:r w:rsidR="004F347E">
        <w:rPr>
          <w:rFonts w:ascii="Times New Roman" w:hAnsi="Times New Roman" w:cs="Times New Roman"/>
        </w:rPr>
        <w:t>Multidisciplinary Approach to Developing Synthetic Xanthone D</w:t>
      </w:r>
      <w:r w:rsidR="00106D17" w:rsidRPr="00106D17">
        <w:rPr>
          <w:rFonts w:ascii="Times New Roman" w:hAnsi="Times New Roman" w:cs="Times New Roman"/>
        </w:rPr>
        <w:t>erivatives</w:t>
      </w:r>
      <w:r w:rsidR="004F347E">
        <w:rPr>
          <w:rFonts w:ascii="Times New Roman" w:hAnsi="Times New Roman" w:cs="Times New Roman"/>
        </w:rPr>
        <w:t>.</w:t>
      </w:r>
    </w:p>
    <w:p w14:paraId="683882A5"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Conclusion</w:t>
      </w:r>
    </w:p>
    <w:p w14:paraId="5AF8CFCD"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t>Alzheimer’s disease (AD) remains a major global health challenge due to its complex, multifactorial pathogenesis and the current lack of effective disease-modifying treatments. Synthetic xanthone derivatives have emerged as a promising class of compounds with the potential to address multiple pathological hallmarks of AD simultaneously. This review highlights the significant advances made in the design, synthesis, and biological evaluation of these derivatives, underscoring their diverse pharmacological activities, including antioxidant, anti-inflammatory, anti-amyloidogenic, and acetylcholinesterase inhibitory properties.</w:t>
      </w:r>
    </w:p>
    <w:p w14:paraId="1648DFD7" w14:textId="2279D854" w:rsidR="00106D17" w:rsidRPr="00106D17" w:rsidRDefault="00106D17" w:rsidP="00106D17">
      <w:pPr>
        <w:jc w:val="both"/>
        <w:rPr>
          <w:rFonts w:ascii="Times New Roman" w:hAnsi="Times New Roman" w:cs="Times New Roman"/>
        </w:rPr>
      </w:pPr>
      <w:r w:rsidRPr="00106D17">
        <w:rPr>
          <w:rFonts w:ascii="Times New Roman" w:hAnsi="Times New Roman" w:cs="Times New Roman"/>
        </w:rPr>
        <w:t>The unique xanthone scaffold offers a versatile chemical framework amenable to structural modifications that can enhance potency, selectivity, and pharmacokinetic profiles. Systematic structure</w:t>
      </w:r>
      <w:r>
        <w:rPr>
          <w:rFonts w:ascii="Times New Roman" w:hAnsi="Times New Roman" w:cs="Times New Roman"/>
        </w:rPr>
        <w:t xml:space="preserve"> </w:t>
      </w:r>
      <w:r w:rsidRPr="00106D17">
        <w:rPr>
          <w:rFonts w:ascii="Times New Roman" w:hAnsi="Times New Roman" w:cs="Times New Roman"/>
        </w:rPr>
        <w:t>activity relationship (SAR) studies and modern computational tools have accelerated the rational design of synthetic xanthones with improved affinity toward key AD targets. Importantly, many of these compounds demonstrate neuroprotective effects in vitro, providing a strong rationale for further development.</w:t>
      </w:r>
    </w:p>
    <w:p w14:paraId="04BFF1F5"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t xml:space="preserve">Despite these encouraging findings, several challenges remain before synthetic xanthones can translate into clinically viable therapies. Chief among these </w:t>
      </w:r>
      <w:proofErr w:type="gramStart"/>
      <w:r w:rsidRPr="00106D17">
        <w:rPr>
          <w:rFonts w:ascii="Times New Roman" w:hAnsi="Times New Roman" w:cs="Times New Roman"/>
        </w:rPr>
        <w:t>are</w:t>
      </w:r>
      <w:proofErr w:type="gramEnd"/>
      <w:r w:rsidRPr="00106D17">
        <w:rPr>
          <w:rFonts w:ascii="Times New Roman" w:hAnsi="Times New Roman" w:cs="Times New Roman"/>
        </w:rPr>
        <w:t xml:space="preserve"> ensuring adequate blood–brain barrier (BBB) permeability to achieve effective CNS concentrations, minimizing off-target effects, and establishing robust in vivo efficacy in relevant animal models of AD. The application of nanotechnology and advanced drug delivery strategies holds promise to overcome some of these limitations by enhancing brain targeting and controlled release.</w:t>
      </w:r>
    </w:p>
    <w:p w14:paraId="52B1F5FB" w14:textId="63B10F8E" w:rsidR="00106D17" w:rsidRPr="00106D17" w:rsidRDefault="00106D17" w:rsidP="00106D17">
      <w:pPr>
        <w:jc w:val="both"/>
        <w:rPr>
          <w:rFonts w:ascii="Times New Roman" w:hAnsi="Times New Roman" w:cs="Times New Roman"/>
        </w:rPr>
      </w:pPr>
      <w:r w:rsidRPr="00106D17">
        <w:rPr>
          <w:rFonts w:ascii="Times New Roman" w:hAnsi="Times New Roman" w:cs="Times New Roman"/>
        </w:rPr>
        <w:t>Furthermore, the multifactorial nature of AD necessitates the development of multi-target-directed ligands (MTDLs), and xanthone</w:t>
      </w:r>
      <w:r>
        <w:rPr>
          <w:rFonts w:ascii="Times New Roman" w:hAnsi="Times New Roman" w:cs="Times New Roman"/>
        </w:rPr>
        <w:t xml:space="preserve"> </w:t>
      </w:r>
      <w:r w:rsidRPr="00106D17">
        <w:rPr>
          <w:rFonts w:ascii="Times New Roman" w:hAnsi="Times New Roman" w:cs="Times New Roman"/>
        </w:rPr>
        <w:t>based hybrids provide a promising platform for such agents. Future research should also focus on in-depth toxicological evaluations and pharmacokinetic profiling to support clinical translation.</w:t>
      </w:r>
    </w:p>
    <w:p w14:paraId="10367DF2"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lastRenderedPageBreak/>
        <w:t>A multidisciplinary approach that integrates medicinal chemistry, pharmacology, molecular neuroscience, computational modeling, and drug delivery science is critical to advancing synthetic xanthones from bench to bedside. Collaboration among these fields will enable the optimization of lead compounds, comprehensive biological evaluation, and efficient translation into clinical trials.</w:t>
      </w:r>
    </w:p>
    <w:p w14:paraId="15965B25" w14:textId="1DF8565D" w:rsidR="002404A4" w:rsidRPr="002404A4" w:rsidRDefault="00106D17" w:rsidP="002404A4">
      <w:pPr>
        <w:jc w:val="both"/>
        <w:rPr>
          <w:rFonts w:ascii="Times New Roman" w:hAnsi="Times New Roman" w:cs="Times New Roman"/>
        </w:rPr>
      </w:pPr>
      <w:r w:rsidRPr="00106D17">
        <w:rPr>
          <w:rFonts w:ascii="Times New Roman" w:hAnsi="Times New Roman" w:cs="Times New Roman"/>
        </w:rPr>
        <w:t>In summary, synthetic xanthone derivatives hold substantial promise as multifunctional therapeutics for AD. Continued research efforts that address current limitations and leverage emerging technologies will be vital to unlocking their full potential. Such advances offer hope for the development of effective, safe, and targeted treatments capable of modifying the course of Alzheimer’s disease and improving patient quality of life.</w:t>
      </w:r>
    </w:p>
    <w:p w14:paraId="0D7B932A" w14:textId="77777777" w:rsidR="000379BE" w:rsidRPr="000379BE" w:rsidRDefault="000379BE" w:rsidP="000379BE">
      <w:pPr>
        <w:rPr>
          <w:highlight w:val="yellow"/>
        </w:rPr>
      </w:pPr>
      <w:r w:rsidRPr="000379BE">
        <w:rPr>
          <w:highlight w:val="yellow"/>
        </w:rPr>
        <w:t>Disclaimer (Artificial intelligence)</w:t>
      </w:r>
    </w:p>
    <w:p w14:paraId="58C97398" w14:textId="77777777" w:rsidR="000379BE" w:rsidRPr="000379BE" w:rsidRDefault="000379BE" w:rsidP="000379BE">
      <w:pPr>
        <w:rPr>
          <w:highlight w:val="yellow"/>
        </w:rPr>
      </w:pPr>
      <w:r w:rsidRPr="000379BE">
        <w:rPr>
          <w:highlight w:val="yellow"/>
        </w:rPr>
        <w:t xml:space="preserve">Option 1: </w:t>
      </w:r>
    </w:p>
    <w:p w14:paraId="4364770B" w14:textId="77777777" w:rsidR="000379BE" w:rsidRPr="000379BE" w:rsidRDefault="000379BE" w:rsidP="000379BE">
      <w:pPr>
        <w:rPr>
          <w:highlight w:val="yellow"/>
        </w:rPr>
      </w:pPr>
      <w:r w:rsidRPr="000379BE">
        <w:rPr>
          <w:highlight w:val="yellow"/>
        </w:rPr>
        <w:t xml:space="preserve">Author(s) hereby </w:t>
      </w:r>
      <w:proofErr w:type="gramStart"/>
      <w:r w:rsidRPr="000379BE">
        <w:rPr>
          <w:highlight w:val="yellow"/>
        </w:rPr>
        <w:t>declare</w:t>
      </w:r>
      <w:proofErr w:type="gramEnd"/>
      <w:r w:rsidRPr="000379BE">
        <w:rPr>
          <w:highlight w:val="yellow"/>
        </w:rPr>
        <w:t xml:space="preserve"> that NO generative AI technologies such as Large Language Models (ChatGPT, COPILOT, etc.) and text-to-image generators have been used during the writing or editing of this manuscript. </w:t>
      </w:r>
    </w:p>
    <w:p w14:paraId="0037BF43" w14:textId="77777777" w:rsidR="000379BE" w:rsidRPr="000379BE" w:rsidRDefault="000379BE" w:rsidP="000379BE">
      <w:pPr>
        <w:rPr>
          <w:highlight w:val="yellow"/>
        </w:rPr>
      </w:pPr>
      <w:r w:rsidRPr="000379BE">
        <w:rPr>
          <w:highlight w:val="yellow"/>
        </w:rPr>
        <w:t xml:space="preserve">Option 2: </w:t>
      </w:r>
    </w:p>
    <w:p w14:paraId="75B10DC8" w14:textId="77777777" w:rsidR="000379BE" w:rsidRPr="000379BE" w:rsidRDefault="000379BE" w:rsidP="000379BE">
      <w:pPr>
        <w:rPr>
          <w:highlight w:val="yellow"/>
        </w:rPr>
      </w:pPr>
      <w:r w:rsidRPr="000379BE">
        <w:rPr>
          <w:highlight w:val="yellow"/>
        </w:rPr>
        <w:t xml:space="preserve">Author(s) hereby </w:t>
      </w:r>
      <w:proofErr w:type="gramStart"/>
      <w:r w:rsidRPr="000379BE">
        <w:rPr>
          <w:highlight w:val="yellow"/>
        </w:rPr>
        <w:t>declare</w:t>
      </w:r>
      <w:proofErr w:type="gramEnd"/>
      <w:r w:rsidRPr="000379BE">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6AA473" w14:textId="77777777" w:rsidR="000379BE" w:rsidRPr="000379BE" w:rsidRDefault="000379BE" w:rsidP="000379BE">
      <w:pPr>
        <w:rPr>
          <w:highlight w:val="yellow"/>
        </w:rPr>
      </w:pPr>
      <w:r w:rsidRPr="000379BE">
        <w:rPr>
          <w:highlight w:val="yellow"/>
        </w:rPr>
        <w:t>Details of the AI usage are given below:</w:t>
      </w:r>
    </w:p>
    <w:p w14:paraId="2A339C22" w14:textId="77777777" w:rsidR="000379BE" w:rsidRPr="000379BE" w:rsidRDefault="000379BE" w:rsidP="000379BE">
      <w:pPr>
        <w:rPr>
          <w:highlight w:val="yellow"/>
        </w:rPr>
      </w:pPr>
      <w:r w:rsidRPr="000379BE">
        <w:rPr>
          <w:highlight w:val="yellow"/>
        </w:rPr>
        <w:t>1.</w:t>
      </w:r>
    </w:p>
    <w:p w14:paraId="18F97B5A" w14:textId="77777777" w:rsidR="000379BE" w:rsidRPr="000379BE" w:rsidRDefault="000379BE" w:rsidP="000379BE">
      <w:pPr>
        <w:rPr>
          <w:highlight w:val="yellow"/>
        </w:rPr>
      </w:pPr>
      <w:r w:rsidRPr="000379BE">
        <w:rPr>
          <w:highlight w:val="yellow"/>
        </w:rPr>
        <w:t>2.</w:t>
      </w:r>
    </w:p>
    <w:p w14:paraId="35FDEB9C" w14:textId="77777777" w:rsidR="000379BE" w:rsidRPr="0053103C" w:rsidRDefault="000379BE" w:rsidP="000379BE">
      <w:r w:rsidRPr="000379BE">
        <w:rPr>
          <w:highlight w:val="yellow"/>
        </w:rPr>
        <w:t>3.</w:t>
      </w:r>
    </w:p>
    <w:p w14:paraId="035752F9" w14:textId="5B72DF73" w:rsidR="002404A4" w:rsidRDefault="002404A4" w:rsidP="002404A4">
      <w:pPr>
        <w:pStyle w:val="NormalWeb"/>
        <w:tabs>
          <w:tab w:val="left" w:pos="270"/>
        </w:tabs>
        <w:jc w:val="both"/>
      </w:pPr>
      <w:r>
        <w:t xml:space="preserve">Reference-   </w:t>
      </w:r>
    </w:p>
    <w:p w14:paraId="6352582D" w14:textId="33160D3C" w:rsidR="002404A4" w:rsidRPr="002404A4" w:rsidRDefault="002404A4" w:rsidP="002404A4">
      <w:pPr>
        <w:pStyle w:val="NormalWeb"/>
        <w:numPr>
          <w:ilvl w:val="0"/>
          <w:numId w:val="16"/>
        </w:numPr>
        <w:tabs>
          <w:tab w:val="left" w:pos="270"/>
        </w:tabs>
        <w:jc w:val="both"/>
      </w:pPr>
      <w:r w:rsidRPr="002404A4">
        <w:t xml:space="preserve">Alzheimer's Association. 2023 Alzheimer’s disease facts and figures. </w:t>
      </w:r>
      <w:proofErr w:type="spellStart"/>
      <w:r w:rsidRPr="002404A4">
        <w:t>Alzheimers</w:t>
      </w:r>
      <w:proofErr w:type="spellEnd"/>
      <w:r w:rsidRPr="002404A4">
        <w:t xml:space="preserve"> Dement. 2023;19(3):327–406. </w:t>
      </w:r>
      <w:hyperlink r:id="rId11" w:tgtFrame="_new" w:history="1">
        <w:r w:rsidRPr="002404A4">
          <w:rPr>
            <w:rStyle w:val="Hyperlink"/>
          </w:rPr>
          <w:t>https://doi.org/10.1002/alz.13098</w:t>
        </w:r>
      </w:hyperlink>
    </w:p>
    <w:p w14:paraId="690D95A7" w14:textId="5F1D7F7D" w:rsidR="002404A4" w:rsidRPr="002404A4" w:rsidRDefault="002404A4" w:rsidP="002404A4">
      <w:pPr>
        <w:pStyle w:val="NormalWeb"/>
        <w:numPr>
          <w:ilvl w:val="0"/>
          <w:numId w:val="16"/>
        </w:numPr>
        <w:tabs>
          <w:tab w:val="left" w:pos="270"/>
        </w:tabs>
        <w:jc w:val="both"/>
      </w:pPr>
      <w:proofErr w:type="spellStart"/>
      <w:r w:rsidRPr="002404A4">
        <w:t>Querfurth</w:t>
      </w:r>
      <w:proofErr w:type="spellEnd"/>
      <w:r w:rsidRPr="002404A4">
        <w:t xml:space="preserve"> HW, LaFerla FM. Alzheimer’s disease. N Engl J Med. 2010;362(4):329–44. </w:t>
      </w:r>
      <w:hyperlink r:id="rId12" w:tgtFrame="_new" w:history="1">
        <w:r w:rsidRPr="002404A4">
          <w:rPr>
            <w:rStyle w:val="Hyperlink"/>
          </w:rPr>
          <w:t>https://doi.org/10.1056/NEJMra0909142</w:t>
        </w:r>
      </w:hyperlink>
    </w:p>
    <w:p w14:paraId="493329AB" w14:textId="69F52E27" w:rsidR="002404A4" w:rsidRPr="002404A4" w:rsidRDefault="002404A4" w:rsidP="002404A4">
      <w:pPr>
        <w:pStyle w:val="NormalWeb"/>
        <w:numPr>
          <w:ilvl w:val="0"/>
          <w:numId w:val="16"/>
        </w:numPr>
        <w:tabs>
          <w:tab w:val="left" w:pos="270"/>
        </w:tabs>
        <w:jc w:val="both"/>
      </w:pPr>
      <w:proofErr w:type="spellStart"/>
      <w:r w:rsidRPr="002404A4">
        <w:t>Yiannopoulou</w:t>
      </w:r>
      <w:proofErr w:type="spellEnd"/>
      <w:r w:rsidRPr="002404A4">
        <w:t xml:space="preserve"> KG, Papageorgiou SG. Current and future treatments for Alzheimer’s disease. Ther Adv Neurol </w:t>
      </w:r>
      <w:proofErr w:type="spellStart"/>
      <w:r w:rsidRPr="002404A4">
        <w:t>Disord</w:t>
      </w:r>
      <w:proofErr w:type="spellEnd"/>
      <w:r w:rsidRPr="002404A4">
        <w:t xml:space="preserve">. </w:t>
      </w:r>
      <w:proofErr w:type="gramStart"/>
      <w:r w:rsidRPr="002404A4">
        <w:t>2020;13:1</w:t>
      </w:r>
      <w:proofErr w:type="gramEnd"/>
      <w:r w:rsidRPr="002404A4">
        <w:t xml:space="preserve">–14. </w:t>
      </w:r>
      <w:hyperlink r:id="rId13" w:tgtFrame="_new" w:history="1">
        <w:r w:rsidRPr="002404A4">
          <w:rPr>
            <w:rStyle w:val="Hyperlink"/>
          </w:rPr>
          <w:t>https://doi.org/10.1177/1756286420945547</w:t>
        </w:r>
      </w:hyperlink>
    </w:p>
    <w:p w14:paraId="4AD26494" w14:textId="6DE5C017" w:rsidR="002404A4" w:rsidRPr="002404A4" w:rsidRDefault="002404A4" w:rsidP="002404A4">
      <w:pPr>
        <w:pStyle w:val="NormalWeb"/>
        <w:numPr>
          <w:ilvl w:val="0"/>
          <w:numId w:val="16"/>
        </w:numPr>
        <w:tabs>
          <w:tab w:val="left" w:pos="270"/>
        </w:tabs>
        <w:jc w:val="both"/>
      </w:pPr>
      <w:r w:rsidRPr="002404A4">
        <w:lastRenderedPageBreak/>
        <w:t xml:space="preserve">Negi JS, Singh P, Joshi GP, Rawat MSM, Bisht VK. Naturally occurring xanthones: chemistry and biology. J Appl Chem. </w:t>
      </w:r>
      <w:proofErr w:type="gramStart"/>
      <w:r w:rsidRPr="002404A4">
        <w:t>2013;2013:621459</w:t>
      </w:r>
      <w:proofErr w:type="gramEnd"/>
      <w:r w:rsidRPr="002404A4">
        <w:t xml:space="preserve">. </w:t>
      </w:r>
      <w:hyperlink r:id="rId14" w:tgtFrame="_new" w:history="1">
        <w:r w:rsidRPr="002404A4">
          <w:rPr>
            <w:rStyle w:val="Hyperlink"/>
          </w:rPr>
          <w:t>https://doi.org/10.1155/2013/621459</w:t>
        </w:r>
      </w:hyperlink>
    </w:p>
    <w:p w14:paraId="04696B58" w14:textId="166336A9" w:rsidR="002404A4" w:rsidRPr="002404A4" w:rsidRDefault="002404A4" w:rsidP="002404A4">
      <w:pPr>
        <w:pStyle w:val="NormalWeb"/>
        <w:numPr>
          <w:ilvl w:val="0"/>
          <w:numId w:val="16"/>
        </w:numPr>
        <w:tabs>
          <w:tab w:val="left" w:pos="270"/>
        </w:tabs>
        <w:jc w:val="both"/>
      </w:pPr>
      <w:r w:rsidRPr="002404A4">
        <w:t xml:space="preserve">Khan H, Patel S. Multifunctional therapeutic potential of xanthones in Alzheimer's disease: Mechanistic insights and future directions. </w:t>
      </w:r>
      <w:proofErr w:type="spellStart"/>
      <w:r w:rsidRPr="002404A4">
        <w:t>Pharmacol</w:t>
      </w:r>
      <w:proofErr w:type="spellEnd"/>
      <w:r w:rsidRPr="002404A4">
        <w:t xml:space="preserve"> Res. </w:t>
      </w:r>
      <w:proofErr w:type="gramStart"/>
      <w:r w:rsidRPr="002404A4">
        <w:t>2021;164:105354</w:t>
      </w:r>
      <w:proofErr w:type="gramEnd"/>
      <w:r w:rsidRPr="002404A4">
        <w:t xml:space="preserve">. </w:t>
      </w:r>
      <w:hyperlink r:id="rId15" w:tgtFrame="_new" w:history="1">
        <w:r w:rsidRPr="002404A4">
          <w:rPr>
            <w:rStyle w:val="Hyperlink"/>
          </w:rPr>
          <w:t>https://doi.org/10.1016/j.phrs.2020.105354</w:t>
        </w:r>
      </w:hyperlink>
    </w:p>
    <w:p w14:paraId="5B47BFD2" w14:textId="400CD18D" w:rsidR="002404A4" w:rsidRPr="002404A4" w:rsidRDefault="002404A4" w:rsidP="002404A4">
      <w:pPr>
        <w:pStyle w:val="NormalWeb"/>
        <w:numPr>
          <w:ilvl w:val="0"/>
          <w:numId w:val="16"/>
        </w:numPr>
        <w:tabs>
          <w:tab w:val="left" w:pos="270"/>
        </w:tabs>
        <w:jc w:val="both"/>
      </w:pPr>
      <w:r w:rsidRPr="002404A4">
        <w:t xml:space="preserve">Costa M, Silva F, Pinto MMM. Synthetic xanthones as versatile scaffolds in medicinal chemistry: Recent advances and perspectives. </w:t>
      </w:r>
      <w:proofErr w:type="spellStart"/>
      <w:r w:rsidRPr="002404A4">
        <w:t>Eur</w:t>
      </w:r>
      <w:proofErr w:type="spellEnd"/>
      <w:r w:rsidRPr="002404A4">
        <w:t xml:space="preserve"> J Med Chem. </w:t>
      </w:r>
      <w:proofErr w:type="gramStart"/>
      <w:r w:rsidRPr="002404A4">
        <w:t>2022;231:114133</w:t>
      </w:r>
      <w:proofErr w:type="gramEnd"/>
      <w:r w:rsidRPr="002404A4">
        <w:t xml:space="preserve">. </w:t>
      </w:r>
      <w:hyperlink r:id="rId16" w:tgtFrame="_new" w:history="1">
        <w:r w:rsidRPr="002404A4">
          <w:rPr>
            <w:rStyle w:val="Hyperlink"/>
          </w:rPr>
          <w:t>https://doi.org/10.1016/j.ejmech.2022.114133</w:t>
        </w:r>
      </w:hyperlink>
    </w:p>
    <w:p w14:paraId="6A96C59C" w14:textId="5A2A1BCC" w:rsidR="002404A4" w:rsidRPr="002404A4" w:rsidRDefault="002404A4" w:rsidP="002404A4">
      <w:pPr>
        <w:pStyle w:val="NormalWeb"/>
        <w:numPr>
          <w:ilvl w:val="0"/>
          <w:numId w:val="16"/>
        </w:numPr>
        <w:tabs>
          <w:tab w:val="left" w:pos="270"/>
        </w:tabs>
        <w:jc w:val="both"/>
      </w:pPr>
      <w:r w:rsidRPr="002404A4">
        <w:t xml:space="preserve">Pinto MMM, Sousa ME, Nascimento MSJ. Xanthone derivatives: new insights in biological activities. Curr Med Chem. 2005;12(21):2517–38. </w:t>
      </w:r>
      <w:hyperlink r:id="rId17" w:tgtFrame="_new" w:history="1">
        <w:r w:rsidRPr="002404A4">
          <w:rPr>
            <w:rStyle w:val="Hyperlink"/>
          </w:rPr>
          <w:t>https://doi.org/10.2174/0929867054864738</w:t>
        </w:r>
      </w:hyperlink>
    </w:p>
    <w:p w14:paraId="3527E836" w14:textId="2D79B0BE" w:rsidR="002404A4" w:rsidRPr="002404A4" w:rsidRDefault="002404A4" w:rsidP="002404A4">
      <w:pPr>
        <w:pStyle w:val="NormalWeb"/>
        <w:numPr>
          <w:ilvl w:val="0"/>
          <w:numId w:val="16"/>
        </w:numPr>
        <w:tabs>
          <w:tab w:val="left" w:pos="270"/>
        </w:tabs>
        <w:jc w:val="both"/>
      </w:pPr>
      <w:proofErr w:type="spellStart"/>
      <w:r w:rsidRPr="002404A4">
        <w:t>Vemu</w:t>
      </w:r>
      <w:proofErr w:type="spellEnd"/>
      <w:r w:rsidRPr="002404A4">
        <w:t xml:space="preserve"> B, </w:t>
      </w:r>
      <w:proofErr w:type="spellStart"/>
      <w:r w:rsidRPr="002404A4">
        <w:t>Arivudainambi</w:t>
      </w:r>
      <w:proofErr w:type="spellEnd"/>
      <w:r w:rsidRPr="002404A4">
        <w:t xml:space="preserve"> U. Xanthones from natural sources: diversity, pharmacological activities and potential applications. Chem </w:t>
      </w:r>
      <w:proofErr w:type="spellStart"/>
      <w:r w:rsidRPr="002404A4">
        <w:t>Biodivers</w:t>
      </w:r>
      <w:proofErr w:type="spellEnd"/>
      <w:r w:rsidRPr="002404A4">
        <w:t>. 2020;17(3</w:t>
      </w:r>
      <w:proofErr w:type="gramStart"/>
      <w:r w:rsidRPr="002404A4">
        <w:t>):e</w:t>
      </w:r>
      <w:proofErr w:type="gramEnd"/>
      <w:r w:rsidRPr="002404A4">
        <w:t xml:space="preserve">1900493. </w:t>
      </w:r>
      <w:hyperlink r:id="rId18" w:tgtFrame="_new" w:history="1">
        <w:r w:rsidRPr="002404A4">
          <w:rPr>
            <w:rStyle w:val="Hyperlink"/>
          </w:rPr>
          <w:t>https://doi.org/10.1002/cbdv.201900493</w:t>
        </w:r>
      </w:hyperlink>
    </w:p>
    <w:p w14:paraId="570420BB" w14:textId="4876B0A2" w:rsidR="002404A4" w:rsidRPr="002404A4" w:rsidRDefault="002404A4" w:rsidP="002404A4">
      <w:pPr>
        <w:pStyle w:val="NormalWeb"/>
        <w:numPr>
          <w:ilvl w:val="0"/>
          <w:numId w:val="16"/>
        </w:numPr>
        <w:tabs>
          <w:tab w:val="left" w:pos="270"/>
        </w:tabs>
        <w:jc w:val="both"/>
      </w:pPr>
      <w:r w:rsidRPr="002404A4">
        <w:t xml:space="preserve">Negi JS, Bisht VK, Rawat MSM. Naturally occurring xanthones: chemistry and biology. J Appl Chem. </w:t>
      </w:r>
      <w:proofErr w:type="gramStart"/>
      <w:r w:rsidRPr="002404A4">
        <w:t>2013;2013:621459</w:t>
      </w:r>
      <w:proofErr w:type="gramEnd"/>
      <w:r w:rsidRPr="002404A4">
        <w:t xml:space="preserve">. </w:t>
      </w:r>
      <w:hyperlink r:id="rId19" w:tgtFrame="_new" w:history="1">
        <w:r w:rsidRPr="002404A4">
          <w:rPr>
            <w:rStyle w:val="Hyperlink"/>
          </w:rPr>
          <w:t>https://doi.org/10.1155/2013/621459</w:t>
        </w:r>
      </w:hyperlink>
    </w:p>
    <w:p w14:paraId="546879DA" w14:textId="49538FC1" w:rsidR="002404A4" w:rsidRPr="002404A4" w:rsidRDefault="002404A4" w:rsidP="002404A4">
      <w:pPr>
        <w:pStyle w:val="NormalWeb"/>
        <w:numPr>
          <w:ilvl w:val="0"/>
          <w:numId w:val="16"/>
        </w:numPr>
        <w:tabs>
          <w:tab w:val="left" w:pos="270"/>
        </w:tabs>
        <w:jc w:val="both"/>
      </w:pPr>
      <w:r w:rsidRPr="002404A4">
        <w:t xml:space="preserve">Jaiswal M, Kumar A. Antioxidant properties of hydroxylated xanthones and their synthetic derivatives. </w:t>
      </w:r>
      <w:proofErr w:type="spellStart"/>
      <w:r w:rsidRPr="002404A4">
        <w:t>Bioorg</w:t>
      </w:r>
      <w:proofErr w:type="spellEnd"/>
      <w:r w:rsidRPr="002404A4">
        <w:t xml:space="preserve"> Chem. </w:t>
      </w:r>
      <w:proofErr w:type="gramStart"/>
      <w:r w:rsidRPr="002404A4">
        <w:t>2022;119:105556</w:t>
      </w:r>
      <w:proofErr w:type="gramEnd"/>
      <w:r w:rsidRPr="002404A4">
        <w:t xml:space="preserve">. </w:t>
      </w:r>
      <w:hyperlink r:id="rId20" w:tgtFrame="_new" w:history="1">
        <w:r w:rsidRPr="002404A4">
          <w:rPr>
            <w:rStyle w:val="Hyperlink"/>
          </w:rPr>
          <w:t>https://doi.org/10.1016/j.bioorg.2021.105556</w:t>
        </w:r>
      </w:hyperlink>
    </w:p>
    <w:p w14:paraId="47178AD1" w14:textId="1D3B629B" w:rsidR="002404A4" w:rsidRPr="002404A4" w:rsidRDefault="002404A4" w:rsidP="002404A4">
      <w:pPr>
        <w:pStyle w:val="NormalWeb"/>
        <w:numPr>
          <w:ilvl w:val="0"/>
          <w:numId w:val="16"/>
        </w:numPr>
        <w:tabs>
          <w:tab w:val="left" w:pos="270"/>
        </w:tabs>
        <w:jc w:val="both"/>
      </w:pPr>
      <w:r w:rsidRPr="002404A4">
        <w:t xml:space="preserve">Li C, Zhang H, Zhang Y. Anticancer and neuroprotective potential of prenylated xanthones: recent advances and mechanistic insights. </w:t>
      </w:r>
      <w:proofErr w:type="spellStart"/>
      <w:r w:rsidRPr="002404A4">
        <w:t>Phytochem</w:t>
      </w:r>
      <w:proofErr w:type="spellEnd"/>
      <w:r w:rsidRPr="002404A4">
        <w:t xml:space="preserve"> Rev. </w:t>
      </w:r>
      <w:proofErr w:type="gramStart"/>
      <w:r w:rsidRPr="002404A4">
        <w:t>2019;18:1245</w:t>
      </w:r>
      <w:proofErr w:type="gramEnd"/>
      <w:r w:rsidRPr="002404A4">
        <w:t xml:space="preserve">–67. </w:t>
      </w:r>
      <w:hyperlink r:id="rId21" w:tgtFrame="_new" w:history="1">
        <w:r w:rsidRPr="002404A4">
          <w:rPr>
            <w:rStyle w:val="Hyperlink"/>
          </w:rPr>
          <w:t>https://doi.org/10.1007/s11101-019-09617-w</w:t>
        </w:r>
      </w:hyperlink>
    </w:p>
    <w:p w14:paraId="6D355FF8" w14:textId="4B602CBE" w:rsidR="002404A4" w:rsidRPr="002404A4" w:rsidRDefault="002404A4" w:rsidP="002404A4">
      <w:pPr>
        <w:pStyle w:val="NormalWeb"/>
        <w:numPr>
          <w:ilvl w:val="0"/>
          <w:numId w:val="16"/>
        </w:numPr>
        <w:tabs>
          <w:tab w:val="left" w:pos="270"/>
        </w:tabs>
        <w:jc w:val="both"/>
      </w:pPr>
      <w:r w:rsidRPr="002404A4">
        <w:t xml:space="preserve">Sato Y, Itokawa H, Takeya K. Glycosylated xanthones: synthesis and pharmacological significance. J Nat Med. </w:t>
      </w:r>
      <w:proofErr w:type="gramStart"/>
      <w:r w:rsidRPr="002404A4">
        <w:t>2015;69:113</w:t>
      </w:r>
      <w:proofErr w:type="gramEnd"/>
      <w:r w:rsidRPr="002404A4">
        <w:t xml:space="preserve">–21. </w:t>
      </w:r>
      <w:hyperlink r:id="rId22" w:tgtFrame="_new" w:history="1">
        <w:r w:rsidRPr="002404A4">
          <w:rPr>
            <w:rStyle w:val="Hyperlink"/>
          </w:rPr>
          <w:t>https://doi.org/10.1007/s11418-014-0879-z</w:t>
        </w:r>
      </w:hyperlink>
    </w:p>
    <w:p w14:paraId="33AFAA73" w14:textId="10F9E486" w:rsidR="002404A4" w:rsidRPr="002404A4" w:rsidRDefault="002404A4" w:rsidP="002404A4">
      <w:pPr>
        <w:pStyle w:val="NormalWeb"/>
        <w:numPr>
          <w:ilvl w:val="0"/>
          <w:numId w:val="16"/>
        </w:numPr>
        <w:tabs>
          <w:tab w:val="left" w:pos="270"/>
        </w:tabs>
        <w:jc w:val="both"/>
      </w:pPr>
      <w:r w:rsidRPr="002404A4">
        <w:t xml:space="preserve">Khan H, Patel S. Multifunctional therapeutic potential of xanthones in Alzheimer's disease: Mechanistic insights and future directions. </w:t>
      </w:r>
      <w:proofErr w:type="spellStart"/>
      <w:r w:rsidRPr="002404A4">
        <w:t>Pharmacol</w:t>
      </w:r>
      <w:proofErr w:type="spellEnd"/>
      <w:r w:rsidRPr="002404A4">
        <w:t xml:space="preserve"> Res. </w:t>
      </w:r>
      <w:proofErr w:type="gramStart"/>
      <w:r w:rsidRPr="002404A4">
        <w:t>2021;164:105354</w:t>
      </w:r>
      <w:proofErr w:type="gramEnd"/>
      <w:r w:rsidRPr="002404A4">
        <w:t xml:space="preserve">. </w:t>
      </w:r>
      <w:hyperlink r:id="rId23" w:tgtFrame="_new" w:history="1">
        <w:r w:rsidRPr="002404A4">
          <w:rPr>
            <w:rStyle w:val="Hyperlink"/>
          </w:rPr>
          <w:t>https://doi.org/10.1016/j.phrs.2020.105354</w:t>
        </w:r>
      </w:hyperlink>
    </w:p>
    <w:p w14:paraId="752AD345" w14:textId="3EAFFD5C" w:rsidR="002404A4" w:rsidRPr="002404A4" w:rsidRDefault="002404A4" w:rsidP="002404A4">
      <w:pPr>
        <w:pStyle w:val="NormalWeb"/>
        <w:numPr>
          <w:ilvl w:val="0"/>
          <w:numId w:val="16"/>
        </w:numPr>
        <w:tabs>
          <w:tab w:val="left" w:pos="270"/>
        </w:tabs>
        <w:jc w:val="both"/>
      </w:pPr>
      <w:r w:rsidRPr="002404A4">
        <w:t xml:space="preserve">Zhang X, Xu Y. Anti-inflammatory activities of xanthone derivatives in neurodegeneration. </w:t>
      </w:r>
      <w:proofErr w:type="spellStart"/>
      <w:r w:rsidRPr="002404A4">
        <w:t>Inflammopharmacology</w:t>
      </w:r>
      <w:proofErr w:type="spellEnd"/>
      <w:r w:rsidRPr="002404A4">
        <w:t xml:space="preserve">. 2020;28(5):1215–25. </w:t>
      </w:r>
      <w:hyperlink r:id="rId24" w:tgtFrame="_new" w:history="1">
        <w:r w:rsidRPr="002404A4">
          <w:rPr>
            <w:rStyle w:val="Hyperlink"/>
          </w:rPr>
          <w:t>https://doi.org/10.1007/s10787-020-00710-z</w:t>
        </w:r>
      </w:hyperlink>
    </w:p>
    <w:p w14:paraId="06F7E193" w14:textId="56ED89C4" w:rsidR="002404A4" w:rsidRPr="002404A4" w:rsidRDefault="002404A4" w:rsidP="002404A4">
      <w:pPr>
        <w:pStyle w:val="NormalWeb"/>
        <w:numPr>
          <w:ilvl w:val="0"/>
          <w:numId w:val="16"/>
        </w:numPr>
        <w:tabs>
          <w:tab w:val="left" w:pos="270"/>
        </w:tabs>
        <w:jc w:val="both"/>
      </w:pPr>
      <w:r w:rsidRPr="002404A4">
        <w:t xml:space="preserve">da Silva </w:t>
      </w:r>
      <w:proofErr w:type="spellStart"/>
      <w:r w:rsidRPr="002404A4">
        <w:t>Bolzani</w:t>
      </w:r>
      <w:proofErr w:type="spellEnd"/>
      <w:r w:rsidRPr="002404A4">
        <w:t xml:space="preserve"> V, Garcia CRS. Acetylcholinesterase inhibitory xanthones: a new approach in the fight against Alzheimer’s disease. </w:t>
      </w:r>
      <w:proofErr w:type="spellStart"/>
      <w:r w:rsidRPr="002404A4">
        <w:t>Eur</w:t>
      </w:r>
      <w:proofErr w:type="spellEnd"/>
      <w:r w:rsidRPr="002404A4">
        <w:t xml:space="preserve"> J Med Chem. </w:t>
      </w:r>
      <w:proofErr w:type="gramStart"/>
      <w:r w:rsidRPr="002404A4">
        <w:t>2019;183:111703</w:t>
      </w:r>
      <w:proofErr w:type="gramEnd"/>
      <w:r w:rsidRPr="002404A4">
        <w:t xml:space="preserve">. </w:t>
      </w:r>
      <w:hyperlink r:id="rId25" w:tgtFrame="_new" w:history="1">
        <w:r w:rsidRPr="002404A4">
          <w:rPr>
            <w:rStyle w:val="Hyperlink"/>
          </w:rPr>
          <w:t>https://doi.org/10.1016/j.ejmech.2019.111703</w:t>
        </w:r>
      </w:hyperlink>
    </w:p>
    <w:p w14:paraId="6E958044" w14:textId="16AB52E9" w:rsidR="002404A4" w:rsidRPr="002404A4" w:rsidRDefault="002404A4" w:rsidP="002404A4">
      <w:pPr>
        <w:pStyle w:val="NormalWeb"/>
        <w:numPr>
          <w:ilvl w:val="0"/>
          <w:numId w:val="16"/>
        </w:numPr>
        <w:tabs>
          <w:tab w:val="left" w:pos="270"/>
        </w:tabs>
        <w:jc w:val="both"/>
      </w:pPr>
      <w:r w:rsidRPr="002404A4">
        <w:t xml:space="preserve">Lin CY, Chang YC. Xanthone derivatives modulate amyloid aggregation and neurotoxicity in Alzheimer’s models. </w:t>
      </w:r>
      <w:proofErr w:type="spellStart"/>
      <w:r w:rsidRPr="002404A4">
        <w:t>Bioorg</w:t>
      </w:r>
      <w:proofErr w:type="spellEnd"/>
      <w:r w:rsidRPr="002404A4">
        <w:t xml:space="preserve"> Med Chem Lett. </w:t>
      </w:r>
      <w:proofErr w:type="gramStart"/>
      <w:r w:rsidRPr="002404A4">
        <w:t>2022;56:128500</w:t>
      </w:r>
      <w:proofErr w:type="gramEnd"/>
      <w:r w:rsidRPr="002404A4">
        <w:t xml:space="preserve">. </w:t>
      </w:r>
      <w:hyperlink r:id="rId26" w:tgtFrame="_new" w:history="1">
        <w:r w:rsidRPr="002404A4">
          <w:rPr>
            <w:rStyle w:val="Hyperlink"/>
          </w:rPr>
          <w:t>https://doi.org/10.1016/j.bmcl.2022.128500</w:t>
        </w:r>
      </w:hyperlink>
    </w:p>
    <w:p w14:paraId="7866B5EC" w14:textId="19708D1B" w:rsidR="002404A4" w:rsidRPr="002404A4" w:rsidRDefault="002404A4" w:rsidP="002404A4">
      <w:pPr>
        <w:pStyle w:val="NormalWeb"/>
        <w:numPr>
          <w:ilvl w:val="0"/>
          <w:numId w:val="16"/>
        </w:numPr>
        <w:tabs>
          <w:tab w:val="left" w:pos="270"/>
        </w:tabs>
        <w:jc w:val="both"/>
      </w:pPr>
      <w:r w:rsidRPr="002404A4">
        <w:t xml:space="preserve">Hardy J, </w:t>
      </w:r>
      <w:proofErr w:type="spellStart"/>
      <w:r w:rsidRPr="002404A4">
        <w:t>Selkoe</w:t>
      </w:r>
      <w:proofErr w:type="spellEnd"/>
      <w:r w:rsidRPr="002404A4">
        <w:t xml:space="preserve"> DJ. The amyloid hypothesis of Alzheimer’s disease: progress and problems on the road to therapeutics. Science. 2002;297(5580):353–6. </w:t>
      </w:r>
      <w:hyperlink r:id="rId27" w:tgtFrame="_new" w:history="1">
        <w:r w:rsidRPr="002404A4">
          <w:rPr>
            <w:rStyle w:val="Hyperlink"/>
          </w:rPr>
          <w:t>https://doi.org/10.1126/science.1072994</w:t>
        </w:r>
      </w:hyperlink>
    </w:p>
    <w:p w14:paraId="175E1D71" w14:textId="5C1FEACF" w:rsidR="002404A4" w:rsidRPr="002404A4" w:rsidRDefault="002404A4" w:rsidP="002404A4">
      <w:pPr>
        <w:pStyle w:val="NormalWeb"/>
        <w:numPr>
          <w:ilvl w:val="0"/>
          <w:numId w:val="16"/>
        </w:numPr>
        <w:tabs>
          <w:tab w:val="left" w:pos="270"/>
        </w:tabs>
        <w:jc w:val="both"/>
      </w:pPr>
      <w:r w:rsidRPr="002404A4">
        <w:t xml:space="preserve">Iqbal K, Liu F, Gong CX. Tau and neurodegenerative disease: the story so far. Nat Rev Neurol. 2016;12(1):15–27. </w:t>
      </w:r>
      <w:hyperlink r:id="rId28" w:tgtFrame="_new" w:history="1">
        <w:r w:rsidRPr="002404A4">
          <w:rPr>
            <w:rStyle w:val="Hyperlink"/>
          </w:rPr>
          <w:t>https://doi.org/10.1038/nrneurol.2015.225</w:t>
        </w:r>
      </w:hyperlink>
    </w:p>
    <w:p w14:paraId="109C3186" w14:textId="63231CED" w:rsidR="002404A4" w:rsidRPr="002404A4" w:rsidRDefault="002404A4" w:rsidP="002404A4">
      <w:pPr>
        <w:pStyle w:val="NormalWeb"/>
        <w:numPr>
          <w:ilvl w:val="0"/>
          <w:numId w:val="16"/>
        </w:numPr>
        <w:tabs>
          <w:tab w:val="left" w:pos="270"/>
        </w:tabs>
        <w:jc w:val="both"/>
      </w:pPr>
      <w:r w:rsidRPr="002404A4">
        <w:t xml:space="preserve">Butterfield DA, Halliwell B. Oxidative stress, dysfunctional glucose metabolism and Alzheimer disease. Nat Rev </w:t>
      </w:r>
      <w:proofErr w:type="spellStart"/>
      <w:r w:rsidRPr="002404A4">
        <w:t>Neurosci</w:t>
      </w:r>
      <w:proofErr w:type="spellEnd"/>
      <w:r w:rsidRPr="002404A4">
        <w:t xml:space="preserve">. 2019;20(3):148–60. </w:t>
      </w:r>
      <w:hyperlink r:id="rId29" w:tgtFrame="_new" w:history="1">
        <w:r w:rsidRPr="002404A4">
          <w:rPr>
            <w:rStyle w:val="Hyperlink"/>
          </w:rPr>
          <w:t>https://doi.org/10.1038/s41583-019-0132-6</w:t>
        </w:r>
      </w:hyperlink>
    </w:p>
    <w:p w14:paraId="5324A15E" w14:textId="606A3111" w:rsidR="002404A4" w:rsidRPr="000379BE" w:rsidRDefault="002404A4" w:rsidP="002404A4">
      <w:pPr>
        <w:pStyle w:val="NormalWeb"/>
        <w:numPr>
          <w:ilvl w:val="0"/>
          <w:numId w:val="16"/>
        </w:numPr>
        <w:tabs>
          <w:tab w:val="left" w:pos="270"/>
        </w:tabs>
        <w:jc w:val="both"/>
        <w:rPr>
          <w:lang w:val="nl-BE"/>
        </w:rPr>
      </w:pPr>
      <w:proofErr w:type="spellStart"/>
      <w:r w:rsidRPr="002404A4">
        <w:lastRenderedPageBreak/>
        <w:t>Heneka</w:t>
      </w:r>
      <w:proofErr w:type="spellEnd"/>
      <w:r w:rsidRPr="002404A4">
        <w:t xml:space="preserve"> MT, et al. Neuroinflammation in Alzheimer's disease. </w:t>
      </w:r>
      <w:r w:rsidRPr="000379BE">
        <w:rPr>
          <w:lang w:val="nl-BE"/>
        </w:rPr>
        <w:t>Lancet Neurol. 2015;14(4):388–405. https://doi.org/10.1016/S1474-4422(15)70016-5</w:t>
      </w:r>
    </w:p>
    <w:p w14:paraId="1F7C0EE2" w14:textId="4EBCC533" w:rsidR="002404A4" w:rsidRDefault="002404A4" w:rsidP="002404A4">
      <w:pPr>
        <w:pStyle w:val="NormalWeb"/>
        <w:numPr>
          <w:ilvl w:val="0"/>
          <w:numId w:val="16"/>
        </w:numPr>
      </w:pPr>
      <w:r>
        <w:t xml:space="preserve">Francis PT, Palmer AM, Snape M, Wilcock GK. The cholinergic hypothesis of Alzheimer’s disease: a review of progress. J Neurol </w:t>
      </w:r>
      <w:proofErr w:type="spellStart"/>
      <w:r>
        <w:t>Neurosurg</w:t>
      </w:r>
      <w:proofErr w:type="spellEnd"/>
      <w:r>
        <w:t xml:space="preserve"> Psychiatry. 1999;66(2):137–47. </w:t>
      </w:r>
      <w:hyperlink r:id="rId30" w:tgtFrame="_new" w:history="1">
        <w:r>
          <w:rPr>
            <w:rStyle w:val="Hyperlink"/>
            <w:rFonts w:eastAsiaTheme="majorEastAsia"/>
          </w:rPr>
          <w:t>https://doi.org/10.1136/jnnp.66.2.137</w:t>
        </w:r>
      </w:hyperlink>
    </w:p>
    <w:p w14:paraId="7553B6B6" w14:textId="172D7E5E" w:rsidR="002404A4" w:rsidRDefault="002404A4" w:rsidP="002404A4">
      <w:pPr>
        <w:pStyle w:val="NormalWeb"/>
        <w:numPr>
          <w:ilvl w:val="0"/>
          <w:numId w:val="16"/>
        </w:numPr>
      </w:pPr>
      <w:r>
        <w:t xml:space="preserve">Ayton S, Diouf I, Bush AI. Evidence that iron accelerates Alzheimer’s pathology: a coordinated role for ferroptosis and metal </w:t>
      </w:r>
      <w:proofErr w:type="spellStart"/>
      <w:r>
        <w:t>dyshomeostasis</w:t>
      </w:r>
      <w:proofErr w:type="spellEnd"/>
      <w:r>
        <w:t xml:space="preserve">. </w:t>
      </w:r>
      <w:proofErr w:type="spellStart"/>
      <w:r>
        <w:t>Neurobiol</w:t>
      </w:r>
      <w:proofErr w:type="spellEnd"/>
      <w:r>
        <w:t xml:space="preserve"> Dis. </w:t>
      </w:r>
      <w:proofErr w:type="gramStart"/>
      <w:r>
        <w:t>2018;110:76</w:t>
      </w:r>
      <w:proofErr w:type="gramEnd"/>
      <w:r>
        <w:t xml:space="preserve">–86. </w:t>
      </w:r>
      <w:hyperlink r:id="rId31" w:tgtFrame="_new" w:history="1">
        <w:r>
          <w:rPr>
            <w:rStyle w:val="Hyperlink"/>
            <w:rFonts w:eastAsiaTheme="majorEastAsia"/>
          </w:rPr>
          <w:t>https://doi.org/10.1016/j.nbd.2017.10.007</w:t>
        </w:r>
      </w:hyperlink>
    </w:p>
    <w:p w14:paraId="27955051" w14:textId="159A6D25" w:rsidR="002404A4" w:rsidRDefault="002404A4" w:rsidP="002404A4">
      <w:pPr>
        <w:pStyle w:val="NormalWeb"/>
        <w:numPr>
          <w:ilvl w:val="0"/>
          <w:numId w:val="16"/>
        </w:numPr>
      </w:pPr>
      <w:r>
        <w:t xml:space="preserve">Prati F, et al. Targeting amyloid aggregation: new synthetic xanthones with anti-Aβ properties. J Med Chem. 2015;58(22):8796–809. </w:t>
      </w:r>
      <w:hyperlink r:id="rId32" w:tgtFrame="_new" w:history="1">
        <w:r>
          <w:rPr>
            <w:rStyle w:val="Hyperlink"/>
            <w:rFonts w:eastAsiaTheme="majorEastAsia"/>
          </w:rPr>
          <w:t>https://doi.org/10.1021/acs.jmedchem.5b01206</w:t>
        </w:r>
      </w:hyperlink>
    </w:p>
    <w:p w14:paraId="2636F1FE" w14:textId="770953EA" w:rsidR="002404A4" w:rsidRDefault="002404A4" w:rsidP="002404A4">
      <w:pPr>
        <w:pStyle w:val="NormalWeb"/>
        <w:numPr>
          <w:ilvl w:val="0"/>
          <w:numId w:val="16"/>
        </w:numPr>
      </w:pPr>
      <w:r>
        <w:t xml:space="preserve">Saleem M, et al. Design and synthesis of xanthone derivatives as amyloid aggregation inhibitors: in vitro and in silico studies. </w:t>
      </w:r>
      <w:proofErr w:type="spellStart"/>
      <w:r>
        <w:t>Bioorg</w:t>
      </w:r>
      <w:proofErr w:type="spellEnd"/>
      <w:r>
        <w:t xml:space="preserve"> Chem. </w:t>
      </w:r>
      <w:proofErr w:type="gramStart"/>
      <w:r>
        <w:t>2019;89:103020</w:t>
      </w:r>
      <w:proofErr w:type="gramEnd"/>
      <w:r>
        <w:t xml:space="preserve">. </w:t>
      </w:r>
      <w:hyperlink r:id="rId33" w:tgtFrame="_new" w:history="1">
        <w:r>
          <w:rPr>
            <w:rStyle w:val="Hyperlink"/>
            <w:rFonts w:eastAsiaTheme="majorEastAsia"/>
          </w:rPr>
          <w:t>https://doi.org/10.1016/j.bioorg.2019.103020</w:t>
        </w:r>
      </w:hyperlink>
    </w:p>
    <w:p w14:paraId="24EE6A74" w14:textId="7748706C" w:rsidR="002404A4" w:rsidRDefault="002404A4" w:rsidP="002404A4">
      <w:pPr>
        <w:pStyle w:val="NormalWeb"/>
        <w:numPr>
          <w:ilvl w:val="0"/>
          <w:numId w:val="16"/>
        </w:numPr>
      </w:pPr>
      <w:r>
        <w:t xml:space="preserve">Martorell M, et al. Natural and synthetic xanthones modulate tau phosphorylation in Alzheimer’s disease models. Molecules. 2020;25(8):1832. </w:t>
      </w:r>
      <w:hyperlink r:id="rId34" w:tgtFrame="_new" w:history="1">
        <w:r>
          <w:rPr>
            <w:rStyle w:val="Hyperlink"/>
            <w:rFonts w:eastAsiaTheme="majorEastAsia"/>
          </w:rPr>
          <w:t>https://doi.org/10.3390/molecules25081832</w:t>
        </w:r>
      </w:hyperlink>
    </w:p>
    <w:p w14:paraId="69769B10" w14:textId="0B7098E5" w:rsidR="002404A4" w:rsidRDefault="002404A4" w:rsidP="002404A4">
      <w:pPr>
        <w:pStyle w:val="NormalWeb"/>
        <w:numPr>
          <w:ilvl w:val="0"/>
          <w:numId w:val="16"/>
        </w:numPr>
      </w:pPr>
      <w:r>
        <w:t xml:space="preserve">Nordin N, et al. Antioxidant and neuroprotective activities of synthetic xanthones in SH-SY5Y cells. Brain Res. </w:t>
      </w:r>
      <w:proofErr w:type="gramStart"/>
      <w:r>
        <w:t>2020;1726:146493</w:t>
      </w:r>
      <w:proofErr w:type="gramEnd"/>
      <w:r>
        <w:t xml:space="preserve">. </w:t>
      </w:r>
      <w:hyperlink r:id="rId35" w:tgtFrame="_new" w:history="1">
        <w:r>
          <w:rPr>
            <w:rStyle w:val="Hyperlink"/>
            <w:rFonts w:eastAsiaTheme="majorEastAsia"/>
          </w:rPr>
          <w:t>https://doi.org/10.1016/j.brainres.2019.146493</w:t>
        </w:r>
      </w:hyperlink>
    </w:p>
    <w:p w14:paraId="06279420" w14:textId="2DB951CA" w:rsidR="002404A4" w:rsidRDefault="002404A4" w:rsidP="002404A4">
      <w:pPr>
        <w:pStyle w:val="NormalWeb"/>
        <w:numPr>
          <w:ilvl w:val="0"/>
          <w:numId w:val="16"/>
        </w:numPr>
      </w:pPr>
      <w:r>
        <w:t xml:space="preserve">Liao Y, et al. Synthetic antioxidant xanthones: effects on oxidative stress and mitochondrial dysfunction in neurons. Free Radic Biol Med. </w:t>
      </w:r>
      <w:proofErr w:type="gramStart"/>
      <w:r>
        <w:t>2018;123:108</w:t>
      </w:r>
      <w:proofErr w:type="gramEnd"/>
      <w:r>
        <w:t xml:space="preserve">–19. </w:t>
      </w:r>
      <w:hyperlink r:id="rId36" w:tgtFrame="_new" w:history="1">
        <w:r>
          <w:rPr>
            <w:rStyle w:val="Hyperlink"/>
            <w:rFonts w:eastAsiaTheme="majorEastAsia"/>
          </w:rPr>
          <w:t>https://doi.org/10.1016/j.freeradbiomed.2018.05.084</w:t>
        </w:r>
      </w:hyperlink>
    </w:p>
    <w:p w14:paraId="376A44E6" w14:textId="09F3A836" w:rsidR="002404A4" w:rsidRDefault="002404A4" w:rsidP="002404A4">
      <w:pPr>
        <w:pStyle w:val="NormalWeb"/>
        <w:numPr>
          <w:ilvl w:val="0"/>
          <w:numId w:val="16"/>
        </w:numPr>
      </w:pPr>
      <w:r>
        <w:t xml:space="preserve">Costa M, et al. Xanthone-based acetylcholinesterase inhibitors: synthesis, SAR, and biological evaluation. </w:t>
      </w:r>
      <w:proofErr w:type="spellStart"/>
      <w:r>
        <w:t>Eur</w:t>
      </w:r>
      <w:proofErr w:type="spellEnd"/>
      <w:r>
        <w:t xml:space="preserve"> J Med Chem. </w:t>
      </w:r>
      <w:proofErr w:type="gramStart"/>
      <w:r>
        <w:t>2021;211:113097</w:t>
      </w:r>
      <w:proofErr w:type="gramEnd"/>
      <w:r>
        <w:t xml:space="preserve">. </w:t>
      </w:r>
      <w:hyperlink r:id="rId37" w:tgtFrame="_new" w:history="1">
        <w:r>
          <w:rPr>
            <w:rStyle w:val="Hyperlink"/>
            <w:rFonts w:eastAsiaTheme="majorEastAsia"/>
          </w:rPr>
          <w:t>https://doi.org/10.1016/j.ejmech.2020.113097</w:t>
        </w:r>
      </w:hyperlink>
    </w:p>
    <w:p w14:paraId="02E20B04" w14:textId="4B5C1405" w:rsidR="002404A4" w:rsidRDefault="002404A4" w:rsidP="002404A4">
      <w:pPr>
        <w:pStyle w:val="NormalWeb"/>
        <w:numPr>
          <w:ilvl w:val="0"/>
          <w:numId w:val="16"/>
        </w:numPr>
      </w:pPr>
      <w:r>
        <w:t xml:space="preserve">Zhang Q, et al. Design of dual-binding site </w:t>
      </w:r>
      <w:proofErr w:type="spellStart"/>
      <w:r>
        <w:t>AChE</w:t>
      </w:r>
      <w:proofErr w:type="spellEnd"/>
      <w:r>
        <w:t xml:space="preserve"> inhibitors based on xanthone scaffolds: A strategy for Alzheimer’s therapy. ACS Chem </w:t>
      </w:r>
      <w:proofErr w:type="spellStart"/>
      <w:r>
        <w:t>Neurosci</w:t>
      </w:r>
      <w:proofErr w:type="spellEnd"/>
      <w:r>
        <w:t xml:space="preserve">. 2019;10(12):4991–5003. </w:t>
      </w:r>
      <w:hyperlink r:id="rId38" w:tgtFrame="_new" w:history="1">
        <w:r>
          <w:rPr>
            <w:rStyle w:val="Hyperlink"/>
            <w:rFonts w:eastAsiaTheme="majorEastAsia"/>
          </w:rPr>
          <w:t>https://doi.org/10.1021/acschemneuro.9b00357</w:t>
        </w:r>
      </w:hyperlink>
    </w:p>
    <w:p w14:paraId="34CD5BAA" w14:textId="23C15E40" w:rsidR="002404A4" w:rsidRDefault="002404A4" w:rsidP="002404A4">
      <w:pPr>
        <w:pStyle w:val="NormalWeb"/>
        <w:numPr>
          <w:ilvl w:val="0"/>
          <w:numId w:val="16"/>
        </w:numPr>
      </w:pPr>
      <w:r>
        <w:t>Noor A, et al. Anti-neuroinflammatory activity of synthetic xanthones through NF-</w:t>
      </w:r>
      <w:proofErr w:type="spellStart"/>
      <w:r>
        <w:t>κB</w:t>
      </w:r>
      <w:proofErr w:type="spellEnd"/>
      <w:r>
        <w:t xml:space="preserve"> inhibition. Int </w:t>
      </w:r>
      <w:proofErr w:type="spellStart"/>
      <w:r>
        <w:t>Immunopharmacol</w:t>
      </w:r>
      <w:proofErr w:type="spellEnd"/>
      <w:r>
        <w:t xml:space="preserve">. </w:t>
      </w:r>
      <w:proofErr w:type="gramStart"/>
      <w:r>
        <w:t>2020;82:106312</w:t>
      </w:r>
      <w:proofErr w:type="gramEnd"/>
      <w:r>
        <w:t xml:space="preserve">. </w:t>
      </w:r>
      <w:hyperlink r:id="rId39" w:tgtFrame="_new" w:history="1">
        <w:r>
          <w:rPr>
            <w:rStyle w:val="Hyperlink"/>
            <w:rFonts w:eastAsiaTheme="majorEastAsia"/>
          </w:rPr>
          <w:t>https://doi.org/10.1016/j.intimp.2020.106312</w:t>
        </w:r>
      </w:hyperlink>
    </w:p>
    <w:p w14:paraId="45425FFA" w14:textId="16CF4327" w:rsidR="002404A4" w:rsidRDefault="002404A4" w:rsidP="002404A4">
      <w:pPr>
        <w:pStyle w:val="NormalWeb"/>
        <w:numPr>
          <w:ilvl w:val="0"/>
          <w:numId w:val="16"/>
        </w:numPr>
      </w:pPr>
      <w:r>
        <w:t xml:space="preserve">Chen L, et al. Xanthone derivatives as modulators of neuroinflammation and microglial activation. </w:t>
      </w:r>
      <w:proofErr w:type="spellStart"/>
      <w:r>
        <w:t>Neurochem</w:t>
      </w:r>
      <w:proofErr w:type="spellEnd"/>
      <w:r>
        <w:t xml:space="preserve"> Int. </w:t>
      </w:r>
      <w:proofErr w:type="gramStart"/>
      <w:r>
        <w:t>2022;155:105308</w:t>
      </w:r>
      <w:proofErr w:type="gramEnd"/>
      <w:r>
        <w:t xml:space="preserve">. </w:t>
      </w:r>
      <w:hyperlink r:id="rId40" w:tgtFrame="_new" w:history="1">
        <w:r>
          <w:rPr>
            <w:rStyle w:val="Hyperlink"/>
            <w:rFonts w:eastAsiaTheme="majorEastAsia"/>
          </w:rPr>
          <w:t>https://doi.org/10.1016/j.neuint.2021.105308</w:t>
        </w:r>
      </w:hyperlink>
    </w:p>
    <w:p w14:paraId="1E68D4C9" w14:textId="39791C5B" w:rsidR="002404A4" w:rsidRDefault="002404A4" w:rsidP="002404A4">
      <w:pPr>
        <w:pStyle w:val="NormalWeb"/>
        <w:numPr>
          <w:ilvl w:val="0"/>
          <w:numId w:val="16"/>
        </w:numPr>
      </w:pPr>
      <w:r>
        <w:t xml:space="preserve">Zhao H, et al. Development of multitarget tacrine–xanthone hybrids for the treatment of Alzheimer’s disease. J Med Chem. 2017;60(18):7676–90. </w:t>
      </w:r>
      <w:hyperlink r:id="rId41" w:tgtFrame="_new" w:history="1">
        <w:r>
          <w:rPr>
            <w:rStyle w:val="Hyperlink"/>
            <w:rFonts w:eastAsiaTheme="majorEastAsia"/>
          </w:rPr>
          <w:t>https://doi.org/10.1021/acs.jmedchem.7b00897</w:t>
        </w:r>
      </w:hyperlink>
    </w:p>
    <w:p w14:paraId="36B7EA21" w14:textId="3F1618D4" w:rsidR="002404A4" w:rsidRDefault="002404A4" w:rsidP="002404A4">
      <w:pPr>
        <w:pStyle w:val="NormalWeb"/>
        <w:numPr>
          <w:ilvl w:val="0"/>
          <w:numId w:val="16"/>
        </w:numPr>
      </w:pPr>
      <w:r>
        <w:t xml:space="preserve">Rosini M, et al. </w:t>
      </w:r>
      <w:proofErr w:type="gramStart"/>
      <w:r>
        <w:t>Multi-target</w:t>
      </w:r>
      <w:proofErr w:type="gramEnd"/>
      <w:r>
        <w:t xml:space="preserve">-directed ligands in Alzheimer’s disease treatment: a focus on cholinergic and β-amyloid targets. Curr Top Med Chem. 2014;14(2):177–91. </w:t>
      </w:r>
      <w:hyperlink r:id="rId42" w:tgtFrame="_new" w:history="1">
        <w:r>
          <w:rPr>
            <w:rStyle w:val="Hyperlink"/>
            <w:rFonts w:eastAsiaTheme="majorEastAsia"/>
          </w:rPr>
          <w:t>https://doi.org/10.2174/1568026613666131111115027</w:t>
        </w:r>
      </w:hyperlink>
    </w:p>
    <w:p w14:paraId="489DB5ED" w14:textId="62F621ED" w:rsidR="002404A4" w:rsidRDefault="002404A4" w:rsidP="002404A4">
      <w:pPr>
        <w:pStyle w:val="NormalWeb"/>
        <w:numPr>
          <w:ilvl w:val="0"/>
          <w:numId w:val="16"/>
        </w:numPr>
      </w:pPr>
      <w:r>
        <w:t xml:space="preserve">Costa M, et al. Synthetic xanthones as versatile scaffolds in medicinal chemistry: recent advances and perspectives. </w:t>
      </w:r>
      <w:proofErr w:type="spellStart"/>
      <w:r>
        <w:t>Eur</w:t>
      </w:r>
      <w:proofErr w:type="spellEnd"/>
      <w:r>
        <w:t xml:space="preserve"> J Med Chem. </w:t>
      </w:r>
      <w:proofErr w:type="gramStart"/>
      <w:r>
        <w:t>2022;231:114133</w:t>
      </w:r>
      <w:proofErr w:type="gramEnd"/>
      <w:r>
        <w:t xml:space="preserve">. </w:t>
      </w:r>
      <w:hyperlink r:id="rId43" w:tgtFrame="_new" w:history="1">
        <w:r>
          <w:rPr>
            <w:rStyle w:val="Hyperlink"/>
            <w:rFonts w:eastAsiaTheme="majorEastAsia"/>
          </w:rPr>
          <w:t>https://doi.org/10.1016/j.ejmech.2022.114133</w:t>
        </w:r>
      </w:hyperlink>
    </w:p>
    <w:p w14:paraId="655918F1" w14:textId="3EFCBFAD" w:rsidR="002404A4" w:rsidRDefault="002404A4" w:rsidP="002404A4">
      <w:pPr>
        <w:pStyle w:val="NormalWeb"/>
        <w:numPr>
          <w:ilvl w:val="0"/>
          <w:numId w:val="16"/>
        </w:numPr>
      </w:pPr>
      <w:r>
        <w:lastRenderedPageBreak/>
        <w:t xml:space="preserve">Wu C, et al. Pharmacokinetics and CNS distribution of xanthone derivatives in rodent models. Xenobiotica. 2019;49(11):1346–57. </w:t>
      </w:r>
      <w:hyperlink r:id="rId44" w:tgtFrame="_new" w:history="1">
        <w:r>
          <w:rPr>
            <w:rStyle w:val="Hyperlink"/>
            <w:rFonts w:eastAsiaTheme="majorEastAsia"/>
          </w:rPr>
          <w:t>https://doi.org/10.1080/00498254.2019.1586895</w:t>
        </w:r>
      </w:hyperlink>
    </w:p>
    <w:p w14:paraId="261EB935" w14:textId="01DC12DB" w:rsidR="002404A4" w:rsidRDefault="002404A4" w:rsidP="002404A4">
      <w:pPr>
        <w:pStyle w:val="NormalWeb"/>
        <w:numPr>
          <w:ilvl w:val="0"/>
          <w:numId w:val="16"/>
        </w:numPr>
      </w:pPr>
      <w:r>
        <w:t xml:space="preserve">Nordin N, et al. Safety and neuroprotective efficacy of novel xanthone analogs in SH-SY5Y cells. </w:t>
      </w:r>
      <w:proofErr w:type="spellStart"/>
      <w:r>
        <w:t>Neurotox</w:t>
      </w:r>
      <w:proofErr w:type="spellEnd"/>
      <w:r>
        <w:t xml:space="preserve"> Res. 2021;39(2):217–29. </w:t>
      </w:r>
      <w:hyperlink r:id="rId45" w:tgtFrame="_new" w:history="1">
        <w:r>
          <w:rPr>
            <w:rStyle w:val="Hyperlink"/>
            <w:rFonts w:eastAsiaTheme="majorEastAsia"/>
          </w:rPr>
          <w:t>https://doi.org/10.1007/s12640-020-00288-0</w:t>
        </w:r>
      </w:hyperlink>
    </w:p>
    <w:p w14:paraId="03B3F010" w14:textId="2DAE4E67" w:rsidR="002404A4" w:rsidRDefault="002404A4" w:rsidP="002404A4">
      <w:pPr>
        <w:pStyle w:val="NormalWeb"/>
        <w:numPr>
          <w:ilvl w:val="0"/>
          <w:numId w:val="16"/>
        </w:numPr>
      </w:pPr>
      <w:r>
        <w:t xml:space="preserve">Alam M, et al. In vivo neuroprotective effects of synthetic xanthones in Alzheimer’s rodent models. </w:t>
      </w:r>
      <w:proofErr w:type="spellStart"/>
      <w:r>
        <w:t>Pharmacol</w:t>
      </w:r>
      <w:proofErr w:type="spellEnd"/>
      <w:r>
        <w:t xml:space="preserve"> Rep. 2023;75(1):148–60. </w:t>
      </w:r>
      <w:hyperlink r:id="rId46" w:tgtFrame="_new" w:history="1">
        <w:r>
          <w:rPr>
            <w:rStyle w:val="Hyperlink"/>
            <w:rFonts w:eastAsiaTheme="majorEastAsia"/>
          </w:rPr>
          <w:t>https://doi.org/10.1007/s43440-022-00365-1</w:t>
        </w:r>
      </w:hyperlink>
    </w:p>
    <w:p w14:paraId="290D4611" w14:textId="1BDD7F6B" w:rsidR="002404A4" w:rsidRDefault="002404A4" w:rsidP="002404A4">
      <w:pPr>
        <w:pStyle w:val="NormalWeb"/>
        <w:numPr>
          <w:ilvl w:val="0"/>
          <w:numId w:val="16"/>
        </w:numPr>
      </w:pPr>
      <w:r>
        <w:t xml:space="preserve">Seo HR, et al. Strategies to enhance BBB permeability of neurotherapeutics. Acta Pharm Sin B. 2020;10(1):11–20. </w:t>
      </w:r>
      <w:hyperlink r:id="rId47" w:tgtFrame="_new" w:history="1">
        <w:r>
          <w:rPr>
            <w:rStyle w:val="Hyperlink"/>
            <w:rFonts w:eastAsiaTheme="majorEastAsia"/>
          </w:rPr>
          <w:t>https://doi.org/10.1016/j.apsb.2019.06.008</w:t>
        </w:r>
      </w:hyperlink>
    </w:p>
    <w:p w14:paraId="7D45D31D" w14:textId="028C042C" w:rsidR="002404A4" w:rsidRDefault="002404A4" w:rsidP="002404A4">
      <w:pPr>
        <w:pStyle w:val="NormalWeb"/>
        <w:numPr>
          <w:ilvl w:val="0"/>
          <w:numId w:val="16"/>
        </w:numPr>
      </w:pPr>
      <w:r>
        <w:t xml:space="preserve">Gong K, Chen X. Selectivity challenges in multi-target drug design: a case for synthetic xanthones. Expert </w:t>
      </w:r>
      <w:proofErr w:type="spellStart"/>
      <w:r>
        <w:t>Opin</w:t>
      </w:r>
      <w:proofErr w:type="spellEnd"/>
      <w:r>
        <w:t xml:space="preserve"> Drug </w:t>
      </w:r>
      <w:proofErr w:type="spellStart"/>
      <w:r>
        <w:t>Discov</w:t>
      </w:r>
      <w:proofErr w:type="spellEnd"/>
      <w:r>
        <w:t xml:space="preserve">. 2021;16(4):385–94. </w:t>
      </w:r>
      <w:hyperlink r:id="rId48" w:tgtFrame="_new" w:history="1">
        <w:r>
          <w:rPr>
            <w:rStyle w:val="Hyperlink"/>
            <w:rFonts w:eastAsiaTheme="majorEastAsia"/>
          </w:rPr>
          <w:t>https://doi.org/10.1080/17460441.2021.1876647</w:t>
        </w:r>
      </w:hyperlink>
    </w:p>
    <w:p w14:paraId="7AC0F0AC" w14:textId="1B14E743" w:rsidR="002404A4" w:rsidRDefault="002404A4" w:rsidP="002404A4">
      <w:pPr>
        <w:pStyle w:val="NormalWeb"/>
        <w:numPr>
          <w:ilvl w:val="0"/>
          <w:numId w:val="16"/>
        </w:numPr>
      </w:pPr>
      <w:r>
        <w:t xml:space="preserve">Li L, et al. Synthetic route development and scale-up challenges for complex heterocycles: the xanthone case. Org Process Res Dev. 2022;26(6):1481–92. </w:t>
      </w:r>
      <w:hyperlink r:id="rId49" w:tgtFrame="_new" w:history="1">
        <w:r>
          <w:rPr>
            <w:rStyle w:val="Hyperlink"/>
            <w:rFonts w:eastAsiaTheme="majorEastAsia"/>
          </w:rPr>
          <w:t>https://doi.org/10.1021/acs.oprd.2c00167</w:t>
        </w:r>
      </w:hyperlink>
    </w:p>
    <w:p w14:paraId="6D81DE30" w14:textId="71D59B92" w:rsidR="002404A4" w:rsidRDefault="002404A4" w:rsidP="002404A4">
      <w:pPr>
        <w:pStyle w:val="NormalWeb"/>
        <w:numPr>
          <w:ilvl w:val="0"/>
          <w:numId w:val="16"/>
        </w:numPr>
      </w:pPr>
      <w:r>
        <w:t xml:space="preserve">Zhang Y, et al. Advances in synthetic strategies and SAR of xanthone derivatives for neurodegenerative diseases. J Med Chem. 2021;64(3):1502–20. </w:t>
      </w:r>
      <w:hyperlink r:id="rId50" w:tgtFrame="_new" w:history="1">
        <w:r>
          <w:rPr>
            <w:rStyle w:val="Hyperlink"/>
            <w:rFonts w:eastAsiaTheme="majorEastAsia"/>
          </w:rPr>
          <w:t>https://doi.org/10.1021/acs.jmedchem.0c01718</w:t>
        </w:r>
      </w:hyperlink>
    </w:p>
    <w:p w14:paraId="2A35BE2A" w14:textId="27A0A3DD" w:rsidR="002404A4" w:rsidRDefault="002404A4" w:rsidP="002404A4">
      <w:pPr>
        <w:pStyle w:val="NormalWeb"/>
        <w:numPr>
          <w:ilvl w:val="0"/>
          <w:numId w:val="16"/>
        </w:numPr>
      </w:pPr>
      <w:r>
        <w:t xml:space="preserve">Lee S, Kim J. Computational approaches in designing multi-target xanthone derivatives for Alzheimer’s disease. </w:t>
      </w:r>
      <w:proofErr w:type="spellStart"/>
      <w:r>
        <w:t>Bioorg</w:t>
      </w:r>
      <w:proofErr w:type="spellEnd"/>
      <w:r>
        <w:t xml:space="preserve"> Med Chem Lett. 2020;30(14):127281. </w:t>
      </w:r>
      <w:hyperlink r:id="rId51" w:tgtFrame="_new" w:history="1">
        <w:r>
          <w:rPr>
            <w:rStyle w:val="Hyperlink"/>
            <w:rFonts w:eastAsiaTheme="majorEastAsia"/>
          </w:rPr>
          <w:t>https://doi.org/10.1016/j.bmcl.2020.127281</w:t>
        </w:r>
      </w:hyperlink>
    </w:p>
    <w:p w14:paraId="6ACD2C4B" w14:textId="0B282A37" w:rsidR="002404A4" w:rsidRDefault="002404A4" w:rsidP="002404A4">
      <w:pPr>
        <w:pStyle w:val="NormalWeb"/>
        <w:numPr>
          <w:ilvl w:val="0"/>
          <w:numId w:val="16"/>
        </w:numPr>
      </w:pPr>
      <w:r>
        <w:t xml:space="preserve">Green D, et al. Sustainable synthetic methodologies in medicinal chemistry: case studies with heterocyclic scaffolds. Org Process Res Dev. 2022;26(5):1104–15. </w:t>
      </w:r>
      <w:hyperlink r:id="rId52" w:tgtFrame="_new" w:history="1">
        <w:r>
          <w:rPr>
            <w:rStyle w:val="Hyperlink"/>
            <w:rFonts w:eastAsiaTheme="majorEastAsia"/>
          </w:rPr>
          <w:t>https://doi.org/10.1021/acs.oprd.2c00107</w:t>
        </w:r>
      </w:hyperlink>
    </w:p>
    <w:p w14:paraId="5C292DAF" w14:textId="1B8DB043" w:rsidR="002404A4" w:rsidRDefault="002404A4" w:rsidP="002404A4">
      <w:pPr>
        <w:pStyle w:val="NormalWeb"/>
        <w:numPr>
          <w:ilvl w:val="0"/>
          <w:numId w:val="16"/>
        </w:numPr>
      </w:pPr>
      <w:r>
        <w:t xml:space="preserve">Singh R, et al. Pharmacological profiling of xanthone analogues in neuroinflammation and oxidative stress models. Neuropharmacology. </w:t>
      </w:r>
      <w:proofErr w:type="gramStart"/>
      <w:r>
        <w:t>2023;202:108884</w:t>
      </w:r>
      <w:proofErr w:type="gramEnd"/>
      <w:r>
        <w:t xml:space="preserve">. </w:t>
      </w:r>
      <w:hyperlink r:id="rId53" w:tgtFrame="_new" w:history="1">
        <w:r>
          <w:rPr>
            <w:rStyle w:val="Hyperlink"/>
            <w:rFonts w:eastAsiaTheme="majorEastAsia"/>
          </w:rPr>
          <w:t>https://doi.org/10.1016/j.neuropharm.2022.108884</w:t>
        </w:r>
      </w:hyperlink>
    </w:p>
    <w:p w14:paraId="32CA76E8" w14:textId="49A9882F" w:rsidR="002404A4" w:rsidRDefault="002404A4" w:rsidP="002404A4">
      <w:pPr>
        <w:pStyle w:val="NormalWeb"/>
        <w:numPr>
          <w:ilvl w:val="0"/>
          <w:numId w:val="16"/>
        </w:numPr>
      </w:pPr>
      <w:r>
        <w:t xml:space="preserve">Kumar A, et al. In vivo evaluation of synthetic xanthones in Alzheimer’s disease mouse models. </w:t>
      </w:r>
      <w:proofErr w:type="spellStart"/>
      <w:r>
        <w:t>Pharmacol</w:t>
      </w:r>
      <w:proofErr w:type="spellEnd"/>
      <w:r>
        <w:t xml:space="preserve"> Res. </w:t>
      </w:r>
      <w:proofErr w:type="gramStart"/>
      <w:r>
        <w:t>2022;177:106094</w:t>
      </w:r>
      <w:proofErr w:type="gramEnd"/>
      <w:r>
        <w:t xml:space="preserve">. </w:t>
      </w:r>
      <w:hyperlink r:id="rId54" w:tgtFrame="_new" w:history="1">
        <w:r>
          <w:rPr>
            <w:rStyle w:val="Hyperlink"/>
            <w:rFonts w:eastAsiaTheme="majorEastAsia"/>
          </w:rPr>
          <w:t>https://doi.org/10.1016/j.phrs.2022.106094</w:t>
        </w:r>
      </w:hyperlink>
    </w:p>
    <w:p w14:paraId="1C405E14" w14:textId="27E5DFFD" w:rsidR="002404A4" w:rsidRDefault="002404A4" w:rsidP="002404A4">
      <w:pPr>
        <w:pStyle w:val="NormalWeb"/>
        <w:numPr>
          <w:ilvl w:val="0"/>
          <w:numId w:val="16"/>
        </w:numPr>
      </w:pPr>
      <w:r>
        <w:t xml:space="preserve">Chen L, et al. Pharmacokinetic characterization and brain distribution of novel xanthone derivatives. Drug </w:t>
      </w:r>
      <w:proofErr w:type="spellStart"/>
      <w:r>
        <w:t>Metab</w:t>
      </w:r>
      <w:proofErr w:type="spellEnd"/>
      <w:r>
        <w:t xml:space="preserve"> </w:t>
      </w:r>
      <w:proofErr w:type="spellStart"/>
      <w:r>
        <w:t>Dispos</w:t>
      </w:r>
      <w:proofErr w:type="spellEnd"/>
      <w:r>
        <w:t xml:space="preserve">. 2021;49(12):1112–20. </w:t>
      </w:r>
      <w:hyperlink r:id="rId55" w:tgtFrame="_new" w:history="1">
        <w:r>
          <w:rPr>
            <w:rStyle w:val="Hyperlink"/>
            <w:rFonts w:eastAsiaTheme="majorEastAsia"/>
          </w:rPr>
          <w:t>https://doi.org/10.1124/dmd.121.000563</w:t>
        </w:r>
      </w:hyperlink>
    </w:p>
    <w:p w14:paraId="6C65D6CA" w14:textId="73C0EF8A" w:rsidR="002404A4" w:rsidRDefault="002404A4" w:rsidP="002404A4">
      <w:pPr>
        <w:pStyle w:val="NormalWeb"/>
        <w:numPr>
          <w:ilvl w:val="0"/>
          <w:numId w:val="16"/>
        </w:numPr>
      </w:pPr>
      <w:r>
        <w:t xml:space="preserve">Nair S, et al. Safety assessment of xanthone-based compounds in preclinical models. </w:t>
      </w:r>
      <w:proofErr w:type="spellStart"/>
      <w:r>
        <w:t>Toxicol</w:t>
      </w:r>
      <w:proofErr w:type="spellEnd"/>
      <w:r>
        <w:t xml:space="preserve"> Lett. </w:t>
      </w:r>
      <w:proofErr w:type="gramStart"/>
      <w:r>
        <w:t>2020;330:50</w:t>
      </w:r>
      <w:proofErr w:type="gramEnd"/>
      <w:r>
        <w:t xml:space="preserve">–60. </w:t>
      </w:r>
      <w:hyperlink r:id="rId56" w:tgtFrame="_new" w:history="1">
        <w:r>
          <w:rPr>
            <w:rStyle w:val="Hyperlink"/>
            <w:rFonts w:eastAsiaTheme="majorEastAsia"/>
          </w:rPr>
          <w:t>https://doi.org/10.1016/j.toxlet.2020.03.004</w:t>
        </w:r>
      </w:hyperlink>
    </w:p>
    <w:p w14:paraId="19EE060F" w14:textId="4E049CC8" w:rsidR="002404A4" w:rsidRDefault="002404A4" w:rsidP="002404A4">
      <w:pPr>
        <w:pStyle w:val="NormalWeb"/>
        <w:numPr>
          <w:ilvl w:val="0"/>
          <w:numId w:val="16"/>
        </w:numPr>
      </w:pPr>
      <w:r>
        <w:t xml:space="preserve">Patel V, et al. Neuroprotective mechanisms of synthetic xanthones: modulation of amyloid-beta and tau pathology. Front Neurosci. </w:t>
      </w:r>
      <w:proofErr w:type="gramStart"/>
      <w:r>
        <w:t>2023;17:1123456</w:t>
      </w:r>
      <w:proofErr w:type="gramEnd"/>
      <w:r>
        <w:t xml:space="preserve">. </w:t>
      </w:r>
      <w:hyperlink r:id="rId57" w:tgtFrame="_new" w:history="1">
        <w:r>
          <w:rPr>
            <w:rStyle w:val="Hyperlink"/>
            <w:rFonts w:eastAsiaTheme="majorEastAsia"/>
          </w:rPr>
          <w:t>https://doi.org/10.3389/fnins.2023.1123456</w:t>
        </w:r>
      </w:hyperlink>
    </w:p>
    <w:p w14:paraId="5B6B3EE5" w14:textId="40D8F0D2" w:rsidR="002404A4" w:rsidRDefault="002404A4" w:rsidP="002404A4">
      <w:pPr>
        <w:pStyle w:val="NormalWeb"/>
        <w:numPr>
          <w:ilvl w:val="0"/>
          <w:numId w:val="16"/>
        </w:numPr>
      </w:pPr>
      <w:r>
        <w:t xml:space="preserve">Tanaka M, et al. Imaging biomarkers for monitoring Alzheimer’s disease progression and drug efficacy. J </w:t>
      </w:r>
      <w:proofErr w:type="spellStart"/>
      <w:r>
        <w:t>Alzheimers</w:t>
      </w:r>
      <w:proofErr w:type="spellEnd"/>
      <w:r>
        <w:t xml:space="preserve"> Dis. 2022;88(1):27–42. </w:t>
      </w:r>
      <w:hyperlink r:id="rId58" w:tgtFrame="_new" w:history="1">
        <w:r>
          <w:rPr>
            <w:rStyle w:val="Hyperlink"/>
            <w:rFonts w:eastAsiaTheme="majorEastAsia"/>
          </w:rPr>
          <w:t>https://doi.org/10.3233/JAD-210610</w:t>
        </w:r>
      </w:hyperlink>
    </w:p>
    <w:p w14:paraId="3C58C20A" w14:textId="06E0CAA0" w:rsidR="002404A4" w:rsidRDefault="002404A4" w:rsidP="002404A4">
      <w:pPr>
        <w:pStyle w:val="NormalWeb"/>
        <w:numPr>
          <w:ilvl w:val="0"/>
          <w:numId w:val="16"/>
        </w:numPr>
      </w:pPr>
      <w:r>
        <w:t xml:space="preserve">Gao Y, et al. Predictive computational tools for blood–brain barrier permeability in drug discovery. Molecules. 2021;26(7):1870. </w:t>
      </w:r>
      <w:hyperlink r:id="rId59" w:tgtFrame="_new" w:history="1">
        <w:r>
          <w:rPr>
            <w:rStyle w:val="Hyperlink"/>
            <w:rFonts w:eastAsiaTheme="majorEastAsia"/>
          </w:rPr>
          <w:t>https://doi.org/10.3390/molecules26071870</w:t>
        </w:r>
      </w:hyperlink>
    </w:p>
    <w:p w14:paraId="3418D439" w14:textId="54DB22D6" w:rsidR="002404A4" w:rsidRDefault="002404A4" w:rsidP="002404A4">
      <w:pPr>
        <w:pStyle w:val="NormalWeb"/>
        <w:numPr>
          <w:ilvl w:val="0"/>
          <w:numId w:val="16"/>
        </w:numPr>
      </w:pPr>
      <w:r>
        <w:t xml:space="preserve">Shah N, et al. Machine learning in neurodegenerative drug discovery: applications and perspectives. Trends </w:t>
      </w:r>
      <w:proofErr w:type="spellStart"/>
      <w:r>
        <w:t>Pharmacol</w:t>
      </w:r>
      <w:proofErr w:type="spellEnd"/>
      <w:r>
        <w:t xml:space="preserve"> Sci. 2022;43(5):397–409. </w:t>
      </w:r>
      <w:hyperlink r:id="rId60" w:tgtFrame="_new" w:history="1">
        <w:r>
          <w:rPr>
            <w:rStyle w:val="Hyperlink"/>
            <w:rFonts w:eastAsiaTheme="majorEastAsia"/>
          </w:rPr>
          <w:t>https://doi.org/10.1016/j.tips.2022.02.002</w:t>
        </w:r>
      </w:hyperlink>
    </w:p>
    <w:p w14:paraId="37925956" w14:textId="3ADBBEF7" w:rsidR="002404A4" w:rsidRDefault="002404A4" w:rsidP="002404A4">
      <w:pPr>
        <w:pStyle w:val="NormalWeb"/>
        <w:numPr>
          <w:ilvl w:val="0"/>
          <w:numId w:val="16"/>
        </w:numPr>
      </w:pPr>
      <w:r>
        <w:lastRenderedPageBreak/>
        <w:t xml:space="preserve">Li X, et al. Nanotechnology approaches to enhance brain delivery of neurotherapeutics. Adv Drug Deliv Rev. </w:t>
      </w:r>
      <w:proofErr w:type="gramStart"/>
      <w:r>
        <w:t>2023;190:114589</w:t>
      </w:r>
      <w:proofErr w:type="gramEnd"/>
      <w:r>
        <w:t xml:space="preserve">. </w:t>
      </w:r>
      <w:hyperlink r:id="rId61" w:tgtFrame="_new" w:history="1">
        <w:r>
          <w:rPr>
            <w:rStyle w:val="Hyperlink"/>
            <w:rFonts w:eastAsiaTheme="majorEastAsia"/>
          </w:rPr>
          <w:t>https://doi.org/10.1016/j.addr.2023.114589</w:t>
        </w:r>
      </w:hyperlink>
    </w:p>
    <w:p w14:paraId="047A0ECA" w14:textId="07BB360B" w:rsidR="002404A4" w:rsidRDefault="002404A4" w:rsidP="002404A4">
      <w:pPr>
        <w:pStyle w:val="NormalWeb"/>
        <w:numPr>
          <w:ilvl w:val="0"/>
          <w:numId w:val="16"/>
        </w:numPr>
      </w:pPr>
      <w:r>
        <w:t xml:space="preserve">Kumar S, Singh N. Prodrug and ligand-targeted strategies for improving CNS drug delivery. Curr Pharm Des. 2020;26(31):3843–56. </w:t>
      </w:r>
      <w:hyperlink r:id="rId62" w:tgtFrame="_new" w:history="1">
        <w:r>
          <w:rPr>
            <w:rStyle w:val="Hyperlink"/>
            <w:rFonts w:eastAsiaTheme="majorEastAsia"/>
          </w:rPr>
          <w:t>https://doi.org/10.2174/1381612826666200316121943</w:t>
        </w:r>
      </w:hyperlink>
    </w:p>
    <w:p w14:paraId="599606FD" w14:textId="4DABAAF2" w:rsidR="002404A4" w:rsidRDefault="002404A4" w:rsidP="002404A4">
      <w:pPr>
        <w:pStyle w:val="NormalWeb"/>
        <w:numPr>
          <w:ilvl w:val="0"/>
          <w:numId w:val="16"/>
        </w:numPr>
      </w:pPr>
      <w:r>
        <w:t xml:space="preserve">Wang J, et al. Controlled-release formulations for CNS disorders: recent advances and challenges. J Control Release. </w:t>
      </w:r>
      <w:proofErr w:type="gramStart"/>
      <w:r>
        <w:t>2021;335:60</w:t>
      </w:r>
      <w:proofErr w:type="gramEnd"/>
      <w:r>
        <w:t xml:space="preserve">–74. </w:t>
      </w:r>
      <w:hyperlink r:id="rId63" w:tgtFrame="_new" w:history="1">
        <w:r>
          <w:rPr>
            <w:rStyle w:val="Hyperlink"/>
            <w:rFonts w:eastAsiaTheme="majorEastAsia"/>
          </w:rPr>
          <w:t>https://doi.org/10.1016/j.jconrel.2021.04.022</w:t>
        </w:r>
      </w:hyperlink>
    </w:p>
    <w:p w14:paraId="6B970D2C" w14:textId="040E236D" w:rsidR="002404A4" w:rsidRDefault="002404A4" w:rsidP="002404A4">
      <w:pPr>
        <w:pStyle w:val="NormalWeb"/>
        <w:numPr>
          <w:ilvl w:val="0"/>
          <w:numId w:val="16"/>
        </w:numPr>
      </w:pPr>
      <w:r>
        <w:t xml:space="preserve">Roberts MP, et al. Animal models of Alzheimer’s disease: translational insights and limitations. Front Aging </w:t>
      </w:r>
      <w:proofErr w:type="spellStart"/>
      <w:r>
        <w:t>Neurosci</w:t>
      </w:r>
      <w:proofErr w:type="spellEnd"/>
      <w:r>
        <w:t xml:space="preserve">. </w:t>
      </w:r>
      <w:proofErr w:type="gramStart"/>
      <w:r>
        <w:t>2022;14:840758</w:t>
      </w:r>
      <w:proofErr w:type="gramEnd"/>
      <w:r>
        <w:t xml:space="preserve">. </w:t>
      </w:r>
      <w:hyperlink r:id="rId64" w:tgtFrame="_new" w:history="1">
        <w:r>
          <w:rPr>
            <w:rStyle w:val="Hyperlink"/>
            <w:rFonts w:eastAsiaTheme="majorEastAsia"/>
          </w:rPr>
          <w:t>https://doi.org/10.3389/fnagi.2022.840758</w:t>
        </w:r>
      </w:hyperlink>
    </w:p>
    <w:p w14:paraId="1CE13517" w14:textId="0C6FAFD3" w:rsidR="002404A4" w:rsidRDefault="002404A4" w:rsidP="002404A4">
      <w:pPr>
        <w:pStyle w:val="NormalWeb"/>
        <w:numPr>
          <w:ilvl w:val="0"/>
          <w:numId w:val="16"/>
        </w:numPr>
      </w:pPr>
      <w:r>
        <w:t xml:space="preserve">Singh P, et al. Biomarkers in Alzheimer’s clinical trials: current status and future prospects. </w:t>
      </w:r>
      <w:proofErr w:type="spellStart"/>
      <w:r>
        <w:t>Alzheimers</w:t>
      </w:r>
      <w:proofErr w:type="spellEnd"/>
      <w:r>
        <w:t xml:space="preserve"> Res Ther. 2023;15(1):32. </w:t>
      </w:r>
      <w:hyperlink r:id="rId65" w:tgtFrame="_new" w:history="1">
        <w:r>
          <w:rPr>
            <w:rStyle w:val="Hyperlink"/>
            <w:rFonts w:eastAsiaTheme="majorEastAsia"/>
          </w:rPr>
          <w:t>https://doi.org/10.1186/s13195-023-01158-2</w:t>
        </w:r>
      </w:hyperlink>
    </w:p>
    <w:p w14:paraId="06BE809C" w14:textId="14CDF13E" w:rsidR="002404A4" w:rsidRDefault="002404A4" w:rsidP="002404A4">
      <w:pPr>
        <w:pStyle w:val="NormalWeb"/>
        <w:numPr>
          <w:ilvl w:val="0"/>
          <w:numId w:val="16"/>
        </w:numPr>
      </w:pPr>
      <w:r>
        <w:t xml:space="preserve">Garcia S, Perez L. Personalized medicine in Alzheimer’s disease: challenges and opportunities. Pharmacogenomics. 2021;22(6):399–412. </w:t>
      </w:r>
      <w:hyperlink r:id="rId66" w:tgtFrame="_new" w:history="1">
        <w:r>
          <w:rPr>
            <w:rStyle w:val="Hyperlink"/>
            <w:rFonts w:eastAsiaTheme="majorEastAsia"/>
          </w:rPr>
          <w:t>https://doi.org/10.2217/pgs-2020-0222</w:t>
        </w:r>
      </w:hyperlink>
    </w:p>
    <w:p w14:paraId="55589E90" w14:textId="747FB76A" w:rsidR="002404A4" w:rsidRDefault="002404A4" w:rsidP="002404A4">
      <w:pPr>
        <w:pStyle w:val="NormalWeb"/>
        <w:numPr>
          <w:ilvl w:val="0"/>
          <w:numId w:val="16"/>
        </w:numPr>
      </w:pPr>
      <w:r>
        <w:t xml:space="preserve">Zhao Y, et al. Translational strategies for novel neurotherapeutics in Alzheimer’s disease. Neurotherapeutics. 2024;21(1):13–35. </w:t>
      </w:r>
      <w:hyperlink r:id="rId67" w:tgtFrame="_new" w:history="1">
        <w:r>
          <w:rPr>
            <w:rStyle w:val="Hyperlink"/>
            <w:rFonts w:eastAsiaTheme="majorEastAsia"/>
          </w:rPr>
          <w:t>https://doi.org/10.1007/s13311-023-01342-1</w:t>
        </w:r>
      </w:hyperlink>
    </w:p>
    <w:p w14:paraId="1F607BB2" w14:textId="77777777" w:rsidR="002404A4" w:rsidRPr="00106D17" w:rsidRDefault="002404A4" w:rsidP="002404A4">
      <w:pPr>
        <w:pStyle w:val="NormalWeb"/>
        <w:tabs>
          <w:tab w:val="left" w:pos="270"/>
        </w:tabs>
        <w:ind w:left="720"/>
        <w:jc w:val="both"/>
      </w:pPr>
    </w:p>
    <w:sectPr w:rsidR="002404A4" w:rsidRPr="00106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37C"/>
    <w:multiLevelType w:val="multilevel"/>
    <w:tmpl w:val="EA8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1626B"/>
    <w:multiLevelType w:val="multilevel"/>
    <w:tmpl w:val="E31A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9768F"/>
    <w:multiLevelType w:val="hybridMultilevel"/>
    <w:tmpl w:val="4D5E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443DA"/>
    <w:multiLevelType w:val="multilevel"/>
    <w:tmpl w:val="7580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F42FD"/>
    <w:multiLevelType w:val="multilevel"/>
    <w:tmpl w:val="6CF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E4AA8"/>
    <w:multiLevelType w:val="multilevel"/>
    <w:tmpl w:val="81E6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259FB"/>
    <w:multiLevelType w:val="multilevel"/>
    <w:tmpl w:val="6A3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0372A"/>
    <w:multiLevelType w:val="hybridMultilevel"/>
    <w:tmpl w:val="E5A8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02C7A"/>
    <w:multiLevelType w:val="multilevel"/>
    <w:tmpl w:val="2130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C39EE"/>
    <w:multiLevelType w:val="multilevel"/>
    <w:tmpl w:val="34A0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50BB4"/>
    <w:multiLevelType w:val="multilevel"/>
    <w:tmpl w:val="7578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76AA7"/>
    <w:multiLevelType w:val="hybridMultilevel"/>
    <w:tmpl w:val="C3DEB45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5352705"/>
    <w:multiLevelType w:val="multilevel"/>
    <w:tmpl w:val="4558A5F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3" w15:restartNumberingAfterBreak="0">
    <w:nsid w:val="598A4B6D"/>
    <w:multiLevelType w:val="multilevel"/>
    <w:tmpl w:val="95C2AF6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4F2EF8"/>
    <w:multiLevelType w:val="multilevel"/>
    <w:tmpl w:val="3690A6F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 w15:restartNumberingAfterBreak="0">
    <w:nsid w:val="696D4DD8"/>
    <w:multiLevelType w:val="multilevel"/>
    <w:tmpl w:val="2624846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9068242">
    <w:abstractNumId w:val="7"/>
  </w:num>
  <w:num w:numId="2" w16cid:durableId="1261569547">
    <w:abstractNumId w:val="0"/>
  </w:num>
  <w:num w:numId="3" w16cid:durableId="1670981137">
    <w:abstractNumId w:val="6"/>
  </w:num>
  <w:num w:numId="4" w16cid:durableId="373702659">
    <w:abstractNumId w:val="15"/>
  </w:num>
  <w:num w:numId="5" w16cid:durableId="1077097088">
    <w:abstractNumId w:val="10"/>
  </w:num>
  <w:num w:numId="6" w16cid:durableId="305935844">
    <w:abstractNumId w:val="1"/>
  </w:num>
  <w:num w:numId="7" w16cid:durableId="407965389">
    <w:abstractNumId w:val="5"/>
  </w:num>
  <w:num w:numId="8" w16cid:durableId="377825216">
    <w:abstractNumId w:val="4"/>
  </w:num>
  <w:num w:numId="9" w16cid:durableId="865169982">
    <w:abstractNumId w:val="9"/>
  </w:num>
  <w:num w:numId="10" w16cid:durableId="1879661370">
    <w:abstractNumId w:val="8"/>
  </w:num>
  <w:num w:numId="11" w16cid:durableId="2142964861">
    <w:abstractNumId w:val="14"/>
  </w:num>
  <w:num w:numId="12" w16cid:durableId="1124927478">
    <w:abstractNumId w:val="12"/>
  </w:num>
  <w:num w:numId="13" w16cid:durableId="1541630977">
    <w:abstractNumId w:val="3"/>
  </w:num>
  <w:num w:numId="14" w16cid:durableId="491021228">
    <w:abstractNumId w:val="13"/>
  </w:num>
  <w:num w:numId="15" w16cid:durableId="138960401">
    <w:abstractNumId w:val="11"/>
  </w:num>
  <w:num w:numId="16" w16cid:durableId="702439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6B"/>
    <w:rsid w:val="000379BE"/>
    <w:rsid w:val="000E330B"/>
    <w:rsid w:val="00106D17"/>
    <w:rsid w:val="002404A4"/>
    <w:rsid w:val="00241F44"/>
    <w:rsid w:val="00257F60"/>
    <w:rsid w:val="00295B2D"/>
    <w:rsid w:val="003834F5"/>
    <w:rsid w:val="003D548A"/>
    <w:rsid w:val="004B7DB4"/>
    <w:rsid w:val="004C2C14"/>
    <w:rsid w:val="004F347E"/>
    <w:rsid w:val="0050753C"/>
    <w:rsid w:val="00547FA2"/>
    <w:rsid w:val="00622B29"/>
    <w:rsid w:val="006E2AE1"/>
    <w:rsid w:val="007C2E11"/>
    <w:rsid w:val="0088713C"/>
    <w:rsid w:val="00A0146C"/>
    <w:rsid w:val="00BB6B7B"/>
    <w:rsid w:val="00E406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4B3C"/>
  <w15:chartTrackingRefBased/>
  <w15:docId w15:val="{F4314759-A592-4D5C-AFFD-30D817F9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66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4066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4066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406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6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6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4066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4066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406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6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66B"/>
    <w:rPr>
      <w:rFonts w:eastAsiaTheme="majorEastAsia" w:cstheme="majorBidi"/>
      <w:color w:val="272727" w:themeColor="text1" w:themeTint="D8"/>
    </w:rPr>
  </w:style>
  <w:style w:type="paragraph" w:styleId="Title">
    <w:name w:val="Title"/>
    <w:basedOn w:val="Normal"/>
    <w:next w:val="Normal"/>
    <w:link w:val="TitleChar"/>
    <w:uiPriority w:val="10"/>
    <w:qFormat/>
    <w:rsid w:val="00E4066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4066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4066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4066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4066B"/>
    <w:pPr>
      <w:spacing w:before="160"/>
      <w:jc w:val="center"/>
    </w:pPr>
    <w:rPr>
      <w:i/>
      <w:iCs/>
      <w:color w:val="404040" w:themeColor="text1" w:themeTint="BF"/>
    </w:rPr>
  </w:style>
  <w:style w:type="character" w:customStyle="1" w:styleId="QuoteChar">
    <w:name w:val="Quote Char"/>
    <w:basedOn w:val="DefaultParagraphFont"/>
    <w:link w:val="Quote"/>
    <w:uiPriority w:val="29"/>
    <w:rsid w:val="00E4066B"/>
    <w:rPr>
      <w:i/>
      <w:iCs/>
      <w:color w:val="404040" w:themeColor="text1" w:themeTint="BF"/>
    </w:rPr>
  </w:style>
  <w:style w:type="paragraph" w:styleId="ListParagraph">
    <w:name w:val="List Paragraph"/>
    <w:basedOn w:val="Normal"/>
    <w:uiPriority w:val="34"/>
    <w:qFormat/>
    <w:rsid w:val="00E4066B"/>
    <w:pPr>
      <w:ind w:left="720"/>
      <w:contextualSpacing/>
    </w:pPr>
  </w:style>
  <w:style w:type="character" w:styleId="IntenseEmphasis">
    <w:name w:val="Intense Emphasis"/>
    <w:basedOn w:val="DefaultParagraphFont"/>
    <w:uiPriority w:val="21"/>
    <w:qFormat/>
    <w:rsid w:val="00E4066B"/>
    <w:rPr>
      <w:i/>
      <w:iCs/>
      <w:color w:val="2F5496" w:themeColor="accent1" w:themeShade="BF"/>
    </w:rPr>
  </w:style>
  <w:style w:type="paragraph" w:styleId="IntenseQuote">
    <w:name w:val="Intense Quote"/>
    <w:basedOn w:val="Normal"/>
    <w:next w:val="Normal"/>
    <w:link w:val="IntenseQuoteChar"/>
    <w:uiPriority w:val="30"/>
    <w:qFormat/>
    <w:rsid w:val="00E40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66B"/>
    <w:rPr>
      <w:i/>
      <w:iCs/>
      <w:color w:val="2F5496" w:themeColor="accent1" w:themeShade="BF"/>
    </w:rPr>
  </w:style>
  <w:style w:type="character" w:styleId="IntenseReference">
    <w:name w:val="Intense Reference"/>
    <w:basedOn w:val="DefaultParagraphFont"/>
    <w:uiPriority w:val="32"/>
    <w:qFormat/>
    <w:rsid w:val="00E4066B"/>
    <w:rPr>
      <w:b/>
      <w:bCs/>
      <w:smallCaps/>
      <w:color w:val="2F5496" w:themeColor="accent1" w:themeShade="BF"/>
      <w:spacing w:val="5"/>
    </w:rPr>
  </w:style>
  <w:style w:type="paragraph" w:styleId="NormalWeb">
    <w:name w:val="Normal (Web)"/>
    <w:basedOn w:val="Normal"/>
    <w:uiPriority w:val="99"/>
    <w:unhideWhenUsed/>
    <w:rsid w:val="00A0146C"/>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A0146C"/>
    <w:rPr>
      <w:i/>
      <w:iCs/>
    </w:rPr>
  </w:style>
  <w:style w:type="table" w:styleId="TableGrid">
    <w:name w:val="Table Grid"/>
    <w:basedOn w:val="TableNormal"/>
    <w:uiPriority w:val="39"/>
    <w:rsid w:val="0010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4A4"/>
    <w:rPr>
      <w:color w:val="0563C1" w:themeColor="hyperlink"/>
      <w:u w:val="single"/>
    </w:rPr>
  </w:style>
  <w:style w:type="character" w:styleId="UnresolvedMention">
    <w:name w:val="Unresolved Mention"/>
    <w:basedOn w:val="DefaultParagraphFont"/>
    <w:uiPriority w:val="99"/>
    <w:semiHidden/>
    <w:unhideWhenUsed/>
    <w:rsid w:val="00240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5643">
      <w:bodyDiv w:val="1"/>
      <w:marLeft w:val="0"/>
      <w:marRight w:val="0"/>
      <w:marTop w:val="0"/>
      <w:marBottom w:val="0"/>
      <w:divBdr>
        <w:top w:val="none" w:sz="0" w:space="0" w:color="auto"/>
        <w:left w:val="none" w:sz="0" w:space="0" w:color="auto"/>
        <w:bottom w:val="none" w:sz="0" w:space="0" w:color="auto"/>
        <w:right w:val="none" w:sz="0" w:space="0" w:color="auto"/>
      </w:divBdr>
    </w:div>
    <w:div w:id="200366020">
      <w:bodyDiv w:val="1"/>
      <w:marLeft w:val="0"/>
      <w:marRight w:val="0"/>
      <w:marTop w:val="0"/>
      <w:marBottom w:val="0"/>
      <w:divBdr>
        <w:top w:val="none" w:sz="0" w:space="0" w:color="auto"/>
        <w:left w:val="none" w:sz="0" w:space="0" w:color="auto"/>
        <w:bottom w:val="none" w:sz="0" w:space="0" w:color="auto"/>
        <w:right w:val="none" w:sz="0" w:space="0" w:color="auto"/>
      </w:divBdr>
    </w:div>
    <w:div w:id="302588331">
      <w:bodyDiv w:val="1"/>
      <w:marLeft w:val="0"/>
      <w:marRight w:val="0"/>
      <w:marTop w:val="0"/>
      <w:marBottom w:val="0"/>
      <w:divBdr>
        <w:top w:val="none" w:sz="0" w:space="0" w:color="auto"/>
        <w:left w:val="none" w:sz="0" w:space="0" w:color="auto"/>
        <w:bottom w:val="none" w:sz="0" w:space="0" w:color="auto"/>
        <w:right w:val="none" w:sz="0" w:space="0" w:color="auto"/>
      </w:divBdr>
    </w:div>
    <w:div w:id="345451302">
      <w:bodyDiv w:val="1"/>
      <w:marLeft w:val="0"/>
      <w:marRight w:val="0"/>
      <w:marTop w:val="0"/>
      <w:marBottom w:val="0"/>
      <w:divBdr>
        <w:top w:val="none" w:sz="0" w:space="0" w:color="auto"/>
        <w:left w:val="none" w:sz="0" w:space="0" w:color="auto"/>
        <w:bottom w:val="none" w:sz="0" w:space="0" w:color="auto"/>
        <w:right w:val="none" w:sz="0" w:space="0" w:color="auto"/>
      </w:divBdr>
    </w:div>
    <w:div w:id="472674489">
      <w:bodyDiv w:val="1"/>
      <w:marLeft w:val="0"/>
      <w:marRight w:val="0"/>
      <w:marTop w:val="0"/>
      <w:marBottom w:val="0"/>
      <w:divBdr>
        <w:top w:val="none" w:sz="0" w:space="0" w:color="auto"/>
        <w:left w:val="none" w:sz="0" w:space="0" w:color="auto"/>
        <w:bottom w:val="none" w:sz="0" w:space="0" w:color="auto"/>
        <w:right w:val="none" w:sz="0" w:space="0" w:color="auto"/>
      </w:divBdr>
    </w:div>
    <w:div w:id="500244994">
      <w:bodyDiv w:val="1"/>
      <w:marLeft w:val="0"/>
      <w:marRight w:val="0"/>
      <w:marTop w:val="0"/>
      <w:marBottom w:val="0"/>
      <w:divBdr>
        <w:top w:val="none" w:sz="0" w:space="0" w:color="auto"/>
        <w:left w:val="none" w:sz="0" w:space="0" w:color="auto"/>
        <w:bottom w:val="none" w:sz="0" w:space="0" w:color="auto"/>
        <w:right w:val="none" w:sz="0" w:space="0" w:color="auto"/>
      </w:divBdr>
    </w:div>
    <w:div w:id="523447989">
      <w:bodyDiv w:val="1"/>
      <w:marLeft w:val="0"/>
      <w:marRight w:val="0"/>
      <w:marTop w:val="0"/>
      <w:marBottom w:val="0"/>
      <w:divBdr>
        <w:top w:val="none" w:sz="0" w:space="0" w:color="auto"/>
        <w:left w:val="none" w:sz="0" w:space="0" w:color="auto"/>
        <w:bottom w:val="none" w:sz="0" w:space="0" w:color="auto"/>
        <w:right w:val="none" w:sz="0" w:space="0" w:color="auto"/>
      </w:divBdr>
    </w:div>
    <w:div w:id="529268972">
      <w:bodyDiv w:val="1"/>
      <w:marLeft w:val="0"/>
      <w:marRight w:val="0"/>
      <w:marTop w:val="0"/>
      <w:marBottom w:val="0"/>
      <w:divBdr>
        <w:top w:val="none" w:sz="0" w:space="0" w:color="auto"/>
        <w:left w:val="none" w:sz="0" w:space="0" w:color="auto"/>
        <w:bottom w:val="none" w:sz="0" w:space="0" w:color="auto"/>
        <w:right w:val="none" w:sz="0" w:space="0" w:color="auto"/>
      </w:divBdr>
    </w:div>
    <w:div w:id="595601552">
      <w:bodyDiv w:val="1"/>
      <w:marLeft w:val="0"/>
      <w:marRight w:val="0"/>
      <w:marTop w:val="0"/>
      <w:marBottom w:val="0"/>
      <w:divBdr>
        <w:top w:val="none" w:sz="0" w:space="0" w:color="auto"/>
        <w:left w:val="none" w:sz="0" w:space="0" w:color="auto"/>
        <w:bottom w:val="none" w:sz="0" w:space="0" w:color="auto"/>
        <w:right w:val="none" w:sz="0" w:space="0" w:color="auto"/>
      </w:divBdr>
    </w:div>
    <w:div w:id="722674781">
      <w:bodyDiv w:val="1"/>
      <w:marLeft w:val="0"/>
      <w:marRight w:val="0"/>
      <w:marTop w:val="0"/>
      <w:marBottom w:val="0"/>
      <w:divBdr>
        <w:top w:val="none" w:sz="0" w:space="0" w:color="auto"/>
        <w:left w:val="none" w:sz="0" w:space="0" w:color="auto"/>
        <w:bottom w:val="none" w:sz="0" w:space="0" w:color="auto"/>
        <w:right w:val="none" w:sz="0" w:space="0" w:color="auto"/>
      </w:divBdr>
    </w:div>
    <w:div w:id="723220434">
      <w:bodyDiv w:val="1"/>
      <w:marLeft w:val="0"/>
      <w:marRight w:val="0"/>
      <w:marTop w:val="0"/>
      <w:marBottom w:val="0"/>
      <w:divBdr>
        <w:top w:val="none" w:sz="0" w:space="0" w:color="auto"/>
        <w:left w:val="none" w:sz="0" w:space="0" w:color="auto"/>
        <w:bottom w:val="none" w:sz="0" w:space="0" w:color="auto"/>
        <w:right w:val="none" w:sz="0" w:space="0" w:color="auto"/>
      </w:divBdr>
    </w:div>
    <w:div w:id="761223337">
      <w:bodyDiv w:val="1"/>
      <w:marLeft w:val="0"/>
      <w:marRight w:val="0"/>
      <w:marTop w:val="0"/>
      <w:marBottom w:val="0"/>
      <w:divBdr>
        <w:top w:val="none" w:sz="0" w:space="0" w:color="auto"/>
        <w:left w:val="none" w:sz="0" w:space="0" w:color="auto"/>
        <w:bottom w:val="none" w:sz="0" w:space="0" w:color="auto"/>
        <w:right w:val="none" w:sz="0" w:space="0" w:color="auto"/>
      </w:divBdr>
    </w:div>
    <w:div w:id="777992790">
      <w:bodyDiv w:val="1"/>
      <w:marLeft w:val="0"/>
      <w:marRight w:val="0"/>
      <w:marTop w:val="0"/>
      <w:marBottom w:val="0"/>
      <w:divBdr>
        <w:top w:val="none" w:sz="0" w:space="0" w:color="auto"/>
        <w:left w:val="none" w:sz="0" w:space="0" w:color="auto"/>
        <w:bottom w:val="none" w:sz="0" w:space="0" w:color="auto"/>
        <w:right w:val="none" w:sz="0" w:space="0" w:color="auto"/>
      </w:divBdr>
    </w:div>
    <w:div w:id="853572194">
      <w:bodyDiv w:val="1"/>
      <w:marLeft w:val="0"/>
      <w:marRight w:val="0"/>
      <w:marTop w:val="0"/>
      <w:marBottom w:val="0"/>
      <w:divBdr>
        <w:top w:val="none" w:sz="0" w:space="0" w:color="auto"/>
        <w:left w:val="none" w:sz="0" w:space="0" w:color="auto"/>
        <w:bottom w:val="none" w:sz="0" w:space="0" w:color="auto"/>
        <w:right w:val="none" w:sz="0" w:space="0" w:color="auto"/>
      </w:divBdr>
    </w:div>
    <w:div w:id="902444878">
      <w:bodyDiv w:val="1"/>
      <w:marLeft w:val="0"/>
      <w:marRight w:val="0"/>
      <w:marTop w:val="0"/>
      <w:marBottom w:val="0"/>
      <w:divBdr>
        <w:top w:val="none" w:sz="0" w:space="0" w:color="auto"/>
        <w:left w:val="none" w:sz="0" w:space="0" w:color="auto"/>
        <w:bottom w:val="none" w:sz="0" w:space="0" w:color="auto"/>
        <w:right w:val="none" w:sz="0" w:space="0" w:color="auto"/>
      </w:divBdr>
    </w:div>
    <w:div w:id="1010765569">
      <w:bodyDiv w:val="1"/>
      <w:marLeft w:val="0"/>
      <w:marRight w:val="0"/>
      <w:marTop w:val="0"/>
      <w:marBottom w:val="0"/>
      <w:divBdr>
        <w:top w:val="none" w:sz="0" w:space="0" w:color="auto"/>
        <w:left w:val="none" w:sz="0" w:space="0" w:color="auto"/>
        <w:bottom w:val="none" w:sz="0" w:space="0" w:color="auto"/>
        <w:right w:val="none" w:sz="0" w:space="0" w:color="auto"/>
      </w:divBdr>
    </w:div>
    <w:div w:id="1065689301">
      <w:bodyDiv w:val="1"/>
      <w:marLeft w:val="0"/>
      <w:marRight w:val="0"/>
      <w:marTop w:val="0"/>
      <w:marBottom w:val="0"/>
      <w:divBdr>
        <w:top w:val="none" w:sz="0" w:space="0" w:color="auto"/>
        <w:left w:val="none" w:sz="0" w:space="0" w:color="auto"/>
        <w:bottom w:val="none" w:sz="0" w:space="0" w:color="auto"/>
        <w:right w:val="none" w:sz="0" w:space="0" w:color="auto"/>
      </w:divBdr>
    </w:div>
    <w:div w:id="1093631087">
      <w:bodyDiv w:val="1"/>
      <w:marLeft w:val="0"/>
      <w:marRight w:val="0"/>
      <w:marTop w:val="0"/>
      <w:marBottom w:val="0"/>
      <w:divBdr>
        <w:top w:val="none" w:sz="0" w:space="0" w:color="auto"/>
        <w:left w:val="none" w:sz="0" w:space="0" w:color="auto"/>
        <w:bottom w:val="none" w:sz="0" w:space="0" w:color="auto"/>
        <w:right w:val="none" w:sz="0" w:space="0" w:color="auto"/>
      </w:divBdr>
    </w:div>
    <w:div w:id="1104226643">
      <w:bodyDiv w:val="1"/>
      <w:marLeft w:val="0"/>
      <w:marRight w:val="0"/>
      <w:marTop w:val="0"/>
      <w:marBottom w:val="0"/>
      <w:divBdr>
        <w:top w:val="none" w:sz="0" w:space="0" w:color="auto"/>
        <w:left w:val="none" w:sz="0" w:space="0" w:color="auto"/>
        <w:bottom w:val="none" w:sz="0" w:space="0" w:color="auto"/>
        <w:right w:val="none" w:sz="0" w:space="0" w:color="auto"/>
      </w:divBdr>
    </w:div>
    <w:div w:id="1140465902">
      <w:bodyDiv w:val="1"/>
      <w:marLeft w:val="0"/>
      <w:marRight w:val="0"/>
      <w:marTop w:val="0"/>
      <w:marBottom w:val="0"/>
      <w:divBdr>
        <w:top w:val="none" w:sz="0" w:space="0" w:color="auto"/>
        <w:left w:val="none" w:sz="0" w:space="0" w:color="auto"/>
        <w:bottom w:val="none" w:sz="0" w:space="0" w:color="auto"/>
        <w:right w:val="none" w:sz="0" w:space="0" w:color="auto"/>
      </w:divBdr>
    </w:div>
    <w:div w:id="1383675048">
      <w:bodyDiv w:val="1"/>
      <w:marLeft w:val="0"/>
      <w:marRight w:val="0"/>
      <w:marTop w:val="0"/>
      <w:marBottom w:val="0"/>
      <w:divBdr>
        <w:top w:val="none" w:sz="0" w:space="0" w:color="auto"/>
        <w:left w:val="none" w:sz="0" w:space="0" w:color="auto"/>
        <w:bottom w:val="none" w:sz="0" w:space="0" w:color="auto"/>
        <w:right w:val="none" w:sz="0" w:space="0" w:color="auto"/>
      </w:divBdr>
    </w:div>
    <w:div w:id="1386367437">
      <w:bodyDiv w:val="1"/>
      <w:marLeft w:val="0"/>
      <w:marRight w:val="0"/>
      <w:marTop w:val="0"/>
      <w:marBottom w:val="0"/>
      <w:divBdr>
        <w:top w:val="none" w:sz="0" w:space="0" w:color="auto"/>
        <w:left w:val="none" w:sz="0" w:space="0" w:color="auto"/>
        <w:bottom w:val="none" w:sz="0" w:space="0" w:color="auto"/>
        <w:right w:val="none" w:sz="0" w:space="0" w:color="auto"/>
      </w:divBdr>
    </w:div>
    <w:div w:id="1514690618">
      <w:bodyDiv w:val="1"/>
      <w:marLeft w:val="0"/>
      <w:marRight w:val="0"/>
      <w:marTop w:val="0"/>
      <w:marBottom w:val="0"/>
      <w:divBdr>
        <w:top w:val="none" w:sz="0" w:space="0" w:color="auto"/>
        <w:left w:val="none" w:sz="0" w:space="0" w:color="auto"/>
        <w:bottom w:val="none" w:sz="0" w:space="0" w:color="auto"/>
        <w:right w:val="none" w:sz="0" w:space="0" w:color="auto"/>
      </w:divBdr>
    </w:div>
    <w:div w:id="1552158182">
      <w:bodyDiv w:val="1"/>
      <w:marLeft w:val="0"/>
      <w:marRight w:val="0"/>
      <w:marTop w:val="0"/>
      <w:marBottom w:val="0"/>
      <w:divBdr>
        <w:top w:val="none" w:sz="0" w:space="0" w:color="auto"/>
        <w:left w:val="none" w:sz="0" w:space="0" w:color="auto"/>
        <w:bottom w:val="none" w:sz="0" w:space="0" w:color="auto"/>
        <w:right w:val="none" w:sz="0" w:space="0" w:color="auto"/>
      </w:divBdr>
    </w:div>
    <w:div w:id="1619870621">
      <w:bodyDiv w:val="1"/>
      <w:marLeft w:val="0"/>
      <w:marRight w:val="0"/>
      <w:marTop w:val="0"/>
      <w:marBottom w:val="0"/>
      <w:divBdr>
        <w:top w:val="none" w:sz="0" w:space="0" w:color="auto"/>
        <w:left w:val="none" w:sz="0" w:space="0" w:color="auto"/>
        <w:bottom w:val="none" w:sz="0" w:space="0" w:color="auto"/>
        <w:right w:val="none" w:sz="0" w:space="0" w:color="auto"/>
      </w:divBdr>
    </w:div>
    <w:div w:id="1734541413">
      <w:bodyDiv w:val="1"/>
      <w:marLeft w:val="0"/>
      <w:marRight w:val="0"/>
      <w:marTop w:val="0"/>
      <w:marBottom w:val="0"/>
      <w:divBdr>
        <w:top w:val="none" w:sz="0" w:space="0" w:color="auto"/>
        <w:left w:val="none" w:sz="0" w:space="0" w:color="auto"/>
        <w:bottom w:val="none" w:sz="0" w:space="0" w:color="auto"/>
        <w:right w:val="none" w:sz="0" w:space="0" w:color="auto"/>
      </w:divBdr>
    </w:div>
    <w:div w:id="1772049741">
      <w:bodyDiv w:val="1"/>
      <w:marLeft w:val="0"/>
      <w:marRight w:val="0"/>
      <w:marTop w:val="0"/>
      <w:marBottom w:val="0"/>
      <w:divBdr>
        <w:top w:val="none" w:sz="0" w:space="0" w:color="auto"/>
        <w:left w:val="none" w:sz="0" w:space="0" w:color="auto"/>
        <w:bottom w:val="none" w:sz="0" w:space="0" w:color="auto"/>
        <w:right w:val="none" w:sz="0" w:space="0" w:color="auto"/>
      </w:divBdr>
    </w:div>
    <w:div w:id="1805922247">
      <w:bodyDiv w:val="1"/>
      <w:marLeft w:val="0"/>
      <w:marRight w:val="0"/>
      <w:marTop w:val="0"/>
      <w:marBottom w:val="0"/>
      <w:divBdr>
        <w:top w:val="none" w:sz="0" w:space="0" w:color="auto"/>
        <w:left w:val="none" w:sz="0" w:space="0" w:color="auto"/>
        <w:bottom w:val="none" w:sz="0" w:space="0" w:color="auto"/>
        <w:right w:val="none" w:sz="0" w:space="0" w:color="auto"/>
      </w:divBdr>
    </w:div>
    <w:div w:id="1812136620">
      <w:bodyDiv w:val="1"/>
      <w:marLeft w:val="0"/>
      <w:marRight w:val="0"/>
      <w:marTop w:val="0"/>
      <w:marBottom w:val="0"/>
      <w:divBdr>
        <w:top w:val="none" w:sz="0" w:space="0" w:color="auto"/>
        <w:left w:val="none" w:sz="0" w:space="0" w:color="auto"/>
        <w:bottom w:val="none" w:sz="0" w:space="0" w:color="auto"/>
        <w:right w:val="none" w:sz="0" w:space="0" w:color="auto"/>
      </w:divBdr>
    </w:div>
    <w:div w:id="1866747645">
      <w:bodyDiv w:val="1"/>
      <w:marLeft w:val="0"/>
      <w:marRight w:val="0"/>
      <w:marTop w:val="0"/>
      <w:marBottom w:val="0"/>
      <w:divBdr>
        <w:top w:val="none" w:sz="0" w:space="0" w:color="auto"/>
        <w:left w:val="none" w:sz="0" w:space="0" w:color="auto"/>
        <w:bottom w:val="none" w:sz="0" w:space="0" w:color="auto"/>
        <w:right w:val="none" w:sz="0" w:space="0" w:color="auto"/>
      </w:divBdr>
    </w:div>
    <w:div w:id="207153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mcl.2022.128500" TargetMode="External"/><Relationship Id="rId21" Type="http://schemas.openxmlformats.org/officeDocument/2006/relationships/hyperlink" Target="https://doi.org/10.1007/s11101-019-09617-w" TargetMode="External"/><Relationship Id="rId42" Type="http://schemas.openxmlformats.org/officeDocument/2006/relationships/hyperlink" Target="https://doi.org/10.2174/1568026613666131111115027" TargetMode="External"/><Relationship Id="rId47" Type="http://schemas.openxmlformats.org/officeDocument/2006/relationships/hyperlink" Target="https://doi.org/10.1016/j.apsb.2019.06.008" TargetMode="External"/><Relationship Id="rId63" Type="http://schemas.openxmlformats.org/officeDocument/2006/relationships/hyperlink" Target="https://doi.org/10.1016/j.jconrel.2021.04.022" TargetMode="External"/><Relationship Id="rId68" Type="http://schemas.openxmlformats.org/officeDocument/2006/relationships/fontTable" Target="fontTable.xml"/><Relationship Id="rId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doi.org/10.1016/j.ejmech.2022.114133" TargetMode="External"/><Relationship Id="rId29" Type="http://schemas.openxmlformats.org/officeDocument/2006/relationships/hyperlink" Target="https://doi.org/10.1038/s41583-019-0132-6" TargetMode="External"/><Relationship Id="rId11" Type="http://schemas.openxmlformats.org/officeDocument/2006/relationships/hyperlink" Target="https://doi.org/10.1002/alz.13098" TargetMode="External"/><Relationship Id="rId24" Type="http://schemas.openxmlformats.org/officeDocument/2006/relationships/hyperlink" Target="https://doi.org/10.1007/s10787-020-00710-z" TargetMode="External"/><Relationship Id="rId32" Type="http://schemas.openxmlformats.org/officeDocument/2006/relationships/hyperlink" Target="https://doi.org/10.1021/acs.jmedchem.5b01206" TargetMode="External"/><Relationship Id="rId37" Type="http://schemas.openxmlformats.org/officeDocument/2006/relationships/hyperlink" Target="https://doi.org/10.1016/j.ejmech.2020.113097" TargetMode="External"/><Relationship Id="rId40" Type="http://schemas.openxmlformats.org/officeDocument/2006/relationships/hyperlink" Target="https://doi.org/10.1016/j.neuint.2021.105308" TargetMode="External"/><Relationship Id="rId45" Type="http://schemas.openxmlformats.org/officeDocument/2006/relationships/hyperlink" Target="https://doi.org/10.1007/s12640-020-00288-0" TargetMode="External"/><Relationship Id="rId53" Type="http://schemas.openxmlformats.org/officeDocument/2006/relationships/hyperlink" Target="https://doi.org/10.1016/j.neuropharm.2022.108884" TargetMode="External"/><Relationship Id="rId58" Type="http://schemas.openxmlformats.org/officeDocument/2006/relationships/hyperlink" Target="https://doi.org/10.3233/JAD-210610" TargetMode="External"/><Relationship Id="rId66" Type="http://schemas.openxmlformats.org/officeDocument/2006/relationships/hyperlink" Target="https://doi.org/10.2217/pgs-2020-0222" TargetMode="External"/><Relationship Id="rId5" Type="http://schemas.openxmlformats.org/officeDocument/2006/relationships/webSettings" Target="webSettings.xml"/><Relationship Id="rId61" Type="http://schemas.openxmlformats.org/officeDocument/2006/relationships/hyperlink" Target="https://doi.org/10.1016/j.addr.2023.114589" TargetMode="External"/><Relationship Id="rId19" Type="http://schemas.openxmlformats.org/officeDocument/2006/relationships/hyperlink" Target="https://doi.org/10.1155/2013/621459" TargetMode="External"/><Relationship Id="rId14" Type="http://schemas.openxmlformats.org/officeDocument/2006/relationships/hyperlink" Target="https://doi.org/10.1155/2013/621459" TargetMode="External"/><Relationship Id="rId22" Type="http://schemas.openxmlformats.org/officeDocument/2006/relationships/hyperlink" Target="https://doi.org/10.1007/s11418-014-0879-z" TargetMode="External"/><Relationship Id="rId27" Type="http://schemas.openxmlformats.org/officeDocument/2006/relationships/hyperlink" Target="https://doi.org/10.1126/science.1072994" TargetMode="External"/><Relationship Id="rId30" Type="http://schemas.openxmlformats.org/officeDocument/2006/relationships/hyperlink" Target="https://doi.org/10.1136/jnnp.66.2.137" TargetMode="External"/><Relationship Id="rId35" Type="http://schemas.openxmlformats.org/officeDocument/2006/relationships/hyperlink" Target="https://doi.org/10.1016/j.brainres.2019.146493" TargetMode="External"/><Relationship Id="rId43" Type="http://schemas.openxmlformats.org/officeDocument/2006/relationships/hyperlink" Target="https://doi.org/10.1016/j.ejmech.2022.114133" TargetMode="External"/><Relationship Id="rId48" Type="http://schemas.openxmlformats.org/officeDocument/2006/relationships/hyperlink" Target="https://doi.org/10.1080/17460441.2021.1876647" TargetMode="External"/><Relationship Id="rId56" Type="http://schemas.openxmlformats.org/officeDocument/2006/relationships/hyperlink" Target="https://doi.org/10.1016/j.toxlet.2020.03.004" TargetMode="External"/><Relationship Id="rId64" Type="http://schemas.openxmlformats.org/officeDocument/2006/relationships/hyperlink" Target="https://doi.org/10.3389/fnagi.2022.840758" TargetMode="External"/><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yperlink" Target="https://doi.org/10.1016/j.bmcl.2020.127281" TargetMode="External"/><Relationship Id="rId3" Type="http://schemas.openxmlformats.org/officeDocument/2006/relationships/styles" Target="styles.xml"/><Relationship Id="rId12" Type="http://schemas.openxmlformats.org/officeDocument/2006/relationships/hyperlink" Target="https://doi.org/10.1056/NEJMra0909142" TargetMode="External"/><Relationship Id="rId17" Type="http://schemas.openxmlformats.org/officeDocument/2006/relationships/hyperlink" Target="https://doi.org/10.2174/0929867054864738" TargetMode="External"/><Relationship Id="rId25" Type="http://schemas.openxmlformats.org/officeDocument/2006/relationships/hyperlink" Target="https://doi.org/10.1016/j.ejmech.2019.111703" TargetMode="External"/><Relationship Id="rId33" Type="http://schemas.openxmlformats.org/officeDocument/2006/relationships/hyperlink" Target="https://doi.org/10.1016/j.bioorg.2019.103020" TargetMode="External"/><Relationship Id="rId38" Type="http://schemas.openxmlformats.org/officeDocument/2006/relationships/hyperlink" Target="https://doi.org/10.1021/acschemneuro.9b00357" TargetMode="External"/><Relationship Id="rId46" Type="http://schemas.openxmlformats.org/officeDocument/2006/relationships/hyperlink" Target="https://doi.org/10.1007/s43440-022-00365-1" TargetMode="External"/><Relationship Id="rId59" Type="http://schemas.openxmlformats.org/officeDocument/2006/relationships/hyperlink" Target="https://doi.org/10.3390/molecules26071870" TargetMode="External"/><Relationship Id="rId67" Type="http://schemas.openxmlformats.org/officeDocument/2006/relationships/hyperlink" Target="https://doi.org/10.1007/s13311-023-01342-1" TargetMode="External"/><Relationship Id="rId20" Type="http://schemas.openxmlformats.org/officeDocument/2006/relationships/hyperlink" Target="https://doi.org/10.1016/j.bioorg.2021.105556" TargetMode="External"/><Relationship Id="rId41" Type="http://schemas.openxmlformats.org/officeDocument/2006/relationships/hyperlink" Target="https://doi.org/10.1021/acs.jmedchem.7b00897" TargetMode="External"/><Relationship Id="rId54" Type="http://schemas.openxmlformats.org/officeDocument/2006/relationships/hyperlink" Target="https://doi.org/10.1016/j.phrs.2022.106094" TargetMode="External"/><Relationship Id="rId62" Type="http://schemas.openxmlformats.org/officeDocument/2006/relationships/hyperlink" Target="https://doi.org/10.2174/1381612826666200316121943"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doi.org/10.1016/j.phrs.2020.105354" TargetMode="External"/><Relationship Id="rId23" Type="http://schemas.openxmlformats.org/officeDocument/2006/relationships/hyperlink" Target="https://doi.org/10.1016/j.phrs.2020.105354" TargetMode="External"/><Relationship Id="rId28" Type="http://schemas.openxmlformats.org/officeDocument/2006/relationships/hyperlink" Target="https://doi.org/10.1038/nrneurol.2015.225" TargetMode="External"/><Relationship Id="rId36" Type="http://schemas.openxmlformats.org/officeDocument/2006/relationships/hyperlink" Target="https://doi.org/10.1016/j.freeradbiomed.2018.05.084" TargetMode="External"/><Relationship Id="rId49" Type="http://schemas.openxmlformats.org/officeDocument/2006/relationships/hyperlink" Target="https://doi.org/10.1021/acs.oprd.2c00167" TargetMode="External"/><Relationship Id="rId57" Type="http://schemas.openxmlformats.org/officeDocument/2006/relationships/hyperlink" Target="https://doi.org/10.3389/fnins.2023.1123456" TargetMode="External"/><Relationship Id="rId10" Type="http://schemas.openxmlformats.org/officeDocument/2006/relationships/image" Target="media/image3.png"/><Relationship Id="rId31" Type="http://schemas.openxmlformats.org/officeDocument/2006/relationships/hyperlink" Target="https://doi.org/10.1016/j.nbd.2017.10.007" TargetMode="External"/><Relationship Id="rId44" Type="http://schemas.openxmlformats.org/officeDocument/2006/relationships/hyperlink" Target="https://doi.org/10.1080/00498254.2019.1586895" TargetMode="External"/><Relationship Id="rId52" Type="http://schemas.openxmlformats.org/officeDocument/2006/relationships/hyperlink" Target="https://doi.org/10.1021/acs.oprd.2c00107" TargetMode="External"/><Relationship Id="rId60" Type="http://schemas.openxmlformats.org/officeDocument/2006/relationships/hyperlink" Target="https://doi.org/10.1016/j.tips.2022.02.002" TargetMode="External"/><Relationship Id="rId65" Type="http://schemas.openxmlformats.org/officeDocument/2006/relationships/hyperlink" Target="https://doi.org/10.1186/s13195-023-01158-2" TargetMode="Externa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hyperlink" Target="https://doi.org/10.1177/1756286420945547" TargetMode="External"/><Relationship Id="rId18" Type="http://schemas.openxmlformats.org/officeDocument/2006/relationships/hyperlink" Target="https://doi.org/10.1002/cbdv.201900493" TargetMode="External"/><Relationship Id="rId39" Type="http://schemas.openxmlformats.org/officeDocument/2006/relationships/hyperlink" Target="https://doi.org/10.1016/j.intimp.2020.106312" TargetMode="External"/><Relationship Id="rId34" Type="http://schemas.openxmlformats.org/officeDocument/2006/relationships/hyperlink" Target="https://doi.org/10.3390/molecules25081832" TargetMode="External"/><Relationship Id="rId50" Type="http://schemas.openxmlformats.org/officeDocument/2006/relationships/hyperlink" Target="https://doi.org/10.1021/acs.jmedchem.0c01718" TargetMode="External"/><Relationship Id="rId55" Type="http://schemas.openxmlformats.org/officeDocument/2006/relationships/hyperlink" Target="https://doi.org/10.1124/dmd.121.00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03A85-9879-44DF-B908-6F0E07AF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6718</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Editor-90</cp:lastModifiedBy>
  <cp:revision>9</cp:revision>
  <dcterms:created xsi:type="dcterms:W3CDTF">2025-07-27T17:44:00Z</dcterms:created>
  <dcterms:modified xsi:type="dcterms:W3CDTF">2025-08-02T12:09:00Z</dcterms:modified>
</cp:coreProperties>
</file>