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F685" w14:textId="7A95E0CC" w:rsidR="002043E6" w:rsidRPr="002043E6" w:rsidRDefault="002043E6" w:rsidP="00BC74FF">
      <w:pPr>
        <w:spacing w:line="480" w:lineRule="auto"/>
        <w:rPr>
          <w:rFonts w:ascii="Times New Roman" w:hAnsi="Times New Roman" w:cs="Times New Roman"/>
          <w:b/>
          <w:bCs/>
          <w:sz w:val="24"/>
          <w:szCs w:val="24"/>
          <w:u w:val="single"/>
        </w:rPr>
      </w:pPr>
      <w:bookmarkStart w:id="0" w:name="_GoBack"/>
      <w:bookmarkEnd w:id="0"/>
      <w:r w:rsidRPr="002043E6">
        <w:rPr>
          <w:rFonts w:ascii="Times New Roman" w:hAnsi="Times New Roman" w:cs="Times New Roman"/>
          <w:b/>
          <w:bCs/>
          <w:sz w:val="24"/>
          <w:szCs w:val="24"/>
          <w:u w:val="single"/>
        </w:rPr>
        <w:t>Review Article</w:t>
      </w:r>
    </w:p>
    <w:p w14:paraId="78AB4D1D" w14:textId="3D8D7367" w:rsidR="002043E6" w:rsidRDefault="00693F3B" w:rsidP="00BC74FF">
      <w:pPr>
        <w:spacing w:line="480" w:lineRule="auto"/>
        <w:rPr>
          <w:rFonts w:ascii="Times New Roman" w:hAnsi="Times New Roman" w:cs="Times New Roman"/>
          <w:b/>
          <w:bCs/>
          <w:sz w:val="24"/>
          <w:szCs w:val="24"/>
        </w:rPr>
      </w:pPr>
      <w:r w:rsidRPr="00693F3B">
        <w:rPr>
          <w:rFonts w:ascii="Times New Roman" w:hAnsi="Times New Roman" w:cs="Times New Roman"/>
          <w:b/>
          <w:bCs/>
          <w:sz w:val="24"/>
          <w:szCs w:val="24"/>
        </w:rPr>
        <w:t>Innovations and Implementation Challenges in Dengue Diagnostics: A 21st Century Perspective on a Neglected Tropical Disease</w:t>
      </w:r>
    </w:p>
    <w:p w14:paraId="5B19797C" w14:textId="3B0B2895" w:rsidR="00D0370C" w:rsidRDefault="00D0370C"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Abstract</w:t>
      </w:r>
    </w:p>
    <w:p w14:paraId="543790A3" w14:textId="77777777" w:rsidR="00E95CB5" w:rsidRPr="00E95CB5" w:rsidRDefault="00E95CB5" w:rsidP="00E95CB5">
      <w:pPr>
        <w:spacing w:line="480" w:lineRule="auto"/>
        <w:rPr>
          <w:rFonts w:ascii="Times New Roman" w:hAnsi="Times New Roman" w:cs="Times New Roman"/>
          <w:sz w:val="24"/>
          <w:szCs w:val="24"/>
        </w:rPr>
      </w:pPr>
      <w:r w:rsidRPr="00E95CB5">
        <w:rPr>
          <w:rFonts w:ascii="Times New Roman" w:hAnsi="Times New Roman" w:cs="Times New Roman"/>
          <w:b/>
          <w:bCs/>
          <w:sz w:val="24"/>
          <w:szCs w:val="24"/>
        </w:rPr>
        <w:t>Background:</w:t>
      </w:r>
      <w:r w:rsidRPr="00E95CB5">
        <w:rPr>
          <w:rFonts w:ascii="Times New Roman" w:hAnsi="Times New Roman" w:cs="Times New Roman"/>
          <w:sz w:val="24"/>
          <w:szCs w:val="24"/>
        </w:rPr>
        <w:br/>
        <w:t>Dengue fever is a rapidly spreading mosquito-borne viral infection and one of the most prevalent neglected tropical diseases (NTDs), affecting over 100 countries and causing an estimated 390 million infections annually. Despite its global impact, dengue remains underfunded and insufficiently prioritized in public health agendas.</w:t>
      </w:r>
    </w:p>
    <w:p w14:paraId="72B4A9C8" w14:textId="77777777" w:rsidR="00E95CB5" w:rsidRPr="00E95CB5" w:rsidRDefault="00E95CB5" w:rsidP="00E95CB5">
      <w:pPr>
        <w:spacing w:line="480" w:lineRule="auto"/>
        <w:rPr>
          <w:rFonts w:ascii="Times New Roman" w:hAnsi="Times New Roman" w:cs="Times New Roman"/>
          <w:sz w:val="24"/>
          <w:szCs w:val="24"/>
        </w:rPr>
      </w:pPr>
      <w:r w:rsidRPr="00E95CB5">
        <w:rPr>
          <w:rFonts w:ascii="Times New Roman" w:hAnsi="Times New Roman" w:cs="Times New Roman"/>
          <w:b/>
          <w:bCs/>
          <w:sz w:val="24"/>
          <w:szCs w:val="24"/>
        </w:rPr>
        <w:t>Objective:</w:t>
      </w:r>
      <w:r w:rsidRPr="00E95CB5">
        <w:rPr>
          <w:rFonts w:ascii="Times New Roman" w:hAnsi="Times New Roman" w:cs="Times New Roman"/>
          <w:sz w:val="24"/>
          <w:szCs w:val="24"/>
        </w:rPr>
        <w:br/>
        <w:t>This review aims to provide a comprehensive overview of recent advancements in dengue diagnostic technologies, assess their clinical and public health relevance, and identify persistent barriers to their implementation, particularly in low-resource settings.</w:t>
      </w:r>
    </w:p>
    <w:p w14:paraId="17E2656E" w14:textId="77777777" w:rsidR="00E95CB5" w:rsidRPr="00E95CB5" w:rsidRDefault="00E95CB5" w:rsidP="00E95CB5">
      <w:pPr>
        <w:spacing w:line="480" w:lineRule="auto"/>
        <w:rPr>
          <w:rFonts w:ascii="Times New Roman" w:hAnsi="Times New Roman" w:cs="Times New Roman"/>
          <w:sz w:val="24"/>
          <w:szCs w:val="24"/>
        </w:rPr>
      </w:pPr>
      <w:r w:rsidRPr="00E95CB5">
        <w:rPr>
          <w:rFonts w:ascii="Times New Roman" w:hAnsi="Times New Roman" w:cs="Times New Roman"/>
          <w:b/>
          <w:bCs/>
          <w:sz w:val="24"/>
          <w:szCs w:val="24"/>
        </w:rPr>
        <w:t>Methods:</w:t>
      </w:r>
      <w:r w:rsidRPr="00E95CB5">
        <w:rPr>
          <w:rFonts w:ascii="Times New Roman" w:hAnsi="Times New Roman" w:cs="Times New Roman"/>
          <w:sz w:val="24"/>
          <w:szCs w:val="24"/>
        </w:rPr>
        <w:br/>
        <w:t>We critically examine current diagnostic modalities—including molecular, antigen-based, and serological tools—by evaluating their sensitivity, specificity, operational feasibility, and suitability for outbreak response. The review also incorporates recent WHO recommendations following the 2024–2025 dengue emergency, during which seven diagnostic products were approved for global use.</w:t>
      </w:r>
    </w:p>
    <w:p w14:paraId="6359E588" w14:textId="77777777" w:rsidR="00E95CB5" w:rsidRPr="00E95CB5" w:rsidRDefault="00E95CB5" w:rsidP="00E95CB5">
      <w:pPr>
        <w:spacing w:line="480" w:lineRule="auto"/>
        <w:rPr>
          <w:rFonts w:ascii="Times New Roman" w:hAnsi="Times New Roman" w:cs="Times New Roman"/>
          <w:sz w:val="24"/>
          <w:szCs w:val="24"/>
        </w:rPr>
      </w:pPr>
      <w:r w:rsidRPr="00E95CB5">
        <w:rPr>
          <w:rFonts w:ascii="Times New Roman" w:hAnsi="Times New Roman" w:cs="Times New Roman"/>
          <w:b/>
          <w:bCs/>
          <w:sz w:val="24"/>
          <w:szCs w:val="24"/>
        </w:rPr>
        <w:t>Findings:</w:t>
      </w:r>
      <w:r w:rsidRPr="00E95CB5">
        <w:rPr>
          <w:rFonts w:ascii="Times New Roman" w:hAnsi="Times New Roman" w:cs="Times New Roman"/>
          <w:sz w:val="24"/>
          <w:szCs w:val="24"/>
        </w:rPr>
        <w:br/>
        <w:t>While significant progress has been made in the development of rapid and accurate diagnostic tools, challenges such as limited access, affordability, and infrastructural constraints continue to hinder widespread adoption. Regional disparities in diagnostic capacity further exacerbate the burden of dengue in vulnerable populations.</w:t>
      </w:r>
    </w:p>
    <w:p w14:paraId="0AC77192" w14:textId="77777777" w:rsidR="00E95CB5" w:rsidRPr="00E95CB5" w:rsidRDefault="00E95CB5" w:rsidP="00E95CB5">
      <w:pPr>
        <w:spacing w:line="480" w:lineRule="auto"/>
        <w:rPr>
          <w:rFonts w:ascii="Times New Roman" w:hAnsi="Times New Roman" w:cs="Times New Roman"/>
          <w:sz w:val="24"/>
          <w:szCs w:val="24"/>
        </w:rPr>
      </w:pPr>
      <w:r w:rsidRPr="00E95CB5">
        <w:rPr>
          <w:rFonts w:ascii="Times New Roman" w:hAnsi="Times New Roman" w:cs="Times New Roman"/>
          <w:b/>
          <w:bCs/>
          <w:sz w:val="24"/>
          <w:szCs w:val="24"/>
        </w:rPr>
        <w:lastRenderedPageBreak/>
        <w:t>Conclusion:</w:t>
      </w:r>
      <w:r w:rsidRPr="00E95CB5">
        <w:rPr>
          <w:rFonts w:ascii="Times New Roman" w:hAnsi="Times New Roman" w:cs="Times New Roman"/>
          <w:sz w:val="24"/>
          <w:szCs w:val="24"/>
        </w:rPr>
        <w:br/>
        <w:t>Addressing the diagnostic gap in dengue requires integrated, equity-driven strategies that prioritize accessibility, affordability, and sustainability. Strengthening diagnostic infrastructure is essential for effective clinical management, timely outbreak containment, and long-term vector control. This review underscores the urgent need for global health systems to elevate dengue diagnostics within broader NTD control frameworks.</w:t>
      </w:r>
    </w:p>
    <w:p w14:paraId="10722731" w14:textId="688FFDF2" w:rsidR="00BA0A32" w:rsidRPr="00BC74FF" w:rsidRDefault="00BC74FF" w:rsidP="00BC74FF">
      <w:pPr>
        <w:spacing w:line="480" w:lineRule="auto"/>
        <w:rPr>
          <w:rFonts w:ascii="Times New Roman" w:hAnsi="Times New Roman" w:cs="Times New Roman"/>
          <w:sz w:val="24"/>
          <w:szCs w:val="24"/>
        </w:rPr>
      </w:pPr>
      <w:r>
        <w:rPr>
          <w:rFonts w:ascii="Times New Roman" w:hAnsi="Times New Roman" w:cs="Times New Roman"/>
          <w:b/>
          <w:bCs/>
          <w:sz w:val="24"/>
          <w:szCs w:val="24"/>
        </w:rPr>
        <w:t>Keywords</w:t>
      </w:r>
      <w:r w:rsidRPr="00BC74FF">
        <w:rPr>
          <w:rFonts w:ascii="Times New Roman" w:hAnsi="Times New Roman" w:cs="Times New Roman"/>
          <w:sz w:val="24"/>
          <w:szCs w:val="24"/>
        </w:rPr>
        <w:t>: Dengue virus, Neglected tropical diseases, Diagnostic innovation, Point-of-care diagnostics, Molecular diagnostic techniques, Global health disparities, Infectious disease surveillance</w:t>
      </w:r>
      <w:r w:rsidR="00F86642">
        <w:rPr>
          <w:rFonts w:ascii="Times New Roman" w:hAnsi="Times New Roman" w:cs="Times New Roman"/>
          <w:sz w:val="24"/>
          <w:szCs w:val="24"/>
        </w:rPr>
        <w:t>,</w:t>
      </w:r>
      <w:r w:rsidR="00F86642" w:rsidRPr="00F86642">
        <w:rPr>
          <w:rFonts w:ascii="Times New Roman" w:eastAsia="Times New Roman" w:hAnsi="Times New Roman" w:cs="Times New Roman"/>
          <w:kern w:val="0"/>
          <w:sz w:val="20"/>
          <w:szCs w:val="20"/>
          <w:lang w:val="en-GB"/>
          <w14:ligatures w14:val="none"/>
        </w:rPr>
        <w:t xml:space="preserve"> </w:t>
      </w:r>
      <w:r w:rsidR="00F86642" w:rsidRPr="00F86642">
        <w:rPr>
          <w:rFonts w:ascii="Times New Roman" w:hAnsi="Times New Roman" w:cs="Times New Roman"/>
          <w:sz w:val="24"/>
          <w:szCs w:val="24"/>
          <w:lang w:val="en-GB"/>
        </w:rPr>
        <w:t xml:space="preserve">Equity in diagnostics </w:t>
      </w:r>
      <w:r w:rsidR="00F86642">
        <w:rPr>
          <w:rFonts w:ascii="Times New Roman" w:hAnsi="Times New Roman" w:cs="Times New Roman"/>
          <w:sz w:val="24"/>
          <w:szCs w:val="24"/>
          <w:lang w:val="en-GB"/>
        </w:rPr>
        <w:t xml:space="preserve">, Equity in </w:t>
      </w:r>
      <w:r w:rsidR="00F86642" w:rsidRPr="00F86642">
        <w:rPr>
          <w:rFonts w:ascii="Times New Roman" w:hAnsi="Times New Roman" w:cs="Times New Roman"/>
          <w:sz w:val="24"/>
          <w:szCs w:val="24"/>
          <w:lang w:val="en-GB"/>
        </w:rPr>
        <w:t>Health systems</w:t>
      </w:r>
    </w:p>
    <w:p w14:paraId="1E635150" w14:textId="2EB72049"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Introduction</w:t>
      </w:r>
    </w:p>
    <w:p w14:paraId="1FE500EF" w14:textId="68F65D45" w:rsidR="00A86C89" w:rsidRPr="00EC5A5F"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Dengue fever is a viral illness transmitted by </w:t>
      </w:r>
      <w:r w:rsidRPr="001D227E">
        <w:rPr>
          <w:rFonts w:ascii="Times New Roman" w:hAnsi="Times New Roman" w:cs="Times New Roman"/>
          <w:i/>
          <w:iCs/>
          <w:sz w:val="24"/>
          <w:szCs w:val="24"/>
        </w:rPr>
        <w:t>Aedes</w:t>
      </w:r>
      <w:r w:rsidRPr="001D227E">
        <w:rPr>
          <w:rFonts w:ascii="Times New Roman" w:hAnsi="Times New Roman" w:cs="Times New Roman"/>
          <w:sz w:val="24"/>
          <w:szCs w:val="24"/>
        </w:rPr>
        <w:t> mosquitoes and classified among the most burdensome neglected tropical diseases (NTDs)</w:t>
      </w:r>
      <w:r w:rsidR="00FE4BCA" w:rsidRPr="00FE4BCA">
        <w:rPr>
          <w:rFonts w:ascii="Times New Roman" w:hAnsi="Times New Roman" w:cs="Times New Roman"/>
          <w:sz w:val="24"/>
          <w:szCs w:val="24"/>
          <w:vertAlign w:val="superscript"/>
        </w:rPr>
        <w:t>[</w:t>
      </w:r>
      <w:r w:rsidR="00C0442F" w:rsidRPr="00FE4BCA">
        <w:rPr>
          <w:rFonts w:ascii="Times New Roman" w:hAnsi="Times New Roman" w:cs="Times New Roman"/>
          <w:sz w:val="24"/>
          <w:szCs w:val="24"/>
          <w:vertAlign w:val="superscript"/>
        </w:rPr>
        <w:t>1</w:t>
      </w:r>
      <w:r w:rsidR="00FE4BCA">
        <w:rPr>
          <w:rFonts w:ascii="Times New Roman" w:hAnsi="Times New Roman" w:cs="Times New Roman"/>
          <w:sz w:val="24"/>
          <w:szCs w:val="24"/>
          <w:vertAlign w:val="superscript"/>
        </w:rPr>
        <w:t>]</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 xml:space="preserve">. </w:t>
      </w:r>
      <w:r w:rsidRPr="001D227E">
        <w:rPr>
          <w:rFonts w:ascii="Times New Roman" w:hAnsi="Times New Roman" w:cs="Times New Roman"/>
          <w:sz w:val="24"/>
          <w:szCs w:val="24"/>
        </w:rPr>
        <w:t>It affect</w:t>
      </w:r>
      <w:r w:rsidR="00C0442F" w:rsidRPr="001D227E">
        <w:rPr>
          <w:rFonts w:ascii="Times New Roman" w:hAnsi="Times New Roman" w:cs="Times New Roman"/>
          <w:sz w:val="24"/>
          <w:szCs w:val="24"/>
        </w:rPr>
        <w:t>ed</w:t>
      </w:r>
      <w:r w:rsidRPr="001D227E">
        <w:rPr>
          <w:rFonts w:ascii="Times New Roman" w:hAnsi="Times New Roman" w:cs="Times New Roman"/>
          <w:sz w:val="24"/>
          <w:szCs w:val="24"/>
        </w:rPr>
        <w:t xml:space="preserve"> an estimated </w:t>
      </w:r>
      <w:r w:rsidR="00C0442F" w:rsidRPr="001D227E">
        <w:rPr>
          <w:rFonts w:ascii="Times New Roman" w:hAnsi="Times New Roman" w:cs="Times New Roman"/>
          <w:sz w:val="24"/>
          <w:szCs w:val="24"/>
        </w:rPr>
        <w:t>14,284,310</w:t>
      </w:r>
      <w:r w:rsidRPr="001D227E">
        <w:rPr>
          <w:rFonts w:ascii="Times New Roman" w:hAnsi="Times New Roman" w:cs="Times New Roman"/>
          <w:sz w:val="24"/>
          <w:szCs w:val="24"/>
        </w:rPr>
        <w:t xml:space="preserve"> people </w:t>
      </w:r>
      <w:r w:rsidR="00C0442F" w:rsidRPr="001D227E">
        <w:rPr>
          <w:rFonts w:ascii="Times New Roman" w:hAnsi="Times New Roman" w:cs="Times New Roman"/>
          <w:sz w:val="24"/>
          <w:szCs w:val="24"/>
        </w:rPr>
        <w:t>in 2024</w:t>
      </w:r>
      <w:r w:rsidRPr="001D227E">
        <w:rPr>
          <w:rFonts w:ascii="Times New Roman" w:hAnsi="Times New Roman" w:cs="Times New Roman"/>
          <w:sz w:val="24"/>
          <w:szCs w:val="24"/>
        </w:rPr>
        <w:t xml:space="preserve">, with </w:t>
      </w:r>
      <w:r w:rsidR="00C0442F" w:rsidRPr="001D227E">
        <w:rPr>
          <w:rFonts w:ascii="Times New Roman" w:hAnsi="Times New Roman" w:cs="Times New Roman"/>
          <w:sz w:val="24"/>
          <w:szCs w:val="24"/>
        </w:rPr>
        <w:t>majority</w:t>
      </w:r>
      <w:r w:rsidRPr="001D227E">
        <w:rPr>
          <w:rFonts w:ascii="Times New Roman" w:hAnsi="Times New Roman" w:cs="Times New Roman"/>
          <w:sz w:val="24"/>
          <w:szCs w:val="24"/>
        </w:rPr>
        <w:t xml:space="preserve"> experiencing symptomatic illness</w:t>
      </w:r>
      <w:r w:rsidR="00FE4BCA">
        <w:rPr>
          <w:rFonts w:ascii="Times New Roman" w:hAnsi="Times New Roman" w:cs="Times New Roman"/>
          <w:sz w:val="24"/>
          <w:szCs w:val="24"/>
        </w:rPr>
        <w:t xml:space="preserve"> </w:t>
      </w:r>
      <w:r w:rsidR="00FE4BCA" w:rsidRPr="00FE4BCA">
        <w:rPr>
          <w:rFonts w:ascii="Times New Roman" w:hAnsi="Times New Roman" w:cs="Times New Roman"/>
          <w:sz w:val="24"/>
          <w:szCs w:val="24"/>
          <w:vertAlign w:val="superscript"/>
        </w:rPr>
        <w:t>[</w:t>
      </w:r>
      <w:r w:rsidR="00C0442F" w:rsidRPr="00FE4BCA">
        <w:rPr>
          <w:rFonts w:ascii="Times New Roman" w:hAnsi="Times New Roman" w:cs="Times New Roman"/>
          <w:sz w:val="24"/>
          <w:szCs w:val="24"/>
          <w:vertAlign w:val="superscript"/>
        </w:rPr>
        <w:t>2</w:t>
      </w:r>
      <w:r w:rsidR="00FE4BCA" w:rsidRPr="00FE4BCA">
        <w:rPr>
          <w:rFonts w:ascii="Times New Roman" w:hAnsi="Times New Roman" w:cs="Times New Roman"/>
          <w:sz w:val="24"/>
          <w:szCs w:val="24"/>
          <w:vertAlign w:val="superscript"/>
        </w:rPr>
        <w:t>]</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 xml:space="preserve">. </w:t>
      </w:r>
      <w:r w:rsidRPr="001D227E">
        <w:rPr>
          <w:rFonts w:ascii="Times New Roman" w:hAnsi="Times New Roman" w:cs="Times New Roman"/>
          <w:sz w:val="24"/>
          <w:szCs w:val="24"/>
        </w:rPr>
        <w:t>The disease is endemic in over 100 countries, primarily in tropical and subtropical regions where poverty, inadequate infrastructure, and limited access to healthcare exacerbate its impact. Despite its growing incidence and potential for explosive outbreaks, dengue receives disproportionately low attention in global health funding and policy—hallmarks of an NTD</w:t>
      </w:r>
      <w:r w:rsidR="00FE4BCA">
        <w:rPr>
          <w:rFonts w:ascii="Times New Roman" w:hAnsi="Times New Roman" w:cs="Times New Roman"/>
          <w:sz w:val="24"/>
          <w:szCs w:val="24"/>
        </w:rPr>
        <w:t xml:space="preserve"> </w:t>
      </w:r>
      <w:r w:rsidR="00FE4BCA" w:rsidRPr="00FE4BCA">
        <w:rPr>
          <w:rFonts w:ascii="Times New Roman" w:hAnsi="Times New Roman" w:cs="Times New Roman"/>
          <w:sz w:val="24"/>
          <w:szCs w:val="24"/>
          <w:vertAlign w:val="superscript"/>
        </w:rPr>
        <w:t>[</w:t>
      </w:r>
      <w:r w:rsidR="00C0442F" w:rsidRPr="00FE4BCA">
        <w:rPr>
          <w:rFonts w:ascii="Times New Roman" w:hAnsi="Times New Roman" w:cs="Times New Roman"/>
          <w:sz w:val="24"/>
          <w:szCs w:val="24"/>
          <w:vertAlign w:val="superscript"/>
        </w:rPr>
        <w:t>3</w:t>
      </w:r>
      <w:r w:rsidR="00FE4BCA" w:rsidRPr="00FE4BCA">
        <w:rPr>
          <w:rFonts w:ascii="Times New Roman" w:hAnsi="Times New Roman" w:cs="Times New Roman"/>
          <w:sz w:val="24"/>
          <w:szCs w:val="24"/>
          <w:vertAlign w:val="superscript"/>
        </w:rPr>
        <w:t>]</w:t>
      </w:r>
      <w:r w:rsidR="00EC5A5F">
        <w:rPr>
          <w:rFonts w:ascii="Times New Roman" w:hAnsi="Times New Roman" w:cs="Times New Roman"/>
          <w:sz w:val="24"/>
          <w:szCs w:val="24"/>
        </w:rPr>
        <w:t xml:space="preserve">. </w:t>
      </w:r>
    </w:p>
    <w:p w14:paraId="046F8147" w14:textId="18594B14" w:rsidR="00A54169"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As with many NTDs, the burden of dengue falls heaviest on marginalized populations with limited access to timely diagnosis and care. </w:t>
      </w:r>
      <w:r w:rsidR="00A54169" w:rsidRPr="001D227E">
        <w:rPr>
          <w:rFonts w:ascii="Times New Roman" w:hAnsi="Times New Roman" w:cs="Times New Roman"/>
          <w:sz w:val="24"/>
          <w:szCs w:val="24"/>
        </w:rPr>
        <w:t xml:space="preserve">The interplay of environmental, sociological, and climatic factors has exacerbated the propagation of the dengue virus (DENV) and precipitated a global emergency. Accelerated and unregulated urbanization, increased population movement, overcrowded cities lacking sufficient public health infrastructure, and the revival of global travel following the coronavirus disease (COVID-19) pandemic have worsened the situation. Climate change, in conjunction with the El Niño phenomenon, has led to modified </w:t>
      </w:r>
      <w:r w:rsidR="00A54169" w:rsidRPr="001D227E">
        <w:rPr>
          <w:rFonts w:ascii="Times New Roman" w:hAnsi="Times New Roman" w:cs="Times New Roman"/>
          <w:sz w:val="24"/>
          <w:szCs w:val="24"/>
        </w:rPr>
        <w:lastRenderedPageBreak/>
        <w:t>precipitation patterns, heightened humidity and drought, and increasing temperatures, all of which facilitate the spawning and proliferation of mosquitoes</w:t>
      </w:r>
      <w:r w:rsidR="00EC5A5F">
        <w:rPr>
          <w:rFonts w:ascii="Times New Roman" w:hAnsi="Times New Roman" w:cs="Times New Roman"/>
          <w:sz w:val="24"/>
          <w:szCs w:val="24"/>
        </w:rPr>
        <w:t xml:space="preserve"> </w:t>
      </w:r>
      <w:r w:rsidR="00EC5A5F">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4</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 xml:space="preserve">. </w:t>
      </w:r>
      <w:r w:rsidR="00A54169" w:rsidRPr="001D227E">
        <w:rPr>
          <w:rFonts w:ascii="Times New Roman" w:hAnsi="Times New Roman" w:cs="Times New Roman"/>
          <w:sz w:val="24"/>
          <w:szCs w:val="24"/>
        </w:rPr>
        <w:t xml:space="preserve"> The expanding distribution of the mosquito vector elevates the probability of DENV transmission in new geographical regions</w:t>
      </w:r>
      <w:r w:rsidR="005B0DF3">
        <w:rPr>
          <w:rFonts w:ascii="Times New Roman" w:hAnsi="Times New Roman" w:cs="Times New Roman"/>
          <w:sz w:val="24"/>
          <w:szCs w:val="24"/>
        </w:rPr>
        <w:t xml:space="preserve"> </w:t>
      </w:r>
      <w:r w:rsidR="005B0DF3">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1</w:t>
      </w:r>
      <w:r w:rsidR="005B0DF3">
        <w:rPr>
          <w:rFonts w:ascii="Times New Roman" w:hAnsi="Times New Roman" w:cs="Times New Roman"/>
          <w:sz w:val="24"/>
          <w:szCs w:val="24"/>
          <w:vertAlign w:val="superscript"/>
        </w:rPr>
        <w:t>]</w:t>
      </w:r>
      <w:r w:rsidR="005B0DF3">
        <w:rPr>
          <w:rFonts w:ascii="Times New Roman" w:hAnsi="Times New Roman" w:cs="Times New Roman"/>
          <w:sz w:val="24"/>
          <w:szCs w:val="24"/>
        </w:rPr>
        <w:t xml:space="preserve">. </w:t>
      </w:r>
      <w:r w:rsidR="00A54169" w:rsidRPr="001D227E">
        <w:rPr>
          <w:rFonts w:ascii="Times New Roman" w:hAnsi="Times New Roman" w:cs="Times New Roman"/>
          <w:sz w:val="24"/>
          <w:szCs w:val="24"/>
        </w:rPr>
        <w:t xml:space="preserve"> Moreover, complex humanitarian issues caused by political and financial instability have weakened health systems, destroyed healthcare infrastructure, and delayed access to medical care, thereby worsening the effects of dengue</w:t>
      </w:r>
      <w:r w:rsidR="00EC5A5F">
        <w:rPr>
          <w:rFonts w:ascii="Times New Roman" w:hAnsi="Times New Roman" w:cs="Times New Roman"/>
          <w:sz w:val="24"/>
          <w:szCs w:val="24"/>
        </w:rPr>
        <w:t xml:space="preserve"> </w:t>
      </w:r>
      <w:r w:rsidR="00EC5A5F" w:rsidRPr="00EC5A5F">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5</w:t>
      </w:r>
      <w:r w:rsidR="00EC5A5F">
        <w:rPr>
          <w:rFonts w:ascii="Times New Roman" w:hAnsi="Times New Roman" w:cs="Times New Roman"/>
          <w:sz w:val="24"/>
          <w:szCs w:val="24"/>
          <w:vertAlign w:val="superscript"/>
        </w:rPr>
        <w:t xml:space="preserve">] </w:t>
      </w:r>
      <w:r w:rsidR="00EC5A5F">
        <w:rPr>
          <w:rFonts w:ascii="Times New Roman" w:hAnsi="Times New Roman" w:cs="Times New Roman"/>
          <w:sz w:val="24"/>
          <w:szCs w:val="24"/>
        </w:rPr>
        <w:t>.</w:t>
      </w:r>
      <w:r w:rsidR="00A54169" w:rsidRPr="001D227E">
        <w:rPr>
          <w:rFonts w:ascii="Times New Roman" w:hAnsi="Times New Roman" w:cs="Times New Roman"/>
          <w:sz w:val="24"/>
          <w:szCs w:val="24"/>
          <w:vertAlign w:val="superscript"/>
        </w:rPr>
        <w:t xml:space="preserve"> </w:t>
      </w:r>
      <w:r w:rsidR="00A54169" w:rsidRPr="001D227E">
        <w:rPr>
          <w:rFonts w:ascii="Times New Roman" w:hAnsi="Times New Roman" w:cs="Times New Roman"/>
          <w:sz w:val="24"/>
          <w:szCs w:val="24"/>
        </w:rPr>
        <w:t xml:space="preserve">The presence of multiple DENV serotypes and poor control of mosquito populations has increased the chances of severe dengue cases and higher death rates from secondary infections. </w:t>
      </w:r>
      <w:r w:rsidR="00A54169" w:rsidRPr="001D227E">
        <w:rPr>
          <w:rFonts w:ascii="Times New Roman" w:hAnsi="Times New Roman" w:cs="Times New Roman"/>
          <w:sz w:val="24"/>
          <w:szCs w:val="24"/>
        </w:rPr>
        <w:br/>
        <w:t xml:space="preserve">The concurrent spread of DENV and other arboviruses exacerbates the situation in numerous areas. Dengue, chikungunya, and Zika viruses, all vectored by Aedes mosquitoes, exhibit overlapping geographical distributions and clinical presentations, complicating the detection and management of outbreaks. Moreover, antibodies generated following exposure to one </w:t>
      </w:r>
      <w:r w:rsidR="00E52400" w:rsidRPr="001D227E">
        <w:rPr>
          <w:rFonts w:ascii="Times New Roman" w:hAnsi="Times New Roman" w:cs="Times New Roman"/>
          <w:sz w:val="24"/>
          <w:szCs w:val="24"/>
        </w:rPr>
        <w:t>Ortho flavivirus</w:t>
      </w:r>
      <w:r w:rsidR="00A54169" w:rsidRPr="001D227E">
        <w:rPr>
          <w:rFonts w:ascii="Times New Roman" w:hAnsi="Times New Roman" w:cs="Times New Roman"/>
          <w:sz w:val="24"/>
          <w:szCs w:val="24"/>
        </w:rPr>
        <w:t xml:space="preserve"> may exhibit cross-reactivity with antigens of other genus members, hence influencing the diagnostic interpretation of serological assays </w:t>
      </w:r>
      <w:r w:rsidR="002A0D48" w:rsidRPr="002A0D48">
        <w:rPr>
          <w:rFonts w:ascii="Times New Roman" w:hAnsi="Times New Roman" w:cs="Times New Roman"/>
          <w:sz w:val="24"/>
          <w:szCs w:val="24"/>
          <w:vertAlign w:val="superscript"/>
        </w:rPr>
        <w:t>[</w:t>
      </w:r>
      <w:r w:rsidR="00A54169" w:rsidRPr="002A0D48">
        <w:rPr>
          <w:rFonts w:ascii="Times New Roman" w:hAnsi="Times New Roman" w:cs="Times New Roman"/>
          <w:sz w:val="24"/>
          <w:szCs w:val="24"/>
          <w:vertAlign w:val="superscript"/>
        </w:rPr>
        <w:t>6</w:t>
      </w:r>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r w:rsidR="00A54169" w:rsidRPr="001D227E">
        <w:rPr>
          <w:rFonts w:ascii="Times New Roman" w:hAnsi="Times New Roman" w:cs="Times New Roman"/>
          <w:sz w:val="24"/>
          <w:szCs w:val="24"/>
          <w:vertAlign w:val="superscript"/>
        </w:rPr>
        <w:t xml:space="preserve"> </w:t>
      </w:r>
      <w:r w:rsidR="00A54169" w:rsidRPr="001D227E">
        <w:rPr>
          <w:rFonts w:ascii="Times New Roman" w:hAnsi="Times New Roman" w:cs="Times New Roman"/>
          <w:sz w:val="24"/>
          <w:szCs w:val="24"/>
        </w:rPr>
        <w:t xml:space="preserve"> Moreover, other non-</w:t>
      </w:r>
      <w:r w:rsidR="00E52400" w:rsidRPr="001D227E">
        <w:rPr>
          <w:rFonts w:ascii="Times New Roman" w:hAnsi="Times New Roman" w:cs="Times New Roman"/>
          <w:sz w:val="24"/>
          <w:szCs w:val="24"/>
        </w:rPr>
        <w:t>Ortho flaviviruses</w:t>
      </w:r>
      <w:r w:rsidR="00A54169" w:rsidRPr="001D227E">
        <w:rPr>
          <w:rFonts w:ascii="Times New Roman" w:hAnsi="Times New Roman" w:cs="Times New Roman"/>
          <w:sz w:val="24"/>
          <w:szCs w:val="24"/>
        </w:rPr>
        <w:t xml:space="preserve">, like </w:t>
      </w:r>
      <w:proofErr w:type="spellStart"/>
      <w:r w:rsidR="00A54169" w:rsidRPr="001D227E">
        <w:rPr>
          <w:rFonts w:ascii="Times New Roman" w:hAnsi="Times New Roman" w:cs="Times New Roman"/>
          <w:sz w:val="24"/>
          <w:szCs w:val="24"/>
        </w:rPr>
        <w:t>Oropouche</w:t>
      </w:r>
      <w:proofErr w:type="spellEnd"/>
      <w:r w:rsidR="00A54169" w:rsidRPr="001D227E">
        <w:rPr>
          <w:rFonts w:ascii="Times New Roman" w:hAnsi="Times New Roman" w:cs="Times New Roman"/>
          <w:sz w:val="24"/>
          <w:szCs w:val="24"/>
        </w:rPr>
        <w:t xml:space="preserve"> virus, present symptoms similar to dengue </w:t>
      </w:r>
      <w:r w:rsid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7</w:t>
      </w:r>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r w:rsidR="00A54169" w:rsidRPr="001D227E">
        <w:rPr>
          <w:rFonts w:ascii="Times New Roman" w:hAnsi="Times New Roman" w:cs="Times New Roman"/>
          <w:sz w:val="24"/>
          <w:szCs w:val="24"/>
        </w:rPr>
        <w:br/>
        <w:t>Due to the similarities in clinical presentation, it is crucial to develop testing methodologies and diagnostic capabilities to distinguish DENV from other co-circulating viruses. Laboratory-based and point-of-care diagnostics are essential for the control and management of dengue; nevertheless, global inequalities in laboratory capabilities pose considerable problems. The diagnostic algorithms, testing procedures, and methodologies utilized differ based on the capabilities of national laboratory systems. Additionally, dengue testing methods are not approved by WHO, and the various tests available—like nucleic acid amplification tests (NAATs), enzyme-linked immunosorbent assays (ELISAs), and rapid diagnostic tests (RDTs)—show significant differences in quality and effectiveness</w:t>
      </w:r>
      <w:r w:rsidR="002A0D48">
        <w:rPr>
          <w:rFonts w:ascii="Times New Roman" w:hAnsi="Times New Roman" w:cs="Times New Roman"/>
          <w:sz w:val="24"/>
          <w:szCs w:val="24"/>
        </w:rPr>
        <w:t xml:space="preserve"> </w:t>
      </w:r>
      <w:r w:rsidR="002A0D48" w:rsidRPr="002A0D48">
        <w:rPr>
          <w:rFonts w:ascii="Times New Roman" w:hAnsi="Times New Roman" w:cs="Times New Roman"/>
          <w:sz w:val="24"/>
          <w:szCs w:val="24"/>
          <w:vertAlign w:val="superscript"/>
        </w:rPr>
        <w:t>[</w:t>
      </w:r>
      <w:r w:rsidR="00A54169" w:rsidRPr="002A0D48">
        <w:rPr>
          <w:rFonts w:ascii="Times New Roman" w:hAnsi="Times New Roman" w:cs="Times New Roman"/>
          <w:sz w:val="24"/>
          <w:szCs w:val="24"/>
          <w:vertAlign w:val="superscript"/>
        </w:rPr>
        <w:t>1</w:t>
      </w:r>
      <w:r w:rsidR="002A0D48" w:rsidRP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rPr>
        <w:t xml:space="preserve"> </w:t>
      </w:r>
      <w:r w:rsidR="002A0D48">
        <w:rPr>
          <w:rFonts w:ascii="Times New Roman" w:hAnsi="Times New Roman" w:cs="Times New Roman"/>
          <w:sz w:val="24"/>
          <w:szCs w:val="24"/>
        </w:rPr>
        <w:t xml:space="preserve">. </w:t>
      </w:r>
      <w:r w:rsidR="00A54169" w:rsidRPr="001D227E">
        <w:rPr>
          <w:rFonts w:ascii="Times New Roman" w:hAnsi="Times New Roman" w:cs="Times New Roman"/>
          <w:sz w:val="24"/>
          <w:szCs w:val="24"/>
        </w:rPr>
        <w:t xml:space="preserve">This variability affects </w:t>
      </w:r>
      <w:r w:rsidR="00A54169" w:rsidRPr="001D227E">
        <w:rPr>
          <w:rFonts w:ascii="Times New Roman" w:hAnsi="Times New Roman" w:cs="Times New Roman"/>
          <w:sz w:val="24"/>
          <w:szCs w:val="24"/>
        </w:rPr>
        <w:lastRenderedPageBreak/>
        <w:t>the selection and implementation of precise diagnostic assays, especially in resource-constrained environments; hence, it exacerbates the detection and diagnosis of dengue</w:t>
      </w:r>
      <w:r w:rsidR="002A0D48">
        <w:rPr>
          <w:rFonts w:ascii="Times New Roman" w:hAnsi="Times New Roman" w:cs="Times New Roman"/>
          <w:sz w:val="24"/>
          <w:szCs w:val="24"/>
        </w:rPr>
        <w:t xml:space="preserve"> </w:t>
      </w:r>
      <w:r w:rsidR="002A0D48">
        <w:rPr>
          <w:rFonts w:ascii="Times New Roman" w:hAnsi="Times New Roman" w:cs="Times New Roman"/>
          <w:sz w:val="24"/>
          <w:szCs w:val="24"/>
          <w:vertAlign w:val="superscript"/>
        </w:rPr>
        <w:t>[</w:t>
      </w:r>
      <w:r w:rsidR="00A54169" w:rsidRPr="001D227E">
        <w:rPr>
          <w:rFonts w:ascii="Times New Roman" w:hAnsi="Times New Roman" w:cs="Times New Roman"/>
          <w:sz w:val="24"/>
          <w:szCs w:val="24"/>
          <w:vertAlign w:val="superscript"/>
        </w:rPr>
        <w:t>8</w:t>
      </w:r>
      <w:r w:rsidR="002A0D48">
        <w:rPr>
          <w:rFonts w:ascii="Times New Roman" w:hAnsi="Times New Roman" w:cs="Times New Roman"/>
          <w:sz w:val="24"/>
          <w:szCs w:val="24"/>
          <w:vertAlign w:val="superscript"/>
        </w:rPr>
        <w:t xml:space="preserve">] </w:t>
      </w:r>
      <w:r w:rsidR="002A0D48">
        <w:rPr>
          <w:rFonts w:ascii="Times New Roman" w:hAnsi="Times New Roman" w:cs="Times New Roman"/>
          <w:sz w:val="24"/>
          <w:szCs w:val="24"/>
        </w:rPr>
        <w:t>.</w:t>
      </w:r>
      <w:r w:rsidR="001C46F6">
        <w:rPr>
          <w:rFonts w:ascii="Times New Roman" w:hAnsi="Times New Roman" w:cs="Times New Roman"/>
          <w:sz w:val="24"/>
          <w:szCs w:val="24"/>
        </w:rPr>
        <w:t xml:space="preserve"> </w:t>
      </w:r>
    </w:p>
    <w:p w14:paraId="44DD8B05" w14:textId="6758C0B5" w:rsidR="001C46F6" w:rsidRPr="002A0D48" w:rsidRDefault="001C46F6" w:rsidP="00BC74FF">
      <w:pPr>
        <w:spacing w:line="480" w:lineRule="auto"/>
        <w:rPr>
          <w:rFonts w:ascii="Times New Roman" w:hAnsi="Times New Roman" w:cs="Times New Roman"/>
          <w:sz w:val="24"/>
          <w:szCs w:val="24"/>
        </w:rPr>
      </w:pPr>
      <w:r w:rsidRPr="00424E59">
        <w:rPr>
          <w:rFonts w:ascii="Times New Roman" w:hAnsi="Times New Roman" w:cs="Times New Roman"/>
          <w:sz w:val="24"/>
          <w:szCs w:val="24"/>
        </w:rPr>
        <w:t>In response to the escalating crisis</w:t>
      </w:r>
      <w:r>
        <w:rPr>
          <w:rFonts w:ascii="Times New Roman" w:hAnsi="Times New Roman" w:cs="Times New Roman"/>
          <w:sz w:val="24"/>
          <w:szCs w:val="24"/>
        </w:rPr>
        <w:t xml:space="preserve"> in 2024-25</w:t>
      </w:r>
      <w:r w:rsidRPr="00424E59">
        <w:rPr>
          <w:rFonts w:ascii="Times New Roman" w:hAnsi="Times New Roman" w:cs="Times New Roman"/>
          <w:sz w:val="24"/>
          <w:szCs w:val="24"/>
        </w:rPr>
        <w:t xml:space="preserve">, the World Health Organization (WHO) activated its Expert Review Panel for Diagnostics (ERPD) in </w:t>
      </w:r>
      <w:r>
        <w:rPr>
          <w:rFonts w:ascii="Times New Roman" w:hAnsi="Times New Roman" w:cs="Times New Roman"/>
          <w:sz w:val="24"/>
          <w:szCs w:val="24"/>
        </w:rPr>
        <w:t xml:space="preserve"> May </w:t>
      </w:r>
      <w:r w:rsidRPr="00424E59">
        <w:rPr>
          <w:rFonts w:ascii="Times New Roman" w:hAnsi="Times New Roman" w:cs="Times New Roman"/>
          <w:sz w:val="24"/>
          <w:szCs w:val="24"/>
        </w:rPr>
        <w:t>2025. This emergency mechanism, coordinated by WHO’s Health Emergencies and Neglected Tropical Diseases Programmes, evaluated in vitro diagnostic (IVD) tools not yet prequalified or stringently reviewed. As a result, seven diagnostic products were listed for one-year use to support evidence-based procurement and strengthen the global response</w:t>
      </w:r>
      <w:r>
        <w:rPr>
          <w:rFonts w:ascii="Times New Roman" w:hAnsi="Times New Roman" w:cs="Times New Roman"/>
          <w:sz w:val="24"/>
          <w:szCs w:val="24"/>
        </w:rPr>
        <w:t xml:space="preserve"> </w:t>
      </w:r>
      <w:r w:rsidRPr="001C46F6">
        <w:rPr>
          <w:rFonts w:ascii="Times New Roman" w:hAnsi="Times New Roman" w:cs="Times New Roman"/>
          <w:sz w:val="24"/>
          <w:szCs w:val="24"/>
          <w:vertAlign w:val="superscript"/>
        </w:rPr>
        <w:t>[9]</w:t>
      </w:r>
      <w:r w:rsidRPr="00424E59">
        <w:rPr>
          <w:rFonts w:ascii="Times New Roman" w:hAnsi="Times New Roman" w:cs="Times New Roman"/>
          <w:sz w:val="24"/>
          <w:szCs w:val="24"/>
        </w:rPr>
        <w:t>.</w:t>
      </w:r>
    </w:p>
    <w:p w14:paraId="5AC45B87" w14:textId="7041E3E6" w:rsidR="00954D20" w:rsidRPr="001D227E" w:rsidRDefault="00A86C89"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This review examines the current landscape of dengue diagnostics through the lens of neglected disease equity, highlighting recent technological advances, implementation challenges, and opportunities for global health reform.</w:t>
      </w:r>
    </w:p>
    <w:p w14:paraId="562E65A6" w14:textId="77777777" w:rsidR="00FD2703" w:rsidRDefault="00FD2703" w:rsidP="00BC74FF">
      <w:pPr>
        <w:spacing w:line="480" w:lineRule="auto"/>
        <w:rPr>
          <w:rFonts w:ascii="Times New Roman" w:hAnsi="Times New Roman" w:cs="Times New Roman"/>
          <w:b/>
          <w:bCs/>
          <w:sz w:val="24"/>
          <w:szCs w:val="24"/>
        </w:rPr>
      </w:pPr>
    </w:p>
    <w:p w14:paraId="587DCF4F" w14:textId="77777777" w:rsidR="00FD2703" w:rsidRDefault="00FD2703" w:rsidP="00BC74FF">
      <w:pPr>
        <w:spacing w:line="480" w:lineRule="auto"/>
        <w:rPr>
          <w:rFonts w:ascii="Times New Roman" w:hAnsi="Times New Roman" w:cs="Times New Roman"/>
          <w:b/>
          <w:bCs/>
          <w:sz w:val="24"/>
          <w:szCs w:val="24"/>
        </w:rPr>
      </w:pPr>
    </w:p>
    <w:p w14:paraId="01A1CE77" w14:textId="4CFE7290"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Dengue Virus and Transmission</w:t>
      </w:r>
    </w:p>
    <w:p w14:paraId="37E534B4" w14:textId="6540D134" w:rsidR="00F909FD" w:rsidRPr="00D77E0C" w:rsidRDefault="00A54169" w:rsidP="00BC74FF">
      <w:pPr>
        <w:spacing w:line="480" w:lineRule="auto"/>
        <w:rPr>
          <w:rFonts w:ascii="Times New Roman" w:hAnsi="Times New Roman" w:cs="Times New Roman"/>
          <w:sz w:val="24"/>
          <w:szCs w:val="24"/>
        </w:rPr>
      </w:pPr>
      <w:r w:rsidRPr="00A54169">
        <w:rPr>
          <w:rFonts w:ascii="Times New Roman" w:hAnsi="Times New Roman" w:cs="Times New Roman"/>
          <w:sz w:val="24"/>
          <w:szCs w:val="24"/>
        </w:rPr>
        <w:t xml:space="preserve">DENV, a member of the </w:t>
      </w:r>
      <w:r w:rsidR="00E52400" w:rsidRPr="00A54169">
        <w:rPr>
          <w:rFonts w:ascii="Times New Roman" w:hAnsi="Times New Roman" w:cs="Times New Roman"/>
          <w:sz w:val="24"/>
          <w:szCs w:val="24"/>
        </w:rPr>
        <w:t>Ortho flavivirus</w:t>
      </w:r>
      <w:r w:rsidRPr="00A54169">
        <w:rPr>
          <w:rFonts w:ascii="Times New Roman" w:hAnsi="Times New Roman" w:cs="Times New Roman"/>
          <w:sz w:val="24"/>
          <w:szCs w:val="24"/>
        </w:rPr>
        <w:t xml:space="preserve"> genus within the Flaviviridae family, is the etiological agent of dengue. The genome comprises a single-stranded, positive-sense RNA that encodes three structural proteins (capsid [C], membrane [M], and envelope [E]) and seven </w:t>
      </w:r>
      <w:r w:rsidR="00E52400" w:rsidRPr="00A54169">
        <w:rPr>
          <w:rFonts w:ascii="Times New Roman" w:hAnsi="Times New Roman" w:cs="Times New Roman"/>
          <w:sz w:val="24"/>
          <w:szCs w:val="24"/>
        </w:rPr>
        <w:t>non-structural</w:t>
      </w:r>
      <w:r w:rsidRPr="00A54169">
        <w:rPr>
          <w:rFonts w:ascii="Times New Roman" w:hAnsi="Times New Roman" w:cs="Times New Roman"/>
          <w:sz w:val="24"/>
          <w:szCs w:val="24"/>
        </w:rPr>
        <w:t xml:space="preserve"> proteins (NS1, NS2A, NS2B, NS3, NS4A, NS4B, and NS5). Dengue virus (DENV) is mostly transmitted via the bites of infected female Aedes aegypti and Aedes albopictus mosquitoes, which flourish in tropical and subtropical regions. DENV is categorized into four separate serotypes (DENV-1, -2, -3, and -4), which share around 65% of their genomic sequence, with each serotype encompassing many genotypes</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9775BE" w:rsidRPr="001D227E">
        <w:rPr>
          <w:rFonts w:ascii="Times New Roman" w:hAnsi="Times New Roman" w:cs="Times New Roman"/>
          <w:sz w:val="24"/>
          <w:szCs w:val="24"/>
          <w:vertAlign w:val="superscript"/>
        </w:rPr>
        <w:t>9</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r w:rsidR="009775BE" w:rsidRPr="001D227E">
        <w:rPr>
          <w:rFonts w:ascii="Times New Roman" w:hAnsi="Times New Roman" w:cs="Times New Roman"/>
          <w:sz w:val="24"/>
          <w:szCs w:val="24"/>
          <w:vertAlign w:val="superscript"/>
        </w:rPr>
        <w:t xml:space="preserve"> </w:t>
      </w:r>
      <w:r w:rsidRPr="00A54169">
        <w:rPr>
          <w:rFonts w:ascii="Times New Roman" w:hAnsi="Times New Roman" w:cs="Times New Roman"/>
          <w:sz w:val="24"/>
          <w:szCs w:val="24"/>
        </w:rPr>
        <w:t>Infection with a single DENV serotype is believed to confer lifetime immunity to that serotype</w:t>
      </w:r>
      <w:r w:rsidRPr="001D227E">
        <w:rPr>
          <w:rFonts w:ascii="Times New Roman" w:hAnsi="Times New Roman" w:cs="Times New Roman"/>
          <w:sz w:val="24"/>
          <w:szCs w:val="24"/>
        </w:rPr>
        <w:t xml:space="preserve"> due to </w:t>
      </w:r>
      <w:r w:rsidRPr="001D227E">
        <w:rPr>
          <w:rFonts w:ascii="Times New Roman" w:hAnsi="Times New Roman" w:cs="Times New Roman"/>
          <w:sz w:val="24"/>
          <w:szCs w:val="24"/>
        </w:rPr>
        <w:lastRenderedPageBreak/>
        <w:t>antibody dependent enhancement (ADE)</w:t>
      </w:r>
      <w:r w:rsidRPr="00A54169">
        <w:rPr>
          <w:rFonts w:ascii="Times New Roman" w:hAnsi="Times New Roman" w:cs="Times New Roman"/>
          <w:sz w:val="24"/>
          <w:szCs w:val="24"/>
        </w:rPr>
        <w:t xml:space="preserve"> while offering only temporary cross-protection against other serotypes, lasting around 8 to 12 months</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9775BE" w:rsidRPr="001D227E">
        <w:rPr>
          <w:rFonts w:ascii="Times New Roman" w:hAnsi="Times New Roman" w:cs="Times New Roman"/>
          <w:sz w:val="24"/>
          <w:szCs w:val="24"/>
          <w:vertAlign w:val="superscript"/>
        </w:rPr>
        <w:t>1</w:t>
      </w:r>
      <w:r w:rsidR="005A3CFC">
        <w:rPr>
          <w:rFonts w:ascii="Times New Roman" w:hAnsi="Times New Roman" w:cs="Times New Roman"/>
          <w:sz w:val="24"/>
          <w:szCs w:val="24"/>
          <w:vertAlign w:val="superscript"/>
        </w:rPr>
        <w:t>1</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p>
    <w:p w14:paraId="6B5F6522" w14:textId="05480B46" w:rsidR="00954D20" w:rsidRPr="001D227E" w:rsidRDefault="00954D20"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Clinical Presentation and Diagnostic Challenges</w:t>
      </w:r>
    </w:p>
    <w:p w14:paraId="0B3CD7AA" w14:textId="4F0B783F" w:rsidR="00995239" w:rsidRPr="001D227E" w:rsidRDefault="00954D20" w:rsidP="00BC74FF">
      <w:p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Dengue presents a broad clinical spectrum, ranging from asymptomatic or mild febrile illness to severe dengue characterized by plasma leakage, </w:t>
      </w:r>
      <w:r w:rsidR="00D63C7E" w:rsidRPr="001D227E">
        <w:rPr>
          <w:rFonts w:ascii="Times New Roman" w:hAnsi="Times New Roman" w:cs="Times New Roman"/>
          <w:sz w:val="24"/>
          <w:szCs w:val="24"/>
        </w:rPr>
        <w:t>haemorrhage</w:t>
      </w:r>
      <w:r w:rsidRPr="001D227E">
        <w:rPr>
          <w:rFonts w:ascii="Times New Roman" w:hAnsi="Times New Roman" w:cs="Times New Roman"/>
          <w:sz w:val="24"/>
          <w:szCs w:val="24"/>
        </w:rPr>
        <w:t>, and organ dysfunction. Early symptoms are often non-specific and overlap with other arboviruses such as Zika and chikungunya, complicating differential diagnosis—especially during co-circulation</w:t>
      </w:r>
      <w:r w:rsidR="00FB084C">
        <w:rPr>
          <w:rFonts w:ascii="Times New Roman" w:hAnsi="Times New Roman" w:cs="Times New Roman"/>
          <w:sz w:val="24"/>
          <w:szCs w:val="24"/>
        </w:rPr>
        <w:t xml:space="preserve"> </w:t>
      </w:r>
      <w:r w:rsidR="00FB084C">
        <w:rPr>
          <w:rFonts w:ascii="Times New Roman" w:hAnsi="Times New Roman" w:cs="Times New Roman"/>
          <w:sz w:val="24"/>
          <w:szCs w:val="24"/>
          <w:vertAlign w:val="superscript"/>
        </w:rPr>
        <w:t>[</w:t>
      </w:r>
      <w:r w:rsidR="00823B60" w:rsidRPr="001D227E">
        <w:rPr>
          <w:rFonts w:ascii="Times New Roman" w:hAnsi="Times New Roman" w:cs="Times New Roman"/>
          <w:sz w:val="24"/>
          <w:szCs w:val="24"/>
          <w:vertAlign w:val="superscript"/>
        </w:rPr>
        <w:t>1</w:t>
      </w:r>
      <w:r w:rsidR="005A3CFC">
        <w:rPr>
          <w:rFonts w:ascii="Times New Roman" w:hAnsi="Times New Roman" w:cs="Times New Roman"/>
          <w:sz w:val="24"/>
          <w:szCs w:val="24"/>
          <w:vertAlign w:val="superscript"/>
        </w:rPr>
        <w:t>2</w:t>
      </w:r>
      <w:r w:rsidR="00FB084C">
        <w:rPr>
          <w:rFonts w:ascii="Times New Roman" w:hAnsi="Times New Roman" w:cs="Times New Roman"/>
          <w:sz w:val="24"/>
          <w:szCs w:val="24"/>
          <w:vertAlign w:val="superscript"/>
        </w:rPr>
        <w:t>]</w:t>
      </w:r>
      <w:r w:rsidR="00FB084C">
        <w:rPr>
          <w:rFonts w:ascii="Times New Roman" w:hAnsi="Times New Roman" w:cs="Times New Roman"/>
          <w:sz w:val="24"/>
          <w:szCs w:val="24"/>
        </w:rPr>
        <w:t xml:space="preserve">. </w:t>
      </w:r>
      <w:r w:rsidR="0031628B">
        <w:rPr>
          <w:rFonts w:ascii="Times New Roman" w:hAnsi="Times New Roman" w:cs="Times New Roman"/>
          <w:sz w:val="24"/>
          <w:szCs w:val="24"/>
        </w:rPr>
        <w:t>T</w:t>
      </w:r>
      <w:r w:rsidR="0031628B" w:rsidRPr="0031628B">
        <w:rPr>
          <w:rFonts w:ascii="Times New Roman" w:hAnsi="Times New Roman" w:cs="Times New Roman"/>
          <w:sz w:val="24"/>
          <w:szCs w:val="24"/>
        </w:rPr>
        <w:t xml:space="preserve">he </w:t>
      </w:r>
      <w:r w:rsidR="00995239" w:rsidRPr="0031628B">
        <w:rPr>
          <w:rFonts w:ascii="Times New Roman" w:hAnsi="Times New Roman" w:cs="Times New Roman"/>
          <w:sz w:val="24"/>
          <w:szCs w:val="24"/>
        </w:rPr>
        <w:t>WHO</w:t>
      </w:r>
      <w:r w:rsidR="0031628B" w:rsidRPr="0031628B">
        <w:rPr>
          <w:rFonts w:ascii="Times New Roman" w:hAnsi="Times New Roman" w:cs="Times New Roman"/>
          <w:sz w:val="24"/>
          <w:szCs w:val="24"/>
        </w:rPr>
        <w:t xml:space="preserve"> Dengue</w:t>
      </w:r>
      <w:r w:rsidR="00995239" w:rsidRPr="0031628B">
        <w:rPr>
          <w:rFonts w:ascii="Times New Roman" w:hAnsi="Times New Roman" w:cs="Times New Roman"/>
          <w:sz w:val="24"/>
          <w:szCs w:val="24"/>
        </w:rPr>
        <w:t xml:space="preserve"> Case </w:t>
      </w:r>
      <w:r w:rsidR="0031628B" w:rsidRPr="0031628B">
        <w:rPr>
          <w:rFonts w:ascii="Times New Roman" w:hAnsi="Times New Roman" w:cs="Times New Roman"/>
          <w:sz w:val="24"/>
          <w:szCs w:val="24"/>
        </w:rPr>
        <w:t>classification is given in table 1</w:t>
      </w:r>
      <w:r w:rsidR="00FB084C">
        <w:rPr>
          <w:rFonts w:ascii="Times New Roman" w:hAnsi="Times New Roman" w:cs="Times New Roman"/>
          <w:b/>
          <w:bCs/>
          <w:sz w:val="24"/>
          <w:szCs w:val="24"/>
        </w:rPr>
        <w:t xml:space="preserve"> </w:t>
      </w:r>
      <w:r w:rsidR="00FB084C" w:rsidRPr="00FB084C">
        <w:rPr>
          <w:rFonts w:ascii="Times New Roman" w:hAnsi="Times New Roman" w:cs="Times New Roman"/>
          <w:b/>
          <w:bCs/>
          <w:sz w:val="24"/>
          <w:szCs w:val="24"/>
          <w:vertAlign w:val="superscript"/>
        </w:rPr>
        <w:t>[1]</w:t>
      </w:r>
      <w:r w:rsidR="0031628B">
        <w:rPr>
          <w:rFonts w:ascii="Times New Roman" w:hAnsi="Times New Roman" w:cs="Times New Roman"/>
          <w:b/>
          <w:bCs/>
          <w:sz w:val="24"/>
          <w:szCs w:val="24"/>
          <w:vertAlign w:val="superscript"/>
        </w:rPr>
        <w:t xml:space="preserve"> </w:t>
      </w:r>
      <w:r w:rsidR="00590845">
        <w:rPr>
          <w:rFonts w:ascii="Times New Roman" w:hAnsi="Times New Roman" w:cs="Times New Roman"/>
          <w:b/>
          <w:bCs/>
          <w:sz w:val="24"/>
          <w:szCs w:val="24"/>
        </w:rPr>
        <w:t>.</w:t>
      </w:r>
    </w:p>
    <w:p w14:paraId="12CD043F" w14:textId="141F96A7" w:rsidR="00995239" w:rsidRPr="001D227E" w:rsidRDefault="00F909FD"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 xml:space="preserve">Any person suspected to have dengue virus infection should be attended along with a </w:t>
      </w:r>
      <w:r w:rsidR="00995239" w:rsidRPr="001D227E">
        <w:rPr>
          <w:rFonts w:ascii="Times New Roman" w:hAnsi="Times New Roman" w:cs="Times New Roman"/>
          <w:b/>
          <w:bCs/>
          <w:sz w:val="24"/>
          <w:szCs w:val="24"/>
        </w:rPr>
        <w:t>Clinical Evaluation Checklist</w:t>
      </w:r>
      <w:r w:rsidRPr="001D227E">
        <w:rPr>
          <w:rFonts w:ascii="Times New Roman" w:hAnsi="Times New Roman" w:cs="Times New Roman"/>
          <w:b/>
          <w:bCs/>
          <w:sz w:val="24"/>
          <w:szCs w:val="24"/>
        </w:rPr>
        <w:t xml:space="preserve"> which should comprise of </w:t>
      </w:r>
    </w:p>
    <w:p w14:paraId="19413CE0" w14:textId="2196D145"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 xml:space="preserve">Taking a thorough medical history- symptoms, </w:t>
      </w:r>
      <w:r w:rsidR="00E52400" w:rsidRPr="001D227E">
        <w:rPr>
          <w:rFonts w:ascii="Times New Roman" w:hAnsi="Times New Roman" w:cs="Times New Roman"/>
          <w:sz w:val="24"/>
          <w:szCs w:val="24"/>
        </w:rPr>
        <w:t>onset, progression</w:t>
      </w:r>
    </w:p>
    <w:p w14:paraId="33A661E7" w14:textId="5527D23D"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Asking travel history to endemic areas in the past 14 days</w:t>
      </w:r>
    </w:p>
    <w:p w14:paraId="08C39467" w14:textId="7F558F60" w:rsidR="00F909FD" w:rsidRPr="001D227E" w:rsidRDefault="00F909FD"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Asking about living in endemic areas in the past 14 days</w:t>
      </w:r>
    </w:p>
    <w:p w14:paraId="1DA42B35" w14:textId="530BA137" w:rsidR="003E1AD7" w:rsidRPr="001D227E" w:rsidRDefault="003E1AD7" w:rsidP="00BC74FF">
      <w:pPr>
        <w:pStyle w:val="ListParagraph"/>
        <w:numPr>
          <w:ilvl w:val="0"/>
          <w:numId w:val="36"/>
        </w:numPr>
        <w:spacing w:line="480" w:lineRule="auto"/>
        <w:rPr>
          <w:rFonts w:ascii="Times New Roman" w:hAnsi="Times New Roman" w:cs="Times New Roman"/>
          <w:sz w:val="24"/>
          <w:szCs w:val="24"/>
        </w:rPr>
      </w:pPr>
      <w:r w:rsidRPr="001D227E">
        <w:rPr>
          <w:rFonts w:ascii="Times New Roman" w:hAnsi="Times New Roman" w:cs="Times New Roman"/>
          <w:sz w:val="24"/>
          <w:szCs w:val="24"/>
        </w:rPr>
        <w:t>Checking vaccination records for dengue, yellow fever and Japanese encephalitis</w:t>
      </w:r>
    </w:p>
    <w:p w14:paraId="734B7F14" w14:textId="5AABA247" w:rsidR="00954D20" w:rsidRDefault="00B434DA" w:rsidP="00BC74FF">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Samples types, storage ,collection and transport conditions</w:t>
      </w:r>
      <w:r w:rsidR="0031628B">
        <w:rPr>
          <w:rFonts w:ascii="Times New Roman" w:hAnsi="Times New Roman" w:cs="Times New Roman"/>
          <w:b/>
          <w:bCs/>
          <w:sz w:val="24"/>
          <w:szCs w:val="24"/>
        </w:rPr>
        <w:t xml:space="preserve"> </w:t>
      </w:r>
      <w:r w:rsidRPr="001D227E">
        <w:rPr>
          <w:rFonts w:ascii="Times New Roman" w:hAnsi="Times New Roman" w:cs="Times New Roman"/>
          <w:b/>
          <w:bCs/>
          <w:sz w:val="24"/>
          <w:szCs w:val="24"/>
        </w:rPr>
        <w:t>:</w:t>
      </w:r>
    </w:p>
    <w:p w14:paraId="2A01A5DA" w14:textId="374506BF" w:rsidR="00A4547B" w:rsidRPr="00590845" w:rsidRDefault="0031628B" w:rsidP="00BC74FF">
      <w:pPr>
        <w:spacing w:line="480" w:lineRule="auto"/>
        <w:rPr>
          <w:rFonts w:ascii="Times New Roman" w:hAnsi="Times New Roman" w:cs="Times New Roman"/>
          <w:sz w:val="24"/>
          <w:szCs w:val="24"/>
        </w:rPr>
      </w:pPr>
      <w:r>
        <w:rPr>
          <w:rFonts w:ascii="Times New Roman" w:hAnsi="Times New Roman" w:cs="Times New Roman"/>
          <w:sz w:val="24"/>
          <w:szCs w:val="24"/>
        </w:rPr>
        <w:t>Various samples are collected from a patient with history of fever to aid in the confirmation of dengue infection</w:t>
      </w:r>
      <w:r w:rsidR="00840B68">
        <w:rPr>
          <w:rFonts w:ascii="Times New Roman" w:hAnsi="Times New Roman" w:cs="Times New Roman"/>
          <w:sz w:val="24"/>
          <w:szCs w:val="24"/>
        </w:rPr>
        <w:t xml:space="preserve"> </w:t>
      </w:r>
      <w:r w:rsidR="00840B68">
        <w:rPr>
          <w:rFonts w:ascii="Times New Roman" w:hAnsi="Times New Roman" w:cs="Times New Roman"/>
          <w:sz w:val="24"/>
          <w:szCs w:val="24"/>
          <w:vertAlign w:val="superscript"/>
        </w:rPr>
        <w:t xml:space="preserve">[13-17] </w:t>
      </w:r>
      <w:r>
        <w:rPr>
          <w:rFonts w:ascii="Times New Roman" w:hAnsi="Times New Roman" w:cs="Times New Roman"/>
          <w:sz w:val="24"/>
          <w:szCs w:val="24"/>
        </w:rPr>
        <w:t>.  The sample types ,collection ,storage and transportation conditions are s</w:t>
      </w:r>
      <w:r w:rsidR="00B13EB8">
        <w:rPr>
          <w:rFonts w:ascii="Times New Roman" w:hAnsi="Times New Roman" w:cs="Times New Roman"/>
          <w:sz w:val="24"/>
          <w:szCs w:val="24"/>
        </w:rPr>
        <w:t>ummarised</w:t>
      </w:r>
      <w:r>
        <w:rPr>
          <w:rFonts w:ascii="Times New Roman" w:hAnsi="Times New Roman" w:cs="Times New Roman"/>
          <w:sz w:val="24"/>
          <w:szCs w:val="24"/>
        </w:rPr>
        <w:t xml:space="preserve"> in table 2. </w:t>
      </w:r>
    </w:p>
    <w:p w14:paraId="2D31F54A" w14:textId="77777777" w:rsidR="00902D9A" w:rsidRPr="00902D9A" w:rsidRDefault="00902D9A" w:rsidP="00902D9A">
      <w:pPr>
        <w:spacing w:line="480" w:lineRule="auto"/>
        <w:rPr>
          <w:rFonts w:ascii="Times New Roman" w:hAnsi="Times New Roman" w:cs="Times New Roman"/>
          <w:b/>
          <w:bCs/>
          <w:sz w:val="24"/>
          <w:szCs w:val="24"/>
        </w:rPr>
      </w:pPr>
      <w:r w:rsidRPr="00902D9A">
        <w:rPr>
          <w:rFonts w:ascii="Times New Roman" w:hAnsi="Times New Roman" w:cs="Times New Roman"/>
          <w:b/>
          <w:bCs/>
          <w:sz w:val="24"/>
          <w:szCs w:val="24"/>
        </w:rPr>
        <w:t>Diagnosis of Dengue Fever</w:t>
      </w:r>
    </w:p>
    <w:p w14:paraId="2D2768D1" w14:textId="495A9BAD" w:rsidR="00902D9A" w:rsidRPr="00840B68" w:rsidRDefault="00902D9A" w:rsidP="00BC74FF">
      <w:pPr>
        <w:spacing w:line="480" w:lineRule="auto"/>
        <w:rPr>
          <w:rFonts w:ascii="Times New Roman" w:hAnsi="Times New Roman" w:cs="Times New Roman"/>
          <w:sz w:val="24"/>
          <w:szCs w:val="24"/>
          <w:vertAlign w:val="superscript"/>
        </w:rPr>
      </w:pPr>
      <w:r w:rsidRPr="00902D9A">
        <w:rPr>
          <w:rFonts w:ascii="Times New Roman" w:hAnsi="Times New Roman" w:cs="Times New Roman"/>
          <w:sz w:val="24"/>
          <w:szCs w:val="24"/>
        </w:rPr>
        <w:t xml:space="preserve">The diagnosis of dengue fever involves a combination of clinical assessment and laboratory testing, with the choice of diagnostic method guided by the stage of infection. RT-PCR and NS1 antigen tests are most effective in the early phase of infection, offering high sensitivity and specificity for early diagnosis and outbreak confirmation. IgM and IgG </w:t>
      </w:r>
      <w:r w:rsidRPr="00902D9A">
        <w:rPr>
          <w:rFonts w:ascii="Times New Roman" w:hAnsi="Times New Roman" w:cs="Times New Roman"/>
          <w:sz w:val="24"/>
          <w:szCs w:val="24"/>
        </w:rPr>
        <w:lastRenderedPageBreak/>
        <w:t>antibody tests are more useful in later stages, aiding in the identification of recent or past infections, though they are limited by cross-reactivity. PRNT and virus isolation serve as reference methods for research and vaccine evaluation but are less feasible for routine use due to their complexity. Table 3 compares key diagnostic methods used to detect dengue virus infection, highlighting their purpose, detection windows, performance characteristics, and practical considerations</w:t>
      </w:r>
      <w:r w:rsidR="00840B68">
        <w:rPr>
          <w:rFonts w:ascii="Times New Roman" w:hAnsi="Times New Roman" w:cs="Times New Roman"/>
          <w:sz w:val="24"/>
          <w:szCs w:val="24"/>
        </w:rPr>
        <w:t>.</w:t>
      </w:r>
    </w:p>
    <w:p w14:paraId="295BE086" w14:textId="7564AB5C"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Table 4 outlines the preferred testing strategies across different public health and clinical contexts</w:t>
      </w:r>
      <w:r w:rsidR="00840B68">
        <w:rPr>
          <w:rFonts w:ascii="Times New Roman" w:hAnsi="Times New Roman" w:cs="Times New Roman"/>
          <w:sz w:val="24"/>
          <w:szCs w:val="24"/>
        </w:rPr>
        <w:t xml:space="preserve"> </w:t>
      </w:r>
      <w:r w:rsidRPr="00902D9A">
        <w:rPr>
          <w:rFonts w:ascii="Times New Roman" w:hAnsi="Times New Roman" w:cs="Times New Roman"/>
          <w:sz w:val="24"/>
          <w:szCs w:val="24"/>
        </w:rPr>
        <w:t>. For patient management and outbreak investigations, rapid and accurate methods such as RT-PCR and NS1-based tests are prioritized. Surveillance relies on high-throughput serological and molecular assays to monitor trends and circulating serotypes. For further characterization, advanced techniques like multiplex PCR and next-generation sequencing are employed to support genomic surveillance and serotype differentiation.</w:t>
      </w:r>
    </w:p>
    <w:p w14:paraId="5CDFD3BB" w14:textId="5E882E0F"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Dengue diagnosis depends on the timing of sample collection. In the early acute phase (0–5 days), RT-PCR and NS1 antigen tests are most effective, detecting viral RNA or protein with high sensitivity. During the late acute phase (5–7 days), NS1 and RT-PCR sensitivity declines, while IgM antibodies begin to appear, making IgM ELISA useful.</w:t>
      </w:r>
    </w:p>
    <w:p w14:paraId="11CA8D98" w14:textId="77777777" w:rsidR="00902D9A" w:rsidRPr="00902D9A" w:rsidRDefault="00902D9A" w:rsidP="00902D9A">
      <w:pPr>
        <w:spacing w:line="480" w:lineRule="auto"/>
        <w:rPr>
          <w:rFonts w:ascii="Times New Roman" w:hAnsi="Times New Roman" w:cs="Times New Roman"/>
          <w:sz w:val="24"/>
          <w:szCs w:val="24"/>
        </w:rPr>
      </w:pPr>
      <w:r w:rsidRPr="00902D9A">
        <w:rPr>
          <w:rFonts w:ascii="Times New Roman" w:hAnsi="Times New Roman" w:cs="Times New Roman"/>
          <w:sz w:val="24"/>
          <w:szCs w:val="24"/>
        </w:rPr>
        <w:t>In the early convalescent phase (7–14 days), IgM peaks and IgG begins to rise, indicating recent or ongoing infection. By the late convalescent phase (&gt;14 days), IgG persists, suggesting past infection or secondary exposure. In secondary infections, IgG rises early, while IgM may be low or absent, and NS1 detection may be less reliable.</w:t>
      </w:r>
    </w:p>
    <w:p w14:paraId="2DB043E7" w14:textId="08EAD16D" w:rsidR="007C79B9" w:rsidRPr="00840B68" w:rsidRDefault="00902D9A" w:rsidP="00BC74FF">
      <w:pPr>
        <w:spacing w:line="480" w:lineRule="auto"/>
        <w:rPr>
          <w:rFonts w:ascii="Times New Roman" w:hAnsi="Times New Roman" w:cs="Times New Roman"/>
          <w:sz w:val="24"/>
          <w:szCs w:val="24"/>
          <w:vertAlign w:val="superscript"/>
        </w:rPr>
      </w:pPr>
      <w:r w:rsidRPr="00902D9A">
        <w:rPr>
          <w:rFonts w:ascii="Times New Roman" w:hAnsi="Times New Roman" w:cs="Times New Roman"/>
          <w:sz w:val="24"/>
          <w:szCs w:val="24"/>
        </w:rPr>
        <w:t>A combined testing approach, tailored to the stage of illness, improves diagnostic accuracy and helps distinguish between primary and secondary infections. Table 5 summarizes recommended dengue testing methods and interpretation of results at different stages of infection</w:t>
      </w:r>
      <w:r w:rsidR="00840B68">
        <w:rPr>
          <w:rFonts w:ascii="Times New Roman" w:hAnsi="Times New Roman" w:cs="Times New Roman"/>
          <w:sz w:val="24"/>
          <w:szCs w:val="24"/>
        </w:rPr>
        <w:t xml:space="preserve"> </w:t>
      </w:r>
      <w:r w:rsidR="00840B68">
        <w:rPr>
          <w:rFonts w:ascii="Times New Roman" w:hAnsi="Times New Roman" w:cs="Times New Roman"/>
          <w:sz w:val="24"/>
          <w:szCs w:val="24"/>
          <w:vertAlign w:val="superscript"/>
        </w:rPr>
        <w:t>[18-23]</w:t>
      </w:r>
      <w:r w:rsidR="00590845">
        <w:rPr>
          <w:rFonts w:ascii="Times New Roman" w:hAnsi="Times New Roman" w:cs="Times New Roman"/>
          <w:sz w:val="24"/>
          <w:szCs w:val="24"/>
        </w:rPr>
        <w:t>.</w:t>
      </w:r>
    </w:p>
    <w:p w14:paraId="173FF755"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lastRenderedPageBreak/>
        <w:t>Genomic Surveillance</w:t>
      </w:r>
    </w:p>
    <w:p w14:paraId="0C002D15" w14:textId="0DA03F78" w:rsidR="00590845" w:rsidRPr="00AC406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sz w:val="24"/>
          <w:szCs w:val="24"/>
        </w:rPr>
        <w:t>Genomic sequencing is a critical molecular tool for analysing and characterizing the dengue virus (DENV) genome. It helps identify and monitor the 19 known DENV genotypes across the four serotypes (DENV-1 to DENV-4), each with distinct geographic and evolutionary patterns. A newer classification system also recognizes major and minor lineages within genotypes, reflecting finer genetic diversity</w:t>
      </w:r>
      <w:r>
        <w:rPr>
          <w:rFonts w:ascii="Times New Roman" w:hAnsi="Times New Roman" w:cs="Times New Roman"/>
          <w:sz w:val="24"/>
          <w:szCs w:val="24"/>
        </w:rPr>
        <w:t xml:space="preserve"> </w:t>
      </w:r>
      <w:r w:rsidRPr="00AC406E">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sidRPr="00AC406E">
        <w:rPr>
          <w:rFonts w:ascii="Times New Roman" w:hAnsi="Times New Roman" w:cs="Times New Roman"/>
          <w:sz w:val="24"/>
          <w:szCs w:val="24"/>
        </w:rPr>
        <w:t>.</w:t>
      </w:r>
      <w:r w:rsidRPr="00AC406E">
        <w:rPr>
          <w:rFonts w:ascii="Times New Roman" w:hAnsi="Times New Roman" w:cs="Times New Roman"/>
          <w:b/>
          <w:bCs/>
          <w:sz w:val="24"/>
          <w:szCs w:val="24"/>
        </w:rPr>
        <w:t xml:space="preserve"> </w:t>
      </w:r>
    </w:p>
    <w:p w14:paraId="7DCE30C1" w14:textId="76DB7627" w:rsidR="00590845" w:rsidRPr="00AC406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Key Technologies</w:t>
      </w:r>
      <w:r w:rsidRPr="001D227E">
        <w:rPr>
          <w:rFonts w:ascii="Times New Roman" w:hAnsi="Times New Roman" w:cs="Times New Roman"/>
          <w:sz w:val="24"/>
          <w:szCs w:val="24"/>
        </w:rPr>
        <w:t> used include traditional Sanger sequencing and high-throughput next-generation sequencing (NGS). These methods allow for detailed genetic analysis, including the detection of antigenic drift, which can influence immune evasion, disease severity, and the performance of diagnostics like NAATs and serological tests</w:t>
      </w:r>
      <w:r>
        <w:rPr>
          <w:rFonts w:ascii="Times New Roman" w:hAnsi="Times New Roman" w:cs="Times New Roman"/>
          <w:sz w:val="24"/>
          <w:szCs w:val="24"/>
        </w:rPr>
        <w:t xml:space="preserve"> </w:t>
      </w:r>
      <w:r w:rsidRPr="00AC406E">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5</w:t>
      </w:r>
      <w:r w:rsidRPr="00AC406E">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14:paraId="6A3149CE" w14:textId="77777777" w:rsidR="00590845" w:rsidRPr="001D227E" w:rsidRDefault="00590845" w:rsidP="00590845">
      <w:pPr>
        <w:spacing w:line="480" w:lineRule="auto"/>
        <w:rPr>
          <w:rFonts w:ascii="Times New Roman" w:hAnsi="Times New Roman" w:cs="Times New Roman"/>
          <w:sz w:val="24"/>
          <w:szCs w:val="24"/>
          <w:vertAlign w:val="superscript"/>
        </w:rPr>
      </w:pPr>
      <w:r w:rsidRPr="001D227E">
        <w:rPr>
          <w:rFonts w:ascii="Times New Roman" w:hAnsi="Times New Roman" w:cs="Times New Roman"/>
          <w:b/>
          <w:bCs/>
          <w:sz w:val="24"/>
          <w:szCs w:val="24"/>
        </w:rPr>
        <w:t>Integration with epidemiological, clinical, and geographical data</w:t>
      </w:r>
      <w:r w:rsidRPr="001D227E">
        <w:rPr>
          <w:rFonts w:ascii="Times New Roman" w:hAnsi="Times New Roman" w:cs="Times New Roman"/>
          <w:sz w:val="24"/>
          <w:szCs w:val="24"/>
        </w:rPr>
        <w:t> enhances real-time monitoring of DENV spread, identifies co-circulating serotypes, and detects emerging variants. This is especially important in endemic areas where shifts in serotype dominance can signal potential outbreaks.</w:t>
      </w:r>
    </w:p>
    <w:p w14:paraId="7FE9610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Benefits</w:t>
      </w:r>
      <w:r w:rsidRPr="001D227E">
        <w:rPr>
          <w:rFonts w:ascii="Times New Roman" w:hAnsi="Times New Roman" w:cs="Times New Roman"/>
          <w:sz w:val="24"/>
          <w:szCs w:val="24"/>
        </w:rPr>
        <w:t> of genomic sequencing include Improved outbreak preparedness and response, Enhanced understanding of disease dynamics, Support for vaccine and diagnostic development, Detection of antiviral resistance markers (e.g., NS5 mutations), Informed vector control strategies, including identification of mosquito species and insecticide resistance</w:t>
      </w:r>
    </w:p>
    <w:p w14:paraId="373CAA7B" w14:textId="1CCDAA94" w:rsidR="00590845" w:rsidRPr="00D7436D"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Limitations</w:t>
      </w:r>
      <w:r w:rsidRPr="001D227E">
        <w:rPr>
          <w:rFonts w:ascii="Times New Roman" w:hAnsi="Times New Roman" w:cs="Times New Roman"/>
          <w:sz w:val="24"/>
          <w:szCs w:val="24"/>
        </w:rPr>
        <w:t> include the need for specialized infrastructure, trained personnel, and robust data-sharing protocols. To address this, public health labs are encouraged to adopt harmonized sequencing methods and standardized reporting practices</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6</w:t>
      </w:r>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2D64EF40"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Point-of-Care Innovations</w:t>
      </w:r>
    </w:p>
    <w:p w14:paraId="3ECA2DE2" w14:textId="6F7A63CE"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lastRenderedPageBreak/>
        <w:t>Emerging technologies include lab-on-a-chip platforms, smartphone-integrated readers, and multiplex lateral flow assays. These tools promise decentralized testing and real-time data sharing, though regulatory and validation challenges persist</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7</w:t>
      </w:r>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6D4F1668"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Biological Risk Management</w:t>
      </w:r>
    </w:p>
    <w:p w14:paraId="534DF930" w14:textId="37B523F1" w:rsidR="00590845" w:rsidRPr="00D77E0C"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Laboratories conducting dengue virus (DENV) testing must prioritize biosafety and biosecurity to protect both laboratory personnel and the broader community. A risk-based approach, aligned with the WHO Laboratory Biosafety Manual (Fourth Edition), is essential when handling specimens from suspected or confirmed dengue cases. For routine procedures such as RNA extraction, biosafety level 2 (BSL-2) precautions are sufficient. However, when working with live virus cultures, enhanced containment measures equivalent to biosafety level 3 (BSL-3) are required to mitigate the risk of exposure and transmission</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8</w:t>
      </w:r>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715D96F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Quality Management</w:t>
      </w:r>
    </w:p>
    <w:p w14:paraId="2E75EE48" w14:textId="31F1E686" w:rsidR="00590845" w:rsidRPr="00D7436D"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To ensure the reliability and accuracy of dengue diagnostic results, laboratories must implement comprehensive quality management systems. These systems should include the validation and verification of test kits before use, regular calibration and maintenance of laboratory equipment, and strict adherence to standard operating procedures</w:t>
      </w:r>
      <w:r>
        <w:rPr>
          <w:rFonts w:ascii="Times New Roman" w:hAnsi="Times New Roman" w:cs="Times New Roman"/>
          <w:sz w:val="24"/>
          <w:szCs w:val="24"/>
        </w:rPr>
        <w:t xml:space="preserve"> </w:t>
      </w:r>
      <w:r w:rsidRPr="00D7436D">
        <w:rPr>
          <w:rFonts w:ascii="Times New Roman" w:hAnsi="Times New Roman" w:cs="Times New Roman"/>
          <w:sz w:val="24"/>
          <w:szCs w:val="24"/>
          <w:vertAlign w:val="superscript"/>
        </w:rPr>
        <w:t>[2</w:t>
      </w:r>
      <w:r w:rsidR="00840B68">
        <w:rPr>
          <w:rFonts w:ascii="Times New Roman" w:hAnsi="Times New Roman" w:cs="Times New Roman"/>
          <w:sz w:val="24"/>
          <w:szCs w:val="24"/>
          <w:vertAlign w:val="superscript"/>
        </w:rPr>
        <w:t>9</w:t>
      </w:r>
      <w:r w:rsidRPr="00D7436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1D227E">
        <w:rPr>
          <w:rFonts w:ascii="Times New Roman" w:hAnsi="Times New Roman" w:cs="Times New Roman"/>
          <w:sz w:val="24"/>
          <w:szCs w:val="24"/>
        </w:rPr>
        <w:t xml:space="preserve">Personnel must be properly trained and competent in performing diagnostic procedures and interpreting results. Internal quality control is critical for each test. For nucleic acid amplification tests (NAATs) like RT-PCR, both positive and negative controls must be included in every assay to verify sample integrity and detect contamination or non-specific amplification. If any control fails, the test should be repeated. Rapid diagnostic tests (RDTs) typically include built-in controls, and some manufacturers provide external positive controls for performance verification. The frequency of control testing should follow the manufacturer’s instructions. For ELISA, known positive and negative samples, calibrators with defined antibody </w:t>
      </w:r>
      <w:r w:rsidRPr="001D227E">
        <w:rPr>
          <w:rFonts w:ascii="Times New Roman" w:hAnsi="Times New Roman" w:cs="Times New Roman"/>
          <w:sz w:val="24"/>
          <w:szCs w:val="24"/>
        </w:rPr>
        <w:lastRenderedPageBreak/>
        <w:t xml:space="preserve">concentrations, and buffer controls should be used to ensure assay accuracy and detect background noise. Running samples in duplicates or triplicates is recommended to enhance reproducibility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7D430490"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Reporting of Cases and Test Results</w:t>
      </w:r>
    </w:p>
    <w:p w14:paraId="0F13024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Effective dengue surveillance relies on timely and accurate reporting of cases and laboratory findings. All countries affected by DENV are encouraged to establish a national dengue surveillance system to monitor trends, detect outbreaks early, and guide public health interventions. Case reporting should follow local public health authority guidelines and include standardized data such as patient demographics, clinical symptoms, laboratory results, and relevant epidemiological information like travel history, pregnancy status, and vaccination history. Collaboration between laboratory personnel, epidemiologists, and public health officials is essential for analysing and disseminating surveillance data. The WHO Global Dengue Surveillance Dashboard supports these efforts by providing access to country-level data on confirmed and severe dengue cases, including information on circulating serotypes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p w14:paraId="674BEC5B"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Expert Review Panel for Diagnostics (ERPD)</w:t>
      </w:r>
    </w:p>
    <w:p w14:paraId="23A58AD7" w14:textId="17B0F10C" w:rsidR="00590845" w:rsidRPr="00984FBA" w:rsidRDefault="00590845" w:rsidP="00984FBA">
      <w:pPr>
        <w:spacing w:line="480" w:lineRule="auto"/>
        <w:rPr>
          <w:rFonts w:ascii="Times New Roman" w:hAnsi="Times New Roman" w:cs="Times New Roman"/>
          <w:sz w:val="24"/>
          <w:szCs w:val="24"/>
        </w:rPr>
      </w:pPr>
      <w:r w:rsidRPr="001D227E">
        <w:rPr>
          <w:rFonts w:ascii="Times New Roman" w:hAnsi="Times New Roman" w:cs="Times New Roman"/>
          <w:sz w:val="24"/>
          <w:szCs w:val="24"/>
        </w:rPr>
        <w:t>The ERPD supports emergency use listing of diagnostics. However, many assays used in endemic regions lack full WHO prequalification, limiting access through UN procurement channels. Streamlining validation pathways is essential to bridge this gap</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r w:rsidR="00984FBA">
        <w:rPr>
          <w:rFonts w:ascii="Times New Roman" w:hAnsi="Times New Roman" w:cs="Times New Roman"/>
          <w:sz w:val="24"/>
          <w:szCs w:val="24"/>
        </w:rPr>
        <w:t xml:space="preserve"> </w:t>
      </w:r>
      <w:r w:rsidR="00984FBA" w:rsidRPr="00984FBA">
        <w:rPr>
          <w:rFonts w:ascii="Times New Roman" w:hAnsi="Times New Roman" w:cs="Times New Roman"/>
          <w:sz w:val="24"/>
          <w:szCs w:val="24"/>
        </w:rPr>
        <w:t xml:space="preserve">Coordinated by the Public Health Laboratory Strengthening unit of the WHO Health Emergencies Programme and the Global Neglected Tropical Diseases Programme, in collaboration with WHO’s Prequalification Programme, the ERPD provides an expert-driven mechanism to evaluate diagnostic tools not yet covered by WHO’s prequalification or other stringent regulatory </w:t>
      </w:r>
      <w:proofErr w:type="spellStart"/>
      <w:r w:rsidR="00984FBA" w:rsidRPr="00984FBA">
        <w:rPr>
          <w:rFonts w:ascii="Times New Roman" w:hAnsi="Times New Roman" w:cs="Times New Roman"/>
          <w:sz w:val="24"/>
          <w:szCs w:val="24"/>
        </w:rPr>
        <w:t>assessments.This</w:t>
      </w:r>
      <w:proofErr w:type="spellEnd"/>
      <w:r w:rsidR="00984FBA" w:rsidRPr="00984FBA">
        <w:rPr>
          <w:rFonts w:ascii="Times New Roman" w:hAnsi="Times New Roman" w:cs="Times New Roman"/>
          <w:sz w:val="24"/>
          <w:szCs w:val="24"/>
        </w:rPr>
        <w:t xml:space="preserve"> independent advisory group evaluates whether candidate in vitro </w:t>
      </w:r>
      <w:r w:rsidR="00984FBA" w:rsidRPr="00984FBA">
        <w:rPr>
          <w:rFonts w:ascii="Times New Roman" w:hAnsi="Times New Roman" w:cs="Times New Roman"/>
          <w:sz w:val="24"/>
          <w:szCs w:val="24"/>
        </w:rPr>
        <w:lastRenderedPageBreak/>
        <w:t>diagnostic (IVD) medical devices—tests performed outside the human body—meet established quality and performance standards. It also classifies their risk to support evidence-based procurement decisions. Recognizing critical gaps in the availability of IVDs, particularly for epidemic-prone neglected tropical diseases, WHO supports the procurement of essential diagnostic products and laboratory items for managing a wide range of communicable and noncommunicable diseases.</w:t>
      </w:r>
      <w:r w:rsidR="00984FBA">
        <w:rPr>
          <w:rFonts w:ascii="Times New Roman" w:hAnsi="Times New Roman" w:cs="Times New Roman"/>
          <w:sz w:val="24"/>
          <w:szCs w:val="24"/>
        </w:rPr>
        <w:t xml:space="preserve"> </w:t>
      </w:r>
      <w:r w:rsidR="00984FBA" w:rsidRPr="00984FBA">
        <w:rPr>
          <w:rFonts w:ascii="Times New Roman" w:hAnsi="Times New Roman" w:cs="Times New Roman"/>
          <w:sz w:val="24"/>
          <w:szCs w:val="24"/>
        </w:rPr>
        <w:t>Following a thorough review, seven dengue diagnostic products have been listed</w:t>
      </w:r>
      <w:r w:rsidR="00984FBA">
        <w:rPr>
          <w:rFonts w:ascii="Times New Roman" w:hAnsi="Times New Roman" w:cs="Times New Roman"/>
          <w:sz w:val="24"/>
          <w:szCs w:val="24"/>
        </w:rPr>
        <w:t xml:space="preserve"> .Table 6 summarises the </w:t>
      </w:r>
      <w:r w:rsidR="005A3CFC">
        <w:rPr>
          <w:rFonts w:ascii="Times New Roman" w:hAnsi="Times New Roman" w:cs="Times New Roman"/>
          <w:sz w:val="24"/>
          <w:szCs w:val="24"/>
        </w:rPr>
        <w:t xml:space="preserve">WHO </w:t>
      </w:r>
      <w:r w:rsidR="005A3CFC" w:rsidRPr="005A3CFC">
        <w:rPr>
          <w:rFonts w:ascii="Times New Roman" w:hAnsi="Times New Roman" w:cs="Times New Roman"/>
          <w:sz w:val="24"/>
          <w:szCs w:val="24"/>
        </w:rPr>
        <w:t>Reviewed Dengue Diagnostic Kits</w:t>
      </w:r>
      <w:r w:rsidR="005A3CFC">
        <w:rPr>
          <w:rFonts w:ascii="Times New Roman" w:hAnsi="Times New Roman" w:cs="Times New Roman"/>
          <w:sz w:val="24"/>
          <w:szCs w:val="24"/>
        </w:rPr>
        <w:t xml:space="preserve"> as of May 2025</w:t>
      </w:r>
      <w:r w:rsidR="00984FBA" w:rsidRPr="00984FBA">
        <w:rPr>
          <w:rFonts w:ascii="Times New Roman" w:hAnsi="Times New Roman" w:cs="Times New Roman"/>
          <w:sz w:val="24"/>
          <w:szCs w:val="24"/>
        </w:rPr>
        <w:t>. These one-year recommendations aim to facilitate timely, informed procurement decisions, strengthening the global response to the dengue emergency and improving patient outcomes</w:t>
      </w:r>
      <w:r w:rsidR="00984FBA">
        <w:rPr>
          <w:rFonts w:ascii="Times New Roman" w:hAnsi="Times New Roman" w:cs="Times New Roman"/>
          <w:sz w:val="24"/>
          <w:szCs w:val="24"/>
          <w:vertAlign w:val="superscript"/>
        </w:rPr>
        <w:t>[9]</w:t>
      </w:r>
      <w:r w:rsidR="00984FBA">
        <w:rPr>
          <w:rFonts w:ascii="Times New Roman" w:hAnsi="Times New Roman" w:cs="Times New Roman"/>
          <w:sz w:val="24"/>
          <w:szCs w:val="24"/>
        </w:rPr>
        <w:t>.</w:t>
      </w:r>
    </w:p>
    <w:p w14:paraId="20CC15FA"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b/>
          <w:bCs/>
          <w:sz w:val="24"/>
          <w:szCs w:val="24"/>
        </w:rPr>
        <w:t>Implementation Gaps and Challenges</w:t>
      </w:r>
    </w:p>
    <w:p w14:paraId="5073D051"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Access and Affordability</w:t>
      </w:r>
    </w:p>
    <w:p w14:paraId="060B8B9F" w14:textId="08BE58CE"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Many dengue-endemic countries depend on imported diagnostics, which are costly and often in short supply. RDTs are widely used but vary in quality, affecting reliability</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31</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03F7FE39"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Infrastructure and Training</w:t>
      </w:r>
    </w:p>
    <w:p w14:paraId="5BE091AB" w14:textId="3968E1EF"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Limited laboratory infrastructure and undertrained personnel hinder accurate diagnosis, particularly in rural and peri-urban areas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00840B68">
        <w:rPr>
          <w:rFonts w:ascii="Times New Roman" w:hAnsi="Times New Roman" w:cs="Times New Roman"/>
          <w:sz w:val="24"/>
          <w:szCs w:val="24"/>
          <w:vertAlign w:val="superscript"/>
        </w:rPr>
        <w:t>31</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51413977"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Cross-Reactivity and Misdiagnosis</w:t>
      </w:r>
    </w:p>
    <w:p w14:paraId="4E467D18"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High antigenic similarity with other flaviviruses (e.g., Zika, yellow fever) leads to false positives in serological tests, contributing to misdiagnosis and inaccurate reporting</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0139ED05"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Surveillance Weaknesses</w:t>
      </w:r>
    </w:p>
    <w:p w14:paraId="2646907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Inadequate diagnostic confirmation contributes to underreporting, distorting global burden estimates and delaying vector control efforts</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Pr="001D227E">
        <w:rPr>
          <w:rFonts w:ascii="Times New Roman" w:hAnsi="Times New Roman" w:cs="Times New Roman"/>
          <w:sz w:val="24"/>
          <w:szCs w:val="24"/>
        </w:rPr>
        <w:t>.</w:t>
      </w:r>
    </w:p>
    <w:p w14:paraId="7C21E3AC"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lastRenderedPageBreak/>
        <w:t>Lack of Harmonized Diagnostic Algorithms</w:t>
      </w:r>
    </w:p>
    <w:p w14:paraId="136458AF" w14:textId="0A4F3F21" w:rsidR="00590845" w:rsidRPr="009B54FC"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The absence of a universal diagnostic algorithm results in inconsistent practices across regions. National guidelines often diverge from WHO recommendations, especially in decentralized health syste</w:t>
      </w:r>
      <w:r>
        <w:rPr>
          <w:rFonts w:ascii="Times New Roman" w:hAnsi="Times New Roman" w:cs="Times New Roman"/>
          <w:sz w:val="24"/>
          <w:szCs w:val="24"/>
        </w:rPr>
        <w:t xml:space="preserve">m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0BAAEF9E"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Future Directions and Recommendations</w:t>
      </w:r>
    </w:p>
    <w:p w14:paraId="37B74329"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Strengthen Laboratory Networks</w:t>
      </w:r>
    </w:p>
    <w:p w14:paraId="0C984FAB"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Invest in regional reference labs and quality assurance programs to improve diagnostic accuracy and support local test validation.</w:t>
      </w:r>
    </w:p>
    <w:p w14:paraId="4A350972"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Advance R&amp;D for Multiplex and AI-Assisted Tools</w:t>
      </w:r>
    </w:p>
    <w:p w14:paraId="6FB82856"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Develop affordable multiplex platforms for simultaneous detection of multiple arboviruses. AI-assisted tools can enhance result interpretation and triage.</w:t>
      </w:r>
    </w:p>
    <w:p w14:paraId="06F067DA"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Reform Policy and Procurement</w:t>
      </w:r>
    </w:p>
    <w:p w14:paraId="4FCCCC5E"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Encourage local manufacturing, reduce regulatory delays, and integrate WHO prequalification into national procurement systems to improve access.</w:t>
      </w:r>
    </w:p>
    <w:p w14:paraId="7EC9187F"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Integrate with Digital Surveillance</w:t>
      </w:r>
    </w:p>
    <w:p w14:paraId="03BDC4FD"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Link diagnostics with mobile reporting and geospatial mapping tools to accelerate outbreak detection and guide vector control strategies.</w:t>
      </w:r>
    </w:p>
    <w:p w14:paraId="223AD356" w14:textId="77777777" w:rsidR="00590845" w:rsidRPr="001D227E" w:rsidRDefault="00B5074C" w:rsidP="00590845">
      <w:pPr>
        <w:spacing w:line="480" w:lineRule="auto"/>
        <w:rPr>
          <w:rFonts w:ascii="Times New Roman" w:hAnsi="Times New Roman" w:cs="Times New Roman"/>
          <w:sz w:val="24"/>
          <w:szCs w:val="24"/>
        </w:rPr>
      </w:pPr>
      <w:r>
        <w:rPr>
          <w:rFonts w:ascii="Times New Roman" w:hAnsi="Times New Roman" w:cs="Times New Roman"/>
          <w:sz w:val="24"/>
          <w:szCs w:val="24"/>
        </w:rPr>
        <w:pict w14:anchorId="10DD5CDB">
          <v:rect id="_x0000_i1025" style="width:579pt;height:0" o:hrpct="0" o:hrstd="t" o:hrnoshade="t" o:hr="t" fillcolor="#424242" stroked="f"/>
        </w:pict>
      </w:r>
    </w:p>
    <w:p w14:paraId="45CA5146" w14:textId="77777777" w:rsidR="00590845" w:rsidRPr="001D227E" w:rsidRDefault="00590845" w:rsidP="00590845">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t>Conclusion</w:t>
      </w:r>
    </w:p>
    <w:p w14:paraId="7D9CCBC2" w14:textId="77777777"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t>Significant progress has been made in dengue diagnostics, particularly in molecular and antigen-based testing. However, persistent implementation gaps—ranging from access and infrastructure to regulatory barriers—continue to undermine disease control efforts.</w:t>
      </w:r>
    </w:p>
    <w:p w14:paraId="0341CFCF" w14:textId="5B6719BF" w:rsidR="00590845" w:rsidRPr="001D227E" w:rsidRDefault="00590845" w:rsidP="00590845">
      <w:pPr>
        <w:spacing w:line="480" w:lineRule="auto"/>
        <w:rPr>
          <w:rFonts w:ascii="Times New Roman" w:hAnsi="Times New Roman" w:cs="Times New Roman"/>
          <w:sz w:val="24"/>
          <w:szCs w:val="24"/>
        </w:rPr>
      </w:pPr>
      <w:r w:rsidRPr="001D227E">
        <w:rPr>
          <w:rFonts w:ascii="Times New Roman" w:hAnsi="Times New Roman" w:cs="Times New Roman"/>
          <w:sz w:val="24"/>
          <w:szCs w:val="24"/>
        </w:rPr>
        <w:lastRenderedPageBreak/>
        <w:t>Addressing these challenges requires coordinated action across sector</w:t>
      </w:r>
      <w:r w:rsidR="00AA70F9">
        <w:rPr>
          <w:rFonts w:ascii="Times New Roman" w:hAnsi="Times New Roman" w:cs="Times New Roman"/>
          <w:sz w:val="24"/>
          <w:szCs w:val="24"/>
        </w:rPr>
        <w:t>s.</w:t>
      </w:r>
      <w:r w:rsidR="00E67E0E">
        <w:rPr>
          <w:rFonts w:ascii="Times New Roman" w:hAnsi="Times New Roman" w:cs="Times New Roman"/>
          <w:sz w:val="24"/>
          <w:szCs w:val="24"/>
        </w:rPr>
        <w:t xml:space="preserve"> </w:t>
      </w:r>
      <w:r w:rsidR="00AA70F9">
        <w:rPr>
          <w:rFonts w:ascii="Times New Roman" w:hAnsi="Times New Roman" w:cs="Times New Roman"/>
          <w:sz w:val="24"/>
          <w:szCs w:val="24"/>
        </w:rPr>
        <w:t>F</w:t>
      </w:r>
      <w:r w:rsidR="00AA70F9" w:rsidRPr="00AA70F9">
        <w:rPr>
          <w:rFonts w:ascii="Times New Roman" w:hAnsi="Times New Roman" w:cs="Times New Roman"/>
          <w:sz w:val="24"/>
          <w:szCs w:val="24"/>
        </w:rPr>
        <w:t>ollowing a rigorous review, seven dengue diagnostic products have been listed</w:t>
      </w:r>
      <w:r w:rsidR="00AA70F9">
        <w:rPr>
          <w:rFonts w:ascii="Times New Roman" w:hAnsi="Times New Roman" w:cs="Times New Roman"/>
          <w:sz w:val="24"/>
          <w:szCs w:val="24"/>
        </w:rPr>
        <w:t xml:space="preserve"> by the WHO ERPD</w:t>
      </w:r>
      <w:r w:rsidR="00AA70F9" w:rsidRPr="00AA70F9">
        <w:rPr>
          <w:rFonts w:ascii="Times New Roman" w:hAnsi="Times New Roman" w:cs="Times New Roman"/>
          <w:sz w:val="24"/>
          <w:szCs w:val="24"/>
        </w:rPr>
        <w:t>. These one-year recommendations aim to support timely, informed decisions in the global dengue response.</w:t>
      </w:r>
      <w:r w:rsidR="00AA70F9">
        <w:rPr>
          <w:rFonts w:ascii="Times New Roman" w:hAnsi="Times New Roman" w:cs="Times New Roman"/>
          <w:sz w:val="24"/>
          <w:szCs w:val="24"/>
        </w:rPr>
        <w:t xml:space="preserve"> </w:t>
      </w:r>
      <w:r w:rsidRPr="001D227E">
        <w:rPr>
          <w:rFonts w:ascii="Times New Roman" w:hAnsi="Times New Roman" w:cs="Times New Roman"/>
          <w:sz w:val="24"/>
          <w:szCs w:val="24"/>
        </w:rPr>
        <w:t>By prioritizing diagnostic equity and investing in innovation, policy reform, and global collaboration, we can transform diagnostics into a cornerstone of dengue prevention and response.</w:t>
      </w:r>
    </w:p>
    <w:p w14:paraId="3DAECB66" w14:textId="77777777" w:rsidR="00592D3D" w:rsidRPr="00592D3D" w:rsidRDefault="00592D3D" w:rsidP="00592D3D">
      <w:pPr>
        <w:spacing w:after="200" w:line="276" w:lineRule="auto"/>
        <w:jc w:val="both"/>
        <w:outlineLvl w:val="0"/>
        <w:rPr>
          <w:rFonts w:ascii="Arial" w:eastAsia="Times New Roman" w:hAnsi="Arial" w:cs="Arial"/>
          <w:kern w:val="0"/>
          <w:lang w:val="en-GB" w:eastAsia="en-GB"/>
          <w14:ligatures w14:val="none"/>
        </w:rPr>
      </w:pPr>
      <w:r w:rsidRPr="00592D3D">
        <w:rPr>
          <w:rFonts w:ascii="Arial" w:eastAsia="Times New Roman" w:hAnsi="Arial" w:cs="Arial"/>
          <w:b/>
          <w:bCs/>
          <w:kern w:val="0"/>
          <w:lang w:val="en-GB" w:eastAsia="en-GB"/>
          <w14:ligatures w14:val="none"/>
        </w:rPr>
        <w:t>COMPETING INTERESTS DISCLAIMER:</w:t>
      </w:r>
    </w:p>
    <w:p w14:paraId="75BDDE85" w14:textId="77777777" w:rsidR="00592D3D" w:rsidRPr="00592D3D" w:rsidRDefault="00592D3D" w:rsidP="00592D3D">
      <w:pPr>
        <w:spacing w:after="200" w:line="276" w:lineRule="auto"/>
        <w:rPr>
          <w:rFonts w:ascii="Calibri" w:eastAsia="Times New Roman" w:hAnsi="Calibri" w:cs="Times New Roman"/>
          <w:kern w:val="0"/>
          <w:lang w:val="en-GB" w:eastAsia="en-GB"/>
          <w14:ligatures w14:val="none"/>
        </w:rPr>
      </w:pPr>
      <w:r w:rsidRPr="00592D3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BE5C727" w14:textId="77777777" w:rsidR="00592D3D" w:rsidRDefault="00592D3D" w:rsidP="00590845">
      <w:pPr>
        <w:spacing w:line="480" w:lineRule="auto"/>
        <w:rPr>
          <w:rFonts w:ascii="Times New Roman" w:hAnsi="Times New Roman" w:cs="Times New Roman"/>
          <w:sz w:val="24"/>
          <w:szCs w:val="24"/>
        </w:rPr>
      </w:pPr>
    </w:p>
    <w:p w14:paraId="3C7DEEA3" w14:textId="77777777" w:rsidR="00981CF8" w:rsidRDefault="00981CF8" w:rsidP="00981CF8">
      <w:r>
        <w:t>Disclaimer (Artificial intelligence)</w:t>
      </w:r>
    </w:p>
    <w:p w14:paraId="4638B244" w14:textId="77777777" w:rsidR="00981CF8" w:rsidRDefault="00981CF8" w:rsidP="00981CF8">
      <w:r>
        <w:t xml:space="preserve">Option 1: </w:t>
      </w:r>
    </w:p>
    <w:p w14:paraId="081BA662" w14:textId="77777777" w:rsidR="00981CF8" w:rsidRDefault="00981CF8" w:rsidP="00981CF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7CAC29D" w14:textId="77777777" w:rsidR="00981CF8" w:rsidRDefault="00981CF8" w:rsidP="00981CF8">
      <w:r>
        <w:t xml:space="preserve">Option 2: </w:t>
      </w:r>
    </w:p>
    <w:p w14:paraId="2898BFAD" w14:textId="77777777" w:rsidR="00981CF8" w:rsidRDefault="00981CF8" w:rsidP="00981CF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FE23FF" w14:textId="77777777" w:rsidR="00981CF8" w:rsidRDefault="00981CF8" w:rsidP="00981CF8">
      <w:r>
        <w:t>Details of the AI usage are given below:</w:t>
      </w:r>
    </w:p>
    <w:p w14:paraId="5EB7A070" w14:textId="77777777" w:rsidR="00981CF8" w:rsidRDefault="00981CF8" w:rsidP="00981CF8">
      <w:r>
        <w:t>1.</w:t>
      </w:r>
    </w:p>
    <w:p w14:paraId="4592C85F" w14:textId="77777777" w:rsidR="00981CF8" w:rsidRDefault="00981CF8" w:rsidP="00981CF8">
      <w:r>
        <w:t>2.</w:t>
      </w:r>
    </w:p>
    <w:p w14:paraId="2B1DBCA1" w14:textId="77777777" w:rsidR="00981CF8" w:rsidRDefault="00981CF8" w:rsidP="00981CF8">
      <w:r>
        <w:t>3.</w:t>
      </w:r>
    </w:p>
    <w:p w14:paraId="2EDA3758" w14:textId="77777777" w:rsidR="00981CF8" w:rsidRDefault="00981CF8" w:rsidP="00981CF8"/>
    <w:p w14:paraId="0489F00E" w14:textId="77777777" w:rsidR="00981CF8" w:rsidRDefault="00981CF8" w:rsidP="00981CF8"/>
    <w:p w14:paraId="56C959B6" w14:textId="6C949A06" w:rsidR="008911AD" w:rsidRPr="007C79B9" w:rsidRDefault="008911AD" w:rsidP="00590845">
      <w:pPr>
        <w:spacing w:line="480" w:lineRule="auto"/>
        <w:rPr>
          <w:rFonts w:ascii="Times New Roman" w:hAnsi="Times New Roman" w:cs="Times New Roman"/>
          <w:sz w:val="24"/>
          <w:szCs w:val="24"/>
        </w:rPr>
        <w:sectPr w:rsidR="008911AD" w:rsidRPr="007C79B9" w:rsidSect="005908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0583903C" w14:textId="77777777" w:rsidR="00590845" w:rsidRPr="00B919CB" w:rsidRDefault="00590845" w:rsidP="00590845">
      <w:pPr>
        <w:spacing w:line="480" w:lineRule="auto"/>
        <w:rPr>
          <w:rFonts w:ascii="Times New Roman" w:hAnsi="Times New Roman" w:cs="Times New Roman"/>
          <w:b/>
          <w:bCs/>
          <w:sz w:val="24"/>
          <w:szCs w:val="24"/>
        </w:rPr>
      </w:pPr>
      <w:r w:rsidRPr="00B919CB">
        <w:rPr>
          <w:rFonts w:ascii="Times New Roman" w:hAnsi="Times New Roman" w:cs="Times New Roman"/>
          <w:b/>
          <w:bCs/>
          <w:sz w:val="24"/>
          <w:szCs w:val="24"/>
        </w:rPr>
        <w:lastRenderedPageBreak/>
        <w:t>References:</w:t>
      </w:r>
    </w:p>
    <w:p w14:paraId="2340FD9A"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Dengue guidelines for diagnosis, treatment, prevention and control, new edition. Geneva: World Health Organization; 2009 . </w:t>
      </w:r>
      <w:hyperlink r:id="rId14" w:history="1">
        <w:r w:rsidRPr="00B0771C">
          <w:rPr>
            <w:rStyle w:val="Hyperlink"/>
            <w:rFonts w:ascii="Times New Roman" w:hAnsi="Times New Roman" w:cs="Times New Roman"/>
            <w:sz w:val="24"/>
            <w:szCs w:val="24"/>
          </w:rPr>
          <w:t>https://iris.who.int/handle/10665/44188</w:t>
        </w:r>
      </w:hyperlink>
      <w:r w:rsidRPr="00B0771C">
        <w:rPr>
          <w:rFonts w:ascii="Times New Roman" w:hAnsi="Times New Roman" w:cs="Times New Roman"/>
          <w:sz w:val="24"/>
          <w:szCs w:val="24"/>
        </w:rPr>
        <w:t>.</w:t>
      </w:r>
    </w:p>
    <w:p w14:paraId="0F4DD271"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Dengue – global situation [news release]. World Health Organization.</w:t>
      </w:r>
    </w:p>
    <w:p w14:paraId="378EF631" w14:textId="77777777" w:rsidR="00590845" w:rsidRPr="00B0771C" w:rsidRDefault="00B5074C" w:rsidP="00590845">
      <w:pPr>
        <w:pStyle w:val="ListParagraph"/>
        <w:spacing w:line="480" w:lineRule="auto"/>
        <w:rPr>
          <w:rFonts w:ascii="Times New Roman" w:hAnsi="Times New Roman" w:cs="Times New Roman"/>
          <w:sz w:val="24"/>
          <w:szCs w:val="24"/>
        </w:rPr>
      </w:pPr>
      <w:hyperlink r:id="rId15" w:history="1">
        <w:r w:rsidR="00590845" w:rsidRPr="00B0771C">
          <w:rPr>
            <w:rStyle w:val="Hyperlink"/>
            <w:rFonts w:ascii="Times New Roman" w:hAnsi="Times New Roman" w:cs="Times New Roman"/>
            <w:sz w:val="24"/>
            <w:szCs w:val="24"/>
          </w:rPr>
          <w:t>https://www.who.int/emergencies/disease-outbreak-news/item/2024-DON518</w:t>
        </w:r>
      </w:hyperlink>
      <w:r w:rsidR="00590845" w:rsidRPr="00B0771C">
        <w:rPr>
          <w:rFonts w:ascii="Times New Roman" w:hAnsi="Times New Roman" w:cs="Times New Roman"/>
          <w:sz w:val="24"/>
          <w:szCs w:val="24"/>
        </w:rPr>
        <w:t>.</w:t>
      </w:r>
    </w:p>
    <w:p w14:paraId="0287980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 Global dengue surveillance [online database]. World Health Organization; 2024 </w:t>
      </w:r>
    </w:p>
    <w:p w14:paraId="26E049C4" w14:textId="77777777" w:rsidR="00590845" w:rsidRPr="00B0771C" w:rsidRDefault="00B5074C" w:rsidP="00590845">
      <w:pPr>
        <w:pStyle w:val="ListParagraph"/>
        <w:spacing w:line="480" w:lineRule="auto"/>
        <w:rPr>
          <w:rFonts w:ascii="Times New Roman" w:hAnsi="Times New Roman" w:cs="Times New Roman"/>
          <w:sz w:val="24"/>
          <w:szCs w:val="24"/>
        </w:rPr>
      </w:pPr>
      <w:hyperlink r:id="rId16" w:history="1">
        <w:r w:rsidR="00590845" w:rsidRPr="00B0771C">
          <w:rPr>
            <w:rStyle w:val="Hyperlink"/>
            <w:rFonts w:ascii="Times New Roman" w:hAnsi="Times New Roman" w:cs="Times New Roman"/>
            <w:sz w:val="24"/>
            <w:szCs w:val="24"/>
          </w:rPr>
          <w:t>https://worldhealthorg.shinyapps.io/dengue_global/</w:t>
        </w:r>
      </w:hyperlink>
    </w:p>
    <w:p w14:paraId="057ABC6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Risk assessment for public health related to dengue in the Americas Region. Washington, DC: Pan American Health Organization; 2023.</w:t>
      </w:r>
      <w:hyperlink r:id="rId17" w:history="1">
        <w:r w:rsidRPr="00B0771C">
          <w:rPr>
            <w:rStyle w:val="Hyperlink"/>
            <w:rFonts w:ascii="Times New Roman" w:hAnsi="Times New Roman" w:cs="Times New Roman"/>
            <w:sz w:val="24"/>
            <w:szCs w:val="24"/>
          </w:rPr>
          <w:t>https://www.paho.org/en/documents/risk-assessment-publichealth-related-dengue-americas-region-12-december-2023</w:t>
        </w:r>
      </w:hyperlink>
      <w:r w:rsidRPr="00B0771C">
        <w:rPr>
          <w:rFonts w:ascii="Times New Roman" w:hAnsi="Times New Roman" w:cs="Times New Roman"/>
          <w:sz w:val="24"/>
          <w:szCs w:val="24"/>
        </w:rPr>
        <w:t>.</w:t>
      </w:r>
    </w:p>
    <w:p w14:paraId="509A5784"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B0771C">
        <w:rPr>
          <w:rFonts w:ascii="Times New Roman" w:hAnsi="Times New Roman" w:cs="Times New Roman"/>
          <w:sz w:val="24"/>
          <w:szCs w:val="24"/>
        </w:rPr>
        <w:t>Marou</w:t>
      </w:r>
      <w:proofErr w:type="spellEnd"/>
      <w:r w:rsidRPr="00B0771C">
        <w:rPr>
          <w:rFonts w:ascii="Times New Roman" w:hAnsi="Times New Roman" w:cs="Times New Roman"/>
          <w:sz w:val="24"/>
          <w:szCs w:val="24"/>
        </w:rPr>
        <w:t xml:space="preserve"> V, </w:t>
      </w:r>
      <w:proofErr w:type="spellStart"/>
      <w:r w:rsidRPr="00B0771C">
        <w:rPr>
          <w:rFonts w:ascii="Times New Roman" w:hAnsi="Times New Roman" w:cs="Times New Roman"/>
          <w:sz w:val="24"/>
          <w:szCs w:val="24"/>
        </w:rPr>
        <w:t>Vardavas</w:t>
      </w:r>
      <w:proofErr w:type="spellEnd"/>
      <w:r w:rsidRPr="00B0771C">
        <w:rPr>
          <w:rFonts w:ascii="Times New Roman" w:hAnsi="Times New Roman" w:cs="Times New Roman"/>
          <w:sz w:val="24"/>
          <w:szCs w:val="24"/>
        </w:rPr>
        <w:t xml:space="preserve"> CI, </w:t>
      </w:r>
      <w:proofErr w:type="spellStart"/>
      <w:r w:rsidRPr="00B0771C">
        <w:rPr>
          <w:rFonts w:ascii="Times New Roman" w:hAnsi="Times New Roman" w:cs="Times New Roman"/>
          <w:sz w:val="24"/>
          <w:szCs w:val="24"/>
        </w:rPr>
        <w:t>Aslanoglou</w:t>
      </w:r>
      <w:proofErr w:type="spellEnd"/>
      <w:r w:rsidRPr="00B0771C">
        <w:rPr>
          <w:rFonts w:ascii="Times New Roman" w:hAnsi="Times New Roman" w:cs="Times New Roman"/>
          <w:sz w:val="24"/>
          <w:szCs w:val="24"/>
        </w:rPr>
        <w:t xml:space="preserve"> K, </w:t>
      </w:r>
      <w:proofErr w:type="spellStart"/>
      <w:r w:rsidRPr="00B0771C">
        <w:rPr>
          <w:rFonts w:ascii="Times New Roman" w:hAnsi="Times New Roman" w:cs="Times New Roman"/>
          <w:sz w:val="24"/>
          <w:szCs w:val="24"/>
        </w:rPr>
        <w:t>Nikitara</w:t>
      </w:r>
      <w:proofErr w:type="spellEnd"/>
      <w:r w:rsidRPr="00B0771C">
        <w:rPr>
          <w:rFonts w:ascii="Times New Roman" w:hAnsi="Times New Roman" w:cs="Times New Roman"/>
          <w:sz w:val="24"/>
          <w:szCs w:val="24"/>
        </w:rPr>
        <w:t xml:space="preserve"> K, </w:t>
      </w:r>
      <w:proofErr w:type="spellStart"/>
      <w:r w:rsidRPr="00B0771C">
        <w:rPr>
          <w:rFonts w:ascii="Times New Roman" w:hAnsi="Times New Roman" w:cs="Times New Roman"/>
          <w:sz w:val="24"/>
          <w:szCs w:val="24"/>
        </w:rPr>
        <w:t>Plyta</w:t>
      </w:r>
      <w:proofErr w:type="spellEnd"/>
      <w:r w:rsidRPr="00B0771C">
        <w:rPr>
          <w:rFonts w:ascii="Times New Roman" w:hAnsi="Times New Roman" w:cs="Times New Roman"/>
          <w:sz w:val="24"/>
          <w:szCs w:val="24"/>
        </w:rPr>
        <w:t xml:space="preserve"> Z, Leonardi-Bee J et al. The impact of conflict on infectious disease: a systematic literature review. </w:t>
      </w:r>
      <w:proofErr w:type="spellStart"/>
      <w:r w:rsidRPr="00B0771C">
        <w:rPr>
          <w:rFonts w:ascii="Times New Roman" w:hAnsi="Times New Roman" w:cs="Times New Roman"/>
          <w:sz w:val="24"/>
          <w:szCs w:val="24"/>
        </w:rPr>
        <w:t>Confl</w:t>
      </w:r>
      <w:proofErr w:type="spellEnd"/>
      <w:r w:rsidRPr="00B0771C">
        <w:rPr>
          <w:rFonts w:ascii="Times New Roman" w:hAnsi="Times New Roman" w:cs="Times New Roman"/>
          <w:sz w:val="24"/>
          <w:szCs w:val="24"/>
        </w:rPr>
        <w:t xml:space="preserve"> Health. 2024;18(1):27 . </w:t>
      </w:r>
      <w:hyperlink r:id="rId18" w:history="1">
        <w:r w:rsidRPr="00B0771C">
          <w:rPr>
            <w:rStyle w:val="Hyperlink"/>
            <w:rFonts w:ascii="Times New Roman" w:hAnsi="Times New Roman" w:cs="Times New Roman"/>
            <w:sz w:val="24"/>
            <w:szCs w:val="24"/>
          </w:rPr>
          <w:t>https://doi.org/10.1186/s13031-023-00568-z</w:t>
        </w:r>
      </w:hyperlink>
      <w:r w:rsidRPr="00B0771C">
        <w:rPr>
          <w:rFonts w:ascii="Times New Roman" w:hAnsi="Times New Roman" w:cs="Times New Roman"/>
          <w:sz w:val="24"/>
          <w:szCs w:val="24"/>
        </w:rPr>
        <w:t>.</w:t>
      </w:r>
    </w:p>
    <w:p w14:paraId="4C1C413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Chan KR, Ismail AA, Thergarajan G, Raju CS, Yam HC, Rishya M et al. Serological cross-reactivity among common flaviviruses. Front Cell Infect </w:t>
      </w:r>
      <w:proofErr w:type="spellStart"/>
      <w:r w:rsidRPr="00B0771C">
        <w:rPr>
          <w:rFonts w:ascii="Times New Roman" w:hAnsi="Times New Roman" w:cs="Times New Roman"/>
          <w:sz w:val="24"/>
          <w:szCs w:val="24"/>
        </w:rPr>
        <w:t>Microbiol</w:t>
      </w:r>
      <w:proofErr w:type="spellEnd"/>
      <w:r w:rsidRPr="00B0771C">
        <w:rPr>
          <w:rFonts w:ascii="Times New Roman" w:hAnsi="Times New Roman" w:cs="Times New Roman"/>
          <w:sz w:val="24"/>
          <w:szCs w:val="24"/>
        </w:rPr>
        <w:t xml:space="preserve">. 2022;12:975398 </w:t>
      </w:r>
      <w:hyperlink r:id="rId19" w:history="1">
        <w:r w:rsidRPr="00B0771C">
          <w:rPr>
            <w:rStyle w:val="Hyperlink"/>
            <w:rFonts w:ascii="Times New Roman" w:hAnsi="Times New Roman" w:cs="Times New Roman"/>
            <w:sz w:val="24"/>
            <w:szCs w:val="24"/>
          </w:rPr>
          <w:t>https://doi.org/10.3389/fcimb.2022.975398</w:t>
        </w:r>
      </w:hyperlink>
      <w:r w:rsidRPr="00B0771C">
        <w:rPr>
          <w:rFonts w:ascii="Times New Roman" w:hAnsi="Times New Roman" w:cs="Times New Roman"/>
          <w:sz w:val="24"/>
          <w:szCs w:val="24"/>
        </w:rPr>
        <w:t>.</w:t>
      </w:r>
    </w:p>
    <w:p w14:paraId="72FEA1C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0D5039">
        <w:rPr>
          <w:rFonts w:ascii="Times New Roman" w:hAnsi="Times New Roman" w:cs="Times New Roman"/>
          <w:sz w:val="24"/>
          <w:szCs w:val="24"/>
        </w:rPr>
        <w:t>Sakkas</w:t>
      </w:r>
      <w:proofErr w:type="spellEnd"/>
      <w:r w:rsidRPr="000D5039">
        <w:rPr>
          <w:rFonts w:ascii="Times New Roman" w:hAnsi="Times New Roman" w:cs="Times New Roman"/>
          <w:sz w:val="24"/>
          <w:szCs w:val="24"/>
        </w:rPr>
        <w:t xml:space="preserve"> H, </w:t>
      </w:r>
      <w:proofErr w:type="spellStart"/>
      <w:r w:rsidRPr="000D5039">
        <w:rPr>
          <w:rFonts w:ascii="Times New Roman" w:hAnsi="Times New Roman" w:cs="Times New Roman"/>
          <w:sz w:val="24"/>
          <w:szCs w:val="24"/>
        </w:rPr>
        <w:t>Bozidis</w:t>
      </w:r>
      <w:proofErr w:type="spellEnd"/>
      <w:r w:rsidRPr="000D5039">
        <w:rPr>
          <w:rFonts w:ascii="Times New Roman" w:hAnsi="Times New Roman" w:cs="Times New Roman"/>
          <w:sz w:val="24"/>
          <w:szCs w:val="24"/>
        </w:rPr>
        <w:t xml:space="preserve"> P, Franks A, Papadopoulou C. </w:t>
      </w:r>
      <w:proofErr w:type="spellStart"/>
      <w:r w:rsidRPr="000D5039">
        <w:rPr>
          <w:rFonts w:ascii="Times New Roman" w:hAnsi="Times New Roman" w:cs="Times New Roman"/>
          <w:sz w:val="24"/>
          <w:szCs w:val="24"/>
        </w:rPr>
        <w:t>Oropouche</w:t>
      </w:r>
      <w:proofErr w:type="spellEnd"/>
      <w:r w:rsidRPr="000D5039">
        <w:rPr>
          <w:rFonts w:ascii="Times New Roman" w:hAnsi="Times New Roman" w:cs="Times New Roman"/>
          <w:sz w:val="24"/>
          <w:szCs w:val="24"/>
        </w:rPr>
        <w:t xml:space="preserve"> fever: a review. Viruses. 2018</w:t>
      </w:r>
      <w:r w:rsidRPr="00B0771C">
        <w:rPr>
          <w:rFonts w:ascii="Times New Roman" w:hAnsi="Times New Roman" w:cs="Times New Roman"/>
          <w:sz w:val="24"/>
          <w:szCs w:val="24"/>
        </w:rPr>
        <w:t xml:space="preserve"> </w:t>
      </w:r>
      <w:r w:rsidRPr="000D5039">
        <w:rPr>
          <w:rFonts w:ascii="Times New Roman" w:hAnsi="Times New Roman" w:cs="Times New Roman"/>
          <w:sz w:val="24"/>
          <w:szCs w:val="24"/>
        </w:rPr>
        <w:t>;10(4):175</w:t>
      </w:r>
      <w:r w:rsidRPr="00B0771C">
        <w:rPr>
          <w:rFonts w:ascii="Times New Roman" w:hAnsi="Times New Roman" w:cs="Times New Roman"/>
          <w:sz w:val="24"/>
          <w:szCs w:val="24"/>
        </w:rPr>
        <w:t xml:space="preserve">. </w:t>
      </w:r>
      <w:hyperlink r:id="rId20" w:history="1">
        <w:r w:rsidRPr="00B0771C">
          <w:rPr>
            <w:rStyle w:val="Hyperlink"/>
            <w:rFonts w:ascii="Times New Roman" w:hAnsi="Times New Roman" w:cs="Times New Roman"/>
            <w:sz w:val="24"/>
            <w:szCs w:val="24"/>
          </w:rPr>
          <w:t>https://doi.org/10.3390/v10040175</w:t>
        </w:r>
      </w:hyperlink>
      <w:r w:rsidRPr="00B0771C">
        <w:rPr>
          <w:rFonts w:ascii="Times New Roman" w:hAnsi="Times New Roman" w:cs="Times New Roman"/>
          <w:sz w:val="24"/>
          <w:szCs w:val="24"/>
        </w:rPr>
        <w:t>.</w:t>
      </w:r>
    </w:p>
    <w:p w14:paraId="2D918ED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Laboratory testing for dengue virus: interim guidance, April 2025. </w:t>
      </w:r>
      <w:hyperlink r:id="rId21" w:history="1">
        <w:r w:rsidRPr="00B0771C">
          <w:rPr>
            <w:rStyle w:val="Hyperlink"/>
            <w:rFonts w:ascii="Times New Roman" w:hAnsi="Times New Roman" w:cs="Times New Roman"/>
            <w:sz w:val="24"/>
            <w:szCs w:val="24"/>
          </w:rPr>
          <w:t>https://www.who.int/publications/i/item/B09394</w:t>
        </w:r>
      </w:hyperlink>
    </w:p>
    <w:p w14:paraId="56A82934" w14:textId="4AABF1B8" w:rsidR="00A37B1A" w:rsidRDefault="00A37B1A" w:rsidP="00590845">
      <w:pPr>
        <w:pStyle w:val="ListParagraph"/>
        <w:numPr>
          <w:ilvl w:val="0"/>
          <w:numId w:val="37"/>
        </w:numPr>
        <w:spacing w:line="480" w:lineRule="auto"/>
        <w:rPr>
          <w:rFonts w:ascii="Times New Roman" w:hAnsi="Times New Roman" w:cs="Times New Roman"/>
          <w:sz w:val="24"/>
          <w:szCs w:val="24"/>
        </w:rPr>
      </w:pPr>
      <w:r w:rsidRPr="00A37B1A">
        <w:rPr>
          <w:rFonts w:ascii="Times New Roman" w:hAnsi="Times New Roman" w:cs="Times New Roman"/>
          <w:sz w:val="24"/>
          <w:szCs w:val="24"/>
        </w:rPr>
        <w:t>World Health Organization (WHO). Dengue Expert Review Panel for Diagnostics. Geneva: WHO; 2025 May 22 [cited 2025 Jul 1</w:t>
      </w:r>
      <w:r>
        <w:rPr>
          <w:rFonts w:ascii="Times New Roman" w:hAnsi="Times New Roman" w:cs="Times New Roman"/>
          <w:sz w:val="24"/>
          <w:szCs w:val="24"/>
        </w:rPr>
        <w:t>5</w:t>
      </w:r>
      <w:r w:rsidRPr="00A37B1A">
        <w:rPr>
          <w:rFonts w:ascii="Times New Roman" w:hAnsi="Times New Roman" w:cs="Times New Roman"/>
          <w:sz w:val="24"/>
          <w:szCs w:val="24"/>
        </w:rPr>
        <w:t>]. Available from: </w:t>
      </w:r>
      <w:hyperlink r:id="rId22" w:history="1">
        <w:r w:rsidRPr="00270795">
          <w:rPr>
            <w:rStyle w:val="Hyperlink"/>
            <w:rFonts w:ascii="Times New Roman" w:hAnsi="Times New Roman" w:cs="Times New Roman"/>
            <w:sz w:val="24"/>
            <w:szCs w:val="24"/>
          </w:rPr>
          <w:t>https://www.who.int/news/item/22-05-2025-dengue-expert-review-panel-for-diagnostics</w:t>
        </w:r>
      </w:hyperlink>
    </w:p>
    <w:p w14:paraId="44207F87" w14:textId="4E4C0D54"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lastRenderedPageBreak/>
        <w:t xml:space="preserve">Islam MT, Quispe C, Herrera-Bravo J, Sarkar C, Sharma R, Garg N et al. Production, transmission, pathogenesis, and control of dengue virus: a literature-based undivided perspective. Biomed Res Int. 2021;2021:4224816. </w:t>
      </w:r>
      <w:hyperlink r:id="rId23" w:history="1">
        <w:r w:rsidRPr="00B0771C">
          <w:rPr>
            <w:rStyle w:val="Hyperlink"/>
            <w:rFonts w:ascii="Times New Roman" w:hAnsi="Times New Roman" w:cs="Times New Roman"/>
            <w:sz w:val="24"/>
            <w:szCs w:val="24"/>
          </w:rPr>
          <w:t>https://doi.org/10.1155/2021/4224816</w:t>
        </w:r>
      </w:hyperlink>
      <w:r w:rsidRPr="00B0771C">
        <w:rPr>
          <w:rFonts w:ascii="Times New Roman" w:hAnsi="Times New Roman" w:cs="Times New Roman"/>
          <w:sz w:val="24"/>
          <w:szCs w:val="24"/>
        </w:rPr>
        <w:t>.</w:t>
      </w:r>
    </w:p>
    <w:p w14:paraId="2DC94033"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St John AL, Rathore APS. Adaptive immune responses to primary and secondary dengue virus infections. Nat Rev Immunol. 2019;19(4):218–30. </w:t>
      </w:r>
      <w:hyperlink r:id="rId24" w:history="1">
        <w:r w:rsidRPr="00B0771C">
          <w:rPr>
            <w:rStyle w:val="Hyperlink"/>
            <w:rFonts w:ascii="Times New Roman" w:hAnsi="Times New Roman" w:cs="Times New Roman"/>
            <w:sz w:val="24"/>
            <w:szCs w:val="24"/>
          </w:rPr>
          <w:t>https://doi.org/10.1038/s41577-019-0123-x</w:t>
        </w:r>
      </w:hyperlink>
      <w:r w:rsidRPr="00B0771C">
        <w:rPr>
          <w:rFonts w:ascii="Times New Roman" w:hAnsi="Times New Roman" w:cs="Times New Roman"/>
          <w:sz w:val="24"/>
          <w:szCs w:val="24"/>
        </w:rPr>
        <w:t>.</w:t>
      </w:r>
    </w:p>
    <w:p w14:paraId="1CB0BC6C"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Case definitions, clinical classification, and disease phases dengue, chikungunya, and Zika. Washington, DC: Pan American Health Organization; 2023. </w:t>
      </w:r>
      <w:hyperlink r:id="rId25" w:history="1">
        <w:r w:rsidRPr="00B0771C">
          <w:rPr>
            <w:rStyle w:val="Hyperlink"/>
            <w:rFonts w:ascii="Times New Roman" w:hAnsi="Times New Roman" w:cs="Times New Roman"/>
            <w:sz w:val="24"/>
            <w:szCs w:val="24"/>
          </w:rPr>
          <w:t>https://www.paho.org/en/documents/case-definitions-clinicalclassification-and-disease-phases-dengue-chikungunya-and-zika</w:t>
        </w:r>
      </w:hyperlink>
      <w:r w:rsidRPr="00B0771C">
        <w:rPr>
          <w:rFonts w:ascii="Times New Roman" w:hAnsi="Times New Roman" w:cs="Times New Roman"/>
          <w:sz w:val="24"/>
          <w:szCs w:val="24"/>
        </w:rPr>
        <w:t>.</w:t>
      </w:r>
    </w:p>
    <w:p w14:paraId="4339312F"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Hardwick J, Al-Riyami A. Blood storage and transportation. ISBT Science Series. 2020;15(S1):232–54. </w:t>
      </w:r>
      <w:hyperlink r:id="rId26" w:history="1">
        <w:r w:rsidRPr="00B0771C">
          <w:rPr>
            <w:rStyle w:val="Hyperlink"/>
            <w:rFonts w:ascii="Times New Roman" w:hAnsi="Times New Roman" w:cs="Times New Roman"/>
            <w:sz w:val="24"/>
            <w:szCs w:val="24"/>
          </w:rPr>
          <w:t>https://doi.org/10.1111/voxs.12599</w:t>
        </w:r>
      </w:hyperlink>
      <w:r w:rsidRPr="00B0771C">
        <w:rPr>
          <w:rFonts w:ascii="Times New Roman" w:hAnsi="Times New Roman" w:cs="Times New Roman"/>
          <w:sz w:val="24"/>
          <w:szCs w:val="24"/>
        </w:rPr>
        <w:t>.</w:t>
      </w:r>
    </w:p>
    <w:p w14:paraId="0420A986"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Alagarasu K, Kakade MB, Bachal RV, Bote M, Parashar D, Shah PS. Use of whole blood over plasma enhances the detection of dengue virus RNA: possible utility in dengue vaccine trials. Arch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2021;166(2):587–91. </w:t>
      </w:r>
      <w:hyperlink r:id="rId27" w:history="1">
        <w:r w:rsidRPr="00B0771C">
          <w:rPr>
            <w:rStyle w:val="Hyperlink"/>
            <w:rFonts w:ascii="Times New Roman" w:hAnsi="Times New Roman" w:cs="Times New Roman"/>
            <w:sz w:val="24"/>
            <w:szCs w:val="24"/>
          </w:rPr>
          <w:t>https://doi.org/10.1007/s00705-020-04892-0</w:t>
        </w:r>
      </w:hyperlink>
      <w:r w:rsidRPr="00B0771C">
        <w:rPr>
          <w:rFonts w:ascii="Times New Roman" w:hAnsi="Times New Roman" w:cs="Times New Roman"/>
          <w:sz w:val="24"/>
          <w:szCs w:val="24"/>
        </w:rPr>
        <w:t>.</w:t>
      </w:r>
    </w:p>
    <w:p w14:paraId="74143E2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266D0F">
        <w:rPr>
          <w:rFonts w:ascii="Times New Roman" w:hAnsi="Times New Roman" w:cs="Times New Roman"/>
          <w:sz w:val="24"/>
          <w:szCs w:val="24"/>
        </w:rPr>
        <w:t xml:space="preserve">Séverine M, Meynard JB, Lacoste V, Morvan J, Deparis X. Use of capillary blood samples as a new approach for </w:t>
      </w:r>
      <w:r w:rsidRPr="00B0771C">
        <w:rPr>
          <w:rFonts w:ascii="Times New Roman" w:hAnsi="Times New Roman" w:cs="Times New Roman"/>
          <w:sz w:val="24"/>
          <w:szCs w:val="24"/>
        </w:rPr>
        <w:t xml:space="preserve">diagnosis of dengue virus infection. J Clin Microbiol. 2007;45:887–90. </w:t>
      </w:r>
      <w:hyperlink r:id="rId28" w:history="1">
        <w:r w:rsidRPr="00B0771C">
          <w:rPr>
            <w:rStyle w:val="Hyperlink"/>
            <w:rFonts w:ascii="Times New Roman" w:hAnsi="Times New Roman" w:cs="Times New Roman"/>
            <w:sz w:val="24"/>
            <w:szCs w:val="24"/>
          </w:rPr>
          <w:t>https://doi.org/10.1128/JCM.02063-06</w:t>
        </w:r>
      </w:hyperlink>
      <w:r w:rsidRPr="00B0771C">
        <w:rPr>
          <w:rFonts w:ascii="Times New Roman" w:hAnsi="Times New Roman" w:cs="Times New Roman"/>
          <w:sz w:val="24"/>
          <w:szCs w:val="24"/>
        </w:rPr>
        <w:t>.</w:t>
      </w:r>
    </w:p>
    <w:p w14:paraId="47A1ABD9"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266D0F">
        <w:rPr>
          <w:rFonts w:ascii="Times New Roman" w:hAnsi="Times New Roman" w:cs="Times New Roman"/>
          <w:sz w:val="24"/>
          <w:szCs w:val="24"/>
        </w:rPr>
        <w:t xml:space="preserve">Recommendations for laboratory detection and diagnosis of arbovirus infections in the Region of the Americas. </w:t>
      </w:r>
      <w:r w:rsidRPr="00B0771C">
        <w:rPr>
          <w:rFonts w:ascii="Times New Roman" w:hAnsi="Times New Roman" w:cs="Times New Roman"/>
          <w:sz w:val="24"/>
          <w:szCs w:val="24"/>
        </w:rPr>
        <w:t xml:space="preserve">Washington, DC: Pan American Health Organization; 2023. </w:t>
      </w:r>
      <w:hyperlink r:id="rId29" w:history="1">
        <w:r w:rsidRPr="00B0771C">
          <w:rPr>
            <w:rStyle w:val="Hyperlink"/>
            <w:rFonts w:ascii="Times New Roman" w:hAnsi="Times New Roman" w:cs="Times New Roman"/>
            <w:sz w:val="24"/>
            <w:szCs w:val="24"/>
          </w:rPr>
          <w:t>https://iris.paho.org/handle/10665.2/57555</w:t>
        </w:r>
      </w:hyperlink>
      <w:r w:rsidRPr="00B0771C">
        <w:rPr>
          <w:rFonts w:ascii="Times New Roman" w:hAnsi="Times New Roman" w:cs="Times New Roman"/>
          <w:sz w:val="24"/>
          <w:szCs w:val="24"/>
        </w:rPr>
        <w:t>.</w:t>
      </w:r>
    </w:p>
    <w:p w14:paraId="204A6E8A"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CD7A73">
        <w:rPr>
          <w:rFonts w:ascii="Times New Roman" w:hAnsi="Times New Roman" w:cs="Times New Roman"/>
          <w:sz w:val="24"/>
          <w:szCs w:val="24"/>
        </w:rPr>
        <w:lastRenderedPageBreak/>
        <w:t xml:space="preserve">Guidance on regulations for the transport of infectious substances, 2023–2024: applicable as from 1 October </w:t>
      </w:r>
      <w:r w:rsidRPr="00B0771C">
        <w:rPr>
          <w:rFonts w:ascii="Times New Roman" w:hAnsi="Times New Roman" w:cs="Times New Roman"/>
          <w:sz w:val="24"/>
          <w:szCs w:val="24"/>
        </w:rPr>
        <w:t xml:space="preserve">2023. Geneva: World Health Organization; 2024. </w:t>
      </w:r>
      <w:hyperlink r:id="rId30" w:history="1">
        <w:r w:rsidRPr="00B0771C">
          <w:rPr>
            <w:rStyle w:val="Hyperlink"/>
            <w:rFonts w:ascii="Times New Roman" w:hAnsi="Times New Roman" w:cs="Times New Roman"/>
            <w:sz w:val="24"/>
            <w:szCs w:val="24"/>
          </w:rPr>
          <w:t>https://iris.who.int/handle/10665/376214</w:t>
        </w:r>
      </w:hyperlink>
      <w:r w:rsidRPr="00B0771C">
        <w:rPr>
          <w:rFonts w:ascii="Times New Roman" w:hAnsi="Times New Roman" w:cs="Times New Roman"/>
          <w:sz w:val="24"/>
          <w:szCs w:val="24"/>
        </w:rPr>
        <w:t>.</w:t>
      </w:r>
    </w:p>
    <w:p w14:paraId="627F5B47"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0C37D8">
        <w:rPr>
          <w:rFonts w:ascii="Times New Roman" w:hAnsi="Times New Roman" w:cs="Times New Roman"/>
          <w:sz w:val="24"/>
          <w:szCs w:val="24"/>
        </w:rPr>
        <w:t xml:space="preserve">Mat Jusoh TNA, Shueb RH. Performance evaluation of commercial dengue diagnostic tests for early detection </w:t>
      </w:r>
      <w:r w:rsidRPr="00B0771C">
        <w:rPr>
          <w:rFonts w:ascii="Times New Roman" w:hAnsi="Times New Roman" w:cs="Times New Roman"/>
          <w:sz w:val="24"/>
          <w:szCs w:val="24"/>
        </w:rPr>
        <w:t xml:space="preserve">of dengue in clinical samples. J Trop Med. 2017;2017:4687182 . </w:t>
      </w:r>
      <w:hyperlink r:id="rId31" w:history="1">
        <w:r w:rsidRPr="00B0771C">
          <w:rPr>
            <w:rStyle w:val="Hyperlink"/>
            <w:rFonts w:ascii="Times New Roman" w:hAnsi="Times New Roman" w:cs="Times New Roman"/>
            <w:sz w:val="24"/>
            <w:szCs w:val="24"/>
          </w:rPr>
          <w:t>https://doi.org/10.1155/2017/4687182</w:t>
        </w:r>
      </w:hyperlink>
      <w:r w:rsidRPr="00B0771C">
        <w:rPr>
          <w:rFonts w:ascii="Times New Roman" w:hAnsi="Times New Roman" w:cs="Times New Roman"/>
          <w:sz w:val="24"/>
          <w:szCs w:val="24"/>
        </w:rPr>
        <w:t>.</w:t>
      </w:r>
    </w:p>
    <w:p w14:paraId="4ADDA702"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0C37D8">
        <w:rPr>
          <w:rFonts w:ascii="Times New Roman" w:hAnsi="Times New Roman" w:cs="Times New Roman"/>
          <w:sz w:val="24"/>
          <w:szCs w:val="24"/>
        </w:rPr>
        <w:t>Rashiku</w:t>
      </w:r>
      <w:proofErr w:type="spellEnd"/>
      <w:r w:rsidRPr="000C37D8">
        <w:rPr>
          <w:rFonts w:ascii="Times New Roman" w:hAnsi="Times New Roman" w:cs="Times New Roman"/>
          <w:sz w:val="24"/>
          <w:szCs w:val="24"/>
        </w:rPr>
        <w:t xml:space="preserve"> M, Manoharan K, Rani N, Samal J, Gupta E, Bhattacharya S. Performance evaluation of a rapid dengue </w:t>
      </w:r>
      <w:r w:rsidRPr="00B0771C">
        <w:rPr>
          <w:rFonts w:ascii="Times New Roman" w:hAnsi="Times New Roman" w:cs="Times New Roman"/>
          <w:sz w:val="24"/>
          <w:szCs w:val="24"/>
        </w:rPr>
        <w:t xml:space="preserve">NS1 antigen lateral flow immunoassay test with reference to dengue NS1 antigen-capture ELISA. J Clin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Plus. 2023;3(2):100144 . </w:t>
      </w:r>
      <w:hyperlink r:id="rId32" w:history="1">
        <w:r w:rsidRPr="00B0771C">
          <w:rPr>
            <w:rStyle w:val="Hyperlink"/>
            <w:rFonts w:ascii="Times New Roman" w:hAnsi="Times New Roman" w:cs="Times New Roman"/>
            <w:sz w:val="24"/>
            <w:szCs w:val="24"/>
          </w:rPr>
          <w:t>https://doi.org/10.1016/j.jcvp.2023.100144</w:t>
        </w:r>
      </w:hyperlink>
      <w:r w:rsidRPr="00B0771C">
        <w:rPr>
          <w:rFonts w:ascii="Times New Roman" w:hAnsi="Times New Roman" w:cs="Times New Roman"/>
          <w:sz w:val="24"/>
          <w:szCs w:val="24"/>
        </w:rPr>
        <w:t>.</w:t>
      </w:r>
    </w:p>
    <w:p w14:paraId="345CC70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FE0379">
        <w:rPr>
          <w:rFonts w:ascii="Times New Roman" w:hAnsi="Times New Roman" w:cs="Times New Roman"/>
          <w:sz w:val="24"/>
          <w:szCs w:val="24"/>
        </w:rPr>
        <w:t>Tang KF, Ooi EE. Diagnosis of dengue: an update. Expert Rev Anti Infect Ther. 2012;10(8):895–907</w:t>
      </w:r>
      <w:r w:rsidRPr="00B0771C">
        <w:rPr>
          <w:rFonts w:ascii="Times New Roman" w:hAnsi="Times New Roman" w:cs="Times New Roman"/>
          <w:sz w:val="24"/>
          <w:szCs w:val="24"/>
        </w:rPr>
        <w:t xml:space="preserve">. </w:t>
      </w:r>
      <w:hyperlink r:id="rId33" w:history="1">
        <w:r w:rsidRPr="00B0771C">
          <w:rPr>
            <w:rStyle w:val="Hyperlink"/>
            <w:rFonts w:ascii="Times New Roman" w:hAnsi="Times New Roman" w:cs="Times New Roman"/>
            <w:sz w:val="24"/>
            <w:szCs w:val="24"/>
          </w:rPr>
          <w:t>https://doi.org/10.1586/eri.12.76</w:t>
        </w:r>
      </w:hyperlink>
      <w:r w:rsidRPr="00B0771C">
        <w:rPr>
          <w:rFonts w:ascii="Times New Roman" w:hAnsi="Times New Roman" w:cs="Times New Roman"/>
          <w:sz w:val="24"/>
          <w:szCs w:val="24"/>
        </w:rPr>
        <w:t>.</w:t>
      </w:r>
    </w:p>
    <w:p w14:paraId="664B2B95"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FE0379">
        <w:rPr>
          <w:rFonts w:ascii="Times New Roman" w:hAnsi="Times New Roman" w:cs="Times New Roman"/>
          <w:sz w:val="24"/>
          <w:szCs w:val="24"/>
        </w:rPr>
        <w:t xml:space="preserve">Peeling RW, </w:t>
      </w:r>
      <w:proofErr w:type="spellStart"/>
      <w:r w:rsidRPr="00FE0379">
        <w:rPr>
          <w:rFonts w:ascii="Times New Roman" w:hAnsi="Times New Roman" w:cs="Times New Roman"/>
          <w:sz w:val="24"/>
          <w:szCs w:val="24"/>
        </w:rPr>
        <w:t>Artsob</w:t>
      </w:r>
      <w:proofErr w:type="spellEnd"/>
      <w:r w:rsidRPr="00FE0379">
        <w:rPr>
          <w:rFonts w:ascii="Times New Roman" w:hAnsi="Times New Roman" w:cs="Times New Roman"/>
          <w:sz w:val="24"/>
          <w:szCs w:val="24"/>
        </w:rPr>
        <w:t xml:space="preserve"> H, </w:t>
      </w:r>
      <w:proofErr w:type="spellStart"/>
      <w:r w:rsidRPr="00FE0379">
        <w:rPr>
          <w:rFonts w:ascii="Times New Roman" w:hAnsi="Times New Roman" w:cs="Times New Roman"/>
          <w:sz w:val="24"/>
          <w:szCs w:val="24"/>
        </w:rPr>
        <w:t>Pelegrino</w:t>
      </w:r>
      <w:proofErr w:type="spellEnd"/>
      <w:r w:rsidRPr="00FE0379">
        <w:rPr>
          <w:rFonts w:ascii="Times New Roman" w:hAnsi="Times New Roman" w:cs="Times New Roman"/>
          <w:sz w:val="24"/>
          <w:szCs w:val="24"/>
        </w:rPr>
        <w:t xml:space="preserve"> JL, Buchy P, Cardosa MJ, Devi S et al. Evaluation of diagnostic tests: dengue. Nat </w:t>
      </w:r>
      <w:r w:rsidRPr="00B0771C">
        <w:rPr>
          <w:rFonts w:ascii="Times New Roman" w:hAnsi="Times New Roman" w:cs="Times New Roman"/>
          <w:sz w:val="24"/>
          <w:szCs w:val="24"/>
        </w:rPr>
        <w:t xml:space="preserve">Rev </w:t>
      </w:r>
      <w:proofErr w:type="spellStart"/>
      <w:r w:rsidRPr="00B0771C">
        <w:rPr>
          <w:rFonts w:ascii="Times New Roman" w:hAnsi="Times New Roman" w:cs="Times New Roman"/>
          <w:sz w:val="24"/>
          <w:szCs w:val="24"/>
        </w:rPr>
        <w:t>Microbiol</w:t>
      </w:r>
      <w:proofErr w:type="spellEnd"/>
      <w:r w:rsidRPr="00B0771C">
        <w:rPr>
          <w:rFonts w:ascii="Times New Roman" w:hAnsi="Times New Roman" w:cs="Times New Roman"/>
          <w:sz w:val="24"/>
          <w:szCs w:val="24"/>
        </w:rPr>
        <w:t xml:space="preserve">. 2010 ;8(12):S30–7. </w:t>
      </w:r>
      <w:hyperlink r:id="rId34" w:history="1">
        <w:r w:rsidRPr="00B0771C">
          <w:rPr>
            <w:rStyle w:val="Hyperlink"/>
            <w:rFonts w:ascii="Times New Roman" w:hAnsi="Times New Roman" w:cs="Times New Roman"/>
            <w:sz w:val="24"/>
            <w:szCs w:val="24"/>
          </w:rPr>
          <w:t>https://doi.org/10.1038/nrmicro2459</w:t>
        </w:r>
      </w:hyperlink>
      <w:r w:rsidRPr="00B0771C">
        <w:rPr>
          <w:rFonts w:ascii="Times New Roman" w:hAnsi="Times New Roman" w:cs="Times New Roman"/>
          <w:sz w:val="24"/>
          <w:szCs w:val="24"/>
        </w:rPr>
        <w:t>.</w:t>
      </w:r>
    </w:p>
    <w:p w14:paraId="6CD3D223"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Goh VSL, Ang CCW, Low SL, Lee PX, </w:t>
      </w:r>
      <w:proofErr w:type="spellStart"/>
      <w:r w:rsidRPr="00B0771C">
        <w:rPr>
          <w:rFonts w:ascii="Times New Roman" w:hAnsi="Times New Roman" w:cs="Times New Roman"/>
          <w:sz w:val="24"/>
          <w:szCs w:val="24"/>
        </w:rPr>
        <w:t>Setoh</w:t>
      </w:r>
      <w:proofErr w:type="spellEnd"/>
      <w:r w:rsidRPr="00B0771C">
        <w:rPr>
          <w:rFonts w:ascii="Times New Roman" w:hAnsi="Times New Roman" w:cs="Times New Roman"/>
          <w:sz w:val="24"/>
          <w:szCs w:val="24"/>
        </w:rPr>
        <w:t xml:space="preserve"> YX, Wong JCC. Evaluation of three alternative methods to the plaque reduction neutralizing assay for measuring neutralizing antibodies to dengue virus serotype 2. </w:t>
      </w:r>
      <w:proofErr w:type="spellStart"/>
      <w:r w:rsidRPr="00B0771C">
        <w:rPr>
          <w:rFonts w:ascii="Times New Roman" w:hAnsi="Times New Roman" w:cs="Times New Roman"/>
          <w:sz w:val="24"/>
          <w:szCs w:val="24"/>
        </w:rPr>
        <w:t>Virol</w:t>
      </w:r>
      <w:proofErr w:type="spellEnd"/>
      <w:r w:rsidRPr="00B0771C">
        <w:rPr>
          <w:rFonts w:ascii="Times New Roman" w:hAnsi="Times New Roman" w:cs="Times New Roman"/>
          <w:sz w:val="24"/>
          <w:szCs w:val="24"/>
        </w:rPr>
        <w:t xml:space="preserve"> J. 2024;21(1):208. </w:t>
      </w:r>
      <w:hyperlink r:id="rId35" w:history="1">
        <w:r w:rsidRPr="00B0771C">
          <w:rPr>
            <w:rStyle w:val="Hyperlink"/>
            <w:rFonts w:ascii="Times New Roman" w:hAnsi="Times New Roman" w:cs="Times New Roman"/>
            <w:sz w:val="24"/>
            <w:szCs w:val="24"/>
          </w:rPr>
          <w:t>https://doi.org/10.1186/s12985-024-02459-y</w:t>
        </w:r>
      </w:hyperlink>
      <w:r w:rsidRPr="00B0771C">
        <w:rPr>
          <w:rFonts w:ascii="Times New Roman" w:hAnsi="Times New Roman" w:cs="Times New Roman"/>
          <w:sz w:val="24"/>
          <w:szCs w:val="24"/>
        </w:rPr>
        <w:t>.</w:t>
      </w:r>
    </w:p>
    <w:p w14:paraId="15316ED8"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proofErr w:type="spellStart"/>
      <w:r w:rsidRPr="00FE0379">
        <w:rPr>
          <w:rFonts w:ascii="Times New Roman" w:hAnsi="Times New Roman" w:cs="Times New Roman"/>
          <w:sz w:val="24"/>
          <w:szCs w:val="24"/>
        </w:rPr>
        <w:t>Jarman</w:t>
      </w:r>
      <w:proofErr w:type="spellEnd"/>
      <w:r w:rsidRPr="00FE0379">
        <w:rPr>
          <w:rFonts w:ascii="Times New Roman" w:hAnsi="Times New Roman" w:cs="Times New Roman"/>
          <w:sz w:val="24"/>
          <w:szCs w:val="24"/>
        </w:rPr>
        <w:t xml:space="preserve"> RG, </w:t>
      </w:r>
      <w:proofErr w:type="spellStart"/>
      <w:r w:rsidRPr="00FE0379">
        <w:rPr>
          <w:rFonts w:ascii="Times New Roman" w:hAnsi="Times New Roman" w:cs="Times New Roman"/>
          <w:sz w:val="24"/>
          <w:szCs w:val="24"/>
        </w:rPr>
        <w:t>Nisalak</w:t>
      </w:r>
      <w:proofErr w:type="spellEnd"/>
      <w:r w:rsidRPr="00FE0379">
        <w:rPr>
          <w:rFonts w:ascii="Times New Roman" w:hAnsi="Times New Roman" w:cs="Times New Roman"/>
          <w:sz w:val="24"/>
          <w:szCs w:val="24"/>
        </w:rPr>
        <w:t xml:space="preserve"> A, Anderson KB, </w:t>
      </w:r>
      <w:proofErr w:type="spellStart"/>
      <w:r w:rsidRPr="00FE0379">
        <w:rPr>
          <w:rFonts w:ascii="Times New Roman" w:hAnsi="Times New Roman" w:cs="Times New Roman"/>
          <w:sz w:val="24"/>
          <w:szCs w:val="24"/>
        </w:rPr>
        <w:t>Klungthong</w:t>
      </w:r>
      <w:proofErr w:type="spellEnd"/>
      <w:r w:rsidRPr="00FE0379">
        <w:rPr>
          <w:rFonts w:ascii="Times New Roman" w:hAnsi="Times New Roman" w:cs="Times New Roman"/>
          <w:sz w:val="24"/>
          <w:szCs w:val="24"/>
        </w:rPr>
        <w:t xml:space="preserve"> C, </w:t>
      </w:r>
      <w:proofErr w:type="spellStart"/>
      <w:r w:rsidRPr="00FE0379">
        <w:rPr>
          <w:rFonts w:ascii="Times New Roman" w:hAnsi="Times New Roman" w:cs="Times New Roman"/>
          <w:sz w:val="24"/>
          <w:szCs w:val="24"/>
        </w:rPr>
        <w:t>Thaisomboonsuk</w:t>
      </w:r>
      <w:proofErr w:type="spellEnd"/>
      <w:r w:rsidRPr="00FE0379">
        <w:rPr>
          <w:rFonts w:ascii="Times New Roman" w:hAnsi="Times New Roman" w:cs="Times New Roman"/>
          <w:sz w:val="24"/>
          <w:szCs w:val="24"/>
        </w:rPr>
        <w:t xml:space="preserve"> B, </w:t>
      </w:r>
      <w:proofErr w:type="spellStart"/>
      <w:r w:rsidRPr="00FE0379">
        <w:rPr>
          <w:rFonts w:ascii="Times New Roman" w:hAnsi="Times New Roman" w:cs="Times New Roman"/>
          <w:sz w:val="24"/>
          <w:szCs w:val="24"/>
        </w:rPr>
        <w:t>Kaneechit</w:t>
      </w:r>
      <w:proofErr w:type="spellEnd"/>
      <w:r w:rsidRPr="00FE0379">
        <w:rPr>
          <w:rFonts w:ascii="Times New Roman" w:hAnsi="Times New Roman" w:cs="Times New Roman"/>
          <w:sz w:val="24"/>
          <w:szCs w:val="24"/>
        </w:rPr>
        <w:t xml:space="preserve"> W et al. Factors influencing </w:t>
      </w:r>
      <w:r w:rsidRPr="00B0771C">
        <w:rPr>
          <w:rFonts w:ascii="Times New Roman" w:hAnsi="Times New Roman" w:cs="Times New Roman"/>
          <w:sz w:val="24"/>
          <w:szCs w:val="24"/>
        </w:rPr>
        <w:t xml:space="preserve">dengue virus isolation by C6/36 cell culture and mosquito inoculation of nested PCR-positive clinical samples. Am J Trop Med </w:t>
      </w:r>
      <w:proofErr w:type="spellStart"/>
      <w:r w:rsidRPr="00B0771C">
        <w:rPr>
          <w:rFonts w:ascii="Times New Roman" w:hAnsi="Times New Roman" w:cs="Times New Roman"/>
          <w:sz w:val="24"/>
          <w:szCs w:val="24"/>
        </w:rPr>
        <w:t>Hyg</w:t>
      </w:r>
      <w:proofErr w:type="spellEnd"/>
      <w:r w:rsidRPr="00B0771C">
        <w:rPr>
          <w:rFonts w:ascii="Times New Roman" w:hAnsi="Times New Roman" w:cs="Times New Roman"/>
          <w:sz w:val="24"/>
          <w:szCs w:val="24"/>
        </w:rPr>
        <w:t xml:space="preserve">. 2011 ;84(2):218–23. </w:t>
      </w:r>
      <w:hyperlink r:id="rId36" w:history="1">
        <w:r w:rsidRPr="00B0771C">
          <w:rPr>
            <w:rStyle w:val="Hyperlink"/>
            <w:rFonts w:ascii="Times New Roman" w:hAnsi="Times New Roman" w:cs="Times New Roman"/>
            <w:sz w:val="24"/>
            <w:szCs w:val="24"/>
          </w:rPr>
          <w:t>https://doi.org/10.4269/ajtmh.2011.09-0798</w:t>
        </w:r>
      </w:hyperlink>
      <w:r w:rsidRPr="00B0771C">
        <w:rPr>
          <w:rFonts w:ascii="Times New Roman" w:hAnsi="Times New Roman" w:cs="Times New Roman"/>
          <w:sz w:val="24"/>
          <w:szCs w:val="24"/>
        </w:rPr>
        <w:t>.</w:t>
      </w:r>
    </w:p>
    <w:p w14:paraId="24761E20"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lastRenderedPageBreak/>
        <w:t xml:space="preserve">Rahim R, Hasan A, </w:t>
      </w:r>
      <w:proofErr w:type="spellStart"/>
      <w:r w:rsidRPr="00E42A17">
        <w:rPr>
          <w:rFonts w:ascii="Times New Roman" w:hAnsi="Times New Roman" w:cs="Times New Roman"/>
          <w:sz w:val="24"/>
          <w:szCs w:val="24"/>
        </w:rPr>
        <w:t>Phadungsombat</w:t>
      </w:r>
      <w:proofErr w:type="spellEnd"/>
      <w:r w:rsidRPr="00E42A17">
        <w:rPr>
          <w:rFonts w:ascii="Times New Roman" w:hAnsi="Times New Roman" w:cs="Times New Roman"/>
          <w:sz w:val="24"/>
          <w:szCs w:val="24"/>
        </w:rPr>
        <w:t xml:space="preserve"> J, Hasan N, Ara N, Biswas SM et al. Genetic analysis of dengue virus in severe </w:t>
      </w:r>
      <w:r w:rsidRPr="00B0771C">
        <w:rPr>
          <w:rFonts w:ascii="Times New Roman" w:hAnsi="Times New Roman" w:cs="Times New Roman"/>
          <w:sz w:val="24"/>
          <w:szCs w:val="24"/>
        </w:rPr>
        <w:t xml:space="preserve">and non-severe cases in Dhaka, Bangladesh, in 2018–2022. Viruses. 2023;15(5):1144. </w:t>
      </w:r>
      <w:hyperlink r:id="rId37" w:history="1">
        <w:r w:rsidRPr="00B0771C">
          <w:rPr>
            <w:rStyle w:val="Hyperlink"/>
            <w:rFonts w:ascii="Times New Roman" w:hAnsi="Times New Roman" w:cs="Times New Roman"/>
            <w:sz w:val="24"/>
            <w:szCs w:val="24"/>
          </w:rPr>
          <w:t>https://doi.org/10.3390/v15051144</w:t>
        </w:r>
      </w:hyperlink>
      <w:r w:rsidRPr="00B0771C">
        <w:rPr>
          <w:rFonts w:ascii="Times New Roman" w:hAnsi="Times New Roman" w:cs="Times New Roman"/>
          <w:sz w:val="24"/>
          <w:szCs w:val="24"/>
        </w:rPr>
        <w:t>.</w:t>
      </w:r>
    </w:p>
    <w:p w14:paraId="626E7A4E"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Vogels C, Hill V, </w:t>
      </w:r>
      <w:proofErr w:type="spellStart"/>
      <w:r w:rsidRPr="00E42A17">
        <w:rPr>
          <w:rFonts w:ascii="Times New Roman" w:hAnsi="Times New Roman" w:cs="Times New Roman"/>
          <w:sz w:val="24"/>
          <w:szCs w:val="24"/>
        </w:rPr>
        <w:t>Breban</w:t>
      </w:r>
      <w:proofErr w:type="spellEnd"/>
      <w:r w:rsidRPr="00E42A17">
        <w:rPr>
          <w:rFonts w:ascii="Times New Roman" w:hAnsi="Times New Roman" w:cs="Times New Roman"/>
          <w:sz w:val="24"/>
          <w:szCs w:val="24"/>
        </w:rPr>
        <w:t xml:space="preserve"> MI, </w:t>
      </w:r>
      <w:proofErr w:type="spellStart"/>
      <w:r w:rsidRPr="00E42A17">
        <w:rPr>
          <w:rFonts w:ascii="Times New Roman" w:hAnsi="Times New Roman" w:cs="Times New Roman"/>
          <w:sz w:val="24"/>
          <w:szCs w:val="24"/>
        </w:rPr>
        <w:t>Chaguza</w:t>
      </w:r>
      <w:proofErr w:type="spellEnd"/>
      <w:r w:rsidRPr="00E42A17">
        <w:rPr>
          <w:rFonts w:ascii="Times New Roman" w:hAnsi="Times New Roman" w:cs="Times New Roman"/>
          <w:sz w:val="24"/>
          <w:szCs w:val="24"/>
        </w:rPr>
        <w:t xml:space="preserve"> C, Paul LM, </w:t>
      </w:r>
      <w:proofErr w:type="spellStart"/>
      <w:r w:rsidRPr="00E42A17">
        <w:rPr>
          <w:rFonts w:ascii="Times New Roman" w:hAnsi="Times New Roman" w:cs="Times New Roman"/>
          <w:sz w:val="24"/>
          <w:szCs w:val="24"/>
        </w:rPr>
        <w:t>Sodeinde</w:t>
      </w:r>
      <w:proofErr w:type="spellEnd"/>
      <w:r w:rsidRPr="00E42A17">
        <w:rPr>
          <w:rFonts w:ascii="Times New Roman" w:hAnsi="Times New Roman" w:cs="Times New Roman"/>
          <w:sz w:val="24"/>
          <w:szCs w:val="24"/>
        </w:rPr>
        <w:t xml:space="preserve"> A et al. </w:t>
      </w:r>
      <w:proofErr w:type="spellStart"/>
      <w:r w:rsidRPr="00E42A17">
        <w:rPr>
          <w:rFonts w:ascii="Times New Roman" w:hAnsi="Times New Roman" w:cs="Times New Roman"/>
          <w:sz w:val="24"/>
          <w:szCs w:val="24"/>
        </w:rPr>
        <w:t>DengueSeq</w:t>
      </w:r>
      <w:proofErr w:type="spellEnd"/>
      <w:r w:rsidRPr="00E42A17">
        <w:rPr>
          <w:rFonts w:ascii="Times New Roman" w:hAnsi="Times New Roman" w:cs="Times New Roman"/>
          <w:sz w:val="24"/>
          <w:szCs w:val="24"/>
        </w:rPr>
        <w:t xml:space="preserve">: a pan-serotype whole genome </w:t>
      </w:r>
      <w:r w:rsidRPr="00B0771C">
        <w:rPr>
          <w:rFonts w:ascii="Times New Roman" w:hAnsi="Times New Roman" w:cs="Times New Roman"/>
          <w:sz w:val="24"/>
          <w:szCs w:val="24"/>
        </w:rPr>
        <w:t xml:space="preserve">amplicon sequencing protocol for dengue virus. BMC Genomics. 2024;25:433 . </w:t>
      </w:r>
      <w:hyperlink r:id="rId38" w:history="1">
        <w:r w:rsidRPr="00B0771C">
          <w:rPr>
            <w:rStyle w:val="Hyperlink"/>
            <w:rFonts w:ascii="Times New Roman" w:hAnsi="Times New Roman" w:cs="Times New Roman"/>
            <w:sz w:val="24"/>
            <w:szCs w:val="24"/>
          </w:rPr>
          <w:t>https://doi.org/10.1186/s12864-024-10350-x</w:t>
        </w:r>
      </w:hyperlink>
      <w:r w:rsidRPr="00B0771C">
        <w:rPr>
          <w:rFonts w:ascii="Times New Roman" w:hAnsi="Times New Roman" w:cs="Times New Roman"/>
          <w:sz w:val="24"/>
          <w:szCs w:val="24"/>
        </w:rPr>
        <w:t>.</w:t>
      </w:r>
    </w:p>
    <w:p w14:paraId="4356E385"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Global genomic surveillance strategy for pathogens with pandemic and epidemic potential, 2022–2032. Geneva: </w:t>
      </w:r>
      <w:r w:rsidRPr="00B0771C">
        <w:rPr>
          <w:rFonts w:ascii="Times New Roman" w:hAnsi="Times New Roman" w:cs="Times New Roman"/>
          <w:sz w:val="24"/>
          <w:szCs w:val="24"/>
        </w:rPr>
        <w:t xml:space="preserve">World Health Organization; 2022 </w:t>
      </w:r>
      <w:hyperlink r:id="rId39" w:history="1">
        <w:r w:rsidRPr="00B0771C">
          <w:rPr>
            <w:rStyle w:val="Hyperlink"/>
            <w:rFonts w:ascii="Times New Roman" w:hAnsi="Times New Roman" w:cs="Times New Roman"/>
            <w:sz w:val="24"/>
            <w:szCs w:val="24"/>
          </w:rPr>
          <w:t>https://iris.who.int/handle/10665/352580</w:t>
        </w:r>
      </w:hyperlink>
      <w:r w:rsidRPr="00B0771C">
        <w:rPr>
          <w:rFonts w:ascii="Times New Roman" w:hAnsi="Times New Roman" w:cs="Times New Roman"/>
          <w:sz w:val="24"/>
          <w:szCs w:val="24"/>
        </w:rPr>
        <w:t>.</w:t>
      </w:r>
    </w:p>
    <w:p w14:paraId="77632F58"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Biggs JR, Sy AK, Ashall J, Santoso MS, Brady OJ, Reyes MAJ et al. Combining rapid diagnostic tests to estimate </w:t>
      </w:r>
      <w:r w:rsidRPr="00B0771C">
        <w:rPr>
          <w:rFonts w:ascii="Times New Roman" w:hAnsi="Times New Roman" w:cs="Times New Roman"/>
          <w:sz w:val="24"/>
          <w:szCs w:val="24"/>
        </w:rPr>
        <w:t xml:space="preserve">primary and post-primary dengue immune status at the point of care. </w:t>
      </w:r>
      <w:proofErr w:type="spellStart"/>
      <w:r w:rsidRPr="00B0771C">
        <w:rPr>
          <w:rFonts w:ascii="Times New Roman" w:hAnsi="Times New Roman" w:cs="Times New Roman"/>
          <w:sz w:val="24"/>
          <w:szCs w:val="24"/>
        </w:rPr>
        <w:t>PLoS</w:t>
      </w:r>
      <w:proofErr w:type="spellEnd"/>
      <w:r w:rsidRPr="00B0771C">
        <w:rPr>
          <w:rFonts w:ascii="Times New Roman" w:hAnsi="Times New Roman" w:cs="Times New Roman"/>
          <w:sz w:val="24"/>
          <w:szCs w:val="24"/>
        </w:rPr>
        <w:t xml:space="preserve"> </w:t>
      </w:r>
      <w:proofErr w:type="spellStart"/>
      <w:r w:rsidRPr="00B0771C">
        <w:rPr>
          <w:rFonts w:ascii="Times New Roman" w:hAnsi="Times New Roman" w:cs="Times New Roman"/>
          <w:sz w:val="24"/>
          <w:szCs w:val="24"/>
        </w:rPr>
        <w:t>Negl</w:t>
      </w:r>
      <w:proofErr w:type="spellEnd"/>
      <w:r w:rsidRPr="00B0771C">
        <w:rPr>
          <w:rFonts w:ascii="Times New Roman" w:hAnsi="Times New Roman" w:cs="Times New Roman"/>
          <w:sz w:val="24"/>
          <w:szCs w:val="24"/>
        </w:rPr>
        <w:t xml:space="preserve"> Trop Dis. 2022;16(5):e0010365. </w:t>
      </w:r>
      <w:hyperlink r:id="rId40" w:history="1">
        <w:r w:rsidRPr="00B0771C">
          <w:rPr>
            <w:rStyle w:val="Hyperlink"/>
            <w:rFonts w:ascii="Times New Roman" w:hAnsi="Times New Roman" w:cs="Times New Roman"/>
            <w:sz w:val="24"/>
            <w:szCs w:val="24"/>
          </w:rPr>
          <w:t>https://doi.org/10.1371/journal.pntd.0010365</w:t>
        </w:r>
      </w:hyperlink>
      <w:r w:rsidRPr="00B0771C">
        <w:rPr>
          <w:rFonts w:ascii="Times New Roman" w:hAnsi="Times New Roman" w:cs="Times New Roman"/>
          <w:sz w:val="24"/>
          <w:szCs w:val="24"/>
        </w:rPr>
        <w:t>.</w:t>
      </w:r>
    </w:p>
    <w:p w14:paraId="331C2E7E"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B0771C">
        <w:rPr>
          <w:rFonts w:ascii="Times New Roman" w:hAnsi="Times New Roman" w:cs="Times New Roman"/>
          <w:sz w:val="24"/>
          <w:szCs w:val="24"/>
        </w:rPr>
        <w:t xml:space="preserve">Laboratory biosafety manual, fourth edition. Geneva: World Health Organization; 2020. </w:t>
      </w:r>
      <w:hyperlink r:id="rId41" w:history="1">
        <w:r w:rsidRPr="00B0771C">
          <w:rPr>
            <w:rStyle w:val="Hyperlink"/>
            <w:rFonts w:ascii="Times New Roman" w:hAnsi="Times New Roman" w:cs="Times New Roman"/>
            <w:sz w:val="24"/>
            <w:szCs w:val="24"/>
          </w:rPr>
          <w:t>https://iris.who.int/handle/10665/337956</w:t>
        </w:r>
      </w:hyperlink>
      <w:r w:rsidRPr="00B0771C">
        <w:rPr>
          <w:rFonts w:ascii="Times New Roman" w:hAnsi="Times New Roman" w:cs="Times New Roman"/>
          <w:sz w:val="24"/>
          <w:szCs w:val="24"/>
        </w:rPr>
        <w:t xml:space="preserve"> .</w:t>
      </w:r>
    </w:p>
    <w:p w14:paraId="5B30646C"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 xml:space="preserve">Pok KY, Squires RC, Tan LK, Takasaki T, Abubakar S, Hasebe F et al. First round of external quality assessment of </w:t>
      </w:r>
      <w:r w:rsidRPr="00B0771C">
        <w:rPr>
          <w:rFonts w:ascii="Times New Roman" w:hAnsi="Times New Roman" w:cs="Times New Roman"/>
          <w:sz w:val="24"/>
          <w:szCs w:val="24"/>
        </w:rPr>
        <w:t xml:space="preserve">dengue diagnostics in the WHO Western Pacific Region, 2013. Western Pac </w:t>
      </w:r>
      <w:proofErr w:type="spellStart"/>
      <w:r w:rsidRPr="00B0771C">
        <w:rPr>
          <w:rFonts w:ascii="Times New Roman" w:hAnsi="Times New Roman" w:cs="Times New Roman"/>
          <w:sz w:val="24"/>
          <w:szCs w:val="24"/>
        </w:rPr>
        <w:t>Surveill</w:t>
      </w:r>
      <w:proofErr w:type="spellEnd"/>
      <w:r w:rsidRPr="00B0771C">
        <w:rPr>
          <w:rFonts w:ascii="Times New Roman" w:hAnsi="Times New Roman" w:cs="Times New Roman"/>
          <w:sz w:val="24"/>
          <w:szCs w:val="24"/>
        </w:rPr>
        <w:t xml:space="preserve"> Response J. 2015;6(2):73–81. </w:t>
      </w:r>
      <w:hyperlink r:id="rId42" w:history="1">
        <w:r w:rsidRPr="00B0771C">
          <w:rPr>
            <w:rStyle w:val="Hyperlink"/>
            <w:rFonts w:ascii="Times New Roman" w:hAnsi="Times New Roman" w:cs="Times New Roman"/>
            <w:sz w:val="24"/>
            <w:szCs w:val="24"/>
          </w:rPr>
          <w:t>https://doi.org/10.5365/WPSAR.2015.6.1.017</w:t>
        </w:r>
      </w:hyperlink>
      <w:r w:rsidRPr="00B0771C">
        <w:rPr>
          <w:rFonts w:ascii="Times New Roman" w:hAnsi="Times New Roman" w:cs="Times New Roman"/>
          <w:sz w:val="24"/>
          <w:szCs w:val="24"/>
        </w:rPr>
        <w:t>.</w:t>
      </w:r>
    </w:p>
    <w:p w14:paraId="6A897C77" w14:textId="77777777" w:rsidR="00590845" w:rsidRPr="00B0771C" w:rsidRDefault="00590845" w:rsidP="00590845">
      <w:pPr>
        <w:pStyle w:val="ListParagraph"/>
        <w:numPr>
          <w:ilvl w:val="0"/>
          <w:numId w:val="37"/>
        </w:numPr>
        <w:spacing w:line="480" w:lineRule="auto"/>
        <w:rPr>
          <w:rFonts w:ascii="Times New Roman" w:hAnsi="Times New Roman" w:cs="Times New Roman"/>
          <w:sz w:val="24"/>
          <w:szCs w:val="24"/>
        </w:rPr>
      </w:pPr>
      <w:r w:rsidRPr="00E42A17">
        <w:rPr>
          <w:rFonts w:ascii="Times New Roman" w:hAnsi="Times New Roman" w:cs="Times New Roman"/>
          <w:sz w:val="24"/>
          <w:szCs w:val="24"/>
        </w:rPr>
        <w:t>Laboratory quality management system (LQMS) training toolkit [website]. World Health Organization</w:t>
      </w:r>
      <w:r w:rsidRPr="00B0771C">
        <w:rPr>
          <w:rFonts w:ascii="Times New Roman" w:hAnsi="Times New Roman" w:cs="Times New Roman"/>
          <w:sz w:val="24"/>
          <w:szCs w:val="24"/>
        </w:rPr>
        <w:t xml:space="preserve">. </w:t>
      </w:r>
      <w:hyperlink r:id="rId43" w:history="1">
        <w:r w:rsidRPr="00B0771C">
          <w:rPr>
            <w:rStyle w:val="Hyperlink"/>
            <w:rFonts w:ascii="Times New Roman" w:hAnsi="Times New Roman" w:cs="Times New Roman"/>
            <w:sz w:val="24"/>
            <w:szCs w:val="24"/>
          </w:rPr>
          <w:t>https://extranet.who.int/hslp/content/LQMS-training-toolkit</w:t>
        </w:r>
      </w:hyperlink>
      <w:r w:rsidRPr="00B0771C">
        <w:rPr>
          <w:rFonts w:ascii="Times New Roman" w:hAnsi="Times New Roman" w:cs="Times New Roman"/>
          <w:sz w:val="24"/>
          <w:szCs w:val="24"/>
        </w:rPr>
        <w:t>.</w:t>
      </w:r>
    </w:p>
    <w:p w14:paraId="3F3F4398" w14:textId="631B7FD8" w:rsidR="009D4893" w:rsidRPr="00984FBA" w:rsidRDefault="00590845" w:rsidP="009D4893">
      <w:pPr>
        <w:pStyle w:val="ListParagraph"/>
        <w:numPr>
          <w:ilvl w:val="0"/>
          <w:numId w:val="37"/>
        </w:numPr>
        <w:spacing w:line="480" w:lineRule="auto"/>
        <w:rPr>
          <w:rFonts w:ascii="Times New Roman" w:hAnsi="Times New Roman" w:cs="Times New Roman"/>
          <w:sz w:val="24"/>
          <w:szCs w:val="24"/>
        </w:rPr>
      </w:pPr>
      <w:proofErr w:type="spellStart"/>
      <w:r w:rsidRPr="00B0771C">
        <w:rPr>
          <w:rFonts w:ascii="Times New Roman" w:hAnsi="Times New Roman" w:cs="Times New Roman"/>
          <w:sz w:val="24"/>
          <w:szCs w:val="24"/>
        </w:rPr>
        <w:t>Mwanyika</w:t>
      </w:r>
      <w:proofErr w:type="spellEnd"/>
      <w:r w:rsidRPr="00B0771C">
        <w:rPr>
          <w:rFonts w:ascii="Times New Roman" w:hAnsi="Times New Roman" w:cs="Times New Roman"/>
          <w:sz w:val="24"/>
          <w:szCs w:val="24"/>
        </w:rPr>
        <w:t xml:space="preserve"> GO, </w:t>
      </w:r>
      <w:proofErr w:type="spellStart"/>
      <w:r w:rsidRPr="00B0771C">
        <w:rPr>
          <w:rFonts w:ascii="Times New Roman" w:hAnsi="Times New Roman" w:cs="Times New Roman"/>
          <w:sz w:val="24"/>
          <w:szCs w:val="24"/>
        </w:rPr>
        <w:t>Mboera</w:t>
      </w:r>
      <w:proofErr w:type="spellEnd"/>
      <w:r w:rsidRPr="00B0771C">
        <w:rPr>
          <w:rFonts w:ascii="Times New Roman" w:hAnsi="Times New Roman" w:cs="Times New Roman"/>
          <w:sz w:val="24"/>
          <w:szCs w:val="24"/>
        </w:rPr>
        <w:t xml:space="preserve"> LEG, </w:t>
      </w:r>
      <w:proofErr w:type="spellStart"/>
      <w:r w:rsidRPr="00B0771C">
        <w:rPr>
          <w:rFonts w:ascii="Times New Roman" w:hAnsi="Times New Roman" w:cs="Times New Roman"/>
          <w:sz w:val="24"/>
          <w:szCs w:val="24"/>
        </w:rPr>
        <w:t>Rugarabamu</w:t>
      </w:r>
      <w:proofErr w:type="spellEnd"/>
      <w:r w:rsidRPr="00B0771C">
        <w:rPr>
          <w:rFonts w:ascii="Times New Roman" w:hAnsi="Times New Roman" w:cs="Times New Roman"/>
          <w:sz w:val="24"/>
          <w:szCs w:val="24"/>
        </w:rPr>
        <w:t xml:space="preserve"> S, </w:t>
      </w:r>
      <w:proofErr w:type="spellStart"/>
      <w:r w:rsidRPr="00B0771C">
        <w:rPr>
          <w:rFonts w:ascii="Times New Roman" w:hAnsi="Times New Roman" w:cs="Times New Roman"/>
          <w:sz w:val="24"/>
          <w:szCs w:val="24"/>
        </w:rPr>
        <w:t>Ngingo</w:t>
      </w:r>
      <w:proofErr w:type="spellEnd"/>
      <w:r w:rsidRPr="00B0771C">
        <w:rPr>
          <w:rFonts w:ascii="Times New Roman" w:hAnsi="Times New Roman" w:cs="Times New Roman"/>
          <w:sz w:val="24"/>
          <w:szCs w:val="24"/>
        </w:rPr>
        <w:t xml:space="preserve"> B, </w:t>
      </w:r>
      <w:proofErr w:type="spellStart"/>
      <w:r w:rsidRPr="00B0771C">
        <w:rPr>
          <w:rFonts w:ascii="Times New Roman" w:hAnsi="Times New Roman" w:cs="Times New Roman"/>
          <w:sz w:val="24"/>
          <w:szCs w:val="24"/>
        </w:rPr>
        <w:t>Sindato</w:t>
      </w:r>
      <w:proofErr w:type="spellEnd"/>
      <w:r w:rsidRPr="00B0771C">
        <w:rPr>
          <w:rFonts w:ascii="Times New Roman" w:hAnsi="Times New Roman" w:cs="Times New Roman"/>
          <w:sz w:val="24"/>
          <w:szCs w:val="24"/>
        </w:rPr>
        <w:t xml:space="preserve"> C, </w:t>
      </w:r>
      <w:proofErr w:type="spellStart"/>
      <w:r w:rsidRPr="00B0771C">
        <w:rPr>
          <w:rFonts w:ascii="Times New Roman" w:hAnsi="Times New Roman" w:cs="Times New Roman"/>
          <w:sz w:val="24"/>
          <w:szCs w:val="24"/>
        </w:rPr>
        <w:t>Lutwama</w:t>
      </w:r>
      <w:proofErr w:type="spellEnd"/>
      <w:r w:rsidRPr="00B0771C">
        <w:rPr>
          <w:rFonts w:ascii="Times New Roman" w:hAnsi="Times New Roman" w:cs="Times New Roman"/>
          <w:sz w:val="24"/>
          <w:szCs w:val="24"/>
        </w:rPr>
        <w:t xml:space="preserve"> JJ, et al. Dengue Virus Infection and Associated Risk Factors in Africa: A Systematic Review and Meta-Analysis. Viruses. 2021;13(4):536. </w:t>
      </w:r>
      <w:hyperlink r:id="rId44" w:history="1">
        <w:r w:rsidRPr="00B0771C">
          <w:rPr>
            <w:rStyle w:val="Hyperlink"/>
            <w:rFonts w:ascii="Times New Roman" w:hAnsi="Times New Roman" w:cs="Times New Roman"/>
            <w:sz w:val="24"/>
            <w:szCs w:val="24"/>
          </w:rPr>
          <w:t>https://doi.org/10.3390/v13040536</w:t>
        </w:r>
      </w:hyperlink>
    </w:p>
    <w:p w14:paraId="7910FC1A" w14:textId="77777777" w:rsidR="009D4893" w:rsidRPr="001D227E" w:rsidRDefault="009D4893" w:rsidP="009D489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1 : WHO case definitions of dengue and severe dengue</w:t>
      </w:r>
    </w:p>
    <w:tbl>
      <w:tblPr>
        <w:tblStyle w:val="PlainTable2"/>
        <w:tblW w:w="0" w:type="auto"/>
        <w:tblLook w:val="04A0" w:firstRow="1" w:lastRow="0" w:firstColumn="1" w:lastColumn="0" w:noHBand="0" w:noVBand="1"/>
      </w:tblPr>
      <w:tblGrid>
        <w:gridCol w:w="1614"/>
        <w:gridCol w:w="7412"/>
      </w:tblGrid>
      <w:tr w:rsidR="009D4893" w:rsidRPr="001D227E" w14:paraId="4FC3B6D8" w14:textId="77777777" w:rsidTr="00B51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A46224" w14:textId="77777777" w:rsidR="009D4893" w:rsidRPr="001D227E" w:rsidRDefault="009D4893" w:rsidP="00EA14DF">
            <w:pPr>
              <w:spacing w:line="360" w:lineRule="auto"/>
              <w:rPr>
                <w:rFonts w:ascii="Times New Roman" w:hAnsi="Times New Roman" w:cs="Times New Roman"/>
                <w:b w:val="0"/>
                <w:bCs w:val="0"/>
                <w:sz w:val="24"/>
                <w:szCs w:val="24"/>
              </w:rPr>
            </w:pPr>
            <w:r w:rsidRPr="001D227E">
              <w:rPr>
                <w:rFonts w:ascii="Times New Roman" w:hAnsi="Times New Roman" w:cs="Times New Roman"/>
                <w:sz w:val="24"/>
                <w:szCs w:val="24"/>
              </w:rPr>
              <w:t>Category</w:t>
            </w:r>
          </w:p>
        </w:tc>
        <w:tc>
          <w:tcPr>
            <w:tcW w:w="0" w:type="auto"/>
            <w:hideMark/>
          </w:tcPr>
          <w:p w14:paraId="0C55B9C0" w14:textId="77777777" w:rsidR="009D4893" w:rsidRPr="001D227E" w:rsidRDefault="009D4893"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D227E">
              <w:rPr>
                <w:rFonts w:ascii="Times New Roman" w:hAnsi="Times New Roman" w:cs="Times New Roman"/>
                <w:sz w:val="24"/>
                <w:szCs w:val="24"/>
              </w:rPr>
              <w:t>Criteria</w:t>
            </w:r>
          </w:p>
        </w:tc>
      </w:tr>
      <w:tr w:rsidR="009D4893" w:rsidRPr="001D227E" w14:paraId="1232FA0E"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4A49DF" w14:textId="77777777" w:rsidR="009D4893" w:rsidRPr="001D227E" w:rsidRDefault="009D4893" w:rsidP="00EA14DF">
            <w:pPr>
              <w:spacing w:line="360" w:lineRule="auto"/>
              <w:rPr>
                <w:rFonts w:ascii="Times New Roman" w:hAnsi="Times New Roman" w:cs="Times New Roman"/>
                <w:sz w:val="24"/>
                <w:szCs w:val="24"/>
              </w:rPr>
            </w:pPr>
            <w:r w:rsidRPr="001D227E">
              <w:rPr>
                <w:rFonts w:ascii="Times New Roman" w:hAnsi="Times New Roman" w:cs="Times New Roman"/>
                <w:sz w:val="24"/>
                <w:szCs w:val="24"/>
              </w:rPr>
              <w:t>Dengue</w:t>
            </w:r>
          </w:p>
        </w:tc>
        <w:tc>
          <w:tcPr>
            <w:tcW w:w="0" w:type="auto"/>
            <w:hideMark/>
          </w:tcPr>
          <w:p w14:paraId="1700BBD8" w14:textId="77777777" w:rsidR="009D4893" w:rsidRPr="001D227E" w:rsidRDefault="009D4893"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Febrile person with ≥2 of the following: nausea, vomiting, rash, aches and pains, positive tourniquet test, leukopenia, or any warning sign. Must have recent travel to or residence in a dengue-endemic area in the previous 14 days.</w:t>
            </w:r>
          </w:p>
        </w:tc>
      </w:tr>
      <w:tr w:rsidR="009D4893" w:rsidRPr="001D227E" w14:paraId="79F27DAB"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48AFA17C" w14:textId="77777777" w:rsidR="009D4893" w:rsidRPr="001D227E" w:rsidRDefault="009D4893" w:rsidP="00EA14DF">
            <w:pPr>
              <w:spacing w:line="360" w:lineRule="auto"/>
              <w:rPr>
                <w:rFonts w:ascii="Times New Roman" w:hAnsi="Times New Roman" w:cs="Times New Roman"/>
                <w:sz w:val="24"/>
                <w:szCs w:val="24"/>
              </w:rPr>
            </w:pPr>
            <w:r>
              <w:rPr>
                <w:rFonts w:ascii="Times New Roman" w:hAnsi="Times New Roman" w:cs="Times New Roman"/>
                <w:sz w:val="24"/>
                <w:szCs w:val="24"/>
              </w:rPr>
              <w:t xml:space="preserve">Dengue with </w:t>
            </w:r>
            <w:r w:rsidRPr="001D227E">
              <w:rPr>
                <w:rFonts w:ascii="Times New Roman" w:hAnsi="Times New Roman" w:cs="Times New Roman"/>
                <w:sz w:val="24"/>
                <w:szCs w:val="24"/>
              </w:rPr>
              <w:t>Warning Signs</w:t>
            </w:r>
          </w:p>
        </w:tc>
        <w:tc>
          <w:tcPr>
            <w:tcW w:w="0" w:type="auto"/>
            <w:hideMark/>
          </w:tcPr>
          <w:p w14:paraId="14D2E6F2" w14:textId="77777777" w:rsidR="009D4893" w:rsidRPr="001D227E" w:rsidRDefault="009D4893"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Any case of dengue that presents with one or more of the following signs as, or preferably after, fever drops: Abdominal pain/tenderness, persistent vomiting, clinical fluid accumulation, mucosal bleeding, lethargy, restlessness, liver enlargement.</w:t>
            </w:r>
          </w:p>
        </w:tc>
      </w:tr>
      <w:tr w:rsidR="009D4893" w:rsidRPr="001D227E" w14:paraId="1F21B658"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CC0C52" w14:textId="77777777" w:rsidR="009D4893" w:rsidRPr="001D227E" w:rsidRDefault="009D4893" w:rsidP="00EA14DF">
            <w:pPr>
              <w:spacing w:line="360" w:lineRule="auto"/>
              <w:rPr>
                <w:rFonts w:ascii="Times New Roman" w:hAnsi="Times New Roman" w:cs="Times New Roman"/>
                <w:sz w:val="24"/>
                <w:szCs w:val="24"/>
              </w:rPr>
            </w:pPr>
            <w:r w:rsidRPr="001D227E">
              <w:rPr>
                <w:rFonts w:ascii="Times New Roman" w:hAnsi="Times New Roman" w:cs="Times New Roman"/>
                <w:sz w:val="24"/>
                <w:szCs w:val="24"/>
              </w:rPr>
              <w:t>Severe Dengue</w:t>
            </w:r>
          </w:p>
        </w:tc>
        <w:tc>
          <w:tcPr>
            <w:tcW w:w="0" w:type="auto"/>
            <w:hideMark/>
          </w:tcPr>
          <w:p w14:paraId="3D0181BA" w14:textId="77777777" w:rsidR="009D4893" w:rsidRPr="001D227E" w:rsidRDefault="009D4893"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 xml:space="preserve">Dengue with any of the following: </w:t>
            </w:r>
          </w:p>
          <w:p w14:paraId="7DDA9189"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plasma leakage (shock or respiratory distress)</w:t>
            </w:r>
          </w:p>
          <w:p w14:paraId="450E3439"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bleeding</w:t>
            </w:r>
          </w:p>
          <w:p w14:paraId="4CF6477F" w14:textId="77777777" w:rsidR="009D4893" w:rsidRPr="001D227E" w:rsidRDefault="009D4893" w:rsidP="00EA14DF">
            <w:pPr>
              <w:numPr>
                <w:ilvl w:val="0"/>
                <w:numId w:val="11"/>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D227E">
              <w:rPr>
                <w:rFonts w:ascii="Times New Roman" w:hAnsi="Times New Roman" w:cs="Times New Roman"/>
                <w:sz w:val="24"/>
                <w:szCs w:val="24"/>
              </w:rPr>
              <w:t>Severe organ impairment (e.g., hepatitis with ALT/AST ≥1,000 IU/L, impaired consciousness, heart impairment)</w:t>
            </w:r>
          </w:p>
        </w:tc>
      </w:tr>
    </w:tbl>
    <w:p w14:paraId="6B5D1453" w14:textId="77777777" w:rsidR="009D4893" w:rsidRDefault="009D4893" w:rsidP="009D4893">
      <w:pPr>
        <w:spacing w:line="480" w:lineRule="auto"/>
        <w:rPr>
          <w:rFonts w:ascii="Times New Roman" w:hAnsi="Times New Roman" w:cs="Times New Roman"/>
          <w:sz w:val="24"/>
          <w:szCs w:val="24"/>
        </w:rPr>
      </w:pPr>
    </w:p>
    <w:p w14:paraId="6CE1A37E" w14:textId="77777777" w:rsidR="009D4893" w:rsidRDefault="009D4893" w:rsidP="009D4893">
      <w:pPr>
        <w:spacing w:line="480" w:lineRule="auto"/>
        <w:rPr>
          <w:rFonts w:ascii="Times New Roman" w:hAnsi="Times New Roman" w:cs="Times New Roman"/>
          <w:sz w:val="24"/>
          <w:szCs w:val="24"/>
        </w:rPr>
      </w:pPr>
    </w:p>
    <w:p w14:paraId="274A15FB" w14:textId="77777777" w:rsidR="009D4893" w:rsidRDefault="009D4893" w:rsidP="009D4893">
      <w:pPr>
        <w:spacing w:line="480" w:lineRule="auto"/>
        <w:rPr>
          <w:rFonts w:ascii="Times New Roman" w:hAnsi="Times New Roman" w:cs="Times New Roman"/>
          <w:sz w:val="24"/>
          <w:szCs w:val="24"/>
        </w:rPr>
      </w:pPr>
    </w:p>
    <w:p w14:paraId="603A05BD" w14:textId="77777777" w:rsidR="009D4893" w:rsidRDefault="009D4893" w:rsidP="009D4893">
      <w:pPr>
        <w:spacing w:line="480" w:lineRule="auto"/>
        <w:rPr>
          <w:rFonts w:ascii="Times New Roman" w:hAnsi="Times New Roman" w:cs="Times New Roman"/>
          <w:sz w:val="24"/>
          <w:szCs w:val="24"/>
        </w:rPr>
      </w:pPr>
    </w:p>
    <w:p w14:paraId="6880ECF7" w14:textId="77777777" w:rsidR="00EA14DF" w:rsidRDefault="00EA14DF" w:rsidP="009D4893">
      <w:pPr>
        <w:spacing w:line="480" w:lineRule="auto"/>
        <w:rPr>
          <w:rFonts w:ascii="Times New Roman" w:hAnsi="Times New Roman" w:cs="Times New Roman"/>
          <w:sz w:val="24"/>
          <w:szCs w:val="24"/>
        </w:rPr>
      </w:pPr>
    </w:p>
    <w:p w14:paraId="341E5538" w14:textId="77777777" w:rsidR="00EA14DF" w:rsidRDefault="00EA14DF" w:rsidP="009D4893">
      <w:pPr>
        <w:spacing w:line="480" w:lineRule="auto"/>
        <w:rPr>
          <w:rFonts w:ascii="Times New Roman" w:hAnsi="Times New Roman" w:cs="Times New Roman"/>
          <w:sz w:val="24"/>
          <w:szCs w:val="24"/>
        </w:rPr>
      </w:pPr>
    </w:p>
    <w:p w14:paraId="526C1872" w14:textId="77777777" w:rsidR="00EA14DF" w:rsidRDefault="00EA14DF" w:rsidP="009D4893">
      <w:pPr>
        <w:spacing w:line="480" w:lineRule="auto"/>
        <w:rPr>
          <w:rFonts w:ascii="Times New Roman" w:hAnsi="Times New Roman" w:cs="Times New Roman"/>
          <w:sz w:val="24"/>
          <w:szCs w:val="24"/>
        </w:rPr>
      </w:pPr>
    </w:p>
    <w:p w14:paraId="2CFB0F69" w14:textId="77777777" w:rsidR="009D4893" w:rsidRDefault="009D4893" w:rsidP="009D4893">
      <w:pPr>
        <w:spacing w:line="480" w:lineRule="auto"/>
        <w:rPr>
          <w:rFonts w:ascii="Times New Roman" w:hAnsi="Times New Roman" w:cs="Times New Roman"/>
          <w:sz w:val="24"/>
          <w:szCs w:val="24"/>
        </w:rPr>
      </w:pPr>
    </w:p>
    <w:p w14:paraId="368AEA44" w14:textId="77777777" w:rsidR="009D4893" w:rsidRDefault="009D4893" w:rsidP="009D4893">
      <w:pPr>
        <w:spacing w:line="480" w:lineRule="auto"/>
        <w:rPr>
          <w:rFonts w:ascii="Times New Roman" w:hAnsi="Times New Roman" w:cs="Times New Roman"/>
          <w:sz w:val="24"/>
          <w:szCs w:val="24"/>
        </w:rPr>
      </w:pPr>
    </w:p>
    <w:p w14:paraId="0A49F23F" w14:textId="77777777" w:rsidR="009D4893" w:rsidRDefault="009D4893" w:rsidP="009D4893">
      <w:pPr>
        <w:spacing w:line="480" w:lineRule="auto"/>
        <w:rPr>
          <w:rFonts w:ascii="Times New Roman" w:hAnsi="Times New Roman" w:cs="Times New Roman"/>
          <w:sz w:val="24"/>
          <w:szCs w:val="24"/>
        </w:rPr>
      </w:pPr>
    </w:p>
    <w:p w14:paraId="7564D563" w14:textId="77777777" w:rsidR="009D4893" w:rsidRPr="00B434DA" w:rsidRDefault="009D4893" w:rsidP="009D4893">
      <w:pPr>
        <w:spacing w:line="480" w:lineRule="auto"/>
        <w:rPr>
          <w:rFonts w:ascii="Times New Roman" w:hAnsi="Times New Roman" w:cs="Times New Roman"/>
          <w:b/>
          <w:bCs/>
          <w:sz w:val="24"/>
          <w:szCs w:val="24"/>
        </w:rPr>
      </w:pPr>
      <w:r w:rsidRPr="0031628B">
        <w:rPr>
          <w:rFonts w:ascii="Times New Roman" w:hAnsi="Times New Roman" w:cs="Times New Roman"/>
          <w:b/>
          <w:bCs/>
          <w:sz w:val="24"/>
          <w:szCs w:val="24"/>
        </w:rPr>
        <w:lastRenderedPageBreak/>
        <w:t>T</w:t>
      </w:r>
      <w:r w:rsidRPr="00B434DA">
        <w:rPr>
          <w:rFonts w:ascii="Times New Roman" w:hAnsi="Times New Roman" w:cs="Times New Roman"/>
          <w:b/>
          <w:bCs/>
          <w:sz w:val="24"/>
          <w:szCs w:val="24"/>
        </w:rPr>
        <w:t>able</w:t>
      </w:r>
      <w:r w:rsidRPr="0031628B">
        <w:rPr>
          <w:rFonts w:ascii="Times New Roman" w:hAnsi="Times New Roman" w:cs="Times New Roman"/>
          <w:b/>
          <w:bCs/>
          <w:sz w:val="24"/>
          <w:szCs w:val="24"/>
        </w:rPr>
        <w:t xml:space="preserve"> 2</w:t>
      </w:r>
      <w:r w:rsidRPr="00B434DA">
        <w:rPr>
          <w:rFonts w:ascii="Times New Roman" w:hAnsi="Times New Roman" w:cs="Times New Roman"/>
          <w:b/>
          <w:bCs/>
          <w:sz w:val="24"/>
          <w:szCs w:val="24"/>
        </w:rPr>
        <w:t xml:space="preserve"> </w:t>
      </w:r>
      <w:r>
        <w:rPr>
          <w:rFonts w:ascii="Times New Roman" w:hAnsi="Times New Roman" w:cs="Times New Roman"/>
          <w:b/>
          <w:bCs/>
          <w:sz w:val="24"/>
          <w:szCs w:val="24"/>
        </w:rPr>
        <w:t>:</w:t>
      </w:r>
      <w:r w:rsidRPr="00B434DA">
        <w:rPr>
          <w:rFonts w:ascii="Times New Roman" w:hAnsi="Times New Roman" w:cs="Times New Roman"/>
          <w:b/>
          <w:bCs/>
          <w:sz w:val="24"/>
          <w:szCs w:val="24"/>
        </w:rPr>
        <w:t xml:space="preserve"> </w:t>
      </w:r>
      <w:r>
        <w:rPr>
          <w:rFonts w:ascii="Times New Roman" w:hAnsi="Times New Roman" w:cs="Times New Roman"/>
          <w:b/>
          <w:bCs/>
          <w:sz w:val="24"/>
          <w:szCs w:val="24"/>
        </w:rPr>
        <w:t>S</w:t>
      </w:r>
      <w:r w:rsidRPr="00B434DA">
        <w:rPr>
          <w:rFonts w:ascii="Times New Roman" w:hAnsi="Times New Roman" w:cs="Times New Roman"/>
          <w:b/>
          <w:bCs/>
          <w:sz w:val="24"/>
          <w:szCs w:val="24"/>
        </w:rPr>
        <w:t>ample types, usage, and handling guidelines for dengue virus (DENV) detection:</w:t>
      </w:r>
    </w:p>
    <w:tbl>
      <w:tblPr>
        <w:tblStyle w:val="PlainTable2"/>
        <w:tblW w:w="0" w:type="auto"/>
        <w:tblLook w:val="04A0" w:firstRow="1" w:lastRow="0" w:firstColumn="1" w:lastColumn="0" w:noHBand="0" w:noVBand="1"/>
      </w:tblPr>
      <w:tblGrid>
        <w:gridCol w:w="1378"/>
        <w:gridCol w:w="2027"/>
        <w:gridCol w:w="2879"/>
        <w:gridCol w:w="2742"/>
      </w:tblGrid>
      <w:tr w:rsidR="009D4893" w:rsidRPr="00B434DA" w14:paraId="2D305201" w14:textId="77777777" w:rsidTr="00B51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B1B25" w14:textId="77777777" w:rsidR="009D4893" w:rsidRPr="00B434DA" w:rsidRDefault="009D4893" w:rsidP="00EA14DF">
            <w:pPr>
              <w:spacing w:after="160" w:line="360" w:lineRule="auto"/>
              <w:rPr>
                <w:rFonts w:ascii="Times New Roman" w:hAnsi="Times New Roman" w:cs="Times New Roman"/>
                <w:sz w:val="24"/>
                <w:szCs w:val="24"/>
              </w:rPr>
            </w:pPr>
            <w:r w:rsidRPr="00B434DA">
              <w:rPr>
                <w:rFonts w:ascii="Times New Roman" w:hAnsi="Times New Roman" w:cs="Times New Roman"/>
                <w:sz w:val="24"/>
                <w:szCs w:val="24"/>
              </w:rPr>
              <w:t>Sample Type</w:t>
            </w:r>
          </w:p>
        </w:tc>
        <w:tc>
          <w:tcPr>
            <w:tcW w:w="0" w:type="auto"/>
            <w:hideMark/>
          </w:tcPr>
          <w:p w14:paraId="1A2D2EBD"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w:t>
            </w:r>
          </w:p>
        </w:tc>
        <w:tc>
          <w:tcPr>
            <w:tcW w:w="0" w:type="auto"/>
            <w:hideMark/>
          </w:tcPr>
          <w:p w14:paraId="5266C966"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Collection Notes</w:t>
            </w:r>
          </w:p>
        </w:tc>
        <w:tc>
          <w:tcPr>
            <w:tcW w:w="0" w:type="auto"/>
            <w:hideMark/>
          </w:tcPr>
          <w:p w14:paraId="4C49257F" w14:textId="77777777" w:rsidR="009D4893" w:rsidRPr="00B434DA" w:rsidRDefault="009D4893" w:rsidP="00EA14DF">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Storage Conditions</w:t>
            </w:r>
          </w:p>
        </w:tc>
      </w:tr>
      <w:tr w:rsidR="009D4893" w:rsidRPr="00B434DA" w14:paraId="62C2F8AA"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6B42D"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Serum</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[12]</w:t>
            </w:r>
          </w:p>
        </w:tc>
        <w:tc>
          <w:tcPr>
            <w:tcW w:w="0" w:type="auto"/>
            <w:hideMark/>
          </w:tcPr>
          <w:p w14:paraId="2EFAE496"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 RNA, NS1, IgM/IgG antibodies</w:t>
            </w:r>
          </w:p>
        </w:tc>
        <w:tc>
          <w:tcPr>
            <w:tcW w:w="0" w:type="auto"/>
            <w:hideMark/>
          </w:tcPr>
          <w:p w14:paraId="6A2017D8"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Preferred sample type</w:t>
            </w:r>
          </w:p>
        </w:tc>
        <w:tc>
          <w:tcPr>
            <w:tcW w:w="0" w:type="auto"/>
            <w:hideMark/>
          </w:tcPr>
          <w:p w14:paraId="6C3FB300"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2–8°C (≤48 hrs); -20°C or lower if delayed</w:t>
            </w:r>
          </w:p>
        </w:tc>
      </w:tr>
      <w:tr w:rsidR="009D4893" w:rsidRPr="00B434DA" w14:paraId="47ADF3D1"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6CCA80B9"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Whole Blood</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[12]</w:t>
            </w:r>
          </w:p>
        </w:tc>
        <w:tc>
          <w:tcPr>
            <w:tcW w:w="0" w:type="auto"/>
            <w:hideMark/>
          </w:tcPr>
          <w:p w14:paraId="2FB939C9"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6FEAA22B"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 EDTA tubes; avoid heparin</w:t>
            </w:r>
          </w:p>
        </w:tc>
        <w:tc>
          <w:tcPr>
            <w:tcW w:w="0" w:type="auto"/>
            <w:hideMark/>
          </w:tcPr>
          <w:p w14:paraId="175C36C5"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 xml:space="preserve">4–8°C (≤24 hrs); </w:t>
            </w:r>
            <w:r w:rsidRPr="00B434DA">
              <w:rPr>
                <w:rFonts w:ascii="Times New Roman" w:hAnsi="Times New Roman" w:cs="Times New Roman"/>
                <w:b/>
                <w:bCs/>
                <w:sz w:val="24"/>
                <w:szCs w:val="24"/>
              </w:rPr>
              <w:t>do not freeze</w:t>
            </w:r>
          </w:p>
        </w:tc>
      </w:tr>
      <w:tr w:rsidR="009D4893" w:rsidRPr="00B434DA" w14:paraId="5F5CE427"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6F6101"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Plasma</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[13]</w:t>
            </w:r>
          </w:p>
        </w:tc>
        <w:tc>
          <w:tcPr>
            <w:tcW w:w="0" w:type="auto"/>
            <w:hideMark/>
          </w:tcPr>
          <w:p w14:paraId="06E95987"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411C54C1"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Lower detection rate than serum/whole blood</w:t>
            </w:r>
          </w:p>
        </w:tc>
        <w:tc>
          <w:tcPr>
            <w:tcW w:w="0" w:type="auto"/>
            <w:hideMark/>
          </w:tcPr>
          <w:p w14:paraId="76EC393E"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Similar to whole blood</w:t>
            </w:r>
          </w:p>
        </w:tc>
      </w:tr>
      <w:tr w:rsidR="009D4893" w:rsidRPr="00B434DA" w14:paraId="704DF5FF"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09A983EA"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Capillary Blood</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[14]</w:t>
            </w:r>
          </w:p>
        </w:tc>
        <w:tc>
          <w:tcPr>
            <w:tcW w:w="0" w:type="auto"/>
            <w:hideMark/>
          </w:tcPr>
          <w:p w14:paraId="47365005"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Used in children, outbreaks, low-resource areas</w:t>
            </w:r>
          </w:p>
        </w:tc>
        <w:tc>
          <w:tcPr>
            <w:tcW w:w="0" w:type="auto"/>
            <w:hideMark/>
          </w:tcPr>
          <w:p w14:paraId="09A8A982"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Collected from fingertip, earlobe, or heel; stored as dried spots or in Microtainers®</w:t>
            </w:r>
          </w:p>
        </w:tc>
        <w:tc>
          <w:tcPr>
            <w:tcW w:w="0" w:type="auto"/>
            <w:hideMark/>
          </w:tcPr>
          <w:p w14:paraId="267BA3F7"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Room temperature (short-term)</w:t>
            </w:r>
          </w:p>
        </w:tc>
      </w:tr>
      <w:tr w:rsidR="009D4893" w:rsidRPr="00B434DA" w14:paraId="4BE0A0A3"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32B79"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Urine</w:t>
            </w:r>
            <w:r>
              <w:rPr>
                <w:rFonts w:ascii="Times New Roman" w:hAnsi="Times New Roman" w:cs="Times New Roman"/>
                <w:sz w:val="24"/>
                <w:szCs w:val="24"/>
              </w:rPr>
              <w:t xml:space="preserve"> </w:t>
            </w:r>
            <w:r w:rsidRPr="00BD6CF1">
              <w:rPr>
                <w:rFonts w:ascii="Times New Roman" w:hAnsi="Times New Roman" w:cs="Times New Roman"/>
                <w:sz w:val="24"/>
                <w:szCs w:val="24"/>
                <w:vertAlign w:val="superscript"/>
              </w:rPr>
              <w:t>[15]</w:t>
            </w:r>
          </w:p>
        </w:tc>
        <w:tc>
          <w:tcPr>
            <w:tcW w:w="0" w:type="auto"/>
            <w:hideMark/>
          </w:tcPr>
          <w:p w14:paraId="1B07BA45"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w:t>
            </w:r>
          </w:p>
        </w:tc>
        <w:tc>
          <w:tcPr>
            <w:tcW w:w="0" w:type="auto"/>
            <w:hideMark/>
          </w:tcPr>
          <w:p w14:paraId="12819F8B"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Midstream sample in sterile container</w:t>
            </w:r>
          </w:p>
        </w:tc>
        <w:tc>
          <w:tcPr>
            <w:tcW w:w="0" w:type="auto"/>
            <w:hideMark/>
          </w:tcPr>
          <w:p w14:paraId="11D24CFF"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2–8°C (≤24–48 hrs)</w:t>
            </w:r>
          </w:p>
        </w:tc>
      </w:tr>
      <w:tr w:rsidR="009D4893" w:rsidRPr="00B434DA" w14:paraId="20D3EEBC"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037F6A6E"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CSF</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15</w:t>
            </w:r>
            <w:r>
              <w:rPr>
                <w:rFonts w:ascii="Times New Roman" w:hAnsi="Times New Roman" w:cs="Times New Roman"/>
                <w:sz w:val="24"/>
                <w:szCs w:val="24"/>
                <w:vertAlign w:val="superscript"/>
              </w:rPr>
              <w:t>]</w:t>
            </w:r>
          </w:p>
        </w:tc>
        <w:tc>
          <w:tcPr>
            <w:tcW w:w="0" w:type="auto"/>
            <w:hideMark/>
          </w:tcPr>
          <w:p w14:paraId="4A22AFF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Detects DENV or IgM in encephalitic cases</w:t>
            </w:r>
          </w:p>
        </w:tc>
        <w:tc>
          <w:tcPr>
            <w:tcW w:w="0" w:type="auto"/>
            <w:hideMark/>
          </w:tcPr>
          <w:p w14:paraId="2FC469F2"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Collected via lumbar puncture by trained personnel</w:t>
            </w:r>
          </w:p>
        </w:tc>
        <w:tc>
          <w:tcPr>
            <w:tcW w:w="0" w:type="auto"/>
            <w:hideMark/>
          </w:tcPr>
          <w:p w14:paraId="1D21480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Immediate testing preferred; 2–8°C (short-term); -70°C (long-term); avoid freeze–thaw</w:t>
            </w:r>
          </w:p>
        </w:tc>
      </w:tr>
      <w:tr w:rsidR="009D4893" w:rsidRPr="00B434DA" w14:paraId="08CDBBD7" w14:textId="77777777" w:rsidTr="00B5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A67C1"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Tissue</w:t>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w:t>
            </w:r>
          </w:p>
        </w:tc>
        <w:tc>
          <w:tcPr>
            <w:tcW w:w="0" w:type="auto"/>
            <w:hideMark/>
          </w:tcPr>
          <w:p w14:paraId="5BEB3F90"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DENV tissue testing, histology</w:t>
            </w:r>
          </w:p>
        </w:tc>
        <w:tc>
          <w:tcPr>
            <w:tcW w:w="0" w:type="auto"/>
            <w:hideMark/>
          </w:tcPr>
          <w:p w14:paraId="6AF2593E"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Liver, kidney, spleen, lung; formalin for histology</w:t>
            </w:r>
          </w:p>
        </w:tc>
        <w:tc>
          <w:tcPr>
            <w:tcW w:w="0" w:type="auto"/>
            <w:hideMark/>
          </w:tcPr>
          <w:p w14:paraId="6E5688DF" w14:textId="77777777" w:rsidR="009D4893" w:rsidRPr="00B434DA" w:rsidRDefault="009D4893" w:rsidP="00EA14DF">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-80°C (long-term); 10% formalin for histology</w:t>
            </w:r>
          </w:p>
        </w:tc>
      </w:tr>
      <w:tr w:rsidR="009D4893" w:rsidRPr="00B434DA" w14:paraId="7B690F59" w14:textId="77777777" w:rsidTr="00B5106A">
        <w:tc>
          <w:tcPr>
            <w:cnfStyle w:val="001000000000" w:firstRow="0" w:lastRow="0" w:firstColumn="1" w:lastColumn="0" w:oddVBand="0" w:evenVBand="0" w:oddHBand="0" w:evenHBand="0" w:firstRowFirstColumn="0" w:firstRowLastColumn="0" w:lastRowFirstColumn="0" w:lastRowLastColumn="0"/>
            <w:tcW w:w="0" w:type="auto"/>
            <w:hideMark/>
          </w:tcPr>
          <w:p w14:paraId="57ABDF13" w14:textId="77777777" w:rsidR="009D4893" w:rsidRPr="00B434DA" w:rsidRDefault="009D4893" w:rsidP="00EA14DF">
            <w:pPr>
              <w:spacing w:after="160" w:line="360" w:lineRule="auto"/>
              <w:rPr>
                <w:rFonts w:ascii="Times New Roman" w:hAnsi="Times New Roman" w:cs="Times New Roman"/>
                <w:sz w:val="24"/>
                <w:szCs w:val="24"/>
                <w:vertAlign w:val="superscript"/>
              </w:rPr>
            </w:pPr>
            <w:r w:rsidRPr="00B434DA">
              <w:rPr>
                <w:rFonts w:ascii="Times New Roman" w:hAnsi="Times New Roman" w:cs="Times New Roman"/>
                <w:sz w:val="24"/>
                <w:szCs w:val="24"/>
              </w:rPr>
              <w:t>RNA Extracts</w:t>
            </w:r>
            <w:r w:rsidRPr="001D227E">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sidRPr="001D227E">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w:t>
            </w:r>
          </w:p>
        </w:tc>
        <w:tc>
          <w:tcPr>
            <w:tcW w:w="0" w:type="auto"/>
            <w:hideMark/>
          </w:tcPr>
          <w:p w14:paraId="7799D00A"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Molecular testing</w:t>
            </w:r>
          </w:p>
        </w:tc>
        <w:tc>
          <w:tcPr>
            <w:tcW w:w="0" w:type="auto"/>
            <w:hideMark/>
          </w:tcPr>
          <w:p w14:paraId="62CEFE4D"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Use ribonuclease-free tubes; aliquot to avoid freeze–thaw</w:t>
            </w:r>
          </w:p>
        </w:tc>
        <w:tc>
          <w:tcPr>
            <w:tcW w:w="0" w:type="auto"/>
            <w:hideMark/>
          </w:tcPr>
          <w:p w14:paraId="39FEB4C0" w14:textId="77777777" w:rsidR="009D4893" w:rsidRPr="00B434DA" w:rsidRDefault="009D4893" w:rsidP="00EA14DF">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4DA">
              <w:rPr>
                <w:rFonts w:ascii="Times New Roman" w:hAnsi="Times New Roman" w:cs="Times New Roman"/>
                <w:sz w:val="24"/>
                <w:szCs w:val="24"/>
              </w:rPr>
              <w:t>-70°C or lower</w:t>
            </w:r>
          </w:p>
        </w:tc>
      </w:tr>
    </w:tbl>
    <w:p w14:paraId="087ED53A" w14:textId="77777777" w:rsidR="009D4893" w:rsidRDefault="009D4893" w:rsidP="009D4893">
      <w:pPr>
        <w:spacing w:line="480" w:lineRule="auto"/>
        <w:rPr>
          <w:rFonts w:ascii="Times New Roman" w:hAnsi="Times New Roman" w:cs="Times New Roman"/>
          <w:sz w:val="24"/>
          <w:szCs w:val="24"/>
        </w:rPr>
        <w:sectPr w:rsidR="009D4893" w:rsidSect="009D4893">
          <w:pgSz w:w="11906" w:h="16838"/>
          <w:pgMar w:top="1440" w:right="1440" w:bottom="1440" w:left="1440" w:header="709" w:footer="709" w:gutter="0"/>
          <w:cols w:space="708"/>
          <w:docGrid w:linePitch="360"/>
        </w:sectPr>
      </w:pPr>
    </w:p>
    <w:p w14:paraId="09AE9F93" w14:textId="77777777" w:rsidR="00A20638" w:rsidRPr="001D227E" w:rsidRDefault="00A20638" w:rsidP="00A20638">
      <w:pPr>
        <w:spacing w:line="480" w:lineRule="auto"/>
        <w:rPr>
          <w:rFonts w:ascii="Times New Roman" w:hAnsi="Times New Roman" w:cs="Times New Roman"/>
          <w:b/>
          <w:bCs/>
          <w:sz w:val="24"/>
          <w:szCs w:val="24"/>
        </w:rPr>
      </w:pPr>
      <w:r w:rsidRPr="001D227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1D227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D227E">
        <w:rPr>
          <w:rFonts w:ascii="Times New Roman" w:hAnsi="Times New Roman" w:cs="Times New Roman"/>
          <w:b/>
          <w:bCs/>
          <w:sz w:val="24"/>
          <w:szCs w:val="24"/>
        </w:rPr>
        <w:t>Comparison of Diagnostic Methods employ</w:t>
      </w:r>
      <w:r>
        <w:rPr>
          <w:rFonts w:ascii="Times New Roman" w:hAnsi="Times New Roman" w:cs="Times New Roman"/>
          <w:b/>
          <w:bCs/>
          <w:sz w:val="24"/>
          <w:szCs w:val="24"/>
        </w:rPr>
        <w:t>ed to detect the presence of dengue infection</w:t>
      </w:r>
    </w:p>
    <w:tbl>
      <w:tblPr>
        <w:tblStyle w:val="PlainTable2"/>
        <w:tblW w:w="5000" w:type="pct"/>
        <w:tblLook w:val="04A0" w:firstRow="1" w:lastRow="0" w:firstColumn="1" w:lastColumn="0" w:noHBand="0" w:noVBand="1"/>
      </w:tblPr>
      <w:tblGrid>
        <w:gridCol w:w="1110"/>
        <w:gridCol w:w="1749"/>
        <w:gridCol w:w="1589"/>
        <w:gridCol w:w="1669"/>
        <w:gridCol w:w="1820"/>
        <w:gridCol w:w="2296"/>
        <w:gridCol w:w="1976"/>
        <w:gridCol w:w="1749"/>
      </w:tblGrid>
      <w:tr w:rsidR="00A20638" w:rsidRPr="0031628B" w14:paraId="07E68D54"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1" w:type="pct"/>
            <w:hideMark/>
          </w:tcPr>
          <w:p w14:paraId="0B2C800E"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Test</w:t>
            </w:r>
          </w:p>
        </w:tc>
        <w:tc>
          <w:tcPr>
            <w:tcW w:w="525" w:type="pct"/>
            <w:hideMark/>
          </w:tcPr>
          <w:p w14:paraId="45394EA9"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Purpose</w:t>
            </w:r>
          </w:p>
        </w:tc>
        <w:tc>
          <w:tcPr>
            <w:tcW w:w="549" w:type="pct"/>
            <w:hideMark/>
          </w:tcPr>
          <w:p w14:paraId="428B7E5D"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Method</w:t>
            </w:r>
          </w:p>
        </w:tc>
        <w:tc>
          <w:tcPr>
            <w:tcW w:w="581" w:type="pct"/>
            <w:hideMark/>
          </w:tcPr>
          <w:p w14:paraId="7C7B8EDF"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Detection Window</w:t>
            </w:r>
          </w:p>
        </w:tc>
        <w:tc>
          <w:tcPr>
            <w:tcW w:w="784" w:type="pct"/>
            <w:hideMark/>
          </w:tcPr>
          <w:p w14:paraId="2B250017" w14:textId="77777777" w:rsidR="00A20638"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Sensitivity/</w:t>
            </w:r>
          </w:p>
          <w:p w14:paraId="45814E98"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Specificity</w:t>
            </w:r>
          </w:p>
        </w:tc>
        <w:tc>
          <w:tcPr>
            <w:tcW w:w="783" w:type="pct"/>
            <w:hideMark/>
          </w:tcPr>
          <w:p w14:paraId="0CB0E7B3"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Advantages</w:t>
            </w:r>
          </w:p>
        </w:tc>
        <w:tc>
          <w:tcPr>
            <w:tcW w:w="699" w:type="pct"/>
            <w:hideMark/>
          </w:tcPr>
          <w:p w14:paraId="79B586A1"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Limitations</w:t>
            </w:r>
          </w:p>
        </w:tc>
        <w:tc>
          <w:tcPr>
            <w:tcW w:w="608" w:type="pct"/>
            <w:hideMark/>
          </w:tcPr>
          <w:p w14:paraId="43FACF11" w14:textId="77777777" w:rsidR="00A20638" w:rsidRPr="0031628B"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Typical Use Cases</w:t>
            </w:r>
          </w:p>
        </w:tc>
      </w:tr>
      <w:tr w:rsidR="00A20638" w:rsidRPr="0031628B" w14:paraId="37FD5C90"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32C8944D"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RT-PCR  </w:t>
            </w:r>
            <w:r w:rsidRPr="0031628B">
              <w:rPr>
                <w:rFonts w:ascii="Times New Roman" w:eastAsia="Times New Roman" w:hAnsi="Times New Roman" w:cs="Times New Roman"/>
                <w:color w:val="000000"/>
                <w:kern w:val="0"/>
                <w:sz w:val="24"/>
                <w:szCs w:val="24"/>
                <w:vertAlign w:val="superscript"/>
                <w:lang w:eastAsia="en-IN"/>
                <w14:ligatures w14:val="none"/>
              </w:rPr>
              <w:t>[17]</w:t>
            </w:r>
          </w:p>
        </w:tc>
        <w:tc>
          <w:tcPr>
            <w:tcW w:w="525" w:type="pct"/>
            <w:hideMark/>
          </w:tcPr>
          <w:p w14:paraId="53EE1E12"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DENV RNA in early infection</w:t>
            </w:r>
          </w:p>
        </w:tc>
        <w:tc>
          <w:tcPr>
            <w:tcW w:w="549" w:type="pct"/>
            <w:hideMark/>
          </w:tcPr>
          <w:p w14:paraId="7104790B"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Nucleic acid amplification of viral RNA</w:t>
            </w:r>
          </w:p>
        </w:tc>
        <w:tc>
          <w:tcPr>
            <w:tcW w:w="581" w:type="pct"/>
            <w:hideMark/>
          </w:tcPr>
          <w:p w14:paraId="53A49966"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0-7 days post symptom onset</w:t>
            </w:r>
          </w:p>
        </w:tc>
        <w:tc>
          <w:tcPr>
            <w:tcW w:w="784" w:type="pct"/>
            <w:hideMark/>
          </w:tcPr>
          <w:p w14:paraId="6C9DC86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83.9 %- 90.3% / 100%</w:t>
            </w:r>
          </w:p>
        </w:tc>
        <w:tc>
          <w:tcPr>
            <w:tcW w:w="783" w:type="pct"/>
            <w:hideMark/>
          </w:tcPr>
          <w:p w14:paraId="7C1D0169"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Highly sensitive and specific; detects all serotypes; early diagnosis</w:t>
            </w:r>
          </w:p>
        </w:tc>
        <w:tc>
          <w:tcPr>
            <w:tcW w:w="699" w:type="pct"/>
            <w:hideMark/>
          </w:tcPr>
          <w:p w14:paraId="7FCC00C4"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Requires equipped labs and skilled personnel</w:t>
            </w:r>
          </w:p>
        </w:tc>
        <w:tc>
          <w:tcPr>
            <w:tcW w:w="608" w:type="pct"/>
            <w:hideMark/>
          </w:tcPr>
          <w:p w14:paraId="5046677F"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diagnosis, serotype differentiation, outbreak confirmation</w:t>
            </w:r>
          </w:p>
        </w:tc>
      </w:tr>
      <w:tr w:rsidR="00A20638" w:rsidRPr="0031628B" w14:paraId="41557DA2"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0DD4C999"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NS1 </w:t>
            </w:r>
            <w:r w:rsidRPr="0031628B">
              <w:rPr>
                <w:rFonts w:ascii="Times New Roman" w:eastAsia="Times New Roman" w:hAnsi="Times New Roman" w:cs="Times New Roman"/>
                <w:color w:val="000000"/>
                <w:kern w:val="0"/>
                <w:sz w:val="24"/>
                <w:szCs w:val="24"/>
                <w:vertAlign w:val="superscript"/>
                <w:lang w:eastAsia="en-IN"/>
                <w14:ligatures w14:val="none"/>
              </w:rPr>
              <w:t>[18]</w:t>
            </w:r>
          </w:p>
        </w:tc>
        <w:tc>
          <w:tcPr>
            <w:tcW w:w="525" w:type="pct"/>
            <w:hideMark/>
          </w:tcPr>
          <w:p w14:paraId="3746986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NS1 antigen in serum</w:t>
            </w:r>
          </w:p>
        </w:tc>
        <w:tc>
          <w:tcPr>
            <w:tcW w:w="549" w:type="pct"/>
            <w:hideMark/>
          </w:tcPr>
          <w:p w14:paraId="2A5236A9"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NS1 protein</w:t>
            </w:r>
          </w:p>
        </w:tc>
        <w:tc>
          <w:tcPr>
            <w:tcW w:w="581" w:type="pct"/>
            <w:hideMark/>
          </w:tcPr>
          <w:p w14:paraId="2F07B98D"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Up to 9 days (primary), 6-7 days (secondary)</w:t>
            </w:r>
          </w:p>
        </w:tc>
        <w:tc>
          <w:tcPr>
            <w:tcW w:w="784" w:type="pct"/>
            <w:hideMark/>
          </w:tcPr>
          <w:p w14:paraId="56662CFD"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100% / 99.2%; RDT: 68.5%- 87.0% / 100%</w:t>
            </w:r>
          </w:p>
        </w:tc>
        <w:tc>
          <w:tcPr>
            <w:tcW w:w="783" w:type="pct"/>
            <w:hideMark/>
          </w:tcPr>
          <w:p w14:paraId="28D8CCC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Rapid results; useful in resource-limited settings</w:t>
            </w:r>
          </w:p>
        </w:tc>
        <w:tc>
          <w:tcPr>
            <w:tcW w:w="699" w:type="pct"/>
            <w:hideMark/>
          </w:tcPr>
          <w:p w14:paraId="203523E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Reduced sensitivity in secondary infections; affected by serotype/genotype</w:t>
            </w:r>
          </w:p>
        </w:tc>
        <w:tc>
          <w:tcPr>
            <w:tcW w:w="608" w:type="pct"/>
            <w:hideMark/>
          </w:tcPr>
          <w:p w14:paraId="31AFD39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diagnosis, especially in primary infections</w:t>
            </w:r>
          </w:p>
        </w:tc>
      </w:tr>
      <w:tr w:rsidR="00A20638" w:rsidRPr="0031628B" w14:paraId="595763CA"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71" w:type="pct"/>
            <w:hideMark/>
          </w:tcPr>
          <w:p w14:paraId="07C17CA8"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IgM </w:t>
            </w:r>
            <w:r w:rsidRPr="0031628B">
              <w:rPr>
                <w:rFonts w:ascii="Times New Roman" w:eastAsia="Times New Roman" w:hAnsi="Times New Roman" w:cs="Times New Roman"/>
                <w:color w:val="000000"/>
                <w:kern w:val="0"/>
                <w:sz w:val="24"/>
                <w:szCs w:val="24"/>
                <w:vertAlign w:val="superscript"/>
                <w:lang w:eastAsia="en-IN"/>
                <w14:ligatures w14:val="none"/>
              </w:rPr>
              <w:t>[19]</w:t>
            </w:r>
          </w:p>
        </w:tc>
        <w:tc>
          <w:tcPr>
            <w:tcW w:w="525" w:type="pct"/>
            <w:hideMark/>
          </w:tcPr>
          <w:p w14:paraId="24D7F37A"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recent DENV infection</w:t>
            </w:r>
          </w:p>
        </w:tc>
        <w:tc>
          <w:tcPr>
            <w:tcW w:w="549" w:type="pct"/>
            <w:hideMark/>
          </w:tcPr>
          <w:p w14:paraId="0BA45CE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IgM antibodies</w:t>
            </w:r>
          </w:p>
        </w:tc>
        <w:tc>
          <w:tcPr>
            <w:tcW w:w="581" w:type="pct"/>
            <w:hideMark/>
          </w:tcPr>
          <w:p w14:paraId="3B8BB0C7"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3-5 days post onset; peaks at 2 weeks</w:t>
            </w:r>
          </w:p>
        </w:tc>
        <w:tc>
          <w:tcPr>
            <w:tcW w:w="784" w:type="pct"/>
            <w:hideMark/>
          </w:tcPr>
          <w:p w14:paraId="79098CFE"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61.5%- 99.0% / 79.9%- 97.8%; RDT: 20.5%- 97.7% / 76.6%- 90.6%</w:t>
            </w:r>
          </w:p>
        </w:tc>
        <w:tc>
          <w:tcPr>
            <w:tcW w:w="783" w:type="pct"/>
            <w:hideMark/>
          </w:tcPr>
          <w:p w14:paraId="7E72F025"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Confirms recent infection; useful in later phase</w:t>
            </w:r>
          </w:p>
        </w:tc>
        <w:tc>
          <w:tcPr>
            <w:tcW w:w="699" w:type="pct"/>
            <w:hideMark/>
          </w:tcPr>
          <w:p w14:paraId="1A73AFA8"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Cross-reactivity; false positives; low sensitivity in early phase</w:t>
            </w:r>
          </w:p>
        </w:tc>
        <w:tc>
          <w:tcPr>
            <w:tcW w:w="608" w:type="pct"/>
            <w:hideMark/>
          </w:tcPr>
          <w:p w14:paraId="63268F61"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Diagnosis after 7 days, confirmation of acute infection</w:t>
            </w:r>
          </w:p>
        </w:tc>
      </w:tr>
      <w:tr w:rsidR="00A20638" w:rsidRPr="0031628B" w14:paraId="00DD4751"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471" w:type="pct"/>
            <w:hideMark/>
          </w:tcPr>
          <w:p w14:paraId="089C1746"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lastRenderedPageBreak/>
              <w:t xml:space="preserve">IgG </w:t>
            </w:r>
            <w:r w:rsidRPr="0031628B">
              <w:rPr>
                <w:rFonts w:ascii="Times New Roman" w:eastAsia="Times New Roman" w:hAnsi="Times New Roman" w:cs="Times New Roman"/>
                <w:color w:val="000000"/>
                <w:kern w:val="0"/>
                <w:sz w:val="24"/>
                <w:szCs w:val="24"/>
                <w:vertAlign w:val="superscript"/>
                <w:lang w:eastAsia="en-IN"/>
                <w14:ligatures w14:val="none"/>
              </w:rPr>
              <w:t>[20]</w:t>
            </w:r>
          </w:p>
        </w:tc>
        <w:tc>
          <w:tcPr>
            <w:tcW w:w="525" w:type="pct"/>
            <w:hideMark/>
          </w:tcPr>
          <w:p w14:paraId="67359891"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Detect past or secondary DENV infection</w:t>
            </w:r>
          </w:p>
        </w:tc>
        <w:tc>
          <w:tcPr>
            <w:tcW w:w="549" w:type="pct"/>
            <w:hideMark/>
          </w:tcPr>
          <w:p w14:paraId="0E2ADF1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ELISA or RDT for IgG antibodies</w:t>
            </w:r>
          </w:p>
        </w:tc>
        <w:tc>
          <w:tcPr>
            <w:tcW w:w="581" w:type="pct"/>
            <w:hideMark/>
          </w:tcPr>
          <w:p w14:paraId="1DBD958E"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Appears later; peaks 6-5 days in secondary infections</w:t>
            </w:r>
          </w:p>
        </w:tc>
        <w:tc>
          <w:tcPr>
            <w:tcW w:w="784" w:type="pct"/>
            <w:hideMark/>
          </w:tcPr>
          <w:p w14:paraId="0D1F2967"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Varies; high cross-reactivity</w:t>
            </w:r>
          </w:p>
        </w:tc>
        <w:tc>
          <w:tcPr>
            <w:tcW w:w="783" w:type="pct"/>
            <w:hideMark/>
          </w:tcPr>
          <w:p w14:paraId="7F840C76"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Indicates secondary infection; long-term marker</w:t>
            </w:r>
          </w:p>
        </w:tc>
        <w:tc>
          <w:tcPr>
            <w:tcW w:w="699" w:type="pct"/>
            <w:hideMark/>
          </w:tcPr>
          <w:p w14:paraId="07DF05FA"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Cross-reactivity; requires paired samples for confirmation</w:t>
            </w:r>
          </w:p>
        </w:tc>
        <w:tc>
          <w:tcPr>
            <w:tcW w:w="608" w:type="pct"/>
            <w:hideMark/>
          </w:tcPr>
          <w:p w14:paraId="11F50C15"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Differentiating primary vs secondary infections</w:t>
            </w:r>
          </w:p>
        </w:tc>
      </w:tr>
      <w:tr w:rsidR="00A20638" w:rsidRPr="0031628B" w14:paraId="2A1C3A0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71" w:type="pct"/>
            <w:hideMark/>
          </w:tcPr>
          <w:p w14:paraId="44059F0E"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vertAlign w:val="superscript"/>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PRNT </w:t>
            </w:r>
            <w:r w:rsidRPr="0031628B">
              <w:rPr>
                <w:rFonts w:ascii="Times New Roman" w:eastAsia="Times New Roman" w:hAnsi="Times New Roman" w:cs="Times New Roman"/>
                <w:color w:val="000000"/>
                <w:kern w:val="0"/>
                <w:sz w:val="24"/>
                <w:szCs w:val="24"/>
                <w:vertAlign w:val="superscript"/>
                <w:lang w:eastAsia="en-IN"/>
                <w14:ligatures w14:val="none"/>
              </w:rPr>
              <w:t>[21]</w:t>
            </w:r>
          </w:p>
        </w:tc>
        <w:tc>
          <w:tcPr>
            <w:tcW w:w="525" w:type="pct"/>
            <w:hideMark/>
          </w:tcPr>
          <w:p w14:paraId="26B3B182"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Quantify neutralizing antibodies; differentiate serotypes</w:t>
            </w:r>
          </w:p>
        </w:tc>
        <w:tc>
          <w:tcPr>
            <w:tcW w:w="549" w:type="pct"/>
            <w:hideMark/>
          </w:tcPr>
          <w:p w14:paraId="56AD89DD"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Neutralization of virus in cell culture</w:t>
            </w:r>
          </w:p>
        </w:tc>
        <w:tc>
          <w:tcPr>
            <w:tcW w:w="581" w:type="pct"/>
            <w:hideMark/>
          </w:tcPr>
          <w:p w14:paraId="5A8EC19E"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Post-seroconversion</w:t>
            </w:r>
          </w:p>
        </w:tc>
        <w:tc>
          <w:tcPr>
            <w:tcW w:w="784" w:type="pct"/>
            <w:hideMark/>
          </w:tcPr>
          <w:p w14:paraId="31A6BE8A"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 / High</w:t>
            </w:r>
          </w:p>
        </w:tc>
        <w:tc>
          <w:tcPr>
            <w:tcW w:w="783" w:type="pct"/>
            <w:hideMark/>
          </w:tcPr>
          <w:p w14:paraId="64E87C70"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Gold standard for immunity and vaccine evaluation</w:t>
            </w:r>
          </w:p>
        </w:tc>
        <w:tc>
          <w:tcPr>
            <w:tcW w:w="699" w:type="pct"/>
            <w:hideMark/>
          </w:tcPr>
          <w:p w14:paraId="45FAB964"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Time-consuming; labour-intensive; reference labs required</w:t>
            </w:r>
          </w:p>
        </w:tc>
        <w:tc>
          <w:tcPr>
            <w:tcW w:w="608" w:type="pct"/>
            <w:hideMark/>
          </w:tcPr>
          <w:p w14:paraId="3EA70FF7" w14:textId="77777777" w:rsidR="00A20638" w:rsidRPr="0031628B"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Vaccine studies, serotype-specific immunity, research</w:t>
            </w:r>
          </w:p>
        </w:tc>
      </w:tr>
      <w:tr w:rsidR="00A20638" w:rsidRPr="0031628B" w14:paraId="4A1EF104" w14:textId="77777777" w:rsidTr="00B5106A">
        <w:trPr>
          <w:trHeight w:val="576"/>
        </w:trPr>
        <w:tc>
          <w:tcPr>
            <w:cnfStyle w:val="001000000000" w:firstRow="0" w:lastRow="0" w:firstColumn="1" w:lastColumn="0" w:oddVBand="0" w:evenVBand="0" w:oddHBand="0" w:evenHBand="0" w:firstRowFirstColumn="0" w:firstRowLastColumn="0" w:lastRowFirstColumn="0" w:lastRowLastColumn="0"/>
            <w:tcW w:w="471" w:type="pct"/>
            <w:hideMark/>
          </w:tcPr>
          <w:p w14:paraId="17EA89A4" w14:textId="77777777" w:rsidR="00A20638" w:rsidRPr="0031628B"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 xml:space="preserve">Virus Isolation </w:t>
            </w:r>
            <w:r w:rsidRPr="0031628B">
              <w:rPr>
                <w:rFonts w:ascii="Times New Roman" w:eastAsia="Times New Roman" w:hAnsi="Times New Roman" w:cs="Times New Roman"/>
                <w:color w:val="000000"/>
                <w:kern w:val="0"/>
                <w:sz w:val="24"/>
                <w:szCs w:val="24"/>
                <w:vertAlign w:val="superscript"/>
                <w:lang w:eastAsia="en-IN"/>
                <w14:ligatures w14:val="none"/>
              </w:rPr>
              <w:t>[22]</w:t>
            </w:r>
          </w:p>
        </w:tc>
        <w:tc>
          <w:tcPr>
            <w:tcW w:w="525" w:type="pct"/>
            <w:hideMark/>
          </w:tcPr>
          <w:p w14:paraId="1BAF186B"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Direct identification and characterization of virus</w:t>
            </w:r>
          </w:p>
        </w:tc>
        <w:tc>
          <w:tcPr>
            <w:tcW w:w="549" w:type="pct"/>
            <w:hideMark/>
          </w:tcPr>
          <w:p w14:paraId="2748916C"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Inoculation into mammalian or mosquito cell cultures</w:t>
            </w:r>
          </w:p>
        </w:tc>
        <w:tc>
          <w:tcPr>
            <w:tcW w:w="581" w:type="pct"/>
            <w:hideMark/>
          </w:tcPr>
          <w:p w14:paraId="25FF99D4"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Early phase; viable virus required</w:t>
            </w:r>
          </w:p>
        </w:tc>
        <w:tc>
          <w:tcPr>
            <w:tcW w:w="784" w:type="pct"/>
            <w:hideMark/>
          </w:tcPr>
          <w:p w14:paraId="59BD1954"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High / High</w:t>
            </w:r>
          </w:p>
        </w:tc>
        <w:tc>
          <w:tcPr>
            <w:tcW w:w="783" w:type="pct"/>
            <w:hideMark/>
          </w:tcPr>
          <w:p w14:paraId="46819803"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Gold standard for phenotypic/genotypic analysis</w:t>
            </w:r>
          </w:p>
        </w:tc>
        <w:tc>
          <w:tcPr>
            <w:tcW w:w="699" w:type="pct"/>
            <w:hideMark/>
          </w:tcPr>
          <w:p w14:paraId="74B18587"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Requires high biosafety; not routine; labour-intensive</w:t>
            </w:r>
          </w:p>
        </w:tc>
        <w:tc>
          <w:tcPr>
            <w:tcW w:w="608" w:type="pct"/>
            <w:hideMark/>
          </w:tcPr>
          <w:p w14:paraId="595C6F19" w14:textId="77777777" w:rsidR="00A20638" w:rsidRPr="0031628B"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31628B">
              <w:rPr>
                <w:rFonts w:ascii="Times New Roman" w:eastAsia="Times New Roman" w:hAnsi="Times New Roman" w:cs="Times New Roman"/>
                <w:color w:val="000000"/>
                <w:kern w:val="0"/>
                <w:sz w:val="24"/>
                <w:szCs w:val="24"/>
                <w:lang w:eastAsia="en-IN"/>
                <w14:ligatures w14:val="none"/>
              </w:rPr>
              <w:t>Reference lab studies, virus characterization</w:t>
            </w:r>
          </w:p>
        </w:tc>
      </w:tr>
    </w:tbl>
    <w:p w14:paraId="481125BC" w14:textId="77777777" w:rsidR="00A20638" w:rsidRDefault="00A20638" w:rsidP="00A20638">
      <w:pPr>
        <w:spacing w:line="480" w:lineRule="auto"/>
        <w:rPr>
          <w:rFonts w:ascii="Times New Roman" w:hAnsi="Times New Roman" w:cs="Times New Roman"/>
          <w:b/>
          <w:bCs/>
          <w:sz w:val="24"/>
          <w:szCs w:val="24"/>
        </w:rPr>
        <w:sectPr w:rsidR="00A20638" w:rsidSect="00A20638">
          <w:pgSz w:w="16838" w:h="11906" w:orient="landscape"/>
          <w:pgMar w:top="1440" w:right="1440" w:bottom="1440" w:left="1440" w:header="709" w:footer="709" w:gutter="0"/>
          <w:cols w:space="708"/>
          <w:docGrid w:linePitch="360"/>
        </w:sectPr>
      </w:pPr>
    </w:p>
    <w:p w14:paraId="32CF7421" w14:textId="1D359641" w:rsidR="00A20638" w:rsidRPr="009B54FC" w:rsidRDefault="006602BF" w:rsidP="00A2063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A20638" w:rsidRPr="001D227E">
        <w:rPr>
          <w:rFonts w:ascii="Times New Roman" w:hAnsi="Times New Roman" w:cs="Times New Roman"/>
          <w:b/>
          <w:bCs/>
          <w:sz w:val="24"/>
          <w:szCs w:val="24"/>
        </w:rPr>
        <w:t xml:space="preserve">able </w:t>
      </w:r>
      <w:r w:rsidR="00A20638">
        <w:rPr>
          <w:rFonts w:ascii="Times New Roman" w:hAnsi="Times New Roman" w:cs="Times New Roman"/>
          <w:b/>
          <w:bCs/>
          <w:sz w:val="24"/>
          <w:szCs w:val="24"/>
        </w:rPr>
        <w:t>4</w:t>
      </w:r>
      <w:r w:rsidR="00A20638" w:rsidRPr="001D227E">
        <w:rPr>
          <w:rFonts w:ascii="Times New Roman" w:hAnsi="Times New Roman" w:cs="Times New Roman"/>
          <w:b/>
          <w:bCs/>
          <w:sz w:val="24"/>
          <w:szCs w:val="24"/>
        </w:rPr>
        <w:t xml:space="preserve"> </w:t>
      </w:r>
      <w:r w:rsidR="00A20638">
        <w:rPr>
          <w:rFonts w:ascii="Times New Roman" w:hAnsi="Times New Roman" w:cs="Times New Roman"/>
          <w:b/>
          <w:bCs/>
          <w:sz w:val="24"/>
          <w:szCs w:val="24"/>
        </w:rPr>
        <w:t>: D</w:t>
      </w:r>
      <w:r w:rsidR="00A20638" w:rsidRPr="001D227E">
        <w:rPr>
          <w:rFonts w:ascii="Times New Roman" w:hAnsi="Times New Roman" w:cs="Times New Roman"/>
          <w:b/>
          <w:bCs/>
          <w:sz w:val="24"/>
          <w:szCs w:val="24"/>
        </w:rPr>
        <w:t xml:space="preserve">engue testing indications for different public health and clinical contexts </w:t>
      </w:r>
      <w:r w:rsidR="00A20638">
        <w:rPr>
          <w:rFonts w:ascii="Times New Roman" w:hAnsi="Times New Roman" w:cs="Times New Roman"/>
          <w:b/>
          <w:bCs/>
          <w:sz w:val="24"/>
          <w:szCs w:val="24"/>
          <w:vertAlign w:val="superscript"/>
        </w:rPr>
        <w:t>[</w:t>
      </w:r>
      <w:r w:rsidR="00A20638" w:rsidRPr="001D227E">
        <w:rPr>
          <w:rFonts w:ascii="Times New Roman" w:hAnsi="Times New Roman" w:cs="Times New Roman"/>
          <w:b/>
          <w:bCs/>
          <w:sz w:val="24"/>
          <w:szCs w:val="24"/>
          <w:vertAlign w:val="superscript"/>
        </w:rPr>
        <w:t>8</w:t>
      </w:r>
      <w:r w:rsidR="00A20638">
        <w:rPr>
          <w:rFonts w:ascii="Times New Roman" w:hAnsi="Times New Roman" w:cs="Times New Roman"/>
          <w:b/>
          <w:bCs/>
          <w:sz w:val="24"/>
          <w:szCs w:val="24"/>
          <w:vertAlign w:val="superscript"/>
        </w:rPr>
        <w:t xml:space="preserve">] </w:t>
      </w:r>
      <w:r w:rsidR="00A20638">
        <w:rPr>
          <w:rFonts w:ascii="Times New Roman" w:hAnsi="Times New Roman" w:cs="Times New Roman"/>
          <w:b/>
          <w:bCs/>
          <w:sz w:val="24"/>
          <w:szCs w:val="24"/>
        </w:rPr>
        <w:t>:</w:t>
      </w:r>
    </w:p>
    <w:tbl>
      <w:tblPr>
        <w:tblStyle w:val="PlainTable2"/>
        <w:tblW w:w="5000" w:type="pct"/>
        <w:tblLook w:val="04A0" w:firstRow="1" w:lastRow="0" w:firstColumn="1" w:lastColumn="0" w:noHBand="0" w:noVBand="1"/>
      </w:tblPr>
      <w:tblGrid>
        <w:gridCol w:w="1963"/>
        <w:gridCol w:w="1970"/>
        <w:gridCol w:w="2507"/>
        <w:gridCol w:w="2507"/>
        <w:gridCol w:w="2507"/>
        <w:gridCol w:w="2504"/>
      </w:tblGrid>
      <w:tr w:rsidR="00A20638" w:rsidRPr="001D227E" w14:paraId="2C8A0CB8"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3" w:type="pct"/>
            <w:hideMark/>
          </w:tcPr>
          <w:p w14:paraId="5BA6DCCB"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Testing Indication</w:t>
            </w:r>
          </w:p>
        </w:tc>
        <w:tc>
          <w:tcPr>
            <w:tcW w:w="722" w:type="pct"/>
            <w:hideMark/>
          </w:tcPr>
          <w:p w14:paraId="2B714A8A"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Purpose</w:t>
            </w:r>
          </w:p>
        </w:tc>
        <w:tc>
          <w:tcPr>
            <w:tcW w:w="914" w:type="pct"/>
            <w:hideMark/>
          </w:tcPr>
          <w:p w14:paraId="34454E19"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Preferred Methods</w:t>
            </w:r>
          </w:p>
        </w:tc>
        <w:tc>
          <w:tcPr>
            <w:tcW w:w="914" w:type="pct"/>
            <w:hideMark/>
          </w:tcPr>
          <w:p w14:paraId="61D1F73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 Types</w:t>
            </w:r>
          </w:p>
        </w:tc>
        <w:tc>
          <w:tcPr>
            <w:tcW w:w="914" w:type="pct"/>
            <w:hideMark/>
          </w:tcPr>
          <w:p w14:paraId="4F06B70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Turnaround Time</w:t>
            </w:r>
          </w:p>
        </w:tc>
        <w:tc>
          <w:tcPr>
            <w:tcW w:w="914" w:type="pct"/>
            <w:hideMark/>
          </w:tcPr>
          <w:p w14:paraId="4FA94A09"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Sample Considerations</w:t>
            </w:r>
          </w:p>
        </w:tc>
      </w:tr>
      <w:tr w:rsidR="00A20638" w:rsidRPr="001D227E" w14:paraId="50F1A50E"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623" w:type="pct"/>
            <w:hideMark/>
          </w:tcPr>
          <w:p w14:paraId="4716B35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Patient Management</w:t>
            </w:r>
          </w:p>
        </w:tc>
        <w:tc>
          <w:tcPr>
            <w:tcW w:w="722" w:type="pct"/>
            <w:hideMark/>
          </w:tcPr>
          <w:p w14:paraId="4CEA781A"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Rapid diagnosis to guide clinical care</w:t>
            </w:r>
          </w:p>
        </w:tc>
        <w:tc>
          <w:tcPr>
            <w:tcW w:w="914" w:type="pct"/>
            <w:hideMark/>
          </w:tcPr>
          <w:p w14:paraId="5A0E6E7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 (e.g., RT-PCR), NS1 ELISA or RDT, NS1 + IgM combo, differential testing for other pathogens</w:t>
            </w:r>
          </w:p>
        </w:tc>
        <w:tc>
          <w:tcPr>
            <w:tcW w:w="914" w:type="pct"/>
            <w:hideMark/>
          </w:tcPr>
          <w:p w14:paraId="76AF953A"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antigen/antibody detection</w:t>
            </w:r>
          </w:p>
        </w:tc>
        <w:tc>
          <w:tcPr>
            <w:tcW w:w="914" w:type="pct"/>
            <w:hideMark/>
          </w:tcPr>
          <w:p w14:paraId="48FCCA6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High priority &amp;rapid results needed</w:t>
            </w:r>
          </w:p>
        </w:tc>
        <w:tc>
          <w:tcPr>
            <w:tcW w:w="914" w:type="pct"/>
            <w:hideMark/>
          </w:tcPr>
          <w:p w14:paraId="24EDC6D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 without delaying care; prioritize high-risk patients</w:t>
            </w:r>
          </w:p>
        </w:tc>
      </w:tr>
      <w:tr w:rsidR="00A20638" w:rsidRPr="001D227E" w14:paraId="3D7F7E89"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623" w:type="pct"/>
            <w:hideMark/>
          </w:tcPr>
          <w:p w14:paraId="6155F575"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Outbreak Investigation</w:t>
            </w:r>
          </w:p>
        </w:tc>
        <w:tc>
          <w:tcPr>
            <w:tcW w:w="722" w:type="pct"/>
            <w:hideMark/>
          </w:tcPr>
          <w:p w14:paraId="39B66E82"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 aetiology and support public health response</w:t>
            </w:r>
          </w:p>
        </w:tc>
        <w:tc>
          <w:tcPr>
            <w:tcW w:w="914" w:type="pct"/>
            <w:hideMark/>
          </w:tcPr>
          <w:p w14:paraId="26BA455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 NS1 ELISA or RDT, NS1 + IgM combo</w:t>
            </w:r>
          </w:p>
        </w:tc>
        <w:tc>
          <w:tcPr>
            <w:tcW w:w="914" w:type="pct"/>
            <w:hideMark/>
          </w:tcPr>
          <w:p w14:paraId="530426A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antigen/antibody detection</w:t>
            </w:r>
          </w:p>
        </w:tc>
        <w:tc>
          <w:tcPr>
            <w:tcW w:w="914" w:type="pct"/>
            <w:hideMark/>
          </w:tcPr>
          <w:p w14:paraId="614C9A88"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High priority &amp; rapid results needed</w:t>
            </w:r>
          </w:p>
        </w:tc>
        <w:tc>
          <w:tcPr>
            <w:tcW w:w="914" w:type="pct"/>
            <w:hideMark/>
          </w:tcPr>
          <w:p w14:paraId="52D12B85"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Timely analysis; thresholds based on surveillance data; sample proportion (e.g., 10â€“30%)</w:t>
            </w:r>
          </w:p>
        </w:tc>
      </w:tr>
      <w:tr w:rsidR="00A20638" w:rsidRPr="001D227E" w14:paraId="1B9A2597"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23" w:type="pct"/>
            <w:hideMark/>
          </w:tcPr>
          <w:p w14:paraId="5F2612DA"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Surveillance</w:t>
            </w:r>
          </w:p>
        </w:tc>
        <w:tc>
          <w:tcPr>
            <w:tcW w:w="722" w:type="pct"/>
            <w:hideMark/>
          </w:tcPr>
          <w:p w14:paraId="52AE212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Monitor trends and circulating serotypes</w:t>
            </w:r>
          </w:p>
        </w:tc>
        <w:tc>
          <w:tcPr>
            <w:tcW w:w="914" w:type="pct"/>
            <w:hideMark/>
          </w:tcPr>
          <w:p w14:paraId="7D3B3EA4"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 for IgM/IgG, NAAT including multiplex RT-PCR</w:t>
            </w:r>
          </w:p>
        </w:tc>
        <w:tc>
          <w:tcPr>
            <w:tcW w:w="914" w:type="pct"/>
            <w:hideMark/>
          </w:tcPr>
          <w:p w14:paraId="64DF197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Serological and molecular</w:t>
            </w:r>
          </w:p>
        </w:tc>
        <w:tc>
          <w:tcPr>
            <w:tcW w:w="914" w:type="pct"/>
            <w:hideMark/>
          </w:tcPr>
          <w:p w14:paraId="5DE15FE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Lower priority &amp; high-throughput preferred</w:t>
            </w:r>
          </w:p>
        </w:tc>
        <w:tc>
          <w:tcPr>
            <w:tcW w:w="914" w:type="pct"/>
            <w:hideMark/>
          </w:tcPr>
          <w:p w14:paraId="2A29AB3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Flexible sample size; based on endemicity and lab capacity</w:t>
            </w:r>
          </w:p>
        </w:tc>
      </w:tr>
      <w:tr w:rsidR="00A20638" w:rsidRPr="001D227E" w14:paraId="3DB28836"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623" w:type="pct"/>
            <w:hideMark/>
          </w:tcPr>
          <w:p w14:paraId="03A0C5B6"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Further Characterization</w:t>
            </w:r>
          </w:p>
        </w:tc>
        <w:tc>
          <w:tcPr>
            <w:tcW w:w="722" w:type="pct"/>
            <w:hideMark/>
          </w:tcPr>
          <w:p w14:paraId="49CD7EE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Serotype differentiation and genomic surveillance</w:t>
            </w:r>
          </w:p>
        </w:tc>
        <w:tc>
          <w:tcPr>
            <w:tcW w:w="914" w:type="pct"/>
            <w:hideMark/>
          </w:tcPr>
          <w:p w14:paraId="6B8A4F10"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Multiplex real-time PCR, PRNT, Next-generation sequencing (NGS)</w:t>
            </w:r>
          </w:p>
        </w:tc>
        <w:tc>
          <w:tcPr>
            <w:tcW w:w="914" w:type="pct"/>
            <w:hideMark/>
          </w:tcPr>
          <w:p w14:paraId="34080F46"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Molecular and neutralization assays</w:t>
            </w:r>
          </w:p>
        </w:tc>
        <w:tc>
          <w:tcPr>
            <w:tcW w:w="914" w:type="pct"/>
            <w:hideMark/>
          </w:tcPr>
          <w:p w14:paraId="343ED10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Moderate &amp; depends on surveillance objectives</w:t>
            </w:r>
          </w:p>
        </w:tc>
        <w:tc>
          <w:tcPr>
            <w:tcW w:w="914" w:type="pct"/>
            <w:hideMark/>
          </w:tcPr>
          <w:p w14:paraId="68E53F19"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Sampling based on proportion of positive cases</w:t>
            </w:r>
          </w:p>
        </w:tc>
      </w:tr>
    </w:tbl>
    <w:p w14:paraId="62652CD1" w14:textId="77777777" w:rsidR="00A20638" w:rsidRDefault="00A20638" w:rsidP="00A20638">
      <w:pPr>
        <w:spacing w:line="480" w:lineRule="auto"/>
        <w:rPr>
          <w:rFonts w:ascii="Times New Roman" w:hAnsi="Times New Roman" w:cs="Times New Roman"/>
          <w:sz w:val="24"/>
          <w:szCs w:val="24"/>
        </w:rPr>
        <w:sectPr w:rsidR="00A20638" w:rsidSect="00A20638">
          <w:headerReference w:type="even" r:id="rId45"/>
          <w:headerReference w:type="default" r:id="rId46"/>
          <w:footerReference w:type="default" r:id="rId47"/>
          <w:headerReference w:type="first" r:id="rId48"/>
          <w:pgSz w:w="16838" w:h="11906" w:orient="landscape"/>
          <w:pgMar w:top="1440" w:right="1440" w:bottom="1440" w:left="1440" w:header="709" w:footer="709" w:gutter="0"/>
          <w:cols w:space="708"/>
          <w:docGrid w:linePitch="360"/>
        </w:sectPr>
      </w:pPr>
    </w:p>
    <w:p w14:paraId="18690AB2" w14:textId="77777777" w:rsidR="00A20638" w:rsidRPr="00AC406E" w:rsidRDefault="00A20638" w:rsidP="00A20638">
      <w:pPr>
        <w:spacing w:line="480" w:lineRule="auto"/>
        <w:rPr>
          <w:rFonts w:ascii="Times New Roman" w:hAnsi="Times New Roman" w:cs="Times New Roman"/>
          <w:b/>
          <w:bCs/>
          <w:sz w:val="24"/>
          <w:szCs w:val="24"/>
          <w:vertAlign w:val="superscript"/>
        </w:rPr>
      </w:pPr>
      <w:r w:rsidRPr="001D227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5</w:t>
      </w:r>
      <w:r w:rsidRPr="001D227E">
        <w:rPr>
          <w:rFonts w:ascii="Times New Roman" w:hAnsi="Times New Roman" w:cs="Times New Roman"/>
          <w:b/>
          <w:bCs/>
          <w:sz w:val="24"/>
          <w:szCs w:val="24"/>
        </w:rPr>
        <w:t xml:space="preserve"> </w:t>
      </w:r>
      <w:r>
        <w:rPr>
          <w:rFonts w:ascii="Times New Roman" w:hAnsi="Times New Roman" w:cs="Times New Roman"/>
          <w:b/>
          <w:bCs/>
          <w:sz w:val="24"/>
          <w:szCs w:val="24"/>
        </w:rPr>
        <w:t>:</w:t>
      </w:r>
      <w:r w:rsidRPr="001D227E">
        <w:rPr>
          <w:rFonts w:ascii="Times New Roman" w:hAnsi="Times New Roman" w:cs="Times New Roman"/>
          <w:b/>
          <w:bCs/>
          <w:sz w:val="24"/>
          <w:szCs w:val="24"/>
        </w:rPr>
        <w:t xml:space="preserve"> </w:t>
      </w:r>
      <w:r>
        <w:rPr>
          <w:rFonts w:ascii="Times New Roman" w:hAnsi="Times New Roman" w:cs="Times New Roman"/>
          <w:b/>
          <w:bCs/>
          <w:sz w:val="24"/>
          <w:szCs w:val="24"/>
        </w:rPr>
        <w:t>R</w:t>
      </w:r>
      <w:r w:rsidRPr="001D227E">
        <w:rPr>
          <w:rFonts w:ascii="Times New Roman" w:hAnsi="Times New Roman" w:cs="Times New Roman"/>
          <w:b/>
          <w:bCs/>
          <w:sz w:val="24"/>
          <w:szCs w:val="24"/>
        </w:rPr>
        <w:t>ecommended dengue testing methods and interpretation of results</w:t>
      </w:r>
      <w:r w:rsidRPr="001D227E">
        <w:rPr>
          <w:rFonts w:ascii="Times New Roman" w:hAnsi="Times New Roman" w:cs="Times New Roman"/>
          <w:sz w:val="24"/>
          <w:szCs w:val="24"/>
        </w:rPr>
        <w:t xml:space="preserve"> at </w:t>
      </w:r>
      <w:r w:rsidRPr="001D227E">
        <w:rPr>
          <w:rFonts w:ascii="Times New Roman" w:hAnsi="Times New Roman" w:cs="Times New Roman"/>
          <w:b/>
          <w:bCs/>
          <w:sz w:val="24"/>
          <w:szCs w:val="24"/>
        </w:rPr>
        <w:t>different stages of infection</w:t>
      </w:r>
      <w:r>
        <w:rPr>
          <w:rFonts w:ascii="Times New Roman" w:hAnsi="Times New Roman" w:cs="Times New Roman"/>
          <w:b/>
          <w:bCs/>
          <w:sz w:val="24"/>
          <w:szCs w:val="24"/>
        </w:rPr>
        <w:t xml:space="preserve"> </w:t>
      </w:r>
      <w:r w:rsidRPr="00AC406E">
        <w:rPr>
          <w:rFonts w:ascii="Times New Roman" w:hAnsi="Times New Roman" w:cs="Times New Roman"/>
          <w:b/>
          <w:bCs/>
          <w:sz w:val="24"/>
          <w:szCs w:val="24"/>
          <w:vertAlign w:val="superscript"/>
        </w:rPr>
        <w:t>[8]</w:t>
      </w:r>
    </w:p>
    <w:tbl>
      <w:tblPr>
        <w:tblStyle w:val="PlainTable2"/>
        <w:tblW w:w="5000" w:type="pct"/>
        <w:tblLook w:val="04A0" w:firstRow="1" w:lastRow="0" w:firstColumn="1" w:lastColumn="0" w:noHBand="0" w:noVBand="1"/>
      </w:tblPr>
      <w:tblGrid>
        <w:gridCol w:w="1576"/>
        <w:gridCol w:w="1638"/>
        <w:gridCol w:w="1638"/>
        <w:gridCol w:w="1638"/>
        <w:gridCol w:w="2536"/>
      </w:tblGrid>
      <w:tr w:rsidR="00A20638" w:rsidRPr="001D227E" w14:paraId="067BA3EF" w14:textId="77777777" w:rsidTr="00B510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17" w:type="pct"/>
            <w:hideMark/>
          </w:tcPr>
          <w:p w14:paraId="10CC0BE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Stage of Infection</w:t>
            </w:r>
          </w:p>
        </w:tc>
        <w:tc>
          <w:tcPr>
            <w:tcW w:w="1046" w:type="pct"/>
            <w:hideMark/>
          </w:tcPr>
          <w:p w14:paraId="7EF09FEF"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Analyte</w:t>
            </w:r>
          </w:p>
        </w:tc>
        <w:tc>
          <w:tcPr>
            <w:tcW w:w="1046" w:type="pct"/>
            <w:hideMark/>
          </w:tcPr>
          <w:p w14:paraId="703494EC"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Testing Method</w:t>
            </w:r>
          </w:p>
        </w:tc>
        <w:tc>
          <w:tcPr>
            <w:tcW w:w="1046" w:type="pct"/>
            <w:hideMark/>
          </w:tcPr>
          <w:p w14:paraId="2C4220BD"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Result</w:t>
            </w:r>
          </w:p>
        </w:tc>
        <w:tc>
          <w:tcPr>
            <w:tcW w:w="1046" w:type="pct"/>
            <w:hideMark/>
          </w:tcPr>
          <w:p w14:paraId="7FEEC800" w14:textId="77777777" w:rsidR="00A20638" w:rsidRPr="001D227E" w:rsidRDefault="00A20638" w:rsidP="00EA14D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Interpretation</w:t>
            </w:r>
          </w:p>
        </w:tc>
      </w:tr>
      <w:tr w:rsidR="00A20638" w:rsidRPr="001D227E" w14:paraId="42C2725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504CCC15"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Acute (1-7 days)</w:t>
            </w:r>
          </w:p>
        </w:tc>
        <w:tc>
          <w:tcPr>
            <w:tcW w:w="1046" w:type="pct"/>
            <w:hideMark/>
          </w:tcPr>
          <w:p w14:paraId="2D3E2DAD"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RNA</w:t>
            </w:r>
          </w:p>
        </w:tc>
        <w:tc>
          <w:tcPr>
            <w:tcW w:w="1046" w:type="pct"/>
            <w:hideMark/>
          </w:tcPr>
          <w:p w14:paraId="456B1CD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w:t>
            </w:r>
          </w:p>
        </w:tc>
        <w:tc>
          <w:tcPr>
            <w:tcW w:w="1046" w:type="pct"/>
            <w:hideMark/>
          </w:tcPr>
          <w:p w14:paraId="393E3986"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2331A63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2C32B35E" w14:textId="77777777" w:rsidTr="00B5106A">
        <w:trPr>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38A9055D"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473F9C7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RNA</w:t>
            </w:r>
          </w:p>
        </w:tc>
        <w:tc>
          <w:tcPr>
            <w:tcW w:w="1046" w:type="pct"/>
            <w:hideMark/>
          </w:tcPr>
          <w:p w14:paraId="6E639A90"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NAAT</w:t>
            </w:r>
          </w:p>
        </w:tc>
        <w:tc>
          <w:tcPr>
            <w:tcW w:w="1046" w:type="pct"/>
            <w:hideMark/>
          </w:tcPr>
          <w:p w14:paraId="7E2D6BC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2F8C15F2"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09B7619F" w14:textId="77777777" w:rsidTr="00B5106A">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817" w:type="pct"/>
            <w:vMerge/>
            <w:hideMark/>
          </w:tcPr>
          <w:p w14:paraId="3017D77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DB0F00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w:t>
            </w:r>
          </w:p>
        </w:tc>
        <w:tc>
          <w:tcPr>
            <w:tcW w:w="1046" w:type="pct"/>
            <w:hideMark/>
          </w:tcPr>
          <w:p w14:paraId="27F51E8D"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01A1D12E"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37E28FE7"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 (consider serotype and prevalence)</w:t>
            </w:r>
          </w:p>
        </w:tc>
      </w:tr>
      <w:tr w:rsidR="00A20638" w:rsidRPr="001D227E" w14:paraId="517E7F08" w14:textId="77777777" w:rsidTr="00B5106A">
        <w:trPr>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5B28C16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458FEEBF"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w:t>
            </w:r>
          </w:p>
        </w:tc>
        <w:tc>
          <w:tcPr>
            <w:tcW w:w="1046" w:type="pct"/>
            <w:hideMark/>
          </w:tcPr>
          <w:p w14:paraId="3DC6F1EC"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43BD11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55D1177A"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24CAF585" w14:textId="77777777" w:rsidTr="00B510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7CDC3C54"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Acute (1-7 days) and Convalescent (&gt;7 days)</w:t>
            </w:r>
          </w:p>
        </w:tc>
        <w:tc>
          <w:tcPr>
            <w:tcW w:w="1046" w:type="pct"/>
            <w:hideMark/>
          </w:tcPr>
          <w:p w14:paraId="28036E5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26AC8A9F"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444EC423"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1CC74C68"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25C9ED36" w14:textId="77777777" w:rsidTr="00B5106A">
        <w:trPr>
          <w:trHeight w:val="576"/>
        </w:trPr>
        <w:tc>
          <w:tcPr>
            <w:cnfStyle w:val="001000000000" w:firstRow="0" w:lastRow="0" w:firstColumn="1" w:lastColumn="0" w:oddVBand="0" w:evenVBand="0" w:oddHBand="0" w:evenHBand="0" w:firstRowFirstColumn="0" w:firstRowLastColumn="0" w:lastRowFirstColumn="0" w:lastRowLastColumn="0"/>
            <w:tcW w:w="817" w:type="pct"/>
            <w:vMerge/>
            <w:hideMark/>
          </w:tcPr>
          <w:p w14:paraId="1939AA96"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545209F8"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6A5541E3"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63CD96A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611961C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Confirms acute dengue infection</w:t>
            </w:r>
          </w:p>
        </w:tc>
      </w:tr>
      <w:tr w:rsidR="00A20638" w:rsidRPr="001D227E" w14:paraId="1EE6846E" w14:textId="77777777" w:rsidTr="00B51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17" w:type="pct"/>
            <w:vMerge/>
            <w:hideMark/>
          </w:tcPr>
          <w:p w14:paraId="4E9DEE2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BC56D1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7FF5C910"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32F6B3E"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1D31E9E4"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w:t>
            </w:r>
          </w:p>
        </w:tc>
      </w:tr>
      <w:tr w:rsidR="00A20638" w:rsidRPr="001D227E" w14:paraId="10C27D2F" w14:textId="77777777" w:rsidTr="00B5106A">
        <w:trPr>
          <w:trHeight w:val="1152"/>
        </w:trPr>
        <w:tc>
          <w:tcPr>
            <w:cnfStyle w:val="001000000000" w:firstRow="0" w:lastRow="0" w:firstColumn="1" w:lastColumn="0" w:oddVBand="0" w:evenVBand="0" w:oddHBand="0" w:evenHBand="0" w:firstRowFirstColumn="0" w:firstRowLastColumn="0" w:lastRowFirstColumn="0" w:lastRowLastColumn="0"/>
            <w:tcW w:w="817" w:type="pct"/>
            <w:vMerge/>
            <w:hideMark/>
          </w:tcPr>
          <w:p w14:paraId="0C733712"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3B146F7A"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 &amp; IgM</w:t>
            </w:r>
          </w:p>
        </w:tc>
        <w:tc>
          <w:tcPr>
            <w:tcW w:w="1046" w:type="pct"/>
            <w:hideMark/>
          </w:tcPr>
          <w:p w14:paraId="1A056F2B"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5D8681E9"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NS1-/IgM+</w:t>
            </w:r>
          </w:p>
        </w:tc>
        <w:tc>
          <w:tcPr>
            <w:tcW w:w="1046" w:type="pct"/>
            <w:hideMark/>
          </w:tcPr>
          <w:p w14:paraId="0C32B7D1"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Probable recent dengue infection (consider clinical/epidemiological context)</w:t>
            </w:r>
          </w:p>
        </w:tc>
      </w:tr>
      <w:tr w:rsidR="00A20638" w:rsidRPr="001D227E" w14:paraId="742BFBA9" w14:textId="77777777" w:rsidTr="00B5106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817" w:type="pct"/>
            <w:vMerge w:val="restart"/>
            <w:hideMark/>
          </w:tcPr>
          <w:p w14:paraId="104926A7"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Convalescent (&gt;7 days)</w:t>
            </w:r>
          </w:p>
        </w:tc>
        <w:tc>
          <w:tcPr>
            <w:tcW w:w="1046" w:type="pct"/>
            <w:hideMark/>
          </w:tcPr>
          <w:p w14:paraId="615C9F72"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IgM</w:t>
            </w:r>
          </w:p>
        </w:tc>
        <w:tc>
          <w:tcPr>
            <w:tcW w:w="1046" w:type="pct"/>
            <w:hideMark/>
          </w:tcPr>
          <w:p w14:paraId="395DBCE5"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5C2466EB"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7B8D3B61" w14:textId="77777777" w:rsidR="00A20638" w:rsidRPr="001D227E" w:rsidRDefault="00A20638" w:rsidP="00EA14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Probable recent dengue infection (consider clinical/epidemiological context)</w:t>
            </w:r>
          </w:p>
        </w:tc>
      </w:tr>
      <w:tr w:rsidR="00A20638" w:rsidRPr="001D227E" w14:paraId="209B9EFA" w14:textId="77777777" w:rsidTr="00B5106A">
        <w:trPr>
          <w:trHeight w:val="864"/>
        </w:trPr>
        <w:tc>
          <w:tcPr>
            <w:cnfStyle w:val="001000000000" w:firstRow="0" w:lastRow="0" w:firstColumn="1" w:lastColumn="0" w:oddVBand="0" w:evenVBand="0" w:oddHBand="0" w:evenHBand="0" w:firstRowFirstColumn="0" w:firstRowLastColumn="0" w:lastRowFirstColumn="0" w:lastRowLastColumn="0"/>
            <w:tcW w:w="817" w:type="pct"/>
            <w:vMerge/>
            <w:hideMark/>
          </w:tcPr>
          <w:p w14:paraId="5662734F" w14:textId="77777777" w:rsidR="00A20638" w:rsidRPr="001D227E" w:rsidRDefault="00A20638" w:rsidP="00EA14DF">
            <w:pPr>
              <w:spacing w:line="360" w:lineRule="auto"/>
              <w:rPr>
                <w:rFonts w:ascii="Times New Roman" w:eastAsia="Times New Roman" w:hAnsi="Times New Roman" w:cs="Times New Roman"/>
                <w:color w:val="000000"/>
                <w:kern w:val="0"/>
                <w:sz w:val="24"/>
                <w:szCs w:val="24"/>
                <w:lang w:eastAsia="en-IN"/>
                <w14:ligatures w14:val="none"/>
              </w:rPr>
            </w:pPr>
          </w:p>
        </w:tc>
        <w:tc>
          <w:tcPr>
            <w:tcW w:w="1046" w:type="pct"/>
            <w:hideMark/>
          </w:tcPr>
          <w:p w14:paraId="19EE93B7"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IgM</w:t>
            </w:r>
          </w:p>
        </w:tc>
        <w:tc>
          <w:tcPr>
            <w:tcW w:w="1046" w:type="pct"/>
            <w:hideMark/>
          </w:tcPr>
          <w:p w14:paraId="70A58A2D"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ELISA/RDT</w:t>
            </w:r>
          </w:p>
        </w:tc>
        <w:tc>
          <w:tcPr>
            <w:tcW w:w="1046" w:type="pct"/>
            <w:hideMark/>
          </w:tcPr>
          <w:p w14:paraId="19B2D11E"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w:t>
            </w:r>
          </w:p>
        </w:tc>
        <w:tc>
          <w:tcPr>
            <w:tcW w:w="1046" w:type="pct"/>
            <w:hideMark/>
          </w:tcPr>
          <w:p w14:paraId="7C0D2D9B" w14:textId="77777777" w:rsidR="00A20638" w:rsidRPr="001D227E" w:rsidRDefault="00A20638" w:rsidP="00EA14D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1D227E">
              <w:rPr>
                <w:rFonts w:ascii="Times New Roman" w:eastAsia="Times New Roman" w:hAnsi="Times New Roman" w:cs="Times New Roman"/>
                <w:color w:val="000000"/>
                <w:kern w:val="0"/>
                <w:sz w:val="24"/>
                <w:szCs w:val="24"/>
                <w:lang w:eastAsia="en-IN"/>
                <w14:ligatures w14:val="none"/>
              </w:rPr>
              <w:t>Dengue not confirmed (consider differential diagnosis)</w:t>
            </w:r>
          </w:p>
        </w:tc>
      </w:tr>
    </w:tbl>
    <w:p w14:paraId="0D2EA67A" w14:textId="77777777" w:rsidR="00A20638" w:rsidRPr="001D227E" w:rsidRDefault="00A20638" w:rsidP="00A20638">
      <w:pPr>
        <w:spacing w:line="480" w:lineRule="auto"/>
        <w:rPr>
          <w:rFonts w:ascii="Times New Roman" w:hAnsi="Times New Roman" w:cs="Times New Roman"/>
          <w:sz w:val="24"/>
          <w:szCs w:val="24"/>
        </w:rPr>
      </w:pPr>
    </w:p>
    <w:p w14:paraId="51B55F00" w14:textId="77777777" w:rsidR="00A20638" w:rsidRDefault="00A20638" w:rsidP="00A20638">
      <w:pPr>
        <w:spacing w:line="480" w:lineRule="auto"/>
        <w:rPr>
          <w:rFonts w:ascii="Times New Roman" w:hAnsi="Times New Roman" w:cs="Times New Roman"/>
          <w:b/>
          <w:bCs/>
          <w:sz w:val="24"/>
          <w:szCs w:val="24"/>
        </w:rPr>
      </w:pPr>
    </w:p>
    <w:p w14:paraId="360A642F" w14:textId="77777777" w:rsidR="00A20638" w:rsidRDefault="00A20638" w:rsidP="00A20638">
      <w:pPr>
        <w:spacing w:line="480" w:lineRule="auto"/>
        <w:rPr>
          <w:rFonts w:ascii="Times New Roman" w:hAnsi="Times New Roman" w:cs="Times New Roman"/>
          <w:b/>
          <w:bCs/>
          <w:sz w:val="24"/>
          <w:szCs w:val="24"/>
        </w:rPr>
      </w:pPr>
    </w:p>
    <w:p w14:paraId="4DFE2016" w14:textId="77777777" w:rsidR="00A20638" w:rsidRDefault="00A20638" w:rsidP="00590845">
      <w:pPr>
        <w:spacing w:line="480" w:lineRule="auto"/>
        <w:rPr>
          <w:rFonts w:ascii="Times New Roman" w:hAnsi="Times New Roman" w:cs="Times New Roman"/>
          <w:b/>
          <w:bCs/>
          <w:sz w:val="24"/>
          <w:szCs w:val="24"/>
        </w:rPr>
        <w:sectPr w:rsidR="00A20638" w:rsidSect="009D4893">
          <w:pgSz w:w="11906" w:h="16838"/>
          <w:pgMar w:top="1440" w:right="1440" w:bottom="1440" w:left="1440" w:header="709" w:footer="709" w:gutter="0"/>
          <w:cols w:space="708"/>
          <w:docGrid w:linePitch="360"/>
        </w:sectPr>
      </w:pPr>
    </w:p>
    <w:p w14:paraId="22519EF1" w14:textId="2DFDCA87" w:rsidR="00590845" w:rsidRPr="00BE589F" w:rsidRDefault="00BE589F" w:rsidP="009B54FC">
      <w:pPr>
        <w:spacing w:line="480" w:lineRule="auto"/>
        <w:rPr>
          <w:rFonts w:ascii="Times New Roman" w:hAnsi="Times New Roman" w:cs="Times New Roman"/>
          <w:b/>
          <w:bCs/>
          <w:sz w:val="24"/>
          <w:szCs w:val="24"/>
        </w:rPr>
      </w:pPr>
      <w:r w:rsidRPr="00984FBA">
        <w:rPr>
          <w:rFonts w:ascii="Times New Roman" w:hAnsi="Times New Roman" w:cs="Times New Roman"/>
          <w:b/>
          <w:bCs/>
          <w:sz w:val="24"/>
          <w:szCs w:val="24"/>
        </w:rPr>
        <w:lastRenderedPageBreak/>
        <w:t>Table 6:</w:t>
      </w:r>
      <w:r>
        <w:rPr>
          <w:rFonts w:ascii="Times New Roman" w:hAnsi="Times New Roman" w:cs="Times New Roman"/>
          <w:sz w:val="24"/>
          <w:szCs w:val="24"/>
        </w:rPr>
        <w:t xml:space="preserve"> </w:t>
      </w:r>
      <w:r w:rsidRPr="00BE589F">
        <w:rPr>
          <w:rFonts w:ascii="Times New Roman" w:hAnsi="Times New Roman" w:cs="Times New Roman"/>
          <w:b/>
          <w:bCs/>
          <w:sz w:val="24"/>
          <w:szCs w:val="24"/>
        </w:rPr>
        <w:t>WHO-</w:t>
      </w:r>
      <w:bookmarkStart w:id="1" w:name="_Hlk203647117"/>
      <w:r w:rsidRPr="00BE589F">
        <w:rPr>
          <w:rFonts w:ascii="Times New Roman" w:hAnsi="Times New Roman" w:cs="Times New Roman"/>
          <w:b/>
          <w:bCs/>
          <w:sz w:val="24"/>
          <w:szCs w:val="24"/>
        </w:rPr>
        <w:t xml:space="preserve">Reviewed Dengue Diagnostic Kits </w:t>
      </w:r>
      <w:bookmarkEnd w:id="1"/>
      <w:r w:rsidRPr="00BE589F">
        <w:rPr>
          <w:rFonts w:ascii="Times New Roman" w:hAnsi="Times New Roman" w:cs="Times New Roman"/>
          <w:b/>
          <w:bCs/>
          <w:sz w:val="24"/>
          <w:szCs w:val="24"/>
        </w:rPr>
        <w:t>(as of 15 May 2025)</w:t>
      </w:r>
      <w:r w:rsidR="00F418BD">
        <w:rPr>
          <w:rFonts w:ascii="Times New Roman" w:hAnsi="Times New Roman" w:cs="Times New Roman"/>
          <w:b/>
          <w:bCs/>
          <w:sz w:val="24"/>
          <w:szCs w:val="24"/>
        </w:rPr>
        <w:t xml:space="preserve"> </w:t>
      </w:r>
      <w:r w:rsidR="00F418BD" w:rsidRPr="00F418BD">
        <w:rPr>
          <w:rFonts w:ascii="Times New Roman" w:hAnsi="Times New Roman" w:cs="Times New Roman"/>
          <w:b/>
          <w:bCs/>
          <w:sz w:val="24"/>
          <w:szCs w:val="24"/>
          <w:vertAlign w:val="superscript"/>
        </w:rPr>
        <w:t>[9]</w:t>
      </w:r>
    </w:p>
    <w:tbl>
      <w:tblPr>
        <w:tblStyle w:val="TableGrid"/>
        <w:tblW w:w="0" w:type="auto"/>
        <w:tblLook w:val="04A0" w:firstRow="1" w:lastRow="0" w:firstColumn="1" w:lastColumn="0" w:noHBand="0" w:noVBand="1"/>
      </w:tblPr>
      <w:tblGrid>
        <w:gridCol w:w="2006"/>
        <w:gridCol w:w="2007"/>
        <w:gridCol w:w="1991"/>
        <w:gridCol w:w="1991"/>
        <w:gridCol w:w="1984"/>
        <w:gridCol w:w="1994"/>
        <w:gridCol w:w="1975"/>
      </w:tblGrid>
      <w:tr w:rsidR="00BE589F" w:rsidRPr="00BE589F" w14:paraId="6579A406" w14:textId="77777777" w:rsidTr="00BE589F">
        <w:trPr>
          <w:trHeight w:val="636"/>
        </w:trPr>
        <w:tc>
          <w:tcPr>
            <w:tcW w:w="2020" w:type="dxa"/>
            <w:hideMark/>
          </w:tcPr>
          <w:p w14:paraId="6E26506A"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Product Name</w:t>
            </w:r>
          </w:p>
        </w:tc>
        <w:tc>
          <w:tcPr>
            <w:tcW w:w="2020" w:type="dxa"/>
            <w:hideMark/>
          </w:tcPr>
          <w:p w14:paraId="4EE7DF74"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Manufacturer</w:t>
            </w:r>
          </w:p>
        </w:tc>
        <w:tc>
          <w:tcPr>
            <w:tcW w:w="2020" w:type="dxa"/>
            <w:hideMark/>
          </w:tcPr>
          <w:p w14:paraId="3074432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Analyte Detected</w:t>
            </w:r>
          </w:p>
        </w:tc>
        <w:tc>
          <w:tcPr>
            <w:tcW w:w="2020" w:type="dxa"/>
            <w:hideMark/>
          </w:tcPr>
          <w:p w14:paraId="7741ED9C"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Specimen Type</w:t>
            </w:r>
          </w:p>
        </w:tc>
        <w:tc>
          <w:tcPr>
            <w:tcW w:w="2020" w:type="dxa"/>
            <w:hideMark/>
          </w:tcPr>
          <w:p w14:paraId="374578D3"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Shelf Life / Storage</w:t>
            </w:r>
          </w:p>
        </w:tc>
        <w:tc>
          <w:tcPr>
            <w:tcW w:w="2020" w:type="dxa"/>
            <w:hideMark/>
          </w:tcPr>
          <w:p w14:paraId="7F3919EE" w14:textId="180E33C6"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Risk Category</w:t>
            </w:r>
            <w:r w:rsidR="00F418BD">
              <w:rPr>
                <w:rFonts w:ascii="Times New Roman" w:hAnsi="Times New Roman" w:cs="Times New Roman"/>
                <w:b/>
                <w:bCs/>
                <w:sz w:val="24"/>
                <w:szCs w:val="24"/>
              </w:rPr>
              <w:t>*</w:t>
            </w:r>
          </w:p>
        </w:tc>
        <w:tc>
          <w:tcPr>
            <w:tcW w:w="2020" w:type="dxa"/>
            <w:hideMark/>
          </w:tcPr>
          <w:p w14:paraId="4CA4B326"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Valid Until</w:t>
            </w:r>
          </w:p>
        </w:tc>
      </w:tr>
      <w:tr w:rsidR="00BE589F" w:rsidRPr="00BE589F" w14:paraId="5DC8774A" w14:textId="77777777" w:rsidTr="00BE589F">
        <w:trPr>
          <w:trHeight w:val="948"/>
        </w:trPr>
        <w:tc>
          <w:tcPr>
            <w:tcW w:w="2020" w:type="dxa"/>
            <w:hideMark/>
          </w:tcPr>
          <w:p w14:paraId="0696779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STANDARD Q Dengue Duo Test RDT</w:t>
            </w:r>
          </w:p>
        </w:tc>
        <w:tc>
          <w:tcPr>
            <w:tcW w:w="2020" w:type="dxa"/>
            <w:hideMark/>
          </w:tcPr>
          <w:p w14:paraId="5577780F"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SD Biosensor, Korea</w:t>
            </w:r>
          </w:p>
        </w:tc>
        <w:tc>
          <w:tcPr>
            <w:tcW w:w="2020" w:type="dxa"/>
            <w:hideMark/>
          </w:tcPr>
          <w:p w14:paraId="6345AFDD"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03789804"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plasma, whole blood</w:t>
            </w:r>
          </w:p>
        </w:tc>
        <w:tc>
          <w:tcPr>
            <w:tcW w:w="2020" w:type="dxa"/>
            <w:hideMark/>
          </w:tcPr>
          <w:p w14:paraId="446C860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125F8E32"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76DED61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1A3A3566" w14:textId="77777777" w:rsidTr="00BE589F">
        <w:trPr>
          <w:trHeight w:val="948"/>
        </w:trPr>
        <w:tc>
          <w:tcPr>
            <w:tcW w:w="2020" w:type="dxa"/>
            <w:hideMark/>
          </w:tcPr>
          <w:p w14:paraId="6E95359C"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 xml:space="preserve">Dengue (NS1 </w:t>
            </w:r>
            <w:proofErr w:type="spellStart"/>
            <w:r w:rsidRPr="00BE589F">
              <w:rPr>
                <w:rFonts w:ascii="Times New Roman" w:hAnsi="Times New Roman" w:cs="Times New Roman"/>
                <w:b/>
                <w:bCs/>
                <w:sz w:val="24"/>
                <w:szCs w:val="24"/>
              </w:rPr>
              <w:t>Ag+IgG</w:t>
            </w:r>
            <w:proofErr w:type="spellEnd"/>
            <w:r w:rsidRPr="00BE589F">
              <w:rPr>
                <w:rFonts w:ascii="Times New Roman" w:hAnsi="Times New Roman" w:cs="Times New Roman"/>
                <w:b/>
                <w:bCs/>
                <w:sz w:val="24"/>
                <w:szCs w:val="24"/>
              </w:rPr>
              <w:t>/IgM) DUO RDT</w:t>
            </w:r>
          </w:p>
        </w:tc>
        <w:tc>
          <w:tcPr>
            <w:tcW w:w="2020" w:type="dxa"/>
            <w:hideMark/>
          </w:tcPr>
          <w:p w14:paraId="6D3698C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 xml:space="preserve">Jiangsu </w:t>
            </w:r>
            <w:proofErr w:type="spellStart"/>
            <w:r w:rsidRPr="00BE589F">
              <w:rPr>
                <w:rFonts w:ascii="Times New Roman" w:hAnsi="Times New Roman" w:cs="Times New Roman"/>
                <w:sz w:val="24"/>
                <w:szCs w:val="24"/>
              </w:rPr>
              <w:t>Bioperfectus</w:t>
            </w:r>
            <w:proofErr w:type="spellEnd"/>
            <w:r w:rsidRPr="00BE589F">
              <w:rPr>
                <w:rFonts w:ascii="Times New Roman" w:hAnsi="Times New Roman" w:cs="Times New Roman"/>
                <w:sz w:val="24"/>
                <w:szCs w:val="24"/>
              </w:rPr>
              <w:t>, China</w:t>
            </w:r>
          </w:p>
        </w:tc>
        <w:tc>
          <w:tcPr>
            <w:tcW w:w="2020" w:type="dxa"/>
            <w:hideMark/>
          </w:tcPr>
          <w:p w14:paraId="62910FD8"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7219B8C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Plasma or serum</w:t>
            </w:r>
          </w:p>
        </w:tc>
        <w:tc>
          <w:tcPr>
            <w:tcW w:w="2020" w:type="dxa"/>
            <w:hideMark/>
          </w:tcPr>
          <w:p w14:paraId="5FD3301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43E8D55F" w14:textId="6878908F"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564E7062"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10D0C390" w14:textId="77777777" w:rsidTr="00BE589F">
        <w:trPr>
          <w:trHeight w:val="948"/>
        </w:trPr>
        <w:tc>
          <w:tcPr>
            <w:tcW w:w="2020" w:type="dxa"/>
            <w:hideMark/>
          </w:tcPr>
          <w:p w14:paraId="461F3CB5"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BIOCREDIT Dengue NS1 Ag + Ab Duo RDT</w:t>
            </w:r>
          </w:p>
        </w:tc>
        <w:tc>
          <w:tcPr>
            <w:tcW w:w="2020" w:type="dxa"/>
            <w:hideMark/>
          </w:tcPr>
          <w:p w14:paraId="3768BD8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Rapigen</w:t>
            </w:r>
            <w:proofErr w:type="spellEnd"/>
            <w:r w:rsidRPr="00BE589F">
              <w:rPr>
                <w:rFonts w:ascii="Times New Roman" w:hAnsi="Times New Roman" w:cs="Times New Roman"/>
                <w:sz w:val="24"/>
                <w:szCs w:val="24"/>
              </w:rPr>
              <w:t>, Korea</w:t>
            </w:r>
          </w:p>
        </w:tc>
        <w:tc>
          <w:tcPr>
            <w:tcW w:w="2020" w:type="dxa"/>
            <w:hideMark/>
          </w:tcPr>
          <w:p w14:paraId="483AB7D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 + IgM/IgG antibodies</w:t>
            </w:r>
          </w:p>
        </w:tc>
        <w:tc>
          <w:tcPr>
            <w:tcW w:w="2020" w:type="dxa"/>
            <w:hideMark/>
          </w:tcPr>
          <w:p w14:paraId="0FAC3D0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plasma, venous whole blood</w:t>
            </w:r>
          </w:p>
        </w:tc>
        <w:tc>
          <w:tcPr>
            <w:tcW w:w="2020" w:type="dxa"/>
            <w:hideMark/>
          </w:tcPr>
          <w:p w14:paraId="5DAE01A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7782EBF0"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74A248D3"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Apr-26</w:t>
            </w:r>
          </w:p>
        </w:tc>
      </w:tr>
      <w:tr w:rsidR="00BE589F" w:rsidRPr="00BE589F" w14:paraId="6B5BC9F9" w14:textId="77777777" w:rsidTr="00BE589F">
        <w:trPr>
          <w:trHeight w:val="948"/>
        </w:trPr>
        <w:tc>
          <w:tcPr>
            <w:tcW w:w="2020" w:type="dxa"/>
            <w:hideMark/>
          </w:tcPr>
          <w:p w14:paraId="33EB16FF"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STANDARD M10 DENV 1–4 RT-PCR test</w:t>
            </w:r>
          </w:p>
        </w:tc>
        <w:tc>
          <w:tcPr>
            <w:tcW w:w="2020" w:type="dxa"/>
            <w:hideMark/>
          </w:tcPr>
          <w:p w14:paraId="5CDE0A81"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SD Biosensor, Korea</w:t>
            </w:r>
          </w:p>
        </w:tc>
        <w:tc>
          <w:tcPr>
            <w:tcW w:w="2020" w:type="dxa"/>
            <w:hideMark/>
          </w:tcPr>
          <w:p w14:paraId="4D45D6D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DENV-1 to 4</w:t>
            </w:r>
          </w:p>
        </w:tc>
        <w:tc>
          <w:tcPr>
            <w:tcW w:w="2020" w:type="dxa"/>
            <w:hideMark/>
          </w:tcPr>
          <w:p w14:paraId="0B501076"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 or plasma</w:t>
            </w:r>
          </w:p>
        </w:tc>
        <w:tc>
          <w:tcPr>
            <w:tcW w:w="2020" w:type="dxa"/>
            <w:hideMark/>
          </w:tcPr>
          <w:p w14:paraId="1994393D"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12 months / 2–28°C</w:t>
            </w:r>
          </w:p>
        </w:tc>
        <w:tc>
          <w:tcPr>
            <w:tcW w:w="2020" w:type="dxa"/>
            <w:hideMark/>
          </w:tcPr>
          <w:p w14:paraId="66649FBE"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p>
        </w:tc>
        <w:tc>
          <w:tcPr>
            <w:tcW w:w="2020" w:type="dxa"/>
            <w:hideMark/>
          </w:tcPr>
          <w:p w14:paraId="3D5119E9"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Mar-26</w:t>
            </w:r>
          </w:p>
        </w:tc>
      </w:tr>
      <w:tr w:rsidR="00BE589F" w:rsidRPr="00BE589F" w14:paraId="67A6AA18" w14:textId="77777777" w:rsidTr="00BE589F">
        <w:trPr>
          <w:trHeight w:val="1260"/>
        </w:trPr>
        <w:tc>
          <w:tcPr>
            <w:tcW w:w="2020" w:type="dxa"/>
            <w:hideMark/>
          </w:tcPr>
          <w:p w14:paraId="3B60367D" w14:textId="77777777"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VIASURE Dengue Serotyping RT-PCR Kit</w:t>
            </w:r>
          </w:p>
        </w:tc>
        <w:tc>
          <w:tcPr>
            <w:tcW w:w="2020" w:type="dxa"/>
            <w:hideMark/>
          </w:tcPr>
          <w:p w14:paraId="75173BF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CerTest</w:t>
            </w:r>
            <w:proofErr w:type="spellEnd"/>
            <w:r w:rsidRPr="00BE589F">
              <w:rPr>
                <w:rFonts w:ascii="Times New Roman" w:hAnsi="Times New Roman" w:cs="Times New Roman"/>
                <w:sz w:val="24"/>
                <w:szCs w:val="24"/>
              </w:rPr>
              <w:t xml:space="preserve"> </w:t>
            </w:r>
            <w:proofErr w:type="spellStart"/>
            <w:r w:rsidRPr="00BE589F">
              <w:rPr>
                <w:rFonts w:ascii="Times New Roman" w:hAnsi="Times New Roman" w:cs="Times New Roman"/>
                <w:sz w:val="24"/>
                <w:szCs w:val="24"/>
              </w:rPr>
              <w:t>Biotec</w:t>
            </w:r>
            <w:proofErr w:type="spellEnd"/>
            <w:r w:rsidRPr="00BE589F">
              <w:rPr>
                <w:rFonts w:ascii="Times New Roman" w:hAnsi="Times New Roman" w:cs="Times New Roman"/>
                <w:sz w:val="24"/>
                <w:szCs w:val="24"/>
              </w:rPr>
              <w:t>, Spain</w:t>
            </w:r>
          </w:p>
        </w:tc>
        <w:tc>
          <w:tcPr>
            <w:tcW w:w="2020" w:type="dxa"/>
            <w:hideMark/>
          </w:tcPr>
          <w:p w14:paraId="176360E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DENV-1 to 4</w:t>
            </w:r>
          </w:p>
        </w:tc>
        <w:tc>
          <w:tcPr>
            <w:tcW w:w="2020" w:type="dxa"/>
            <w:hideMark/>
          </w:tcPr>
          <w:p w14:paraId="5A8A0597"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Serum</w:t>
            </w:r>
          </w:p>
        </w:tc>
        <w:tc>
          <w:tcPr>
            <w:tcW w:w="2020" w:type="dxa"/>
            <w:hideMark/>
          </w:tcPr>
          <w:p w14:paraId="7C05531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24 months / 2–40°C</w:t>
            </w:r>
          </w:p>
        </w:tc>
        <w:tc>
          <w:tcPr>
            <w:tcW w:w="2020" w:type="dxa"/>
            <w:hideMark/>
          </w:tcPr>
          <w:p w14:paraId="73525088" w14:textId="427FE9E8"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37E858E2"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r w:rsidR="00BE589F" w:rsidRPr="00BE589F" w14:paraId="783401AA" w14:textId="77777777" w:rsidTr="00BE589F">
        <w:trPr>
          <w:trHeight w:val="636"/>
        </w:trPr>
        <w:tc>
          <w:tcPr>
            <w:tcW w:w="2020" w:type="dxa"/>
            <w:hideMark/>
          </w:tcPr>
          <w:p w14:paraId="7FD84C4E" w14:textId="77777777" w:rsidR="00BE589F" w:rsidRPr="00BE589F" w:rsidRDefault="00BE589F" w:rsidP="00BE589F">
            <w:pPr>
              <w:spacing w:line="276" w:lineRule="auto"/>
              <w:rPr>
                <w:rFonts w:ascii="Times New Roman" w:hAnsi="Times New Roman" w:cs="Times New Roman"/>
                <w:b/>
                <w:bCs/>
                <w:sz w:val="24"/>
                <w:szCs w:val="24"/>
              </w:rPr>
            </w:pPr>
            <w:proofErr w:type="spellStart"/>
            <w:r w:rsidRPr="00BE589F">
              <w:rPr>
                <w:rFonts w:ascii="Times New Roman" w:hAnsi="Times New Roman" w:cs="Times New Roman"/>
                <w:b/>
                <w:bCs/>
                <w:sz w:val="24"/>
                <w:szCs w:val="24"/>
              </w:rPr>
              <w:t>ichroma</w:t>
            </w:r>
            <w:proofErr w:type="spellEnd"/>
            <w:r w:rsidRPr="00BE589F">
              <w:rPr>
                <w:rFonts w:ascii="Times New Roman" w:hAnsi="Times New Roman" w:cs="Times New Roman"/>
                <w:b/>
                <w:bCs/>
                <w:sz w:val="24"/>
                <w:szCs w:val="24"/>
              </w:rPr>
              <w:t xml:space="preserve"> Dengue NS1 Ag</w:t>
            </w:r>
          </w:p>
        </w:tc>
        <w:tc>
          <w:tcPr>
            <w:tcW w:w="2020" w:type="dxa"/>
            <w:hideMark/>
          </w:tcPr>
          <w:p w14:paraId="27F45AA0"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Boditech</w:t>
            </w:r>
            <w:proofErr w:type="spellEnd"/>
            <w:r w:rsidRPr="00BE589F">
              <w:rPr>
                <w:rFonts w:ascii="Times New Roman" w:hAnsi="Times New Roman" w:cs="Times New Roman"/>
                <w:sz w:val="24"/>
                <w:szCs w:val="24"/>
              </w:rPr>
              <w:t xml:space="preserve"> Med, Korea</w:t>
            </w:r>
          </w:p>
        </w:tc>
        <w:tc>
          <w:tcPr>
            <w:tcW w:w="2020" w:type="dxa"/>
            <w:hideMark/>
          </w:tcPr>
          <w:p w14:paraId="64458390"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NS1 antigen</w:t>
            </w:r>
          </w:p>
        </w:tc>
        <w:tc>
          <w:tcPr>
            <w:tcW w:w="2020" w:type="dxa"/>
            <w:hideMark/>
          </w:tcPr>
          <w:p w14:paraId="59D52A8A"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Whole blood, serum, plasma</w:t>
            </w:r>
          </w:p>
        </w:tc>
        <w:tc>
          <w:tcPr>
            <w:tcW w:w="2020" w:type="dxa"/>
            <w:hideMark/>
          </w:tcPr>
          <w:p w14:paraId="61CDDA4E"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20 months / 2–30°C</w:t>
            </w:r>
          </w:p>
        </w:tc>
        <w:tc>
          <w:tcPr>
            <w:tcW w:w="2020" w:type="dxa"/>
            <w:hideMark/>
          </w:tcPr>
          <w:p w14:paraId="313CCAF0" w14:textId="403D4D29"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0442228C"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r w:rsidR="00BE589F" w:rsidRPr="00BE589F" w14:paraId="08E1B191" w14:textId="77777777" w:rsidTr="00BE589F">
        <w:trPr>
          <w:trHeight w:val="636"/>
        </w:trPr>
        <w:tc>
          <w:tcPr>
            <w:tcW w:w="2020" w:type="dxa"/>
            <w:hideMark/>
          </w:tcPr>
          <w:p w14:paraId="7E30C86C" w14:textId="77777777" w:rsidR="00BE589F" w:rsidRPr="00BE589F" w:rsidRDefault="00BE589F" w:rsidP="00BE589F">
            <w:pPr>
              <w:spacing w:line="276" w:lineRule="auto"/>
              <w:rPr>
                <w:rFonts w:ascii="Times New Roman" w:hAnsi="Times New Roman" w:cs="Times New Roman"/>
                <w:b/>
                <w:bCs/>
                <w:sz w:val="24"/>
                <w:szCs w:val="24"/>
              </w:rPr>
            </w:pPr>
            <w:proofErr w:type="spellStart"/>
            <w:r w:rsidRPr="00BE589F">
              <w:rPr>
                <w:rFonts w:ascii="Times New Roman" w:hAnsi="Times New Roman" w:cs="Times New Roman"/>
                <w:b/>
                <w:bCs/>
                <w:sz w:val="24"/>
                <w:szCs w:val="24"/>
              </w:rPr>
              <w:t>ichroma</w:t>
            </w:r>
            <w:proofErr w:type="spellEnd"/>
            <w:r w:rsidRPr="00BE589F">
              <w:rPr>
                <w:rFonts w:ascii="Times New Roman" w:hAnsi="Times New Roman" w:cs="Times New Roman"/>
                <w:b/>
                <w:bCs/>
                <w:sz w:val="24"/>
                <w:szCs w:val="24"/>
              </w:rPr>
              <w:t xml:space="preserve"> Dengue IgG/IgM</w:t>
            </w:r>
          </w:p>
        </w:tc>
        <w:tc>
          <w:tcPr>
            <w:tcW w:w="2020" w:type="dxa"/>
            <w:hideMark/>
          </w:tcPr>
          <w:p w14:paraId="3085C634" w14:textId="77777777" w:rsidR="00BE589F" w:rsidRPr="00BE589F" w:rsidRDefault="00BE589F" w:rsidP="00BE589F">
            <w:pPr>
              <w:spacing w:line="276" w:lineRule="auto"/>
              <w:rPr>
                <w:rFonts w:ascii="Times New Roman" w:hAnsi="Times New Roman" w:cs="Times New Roman"/>
                <w:sz w:val="24"/>
                <w:szCs w:val="24"/>
              </w:rPr>
            </w:pPr>
            <w:proofErr w:type="spellStart"/>
            <w:r w:rsidRPr="00BE589F">
              <w:rPr>
                <w:rFonts w:ascii="Times New Roman" w:hAnsi="Times New Roman" w:cs="Times New Roman"/>
                <w:sz w:val="24"/>
                <w:szCs w:val="24"/>
              </w:rPr>
              <w:t>Boditech</w:t>
            </w:r>
            <w:proofErr w:type="spellEnd"/>
            <w:r w:rsidRPr="00BE589F">
              <w:rPr>
                <w:rFonts w:ascii="Times New Roman" w:hAnsi="Times New Roman" w:cs="Times New Roman"/>
                <w:sz w:val="24"/>
                <w:szCs w:val="24"/>
              </w:rPr>
              <w:t xml:space="preserve"> Med, Korea</w:t>
            </w:r>
          </w:p>
        </w:tc>
        <w:tc>
          <w:tcPr>
            <w:tcW w:w="2020" w:type="dxa"/>
            <w:hideMark/>
          </w:tcPr>
          <w:p w14:paraId="1711932F"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IgM/IgG antibodies</w:t>
            </w:r>
          </w:p>
        </w:tc>
        <w:tc>
          <w:tcPr>
            <w:tcW w:w="2020" w:type="dxa"/>
            <w:hideMark/>
          </w:tcPr>
          <w:p w14:paraId="184820D5"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Whole blood, serum, plasma</w:t>
            </w:r>
          </w:p>
        </w:tc>
        <w:tc>
          <w:tcPr>
            <w:tcW w:w="2020" w:type="dxa"/>
            <w:hideMark/>
          </w:tcPr>
          <w:p w14:paraId="22204C0B"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20 months / 2–30°C</w:t>
            </w:r>
          </w:p>
        </w:tc>
        <w:tc>
          <w:tcPr>
            <w:tcW w:w="2020" w:type="dxa"/>
            <w:hideMark/>
          </w:tcPr>
          <w:p w14:paraId="4C121278" w14:textId="0AC5FC9C" w:rsidR="00BE589F" w:rsidRPr="00BE589F" w:rsidRDefault="00BE589F" w:rsidP="00BE589F">
            <w:pPr>
              <w:spacing w:line="276" w:lineRule="auto"/>
              <w:rPr>
                <w:rFonts w:ascii="Times New Roman" w:hAnsi="Times New Roman" w:cs="Times New Roman"/>
                <w:b/>
                <w:bCs/>
                <w:sz w:val="24"/>
                <w:szCs w:val="24"/>
              </w:rPr>
            </w:pPr>
            <w:r w:rsidRPr="00BE589F">
              <w:rPr>
                <w:rFonts w:ascii="Times New Roman" w:hAnsi="Times New Roman" w:cs="Times New Roman"/>
                <w:b/>
                <w:bCs/>
                <w:sz w:val="24"/>
                <w:szCs w:val="24"/>
              </w:rPr>
              <w:t>Category 3</w:t>
            </w:r>
          </w:p>
        </w:tc>
        <w:tc>
          <w:tcPr>
            <w:tcW w:w="2020" w:type="dxa"/>
            <w:hideMark/>
          </w:tcPr>
          <w:p w14:paraId="6C5B6294" w14:textId="77777777" w:rsidR="00BE589F" w:rsidRPr="00BE589F" w:rsidRDefault="00BE589F" w:rsidP="00BE589F">
            <w:pPr>
              <w:spacing w:line="276" w:lineRule="auto"/>
              <w:rPr>
                <w:rFonts w:ascii="Times New Roman" w:hAnsi="Times New Roman" w:cs="Times New Roman"/>
                <w:sz w:val="24"/>
                <w:szCs w:val="24"/>
              </w:rPr>
            </w:pPr>
            <w:r w:rsidRPr="00BE589F">
              <w:rPr>
                <w:rFonts w:ascii="Times New Roman" w:hAnsi="Times New Roman" w:cs="Times New Roman"/>
                <w:sz w:val="24"/>
                <w:szCs w:val="24"/>
              </w:rPr>
              <w:t>May-26</w:t>
            </w:r>
          </w:p>
        </w:tc>
      </w:tr>
    </w:tbl>
    <w:p w14:paraId="7EAC506E" w14:textId="77777777" w:rsidR="00BE589F" w:rsidRDefault="00BE589F" w:rsidP="00BE589F">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Pr="00BE589F">
        <w:rPr>
          <w:rFonts w:ascii="Times New Roman" w:hAnsi="Times New Roman" w:cs="Times New Roman"/>
          <w:b/>
          <w:bCs/>
          <w:sz w:val="24"/>
          <w:szCs w:val="24"/>
        </w:rPr>
        <w:t>Risk Category Key:</w:t>
      </w:r>
    </w:p>
    <w:p w14:paraId="13A26B37" w14:textId="49A5F4C7" w:rsidR="00BE589F" w:rsidRPr="00BE589F" w:rsidRDefault="00BE589F" w:rsidP="00BE589F">
      <w:pPr>
        <w:pStyle w:val="ListParagraph"/>
        <w:numPr>
          <w:ilvl w:val="0"/>
          <w:numId w:val="39"/>
        </w:numPr>
        <w:spacing w:line="240" w:lineRule="auto"/>
        <w:rPr>
          <w:rFonts w:ascii="Times New Roman" w:hAnsi="Times New Roman" w:cs="Times New Roman"/>
          <w:b/>
          <w:bCs/>
          <w:sz w:val="24"/>
          <w:szCs w:val="24"/>
        </w:rPr>
      </w:pPr>
      <w:r w:rsidRPr="00BE589F">
        <w:rPr>
          <w:rFonts w:ascii="Times New Roman" w:hAnsi="Times New Roman" w:cs="Times New Roman"/>
          <w:b/>
          <w:bCs/>
          <w:sz w:val="24"/>
          <w:szCs w:val="24"/>
        </w:rPr>
        <w:t>Category 2</w:t>
      </w:r>
      <w:r w:rsidRPr="00BE589F">
        <w:rPr>
          <w:rFonts w:ascii="Times New Roman" w:hAnsi="Times New Roman" w:cs="Times New Roman"/>
          <w:sz w:val="24"/>
          <w:szCs w:val="24"/>
        </w:rPr>
        <w:t>: No objection to time-limited procurement.</w:t>
      </w:r>
    </w:p>
    <w:p w14:paraId="69A619BE" w14:textId="765A1724" w:rsidR="00BE589F" w:rsidRPr="00BE589F" w:rsidRDefault="00BE589F" w:rsidP="00BE589F">
      <w:pPr>
        <w:numPr>
          <w:ilvl w:val="0"/>
          <w:numId w:val="38"/>
        </w:numPr>
        <w:spacing w:line="240" w:lineRule="auto"/>
        <w:rPr>
          <w:rFonts w:ascii="Times New Roman" w:hAnsi="Times New Roman" w:cs="Times New Roman"/>
          <w:sz w:val="24"/>
          <w:szCs w:val="24"/>
        </w:rPr>
      </w:pPr>
      <w:r w:rsidRPr="00BE589F">
        <w:rPr>
          <w:rFonts w:ascii="Times New Roman" w:hAnsi="Times New Roman" w:cs="Times New Roman"/>
          <w:b/>
          <w:bCs/>
          <w:sz w:val="24"/>
          <w:szCs w:val="24"/>
        </w:rPr>
        <w:t>Category 3</w:t>
      </w:r>
      <w:r w:rsidRPr="00BE589F">
        <w:rPr>
          <w:rFonts w:ascii="Times New Roman" w:hAnsi="Times New Roman" w:cs="Times New Roman"/>
          <w:sz w:val="24"/>
          <w:szCs w:val="24"/>
        </w:rPr>
        <w:t>: Procurement may be considered when no alternatives exist and benefits outweigh risks. Contact WHO NTD for conditions.</w:t>
      </w:r>
    </w:p>
    <w:sectPr w:rsidR="00BE589F" w:rsidRPr="00BE589F" w:rsidSect="00A2063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B563" w14:textId="77777777" w:rsidR="00B5074C" w:rsidRDefault="00B5074C" w:rsidP="0013137D">
      <w:pPr>
        <w:spacing w:after="0" w:line="240" w:lineRule="auto"/>
      </w:pPr>
      <w:r>
        <w:separator/>
      </w:r>
    </w:p>
  </w:endnote>
  <w:endnote w:type="continuationSeparator" w:id="0">
    <w:p w14:paraId="17929870" w14:textId="77777777" w:rsidR="00B5074C" w:rsidRDefault="00B5074C" w:rsidP="0013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F7E3" w14:textId="77777777" w:rsidR="00BA0A32" w:rsidRDefault="00B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40199"/>
      <w:docPartObj>
        <w:docPartGallery w:val="Page Numbers (Bottom of Page)"/>
        <w:docPartUnique/>
      </w:docPartObj>
    </w:sdtPr>
    <w:sdtEndPr>
      <w:rPr>
        <w:noProof/>
      </w:rPr>
    </w:sdtEndPr>
    <w:sdtContent>
      <w:p w14:paraId="497CB5CC" w14:textId="77DFCF58" w:rsidR="00FD2703" w:rsidRDefault="00FD2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3F3F4" w14:textId="77777777" w:rsidR="00FD2703" w:rsidRDefault="00FD2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6209" w14:textId="77777777" w:rsidR="00BA0A32" w:rsidRDefault="00BA0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368885"/>
      <w:docPartObj>
        <w:docPartGallery w:val="Page Numbers (Bottom of Page)"/>
        <w:docPartUnique/>
      </w:docPartObj>
    </w:sdtPr>
    <w:sdtEndPr>
      <w:rPr>
        <w:noProof/>
      </w:rPr>
    </w:sdtEndPr>
    <w:sdtContent>
      <w:p w14:paraId="5C4496DB" w14:textId="6D4DB07C" w:rsidR="0013137D" w:rsidRDefault="001313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33330" w14:textId="77777777" w:rsidR="0013137D" w:rsidRDefault="001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57B0" w14:textId="77777777" w:rsidR="00B5074C" w:rsidRDefault="00B5074C" w:rsidP="0013137D">
      <w:pPr>
        <w:spacing w:after="0" w:line="240" w:lineRule="auto"/>
      </w:pPr>
      <w:r>
        <w:separator/>
      </w:r>
    </w:p>
  </w:footnote>
  <w:footnote w:type="continuationSeparator" w:id="0">
    <w:p w14:paraId="72AE560F" w14:textId="77777777" w:rsidR="00B5074C" w:rsidRDefault="00B5074C" w:rsidP="0013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A87F3" w14:textId="05B101BA" w:rsidR="00BA0A32" w:rsidRDefault="00B5074C">
    <w:pPr>
      <w:pStyle w:val="Header"/>
    </w:pPr>
    <w:r>
      <w:rPr>
        <w:noProof/>
      </w:rPr>
      <w:pict w14:anchorId="39296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005C" w14:textId="5E7BBD59" w:rsidR="00BA0A32" w:rsidRDefault="00B5074C">
    <w:pPr>
      <w:pStyle w:val="Header"/>
    </w:pPr>
    <w:r>
      <w:rPr>
        <w:noProof/>
      </w:rPr>
      <w:pict w14:anchorId="27D2D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231F8" w14:textId="64BDEB1E" w:rsidR="00BA0A32" w:rsidRDefault="00B5074C">
    <w:pPr>
      <w:pStyle w:val="Header"/>
    </w:pPr>
    <w:r>
      <w:rPr>
        <w:noProof/>
      </w:rPr>
      <w:pict w14:anchorId="0E300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6CCD" w14:textId="124BB3CE" w:rsidR="00BA0A32" w:rsidRDefault="00B5074C">
    <w:pPr>
      <w:pStyle w:val="Header"/>
    </w:pPr>
    <w:r>
      <w:rPr>
        <w:noProof/>
      </w:rPr>
      <w:pict w14:anchorId="67250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6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0FC3" w14:textId="43AF8075" w:rsidR="00BA0A32" w:rsidRDefault="00B5074C">
    <w:pPr>
      <w:pStyle w:val="Header"/>
    </w:pPr>
    <w:r>
      <w:rPr>
        <w:noProof/>
      </w:rPr>
      <w:pict w14:anchorId="4B70D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6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7AF7" w14:textId="255364DB" w:rsidR="00BA0A32" w:rsidRDefault="00B5074C">
    <w:pPr>
      <w:pStyle w:val="Header"/>
    </w:pPr>
    <w:r>
      <w:rPr>
        <w:noProof/>
      </w:rPr>
      <w:pict w14:anchorId="2F428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62565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39"/>
    <w:multiLevelType w:val="hybridMultilevel"/>
    <w:tmpl w:val="A9244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A97EFA"/>
    <w:multiLevelType w:val="multilevel"/>
    <w:tmpl w:val="2F622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221A1"/>
    <w:multiLevelType w:val="multilevel"/>
    <w:tmpl w:val="C7B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94099"/>
    <w:multiLevelType w:val="multilevel"/>
    <w:tmpl w:val="CF2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02BE8"/>
    <w:multiLevelType w:val="multilevel"/>
    <w:tmpl w:val="2744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65634"/>
    <w:multiLevelType w:val="multilevel"/>
    <w:tmpl w:val="AAB45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109AB"/>
    <w:multiLevelType w:val="multilevel"/>
    <w:tmpl w:val="2FC4D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2747C"/>
    <w:multiLevelType w:val="multilevel"/>
    <w:tmpl w:val="3042A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D626E"/>
    <w:multiLevelType w:val="multilevel"/>
    <w:tmpl w:val="A38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D6B2F"/>
    <w:multiLevelType w:val="multilevel"/>
    <w:tmpl w:val="5ED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A0125"/>
    <w:multiLevelType w:val="hybridMultilevel"/>
    <w:tmpl w:val="148E0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9A5FBF"/>
    <w:multiLevelType w:val="multilevel"/>
    <w:tmpl w:val="BA8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429EA"/>
    <w:multiLevelType w:val="multilevel"/>
    <w:tmpl w:val="49F6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63B7A"/>
    <w:multiLevelType w:val="multilevel"/>
    <w:tmpl w:val="D4F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456CF"/>
    <w:multiLevelType w:val="multilevel"/>
    <w:tmpl w:val="175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25510"/>
    <w:multiLevelType w:val="multilevel"/>
    <w:tmpl w:val="0C768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6189D"/>
    <w:multiLevelType w:val="multilevel"/>
    <w:tmpl w:val="E4E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511FC"/>
    <w:multiLevelType w:val="multilevel"/>
    <w:tmpl w:val="38C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333F79"/>
    <w:multiLevelType w:val="multilevel"/>
    <w:tmpl w:val="B22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04C07"/>
    <w:multiLevelType w:val="multilevel"/>
    <w:tmpl w:val="DAE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E82AAF"/>
    <w:multiLevelType w:val="multilevel"/>
    <w:tmpl w:val="70F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CD123E"/>
    <w:multiLevelType w:val="multilevel"/>
    <w:tmpl w:val="313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A7FF2"/>
    <w:multiLevelType w:val="multilevel"/>
    <w:tmpl w:val="83FCE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5092E"/>
    <w:multiLevelType w:val="hybridMultilevel"/>
    <w:tmpl w:val="9BAE1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15B77B6"/>
    <w:multiLevelType w:val="multilevel"/>
    <w:tmpl w:val="C03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8A08EA"/>
    <w:multiLevelType w:val="multilevel"/>
    <w:tmpl w:val="6B2A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7454E"/>
    <w:multiLevelType w:val="multilevel"/>
    <w:tmpl w:val="E62E1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B3625"/>
    <w:multiLevelType w:val="multilevel"/>
    <w:tmpl w:val="DED4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F5FDD"/>
    <w:multiLevelType w:val="multilevel"/>
    <w:tmpl w:val="E46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E67853"/>
    <w:multiLevelType w:val="multilevel"/>
    <w:tmpl w:val="A79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A428C1"/>
    <w:multiLevelType w:val="multilevel"/>
    <w:tmpl w:val="76AC4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B33B90"/>
    <w:multiLevelType w:val="multilevel"/>
    <w:tmpl w:val="7B44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2564F5"/>
    <w:multiLevelType w:val="multilevel"/>
    <w:tmpl w:val="A32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497BD7"/>
    <w:multiLevelType w:val="multilevel"/>
    <w:tmpl w:val="5C1AA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925B0"/>
    <w:multiLevelType w:val="multilevel"/>
    <w:tmpl w:val="FB1C0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6A1CE5"/>
    <w:multiLevelType w:val="multilevel"/>
    <w:tmpl w:val="694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D224DD"/>
    <w:multiLevelType w:val="multilevel"/>
    <w:tmpl w:val="C3DA0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5B15CA"/>
    <w:multiLevelType w:val="multilevel"/>
    <w:tmpl w:val="230A9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06558C"/>
    <w:multiLevelType w:val="multilevel"/>
    <w:tmpl w:val="5680D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
  </w:num>
  <w:num w:numId="3">
    <w:abstractNumId w:val="5"/>
  </w:num>
  <w:num w:numId="4">
    <w:abstractNumId w:val="11"/>
  </w:num>
  <w:num w:numId="5">
    <w:abstractNumId w:val="28"/>
  </w:num>
  <w:num w:numId="6">
    <w:abstractNumId w:val="4"/>
  </w:num>
  <w:num w:numId="7">
    <w:abstractNumId w:val="29"/>
  </w:num>
  <w:num w:numId="8">
    <w:abstractNumId w:val="19"/>
  </w:num>
  <w:num w:numId="9">
    <w:abstractNumId w:val="21"/>
  </w:num>
  <w:num w:numId="10">
    <w:abstractNumId w:val="32"/>
  </w:num>
  <w:num w:numId="11">
    <w:abstractNumId w:val="35"/>
  </w:num>
  <w:num w:numId="12">
    <w:abstractNumId w:val="12"/>
  </w:num>
  <w:num w:numId="13">
    <w:abstractNumId w:val="14"/>
  </w:num>
  <w:num w:numId="14">
    <w:abstractNumId w:val="20"/>
  </w:num>
  <w:num w:numId="15">
    <w:abstractNumId w:val="38"/>
  </w:num>
  <w:num w:numId="16">
    <w:abstractNumId w:val="3"/>
  </w:num>
  <w:num w:numId="17">
    <w:abstractNumId w:val="1"/>
  </w:num>
  <w:num w:numId="18">
    <w:abstractNumId w:val="13"/>
  </w:num>
  <w:num w:numId="19">
    <w:abstractNumId w:val="16"/>
  </w:num>
  <w:num w:numId="20">
    <w:abstractNumId w:val="9"/>
  </w:num>
  <w:num w:numId="21">
    <w:abstractNumId w:val="6"/>
  </w:num>
  <w:num w:numId="22">
    <w:abstractNumId w:val="8"/>
  </w:num>
  <w:num w:numId="23">
    <w:abstractNumId w:val="36"/>
  </w:num>
  <w:num w:numId="24">
    <w:abstractNumId w:val="24"/>
  </w:num>
  <w:num w:numId="25">
    <w:abstractNumId w:val="18"/>
  </w:num>
  <w:num w:numId="26">
    <w:abstractNumId w:val="33"/>
  </w:num>
  <w:num w:numId="27">
    <w:abstractNumId w:val="34"/>
  </w:num>
  <w:num w:numId="28">
    <w:abstractNumId w:val="22"/>
  </w:num>
  <w:num w:numId="29">
    <w:abstractNumId w:val="15"/>
  </w:num>
  <w:num w:numId="30">
    <w:abstractNumId w:val="7"/>
  </w:num>
  <w:num w:numId="31">
    <w:abstractNumId w:val="30"/>
  </w:num>
  <w:num w:numId="32">
    <w:abstractNumId w:val="26"/>
  </w:num>
  <w:num w:numId="33">
    <w:abstractNumId w:val="37"/>
  </w:num>
  <w:num w:numId="34">
    <w:abstractNumId w:val="17"/>
  </w:num>
  <w:num w:numId="35">
    <w:abstractNumId w:val="25"/>
  </w:num>
  <w:num w:numId="36">
    <w:abstractNumId w:val="23"/>
  </w:num>
  <w:num w:numId="37">
    <w:abstractNumId w:val="0"/>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87"/>
    <w:rsid w:val="000D4505"/>
    <w:rsid w:val="000D57BA"/>
    <w:rsid w:val="000E1F8F"/>
    <w:rsid w:val="001056D6"/>
    <w:rsid w:val="00123235"/>
    <w:rsid w:val="0013137D"/>
    <w:rsid w:val="00180BBF"/>
    <w:rsid w:val="001C46F6"/>
    <w:rsid w:val="001C4887"/>
    <w:rsid w:val="001D227E"/>
    <w:rsid w:val="001D7656"/>
    <w:rsid w:val="002043E6"/>
    <w:rsid w:val="00210711"/>
    <w:rsid w:val="00256E65"/>
    <w:rsid w:val="002A0D48"/>
    <w:rsid w:val="002C51C3"/>
    <w:rsid w:val="0031628B"/>
    <w:rsid w:val="00347E52"/>
    <w:rsid w:val="0035676A"/>
    <w:rsid w:val="0038300E"/>
    <w:rsid w:val="003A3CF0"/>
    <w:rsid w:val="003E1AD7"/>
    <w:rsid w:val="00405615"/>
    <w:rsid w:val="00405C1E"/>
    <w:rsid w:val="00424E59"/>
    <w:rsid w:val="00460106"/>
    <w:rsid w:val="00590845"/>
    <w:rsid w:val="00592D3D"/>
    <w:rsid w:val="005A3CFC"/>
    <w:rsid w:val="005B0DF3"/>
    <w:rsid w:val="005C0744"/>
    <w:rsid w:val="005D6D7A"/>
    <w:rsid w:val="00600C68"/>
    <w:rsid w:val="006114B3"/>
    <w:rsid w:val="0063713B"/>
    <w:rsid w:val="006602BF"/>
    <w:rsid w:val="00671C7A"/>
    <w:rsid w:val="00693F3B"/>
    <w:rsid w:val="006E52C0"/>
    <w:rsid w:val="0076646C"/>
    <w:rsid w:val="00773E26"/>
    <w:rsid w:val="007A25F4"/>
    <w:rsid w:val="007B2A27"/>
    <w:rsid w:val="007C09CC"/>
    <w:rsid w:val="007C79B9"/>
    <w:rsid w:val="007E23BA"/>
    <w:rsid w:val="00823B60"/>
    <w:rsid w:val="00840B68"/>
    <w:rsid w:val="0086007B"/>
    <w:rsid w:val="008911AD"/>
    <w:rsid w:val="008B1067"/>
    <w:rsid w:val="008F171A"/>
    <w:rsid w:val="00902D9A"/>
    <w:rsid w:val="00954D20"/>
    <w:rsid w:val="00955277"/>
    <w:rsid w:val="00957B44"/>
    <w:rsid w:val="009604D1"/>
    <w:rsid w:val="009646F7"/>
    <w:rsid w:val="00964E98"/>
    <w:rsid w:val="009775BE"/>
    <w:rsid w:val="00981CF8"/>
    <w:rsid w:val="00984FBA"/>
    <w:rsid w:val="00986C8D"/>
    <w:rsid w:val="00995239"/>
    <w:rsid w:val="009B54FC"/>
    <w:rsid w:val="009D4893"/>
    <w:rsid w:val="00A010A7"/>
    <w:rsid w:val="00A02AA6"/>
    <w:rsid w:val="00A16B0E"/>
    <w:rsid w:val="00A20638"/>
    <w:rsid w:val="00A37B1A"/>
    <w:rsid w:val="00A4362C"/>
    <w:rsid w:val="00A4547B"/>
    <w:rsid w:val="00A54169"/>
    <w:rsid w:val="00A6534C"/>
    <w:rsid w:val="00A86C89"/>
    <w:rsid w:val="00A96ED9"/>
    <w:rsid w:val="00AA3387"/>
    <w:rsid w:val="00AA6CC3"/>
    <w:rsid w:val="00AA70F9"/>
    <w:rsid w:val="00AC406E"/>
    <w:rsid w:val="00AE1CC8"/>
    <w:rsid w:val="00B06B24"/>
    <w:rsid w:val="00B13EB8"/>
    <w:rsid w:val="00B434DA"/>
    <w:rsid w:val="00B5074C"/>
    <w:rsid w:val="00B919CB"/>
    <w:rsid w:val="00BA0A32"/>
    <w:rsid w:val="00BC74FF"/>
    <w:rsid w:val="00BD201F"/>
    <w:rsid w:val="00BD6CF1"/>
    <w:rsid w:val="00BE589F"/>
    <w:rsid w:val="00BF1A7B"/>
    <w:rsid w:val="00C0442F"/>
    <w:rsid w:val="00C340BD"/>
    <w:rsid w:val="00C461DD"/>
    <w:rsid w:val="00CD6156"/>
    <w:rsid w:val="00CD6944"/>
    <w:rsid w:val="00CF0F5A"/>
    <w:rsid w:val="00D0370C"/>
    <w:rsid w:val="00D05ABB"/>
    <w:rsid w:val="00D63C7E"/>
    <w:rsid w:val="00D7436D"/>
    <w:rsid w:val="00D77E0C"/>
    <w:rsid w:val="00DD7CC1"/>
    <w:rsid w:val="00E17B0C"/>
    <w:rsid w:val="00E207D1"/>
    <w:rsid w:val="00E52400"/>
    <w:rsid w:val="00E67E0E"/>
    <w:rsid w:val="00E95CB5"/>
    <w:rsid w:val="00EA14DF"/>
    <w:rsid w:val="00EB4162"/>
    <w:rsid w:val="00EC5A5F"/>
    <w:rsid w:val="00F418BD"/>
    <w:rsid w:val="00F86642"/>
    <w:rsid w:val="00F909FD"/>
    <w:rsid w:val="00FB084C"/>
    <w:rsid w:val="00FB5ADF"/>
    <w:rsid w:val="00FD2703"/>
    <w:rsid w:val="00FE3CC3"/>
    <w:rsid w:val="00FE4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C8AFD4"/>
  <w15:chartTrackingRefBased/>
  <w15:docId w15:val="{BFE41381-20AA-43CF-8CF5-3BA96659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87"/>
    <w:rPr>
      <w:rFonts w:eastAsiaTheme="majorEastAsia" w:cstheme="majorBidi"/>
      <w:color w:val="272727" w:themeColor="text1" w:themeTint="D8"/>
    </w:rPr>
  </w:style>
  <w:style w:type="paragraph" w:styleId="Title">
    <w:name w:val="Title"/>
    <w:basedOn w:val="Normal"/>
    <w:next w:val="Normal"/>
    <w:link w:val="TitleChar"/>
    <w:uiPriority w:val="10"/>
    <w:qFormat/>
    <w:rsid w:val="001C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87"/>
    <w:pPr>
      <w:spacing w:before="160"/>
      <w:jc w:val="center"/>
    </w:pPr>
    <w:rPr>
      <w:i/>
      <w:iCs/>
      <w:color w:val="404040" w:themeColor="text1" w:themeTint="BF"/>
    </w:rPr>
  </w:style>
  <w:style w:type="character" w:customStyle="1" w:styleId="QuoteChar">
    <w:name w:val="Quote Char"/>
    <w:basedOn w:val="DefaultParagraphFont"/>
    <w:link w:val="Quote"/>
    <w:uiPriority w:val="29"/>
    <w:rsid w:val="001C4887"/>
    <w:rPr>
      <w:i/>
      <w:iCs/>
      <w:color w:val="404040" w:themeColor="text1" w:themeTint="BF"/>
    </w:rPr>
  </w:style>
  <w:style w:type="paragraph" w:styleId="ListParagraph">
    <w:name w:val="List Paragraph"/>
    <w:basedOn w:val="Normal"/>
    <w:uiPriority w:val="34"/>
    <w:qFormat/>
    <w:rsid w:val="001C4887"/>
    <w:pPr>
      <w:ind w:left="720"/>
      <w:contextualSpacing/>
    </w:pPr>
  </w:style>
  <w:style w:type="character" w:styleId="IntenseEmphasis">
    <w:name w:val="Intense Emphasis"/>
    <w:basedOn w:val="DefaultParagraphFont"/>
    <w:uiPriority w:val="21"/>
    <w:qFormat/>
    <w:rsid w:val="001C4887"/>
    <w:rPr>
      <w:i/>
      <w:iCs/>
      <w:color w:val="2F5496" w:themeColor="accent1" w:themeShade="BF"/>
    </w:rPr>
  </w:style>
  <w:style w:type="paragraph" w:styleId="IntenseQuote">
    <w:name w:val="Intense Quote"/>
    <w:basedOn w:val="Normal"/>
    <w:next w:val="Normal"/>
    <w:link w:val="IntenseQuoteChar"/>
    <w:uiPriority w:val="30"/>
    <w:qFormat/>
    <w:rsid w:val="001C4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887"/>
    <w:rPr>
      <w:i/>
      <w:iCs/>
      <w:color w:val="2F5496" w:themeColor="accent1" w:themeShade="BF"/>
    </w:rPr>
  </w:style>
  <w:style w:type="character" w:styleId="IntenseReference">
    <w:name w:val="Intense Reference"/>
    <w:basedOn w:val="DefaultParagraphFont"/>
    <w:uiPriority w:val="32"/>
    <w:qFormat/>
    <w:rsid w:val="001C4887"/>
    <w:rPr>
      <w:b/>
      <w:bCs/>
      <w:smallCaps/>
      <w:color w:val="2F5496" w:themeColor="accent1" w:themeShade="BF"/>
      <w:spacing w:val="5"/>
    </w:rPr>
  </w:style>
  <w:style w:type="table" w:styleId="PlainTable2">
    <w:name w:val="Plain Table 2"/>
    <w:basedOn w:val="TableNormal"/>
    <w:uiPriority w:val="42"/>
    <w:rsid w:val="00BD20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54169"/>
    <w:rPr>
      <w:rFonts w:ascii="Times New Roman" w:hAnsi="Times New Roman" w:cs="Times New Roman"/>
      <w:sz w:val="24"/>
      <w:szCs w:val="24"/>
    </w:rPr>
  </w:style>
  <w:style w:type="paragraph" w:styleId="Header">
    <w:name w:val="header"/>
    <w:basedOn w:val="Normal"/>
    <w:link w:val="HeaderChar"/>
    <w:uiPriority w:val="99"/>
    <w:unhideWhenUsed/>
    <w:rsid w:val="0013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7D"/>
  </w:style>
  <w:style w:type="paragraph" w:styleId="Footer">
    <w:name w:val="footer"/>
    <w:basedOn w:val="Normal"/>
    <w:link w:val="FooterChar"/>
    <w:uiPriority w:val="99"/>
    <w:unhideWhenUsed/>
    <w:rsid w:val="0013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7D"/>
  </w:style>
  <w:style w:type="character" w:styleId="Hyperlink">
    <w:name w:val="Hyperlink"/>
    <w:basedOn w:val="DefaultParagraphFont"/>
    <w:uiPriority w:val="99"/>
    <w:unhideWhenUsed/>
    <w:rsid w:val="00B919CB"/>
    <w:rPr>
      <w:color w:val="0563C1" w:themeColor="hyperlink"/>
      <w:u w:val="single"/>
    </w:rPr>
  </w:style>
  <w:style w:type="character" w:styleId="UnresolvedMention">
    <w:name w:val="Unresolved Mention"/>
    <w:basedOn w:val="DefaultParagraphFont"/>
    <w:uiPriority w:val="99"/>
    <w:semiHidden/>
    <w:unhideWhenUsed/>
    <w:rsid w:val="00A37B1A"/>
    <w:rPr>
      <w:color w:val="605E5C"/>
      <w:shd w:val="clear" w:color="auto" w:fill="E1DFDD"/>
    </w:rPr>
  </w:style>
  <w:style w:type="table" w:styleId="TableGrid">
    <w:name w:val="Table Grid"/>
    <w:basedOn w:val="TableNormal"/>
    <w:uiPriority w:val="39"/>
    <w:rsid w:val="00BE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8647">
      <w:bodyDiv w:val="1"/>
      <w:marLeft w:val="0"/>
      <w:marRight w:val="0"/>
      <w:marTop w:val="0"/>
      <w:marBottom w:val="0"/>
      <w:divBdr>
        <w:top w:val="none" w:sz="0" w:space="0" w:color="auto"/>
        <w:left w:val="none" w:sz="0" w:space="0" w:color="auto"/>
        <w:bottom w:val="none" w:sz="0" w:space="0" w:color="auto"/>
        <w:right w:val="none" w:sz="0" w:space="0" w:color="auto"/>
      </w:divBdr>
    </w:div>
    <w:div w:id="51467715">
      <w:bodyDiv w:val="1"/>
      <w:marLeft w:val="0"/>
      <w:marRight w:val="0"/>
      <w:marTop w:val="0"/>
      <w:marBottom w:val="0"/>
      <w:divBdr>
        <w:top w:val="none" w:sz="0" w:space="0" w:color="auto"/>
        <w:left w:val="none" w:sz="0" w:space="0" w:color="auto"/>
        <w:bottom w:val="none" w:sz="0" w:space="0" w:color="auto"/>
        <w:right w:val="none" w:sz="0" w:space="0" w:color="auto"/>
      </w:divBdr>
    </w:div>
    <w:div w:id="82337894">
      <w:bodyDiv w:val="1"/>
      <w:marLeft w:val="0"/>
      <w:marRight w:val="0"/>
      <w:marTop w:val="0"/>
      <w:marBottom w:val="0"/>
      <w:divBdr>
        <w:top w:val="none" w:sz="0" w:space="0" w:color="auto"/>
        <w:left w:val="none" w:sz="0" w:space="0" w:color="auto"/>
        <w:bottom w:val="none" w:sz="0" w:space="0" w:color="auto"/>
        <w:right w:val="none" w:sz="0" w:space="0" w:color="auto"/>
      </w:divBdr>
    </w:div>
    <w:div w:id="121071912">
      <w:bodyDiv w:val="1"/>
      <w:marLeft w:val="0"/>
      <w:marRight w:val="0"/>
      <w:marTop w:val="0"/>
      <w:marBottom w:val="0"/>
      <w:divBdr>
        <w:top w:val="none" w:sz="0" w:space="0" w:color="auto"/>
        <w:left w:val="none" w:sz="0" w:space="0" w:color="auto"/>
        <w:bottom w:val="none" w:sz="0" w:space="0" w:color="auto"/>
        <w:right w:val="none" w:sz="0" w:space="0" w:color="auto"/>
      </w:divBdr>
    </w:div>
    <w:div w:id="122501164">
      <w:bodyDiv w:val="1"/>
      <w:marLeft w:val="0"/>
      <w:marRight w:val="0"/>
      <w:marTop w:val="0"/>
      <w:marBottom w:val="0"/>
      <w:divBdr>
        <w:top w:val="none" w:sz="0" w:space="0" w:color="auto"/>
        <w:left w:val="none" w:sz="0" w:space="0" w:color="auto"/>
        <w:bottom w:val="none" w:sz="0" w:space="0" w:color="auto"/>
        <w:right w:val="none" w:sz="0" w:space="0" w:color="auto"/>
      </w:divBdr>
    </w:div>
    <w:div w:id="127357895">
      <w:bodyDiv w:val="1"/>
      <w:marLeft w:val="0"/>
      <w:marRight w:val="0"/>
      <w:marTop w:val="0"/>
      <w:marBottom w:val="0"/>
      <w:divBdr>
        <w:top w:val="none" w:sz="0" w:space="0" w:color="auto"/>
        <w:left w:val="none" w:sz="0" w:space="0" w:color="auto"/>
        <w:bottom w:val="none" w:sz="0" w:space="0" w:color="auto"/>
        <w:right w:val="none" w:sz="0" w:space="0" w:color="auto"/>
      </w:divBdr>
    </w:div>
    <w:div w:id="145124527">
      <w:bodyDiv w:val="1"/>
      <w:marLeft w:val="0"/>
      <w:marRight w:val="0"/>
      <w:marTop w:val="0"/>
      <w:marBottom w:val="0"/>
      <w:divBdr>
        <w:top w:val="none" w:sz="0" w:space="0" w:color="auto"/>
        <w:left w:val="none" w:sz="0" w:space="0" w:color="auto"/>
        <w:bottom w:val="none" w:sz="0" w:space="0" w:color="auto"/>
        <w:right w:val="none" w:sz="0" w:space="0" w:color="auto"/>
      </w:divBdr>
    </w:div>
    <w:div w:id="207844146">
      <w:bodyDiv w:val="1"/>
      <w:marLeft w:val="0"/>
      <w:marRight w:val="0"/>
      <w:marTop w:val="0"/>
      <w:marBottom w:val="0"/>
      <w:divBdr>
        <w:top w:val="none" w:sz="0" w:space="0" w:color="auto"/>
        <w:left w:val="none" w:sz="0" w:space="0" w:color="auto"/>
        <w:bottom w:val="none" w:sz="0" w:space="0" w:color="auto"/>
        <w:right w:val="none" w:sz="0" w:space="0" w:color="auto"/>
      </w:divBdr>
    </w:div>
    <w:div w:id="218173206">
      <w:bodyDiv w:val="1"/>
      <w:marLeft w:val="0"/>
      <w:marRight w:val="0"/>
      <w:marTop w:val="0"/>
      <w:marBottom w:val="0"/>
      <w:divBdr>
        <w:top w:val="none" w:sz="0" w:space="0" w:color="auto"/>
        <w:left w:val="none" w:sz="0" w:space="0" w:color="auto"/>
        <w:bottom w:val="none" w:sz="0" w:space="0" w:color="auto"/>
        <w:right w:val="none" w:sz="0" w:space="0" w:color="auto"/>
      </w:divBdr>
    </w:div>
    <w:div w:id="244993868">
      <w:bodyDiv w:val="1"/>
      <w:marLeft w:val="0"/>
      <w:marRight w:val="0"/>
      <w:marTop w:val="0"/>
      <w:marBottom w:val="0"/>
      <w:divBdr>
        <w:top w:val="none" w:sz="0" w:space="0" w:color="auto"/>
        <w:left w:val="none" w:sz="0" w:space="0" w:color="auto"/>
        <w:bottom w:val="none" w:sz="0" w:space="0" w:color="auto"/>
        <w:right w:val="none" w:sz="0" w:space="0" w:color="auto"/>
      </w:divBdr>
    </w:div>
    <w:div w:id="247735712">
      <w:bodyDiv w:val="1"/>
      <w:marLeft w:val="0"/>
      <w:marRight w:val="0"/>
      <w:marTop w:val="0"/>
      <w:marBottom w:val="0"/>
      <w:divBdr>
        <w:top w:val="none" w:sz="0" w:space="0" w:color="auto"/>
        <w:left w:val="none" w:sz="0" w:space="0" w:color="auto"/>
        <w:bottom w:val="none" w:sz="0" w:space="0" w:color="auto"/>
        <w:right w:val="none" w:sz="0" w:space="0" w:color="auto"/>
      </w:divBdr>
    </w:div>
    <w:div w:id="285814065">
      <w:bodyDiv w:val="1"/>
      <w:marLeft w:val="0"/>
      <w:marRight w:val="0"/>
      <w:marTop w:val="0"/>
      <w:marBottom w:val="0"/>
      <w:divBdr>
        <w:top w:val="none" w:sz="0" w:space="0" w:color="auto"/>
        <w:left w:val="none" w:sz="0" w:space="0" w:color="auto"/>
        <w:bottom w:val="none" w:sz="0" w:space="0" w:color="auto"/>
        <w:right w:val="none" w:sz="0" w:space="0" w:color="auto"/>
      </w:divBdr>
    </w:div>
    <w:div w:id="308555704">
      <w:bodyDiv w:val="1"/>
      <w:marLeft w:val="0"/>
      <w:marRight w:val="0"/>
      <w:marTop w:val="0"/>
      <w:marBottom w:val="0"/>
      <w:divBdr>
        <w:top w:val="none" w:sz="0" w:space="0" w:color="auto"/>
        <w:left w:val="none" w:sz="0" w:space="0" w:color="auto"/>
        <w:bottom w:val="none" w:sz="0" w:space="0" w:color="auto"/>
        <w:right w:val="none" w:sz="0" w:space="0" w:color="auto"/>
      </w:divBdr>
    </w:div>
    <w:div w:id="309134421">
      <w:bodyDiv w:val="1"/>
      <w:marLeft w:val="0"/>
      <w:marRight w:val="0"/>
      <w:marTop w:val="0"/>
      <w:marBottom w:val="0"/>
      <w:divBdr>
        <w:top w:val="none" w:sz="0" w:space="0" w:color="auto"/>
        <w:left w:val="none" w:sz="0" w:space="0" w:color="auto"/>
        <w:bottom w:val="none" w:sz="0" w:space="0" w:color="auto"/>
        <w:right w:val="none" w:sz="0" w:space="0" w:color="auto"/>
      </w:divBdr>
    </w:div>
    <w:div w:id="317460342">
      <w:bodyDiv w:val="1"/>
      <w:marLeft w:val="0"/>
      <w:marRight w:val="0"/>
      <w:marTop w:val="0"/>
      <w:marBottom w:val="0"/>
      <w:divBdr>
        <w:top w:val="none" w:sz="0" w:space="0" w:color="auto"/>
        <w:left w:val="none" w:sz="0" w:space="0" w:color="auto"/>
        <w:bottom w:val="none" w:sz="0" w:space="0" w:color="auto"/>
        <w:right w:val="none" w:sz="0" w:space="0" w:color="auto"/>
      </w:divBdr>
    </w:div>
    <w:div w:id="319113578">
      <w:bodyDiv w:val="1"/>
      <w:marLeft w:val="0"/>
      <w:marRight w:val="0"/>
      <w:marTop w:val="0"/>
      <w:marBottom w:val="0"/>
      <w:divBdr>
        <w:top w:val="none" w:sz="0" w:space="0" w:color="auto"/>
        <w:left w:val="none" w:sz="0" w:space="0" w:color="auto"/>
        <w:bottom w:val="none" w:sz="0" w:space="0" w:color="auto"/>
        <w:right w:val="none" w:sz="0" w:space="0" w:color="auto"/>
      </w:divBdr>
      <w:divsChild>
        <w:div w:id="1234587601">
          <w:marLeft w:val="-300"/>
          <w:marRight w:val="-300"/>
          <w:marTop w:val="0"/>
          <w:marBottom w:val="0"/>
          <w:divBdr>
            <w:top w:val="none" w:sz="0" w:space="0" w:color="auto"/>
            <w:left w:val="none" w:sz="0" w:space="0" w:color="auto"/>
            <w:bottom w:val="none" w:sz="0" w:space="0" w:color="auto"/>
            <w:right w:val="none" w:sz="0" w:space="0" w:color="auto"/>
          </w:divBdr>
        </w:div>
      </w:divsChild>
    </w:div>
    <w:div w:id="341856044">
      <w:bodyDiv w:val="1"/>
      <w:marLeft w:val="0"/>
      <w:marRight w:val="0"/>
      <w:marTop w:val="0"/>
      <w:marBottom w:val="0"/>
      <w:divBdr>
        <w:top w:val="none" w:sz="0" w:space="0" w:color="auto"/>
        <w:left w:val="none" w:sz="0" w:space="0" w:color="auto"/>
        <w:bottom w:val="none" w:sz="0" w:space="0" w:color="auto"/>
        <w:right w:val="none" w:sz="0" w:space="0" w:color="auto"/>
      </w:divBdr>
    </w:div>
    <w:div w:id="343090749">
      <w:bodyDiv w:val="1"/>
      <w:marLeft w:val="0"/>
      <w:marRight w:val="0"/>
      <w:marTop w:val="0"/>
      <w:marBottom w:val="0"/>
      <w:divBdr>
        <w:top w:val="none" w:sz="0" w:space="0" w:color="auto"/>
        <w:left w:val="none" w:sz="0" w:space="0" w:color="auto"/>
        <w:bottom w:val="none" w:sz="0" w:space="0" w:color="auto"/>
        <w:right w:val="none" w:sz="0" w:space="0" w:color="auto"/>
      </w:divBdr>
    </w:div>
    <w:div w:id="347606512">
      <w:bodyDiv w:val="1"/>
      <w:marLeft w:val="0"/>
      <w:marRight w:val="0"/>
      <w:marTop w:val="0"/>
      <w:marBottom w:val="0"/>
      <w:divBdr>
        <w:top w:val="none" w:sz="0" w:space="0" w:color="auto"/>
        <w:left w:val="none" w:sz="0" w:space="0" w:color="auto"/>
        <w:bottom w:val="none" w:sz="0" w:space="0" w:color="auto"/>
        <w:right w:val="none" w:sz="0" w:space="0" w:color="auto"/>
      </w:divBdr>
    </w:div>
    <w:div w:id="400521370">
      <w:bodyDiv w:val="1"/>
      <w:marLeft w:val="0"/>
      <w:marRight w:val="0"/>
      <w:marTop w:val="0"/>
      <w:marBottom w:val="0"/>
      <w:divBdr>
        <w:top w:val="none" w:sz="0" w:space="0" w:color="auto"/>
        <w:left w:val="none" w:sz="0" w:space="0" w:color="auto"/>
        <w:bottom w:val="none" w:sz="0" w:space="0" w:color="auto"/>
        <w:right w:val="none" w:sz="0" w:space="0" w:color="auto"/>
      </w:divBdr>
    </w:div>
    <w:div w:id="419105156">
      <w:bodyDiv w:val="1"/>
      <w:marLeft w:val="0"/>
      <w:marRight w:val="0"/>
      <w:marTop w:val="0"/>
      <w:marBottom w:val="0"/>
      <w:divBdr>
        <w:top w:val="none" w:sz="0" w:space="0" w:color="auto"/>
        <w:left w:val="none" w:sz="0" w:space="0" w:color="auto"/>
        <w:bottom w:val="none" w:sz="0" w:space="0" w:color="auto"/>
        <w:right w:val="none" w:sz="0" w:space="0" w:color="auto"/>
      </w:divBdr>
    </w:div>
    <w:div w:id="472646874">
      <w:bodyDiv w:val="1"/>
      <w:marLeft w:val="0"/>
      <w:marRight w:val="0"/>
      <w:marTop w:val="0"/>
      <w:marBottom w:val="0"/>
      <w:divBdr>
        <w:top w:val="none" w:sz="0" w:space="0" w:color="auto"/>
        <w:left w:val="none" w:sz="0" w:space="0" w:color="auto"/>
        <w:bottom w:val="none" w:sz="0" w:space="0" w:color="auto"/>
        <w:right w:val="none" w:sz="0" w:space="0" w:color="auto"/>
      </w:divBdr>
    </w:div>
    <w:div w:id="479729461">
      <w:bodyDiv w:val="1"/>
      <w:marLeft w:val="0"/>
      <w:marRight w:val="0"/>
      <w:marTop w:val="0"/>
      <w:marBottom w:val="0"/>
      <w:divBdr>
        <w:top w:val="none" w:sz="0" w:space="0" w:color="auto"/>
        <w:left w:val="none" w:sz="0" w:space="0" w:color="auto"/>
        <w:bottom w:val="none" w:sz="0" w:space="0" w:color="auto"/>
        <w:right w:val="none" w:sz="0" w:space="0" w:color="auto"/>
      </w:divBdr>
    </w:div>
    <w:div w:id="529143661">
      <w:bodyDiv w:val="1"/>
      <w:marLeft w:val="0"/>
      <w:marRight w:val="0"/>
      <w:marTop w:val="0"/>
      <w:marBottom w:val="0"/>
      <w:divBdr>
        <w:top w:val="none" w:sz="0" w:space="0" w:color="auto"/>
        <w:left w:val="none" w:sz="0" w:space="0" w:color="auto"/>
        <w:bottom w:val="none" w:sz="0" w:space="0" w:color="auto"/>
        <w:right w:val="none" w:sz="0" w:space="0" w:color="auto"/>
      </w:divBdr>
    </w:div>
    <w:div w:id="573974184">
      <w:bodyDiv w:val="1"/>
      <w:marLeft w:val="0"/>
      <w:marRight w:val="0"/>
      <w:marTop w:val="0"/>
      <w:marBottom w:val="0"/>
      <w:divBdr>
        <w:top w:val="none" w:sz="0" w:space="0" w:color="auto"/>
        <w:left w:val="none" w:sz="0" w:space="0" w:color="auto"/>
        <w:bottom w:val="none" w:sz="0" w:space="0" w:color="auto"/>
        <w:right w:val="none" w:sz="0" w:space="0" w:color="auto"/>
      </w:divBdr>
    </w:div>
    <w:div w:id="610674489">
      <w:bodyDiv w:val="1"/>
      <w:marLeft w:val="0"/>
      <w:marRight w:val="0"/>
      <w:marTop w:val="0"/>
      <w:marBottom w:val="0"/>
      <w:divBdr>
        <w:top w:val="none" w:sz="0" w:space="0" w:color="auto"/>
        <w:left w:val="none" w:sz="0" w:space="0" w:color="auto"/>
        <w:bottom w:val="none" w:sz="0" w:space="0" w:color="auto"/>
        <w:right w:val="none" w:sz="0" w:space="0" w:color="auto"/>
      </w:divBdr>
    </w:div>
    <w:div w:id="684287016">
      <w:bodyDiv w:val="1"/>
      <w:marLeft w:val="0"/>
      <w:marRight w:val="0"/>
      <w:marTop w:val="0"/>
      <w:marBottom w:val="0"/>
      <w:divBdr>
        <w:top w:val="none" w:sz="0" w:space="0" w:color="auto"/>
        <w:left w:val="none" w:sz="0" w:space="0" w:color="auto"/>
        <w:bottom w:val="none" w:sz="0" w:space="0" w:color="auto"/>
        <w:right w:val="none" w:sz="0" w:space="0" w:color="auto"/>
      </w:divBdr>
    </w:div>
    <w:div w:id="744687660">
      <w:bodyDiv w:val="1"/>
      <w:marLeft w:val="0"/>
      <w:marRight w:val="0"/>
      <w:marTop w:val="0"/>
      <w:marBottom w:val="0"/>
      <w:divBdr>
        <w:top w:val="none" w:sz="0" w:space="0" w:color="auto"/>
        <w:left w:val="none" w:sz="0" w:space="0" w:color="auto"/>
        <w:bottom w:val="none" w:sz="0" w:space="0" w:color="auto"/>
        <w:right w:val="none" w:sz="0" w:space="0" w:color="auto"/>
      </w:divBdr>
    </w:div>
    <w:div w:id="746657499">
      <w:bodyDiv w:val="1"/>
      <w:marLeft w:val="0"/>
      <w:marRight w:val="0"/>
      <w:marTop w:val="0"/>
      <w:marBottom w:val="0"/>
      <w:divBdr>
        <w:top w:val="none" w:sz="0" w:space="0" w:color="auto"/>
        <w:left w:val="none" w:sz="0" w:space="0" w:color="auto"/>
        <w:bottom w:val="none" w:sz="0" w:space="0" w:color="auto"/>
        <w:right w:val="none" w:sz="0" w:space="0" w:color="auto"/>
      </w:divBdr>
    </w:div>
    <w:div w:id="790053201">
      <w:bodyDiv w:val="1"/>
      <w:marLeft w:val="0"/>
      <w:marRight w:val="0"/>
      <w:marTop w:val="0"/>
      <w:marBottom w:val="0"/>
      <w:divBdr>
        <w:top w:val="none" w:sz="0" w:space="0" w:color="auto"/>
        <w:left w:val="none" w:sz="0" w:space="0" w:color="auto"/>
        <w:bottom w:val="none" w:sz="0" w:space="0" w:color="auto"/>
        <w:right w:val="none" w:sz="0" w:space="0" w:color="auto"/>
      </w:divBdr>
    </w:div>
    <w:div w:id="864561105">
      <w:bodyDiv w:val="1"/>
      <w:marLeft w:val="0"/>
      <w:marRight w:val="0"/>
      <w:marTop w:val="0"/>
      <w:marBottom w:val="0"/>
      <w:divBdr>
        <w:top w:val="none" w:sz="0" w:space="0" w:color="auto"/>
        <w:left w:val="none" w:sz="0" w:space="0" w:color="auto"/>
        <w:bottom w:val="none" w:sz="0" w:space="0" w:color="auto"/>
        <w:right w:val="none" w:sz="0" w:space="0" w:color="auto"/>
      </w:divBdr>
    </w:div>
    <w:div w:id="904216671">
      <w:bodyDiv w:val="1"/>
      <w:marLeft w:val="0"/>
      <w:marRight w:val="0"/>
      <w:marTop w:val="0"/>
      <w:marBottom w:val="0"/>
      <w:divBdr>
        <w:top w:val="none" w:sz="0" w:space="0" w:color="auto"/>
        <w:left w:val="none" w:sz="0" w:space="0" w:color="auto"/>
        <w:bottom w:val="none" w:sz="0" w:space="0" w:color="auto"/>
        <w:right w:val="none" w:sz="0" w:space="0" w:color="auto"/>
      </w:divBdr>
    </w:div>
    <w:div w:id="909775515">
      <w:bodyDiv w:val="1"/>
      <w:marLeft w:val="0"/>
      <w:marRight w:val="0"/>
      <w:marTop w:val="0"/>
      <w:marBottom w:val="0"/>
      <w:divBdr>
        <w:top w:val="none" w:sz="0" w:space="0" w:color="auto"/>
        <w:left w:val="none" w:sz="0" w:space="0" w:color="auto"/>
        <w:bottom w:val="none" w:sz="0" w:space="0" w:color="auto"/>
        <w:right w:val="none" w:sz="0" w:space="0" w:color="auto"/>
      </w:divBdr>
    </w:div>
    <w:div w:id="933055377">
      <w:bodyDiv w:val="1"/>
      <w:marLeft w:val="0"/>
      <w:marRight w:val="0"/>
      <w:marTop w:val="0"/>
      <w:marBottom w:val="0"/>
      <w:divBdr>
        <w:top w:val="none" w:sz="0" w:space="0" w:color="auto"/>
        <w:left w:val="none" w:sz="0" w:space="0" w:color="auto"/>
        <w:bottom w:val="none" w:sz="0" w:space="0" w:color="auto"/>
        <w:right w:val="none" w:sz="0" w:space="0" w:color="auto"/>
      </w:divBdr>
    </w:div>
    <w:div w:id="950169364">
      <w:bodyDiv w:val="1"/>
      <w:marLeft w:val="0"/>
      <w:marRight w:val="0"/>
      <w:marTop w:val="0"/>
      <w:marBottom w:val="0"/>
      <w:divBdr>
        <w:top w:val="none" w:sz="0" w:space="0" w:color="auto"/>
        <w:left w:val="none" w:sz="0" w:space="0" w:color="auto"/>
        <w:bottom w:val="none" w:sz="0" w:space="0" w:color="auto"/>
        <w:right w:val="none" w:sz="0" w:space="0" w:color="auto"/>
      </w:divBdr>
    </w:div>
    <w:div w:id="963802982">
      <w:bodyDiv w:val="1"/>
      <w:marLeft w:val="0"/>
      <w:marRight w:val="0"/>
      <w:marTop w:val="0"/>
      <w:marBottom w:val="0"/>
      <w:divBdr>
        <w:top w:val="none" w:sz="0" w:space="0" w:color="auto"/>
        <w:left w:val="none" w:sz="0" w:space="0" w:color="auto"/>
        <w:bottom w:val="none" w:sz="0" w:space="0" w:color="auto"/>
        <w:right w:val="none" w:sz="0" w:space="0" w:color="auto"/>
      </w:divBdr>
    </w:div>
    <w:div w:id="979657016">
      <w:bodyDiv w:val="1"/>
      <w:marLeft w:val="0"/>
      <w:marRight w:val="0"/>
      <w:marTop w:val="0"/>
      <w:marBottom w:val="0"/>
      <w:divBdr>
        <w:top w:val="none" w:sz="0" w:space="0" w:color="auto"/>
        <w:left w:val="none" w:sz="0" w:space="0" w:color="auto"/>
        <w:bottom w:val="none" w:sz="0" w:space="0" w:color="auto"/>
        <w:right w:val="none" w:sz="0" w:space="0" w:color="auto"/>
      </w:divBdr>
      <w:divsChild>
        <w:div w:id="1121876824">
          <w:marLeft w:val="-300"/>
          <w:marRight w:val="-300"/>
          <w:marTop w:val="0"/>
          <w:marBottom w:val="0"/>
          <w:divBdr>
            <w:top w:val="none" w:sz="0" w:space="0" w:color="auto"/>
            <w:left w:val="none" w:sz="0" w:space="0" w:color="auto"/>
            <w:bottom w:val="none" w:sz="0" w:space="0" w:color="auto"/>
            <w:right w:val="none" w:sz="0" w:space="0" w:color="auto"/>
          </w:divBdr>
        </w:div>
      </w:divsChild>
    </w:div>
    <w:div w:id="994336693">
      <w:bodyDiv w:val="1"/>
      <w:marLeft w:val="0"/>
      <w:marRight w:val="0"/>
      <w:marTop w:val="0"/>
      <w:marBottom w:val="0"/>
      <w:divBdr>
        <w:top w:val="none" w:sz="0" w:space="0" w:color="auto"/>
        <w:left w:val="none" w:sz="0" w:space="0" w:color="auto"/>
        <w:bottom w:val="none" w:sz="0" w:space="0" w:color="auto"/>
        <w:right w:val="none" w:sz="0" w:space="0" w:color="auto"/>
      </w:divBdr>
    </w:div>
    <w:div w:id="1025208747">
      <w:bodyDiv w:val="1"/>
      <w:marLeft w:val="0"/>
      <w:marRight w:val="0"/>
      <w:marTop w:val="0"/>
      <w:marBottom w:val="0"/>
      <w:divBdr>
        <w:top w:val="none" w:sz="0" w:space="0" w:color="auto"/>
        <w:left w:val="none" w:sz="0" w:space="0" w:color="auto"/>
        <w:bottom w:val="none" w:sz="0" w:space="0" w:color="auto"/>
        <w:right w:val="none" w:sz="0" w:space="0" w:color="auto"/>
      </w:divBdr>
      <w:divsChild>
        <w:div w:id="1136415047">
          <w:marLeft w:val="-300"/>
          <w:marRight w:val="-300"/>
          <w:marTop w:val="0"/>
          <w:marBottom w:val="0"/>
          <w:divBdr>
            <w:top w:val="none" w:sz="0" w:space="0" w:color="auto"/>
            <w:left w:val="none" w:sz="0" w:space="0" w:color="auto"/>
            <w:bottom w:val="none" w:sz="0" w:space="0" w:color="auto"/>
            <w:right w:val="none" w:sz="0" w:space="0" w:color="auto"/>
          </w:divBdr>
        </w:div>
        <w:div w:id="1577209270">
          <w:marLeft w:val="-300"/>
          <w:marRight w:val="-300"/>
          <w:marTop w:val="0"/>
          <w:marBottom w:val="0"/>
          <w:divBdr>
            <w:top w:val="none" w:sz="0" w:space="0" w:color="auto"/>
            <w:left w:val="none" w:sz="0" w:space="0" w:color="auto"/>
            <w:bottom w:val="none" w:sz="0" w:space="0" w:color="auto"/>
            <w:right w:val="none" w:sz="0" w:space="0" w:color="auto"/>
          </w:divBdr>
        </w:div>
        <w:div w:id="878396216">
          <w:marLeft w:val="-300"/>
          <w:marRight w:val="-300"/>
          <w:marTop w:val="0"/>
          <w:marBottom w:val="0"/>
          <w:divBdr>
            <w:top w:val="none" w:sz="0" w:space="0" w:color="auto"/>
            <w:left w:val="none" w:sz="0" w:space="0" w:color="auto"/>
            <w:bottom w:val="none" w:sz="0" w:space="0" w:color="auto"/>
            <w:right w:val="none" w:sz="0" w:space="0" w:color="auto"/>
          </w:divBdr>
        </w:div>
        <w:div w:id="750279394">
          <w:marLeft w:val="-300"/>
          <w:marRight w:val="-300"/>
          <w:marTop w:val="0"/>
          <w:marBottom w:val="0"/>
          <w:divBdr>
            <w:top w:val="none" w:sz="0" w:space="0" w:color="auto"/>
            <w:left w:val="none" w:sz="0" w:space="0" w:color="auto"/>
            <w:bottom w:val="none" w:sz="0" w:space="0" w:color="auto"/>
            <w:right w:val="none" w:sz="0" w:space="0" w:color="auto"/>
          </w:divBdr>
        </w:div>
        <w:div w:id="665986272">
          <w:marLeft w:val="-300"/>
          <w:marRight w:val="-300"/>
          <w:marTop w:val="0"/>
          <w:marBottom w:val="0"/>
          <w:divBdr>
            <w:top w:val="none" w:sz="0" w:space="0" w:color="auto"/>
            <w:left w:val="none" w:sz="0" w:space="0" w:color="auto"/>
            <w:bottom w:val="none" w:sz="0" w:space="0" w:color="auto"/>
            <w:right w:val="none" w:sz="0" w:space="0" w:color="auto"/>
          </w:divBdr>
        </w:div>
      </w:divsChild>
    </w:div>
    <w:div w:id="1062025979">
      <w:bodyDiv w:val="1"/>
      <w:marLeft w:val="0"/>
      <w:marRight w:val="0"/>
      <w:marTop w:val="0"/>
      <w:marBottom w:val="0"/>
      <w:divBdr>
        <w:top w:val="none" w:sz="0" w:space="0" w:color="auto"/>
        <w:left w:val="none" w:sz="0" w:space="0" w:color="auto"/>
        <w:bottom w:val="none" w:sz="0" w:space="0" w:color="auto"/>
        <w:right w:val="none" w:sz="0" w:space="0" w:color="auto"/>
      </w:divBdr>
    </w:div>
    <w:div w:id="1088112207">
      <w:bodyDiv w:val="1"/>
      <w:marLeft w:val="0"/>
      <w:marRight w:val="0"/>
      <w:marTop w:val="0"/>
      <w:marBottom w:val="0"/>
      <w:divBdr>
        <w:top w:val="none" w:sz="0" w:space="0" w:color="auto"/>
        <w:left w:val="none" w:sz="0" w:space="0" w:color="auto"/>
        <w:bottom w:val="none" w:sz="0" w:space="0" w:color="auto"/>
        <w:right w:val="none" w:sz="0" w:space="0" w:color="auto"/>
      </w:divBdr>
    </w:div>
    <w:div w:id="1097865779">
      <w:bodyDiv w:val="1"/>
      <w:marLeft w:val="0"/>
      <w:marRight w:val="0"/>
      <w:marTop w:val="0"/>
      <w:marBottom w:val="0"/>
      <w:divBdr>
        <w:top w:val="none" w:sz="0" w:space="0" w:color="auto"/>
        <w:left w:val="none" w:sz="0" w:space="0" w:color="auto"/>
        <w:bottom w:val="none" w:sz="0" w:space="0" w:color="auto"/>
        <w:right w:val="none" w:sz="0" w:space="0" w:color="auto"/>
      </w:divBdr>
    </w:div>
    <w:div w:id="1109591140">
      <w:bodyDiv w:val="1"/>
      <w:marLeft w:val="0"/>
      <w:marRight w:val="0"/>
      <w:marTop w:val="0"/>
      <w:marBottom w:val="0"/>
      <w:divBdr>
        <w:top w:val="none" w:sz="0" w:space="0" w:color="auto"/>
        <w:left w:val="none" w:sz="0" w:space="0" w:color="auto"/>
        <w:bottom w:val="none" w:sz="0" w:space="0" w:color="auto"/>
        <w:right w:val="none" w:sz="0" w:space="0" w:color="auto"/>
      </w:divBdr>
    </w:div>
    <w:div w:id="1148013772">
      <w:bodyDiv w:val="1"/>
      <w:marLeft w:val="0"/>
      <w:marRight w:val="0"/>
      <w:marTop w:val="0"/>
      <w:marBottom w:val="0"/>
      <w:divBdr>
        <w:top w:val="none" w:sz="0" w:space="0" w:color="auto"/>
        <w:left w:val="none" w:sz="0" w:space="0" w:color="auto"/>
        <w:bottom w:val="none" w:sz="0" w:space="0" w:color="auto"/>
        <w:right w:val="none" w:sz="0" w:space="0" w:color="auto"/>
      </w:divBdr>
    </w:div>
    <w:div w:id="1270162365">
      <w:bodyDiv w:val="1"/>
      <w:marLeft w:val="0"/>
      <w:marRight w:val="0"/>
      <w:marTop w:val="0"/>
      <w:marBottom w:val="0"/>
      <w:divBdr>
        <w:top w:val="none" w:sz="0" w:space="0" w:color="auto"/>
        <w:left w:val="none" w:sz="0" w:space="0" w:color="auto"/>
        <w:bottom w:val="none" w:sz="0" w:space="0" w:color="auto"/>
        <w:right w:val="none" w:sz="0" w:space="0" w:color="auto"/>
      </w:divBdr>
    </w:div>
    <w:div w:id="1307784366">
      <w:bodyDiv w:val="1"/>
      <w:marLeft w:val="0"/>
      <w:marRight w:val="0"/>
      <w:marTop w:val="0"/>
      <w:marBottom w:val="0"/>
      <w:divBdr>
        <w:top w:val="none" w:sz="0" w:space="0" w:color="auto"/>
        <w:left w:val="none" w:sz="0" w:space="0" w:color="auto"/>
        <w:bottom w:val="none" w:sz="0" w:space="0" w:color="auto"/>
        <w:right w:val="none" w:sz="0" w:space="0" w:color="auto"/>
      </w:divBdr>
    </w:div>
    <w:div w:id="1345670886">
      <w:bodyDiv w:val="1"/>
      <w:marLeft w:val="0"/>
      <w:marRight w:val="0"/>
      <w:marTop w:val="0"/>
      <w:marBottom w:val="0"/>
      <w:divBdr>
        <w:top w:val="none" w:sz="0" w:space="0" w:color="auto"/>
        <w:left w:val="none" w:sz="0" w:space="0" w:color="auto"/>
        <w:bottom w:val="none" w:sz="0" w:space="0" w:color="auto"/>
        <w:right w:val="none" w:sz="0" w:space="0" w:color="auto"/>
      </w:divBdr>
      <w:divsChild>
        <w:div w:id="162472067">
          <w:marLeft w:val="-300"/>
          <w:marRight w:val="-300"/>
          <w:marTop w:val="0"/>
          <w:marBottom w:val="0"/>
          <w:divBdr>
            <w:top w:val="none" w:sz="0" w:space="0" w:color="auto"/>
            <w:left w:val="none" w:sz="0" w:space="0" w:color="auto"/>
            <w:bottom w:val="none" w:sz="0" w:space="0" w:color="auto"/>
            <w:right w:val="none" w:sz="0" w:space="0" w:color="auto"/>
          </w:divBdr>
        </w:div>
      </w:divsChild>
    </w:div>
    <w:div w:id="1367365437">
      <w:bodyDiv w:val="1"/>
      <w:marLeft w:val="0"/>
      <w:marRight w:val="0"/>
      <w:marTop w:val="0"/>
      <w:marBottom w:val="0"/>
      <w:divBdr>
        <w:top w:val="none" w:sz="0" w:space="0" w:color="auto"/>
        <w:left w:val="none" w:sz="0" w:space="0" w:color="auto"/>
        <w:bottom w:val="none" w:sz="0" w:space="0" w:color="auto"/>
        <w:right w:val="none" w:sz="0" w:space="0" w:color="auto"/>
      </w:divBdr>
      <w:divsChild>
        <w:div w:id="1911496243">
          <w:marLeft w:val="-300"/>
          <w:marRight w:val="-300"/>
          <w:marTop w:val="0"/>
          <w:marBottom w:val="0"/>
          <w:divBdr>
            <w:top w:val="none" w:sz="0" w:space="0" w:color="auto"/>
            <w:left w:val="none" w:sz="0" w:space="0" w:color="auto"/>
            <w:bottom w:val="none" w:sz="0" w:space="0" w:color="auto"/>
            <w:right w:val="none" w:sz="0" w:space="0" w:color="auto"/>
          </w:divBdr>
        </w:div>
      </w:divsChild>
    </w:div>
    <w:div w:id="1387947068">
      <w:bodyDiv w:val="1"/>
      <w:marLeft w:val="0"/>
      <w:marRight w:val="0"/>
      <w:marTop w:val="0"/>
      <w:marBottom w:val="0"/>
      <w:divBdr>
        <w:top w:val="none" w:sz="0" w:space="0" w:color="auto"/>
        <w:left w:val="none" w:sz="0" w:space="0" w:color="auto"/>
        <w:bottom w:val="none" w:sz="0" w:space="0" w:color="auto"/>
        <w:right w:val="none" w:sz="0" w:space="0" w:color="auto"/>
      </w:divBdr>
    </w:div>
    <w:div w:id="1452822402">
      <w:bodyDiv w:val="1"/>
      <w:marLeft w:val="0"/>
      <w:marRight w:val="0"/>
      <w:marTop w:val="0"/>
      <w:marBottom w:val="0"/>
      <w:divBdr>
        <w:top w:val="none" w:sz="0" w:space="0" w:color="auto"/>
        <w:left w:val="none" w:sz="0" w:space="0" w:color="auto"/>
        <w:bottom w:val="none" w:sz="0" w:space="0" w:color="auto"/>
        <w:right w:val="none" w:sz="0" w:space="0" w:color="auto"/>
      </w:divBdr>
    </w:div>
    <w:div w:id="1550074547">
      <w:bodyDiv w:val="1"/>
      <w:marLeft w:val="0"/>
      <w:marRight w:val="0"/>
      <w:marTop w:val="0"/>
      <w:marBottom w:val="0"/>
      <w:divBdr>
        <w:top w:val="none" w:sz="0" w:space="0" w:color="auto"/>
        <w:left w:val="none" w:sz="0" w:space="0" w:color="auto"/>
        <w:bottom w:val="none" w:sz="0" w:space="0" w:color="auto"/>
        <w:right w:val="none" w:sz="0" w:space="0" w:color="auto"/>
      </w:divBdr>
    </w:div>
    <w:div w:id="1553687961">
      <w:bodyDiv w:val="1"/>
      <w:marLeft w:val="0"/>
      <w:marRight w:val="0"/>
      <w:marTop w:val="0"/>
      <w:marBottom w:val="0"/>
      <w:divBdr>
        <w:top w:val="none" w:sz="0" w:space="0" w:color="auto"/>
        <w:left w:val="none" w:sz="0" w:space="0" w:color="auto"/>
        <w:bottom w:val="none" w:sz="0" w:space="0" w:color="auto"/>
        <w:right w:val="none" w:sz="0" w:space="0" w:color="auto"/>
      </w:divBdr>
    </w:div>
    <w:div w:id="1555123119">
      <w:bodyDiv w:val="1"/>
      <w:marLeft w:val="0"/>
      <w:marRight w:val="0"/>
      <w:marTop w:val="0"/>
      <w:marBottom w:val="0"/>
      <w:divBdr>
        <w:top w:val="none" w:sz="0" w:space="0" w:color="auto"/>
        <w:left w:val="none" w:sz="0" w:space="0" w:color="auto"/>
        <w:bottom w:val="none" w:sz="0" w:space="0" w:color="auto"/>
        <w:right w:val="none" w:sz="0" w:space="0" w:color="auto"/>
      </w:divBdr>
      <w:divsChild>
        <w:div w:id="1413890119">
          <w:marLeft w:val="-300"/>
          <w:marRight w:val="-300"/>
          <w:marTop w:val="0"/>
          <w:marBottom w:val="0"/>
          <w:divBdr>
            <w:top w:val="none" w:sz="0" w:space="0" w:color="auto"/>
            <w:left w:val="none" w:sz="0" w:space="0" w:color="auto"/>
            <w:bottom w:val="none" w:sz="0" w:space="0" w:color="auto"/>
            <w:right w:val="none" w:sz="0" w:space="0" w:color="auto"/>
          </w:divBdr>
        </w:div>
      </w:divsChild>
    </w:div>
    <w:div w:id="1564415083">
      <w:bodyDiv w:val="1"/>
      <w:marLeft w:val="0"/>
      <w:marRight w:val="0"/>
      <w:marTop w:val="0"/>
      <w:marBottom w:val="0"/>
      <w:divBdr>
        <w:top w:val="none" w:sz="0" w:space="0" w:color="auto"/>
        <w:left w:val="none" w:sz="0" w:space="0" w:color="auto"/>
        <w:bottom w:val="none" w:sz="0" w:space="0" w:color="auto"/>
        <w:right w:val="none" w:sz="0" w:space="0" w:color="auto"/>
      </w:divBdr>
    </w:div>
    <w:div w:id="1595239845">
      <w:bodyDiv w:val="1"/>
      <w:marLeft w:val="0"/>
      <w:marRight w:val="0"/>
      <w:marTop w:val="0"/>
      <w:marBottom w:val="0"/>
      <w:divBdr>
        <w:top w:val="none" w:sz="0" w:space="0" w:color="auto"/>
        <w:left w:val="none" w:sz="0" w:space="0" w:color="auto"/>
        <w:bottom w:val="none" w:sz="0" w:space="0" w:color="auto"/>
        <w:right w:val="none" w:sz="0" w:space="0" w:color="auto"/>
      </w:divBdr>
    </w:div>
    <w:div w:id="1615407953">
      <w:bodyDiv w:val="1"/>
      <w:marLeft w:val="0"/>
      <w:marRight w:val="0"/>
      <w:marTop w:val="0"/>
      <w:marBottom w:val="0"/>
      <w:divBdr>
        <w:top w:val="none" w:sz="0" w:space="0" w:color="auto"/>
        <w:left w:val="none" w:sz="0" w:space="0" w:color="auto"/>
        <w:bottom w:val="none" w:sz="0" w:space="0" w:color="auto"/>
        <w:right w:val="none" w:sz="0" w:space="0" w:color="auto"/>
      </w:divBdr>
    </w:div>
    <w:div w:id="1630671660">
      <w:bodyDiv w:val="1"/>
      <w:marLeft w:val="0"/>
      <w:marRight w:val="0"/>
      <w:marTop w:val="0"/>
      <w:marBottom w:val="0"/>
      <w:divBdr>
        <w:top w:val="none" w:sz="0" w:space="0" w:color="auto"/>
        <w:left w:val="none" w:sz="0" w:space="0" w:color="auto"/>
        <w:bottom w:val="none" w:sz="0" w:space="0" w:color="auto"/>
        <w:right w:val="none" w:sz="0" w:space="0" w:color="auto"/>
      </w:divBdr>
    </w:div>
    <w:div w:id="1640190902">
      <w:bodyDiv w:val="1"/>
      <w:marLeft w:val="0"/>
      <w:marRight w:val="0"/>
      <w:marTop w:val="0"/>
      <w:marBottom w:val="0"/>
      <w:divBdr>
        <w:top w:val="none" w:sz="0" w:space="0" w:color="auto"/>
        <w:left w:val="none" w:sz="0" w:space="0" w:color="auto"/>
        <w:bottom w:val="none" w:sz="0" w:space="0" w:color="auto"/>
        <w:right w:val="none" w:sz="0" w:space="0" w:color="auto"/>
      </w:divBdr>
    </w:div>
    <w:div w:id="1652562640">
      <w:bodyDiv w:val="1"/>
      <w:marLeft w:val="0"/>
      <w:marRight w:val="0"/>
      <w:marTop w:val="0"/>
      <w:marBottom w:val="0"/>
      <w:divBdr>
        <w:top w:val="none" w:sz="0" w:space="0" w:color="auto"/>
        <w:left w:val="none" w:sz="0" w:space="0" w:color="auto"/>
        <w:bottom w:val="none" w:sz="0" w:space="0" w:color="auto"/>
        <w:right w:val="none" w:sz="0" w:space="0" w:color="auto"/>
      </w:divBdr>
    </w:div>
    <w:div w:id="1674141392">
      <w:bodyDiv w:val="1"/>
      <w:marLeft w:val="0"/>
      <w:marRight w:val="0"/>
      <w:marTop w:val="0"/>
      <w:marBottom w:val="0"/>
      <w:divBdr>
        <w:top w:val="none" w:sz="0" w:space="0" w:color="auto"/>
        <w:left w:val="none" w:sz="0" w:space="0" w:color="auto"/>
        <w:bottom w:val="none" w:sz="0" w:space="0" w:color="auto"/>
        <w:right w:val="none" w:sz="0" w:space="0" w:color="auto"/>
      </w:divBdr>
    </w:div>
    <w:div w:id="1676807522">
      <w:bodyDiv w:val="1"/>
      <w:marLeft w:val="0"/>
      <w:marRight w:val="0"/>
      <w:marTop w:val="0"/>
      <w:marBottom w:val="0"/>
      <w:divBdr>
        <w:top w:val="none" w:sz="0" w:space="0" w:color="auto"/>
        <w:left w:val="none" w:sz="0" w:space="0" w:color="auto"/>
        <w:bottom w:val="none" w:sz="0" w:space="0" w:color="auto"/>
        <w:right w:val="none" w:sz="0" w:space="0" w:color="auto"/>
      </w:divBdr>
    </w:div>
    <w:div w:id="1694958436">
      <w:bodyDiv w:val="1"/>
      <w:marLeft w:val="0"/>
      <w:marRight w:val="0"/>
      <w:marTop w:val="0"/>
      <w:marBottom w:val="0"/>
      <w:divBdr>
        <w:top w:val="none" w:sz="0" w:space="0" w:color="auto"/>
        <w:left w:val="none" w:sz="0" w:space="0" w:color="auto"/>
        <w:bottom w:val="none" w:sz="0" w:space="0" w:color="auto"/>
        <w:right w:val="none" w:sz="0" w:space="0" w:color="auto"/>
      </w:divBdr>
    </w:div>
    <w:div w:id="1817842840">
      <w:bodyDiv w:val="1"/>
      <w:marLeft w:val="0"/>
      <w:marRight w:val="0"/>
      <w:marTop w:val="0"/>
      <w:marBottom w:val="0"/>
      <w:divBdr>
        <w:top w:val="none" w:sz="0" w:space="0" w:color="auto"/>
        <w:left w:val="none" w:sz="0" w:space="0" w:color="auto"/>
        <w:bottom w:val="none" w:sz="0" w:space="0" w:color="auto"/>
        <w:right w:val="none" w:sz="0" w:space="0" w:color="auto"/>
      </w:divBdr>
    </w:div>
    <w:div w:id="1869836077">
      <w:bodyDiv w:val="1"/>
      <w:marLeft w:val="0"/>
      <w:marRight w:val="0"/>
      <w:marTop w:val="0"/>
      <w:marBottom w:val="0"/>
      <w:divBdr>
        <w:top w:val="none" w:sz="0" w:space="0" w:color="auto"/>
        <w:left w:val="none" w:sz="0" w:space="0" w:color="auto"/>
        <w:bottom w:val="none" w:sz="0" w:space="0" w:color="auto"/>
        <w:right w:val="none" w:sz="0" w:space="0" w:color="auto"/>
      </w:divBdr>
      <w:divsChild>
        <w:div w:id="1428581729">
          <w:marLeft w:val="-300"/>
          <w:marRight w:val="-300"/>
          <w:marTop w:val="0"/>
          <w:marBottom w:val="0"/>
          <w:divBdr>
            <w:top w:val="none" w:sz="0" w:space="0" w:color="auto"/>
            <w:left w:val="none" w:sz="0" w:space="0" w:color="auto"/>
            <w:bottom w:val="none" w:sz="0" w:space="0" w:color="auto"/>
            <w:right w:val="none" w:sz="0" w:space="0" w:color="auto"/>
          </w:divBdr>
        </w:div>
        <w:div w:id="471485556">
          <w:marLeft w:val="-300"/>
          <w:marRight w:val="-300"/>
          <w:marTop w:val="0"/>
          <w:marBottom w:val="0"/>
          <w:divBdr>
            <w:top w:val="none" w:sz="0" w:space="0" w:color="auto"/>
            <w:left w:val="none" w:sz="0" w:space="0" w:color="auto"/>
            <w:bottom w:val="none" w:sz="0" w:space="0" w:color="auto"/>
            <w:right w:val="none" w:sz="0" w:space="0" w:color="auto"/>
          </w:divBdr>
        </w:div>
        <w:div w:id="1969967734">
          <w:marLeft w:val="-300"/>
          <w:marRight w:val="-300"/>
          <w:marTop w:val="0"/>
          <w:marBottom w:val="0"/>
          <w:divBdr>
            <w:top w:val="none" w:sz="0" w:space="0" w:color="auto"/>
            <w:left w:val="none" w:sz="0" w:space="0" w:color="auto"/>
            <w:bottom w:val="none" w:sz="0" w:space="0" w:color="auto"/>
            <w:right w:val="none" w:sz="0" w:space="0" w:color="auto"/>
          </w:divBdr>
        </w:div>
        <w:div w:id="597719871">
          <w:marLeft w:val="-300"/>
          <w:marRight w:val="-300"/>
          <w:marTop w:val="0"/>
          <w:marBottom w:val="0"/>
          <w:divBdr>
            <w:top w:val="none" w:sz="0" w:space="0" w:color="auto"/>
            <w:left w:val="none" w:sz="0" w:space="0" w:color="auto"/>
            <w:bottom w:val="none" w:sz="0" w:space="0" w:color="auto"/>
            <w:right w:val="none" w:sz="0" w:space="0" w:color="auto"/>
          </w:divBdr>
        </w:div>
        <w:div w:id="1937907467">
          <w:marLeft w:val="-300"/>
          <w:marRight w:val="-300"/>
          <w:marTop w:val="0"/>
          <w:marBottom w:val="0"/>
          <w:divBdr>
            <w:top w:val="none" w:sz="0" w:space="0" w:color="auto"/>
            <w:left w:val="none" w:sz="0" w:space="0" w:color="auto"/>
            <w:bottom w:val="none" w:sz="0" w:space="0" w:color="auto"/>
            <w:right w:val="none" w:sz="0" w:space="0" w:color="auto"/>
          </w:divBdr>
        </w:div>
      </w:divsChild>
    </w:div>
    <w:div w:id="1911620764">
      <w:bodyDiv w:val="1"/>
      <w:marLeft w:val="0"/>
      <w:marRight w:val="0"/>
      <w:marTop w:val="0"/>
      <w:marBottom w:val="0"/>
      <w:divBdr>
        <w:top w:val="none" w:sz="0" w:space="0" w:color="auto"/>
        <w:left w:val="none" w:sz="0" w:space="0" w:color="auto"/>
        <w:bottom w:val="none" w:sz="0" w:space="0" w:color="auto"/>
        <w:right w:val="none" w:sz="0" w:space="0" w:color="auto"/>
      </w:divBdr>
      <w:divsChild>
        <w:div w:id="949631320">
          <w:marLeft w:val="-300"/>
          <w:marRight w:val="-300"/>
          <w:marTop w:val="0"/>
          <w:marBottom w:val="0"/>
          <w:divBdr>
            <w:top w:val="none" w:sz="0" w:space="0" w:color="auto"/>
            <w:left w:val="none" w:sz="0" w:space="0" w:color="auto"/>
            <w:bottom w:val="none" w:sz="0" w:space="0" w:color="auto"/>
            <w:right w:val="none" w:sz="0" w:space="0" w:color="auto"/>
          </w:divBdr>
        </w:div>
      </w:divsChild>
    </w:div>
    <w:div w:id="1974478210">
      <w:bodyDiv w:val="1"/>
      <w:marLeft w:val="0"/>
      <w:marRight w:val="0"/>
      <w:marTop w:val="0"/>
      <w:marBottom w:val="0"/>
      <w:divBdr>
        <w:top w:val="none" w:sz="0" w:space="0" w:color="auto"/>
        <w:left w:val="none" w:sz="0" w:space="0" w:color="auto"/>
        <w:bottom w:val="none" w:sz="0" w:space="0" w:color="auto"/>
        <w:right w:val="none" w:sz="0" w:space="0" w:color="auto"/>
      </w:divBdr>
      <w:divsChild>
        <w:div w:id="1550916663">
          <w:marLeft w:val="-300"/>
          <w:marRight w:val="-300"/>
          <w:marTop w:val="0"/>
          <w:marBottom w:val="0"/>
          <w:divBdr>
            <w:top w:val="none" w:sz="0" w:space="0" w:color="auto"/>
            <w:left w:val="none" w:sz="0" w:space="0" w:color="auto"/>
            <w:bottom w:val="none" w:sz="0" w:space="0" w:color="auto"/>
            <w:right w:val="none" w:sz="0" w:space="0" w:color="auto"/>
          </w:divBdr>
        </w:div>
      </w:divsChild>
    </w:div>
    <w:div w:id="2073233568">
      <w:bodyDiv w:val="1"/>
      <w:marLeft w:val="0"/>
      <w:marRight w:val="0"/>
      <w:marTop w:val="0"/>
      <w:marBottom w:val="0"/>
      <w:divBdr>
        <w:top w:val="none" w:sz="0" w:space="0" w:color="auto"/>
        <w:left w:val="none" w:sz="0" w:space="0" w:color="auto"/>
        <w:bottom w:val="none" w:sz="0" w:space="0" w:color="auto"/>
        <w:right w:val="none" w:sz="0" w:space="0" w:color="auto"/>
      </w:divBdr>
    </w:div>
    <w:div w:id="2133983484">
      <w:bodyDiv w:val="1"/>
      <w:marLeft w:val="0"/>
      <w:marRight w:val="0"/>
      <w:marTop w:val="0"/>
      <w:marBottom w:val="0"/>
      <w:divBdr>
        <w:top w:val="none" w:sz="0" w:space="0" w:color="auto"/>
        <w:left w:val="none" w:sz="0" w:space="0" w:color="auto"/>
        <w:bottom w:val="none" w:sz="0" w:space="0" w:color="auto"/>
        <w:right w:val="none" w:sz="0" w:space="0" w:color="auto"/>
      </w:divBdr>
      <w:divsChild>
        <w:div w:id="208525384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3031-023-00568-z" TargetMode="External"/><Relationship Id="rId26" Type="http://schemas.openxmlformats.org/officeDocument/2006/relationships/hyperlink" Target="https://doi.org/10.1111/voxs.12599" TargetMode="External"/><Relationship Id="rId39" Type="http://schemas.openxmlformats.org/officeDocument/2006/relationships/hyperlink" Target="https://iris.who.int/handle/10665/352580" TargetMode="External"/><Relationship Id="rId21" Type="http://schemas.openxmlformats.org/officeDocument/2006/relationships/hyperlink" Target="https://www.who.int/publications/i/item/B09394" TargetMode="External"/><Relationship Id="rId34" Type="http://schemas.openxmlformats.org/officeDocument/2006/relationships/hyperlink" Target="https://doi.org/10.1038/nrmicro2459" TargetMode="External"/><Relationship Id="rId42" Type="http://schemas.openxmlformats.org/officeDocument/2006/relationships/hyperlink" Target="https://doi.org/10.5365/WPSAR.2015.6.1.017"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rldhealthorg.shinyapps.io/dengue_global/" TargetMode="External"/><Relationship Id="rId29" Type="http://schemas.openxmlformats.org/officeDocument/2006/relationships/hyperlink" Target="https://iris.paho.org/handle/10665.2/57555" TargetMode="External"/><Relationship Id="rId11" Type="http://schemas.openxmlformats.org/officeDocument/2006/relationships/footer" Target="footer2.xml"/><Relationship Id="rId24" Type="http://schemas.openxmlformats.org/officeDocument/2006/relationships/hyperlink" Target="https://doi.org/10.1038/s41577-019-0123-x" TargetMode="External"/><Relationship Id="rId32" Type="http://schemas.openxmlformats.org/officeDocument/2006/relationships/hyperlink" Target="https://doi.org/10.1016/j.jcvp.2023.100144" TargetMode="External"/><Relationship Id="rId37" Type="http://schemas.openxmlformats.org/officeDocument/2006/relationships/hyperlink" Target="https://doi.org/10.3390/v15051144" TargetMode="External"/><Relationship Id="rId40" Type="http://schemas.openxmlformats.org/officeDocument/2006/relationships/hyperlink" Target="https://doi.org/10.1371/journal.pntd.0010365"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ho.int/emergencies/disease-outbreak-news/item/2024-DON518" TargetMode="External"/><Relationship Id="rId23" Type="http://schemas.openxmlformats.org/officeDocument/2006/relationships/hyperlink" Target="https://doi.org/10.1155/2021/4224816" TargetMode="External"/><Relationship Id="rId28" Type="http://schemas.openxmlformats.org/officeDocument/2006/relationships/hyperlink" Target="https://doi.org/10.1128/JCM.02063-06" TargetMode="External"/><Relationship Id="rId36" Type="http://schemas.openxmlformats.org/officeDocument/2006/relationships/hyperlink" Target="https://doi.org/10.4269/ajtmh.2011.09-0798"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89/fcimb.2022.975398" TargetMode="External"/><Relationship Id="rId31" Type="http://schemas.openxmlformats.org/officeDocument/2006/relationships/hyperlink" Target="https://doi.org/10.1155/2017/4687182" TargetMode="External"/><Relationship Id="rId44" Type="http://schemas.openxmlformats.org/officeDocument/2006/relationships/hyperlink" Target="https://doi.org/10.3390/v130405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ris.who.int/handle/10665/44188" TargetMode="External"/><Relationship Id="rId22" Type="http://schemas.openxmlformats.org/officeDocument/2006/relationships/hyperlink" Target="https://www.who.int/news/item/22-05-2025-dengue-expert-review-panel-for-diagnostics" TargetMode="External"/><Relationship Id="rId27" Type="http://schemas.openxmlformats.org/officeDocument/2006/relationships/hyperlink" Target="https://doi.org/10.1007/s00705-020-04892-0" TargetMode="External"/><Relationship Id="rId30" Type="http://schemas.openxmlformats.org/officeDocument/2006/relationships/hyperlink" Target="https://iris.who.int/handle/10665/376214" TargetMode="External"/><Relationship Id="rId35" Type="http://schemas.openxmlformats.org/officeDocument/2006/relationships/hyperlink" Target="https://doi.org/10.1186/s12985-024-02459-y" TargetMode="External"/><Relationship Id="rId43" Type="http://schemas.openxmlformats.org/officeDocument/2006/relationships/hyperlink" Target="https://extranet.who.int/hslp/content/LQMS-training-toolkit"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paho.org/en/documents/risk-assessment-publichealth-related-dengue-americas-region-12-december-2023" TargetMode="External"/><Relationship Id="rId25" Type="http://schemas.openxmlformats.org/officeDocument/2006/relationships/hyperlink" Target="https://www.paho.org/en/documents/case-definitions-clinicalclassification-and-disease-phases-dengue-chikungunya-and-zika" TargetMode="External"/><Relationship Id="rId33" Type="http://schemas.openxmlformats.org/officeDocument/2006/relationships/hyperlink" Target="https://doi.org/10.1586/eri.12.76" TargetMode="External"/><Relationship Id="rId38" Type="http://schemas.openxmlformats.org/officeDocument/2006/relationships/hyperlink" Target="https://doi.org/10.1186/s12864-024-10350-x" TargetMode="External"/><Relationship Id="rId46" Type="http://schemas.openxmlformats.org/officeDocument/2006/relationships/header" Target="header5.xml"/><Relationship Id="rId20" Type="http://schemas.openxmlformats.org/officeDocument/2006/relationships/hyperlink" Target="https://doi.org/10.3390/v10040175" TargetMode="External"/><Relationship Id="rId41" Type="http://schemas.openxmlformats.org/officeDocument/2006/relationships/hyperlink" Target="https://iris.who.int/handle/10665/3379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1BEA5-5BE6-454D-97C9-47D17865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gurajala</dc:creator>
  <cp:keywords/>
  <dc:description/>
  <cp:lastModifiedBy>SDI 1186</cp:lastModifiedBy>
  <cp:revision>14</cp:revision>
  <dcterms:created xsi:type="dcterms:W3CDTF">2025-07-17T07:12:00Z</dcterms:created>
  <dcterms:modified xsi:type="dcterms:W3CDTF">2025-09-09T07:14:00Z</dcterms:modified>
</cp:coreProperties>
</file>