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98D1C" w14:textId="3A853D3D" w:rsidR="0068321E" w:rsidRPr="00FE356B" w:rsidRDefault="00FE356B" w:rsidP="00FE356B">
      <w:pPr>
        <w:jc w:val="center"/>
        <w:rPr>
          <w:rFonts w:ascii="Times New Roman" w:hAnsi="Times New Roman" w:cs="Times New Roman"/>
          <w:b/>
          <w:bCs/>
          <w:sz w:val="28"/>
          <w:szCs w:val="28"/>
          <w:vertAlign w:val="superscript"/>
          <w:lang w:val="en-US"/>
        </w:rPr>
      </w:pPr>
      <w:r w:rsidRPr="00FE356B">
        <w:rPr>
          <w:rFonts w:ascii="Times New Roman" w:hAnsi="Times New Roman" w:cs="Times New Roman"/>
          <w:b/>
          <w:bCs/>
          <w:sz w:val="24"/>
          <w:szCs w:val="24"/>
          <w:lang w:val="en-GB"/>
        </w:rPr>
        <w:t>Viral Ulcerations of the Palate: A Case of Paediatric Herpangina with Literature Review</w:t>
      </w:r>
    </w:p>
    <w:p w14:paraId="00DCA168" w14:textId="6FFC7E41" w:rsidR="0068321E" w:rsidRPr="0068321E" w:rsidRDefault="0068321E" w:rsidP="00837564">
      <w:pPr>
        <w:jc w:val="both"/>
        <w:rPr>
          <w:rFonts w:ascii="Times New Roman" w:hAnsi="Times New Roman" w:cs="Times New Roman"/>
          <w:b/>
          <w:bCs/>
          <w:sz w:val="24"/>
          <w:szCs w:val="24"/>
          <w:lang w:val="en-US"/>
        </w:rPr>
      </w:pPr>
      <w:r w:rsidRPr="0068321E">
        <w:rPr>
          <w:rFonts w:ascii="Times New Roman" w:hAnsi="Times New Roman" w:cs="Times New Roman"/>
          <w:b/>
          <w:bCs/>
          <w:sz w:val="24"/>
          <w:szCs w:val="24"/>
          <w:lang w:val="en-US"/>
        </w:rPr>
        <w:t xml:space="preserve">Abstract </w:t>
      </w:r>
    </w:p>
    <w:p w14:paraId="191AEB50" w14:textId="3625021E" w:rsidR="0068321E" w:rsidRPr="0068321E" w:rsidRDefault="0068321E" w:rsidP="00837564">
      <w:pPr>
        <w:jc w:val="both"/>
        <w:rPr>
          <w:rFonts w:ascii="Times New Roman" w:hAnsi="Times New Roman" w:cs="Times New Roman"/>
          <w:sz w:val="24"/>
          <w:szCs w:val="24"/>
        </w:rPr>
      </w:pPr>
      <w:r w:rsidRPr="0068321E">
        <w:rPr>
          <w:rFonts w:ascii="Times New Roman" w:hAnsi="Times New Roman" w:cs="Times New Roman"/>
          <w:sz w:val="24"/>
          <w:szCs w:val="24"/>
        </w:rPr>
        <w:t xml:space="preserve">Herpangina is a common viral illness in children, most often caused by Coxsackievirus and other enteroviruses, and is characterized by fever and vesicular or ulcerative lesions in the posterior oral cavity. We report a case of herpangina in a </w:t>
      </w:r>
      <w:r w:rsidR="00FE356B">
        <w:rPr>
          <w:rFonts w:ascii="Times New Roman" w:hAnsi="Times New Roman" w:cs="Times New Roman"/>
          <w:sz w:val="24"/>
          <w:szCs w:val="24"/>
        </w:rPr>
        <w:t>7</w:t>
      </w:r>
      <w:r w:rsidRPr="0068321E">
        <w:rPr>
          <w:rFonts w:ascii="Times New Roman" w:hAnsi="Times New Roman" w:cs="Times New Roman"/>
          <w:sz w:val="24"/>
          <w:szCs w:val="24"/>
        </w:rPr>
        <w:t>-year-old boy who presented with acute onset of fever, sore throat, and painful oral ulcers on the soft palate and tonsillar pillars. The diagnosis was made clinically, and supportive management with antipyretics</w:t>
      </w:r>
      <w:r w:rsidR="005141AD">
        <w:rPr>
          <w:rFonts w:ascii="Times New Roman" w:hAnsi="Times New Roman" w:cs="Times New Roman"/>
          <w:sz w:val="24"/>
          <w:szCs w:val="24"/>
        </w:rPr>
        <w:t xml:space="preserve"> </w:t>
      </w:r>
      <w:proofErr w:type="gramStart"/>
      <w:r w:rsidR="005141AD">
        <w:rPr>
          <w:rFonts w:ascii="Times New Roman" w:hAnsi="Times New Roman" w:cs="Times New Roman"/>
          <w:sz w:val="24"/>
          <w:szCs w:val="24"/>
        </w:rPr>
        <w:t>( paracetamol</w:t>
      </w:r>
      <w:proofErr w:type="gramEnd"/>
      <w:r w:rsidR="005141AD">
        <w:rPr>
          <w:rFonts w:ascii="Times New Roman" w:hAnsi="Times New Roman" w:cs="Times New Roman"/>
          <w:sz w:val="24"/>
          <w:szCs w:val="24"/>
        </w:rPr>
        <w:t xml:space="preserve"> syrup), topical</w:t>
      </w:r>
      <w:r w:rsidR="00FE356B">
        <w:rPr>
          <w:rFonts w:ascii="Times New Roman" w:hAnsi="Times New Roman" w:cs="Times New Roman"/>
          <w:sz w:val="24"/>
          <w:szCs w:val="24"/>
        </w:rPr>
        <w:t xml:space="preserve"> antivirals</w:t>
      </w:r>
      <w:r w:rsidR="005141AD">
        <w:rPr>
          <w:rFonts w:ascii="Times New Roman" w:hAnsi="Times New Roman" w:cs="Times New Roman"/>
          <w:sz w:val="24"/>
          <w:szCs w:val="24"/>
        </w:rPr>
        <w:t xml:space="preserve"> </w:t>
      </w:r>
      <w:r w:rsidR="00D24AE8">
        <w:rPr>
          <w:rFonts w:ascii="Times New Roman" w:hAnsi="Times New Roman" w:cs="Times New Roman"/>
          <w:sz w:val="24"/>
          <w:szCs w:val="24"/>
        </w:rPr>
        <w:t>(topical</w:t>
      </w:r>
      <w:r w:rsidR="005141AD">
        <w:rPr>
          <w:rFonts w:ascii="Times New Roman" w:hAnsi="Times New Roman" w:cs="Times New Roman"/>
          <w:sz w:val="24"/>
          <w:szCs w:val="24"/>
        </w:rPr>
        <w:t xml:space="preserve"> </w:t>
      </w:r>
      <w:r w:rsidR="00D24AE8">
        <w:rPr>
          <w:rFonts w:ascii="Times New Roman" w:hAnsi="Times New Roman" w:cs="Times New Roman"/>
          <w:sz w:val="24"/>
          <w:szCs w:val="24"/>
        </w:rPr>
        <w:t>acyclovir)</w:t>
      </w:r>
      <w:r w:rsidR="005141AD">
        <w:rPr>
          <w:rFonts w:ascii="Times New Roman" w:hAnsi="Times New Roman" w:cs="Times New Roman"/>
          <w:sz w:val="24"/>
          <w:szCs w:val="24"/>
        </w:rPr>
        <w:t xml:space="preserve">, </w:t>
      </w:r>
      <w:r w:rsidRPr="0068321E">
        <w:rPr>
          <w:rFonts w:ascii="Times New Roman" w:hAnsi="Times New Roman" w:cs="Times New Roman"/>
          <w:sz w:val="24"/>
          <w:szCs w:val="24"/>
        </w:rPr>
        <w:t xml:space="preserve">hydration, and dietary modification led to </w:t>
      </w:r>
      <w:r w:rsidR="00FE356B">
        <w:rPr>
          <w:rFonts w:ascii="Times New Roman" w:hAnsi="Times New Roman" w:cs="Times New Roman"/>
          <w:sz w:val="24"/>
          <w:szCs w:val="24"/>
        </w:rPr>
        <w:t>symptomatic improvement</w:t>
      </w:r>
      <w:r w:rsidRPr="0068321E">
        <w:rPr>
          <w:rFonts w:ascii="Times New Roman" w:hAnsi="Times New Roman" w:cs="Times New Roman"/>
          <w:sz w:val="24"/>
          <w:szCs w:val="24"/>
        </w:rPr>
        <w:t xml:space="preserve"> within a week</w:t>
      </w:r>
      <w:r w:rsidR="00FE356B">
        <w:rPr>
          <w:rFonts w:ascii="Times New Roman" w:hAnsi="Times New Roman" w:cs="Times New Roman"/>
          <w:sz w:val="24"/>
          <w:szCs w:val="24"/>
        </w:rPr>
        <w:t xml:space="preserve"> and fully recovered in 4 weeks</w:t>
      </w:r>
      <w:r w:rsidRPr="0068321E">
        <w:rPr>
          <w:rFonts w:ascii="Times New Roman" w:hAnsi="Times New Roman" w:cs="Times New Roman"/>
          <w:sz w:val="24"/>
          <w:szCs w:val="24"/>
        </w:rPr>
        <w:t>. This case highlights the importance of clinical recognition and symptomatic care in preventing complications.</w:t>
      </w:r>
    </w:p>
    <w:p w14:paraId="7960F65C" w14:textId="77777777" w:rsidR="0068321E" w:rsidRDefault="0068321E" w:rsidP="00837564">
      <w:pPr>
        <w:jc w:val="both"/>
        <w:rPr>
          <w:rFonts w:ascii="Times New Roman" w:hAnsi="Times New Roman" w:cs="Times New Roman"/>
          <w:b/>
          <w:bCs/>
          <w:sz w:val="24"/>
          <w:szCs w:val="24"/>
        </w:rPr>
      </w:pPr>
    </w:p>
    <w:p w14:paraId="5C12E43F" w14:textId="3AE7819C" w:rsidR="0068321E" w:rsidRDefault="0068321E" w:rsidP="00837564">
      <w:pPr>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00FE356B" w:rsidRPr="009927AE">
        <w:rPr>
          <w:rFonts w:ascii="Times New Roman" w:hAnsi="Times New Roman" w:cs="Times New Roman"/>
          <w:bCs/>
          <w:sz w:val="24"/>
          <w:szCs w:val="24"/>
        </w:rPr>
        <w:t xml:space="preserve">Herpangina, </w:t>
      </w:r>
      <w:r w:rsidR="00D24AE8" w:rsidRPr="009927AE">
        <w:rPr>
          <w:rFonts w:ascii="Times New Roman" w:hAnsi="Times New Roman" w:cs="Times New Roman"/>
          <w:bCs/>
          <w:sz w:val="24"/>
          <w:szCs w:val="24"/>
        </w:rPr>
        <w:t xml:space="preserve">coxsackie virus, </w:t>
      </w:r>
      <w:r w:rsidR="00FE356B" w:rsidRPr="009927AE">
        <w:rPr>
          <w:rFonts w:ascii="Times New Roman" w:hAnsi="Times New Roman" w:cs="Times New Roman"/>
          <w:bCs/>
          <w:sz w:val="24"/>
          <w:szCs w:val="24"/>
        </w:rPr>
        <w:t xml:space="preserve">oral ulcer, </w:t>
      </w:r>
      <w:r w:rsidR="00D24AE8" w:rsidRPr="009927AE">
        <w:rPr>
          <w:rFonts w:ascii="Times New Roman" w:hAnsi="Times New Roman" w:cs="Times New Roman"/>
          <w:bCs/>
          <w:sz w:val="24"/>
          <w:szCs w:val="24"/>
        </w:rPr>
        <w:t>anaesthetics</w:t>
      </w:r>
    </w:p>
    <w:p w14:paraId="02C6A951" w14:textId="17D8326B"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Introduction</w:t>
      </w:r>
    </w:p>
    <w:p w14:paraId="7B857FC1" w14:textId="24A1C3C2" w:rsid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Herpangina is a common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viral infection caused by enteroviruses, predominantly affecting children under six years of age [1]. It presents as an acute, self-limiting illness characterized by high fever, malaise, and the appearance of small vesicular or ulcerative lesions on the soft palate, uvula, tonsillar pillars, and posterior pharyngeal wall [2]. Among the causative agents, </w:t>
      </w:r>
      <w:r w:rsidRPr="00837564">
        <w:rPr>
          <w:rFonts w:ascii="Times New Roman" w:hAnsi="Times New Roman" w:cs="Times New Roman"/>
          <w:i/>
          <w:iCs/>
          <w:sz w:val="24"/>
          <w:szCs w:val="24"/>
        </w:rPr>
        <w:t>Coxsackievirus</w:t>
      </w:r>
      <w:r w:rsidRPr="00837564">
        <w:rPr>
          <w:rFonts w:ascii="Times New Roman" w:hAnsi="Times New Roman" w:cs="Times New Roman"/>
          <w:sz w:val="24"/>
          <w:szCs w:val="24"/>
        </w:rPr>
        <w:t xml:space="preserve"> A subtypes (CV-A2, CV-A4, CV-A6, CV-A10) are most frequently implicated, along with </w:t>
      </w:r>
      <w:r w:rsidRPr="00837564">
        <w:rPr>
          <w:rFonts w:ascii="Times New Roman" w:hAnsi="Times New Roman" w:cs="Times New Roman"/>
          <w:i/>
          <w:iCs/>
          <w:sz w:val="24"/>
          <w:szCs w:val="24"/>
        </w:rPr>
        <w:t>Enterovirus A71</w:t>
      </w:r>
      <w:r w:rsidRPr="00837564">
        <w:rPr>
          <w:rFonts w:ascii="Times New Roman" w:hAnsi="Times New Roman" w:cs="Times New Roman"/>
          <w:sz w:val="24"/>
          <w:szCs w:val="24"/>
        </w:rPr>
        <w:t xml:space="preserve">, </w:t>
      </w:r>
      <w:r w:rsidRPr="00837564">
        <w:rPr>
          <w:rFonts w:ascii="Times New Roman" w:hAnsi="Times New Roman" w:cs="Times New Roman"/>
          <w:i/>
          <w:iCs/>
          <w:sz w:val="24"/>
          <w:szCs w:val="24"/>
        </w:rPr>
        <w:t>Echoviruses</w:t>
      </w:r>
      <w:r w:rsidRPr="00837564">
        <w:rPr>
          <w:rFonts w:ascii="Times New Roman" w:hAnsi="Times New Roman" w:cs="Times New Roman"/>
          <w:sz w:val="24"/>
          <w:szCs w:val="24"/>
        </w:rPr>
        <w:t xml:space="preserve">, and </w:t>
      </w:r>
      <w:r w:rsidRPr="00837564">
        <w:rPr>
          <w:rFonts w:ascii="Times New Roman" w:hAnsi="Times New Roman" w:cs="Times New Roman"/>
          <w:i/>
          <w:iCs/>
          <w:sz w:val="24"/>
          <w:szCs w:val="24"/>
        </w:rPr>
        <w:t>Coxsackievirus B</w:t>
      </w:r>
      <w:r w:rsidRPr="00837564">
        <w:rPr>
          <w:rFonts w:ascii="Times New Roman" w:hAnsi="Times New Roman" w:cs="Times New Roman"/>
          <w:sz w:val="24"/>
          <w:szCs w:val="24"/>
        </w:rPr>
        <w:t xml:space="preserve"> variants [3,4]. The infection demonstrates seasonal variation, with peak incidence during summer and early autumn, and is most commonly observed in children aged one to five years [</w:t>
      </w:r>
      <w:r w:rsidR="00F57E0F">
        <w:rPr>
          <w:rFonts w:ascii="Times New Roman" w:hAnsi="Times New Roman" w:cs="Times New Roman"/>
          <w:sz w:val="24"/>
          <w:szCs w:val="24"/>
        </w:rPr>
        <w:t>5</w:t>
      </w:r>
      <w:r w:rsidRPr="00837564">
        <w:rPr>
          <w:rFonts w:ascii="Times New Roman" w:hAnsi="Times New Roman" w:cs="Times New Roman"/>
          <w:sz w:val="24"/>
          <w:szCs w:val="24"/>
        </w:rPr>
        <w:t xml:space="preserve">]. Transmission occurs primarily via the </w:t>
      </w:r>
      <w:proofErr w:type="spellStart"/>
      <w:r w:rsidRPr="00837564">
        <w:rPr>
          <w:rFonts w:ascii="Times New Roman" w:hAnsi="Times New Roman" w:cs="Times New Roman"/>
          <w:sz w:val="24"/>
          <w:szCs w:val="24"/>
        </w:rPr>
        <w:t>fecal</w:t>
      </w:r>
      <w:proofErr w:type="spellEnd"/>
      <w:r w:rsidRPr="00837564">
        <w:rPr>
          <w:rFonts w:ascii="Times New Roman" w:hAnsi="Times New Roman" w:cs="Times New Roman"/>
          <w:sz w:val="24"/>
          <w:szCs w:val="24"/>
        </w:rPr>
        <w:t>–oral route, but respiratory droplets and contact with contaminated surfaces also play a significant role [</w:t>
      </w:r>
      <w:r w:rsidR="00F57E0F">
        <w:rPr>
          <w:rFonts w:ascii="Times New Roman" w:hAnsi="Times New Roman" w:cs="Times New Roman"/>
          <w:sz w:val="24"/>
          <w:szCs w:val="24"/>
        </w:rPr>
        <w:t>6</w:t>
      </w:r>
      <w:r w:rsidRPr="00837564">
        <w:rPr>
          <w:rFonts w:ascii="Times New Roman" w:hAnsi="Times New Roman" w:cs="Times New Roman"/>
          <w:sz w:val="24"/>
          <w:szCs w:val="24"/>
        </w:rPr>
        <w:t>]. Family clustering is frequent, and a slight male predominance has been reported, with an approximate male-to-female ratio of 1.5:1 [</w:t>
      </w:r>
      <w:r w:rsidR="00F57E0F">
        <w:rPr>
          <w:rFonts w:ascii="Times New Roman" w:hAnsi="Times New Roman" w:cs="Times New Roman"/>
          <w:sz w:val="24"/>
          <w:szCs w:val="24"/>
        </w:rPr>
        <w:t>7</w:t>
      </w:r>
      <w:r w:rsidRPr="00837564">
        <w:rPr>
          <w:rFonts w:ascii="Times New Roman" w:hAnsi="Times New Roman" w:cs="Times New Roman"/>
          <w:sz w:val="24"/>
          <w:szCs w:val="24"/>
        </w:rPr>
        <w:t>].</w:t>
      </w:r>
      <w:r w:rsidRPr="004934D6">
        <w:rPr>
          <w:rFonts w:ascii="Times New Roman" w:hAnsi="Times New Roman" w:cs="Times New Roman"/>
          <w:sz w:val="24"/>
          <w:szCs w:val="24"/>
        </w:rPr>
        <w:t xml:space="preserve"> </w:t>
      </w:r>
      <w:r w:rsidRPr="00837564">
        <w:rPr>
          <w:rFonts w:ascii="Times New Roman" w:hAnsi="Times New Roman" w:cs="Times New Roman"/>
          <w:sz w:val="24"/>
          <w:szCs w:val="24"/>
        </w:rPr>
        <w:t>Herpangina typically begins with a sudden onset of high-grade fever, often reaching up to 40°C, followed by sore throat, oral discomfort, excessive salivation, and refusal to eat [1]. On examination, multiple small vesicular or ulcerative lesions, usually 1–5 mm in size, are observed on the posterior oral cavity, including the soft palate, uvula, and tonsillar pillars, occasionally extending to the buccal mucosa [</w:t>
      </w:r>
      <w:r w:rsidR="00F57E0F">
        <w:rPr>
          <w:rFonts w:ascii="Times New Roman" w:hAnsi="Times New Roman" w:cs="Times New Roman"/>
          <w:sz w:val="24"/>
          <w:szCs w:val="24"/>
        </w:rPr>
        <w:t>8</w:t>
      </w:r>
      <w:r w:rsidRPr="00837564">
        <w:rPr>
          <w:rFonts w:ascii="Times New Roman" w:hAnsi="Times New Roman" w:cs="Times New Roman"/>
          <w:sz w:val="24"/>
          <w:szCs w:val="24"/>
        </w:rPr>
        <w:t>]. Despite its acute presentation, the illness is usually self-limiting, with symptoms resolving within 4–6 days and lesions healing without scarring within a week [</w:t>
      </w:r>
      <w:r w:rsidR="00F57E0F">
        <w:rPr>
          <w:rFonts w:ascii="Times New Roman" w:hAnsi="Times New Roman" w:cs="Times New Roman"/>
          <w:sz w:val="24"/>
          <w:szCs w:val="24"/>
        </w:rPr>
        <w:t>9</w:t>
      </w:r>
      <w:r w:rsidRPr="00837564">
        <w:rPr>
          <w:rFonts w:ascii="Times New Roman" w:hAnsi="Times New Roman" w:cs="Times New Roman"/>
          <w:sz w:val="24"/>
          <w:szCs w:val="24"/>
        </w:rPr>
        <w:t>].</w:t>
      </w:r>
      <w:r w:rsidR="004934D6" w:rsidRPr="004934D6">
        <w:rPr>
          <w:sz w:val="24"/>
          <w:szCs w:val="24"/>
        </w:rPr>
        <w:t xml:space="preserve"> </w:t>
      </w:r>
      <w:r w:rsidR="007E5510" w:rsidRPr="007E5510">
        <w:rPr>
          <w:rFonts w:ascii="Times New Roman" w:hAnsi="Times New Roman" w:cs="Times New Roman"/>
          <w:sz w:val="24"/>
          <w:szCs w:val="24"/>
        </w:rPr>
        <w:t xml:space="preserve">In this case, we report a unique clinical presentation of herpangina in a </w:t>
      </w:r>
      <w:proofErr w:type="spellStart"/>
      <w:r w:rsidR="007E5510" w:rsidRPr="007E5510">
        <w:rPr>
          <w:rFonts w:ascii="Times New Roman" w:hAnsi="Times New Roman" w:cs="Times New Roman"/>
          <w:sz w:val="24"/>
          <w:szCs w:val="24"/>
        </w:rPr>
        <w:t>pediatric</w:t>
      </w:r>
      <w:proofErr w:type="spellEnd"/>
      <w:r w:rsidR="007E5510" w:rsidRPr="007E5510">
        <w:rPr>
          <w:rFonts w:ascii="Times New Roman" w:hAnsi="Times New Roman" w:cs="Times New Roman"/>
          <w:sz w:val="24"/>
          <w:szCs w:val="24"/>
        </w:rPr>
        <w:t xml:space="preserve"> patient where the lesion appeared as a single large ulcer in the posterior oral cavity, which is uncommon compared to the typical presentation of multiple small vesicles. The patient was managed conservatively with supportive care and showed complete recovery within four weeks, consistent with the case details. This highlights the importance of considering herpangina in the differential diagnosis even when the clinical presentation deviates from its classic features.</w:t>
      </w:r>
    </w:p>
    <w:p w14:paraId="7987CE44" w14:textId="77777777" w:rsidR="00D134C4" w:rsidRDefault="00D134C4" w:rsidP="00837564">
      <w:pPr>
        <w:jc w:val="both"/>
        <w:rPr>
          <w:rFonts w:ascii="Times New Roman" w:hAnsi="Times New Roman" w:cs="Times New Roman"/>
          <w:sz w:val="24"/>
          <w:szCs w:val="24"/>
        </w:rPr>
      </w:pPr>
    </w:p>
    <w:p w14:paraId="68FF002E" w14:textId="77777777" w:rsidR="00D134C4" w:rsidRPr="007E5510" w:rsidRDefault="00D134C4" w:rsidP="00837564">
      <w:pPr>
        <w:jc w:val="both"/>
        <w:rPr>
          <w:rFonts w:ascii="Times New Roman" w:hAnsi="Times New Roman" w:cs="Times New Roman"/>
          <w:sz w:val="24"/>
          <w:szCs w:val="24"/>
        </w:rPr>
      </w:pPr>
    </w:p>
    <w:p w14:paraId="7A7CEFCC" w14:textId="4CA182AA" w:rsidR="00837564" w:rsidRPr="00837564" w:rsidRDefault="00837564"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 xml:space="preserve">Case report </w:t>
      </w:r>
    </w:p>
    <w:p w14:paraId="31E4559F" w14:textId="1D61FC6F" w:rsidR="00837564" w:rsidRPr="00837564" w:rsidRDefault="00837564" w:rsidP="00D134C4">
      <w:pPr>
        <w:ind w:firstLine="720"/>
        <w:jc w:val="both"/>
        <w:rPr>
          <w:rFonts w:ascii="Times New Roman" w:hAnsi="Times New Roman" w:cs="Times New Roman"/>
          <w:sz w:val="24"/>
          <w:szCs w:val="24"/>
        </w:rPr>
      </w:pPr>
      <w:r w:rsidRPr="00837564">
        <w:rPr>
          <w:rFonts w:ascii="Times New Roman" w:hAnsi="Times New Roman" w:cs="Times New Roman"/>
          <w:sz w:val="24"/>
          <w:szCs w:val="24"/>
        </w:rPr>
        <w:lastRenderedPageBreak/>
        <w:t>A 7-year-old male patient, reported to the Department of Oral Medicine and Radiology with a chief complaint of pain and burning sensation in the upper jaw region for the past four days. The pain was continuous in nature and aggravated on intake of hot and spicy foods. The patient had a history of fever and throat pain one week prior, for which he consulted a general physician and was prescribed paracetamol. The fever subsided, but throat discomfort persisted. The child’s past medical history was non-contributory. His past dental history revealed pulpectomy with stainless steel crown placement one month earlier and an extraction one year ago.</w:t>
      </w:r>
    </w:p>
    <w:p w14:paraId="1FB57FFE" w14:textId="3CBF70FC" w:rsidR="00837564" w:rsidRDefault="00837564" w:rsidP="00D134C4">
      <w:pPr>
        <w:ind w:firstLine="720"/>
        <w:jc w:val="both"/>
        <w:rPr>
          <w:rFonts w:ascii="Times New Roman" w:hAnsi="Times New Roman" w:cs="Times New Roman"/>
          <w:sz w:val="24"/>
          <w:szCs w:val="24"/>
        </w:rPr>
      </w:pPr>
      <w:r w:rsidRPr="00837564">
        <w:rPr>
          <w:rFonts w:ascii="Times New Roman" w:hAnsi="Times New Roman" w:cs="Times New Roman"/>
          <w:sz w:val="24"/>
          <w:szCs w:val="24"/>
        </w:rPr>
        <w:t xml:space="preserve">On general examination, the patient was conscious, alert, and well oriented with no extraoral abnormalities. Intraoral examination revealed multiple coalescing ulcerations covered with pseudomembranous slough in the left palatal region, measuring approximately 3 × 2 cm, along with a single ulcer measuring 0.5 × 0.5 cm in the left buccal mucosa. </w:t>
      </w:r>
      <w:r w:rsidR="004934D6" w:rsidRPr="004934D6">
        <w:rPr>
          <w:rFonts w:ascii="Times New Roman" w:hAnsi="Times New Roman" w:cs="Times New Roman"/>
          <w:sz w:val="24"/>
          <w:szCs w:val="24"/>
        </w:rPr>
        <w:t xml:space="preserve">[ Figure 1] </w:t>
      </w:r>
      <w:r w:rsidRPr="00837564">
        <w:rPr>
          <w:rFonts w:ascii="Times New Roman" w:hAnsi="Times New Roman" w:cs="Times New Roman"/>
          <w:sz w:val="24"/>
          <w:szCs w:val="24"/>
        </w:rPr>
        <w:t>The lesions were tender on palpation. Hard tissue examination showed dental caries in relation to 54, 55, 51, 61, and 83; stainless steel crowns on 65 and 74; and missing teeth 64 and 75. Based on the clinical features, a provisional diagnosis of herpangina was made, with differentials including herpes simplex infection and lichenoid reaction.</w:t>
      </w:r>
      <w:r w:rsidR="005141AD">
        <w:rPr>
          <w:rFonts w:ascii="Times New Roman" w:hAnsi="Times New Roman" w:cs="Times New Roman"/>
          <w:sz w:val="24"/>
          <w:szCs w:val="24"/>
        </w:rPr>
        <w:t xml:space="preserve"> The herpes simplex infection is considered as the differential diagnosis since the lesion is large comparing to the herpangina which typically occurs as small ulcers. The lichenoid reaction is considered as one of the differential diagnosis since the lesion surrounds the </w:t>
      </w:r>
      <w:r w:rsidR="00D24AE8">
        <w:rPr>
          <w:rFonts w:ascii="Times New Roman" w:hAnsi="Times New Roman" w:cs="Times New Roman"/>
          <w:sz w:val="24"/>
          <w:szCs w:val="24"/>
        </w:rPr>
        <w:t>stainless-steel</w:t>
      </w:r>
      <w:r w:rsidR="005141AD">
        <w:rPr>
          <w:rFonts w:ascii="Times New Roman" w:hAnsi="Times New Roman" w:cs="Times New Roman"/>
          <w:sz w:val="24"/>
          <w:szCs w:val="24"/>
        </w:rPr>
        <w:t xml:space="preserve"> crown in the 65 </w:t>
      </w:r>
      <w:proofErr w:type="gramStart"/>
      <w:r w:rsidR="005141AD">
        <w:rPr>
          <w:rFonts w:ascii="Times New Roman" w:hAnsi="Times New Roman" w:cs="Times New Roman"/>
          <w:sz w:val="24"/>
          <w:szCs w:val="24"/>
        </w:rPr>
        <w:t>region</w:t>
      </w:r>
      <w:proofErr w:type="gramEnd"/>
      <w:r w:rsidR="005141AD">
        <w:rPr>
          <w:rFonts w:ascii="Times New Roman" w:hAnsi="Times New Roman" w:cs="Times New Roman"/>
          <w:sz w:val="24"/>
          <w:szCs w:val="24"/>
        </w:rPr>
        <w:t>.</w:t>
      </w:r>
    </w:p>
    <w:p w14:paraId="40E76A90" w14:textId="77777777" w:rsidR="005B7E4B" w:rsidRDefault="005B7E4B" w:rsidP="005B7E4B">
      <w:pPr>
        <w:keepNext/>
        <w:jc w:val="center"/>
      </w:pPr>
      <w:r>
        <w:rPr>
          <w:noProof/>
          <w:lang w:val="en-US"/>
        </w:rPr>
        <w:drawing>
          <wp:inline distT="0" distB="0" distL="0" distR="0" wp14:anchorId="05127025" wp14:editId="4D5D5698">
            <wp:extent cx="4745444" cy="1955800"/>
            <wp:effectExtent l="0" t="0" r="0" b="6350"/>
            <wp:docPr id="40007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74231" name=""/>
                    <pic:cNvPicPr/>
                  </pic:nvPicPr>
                  <pic:blipFill>
                    <a:blip r:embed="rId8"/>
                    <a:stretch>
                      <a:fillRect/>
                    </a:stretch>
                  </pic:blipFill>
                  <pic:spPr>
                    <a:xfrm>
                      <a:off x="0" y="0"/>
                      <a:ext cx="4766221" cy="1964363"/>
                    </a:xfrm>
                    <a:prstGeom prst="rect">
                      <a:avLst/>
                    </a:prstGeom>
                  </pic:spPr>
                </pic:pic>
              </a:graphicData>
            </a:graphic>
          </wp:inline>
        </w:drawing>
      </w:r>
    </w:p>
    <w:p w14:paraId="227B1AAD" w14:textId="6313789F" w:rsidR="005B7E4B" w:rsidRPr="00837564"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1</w:t>
        </w:r>
      </w:fldSimple>
      <w:r>
        <w:t xml:space="preserve"> A:  Multiple coalescing ulcerations in the left palate region</w:t>
      </w:r>
      <w:r>
        <w:rPr>
          <w:noProof/>
        </w:rPr>
        <w:t xml:space="preserve"> B: Ulcer in the left buccal mucosa</w:t>
      </w:r>
    </w:p>
    <w:p w14:paraId="4E2F5559" w14:textId="7C9D8451" w:rsidR="005B7E4B" w:rsidRDefault="00837564" w:rsidP="00D134C4">
      <w:pPr>
        <w:ind w:firstLine="720"/>
        <w:jc w:val="both"/>
        <w:rPr>
          <w:rFonts w:ascii="Times New Roman" w:hAnsi="Times New Roman" w:cs="Times New Roman"/>
          <w:sz w:val="24"/>
          <w:szCs w:val="24"/>
        </w:rPr>
      </w:pPr>
      <w:r w:rsidRPr="00837564">
        <w:rPr>
          <w:rFonts w:ascii="Times New Roman" w:hAnsi="Times New Roman" w:cs="Times New Roman"/>
          <w:sz w:val="24"/>
          <w:szCs w:val="24"/>
        </w:rPr>
        <w:t xml:space="preserve">The patient was prescribed chlorhexidine 0.12% mouthwash twice daily, </w:t>
      </w:r>
      <w:proofErr w:type="spellStart"/>
      <w:r w:rsidRPr="00837564">
        <w:rPr>
          <w:rFonts w:ascii="Times New Roman" w:hAnsi="Times New Roman" w:cs="Times New Roman"/>
          <w:sz w:val="24"/>
          <w:szCs w:val="24"/>
        </w:rPr>
        <w:t>mucopain</w:t>
      </w:r>
      <w:proofErr w:type="spellEnd"/>
      <w:r w:rsidRPr="00837564">
        <w:rPr>
          <w:rFonts w:ascii="Times New Roman" w:hAnsi="Times New Roman" w:cs="Times New Roman"/>
          <w:sz w:val="24"/>
          <w:szCs w:val="24"/>
        </w:rPr>
        <w:t xml:space="preserve"> gel prior to meals, topical acyclovir ointment once daily at night, and paracetamol syrup (</w:t>
      </w:r>
      <w:proofErr w:type="spellStart"/>
      <w:r w:rsidRPr="00837564">
        <w:rPr>
          <w:rFonts w:ascii="Times New Roman" w:hAnsi="Times New Roman" w:cs="Times New Roman"/>
          <w:sz w:val="24"/>
          <w:szCs w:val="24"/>
        </w:rPr>
        <w:t>Paracip</w:t>
      </w:r>
      <w:proofErr w:type="spellEnd"/>
      <w:r w:rsidRPr="00837564">
        <w:rPr>
          <w:rFonts w:ascii="Times New Roman" w:hAnsi="Times New Roman" w:cs="Times New Roman"/>
          <w:sz w:val="24"/>
          <w:szCs w:val="24"/>
        </w:rPr>
        <w:t xml:space="preserve"> 125) to be taken only if fever recurred. On review after three days, there was a mild reduction in symptoms with persistence of erythema in the palate.</w:t>
      </w:r>
      <w:r w:rsidR="007E5510" w:rsidRPr="007E5510">
        <w:rPr>
          <w:rFonts w:ascii="Times New Roman" w:hAnsi="Times New Roman" w:cs="Times New Roman"/>
          <w:sz w:val="24"/>
          <w:szCs w:val="24"/>
        </w:rPr>
        <w:t xml:space="preserve"> </w:t>
      </w:r>
      <w:r w:rsidR="007E5510" w:rsidRPr="004934D6">
        <w:rPr>
          <w:rFonts w:ascii="Times New Roman" w:hAnsi="Times New Roman" w:cs="Times New Roman"/>
          <w:sz w:val="24"/>
          <w:szCs w:val="24"/>
        </w:rPr>
        <w:t>[figure 2]</w:t>
      </w:r>
      <w:r w:rsidRPr="00837564">
        <w:rPr>
          <w:rFonts w:ascii="Times New Roman" w:hAnsi="Times New Roman" w:cs="Times New Roman"/>
          <w:sz w:val="24"/>
          <w:szCs w:val="24"/>
        </w:rPr>
        <w:t xml:space="preserve"> The </w:t>
      </w:r>
      <w:r w:rsidR="004934D6" w:rsidRPr="004934D6">
        <w:rPr>
          <w:rFonts w:ascii="Times New Roman" w:hAnsi="Times New Roman" w:cs="Times New Roman"/>
          <w:sz w:val="24"/>
          <w:szCs w:val="24"/>
        </w:rPr>
        <w:t>stainless-steel</w:t>
      </w:r>
      <w:r w:rsidRPr="00837564">
        <w:rPr>
          <w:rFonts w:ascii="Times New Roman" w:hAnsi="Times New Roman" w:cs="Times New Roman"/>
          <w:sz w:val="24"/>
          <w:szCs w:val="24"/>
        </w:rPr>
        <w:t xml:space="preserve"> crown on 65 was removed</w:t>
      </w:r>
      <w:r w:rsidR="005141AD">
        <w:rPr>
          <w:rFonts w:ascii="Times New Roman" w:hAnsi="Times New Roman" w:cs="Times New Roman"/>
          <w:sz w:val="24"/>
          <w:szCs w:val="24"/>
        </w:rPr>
        <w:t xml:space="preserve">. </w:t>
      </w:r>
      <w:r w:rsidR="004934D6" w:rsidRPr="004934D6">
        <w:rPr>
          <w:rFonts w:ascii="Times New Roman" w:hAnsi="Times New Roman" w:cs="Times New Roman"/>
          <w:sz w:val="24"/>
          <w:szCs w:val="24"/>
        </w:rPr>
        <w:t xml:space="preserve"> </w:t>
      </w:r>
    </w:p>
    <w:p w14:paraId="6EC65E58" w14:textId="77777777" w:rsidR="005B7E4B" w:rsidRDefault="005B7E4B" w:rsidP="005B7E4B">
      <w:pPr>
        <w:keepNext/>
        <w:jc w:val="center"/>
      </w:pPr>
      <w:r>
        <w:rPr>
          <w:noProof/>
          <w:lang w:val="en-US"/>
        </w:rPr>
        <w:lastRenderedPageBreak/>
        <w:drawing>
          <wp:inline distT="0" distB="0" distL="0" distR="0" wp14:anchorId="3A76CDC8" wp14:editId="13E38ED4">
            <wp:extent cx="2082800" cy="1966008"/>
            <wp:effectExtent l="0" t="0" r="0" b="0"/>
            <wp:docPr id="1151777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5" t="16352" r="14147" b="20116"/>
                    <a:stretch>
                      <a:fillRect/>
                    </a:stretch>
                  </pic:blipFill>
                  <pic:spPr bwMode="auto">
                    <a:xfrm>
                      <a:off x="0" y="0"/>
                      <a:ext cx="2093589" cy="1976192"/>
                    </a:xfrm>
                    <a:prstGeom prst="rect">
                      <a:avLst/>
                    </a:prstGeom>
                    <a:noFill/>
                    <a:ln>
                      <a:noFill/>
                    </a:ln>
                    <a:extLst>
                      <a:ext uri="{53640926-AAD7-44D8-BBD7-CCE9431645EC}">
                        <a14:shadowObscured xmlns:a14="http://schemas.microsoft.com/office/drawing/2010/main"/>
                      </a:ext>
                    </a:extLst>
                  </pic:spPr>
                </pic:pic>
              </a:graphicData>
            </a:graphic>
          </wp:inline>
        </w:drawing>
      </w:r>
    </w:p>
    <w:p w14:paraId="6B3F4BF0" w14:textId="61ACB355" w:rsidR="005B7E4B"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2</w:t>
        </w:r>
      </w:fldSimple>
      <w:r>
        <w:t xml:space="preserve"> Healing of ulcers in the left palate region</w:t>
      </w:r>
    </w:p>
    <w:p w14:paraId="165B6963" w14:textId="7D511963" w:rsidR="004934D6"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At the subsequent follow-up </w:t>
      </w:r>
      <w:r w:rsidR="004934D6" w:rsidRPr="004934D6">
        <w:rPr>
          <w:rFonts w:ascii="Times New Roman" w:hAnsi="Times New Roman" w:cs="Times New Roman"/>
          <w:sz w:val="24"/>
          <w:szCs w:val="24"/>
        </w:rPr>
        <w:t>after 1 week</w:t>
      </w:r>
      <w:r w:rsidRPr="00837564">
        <w:rPr>
          <w:rFonts w:ascii="Times New Roman" w:hAnsi="Times New Roman" w:cs="Times New Roman"/>
          <w:sz w:val="24"/>
          <w:szCs w:val="24"/>
        </w:rPr>
        <w:t xml:space="preserve">, the patient reported symptomatic relief with reduction of palatal and buccal mucosal lesions, and continuation of the previous regimen was advised. </w:t>
      </w:r>
      <w:r w:rsidR="004934D6" w:rsidRPr="004934D6">
        <w:rPr>
          <w:rFonts w:ascii="Times New Roman" w:hAnsi="Times New Roman" w:cs="Times New Roman"/>
          <w:sz w:val="24"/>
          <w:szCs w:val="24"/>
        </w:rPr>
        <w:t>After 4 weeks</w:t>
      </w:r>
      <w:r w:rsidRPr="00837564">
        <w:rPr>
          <w:rFonts w:ascii="Times New Roman" w:hAnsi="Times New Roman" w:cs="Times New Roman"/>
          <w:sz w:val="24"/>
          <w:szCs w:val="24"/>
        </w:rPr>
        <w:t>, the patient was asymptomatic with satisfactory healing</w:t>
      </w:r>
      <w:r w:rsidR="004934D6" w:rsidRPr="004934D6">
        <w:rPr>
          <w:rFonts w:ascii="Times New Roman" w:hAnsi="Times New Roman" w:cs="Times New Roman"/>
          <w:sz w:val="24"/>
          <w:szCs w:val="24"/>
        </w:rPr>
        <w:t xml:space="preserve"> [figure 3</w:t>
      </w:r>
      <w:r w:rsidR="007E5510">
        <w:rPr>
          <w:rFonts w:ascii="Times New Roman" w:hAnsi="Times New Roman" w:cs="Times New Roman"/>
          <w:sz w:val="24"/>
          <w:szCs w:val="24"/>
        </w:rPr>
        <w:t xml:space="preserve"> A and B</w:t>
      </w:r>
      <w:r w:rsidR="004934D6" w:rsidRPr="004934D6">
        <w:rPr>
          <w:rFonts w:ascii="Times New Roman" w:hAnsi="Times New Roman" w:cs="Times New Roman"/>
          <w:sz w:val="24"/>
          <w:szCs w:val="24"/>
        </w:rPr>
        <w:t>]</w:t>
      </w:r>
    </w:p>
    <w:p w14:paraId="03B26E24" w14:textId="77777777" w:rsidR="005B7E4B" w:rsidRDefault="005B7E4B" w:rsidP="00837564">
      <w:pPr>
        <w:jc w:val="both"/>
        <w:rPr>
          <w:rFonts w:ascii="Times New Roman" w:hAnsi="Times New Roman" w:cs="Times New Roman"/>
          <w:sz w:val="24"/>
          <w:szCs w:val="24"/>
        </w:rPr>
      </w:pPr>
    </w:p>
    <w:p w14:paraId="03A04468" w14:textId="77777777" w:rsidR="005B7E4B" w:rsidRDefault="005B7E4B" w:rsidP="005B7E4B">
      <w:pPr>
        <w:keepNext/>
        <w:jc w:val="center"/>
      </w:pPr>
      <w:r w:rsidRPr="005B7E4B">
        <w:rPr>
          <w:noProof/>
          <w:lang w:val="en-US"/>
        </w:rPr>
        <w:drawing>
          <wp:inline distT="0" distB="0" distL="0" distR="0" wp14:anchorId="72C47BC5" wp14:editId="3981DBAF">
            <wp:extent cx="4867983" cy="1993900"/>
            <wp:effectExtent l="0" t="0" r="8890" b="6350"/>
            <wp:docPr id="125837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2635" name=""/>
                    <pic:cNvPicPr/>
                  </pic:nvPicPr>
                  <pic:blipFill>
                    <a:blip r:embed="rId10"/>
                    <a:stretch>
                      <a:fillRect/>
                    </a:stretch>
                  </pic:blipFill>
                  <pic:spPr>
                    <a:xfrm>
                      <a:off x="0" y="0"/>
                      <a:ext cx="4877966" cy="1997989"/>
                    </a:xfrm>
                    <a:prstGeom prst="rect">
                      <a:avLst/>
                    </a:prstGeom>
                  </pic:spPr>
                </pic:pic>
              </a:graphicData>
            </a:graphic>
          </wp:inline>
        </w:drawing>
      </w:r>
    </w:p>
    <w:p w14:paraId="107F99C0" w14:textId="72BF4A97" w:rsidR="005B7E4B" w:rsidRPr="004934D6"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3</w:t>
        </w:r>
      </w:fldSimple>
      <w:r>
        <w:t xml:space="preserve"> Completely healed site in the left palate and left buccal mucosa region</w:t>
      </w:r>
    </w:p>
    <w:p w14:paraId="3F4CC410" w14:textId="259FAAC7" w:rsidR="004934D6" w:rsidRPr="004934D6" w:rsidRDefault="004934D6"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Discussion</w:t>
      </w:r>
    </w:p>
    <w:p w14:paraId="0B870B3A" w14:textId="4BE6A9A5"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Diagnostic Approaches</w:t>
      </w:r>
    </w:p>
    <w:p w14:paraId="56C676E0"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Clinical Diagnosis</w:t>
      </w:r>
    </w:p>
    <w:p w14:paraId="16CB622B" w14:textId="0CAA982A"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Diagnosis is primarily clinical, based on the characteristic triad of fever, sore throat, and posterior oropharyngeal vesicles, along with knowledge of seasonal outbreaks [</w:t>
      </w:r>
      <w:r w:rsidR="00F57E0F">
        <w:rPr>
          <w:rFonts w:ascii="Times New Roman" w:hAnsi="Times New Roman" w:cs="Times New Roman"/>
          <w:sz w:val="24"/>
          <w:szCs w:val="24"/>
        </w:rPr>
        <w:t>10</w:t>
      </w:r>
      <w:r w:rsidRPr="00837564">
        <w:rPr>
          <w:rFonts w:ascii="Times New Roman" w:hAnsi="Times New Roman" w:cs="Times New Roman"/>
          <w:sz w:val="24"/>
          <w:szCs w:val="24"/>
        </w:rPr>
        <w:t>].</w:t>
      </w:r>
    </w:p>
    <w:p w14:paraId="1381C997"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Laboratory Diagnosis</w:t>
      </w:r>
    </w:p>
    <w:p w14:paraId="751F61A5" w14:textId="1248DB82"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Although rarely required, laboratory confirmation is useful in atypical or outbreak scenarios. Real-time RT-PCR remains the gold standard for detecting enteroviral RNA due to its high sensitivity and specificity [</w:t>
      </w:r>
      <w:r w:rsidR="00F57E0F">
        <w:rPr>
          <w:rFonts w:ascii="Times New Roman" w:hAnsi="Times New Roman" w:cs="Times New Roman"/>
          <w:sz w:val="24"/>
          <w:szCs w:val="24"/>
        </w:rPr>
        <w:t>11</w:t>
      </w:r>
      <w:r w:rsidRPr="00837564">
        <w:rPr>
          <w:rFonts w:ascii="Times New Roman" w:hAnsi="Times New Roman" w:cs="Times New Roman"/>
          <w:sz w:val="24"/>
          <w:szCs w:val="24"/>
        </w:rPr>
        <w:t>]. Virus isolation through cell culture and VP1 gene sequencing may aid in viral subtyping and epidemiological studies, though these are less commonly performed [</w:t>
      </w:r>
      <w:r w:rsidR="00F57E0F">
        <w:rPr>
          <w:rFonts w:ascii="Times New Roman" w:hAnsi="Times New Roman" w:cs="Times New Roman"/>
          <w:sz w:val="24"/>
          <w:szCs w:val="24"/>
        </w:rPr>
        <w:t>12</w:t>
      </w:r>
      <w:r w:rsidRPr="00837564">
        <w:rPr>
          <w:rFonts w:ascii="Times New Roman" w:hAnsi="Times New Roman" w:cs="Times New Roman"/>
          <w:sz w:val="24"/>
          <w:szCs w:val="24"/>
        </w:rPr>
        <w:t>]. Throat or nasopharyngeal swabs collected within five days of symptom onset improve detection rates significantly [1</w:t>
      </w:r>
      <w:r w:rsidR="00F57E0F">
        <w:rPr>
          <w:rFonts w:ascii="Times New Roman" w:hAnsi="Times New Roman" w:cs="Times New Roman"/>
          <w:sz w:val="24"/>
          <w:szCs w:val="24"/>
        </w:rPr>
        <w:t>2</w:t>
      </w:r>
      <w:r w:rsidRPr="00837564">
        <w:rPr>
          <w:rFonts w:ascii="Times New Roman" w:hAnsi="Times New Roman" w:cs="Times New Roman"/>
          <w:sz w:val="24"/>
          <w:szCs w:val="24"/>
        </w:rPr>
        <w:t>].</w:t>
      </w:r>
    </w:p>
    <w:p w14:paraId="4FF1F532"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lastRenderedPageBreak/>
        <w:t>Differential Diagnosis</w:t>
      </w:r>
    </w:p>
    <w:p w14:paraId="1DD91118" w14:textId="7A0249C2" w:rsid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Herpangina must be differentiated from other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oral lesions. Primary herpetic gingivostomatitis presents with anterior oral lesions caused by herpes simplex virus [1</w:t>
      </w:r>
      <w:r w:rsidR="00F57E0F">
        <w:rPr>
          <w:rFonts w:ascii="Times New Roman" w:hAnsi="Times New Roman" w:cs="Times New Roman"/>
          <w:sz w:val="24"/>
          <w:szCs w:val="24"/>
        </w:rPr>
        <w:t>3</w:t>
      </w:r>
      <w:r w:rsidRPr="00837564">
        <w:rPr>
          <w:rFonts w:ascii="Times New Roman" w:hAnsi="Times New Roman" w:cs="Times New Roman"/>
          <w:sz w:val="24"/>
          <w:szCs w:val="24"/>
        </w:rPr>
        <w:t>]. Hand, Foot, and Mouth Disease (HFMD) shares similar oral findings but includes vesicular lesions on the hands and feet [1</w:t>
      </w:r>
      <w:r w:rsidR="00F57E0F">
        <w:rPr>
          <w:rFonts w:ascii="Times New Roman" w:hAnsi="Times New Roman" w:cs="Times New Roman"/>
          <w:sz w:val="24"/>
          <w:szCs w:val="24"/>
        </w:rPr>
        <w:t>3</w:t>
      </w:r>
      <w:r w:rsidRPr="00837564">
        <w:rPr>
          <w:rFonts w:ascii="Times New Roman" w:hAnsi="Times New Roman" w:cs="Times New Roman"/>
          <w:sz w:val="24"/>
          <w:szCs w:val="24"/>
        </w:rPr>
        <w:t>]. Aphthous stomatitis presents with recurrent ulcers unrelated to fever, while bacterial pharyngitis requires throat culture or rapid antigen testing for confirmation [</w:t>
      </w:r>
      <w:r w:rsidR="00F57E0F">
        <w:rPr>
          <w:rFonts w:ascii="Times New Roman" w:hAnsi="Times New Roman" w:cs="Times New Roman"/>
          <w:sz w:val="24"/>
          <w:szCs w:val="24"/>
        </w:rPr>
        <w:t>14]</w:t>
      </w:r>
      <w:r w:rsidRPr="00837564">
        <w:rPr>
          <w:rFonts w:ascii="Times New Roman" w:hAnsi="Times New Roman" w:cs="Times New Roman"/>
          <w:sz w:val="24"/>
          <w:szCs w:val="24"/>
        </w:rPr>
        <w:t>.</w:t>
      </w:r>
    </w:p>
    <w:p w14:paraId="6D13DC9A" w14:textId="415975F3" w:rsidR="00FB2022" w:rsidRPr="00FB2022" w:rsidRDefault="00FB2022" w:rsidP="00FB2022">
      <w:pPr>
        <w:ind w:firstLine="720"/>
        <w:jc w:val="both"/>
        <w:rPr>
          <w:rFonts w:ascii="Times New Roman" w:hAnsi="Times New Roman" w:cs="Times New Roman"/>
          <w:sz w:val="24"/>
          <w:szCs w:val="24"/>
        </w:rPr>
      </w:pPr>
      <w:r w:rsidRPr="00FB2022">
        <w:rPr>
          <w:rFonts w:ascii="Times New Roman" w:hAnsi="Times New Roman" w:cs="Times New Roman"/>
          <w:sz w:val="24"/>
          <w:szCs w:val="24"/>
        </w:rPr>
        <w:t>In this case report, Among the differential diagnoses, herpetic gingivostomatitis was initially considered, as herpes simplex virus (HSV) infections can present with oral ulcers. However, HSV lesions are typically seen on the anterior oral cavity—especially the gingiva and labial mucosa—and are often clustered vesicles that rupture to form multiple small ulcers. In contrast, our patient had an isolated solitary ulcer on the posterior palate without any gingival involvement, making HSV infection less likely</w:t>
      </w:r>
      <w:r>
        <w:rPr>
          <w:rFonts w:ascii="Times New Roman" w:hAnsi="Times New Roman" w:cs="Times New Roman"/>
          <w:sz w:val="24"/>
          <w:szCs w:val="24"/>
        </w:rPr>
        <w:t xml:space="preserve"> </w:t>
      </w:r>
      <w:r w:rsidRPr="00837564">
        <w:rPr>
          <w:rFonts w:ascii="Times New Roman" w:hAnsi="Times New Roman" w:cs="Times New Roman"/>
          <w:sz w:val="24"/>
          <w:szCs w:val="24"/>
        </w:rPr>
        <w:t>[</w:t>
      </w:r>
      <w:r>
        <w:rPr>
          <w:rFonts w:ascii="Times New Roman" w:hAnsi="Times New Roman" w:cs="Times New Roman"/>
          <w:sz w:val="24"/>
          <w:szCs w:val="24"/>
        </w:rPr>
        <w:t>15].</w:t>
      </w:r>
    </w:p>
    <w:p w14:paraId="012C152B" w14:textId="1334C3A1" w:rsidR="00632AF8" w:rsidRPr="00FB2022" w:rsidRDefault="00FB2022" w:rsidP="00632AF8">
      <w:pPr>
        <w:ind w:firstLine="720"/>
        <w:jc w:val="both"/>
        <w:rPr>
          <w:rFonts w:ascii="Times New Roman" w:hAnsi="Times New Roman" w:cs="Times New Roman"/>
          <w:sz w:val="24"/>
          <w:szCs w:val="24"/>
        </w:rPr>
      </w:pPr>
      <w:r w:rsidRPr="00FB2022">
        <w:rPr>
          <w:rFonts w:ascii="Times New Roman" w:hAnsi="Times New Roman" w:cs="Times New Roman"/>
          <w:sz w:val="24"/>
          <w:szCs w:val="24"/>
        </w:rPr>
        <w:t>Similarly, a lichenoid reaction associated with the stainless-steel crown on a primary molar was considered. Lichenoid reactions typically manifest as reticular white striae, erythematous patches, or shallow ulcerations adjacent to the metallic restoration. In this case, the lesion was located far from the restoration site, and the clinical appearance was inconsistent with typical lichenoid lesions, thus effectively ruling it out</w:t>
      </w:r>
      <w:r>
        <w:rPr>
          <w:rFonts w:ascii="Times New Roman" w:hAnsi="Times New Roman" w:cs="Times New Roman"/>
          <w:sz w:val="24"/>
          <w:szCs w:val="24"/>
        </w:rPr>
        <w:t xml:space="preserve"> </w:t>
      </w:r>
      <w:r w:rsidRPr="00837564">
        <w:rPr>
          <w:rFonts w:ascii="Times New Roman" w:hAnsi="Times New Roman" w:cs="Times New Roman"/>
          <w:sz w:val="24"/>
          <w:szCs w:val="24"/>
        </w:rPr>
        <w:t>[</w:t>
      </w:r>
      <w:r>
        <w:rPr>
          <w:rFonts w:ascii="Times New Roman" w:hAnsi="Times New Roman" w:cs="Times New Roman"/>
          <w:sz w:val="24"/>
          <w:szCs w:val="24"/>
        </w:rPr>
        <w:t>16]</w:t>
      </w:r>
      <w:r w:rsidRPr="00FB2022">
        <w:rPr>
          <w:rFonts w:ascii="Times New Roman" w:hAnsi="Times New Roman" w:cs="Times New Roman"/>
          <w:sz w:val="24"/>
          <w:szCs w:val="24"/>
        </w:rPr>
        <w:t>.</w:t>
      </w:r>
    </w:p>
    <w:p w14:paraId="58690BE8" w14:textId="77777777" w:rsidR="00FB2022" w:rsidRPr="004934D6" w:rsidRDefault="00FB2022" w:rsidP="00837564">
      <w:pPr>
        <w:jc w:val="both"/>
        <w:rPr>
          <w:rFonts w:ascii="Times New Roman" w:hAnsi="Times New Roman" w:cs="Times New Roman"/>
          <w:sz w:val="24"/>
          <w:szCs w:val="24"/>
        </w:rPr>
      </w:pPr>
    </w:p>
    <w:p w14:paraId="273A6160"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Treatment and Management</w:t>
      </w:r>
    </w:p>
    <w:p w14:paraId="05B6706D" w14:textId="0669C503"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There is currently no specific antiviral therapy for herpangina, and treatment remains primarily supportive, focusing on symptom relief and prevention of complications [1</w:t>
      </w:r>
      <w:r w:rsidR="00F57E0F">
        <w:rPr>
          <w:rFonts w:ascii="Times New Roman" w:hAnsi="Times New Roman" w:cs="Times New Roman"/>
          <w:sz w:val="24"/>
          <w:szCs w:val="24"/>
        </w:rPr>
        <w:t>,1</w:t>
      </w:r>
      <w:r w:rsidR="00FB2022">
        <w:rPr>
          <w:rFonts w:ascii="Times New Roman" w:hAnsi="Times New Roman" w:cs="Times New Roman"/>
          <w:sz w:val="24"/>
          <w:szCs w:val="24"/>
        </w:rPr>
        <w:t>7</w:t>
      </w:r>
      <w:r w:rsidRPr="00837564">
        <w:rPr>
          <w:rFonts w:ascii="Times New Roman" w:hAnsi="Times New Roman" w:cs="Times New Roman"/>
          <w:sz w:val="24"/>
          <w:szCs w:val="24"/>
        </w:rPr>
        <w:t xml:space="preserve">]. Antipyretics such as paracetamol are commonly used to control fever and discomfort, while topical oral </w:t>
      </w:r>
      <w:proofErr w:type="spellStart"/>
      <w:r w:rsidRPr="00837564">
        <w:rPr>
          <w:rFonts w:ascii="Times New Roman" w:hAnsi="Times New Roman" w:cs="Times New Roman"/>
          <w:sz w:val="24"/>
          <w:szCs w:val="24"/>
        </w:rPr>
        <w:t>anesthetics</w:t>
      </w:r>
      <w:proofErr w:type="spellEnd"/>
      <w:r w:rsidRPr="00837564">
        <w:rPr>
          <w:rFonts w:ascii="Times New Roman" w:hAnsi="Times New Roman" w:cs="Times New Roman"/>
          <w:sz w:val="24"/>
          <w:szCs w:val="24"/>
        </w:rPr>
        <w:t xml:space="preserve"> may be applied before meals to reduce pain and improve feeding. Adequate hydration and a soft diet are essential to prevent dehydration and minimize oral trauma. Recent studies have evaluated adjunctive interventions, including </w:t>
      </w:r>
      <w:r w:rsidRPr="00837564">
        <w:rPr>
          <w:rFonts w:ascii="Times New Roman" w:hAnsi="Times New Roman" w:cs="Times New Roman"/>
          <w:b/>
          <w:bCs/>
          <w:sz w:val="24"/>
          <w:szCs w:val="24"/>
        </w:rPr>
        <w:t>hyaluronic acid sprays</w:t>
      </w:r>
      <w:r w:rsidRPr="00837564">
        <w:rPr>
          <w:rFonts w:ascii="Times New Roman" w:hAnsi="Times New Roman" w:cs="Times New Roman"/>
          <w:sz w:val="24"/>
          <w:szCs w:val="24"/>
        </w:rPr>
        <w:t>, which promote mucosal healing [</w:t>
      </w:r>
      <w:r w:rsidR="00F57E0F">
        <w:rPr>
          <w:rFonts w:ascii="Times New Roman" w:hAnsi="Times New Roman" w:cs="Times New Roman"/>
          <w:sz w:val="24"/>
          <w:szCs w:val="24"/>
        </w:rPr>
        <w:t>1</w:t>
      </w:r>
      <w:r w:rsidR="00FB2022">
        <w:rPr>
          <w:rFonts w:ascii="Times New Roman" w:hAnsi="Times New Roman" w:cs="Times New Roman"/>
          <w:sz w:val="24"/>
          <w:szCs w:val="24"/>
        </w:rPr>
        <w:t>7</w:t>
      </w:r>
      <w:r w:rsidRPr="00837564">
        <w:rPr>
          <w:rFonts w:ascii="Times New Roman" w:hAnsi="Times New Roman" w:cs="Times New Roman"/>
          <w:sz w:val="24"/>
          <w:szCs w:val="24"/>
        </w:rPr>
        <w:t xml:space="preserve">], </w:t>
      </w:r>
      <w:r w:rsidRPr="00837564">
        <w:rPr>
          <w:rFonts w:ascii="Times New Roman" w:hAnsi="Times New Roman" w:cs="Times New Roman"/>
          <w:b/>
          <w:bCs/>
          <w:sz w:val="24"/>
          <w:szCs w:val="24"/>
        </w:rPr>
        <w:t>interferon α-2b oral sprays</w:t>
      </w:r>
      <w:r w:rsidRPr="00837564">
        <w:rPr>
          <w:rFonts w:ascii="Times New Roman" w:hAnsi="Times New Roman" w:cs="Times New Roman"/>
          <w:sz w:val="24"/>
          <w:szCs w:val="24"/>
        </w:rPr>
        <w:t>, shown to shorten symptom duration</w:t>
      </w:r>
      <w:r w:rsidR="00F57E0F">
        <w:rPr>
          <w:rFonts w:ascii="Times New Roman" w:hAnsi="Times New Roman" w:cs="Times New Roman"/>
          <w:sz w:val="24"/>
          <w:szCs w:val="24"/>
        </w:rPr>
        <w:t xml:space="preserve">, </w:t>
      </w:r>
      <w:r w:rsidRPr="00837564">
        <w:rPr>
          <w:rFonts w:ascii="Times New Roman" w:hAnsi="Times New Roman" w:cs="Times New Roman"/>
          <w:sz w:val="24"/>
          <w:szCs w:val="24"/>
        </w:rPr>
        <w:t xml:space="preserve">and </w:t>
      </w:r>
      <w:r w:rsidRPr="00837564">
        <w:rPr>
          <w:rFonts w:ascii="Times New Roman" w:hAnsi="Times New Roman" w:cs="Times New Roman"/>
          <w:b/>
          <w:bCs/>
          <w:sz w:val="24"/>
          <w:szCs w:val="24"/>
        </w:rPr>
        <w:t>vitamin C supplementation</w:t>
      </w:r>
      <w:r w:rsidRPr="00837564">
        <w:rPr>
          <w:rFonts w:ascii="Times New Roman" w:hAnsi="Times New Roman" w:cs="Times New Roman"/>
          <w:sz w:val="24"/>
          <w:szCs w:val="24"/>
        </w:rPr>
        <w:t xml:space="preserve"> to enhance immune </w:t>
      </w:r>
      <w:r w:rsidR="000B6C2F" w:rsidRPr="00837564">
        <w:rPr>
          <w:rFonts w:ascii="Times New Roman" w:hAnsi="Times New Roman" w:cs="Times New Roman"/>
          <w:sz w:val="24"/>
          <w:szCs w:val="24"/>
        </w:rPr>
        <w:t>recovery.</w:t>
      </w:r>
      <w:r w:rsidRPr="00837564">
        <w:rPr>
          <w:rFonts w:ascii="Times New Roman" w:hAnsi="Times New Roman" w:cs="Times New Roman"/>
          <w:sz w:val="24"/>
          <w:szCs w:val="24"/>
        </w:rPr>
        <w:t xml:space="preserve"> Family </w:t>
      </w:r>
      <w:proofErr w:type="spellStart"/>
      <w:r w:rsidRPr="00837564">
        <w:rPr>
          <w:rFonts w:ascii="Times New Roman" w:hAnsi="Times New Roman" w:cs="Times New Roman"/>
          <w:sz w:val="24"/>
          <w:szCs w:val="24"/>
        </w:rPr>
        <w:t>counseling</w:t>
      </w:r>
      <w:proofErr w:type="spellEnd"/>
      <w:r w:rsidRPr="00837564">
        <w:rPr>
          <w:rFonts w:ascii="Times New Roman" w:hAnsi="Times New Roman" w:cs="Times New Roman"/>
          <w:sz w:val="24"/>
          <w:szCs w:val="24"/>
        </w:rPr>
        <w:t xml:space="preserve"> is an integral component, emphasizing proper hygiene, avoidance of contact with infected individuals, and close monitoring for complications.</w:t>
      </w:r>
      <w:r w:rsidR="000B6C2F">
        <w:rPr>
          <w:rFonts w:ascii="Times New Roman" w:hAnsi="Times New Roman" w:cs="Times New Roman"/>
          <w:sz w:val="24"/>
          <w:szCs w:val="24"/>
        </w:rPr>
        <w:t>[12]</w:t>
      </w:r>
    </w:p>
    <w:p w14:paraId="4303C330" w14:textId="30D18B72" w:rsidR="00837564" w:rsidRPr="00837564" w:rsidRDefault="00837564" w:rsidP="00837564">
      <w:pPr>
        <w:jc w:val="both"/>
        <w:rPr>
          <w:rFonts w:ascii="Times New Roman" w:hAnsi="Times New Roman" w:cs="Times New Roman"/>
          <w:sz w:val="24"/>
          <w:szCs w:val="24"/>
        </w:rPr>
      </w:pPr>
    </w:p>
    <w:p w14:paraId="0263EE1F"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Complications and Prognosis</w:t>
      </w:r>
    </w:p>
    <w:p w14:paraId="4EB2BB08" w14:textId="6EE519F4"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Herpangina generally follows a benign and self-limiting course, with spontaneous resolution within 4–6 days and complete recovery within a week [1]. However, in rare cases, serious complications may arise. High fevers can lead to febrile seizures in susceptible children [</w:t>
      </w:r>
      <w:r w:rsidR="000B6C2F">
        <w:rPr>
          <w:rFonts w:ascii="Times New Roman" w:hAnsi="Times New Roman" w:cs="Times New Roman"/>
          <w:sz w:val="24"/>
          <w:szCs w:val="24"/>
        </w:rPr>
        <w:t>9</w:t>
      </w:r>
      <w:r w:rsidRPr="00837564">
        <w:rPr>
          <w:rFonts w:ascii="Times New Roman" w:hAnsi="Times New Roman" w:cs="Times New Roman"/>
          <w:sz w:val="24"/>
          <w:szCs w:val="24"/>
        </w:rPr>
        <w:t>], and refusal of oral intake may result in dehydration [</w:t>
      </w:r>
      <w:r w:rsidR="000B6C2F">
        <w:rPr>
          <w:rFonts w:ascii="Times New Roman" w:hAnsi="Times New Roman" w:cs="Times New Roman"/>
          <w:sz w:val="24"/>
          <w:szCs w:val="24"/>
        </w:rPr>
        <w:t>13</w:t>
      </w:r>
      <w:r w:rsidRPr="00837564">
        <w:rPr>
          <w:rFonts w:ascii="Times New Roman" w:hAnsi="Times New Roman" w:cs="Times New Roman"/>
          <w:sz w:val="24"/>
          <w:szCs w:val="24"/>
        </w:rPr>
        <w:t>]. Prolonged illness can predispose to secondary bacterial infections [</w:t>
      </w:r>
      <w:r w:rsidR="000B6C2F">
        <w:rPr>
          <w:rFonts w:ascii="Times New Roman" w:hAnsi="Times New Roman" w:cs="Times New Roman"/>
          <w:sz w:val="24"/>
          <w:szCs w:val="24"/>
        </w:rPr>
        <w:t>2,12</w:t>
      </w:r>
      <w:r w:rsidRPr="00837564">
        <w:rPr>
          <w:rFonts w:ascii="Times New Roman" w:hAnsi="Times New Roman" w:cs="Times New Roman"/>
          <w:sz w:val="24"/>
          <w:szCs w:val="24"/>
        </w:rPr>
        <w:t>]. More severe outcomes are typically associated with Enterovirus A71 infections, which have been linked to encephalitis, myocarditis, and multi-organ failure</w:t>
      </w:r>
      <w:r w:rsidR="000B6C2F">
        <w:rPr>
          <w:rFonts w:ascii="Times New Roman" w:hAnsi="Times New Roman" w:cs="Times New Roman"/>
          <w:sz w:val="24"/>
          <w:szCs w:val="24"/>
        </w:rPr>
        <w:t xml:space="preserve">. </w:t>
      </w:r>
    </w:p>
    <w:p w14:paraId="39BDFC59" w14:textId="7CFA7E70" w:rsidR="00837564" w:rsidRDefault="00837564" w:rsidP="00837564">
      <w:pPr>
        <w:jc w:val="both"/>
        <w:rPr>
          <w:rFonts w:ascii="Times New Roman" w:hAnsi="Times New Roman" w:cs="Times New Roman"/>
          <w:sz w:val="24"/>
          <w:szCs w:val="24"/>
        </w:rPr>
      </w:pPr>
    </w:p>
    <w:p w14:paraId="7C9CCC42" w14:textId="77777777" w:rsidR="00FB2022" w:rsidRPr="00837564" w:rsidRDefault="00FB2022" w:rsidP="00837564">
      <w:pPr>
        <w:jc w:val="both"/>
        <w:rPr>
          <w:rFonts w:ascii="Times New Roman" w:hAnsi="Times New Roman" w:cs="Times New Roman"/>
          <w:sz w:val="24"/>
          <w:szCs w:val="24"/>
        </w:rPr>
      </w:pPr>
    </w:p>
    <w:p w14:paraId="4886B607"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lastRenderedPageBreak/>
        <w:t>Prevention Strategies</w:t>
      </w:r>
    </w:p>
    <w:p w14:paraId="73020042" w14:textId="4164FECA"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Preventive measures primarily focus on interrupting transmission and maintaining hygiene. Frequent handwashing with soap and water, covering the mouth and nose when coughing or sneezing, and disinfecting frequently touched objects are strongly recommended [</w:t>
      </w:r>
      <w:r w:rsidR="000B6C2F">
        <w:rPr>
          <w:rFonts w:ascii="Times New Roman" w:hAnsi="Times New Roman" w:cs="Times New Roman"/>
          <w:sz w:val="24"/>
          <w:szCs w:val="24"/>
        </w:rPr>
        <w:t>14</w:t>
      </w:r>
      <w:r w:rsidRPr="00837564">
        <w:rPr>
          <w:rFonts w:ascii="Times New Roman" w:hAnsi="Times New Roman" w:cs="Times New Roman"/>
          <w:sz w:val="24"/>
          <w:szCs w:val="24"/>
        </w:rPr>
        <w:t xml:space="preserve">]. Caregivers should ensure proper food handling, utensil hygiene, and limit close contact with infected individuals. In community and institutional settings, such as schools and </w:t>
      </w:r>
      <w:proofErr w:type="spellStart"/>
      <w:r w:rsidRPr="00837564">
        <w:rPr>
          <w:rFonts w:ascii="Times New Roman" w:hAnsi="Times New Roman" w:cs="Times New Roman"/>
          <w:sz w:val="24"/>
          <w:szCs w:val="24"/>
        </w:rPr>
        <w:t>daycare</w:t>
      </w:r>
      <w:proofErr w:type="spellEnd"/>
      <w:r w:rsidRPr="00837564">
        <w:rPr>
          <w:rFonts w:ascii="Times New Roman" w:hAnsi="Times New Roman" w:cs="Times New Roman"/>
          <w:sz w:val="24"/>
          <w:szCs w:val="24"/>
        </w:rPr>
        <w:t xml:space="preserve"> </w:t>
      </w:r>
      <w:proofErr w:type="spellStart"/>
      <w:r w:rsidRPr="00837564">
        <w:rPr>
          <w:rFonts w:ascii="Times New Roman" w:hAnsi="Times New Roman" w:cs="Times New Roman"/>
          <w:sz w:val="24"/>
          <w:szCs w:val="24"/>
        </w:rPr>
        <w:t>centers</w:t>
      </w:r>
      <w:proofErr w:type="spellEnd"/>
      <w:r w:rsidRPr="00837564">
        <w:rPr>
          <w:rFonts w:ascii="Times New Roman" w:hAnsi="Times New Roman" w:cs="Times New Roman"/>
          <w:sz w:val="24"/>
          <w:szCs w:val="24"/>
        </w:rPr>
        <w:t>, outbreak control involves isolating affected children, strengthening surveillance, and enhancing environmental disinfection [</w:t>
      </w:r>
      <w:r w:rsidR="000B6C2F">
        <w:rPr>
          <w:rFonts w:ascii="Times New Roman" w:hAnsi="Times New Roman" w:cs="Times New Roman"/>
          <w:sz w:val="24"/>
          <w:szCs w:val="24"/>
        </w:rPr>
        <w:t>15</w:t>
      </w:r>
      <w:r w:rsidRPr="00837564">
        <w:rPr>
          <w:rFonts w:ascii="Times New Roman" w:hAnsi="Times New Roman" w:cs="Times New Roman"/>
          <w:sz w:val="24"/>
          <w:szCs w:val="24"/>
        </w:rPr>
        <w:t>]. Currently, there is no specific vaccine for herpangina; however, vaccines targeting Enterovirus A71 are available in some regions to prevent severe complications, and development of multivalent vaccines against other Coxsackievirus strains is ongoing [</w:t>
      </w:r>
      <w:r w:rsidR="000B6C2F">
        <w:rPr>
          <w:rFonts w:ascii="Times New Roman" w:hAnsi="Times New Roman" w:cs="Times New Roman"/>
          <w:sz w:val="24"/>
          <w:szCs w:val="24"/>
        </w:rPr>
        <w:t>16</w:t>
      </w:r>
      <w:r w:rsidRPr="00837564">
        <w:rPr>
          <w:rFonts w:ascii="Times New Roman" w:hAnsi="Times New Roman" w:cs="Times New Roman"/>
          <w:sz w:val="24"/>
          <w:szCs w:val="24"/>
        </w:rPr>
        <w:t>].</w:t>
      </w:r>
    </w:p>
    <w:p w14:paraId="2ED0DC63" w14:textId="0AA93D33" w:rsidR="00837564" w:rsidRPr="00837564" w:rsidRDefault="00837564" w:rsidP="00837564">
      <w:pPr>
        <w:jc w:val="both"/>
        <w:rPr>
          <w:rFonts w:ascii="Times New Roman" w:hAnsi="Times New Roman" w:cs="Times New Roman"/>
          <w:sz w:val="24"/>
          <w:szCs w:val="24"/>
        </w:rPr>
      </w:pPr>
    </w:p>
    <w:p w14:paraId="5ABB4809" w14:textId="77777777" w:rsidR="004934D6" w:rsidRPr="004934D6" w:rsidRDefault="004934D6" w:rsidP="00837564">
      <w:pPr>
        <w:jc w:val="both"/>
        <w:rPr>
          <w:rFonts w:ascii="Times New Roman" w:hAnsi="Times New Roman" w:cs="Times New Roman"/>
          <w:sz w:val="24"/>
          <w:szCs w:val="24"/>
        </w:rPr>
      </w:pPr>
    </w:p>
    <w:p w14:paraId="47D6269D" w14:textId="2A303D48" w:rsidR="004934D6" w:rsidRPr="004934D6" w:rsidRDefault="004934D6"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Conclusion</w:t>
      </w:r>
    </w:p>
    <w:p w14:paraId="5DC7231A" w14:textId="0E6C6180" w:rsidR="00632AF8" w:rsidRPr="00632AF8" w:rsidRDefault="004934D6" w:rsidP="00632AF8">
      <w:pPr>
        <w:jc w:val="both"/>
        <w:rPr>
          <w:rFonts w:ascii="Times New Roman" w:hAnsi="Times New Roman" w:cs="Times New Roman"/>
          <w:sz w:val="24"/>
          <w:szCs w:val="24"/>
        </w:rPr>
      </w:pPr>
      <w:r w:rsidRPr="004934D6">
        <w:rPr>
          <w:rFonts w:ascii="Times New Roman" w:hAnsi="Times New Roman" w:cs="Times New Roman"/>
          <w:sz w:val="24"/>
          <w:szCs w:val="24"/>
        </w:rPr>
        <w:t xml:space="preserve">Herpangina is a self-limiting viral infection commonly seen in children and often presents with painful ulcerations that can mimic other oral ulcerative conditions, making accurate diagnosis crucial. In this case, a 7-year-old male presented with painful palatal and buccal ulcerations along with a recent history of fever. A clinical diagnosis of herpangina was made, and the patient was managed conservatively with topical medications, analgesics, and proper oral hygiene instructions. Regular follow-up visits showed progressive healing, and the lesions resolved completely within two weeks without any complications. This case highlights the importance of early recognition, appropriate differential diagnosis, and timely supportive management to ensure </w:t>
      </w:r>
      <w:proofErr w:type="spellStart"/>
      <w:r w:rsidRPr="004934D6">
        <w:rPr>
          <w:rFonts w:ascii="Times New Roman" w:hAnsi="Times New Roman" w:cs="Times New Roman"/>
          <w:sz w:val="24"/>
          <w:szCs w:val="24"/>
        </w:rPr>
        <w:t>favorable</w:t>
      </w:r>
      <w:proofErr w:type="spellEnd"/>
      <w:r w:rsidRPr="004934D6">
        <w:rPr>
          <w:rFonts w:ascii="Times New Roman" w:hAnsi="Times New Roman" w:cs="Times New Roman"/>
          <w:sz w:val="24"/>
          <w:szCs w:val="24"/>
        </w:rPr>
        <w:t xml:space="preserve"> outcomes in </w:t>
      </w:r>
      <w:proofErr w:type="spellStart"/>
      <w:r w:rsidRPr="004934D6">
        <w:rPr>
          <w:rFonts w:ascii="Times New Roman" w:hAnsi="Times New Roman" w:cs="Times New Roman"/>
          <w:sz w:val="24"/>
          <w:szCs w:val="24"/>
        </w:rPr>
        <w:t>pediatric</w:t>
      </w:r>
      <w:proofErr w:type="spellEnd"/>
      <w:r w:rsidRPr="004934D6">
        <w:rPr>
          <w:rFonts w:ascii="Times New Roman" w:hAnsi="Times New Roman" w:cs="Times New Roman"/>
          <w:sz w:val="24"/>
          <w:szCs w:val="24"/>
        </w:rPr>
        <w:t xml:space="preserve"> patients presenting with multiple oral ulcerations.</w:t>
      </w:r>
      <w:r w:rsidR="00632AF8" w:rsidRPr="00632AF8">
        <w:rPr>
          <w:rFonts w:ascii="Times New Roman" w:eastAsia="Times New Roman" w:hAnsi="Times New Roman" w:cs="Times New Roman"/>
          <w:kern w:val="0"/>
          <w:sz w:val="24"/>
          <w:szCs w:val="24"/>
          <w:lang w:eastAsia="en-IN"/>
          <w14:ligatures w14:val="none"/>
        </w:rPr>
        <w:t xml:space="preserve"> </w:t>
      </w:r>
    </w:p>
    <w:p w14:paraId="294158BF" w14:textId="3001DC5D" w:rsidR="004934D6" w:rsidRPr="009927AE" w:rsidRDefault="009927AE" w:rsidP="004934D6">
      <w:pPr>
        <w:jc w:val="both"/>
        <w:rPr>
          <w:rFonts w:ascii="Times New Roman" w:hAnsi="Times New Roman" w:cs="Times New Roman"/>
          <w:b/>
          <w:sz w:val="24"/>
          <w:szCs w:val="24"/>
        </w:rPr>
      </w:pPr>
      <w:r w:rsidRPr="009927AE">
        <w:rPr>
          <w:rFonts w:ascii="Times New Roman" w:hAnsi="Times New Roman" w:cs="Times New Roman"/>
          <w:b/>
          <w:sz w:val="24"/>
          <w:szCs w:val="24"/>
        </w:rPr>
        <w:t>Consent:</w:t>
      </w:r>
    </w:p>
    <w:p w14:paraId="240C100C" w14:textId="05FFCF02" w:rsidR="005141AD" w:rsidRPr="005141AD" w:rsidRDefault="009927AE" w:rsidP="004934D6">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Written </w:t>
      </w:r>
      <w:r>
        <w:rPr>
          <w:rFonts w:ascii="Times New Roman" w:hAnsi="Times New Roman" w:cs="Times New Roman"/>
          <w:color w:val="000000" w:themeColor="text1"/>
          <w:sz w:val="24"/>
          <w:szCs w:val="24"/>
        </w:rPr>
        <w:t>i</w:t>
      </w:r>
      <w:r w:rsidR="005141AD" w:rsidRPr="005141AD">
        <w:rPr>
          <w:rFonts w:ascii="Times New Roman" w:hAnsi="Times New Roman" w:cs="Times New Roman"/>
          <w:color w:val="000000" w:themeColor="text1"/>
          <w:sz w:val="24"/>
          <w:szCs w:val="24"/>
        </w:rPr>
        <w:t xml:space="preserve">nformed consent obtained </w:t>
      </w:r>
      <w:r w:rsidR="005141AD" w:rsidRPr="005141AD">
        <w:rPr>
          <w:rFonts w:ascii="Times New Roman" w:hAnsi="Times New Roman" w:cs="Times New Roman"/>
          <w:bCs/>
          <w:color w:val="000000" w:themeColor="text1"/>
          <w:sz w:val="24"/>
          <w:szCs w:val="24"/>
          <w:lang w:val="en-GB"/>
        </w:rPr>
        <w:t>from parent (mother) for publication of data and images.</w:t>
      </w:r>
    </w:p>
    <w:p w14:paraId="7F23465B" w14:textId="77777777" w:rsidR="00E42460" w:rsidRPr="009927AE" w:rsidRDefault="00E42460" w:rsidP="00E42460">
      <w:pPr>
        <w:rPr>
          <w:rFonts w:ascii="Calibri" w:eastAsia="Calibri" w:hAnsi="Calibri" w:cs="Times New Roman"/>
          <w:b/>
          <w:highlight w:val="yellow"/>
          <w:lang w:val="en-US"/>
        </w:rPr>
      </w:pPr>
      <w:bookmarkStart w:id="0" w:name="_Hlk201835975"/>
      <w:bookmarkStart w:id="1" w:name="_Hlk193540946"/>
      <w:bookmarkStart w:id="2" w:name="_Hlk180402183"/>
      <w:bookmarkStart w:id="3" w:name="_Hlk183680988"/>
      <w:bookmarkStart w:id="4" w:name="_Hlk197173371"/>
      <w:r w:rsidRPr="009927AE">
        <w:rPr>
          <w:rFonts w:ascii="Calibri" w:eastAsia="Calibri" w:hAnsi="Calibri" w:cs="Times New Roman"/>
          <w:b/>
          <w:highlight w:val="yellow"/>
          <w:lang w:val="en-US"/>
        </w:rPr>
        <w:t xml:space="preserve">Disclaimer </w:t>
      </w:r>
      <w:bookmarkStart w:id="5" w:name="_GoBack"/>
      <w:bookmarkEnd w:id="5"/>
      <w:r w:rsidRPr="009927AE">
        <w:rPr>
          <w:rFonts w:ascii="Calibri" w:eastAsia="Calibri" w:hAnsi="Calibri" w:cs="Times New Roman"/>
          <w:b/>
          <w:highlight w:val="yellow"/>
          <w:lang w:val="en-US"/>
        </w:rPr>
        <w:t>(Artificial intelligence)</w:t>
      </w:r>
    </w:p>
    <w:p w14:paraId="074F165C"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019804C"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6D5B91EA"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CF9A196"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B8EE67"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49EC973"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AA3070F" w14:textId="77777777" w:rsidR="00E42460" w:rsidRPr="009C5487" w:rsidRDefault="00E42460" w:rsidP="00E42460">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0"/>
    </w:p>
    <w:p w14:paraId="6B52B2D2" w14:textId="77777777" w:rsidR="00E42460" w:rsidRPr="009C5487" w:rsidRDefault="00E42460" w:rsidP="00E42460">
      <w:pPr>
        <w:rPr>
          <w:rFonts w:ascii="Calibri" w:eastAsia="Calibri" w:hAnsi="Calibri" w:cs="Times New Roman"/>
          <w:lang w:val="en-US"/>
        </w:rPr>
      </w:pPr>
      <w:r w:rsidRPr="009C5487">
        <w:rPr>
          <w:rFonts w:ascii="Calibri" w:eastAsia="Calibri" w:hAnsi="Calibri" w:cs="Times New Roman"/>
          <w:highlight w:val="yellow"/>
          <w:lang w:val="en-US"/>
        </w:rPr>
        <w:lastRenderedPageBreak/>
        <w:t>3.</w:t>
      </w:r>
      <w:bookmarkEnd w:id="1"/>
    </w:p>
    <w:bookmarkEnd w:id="2"/>
    <w:bookmarkEnd w:id="3"/>
    <w:bookmarkEnd w:id="4"/>
    <w:p w14:paraId="268D39A7" w14:textId="77777777" w:rsidR="004934D6" w:rsidRPr="00837564" w:rsidRDefault="004934D6" w:rsidP="00837564">
      <w:pPr>
        <w:jc w:val="both"/>
        <w:rPr>
          <w:rFonts w:ascii="Times New Roman" w:hAnsi="Times New Roman" w:cs="Times New Roman"/>
          <w:sz w:val="24"/>
          <w:szCs w:val="24"/>
        </w:rPr>
      </w:pPr>
    </w:p>
    <w:p w14:paraId="586F036E"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References</w:t>
      </w:r>
    </w:p>
    <w:p w14:paraId="70A3C836"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Yu H, Li X, Liu Q, et al. Diagnosis and treatment of herpangina: Chinese expert consensus. </w:t>
      </w:r>
      <w:r w:rsidRPr="00837564">
        <w:rPr>
          <w:rFonts w:ascii="Times New Roman" w:hAnsi="Times New Roman" w:cs="Times New Roman"/>
          <w:i/>
          <w:iCs/>
          <w:sz w:val="24"/>
          <w:szCs w:val="24"/>
        </w:rPr>
        <w:t>World J Pediatr</w:t>
      </w:r>
      <w:r w:rsidRPr="00837564">
        <w:rPr>
          <w:rFonts w:ascii="Times New Roman" w:hAnsi="Times New Roman" w:cs="Times New Roman"/>
          <w:sz w:val="24"/>
          <w:szCs w:val="24"/>
        </w:rPr>
        <w:t>. 2020;16(2):129–134.</w:t>
      </w:r>
    </w:p>
    <w:p w14:paraId="5644B49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Prathiwi</w:t>
      </w:r>
      <w:proofErr w:type="spellEnd"/>
      <w:r w:rsidRPr="00837564">
        <w:rPr>
          <w:rFonts w:ascii="Times New Roman" w:hAnsi="Times New Roman" w:cs="Times New Roman"/>
          <w:sz w:val="24"/>
          <w:szCs w:val="24"/>
        </w:rPr>
        <w:t xml:space="preserve"> CDR, </w:t>
      </w:r>
      <w:proofErr w:type="spellStart"/>
      <w:r w:rsidRPr="00837564">
        <w:rPr>
          <w:rFonts w:ascii="Times New Roman" w:hAnsi="Times New Roman" w:cs="Times New Roman"/>
          <w:sz w:val="24"/>
          <w:szCs w:val="24"/>
        </w:rPr>
        <w:t>Bramanti</w:t>
      </w:r>
      <w:proofErr w:type="spellEnd"/>
      <w:r w:rsidRPr="00837564">
        <w:rPr>
          <w:rFonts w:ascii="Times New Roman" w:hAnsi="Times New Roman" w:cs="Times New Roman"/>
          <w:sz w:val="24"/>
          <w:szCs w:val="24"/>
        </w:rPr>
        <w:t xml:space="preserve"> I. Management of herpangina: a viral infection in infants. </w:t>
      </w:r>
      <w:proofErr w:type="spellStart"/>
      <w:r w:rsidRPr="00837564">
        <w:rPr>
          <w:rFonts w:ascii="Times New Roman" w:hAnsi="Times New Roman" w:cs="Times New Roman"/>
          <w:i/>
          <w:iCs/>
          <w:sz w:val="24"/>
          <w:szCs w:val="24"/>
        </w:rPr>
        <w:t>Majalah</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Kedokteran</w:t>
      </w:r>
      <w:proofErr w:type="spellEnd"/>
      <w:r w:rsidRPr="00837564">
        <w:rPr>
          <w:rFonts w:ascii="Times New Roman" w:hAnsi="Times New Roman" w:cs="Times New Roman"/>
          <w:i/>
          <w:iCs/>
          <w:sz w:val="24"/>
          <w:szCs w:val="24"/>
        </w:rPr>
        <w:t xml:space="preserve"> Gigi Indonesia</w:t>
      </w:r>
      <w:r w:rsidRPr="00837564">
        <w:rPr>
          <w:rFonts w:ascii="Times New Roman" w:hAnsi="Times New Roman" w:cs="Times New Roman"/>
          <w:sz w:val="24"/>
          <w:szCs w:val="24"/>
        </w:rPr>
        <w:t>. 2023;9(2):87-91.</w:t>
      </w:r>
    </w:p>
    <w:p w14:paraId="24D0807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Lee MH, Huang LM, Wong WW, et al. Molecular diagnosis and clinical presentations of enteroviral infections in Taipei during the 2008 epidemic. </w:t>
      </w:r>
      <w:r w:rsidRPr="00837564">
        <w:rPr>
          <w:rFonts w:ascii="Times New Roman" w:hAnsi="Times New Roman" w:cs="Times New Roman"/>
          <w:i/>
          <w:iCs/>
          <w:sz w:val="24"/>
          <w:szCs w:val="24"/>
        </w:rPr>
        <w:t xml:space="preserve">J </w:t>
      </w:r>
      <w:proofErr w:type="spellStart"/>
      <w:r w:rsidRPr="00837564">
        <w:rPr>
          <w:rFonts w:ascii="Times New Roman" w:hAnsi="Times New Roman" w:cs="Times New Roman"/>
          <w:i/>
          <w:iCs/>
          <w:sz w:val="24"/>
          <w:szCs w:val="24"/>
        </w:rPr>
        <w:t>Microbiol</w:t>
      </w:r>
      <w:proofErr w:type="spellEnd"/>
      <w:r w:rsidRPr="00837564">
        <w:rPr>
          <w:rFonts w:ascii="Times New Roman" w:hAnsi="Times New Roman" w:cs="Times New Roman"/>
          <w:i/>
          <w:iCs/>
          <w:sz w:val="24"/>
          <w:szCs w:val="24"/>
        </w:rPr>
        <w:t xml:space="preserve"> Immunol Infect</w:t>
      </w:r>
      <w:r w:rsidRPr="00837564">
        <w:rPr>
          <w:rFonts w:ascii="Times New Roman" w:hAnsi="Times New Roman" w:cs="Times New Roman"/>
          <w:sz w:val="24"/>
          <w:szCs w:val="24"/>
        </w:rPr>
        <w:t>. 2011;44(3):178-183.</w:t>
      </w:r>
    </w:p>
    <w:p w14:paraId="6DDC0706"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 W, Gao H, Zhang Q, et al. Large outbreak of herpangina in children caused by enterovirus in Hangzhou, China. </w:t>
      </w:r>
      <w:r w:rsidRPr="00837564">
        <w:rPr>
          <w:rFonts w:ascii="Times New Roman" w:hAnsi="Times New Roman" w:cs="Times New Roman"/>
          <w:i/>
          <w:iCs/>
          <w:sz w:val="24"/>
          <w:szCs w:val="24"/>
        </w:rPr>
        <w:t>Sci Rep</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2016;6:35388</w:t>
      </w:r>
      <w:proofErr w:type="gramEnd"/>
      <w:r w:rsidRPr="00837564">
        <w:rPr>
          <w:rFonts w:ascii="Times New Roman" w:hAnsi="Times New Roman" w:cs="Times New Roman"/>
          <w:sz w:val="24"/>
          <w:szCs w:val="24"/>
        </w:rPr>
        <w:t>.</w:t>
      </w:r>
    </w:p>
    <w:p w14:paraId="6BF08612"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Chansaenroj</w:t>
      </w:r>
      <w:proofErr w:type="spellEnd"/>
      <w:r w:rsidRPr="00837564">
        <w:rPr>
          <w:rFonts w:ascii="Times New Roman" w:hAnsi="Times New Roman" w:cs="Times New Roman"/>
          <w:sz w:val="24"/>
          <w:szCs w:val="24"/>
        </w:rPr>
        <w:t xml:space="preserve"> J, </w:t>
      </w:r>
      <w:proofErr w:type="spellStart"/>
      <w:r w:rsidRPr="00837564">
        <w:rPr>
          <w:rFonts w:ascii="Times New Roman" w:hAnsi="Times New Roman" w:cs="Times New Roman"/>
          <w:sz w:val="24"/>
          <w:szCs w:val="24"/>
        </w:rPr>
        <w:t>Auphimai</w:t>
      </w:r>
      <w:proofErr w:type="spellEnd"/>
      <w:r w:rsidRPr="00837564">
        <w:rPr>
          <w:rFonts w:ascii="Times New Roman" w:hAnsi="Times New Roman" w:cs="Times New Roman"/>
          <w:sz w:val="24"/>
          <w:szCs w:val="24"/>
        </w:rPr>
        <w:t xml:space="preserve"> C, </w:t>
      </w:r>
      <w:proofErr w:type="spellStart"/>
      <w:r w:rsidRPr="00837564">
        <w:rPr>
          <w:rFonts w:ascii="Times New Roman" w:hAnsi="Times New Roman" w:cs="Times New Roman"/>
          <w:sz w:val="24"/>
          <w:szCs w:val="24"/>
        </w:rPr>
        <w:t>Puenpa</w:t>
      </w:r>
      <w:proofErr w:type="spellEnd"/>
      <w:r w:rsidRPr="00837564">
        <w:rPr>
          <w:rFonts w:ascii="Times New Roman" w:hAnsi="Times New Roman" w:cs="Times New Roman"/>
          <w:sz w:val="24"/>
          <w:szCs w:val="24"/>
        </w:rPr>
        <w:t xml:space="preserve"> J, et al. High prevalence of Coxsackievirus A2 in children with herpangina. </w:t>
      </w:r>
      <w:proofErr w:type="spellStart"/>
      <w:r w:rsidRPr="00837564">
        <w:rPr>
          <w:rFonts w:ascii="Times New Roman" w:hAnsi="Times New Roman" w:cs="Times New Roman"/>
          <w:i/>
          <w:iCs/>
          <w:sz w:val="24"/>
          <w:szCs w:val="24"/>
        </w:rPr>
        <w:t>Virusdisease</w:t>
      </w:r>
      <w:proofErr w:type="spellEnd"/>
      <w:r w:rsidRPr="00837564">
        <w:rPr>
          <w:rFonts w:ascii="Times New Roman" w:hAnsi="Times New Roman" w:cs="Times New Roman"/>
          <w:sz w:val="24"/>
          <w:szCs w:val="24"/>
        </w:rPr>
        <w:t>. 2017;28(1):111-114.</w:t>
      </w:r>
    </w:p>
    <w:p w14:paraId="0D027989"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 W, Li C, Liu L, et al. Molecular epidemiology of enterovirus from children with herpangina. </w:t>
      </w:r>
      <w:r w:rsidRPr="00837564">
        <w:rPr>
          <w:rFonts w:ascii="Times New Roman" w:hAnsi="Times New Roman" w:cs="Times New Roman"/>
          <w:i/>
          <w:iCs/>
          <w:sz w:val="24"/>
          <w:szCs w:val="24"/>
        </w:rPr>
        <w:t xml:space="preserve">Arch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2019;164(10):2565-2571.</w:t>
      </w:r>
    </w:p>
    <w:p w14:paraId="32FD354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Sun Y, Zhou J, Nie W, et al. Epidemiological characteristics of enterovirus among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patients. </w:t>
      </w:r>
      <w:r w:rsidRPr="00837564">
        <w:rPr>
          <w:rFonts w:ascii="Times New Roman" w:hAnsi="Times New Roman" w:cs="Times New Roman"/>
          <w:i/>
          <w:iCs/>
          <w:sz w:val="24"/>
          <w:szCs w:val="24"/>
        </w:rPr>
        <w:t xml:space="preserve">J Med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2024;96(2</w:t>
      </w:r>
      <w:proofErr w:type="gramStart"/>
      <w:r w:rsidRPr="00837564">
        <w:rPr>
          <w:rFonts w:ascii="Times New Roman" w:hAnsi="Times New Roman" w:cs="Times New Roman"/>
          <w:sz w:val="24"/>
          <w:szCs w:val="24"/>
        </w:rPr>
        <w:t>):e</w:t>
      </w:r>
      <w:proofErr w:type="gramEnd"/>
      <w:r w:rsidRPr="00837564">
        <w:rPr>
          <w:rFonts w:ascii="Times New Roman" w:hAnsi="Times New Roman" w:cs="Times New Roman"/>
          <w:sz w:val="24"/>
          <w:szCs w:val="24"/>
        </w:rPr>
        <w:t>29412.</w:t>
      </w:r>
    </w:p>
    <w:p w14:paraId="36F149E5"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Liu J, Chen Y, Hu P, et al. Caregivers as potential infection sources in herpangina outbreaks. </w:t>
      </w:r>
      <w:r w:rsidRPr="00837564">
        <w:rPr>
          <w:rFonts w:ascii="Times New Roman" w:hAnsi="Times New Roman" w:cs="Times New Roman"/>
          <w:i/>
          <w:iCs/>
          <w:sz w:val="24"/>
          <w:szCs w:val="24"/>
        </w:rPr>
        <w:t>Arch Public Health</w:t>
      </w:r>
      <w:r w:rsidRPr="00837564">
        <w:rPr>
          <w:rFonts w:ascii="Times New Roman" w:hAnsi="Times New Roman" w:cs="Times New Roman"/>
          <w:sz w:val="24"/>
          <w:szCs w:val="24"/>
        </w:rPr>
        <w:t>. 2021;79(1):1-8.</w:t>
      </w:r>
    </w:p>
    <w:p w14:paraId="37B6626B"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Vallet</w:t>
      </w:r>
      <w:proofErr w:type="spellEnd"/>
      <w:r w:rsidRPr="00837564">
        <w:rPr>
          <w:rFonts w:ascii="Times New Roman" w:hAnsi="Times New Roman" w:cs="Times New Roman"/>
          <w:sz w:val="24"/>
          <w:szCs w:val="24"/>
        </w:rPr>
        <w:t xml:space="preserve"> S, </w:t>
      </w:r>
      <w:proofErr w:type="spellStart"/>
      <w:r w:rsidRPr="00837564">
        <w:rPr>
          <w:rFonts w:ascii="Times New Roman" w:hAnsi="Times New Roman" w:cs="Times New Roman"/>
          <w:sz w:val="24"/>
          <w:szCs w:val="24"/>
        </w:rPr>
        <w:t>Gagneur</w:t>
      </w:r>
      <w:proofErr w:type="spellEnd"/>
      <w:r w:rsidRPr="00837564">
        <w:rPr>
          <w:rFonts w:ascii="Times New Roman" w:hAnsi="Times New Roman" w:cs="Times New Roman"/>
          <w:sz w:val="24"/>
          <w:szCs w:val="24"/>
        </w:rPr>
        <w:t xml:space="preserve"> A, Legrand MC, et al. Enteroviral infection mimicking primary herpetic stomatitis. </w:t>
      </w:r>
      <w:r w:rsidRPr="00837564">
        <w:rPr>
          <w:rFonts w:ascii="Times New Roman" w:hAnsi="Times New Roman" w:cs="Times New Roman"/>
          <w:i/>
          <w:iCs/>
          <w:sz w:val="24"/>
          <w:szCs w:val="24"/>
        </w:rPr>
        <w:t xml:space="preserve">Eur J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sz w:val="24"/>
          <w:szCs w:val="24"/>
        </w:rPr>
        <w:t>. 2005;164(5):289-291.</w:t>
      </w:r>
    </w:p>
    <w:p w14:paraId="6AEA68DA"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Hong C.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oral medicine. In: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Dentistry. Wiley; 2023.</w:t>
      </w:r>
    </w:p>
    <w:p w14:paraId="3DC5661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Brzeziński</w:t>
      </w:r>
      <w:proofErr w:type="spellEnd"/>
      <w:r w:rsidRPr="00837564">
        <w:rPr>
          <w:rFonts w:ascii="Times New Roman" w:hAnsi="Times New Roman" w:cs="Times New Roman"/>
          <w:sz w:val="24"/>
          <w:szCs w:val="24"/>
        </w:rPr>
        <w:t xml:space="preserve"> P. Herpangina and erythema multiforme in a three-year-old boy. </w:t>
      </w:r>
      <w:proofErr w:type="spellStart"/>
      <w:r w:rsidRPr="00837564">
        <w:rPr>
          <w:rFonts w:ascii="Times New Roman" w:hAnsi="Times New Roman" w:cs="Times New Roman"/>
          <w:i/>
          <w:iCs/>
          <w:sz w:val="24"/>
          <w:szCs w:val="24"/>
        </w:rPr>
        <w:t>Przegl</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Lek</w:t>
      </w:r>
      <w:proofErr w:type="spellEnd"/>
      <w:r w:rsidRPr="00837564">
        <w:rPr>
          <w:rFonts w:ascii="Times New Roman" w:hAnsi="Times New Roman" w:cs="Times New Roman"/>
          <w:sz w:val="24"/>
          <w:szCs w:val="24"/>
        </w:rPr>
        <w:t>. 2013;70(11):953-954.</w:t>
      </w:r>
    </w:p>
    <w:p w14:paraId="0635B54C"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Yarush</w:t>
      </w:r>
      <w:proofErr w:type="spellEnd"/>
      <w:r w:rsidRPr="00837564">
        <w:rPr>
          <w:rFonts w:ascii="Times New Roman" w:hAnsi="Times New Roman" w:cs="Times New Roman"/>
          <w:sz w:val="24"/>
          <w:szCs w:val="24"/>
        </w:rPr>
        <w:t xml:space="preserve"> LI, Steele RW. Diagnosis and prospective treatment of enteroviral infections. </w:t>
      </w:r>
      <w:r w:rsidRPr="00837564">
        <w:rPr>
          <w:rFonts w:ascii="Times New Roman" w:hAnsi="Times New Roman" w:cs="Times New Roman"/>
          <w:i/>
          <w:iCs/>
          <w:sz w:val="24"/>
          <w:szCs w:val="24"/>
        </w:rPr>
        <w:t>Clin Pediatr</w:t>
      </w:r>
      <w:r w:rsidRPr="00837564">
        <w:rPr>
          <w:rFonts w:ascii="Times New Roman" w:hAnsi="Times New Roman" w:cs="Times New Roman"/>
          <w:sz w:val="24"/>
          <w:szCs w:val="24"/>
        </w:rPr>
        <w:t>. 2000;39(4):201-211.</w:t>
      </w:r>
    </w:p>
    <w:p w14:paraId="5578D26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Clinical features of gingivostomatitis due to primary herpes simplex virus infection in children. </w:t>
      </w:r>
      <w:r w:rsidRPr="00837564">
        <w:rPr>
          <w:rFonts w:ascii="Times New Roman" w:hAnsi="Times New Roman" w:cs="Times New Roman"/>
          <w:i/>
          <w:iCs/>
          <w:sz w:val="24"/>
          <w:szCs w:val="24"/>
        </w:rPr>
        <w:t>BMC Infect Dis</w:t>
      </w:r>
      <w:r w:rsidRPr="00837564">
        <w:rPr>
          <w:rFonts w:ascii="Times New Roman" w:hAnsi="Times New Roman" w:cs="Times New Roman"/>
          <w:sz w:val="24"/>
          <w:szCs w:val="24"/>
        </w:rPr>
        <w:t>. 2020;20(1):1-9.</w:t>
      </w:r>
    </w:p>
    <w:p w14:paraId="172C1F7F" w14:textId="77777777" w:rsid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Barankin</w:t>
      </w:r>
      <w:proofErr w:type="spellEnd"/>
      <w:r w:rsidRPr="00837564">
        <w:rPr>
          <w:rFonts w:ascii="Times New Roman" w:hAnsi="Times New Roman" w:cs="Times New Roman"/>
          <w:sz w:val="24"/>
          <w:szCs w:val="24"/>
        </w:rPr>
        <w:t xml:space="preserve"> B. Hand, foot, and mouth disease: a narrative review. </w:t>
      </w:r>
      <w:r w:rsidRPr="00837564">
        <w:rPr>
          <w:rFonts w:ascii="Times New Roman" w:hAnsi="Times New Roman" w:cs="Times New Roman"/>
          <w:i/>
          <w:iCs/>
          <w:sz w:val="24"/>
          <w:szCs w:val="24"/>
        </w:rPr>
        <w:t xml:space="preserve">Recent Adv </w:t>
      </w:r>
      <w:proofErr w:type="spellStart"/>
      <w:r w:rsidRPr="00837564">
        <w:rPr>
          <w:rFonts w:ascii="Times New Roman" w:hAnsi="Times New Roman" w:cs="Times New Roman"/>
          <w:i/>
          <w:iCs/>
          <w:sz w:val="24"/>
          <w:szCs w:val="24"/>
        </w:rPr>
        <w:t>Inflamm</w:t>
      </w:r>
      <w:proofErr w:type="spellEnd"/>
      <w:r w:rsidRPr="00837564">
        <w:rPr>
          <w:rFonts w:ascii="Times New Roman" w:hAnsi="Times New Roman" w:cs="Times New Roman"/>
          <w:i/>
          <w:iCs/>
          <w:sz w:val="24"/>
          <w:szCs w:val="24"/>
        </w:rPr>
        <w:t xml:space="preserve"> Allergy Drug </w:t>
      </w:r>
      <w:proofErr w:type="spellStart"/>
      <w:r w:rsidRPr="00837564">
        <w:rPr>
          <w:rFonts w:ascii="Times New Roman" w:hAnsi="Times New Roman" w:cs="Times New Roman"/>
          <w:i/>
          <w:iCs/>
          <w:sz w:val="24"/>
          <w:szCs w:val="24"/>
        </w:rPr>
        <w:t>Discov</w:t>
      </w:r>
      <w:proofErr w:type="spellEnd"/>
      <w:r w:rsidRPr="00837564">
        <w:rPr>
          <w:rFonts w:ascii="Times New Roman" w:hAnsi="Times New Roman" w:cs="Times New Roman"/>
          <w:sz w:val="24"/>
          <w:szCs w:val="24"/>
        </w:rPr>
        <w:t>. 2022;16(2):77-95.</w:t>
      </w:r>
    </w:p>
    <w:p w14:paraId="349C7744" w14:textId="719F5311" w:rsidR="00FB2022" w:rsidRDefault="00FB2022" w:rsidP="00837564">
      <w:pPr>
        <w:numPr>
          <w:ilvl w:val="0"/>
          <w:numId w:val="11"/>
        </w:numPr>
        <w:tabs>
          <w:tab w:val="clear" w:pos="360"/>
          <w:tab w:val="num" w:pos="720"/>
        </w:tabs>
        <w:jc w:val="both"/>
        <w:rPr>
          <w:rFonts w:ascii="Times New Roman" w:hAnsi="Times New Roman" w:cs="Times New Roman"/>
          <w:sz w:val="24"/>
          <w:szCs w:val="24"/>
        </w:rPr>
      </w:pPr>
      <w:r w:rsidRPr="00FB2022">
        <w:rPr>
          <w:rFonts w:ascii="Times New Roman" w:hAnsi="Times New Roman" w:cs="Times New Roman"/>
          <w:sz w:val="24"/>
          <w:szCs w:val="24"/>
        </w:rPr>
        <w:t>Chole RA, Domb GH. Differential diagnosis of superficial ulcerations of the oral mucosa. Otolaryngology–Head and Neck Surgery. 1979 Nov;87(6):734-40.</w:t>
      </w:r>
    </w:p>
    <w:p w14:paraId="660E1A3B" w14:textId="06808F9A" w:rsidR="00FB2022" w:rsidRPr="00837564" w:rsidRDefault="00FB2022" w:rsidP="00837564">
      <w:pPr>
        <w:numPr>
          <w:ilvl w:val="0"/>
          <w:numId w:val="11"/>
        </w:numPr>
        <w:tabs>
          <w:tab w:val="clear" w:pos="360"/>
          <w:tab w:val="num" w:pos="720"/>
        </w:tabs>
        <w:jc w:val="both"/>
        <w:rPr>
          <w:rFonts w:ascii="Times New Roman" w:hAnsi="Times New Roman" w:cs="Times New Roman"/>
          <w:sz w:val="24"/>
          <w:szCs w:val="24"/>
        </w:rPr>
      </w:pPr>
      <w:r w:rsidRPr="00FB2022">
        <w:rPr>
          <w:rFonts w:ascii="Times New Roman" w:hAnsi="Times New Roman" w:cs="Times New Roman"/>
          <w:sz w:val="24"/>
          <w:szCs w:val="24"/>
        </w:rPr>
        <w:t>Fourie J, Boy SC. Oral mucosal ulceration-a clinician’s guide to diagnosis and treatment. South African Dental Journal. 2016 Nov 1;71(10):500-8.</w:t>
      </w:r>
    </w:p>
    <w:p w14:paraId="7576F6A7"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lastRenderedPageBreak/>
        <w:t xml:space="preserve">Ye YZ, Dou YL, Hao JH, et al. Efficacy and safety of interferon α-2b spray for herpangina in children. </w:t>
      </w:r>
      <w:r w:rsidRPr="00837564">
        <w:rPr>
          <w:rFonts w:ascii="Times New Roman" w:hAnsi="Times New Roman" w:cs="Times New Roman"/>
          <w:i/>
          <w:iCs/>
          <w:sz w:val="24"/>
          <w:szCs w:val="24"/>
        </w:rPr>
        <w:t>Int J Infect Dis</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2021;107:62</w:t>
      </w:r>
      <w:proofErr w:type="gramEnd"/>
      <w:r w:rsidRPr="00837564">
        <w:rPr>
          <w:rFonts w:ascii="Times New Roman" w:hAnsi="Times New Roman" w:cs="Times New Roman"/>
          <w:sz w:val="24"/>
          <w:szCs w:val="24"/>
        </w:rPr>
        <w:t>-68.</w:t>
      </w:r>
    </w:p>
    <w:p w14:paraId="256F79D5" w14:textId="2F817FA3" w:rsidR="00BC47F8" w:rsidRDefault="00BC47F8" w:rsidP="00BC47F8">
      <w:pPr>
        <w:jc w:val="both"/>
        <w:rPr>
          <w:rFonts w:ascii="Times New Roman" w:hAnsi="Times New Roman" w:cs="Times New Roman"/>
          <w:b/>
          <w:bCs/>
          <w:sz w:val="24"/>
          <w:szCs w:val="24"/>
        </w:rPr>
      </w:pPr>
    </w:p>
    <w:p w14:paraId="4022F9C0" w14:textId="77777777" w:rsidR="005B7E4B" w:rsidRDefault="005B7E4B" w:rsidP="00BC47F8">
      <w:pPr>
        <w:jc w:val="both"/>
        <w:rPr>
          <w:rFonts w:ascii="Times New Roman" w:hAnsi="Times New Roman" w:cs="Times New Roman"/>
          <w:b/>
          <w:bCs/>
          <w:sz w:val="24"/>
          <w:szCs w:val="24"/>
        </w:rPr>
      </w:pPr>
    </w:p>
    <w:p w14:paraId="1AEA593F" w14:textId="77777777" w:rsidR="005B7E4B" w:rsidRDefault="005B7E4B" w:rsidP="00BC47F8">
      <w:pPr>
        <w:jc w:val="both"/>
        <w:rPr>
          <w:rFonts w:ascii="Times New Roman" w:hAnsi="Times New Roman" w:cs="Times New Roman"/>
          <w:b/>
          <w:bCs/>
          <w:sz w:val="24"/>
          <w:szCs w:val="24"/>
        </w:rPr>
      </w:pPr>
    </w:p>
    <w:p w14:paraId="499A064A" w14:textId="77777777" w:rsidR="005B7E4B" w:rsidRDefault="005B7E4B" w:rsidP="00BC47F8">
      <w:pPr>
        <w:jc w:val="both"/>
        <w:rPr>
          <w:rFonts w:ascii="Times New Roman" w:hAnsi="Times New Roman" w:cs="Times New Roman"/>
          <w:b/>
          <w:bCs/>
          <w:sz w:val="24"/>
          <w:szCs w:val="24"/>
        </w:rPr>
      </w:pPr>
    </w:p>
    <w:p w14:paraId="7E106BC2" w14:textId="77777777" w:rsidR="005B7E4B" w:rsidRDefault="005B7E4B" w:rsidP="00BC47F8">
      <w:pPr>
        <w:jc w:val="both"/>
        <w:rPr>
          <w:rFonts w:ascii="Times New Roman" w:hAnsi="Times New Roman" w:cs="Times New Roman"/>
          <w:b/>
          <w:bCs/>
          <w:sz w:val="24"/>
          <w:szCs w:val="24"/>
        </w:rPr>
      </w:pPr>
    </w:p>
    <w:p w14:paraId="27E74769" w14:textId="77777777" w:rsidR="005B7E4B" w:rsidRDefault="005B7E4B" w:rsidP="00BC47F8">
      <w:pPr>
        <w:jc w:val="both"/>
        <w:rPr>
          <w:rFonts w:ascii="Times New Roman" w:hAnsi="Times New Roman" w:cs="Times New Roman"/>
          <w:b/>
          <w:bCs/>
          <w:sz w:val="24"/>
          <w:szCs w:val="24"/>
        </w:rPr>
      </w:pPr>
    </w:p>
    <w:p w14:paraId="3B9B446C" w14:textId="77777777" w:rsidR="005B7E4B" w:rsidRDefault="005B7E4B" w:rsidP="00BC47F8">
      <w:pPr>
        <w:jc w:val="both"/>
        <w:rPr>
          <w:rFonts w:ascii="Times New Roman" w:hAnsi="Times New Roman" w:cs="Times New Roman"/>
          <w:b/>
          <w:bCs/>
          <w:sz w:val="24"/>
          <w:szCs w:val="24"/>
        </w:rPr>
      </w:pPr>
    </w:p>
    <w:p w14:paraId="6F338661" w14:textId="77777777" w:rsidR="005B7E4B" w:rsidRDefault="005B7E4B" w:rsidP="00BC47F8">
      <w:pPr>
        <w:jc w:val="both"/>
        <w:rPr>
          <w:rFonts w:ascii="Times New Roman" w:hAnsi="Times New Roman" w:cs="Times New Roman"/>
          <w:b/>
          <w:bCs/>
          <w:sz w:val="24"/>
          <w:szCs w:val="24"/>
        </w:rPr>
      </w:pPr>
    </w:p>
    <w:p w14:paraId="5E04B9BA" w14:textId="77777777" w:rsidR="005B7E4B" w:rsidRDefault="005B7E4B" w:rsidP="00BC47F8">
      <w:pPr>
        <w:jc w:val="both"/>
        <w:rPr>
          <w:rFonts w:ascii="Times New Roman" w:hAnsi="Times New Roman" w:cs="Times New Roman"/>
          <w:b/>
          <w:bCs/>
          <w:sz w:val="24"/>
          <w:szCs w:val="24"/>
        </w:rPr>
      </w:pPr>
    </w:p>
    <w:p w14:paraId="5C4005F1" w14:textId="77777777" w:rsidR="005B7E4B" w:rsidRDefault="005B7E4B" w:rsidP="00BC47F8">
      <w:pPr>
        <w:jc w:val="both"/>
        <w:rPr>
          <w:rFonts w:ascii="Times New Roman" w:hAnsi="Times New Roman" w:cs="Times New Roman"/>
          <w:b/>
          <w:bCs/>
          <w:sz w:val="24"/>
          <w:szCs w:val="24"/>
        </w:rPr>
      </w:pPr>
    </w:p>
    <w:p w14:paraId="2E872A5D" w14:textId="77777777" w:rsidR="005B7E4B" w:rsidRDefault="005B7E4B" w:rsidP="00BC47F8">
      <w:pPr>
        <w:jc w:val="both"/>
        <w:rPr>
          <w:rFonts w:ascii="Times New Roman" w:hAnsi="Times New Roman" w:cs="Times New Roman"/>
          <w:b/>
          <w:bCs/>
          <w:sz w:val="24"/>
          <w:szCs w:val="24"/>
        </w:rPr>
      </w:pPr>
    </w:p>
    <w:p w14:paraId="11EF77CE" w14:textId="77777777" w:rsidR="005B7E4B" w:rsidRDefault="005B7E4B" w:rsidP="00BC47F8">
      <w:pPr>
        <w:jc w:val="both"/>
        <w:rPr>
          <w:rFonts w:ascii="Times New Roman" w:hAnsi="Times New Roman" w:cs="Times New Roman"/>
          <w:b/>
          <w:bCs/>
          <w:sz w:val="24"/>
          <w:szCs w:val="24"/>
        </w:rPr>
      </w:pPr>
    </w:p>
    <w:p w14:paraId="1C9A6F2A" w14:textId="77777777" w:rsidR="005B7E4B" w:rsidRDefault="005B7E4B" w:rsidP="00BC47F8">
      <w:pPr>
        <w:jc w:val="both"/>
        <w:rPr>
          <w:rFonts w:ascii="Times New Roman" w:hAnsi="Times New Roman" w:cs="Times New Roman"/>
          <w:b/>
          <w:bCs/>
          <w:sz w:val="24"/>
          <w:szCs w:val="24"/>
        </w:rPr>
      </w:pPr>
    </w:p>
    <w:p w14:paraId="104A44B1" w14:textId="77777777" w:rsidR="005B7E4B" w:rsidRDefault="005B7E4B" w:rsidP="00BC47F8">
      <w:pPr>
        <w:jc w:val="both"/>
        <w:rPr>
          <w:rFonts w:ascii="Times New Roman" w:hAnsi="Times New Roman" w:cs="Times New Roman"/>
          <w:b/>
          <w:bCs/>
          <w:sz w:val="24"/>
          <w:szCs w:val="24"/>
        </w:rPr>
      </w:pPr>
    </w:p>
    <w:p w14:paraId="26833009" w14:textId="77777777" w:rsidR="005B7E4B" w:rsidRDefault="005B7E4B" w:rsidP="00BC47F8">
      <w:pPr>
        <w:jc w:val="both"/>
        <w:rPr>
          <w:rFonts w:ascii="Times New Roman" w:hAnsi="Times New Roman" w:cs="Times New Roman"/>
          <w:b/>
          <w:bCs/>
          <w:sz w:val="24"/>
          <w:szCs w:val="24"/>
        </w:rPr>
      </w:pPr>
    </w:p>
    <w:p w14:paraId="6DE6ACC3" w14:textId="77777777" w:rsidR="005B7E4B" w:rsidRDefault="005B7E4B" w:rsidP="00BC47F8">
      <w:pPr>
        <w:jc w:val="both"/>
        <w:rPr>
          <w:rFonts w:ascii="Times New Roman" w:hAnsi="Times New Roman" w:cs="Times New Roman"/>
          <w:b/>
          <w:bCs/>
          <w:sz w:val="24"/>
          <w:szCs w:val="24"/>
        </w:rPr>
      </w:pPr>
    </w:p>
    <w:p w14:paraId="25CF5CF5" w14:textId="77777777" w:rsidR="005B7E4B" w:rsidRDefault="005B7E4B" w:rsidP="00BC47F8">
      <w:pPr>
        <w:jc w:val="both"/>
        <w:rPr>
          <w:rFonts w:ascii="Times New Roman" w:hAnsi="Times New Roman" w:cs="Times New Roman"/>
          <w:b/>
          <w:bCs/>
          <w:sz w:val="24"/>
          <w:szCs w:val="24"/>
        </w:rPr>
      </w:pPr>
    </w:p>
    <w:p w14:paraId="3DF70DEE" w14:textId="77777777" w:rsidR="005B7E4B" w:rsidRDefault="005B7E4B" w:rsidP="00BC47F8">
      <w:pPr>
        <w:jc w:val="both"/>
        <w:rPr>
          <w:rFonts w:ascii="Times New Roman" w:hAnsi="Times New Roman" w:cs="Times New Roman"/>
          <w:b/>
          <w:bCs/>
          <w:sz w:val="24"/>
          <w:szCs w:val="24"/>
        </w:rPr>
      </w:pPr>
    </w:p>
    <w:p w14:paraId="6FDF4DC0" w14:textId="77777777" w:rsidR="005B7E4B" w:rsidRDefault="005B7E4B" w:rsidP="00BC47F8">
      <w:pPr>
        <w:jc w:val="both"/>
        <w:rPr>
          <w:rFonts w:ascii="Times New Roman" w:hAnsi="Times New Roman" w:cs="Times New Roman"/>
          <w:b/>
          <w:bCs/>
          <w:sz w:val="24"/>
          <w:szCs w:val="24"/>
        </w:rPr>
      </w:pPr>
    </w:p>
    <w:p w14:paraId="56D6105F" w14:textId="30EF0420" w:rsidR="005B7E4B" w:rsidRDefault="005B7E4B" w:rsidP="005B7E4B">
      <w:pPr>
        <w:jc w:val="center"/>
        <w:rPr>
          <w:noProof/>
        </w:rPr>
      </w:pPr>
    </w:p>
    <w:p w14:paraId="5F65076B" w14:textId="130F4D9B" w:rsidR="005B7E4B" w:rsidRDefault="005B7E4B" w:rsidP="00BC47F8">
      <w:pPr>
        <w:jc w:val="both"/>
        <w:rPr>
          <w:noProof/>
        </w:rPr>
      </w:pPr>
    </w:p>
    <w:p w14:paraId="7D85547B" w14:textId="48369280" w:rsidR="005B7E4B" w:rsidRDefault="005B7E4B" w:rsidP="00BC47F8">
      <w:pPr>
        <w:jc w:val="both"/>
        <w:rPr>
          <w:noProof/>
        </w:rPr>
      </w:pPr>
    </w:p>
    <w:p w14:paraId="6CB115B8" w14:textId="38741657" w:rsidR="005B7E4B" w:rsidRPr="004934D6" w:rsidRDefault="005B7E4B" w:rsidP="00BC47F8">
      <w:pPr>
        <w:jc w:val="both"/>
        <w:rPr>
          <w:rFonts w:ascii="Times New Roman" w:hAnsi="Times New Roman" w:cs="Times New Roman"/>
          <w:b/>
          <w:bCs/>
          <w:sz w:val="24"/>
          <w:szCs w:val="24"/>
        </w:rPr>
      </w:pPr>
    </w:p>
    <w:sectPr w:rsidR="005B7E4B" w:rsidRPr="004934D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09E20" w14:textId="77777777" w:rsidR="00974DD3" w:rsidRDefault="00974DD3" w:rsidP="00E80E1D">
      <w:pPr>
        <w:spacing w:after="0" w:line="240" w:lineRule="auto"/>
      </w:pPr>
      <w:r>
        <w:separator/>
      </w:r>
    </w:p>
  </w:endnote>
  <w:endnote w:type="continuationSeparator" w:id="0">
    <w:p w14:paraId="14A96182" w14:textId="77777777" w:rsidR="00974DD3" w:rsidRDefault="00974DD3" w:rsidP="00E8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8679" w14:textId="77777777" w:rsidR="00E80E1D" w:rsidRDefault="00E80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7D08" w14:textId="77777777" w:rsidR="00E80E1D" w:rsidRDefault="00E8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0CBF" w14:textId="77777777" w:rsidR="00E80E1D" w:rsidRDefault="00E80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29C17" w14:textId="77777777" w:rsidR="00974DD3" w:rsidRDefault="00974DD3" w:rsidP="00E80E1D">
      <w:pPr>
        <w:spacing w:after="0" w:line="240" w:lineRule="auto"/>
      </w:pPr>
      <w:r>
        <w:separator/>
      </w:r>
    </w:p>
  </w:footnote>
  <w:footnote w:type="continuationSeparator" w:id="0">
    <w:p w14:paraId="04DA978B" w14:textId="77777777" w:rsidR="00974DD3" w:rsidRDefault="00974DD3" w:rsidP="00E80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67AC" w14:textId="0BD8A4DE" w:rsidR="00E80E1D" w:rsidRDefault="00974DD3">
    <w:pPr>
      <w:pStyle w:val="Header"/>
    </w:pPr>
    <w:r>
      <w:rPr>
        <w:noProof/>
      </w:rPr>
      <w:pict w14:anchorId="2B418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6D51" w14:textId="79538243" w:rsidR="00E80E1D" w:rsidRDefault="00974DD3">
    <w:pPr>
      <w:pStyle w:val="Header"/>
    </w:pPr>
    <w:r>
      <w:rPr>
        <w:noProof/>
      </w:rPr>
      <w:pict w14:anchorId="32657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95AAB" w14:textId="30644270" w:rsidR="00E80E1D" w:rsidRDefault="00974DD3">
    <w:pPr>
      <w:pStyle w:val="Header"/>
    </w:pPr>
    <w:r>
      <w:rPr>
        <w:noProof/>
      </w:rPr>
      <w:pict w14:anchorId="6CAF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6C5"/>
    <w:multiLevelType w:val="multilevel"/>
    <w:tmpl w:val="508A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F466B"/>
    <w:multiLevelType w:val="multilevel"/>
    <w:tmpl w:val="8EF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E7DD8"/>
    <w:multiLevelType w:val="multilevel"/>
    <w:tmpl w:val="1C681B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CC12CA"/>
    <w:multiLevelType w:val="hybridMultilevel"/>
    <w:tmpl w:val="7A64CC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57559E"/>
    <w:multiLevelType w:val="multilevel"/>
    <w:tmpl w:val="CD3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520F14"/>
    <w:multiLevelType w:val="multilevel"/>
    <w:tmpl w:val="6D00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240E2"/>
    <w:multiLevelType w:val="hybridMultilevel"/>
    <w:tmpl w:val="50D467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2C4732"/>
    <w:multiLevelType w:val="hybridMultilevel"/>
    <w:tmpl w:val="05AACBD0"/>
    <w:lvl w:ilvl="0" w:tplc="223E0F52">
      <w:start w:val="1"/>
      <w:numFmt w:val="decimal"/>
      <w:lvlText w:val="%1."/>
      <w:lvlJc w:val="left"/>
      <w:pPr>
        <w:ind w:left="432" w:hanging="360"/>
      </w:pPr>
      <w:rPr>
        <w:rFonts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8" w15:restartNumberingAfterBreak="0">
    <w:nsid w:val="49532C5B"/>
    <w:multiLevelType w:val="multilevel"/>
    <w:tmpl w:val="9C9C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C27289"/>
    <w:multiLevelType w:val="multilevel"/>
    <w:tmpl w:val="77F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56A2E"/>
    <w:multiLevelType w:val="multilevel"/>
    <w:tmpl w:val="620A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3"/>
  </w:num>
  <w:num w:numId="4">
    <w:abstractNumId w:val="10"/>
  </w:num>
  <w:num w:numId="5">
    <w:abstractNumId w:val="1"/>
  </w:num>
  <w:num w:numId="6">
    <w:abstractNumId w:val="0"/>
  </w:num>
  <w:num w:numId="7">
    <w:abstractNumId w:val="9"/>
  </w:num>
  <w:num w:numId="8">
    <w:abstractNumId w:val="4"/>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426"/>
    <w:rsid w:val="000A61D3"/>
    <w:rsid w:val="000B4B49"/>
    <w:rsid w:val="000B6C2F"/>
    <w:rsid w:val="000E1794"/>
    <w:rsid w:val="002255C9"/>
    <w:rsid w:val="00287B41"/>
    <w:rsid w:val="00336099"/>
    <w:rsid w:val="00340EA5"/>
    <w:rsid w:val="00471DFD"/>
    <w:rsid w:val="004834FA"/>
    <w:rsid w:val="004934D6"/>
    <w:rsid w:val="004A423F"/>
    <w:rsid w:val="004C3738"/>
    <w:rsid w:val="004E172C"/>
    <w:rsid w:val="004E648C"/>
    <w:rsid w:val="005141AD"/>
    <w:rsid w:val="005A2D90"/>
    <w:rsid w:val="005B7E4B"/>
    <w:rsid w:val="0062138A"/>
    <w:rsid w:val="00632AF8"/>
    <w:rsid w:val="006654EF"/>
    <w:rsid w:val="0068321E"/>
    <w:rsid w:val="00691376"/>
    <w:rsid w:val="006C242E"/>
    <w:rsid w:val="00706924"/>
    <w:rsid w:val="00744C78"/>
    <w:rsid w:val="007E5510"/>
    <w:rsid w:val="00835650"/>
    <w:rsid w:val="00835C3A"/>
    <w:rsid w:val="00836A66"/>
    <w:rsid w:val="00837564"/>
    <w:rsid w:val="008918D4"/>
    <w:rsid w:val="00972F34"/>
    <w:rsid w:val="00974DD3"/>
    <w:rsid w:val="009927AE"/>
    <w:rsid w:val="00A04333"/>
    <w:rsid w:val="00A12FDD"/>
    <w:rsid w:val="00A24BC0"/>
    <w:rsid w:val="00A440BB"/>
    <w:rsid w:val="00A72107"/>
    <w:rsid w:val="00AB2D1C"/>
    <w:rsid w:val="00AC48B4"/>
    <w:rsid w:val="00AC5C16"/>
    <w:rsid w:val="00B15B4D"/>
    <w:rsid w:val="00BC47F8"/>
    <w:rsid w:val="00BD5B52"/>
    <w:rsid w:val="00C06F4B"/>
    <w:rsid w:val="00C267D6"/>
    <w:rsid w:val="00C66045"/>
    <w:rsid w:val="00CA2DF7"/>
    <w:rsid w:val="00CB62E0"/>
    <w:rsid w:val="00D11C93"/>
    <w:rsid w:val="00D134C4"/>
    <w:rsid w:val="00D24AE8"/>
    <w:rsid w:val="00D57426"/>
    <w:rsid w:val="00DB799C"/>
    <w:rsid w:val="00DE6E06"/>
    <w:rsid w:val="00E42460"/>
    <w:rsid w:val="00E80E1D"/>
    <w:rsid w:val="00E823FE"/>
    <w:rsid w:val="00EC7363"/>
    <w:rsid w:val="00F11DC6"/>
    <w:rsid w:val="00F57E0F"/>
    <w:rsid w:val="00F87682"/>
    <w:rsid w:val="00FB2022"/>
    <w:rsid w:val="00FE35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7EC808"/>
  <w15:chartTrackingRefBased/>
  <w15:docId w15:val="{ACE9E212-81BA-4DD5-B24D-C2D8DBF3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4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74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74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74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74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74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4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4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4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4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74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74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74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74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74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4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4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426"/>
    <w:rPr>
      <w:rFonts w:eastAsiaTheme="majorEastAsia" w:cstheme="majorBidi"/>
      <w:color w:val="272727" w:themeColor="text1" w:themeTint="D8"/>
    </w:rPr>
  </w:style>
  <w:style w:type="paragraph" w:styleId="Title">
    <w:name w:val="Title"/>
    <w:basedOn w:val="Normal"/>
    <w:next w:val="Normal"/>
    <w:link w:val="TitleChar"/>
    <w:uiPriority w:val="10"/>
    <w:qFormat/>
    <w:rsid w:val="00D574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4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4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4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426"/>
    <w:pPr>
      <w:spacing w:before="160"/>
      <w:jc w:val="center"/>
    </w:pPr>
    <w:rPr>
      <w:i/>
      <w:iCs/>
      <w:color w:val="404040" w:themeColor="text1" w:themeTint="BF"/>
    </w:rPr>
  </w:style>
  <w:style w:type="character" w:customStyle="1" w:styleId="QuoteChar">
    <w:name w:val="Quote Char"/>
    <w:basedOn w:val="DefaultParagraphFont"/>
    <w:link w:val="Quote"/>
    <w:uiPriority w:val="29"/>
    <w:rsid w:val="00D57426"/>
    <w:rPr>
      <w:i/>
      <w:iCs/>
      <w:color w:val="404040" w:themeColor="text1" w:themeTint="BF"/>
    </w:rPr>
  </w:style>
  <w:style w:type="paragraph" w:styleId="ListParagraph">
    <w:name w:val="List Paragraph"/>
    <w:basedOn w:val="Normal"/>
    <w:uiPriority w:val="34"/>
    <w:qFormat/>
    <w:rsid w:val="00D57426"/>
    <w:pPr>
      <w:ind w:left="720"/>
      <w:contextualSpacing/>
    </w:pPr>
  </w:style>
  <w:style w:type="character" w:styleId="IntenseEmphasis">
    <w:name w:val="Intense Emphasis"/>
    <w:basedOn w:val="DefaultParagraphFont"/>
    <w:uiPriority w:val="21"/>
    <w:qFormat/>
    <w:rsid w:val="00D57426"/>
    <w:rPr>
      <w:i/>
      <w:iCs/>
      <w:color w:val="2F5496" w:themeColor="accent1" w:themeShade="BF"/>
    </w:rPr>
  </w:style>
  <w:style w:type="paragraph" w:styleId="IntenseQuote">
    <w:name w:val="Intense Quote"/>
    <w:basedOn w:val="Normal"/>
    <w:next w:val="Normal"/>
    <w:link w:val="IntenseQuoteChar"/>
    <w:uiPriority w:val="30"/>
    <w:qFormat/>
    <w:rsid w:val="00D574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7426"/>
    <w:rPr>
      <w:i/>
      <w:iCs/>
      <w:color w:val="2F5496" w:themeColor="accent1" w:themeShade="BF"/>
    </w:rPr>
  </w:style>
  <w:style w:type="character" w:styleId="IntenseReference">
    <w:name w:val="Intense Reference"/>
    <w:basedOn w:val="DefaultParagraphFont"/>
    <w:uiPriority w:val="32"/>
    <w:qFormat/>
    <w:rsid w:val="00D57426"/>
    <w:rPr>
      <w:b/>
      <w:bCs/>
      <w:smallCaps/>
      <w:color w:val="2F5496" w:themeColor="accent1" w:themeShade="BF"/>
      <w:spacing w:val="5"/>
    </w:rPr>
  </w:style>
  <w:style w:type="paragraph" w:styleId="NormalWeb">
    <w:name w:val="Normal (Web)"/>
    <w:basedOn w:val="Normal"/>
    <w:uiPriority w:val="99"/>
    <w:semiHidden/>
    <w:unhideWhenUsed/>
    <w:rsid w:val="00691376"/>
    <w:rPr>
      <w:rFonts w:ascii="Times New Roman" w:hAnsi="Times New Roman" w:cs="Times New Roman"/>
      <w:sz w:val="24"/>
      <w:szCs w:val="24"/>
    </w:rPr>
  </w:style>
  <w:style w:type="paragraph" w:styleId="Caption">
    <w:name w:val="caption"/>
    <w:basedOn w:val="Normal"/>
    <w:next w:val="Normal"/>
    <w:uiPriority w:val="35"/>
    <w:unhideWhenUsed/>
    <w:qFormat/>
    <w:rsid w:val="005B7E4B"/>
    <w:pPr>
      <w:spacing w:after="200" w:line="240" w:lineRule="auto"/>
    </w:pPr>
    <w:rPr>
      <w:i/>
      <w:iCs/>
      <w:color w:val="44546A" w:themeColor="text2"/>
      <w:sz w:val="18"/>
      <w:szCs w:val="18"/>
    </w:rPr>
  </w:style>
  <w:style w:type="character" w:styleId="Hyperlink">
    <w:name w:val="Hyperlink"/>
    <w:basedOn w:val="DefaultParagraphFont"/>
    <w:uiPriority w:val="99"/>
    <w:unhideWhenUsed/>
    <w:rsid w:val="00A24BC0"/>
    <w:rPr>
      <w:color w:val="0563C1" w:themeColor="hyperlink"/>
      <w:u w:val="single"/>
    </w:rPr>
  </w:style>
  <w:style w:type="paragraph" w:styleId="Header">
    <w:name w:val="header"/>
    <w:basedOn w:val="Normal"/>
    <w:link w:val="HeaderChar"/>
    <w:uiPriority w:val="99"/>
    <w:unhideWhenUsed/>
    <w:rsid w:val="00E80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E1D"/>
  </w:style>
  <w:style w:type="paragraph" w:styleId="Footer">
    <w:name w:val="footer"/>
    <w:basedOn w:val="Normal"/>
    <w:link w:val="FooterChar"/>
    <w:uiPriority w:val="99"/>
    <w:unhideWhenUsed/>
    <w:rsid w:val="00E80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9FED-2771-4562-86A3-29A31FC7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Sundaresan V</dc:creator>
  <cp:keywords/>
  <dc:description/>
  <cp:lastModifiedBy>SDI 1183</cp:lastModifiedBy>
  <cp:revision>20</cp:revision>
  <dcterms:created xsi:type="dcterms:W3CDTF">2025-07-27T00:56:00Z</dcterms:created>
  <dcterms:modified xsi:type="dcterms:W3CDTF">2025-09-08T11:26:00Z</dcterms:modified>
</cp:coreProperties>
</file>