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159F" w14:textId="77777777" w:rsidR="00AC456E" w:rsidRPr="00AC456E" w:rsidRDefault="00AC456E" w:rsidP="00AC456E">
      <w:pPr>
        <w:pStyle w:val="Title"/>
        <w:jc w:val="both"/>
        <w:rPr>
          <w:rFonts w:ascii="Arial" w:hAnsi="Arial" w:cs="Arial"/>
          <w:bCs/>
          <w:i/>
          <w:iCs/>
          <w:u w:val="single"/>
        </w:rPr>
      </w:pPr>
      <w:r w:rsidRPr="00AC456E">
        <w:rPr>
          <w:rFonts w:ascii="Arial" w:hAnsi="Arial" w:cs="Arial"/>
          <w:bCs/>
          <w:i/>
          <w:iCs/>
          <w:u w:val="single"/>
        </w:rPr>
        <w:t>Short Research Article</w:t>
      </w:r>
    </w:p>
    <w:p w14:paraId="74A6ABE9" w14:textId="77777777" w:rsidR="00754C9A" w:rsidRDefault="00754C9A" w:rsidP="00441B6F">
      <w:pPr>
        <w:pStyle w:val="Title"/>
        <w:spacing w:after="0"/>
        <w:jc w:val="both"/>
        <w:rPr>
          <w:rFonts w:ascii="Arial" w:hAnsi="Arial" w:cs="Arial"/>
        </w:rPr>
      </w:pPr>
    </w:p>
    <w:p w14:paraId="391E12C4" w14:textId="3D08E011" w:rsidR="00163BC4" w:rsidRPr="00163BC4" w:rsidRDefault="008127C5" w:rsidP="00441B6F">
      <w:pPr>
        <w:pStyle w:val="Author"/>
        <w:spacing w:line="240" w:lineRule="auto"/>
        <w:rPr>
          <w:rFonts w:ascii="Arial" w:hAnsi="Arial" w:cs="Arial"/>
          <w:bCs/>
          <w:iCs/>
          <w:kern w:val="28"/>
          <w:sz w:val="36"/>
        </w:rPr>
      </w:pPr>
      <w:bookmarkStart w:id="0" w:name="_Hlk208490414"/>
      <w:r>
        <w:rPr>
          <w:rFonts w:ascii="Arial" w:hAnsi="Arial" w:cs="Arial"/>
          <w:bCs/>
          <w:iCs/>
          <w:kern w:val="28"/>
          <w:sz w:val="36"/>
        </w:rPr>
        <w:t xml:space="preserve">Association between </w:t>
      </w:r>
      <w:r w:rsidR="00CE675D">
        <w:rPr>
          <w:rFonts w:ascii="Arial" w:hAnsi="Arial" w:cs="Arial"/>
          <w:bCs/>
          <w:iCs/>
          <w:kern w:val="28"/>
          <w:sz w:val="36"/>
        </w:rPr>
        <w:t xml:space="preserve">Chemotherapy Regimens for </w:t>
      </w:r>
      <w:proofErr w:type="spellStart"/>
      <w:r w:rsidR="00CE675D">
        <w:rPr>
          <w:rFonts w:ascii="Arial" w:hAnsi="Arial" w:cs="Arial"/>
          <w:bCs/>
          <w:iCs/>
          <w:kern w:val="28"/>
          <w:sz w:val="36"/>
        </w:rPr>
        <w:t>Haematologic</w:t>
      </w:r>
      <w:proofErr w:type="spellEnd"/>
      <w:r w:rsidR="00CE675D">
        <w:rPr>
          <w:rFonts w:ascii="Arial" w:hAnsi="Arial" w:cs="Arial"/>
          <w:bCs/>
          <w:iCs/>
          <w:kern w:val="28"/>
          <w:sz w:val="36"/>
        </w:rPr>
        <w:t xml:space="preserve"> Malignancies and Delays in Treatment Initiation: Findings </w:t>
      </w:r>
      <w:r w:rsidR="006C17AF">
        <w:rPr>
          <w:rFonts w:ascii="Arial" w:hAnsi="Arial" w:cs="Arial"/>
          <w:bCs/>
          <w:iCs/>
          <w:kern w:val="28"/>
          <w:sz w:val="36"/>
        </w:rPr>
        <w:t>from</w:t>
      </w:r>
      <w:r w:rsidR="00CE675D">
        <w:rPr>
          <w:rFonts w:ascii="Arial" w:hAnsi="Arial" w:cs="Arial"/>
          <w:bCs/>
          <w:iCs/>
          <w:kern w:val="28"/>
          <w:sz w:val="36"/>
        </w:rPr>
        <w:t xml:space="preserve"> a Resource-constrained Clinical Setting</w:t>
      </w:r>
      <w:r w:rsidR="00231920">
        <w:rPr>
          <w:rFonts w:ascii="Arial" w:hAnsi="Arial" w:cs="Arial"/>
          <w:bCs/>
          <w:iCs/>
          <w:kern w:val="28"/>
          <w:sz w:val="36"/>
        </w:rPr>
        <w:t xml:space="preserve"> </w:t>
      </w:r>
    </w:p>
    <w:bookmarkEnd w:id="0"/>
    <w:p w14:paraId="28E9F3AD" w14:textId="1F1FE919" w:rsidR="00B01FCD" w:rsidRPr="00A52D6B" w:rsidRDefault="00B01FCD" w:rsidP="00441B6F">
      <w:pPr>
        <w:pStyle w:val="AbstHead"/>
        <w:spacing w:after="0"/>
        <w:jc w:val="both"/>
        <w:rPr>
          <w:rFonts w:ascii="Arial" w:hAnsi="Arial" w:cs="Arial"/>
          <w:highlight w:val="yellow"/>
        </w:rPr>
      </w:pPr>
      <w:r w:rsidRPr="00A52D6B">
        <w:rPr>
          <w:rFonts w:ascii="Arial" w:hAnsi="Arial" w:cs="Arial"/>
          <w:highlight w:val="yellow"/>
        </w:rPr>
        <w:t>ABSTRACT</w:t>
      </w:r>
    </w:p>
    <w:p w14:paraId="3235ECCB" w14:textId="77777777" w:rsidR="00790ADA" w:rsidRPr="00A52D6B" w:rsidRDefault="00790ADA" w:rsidP="00441B6F">
      <w:pPr>
        <w:pStyle w:val="AbstHead"/>
        <w:spacing w:after="0"/>
        <w:jc w:val="both"/>
        <w:rPr>
          <w:rFonts w:ascii="Arial" w:hAnsi="Arial" w:cs="Arial"/>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6A1C959" w14:textId="77777777" w:rsidTr="001E44FE">
        <w:tc>
          <w:tcPr>
            <w:tcW w:w="9576" w:type="dxa"/>
            <w:shd w:val="clear" w:color="auto" w:fill="F2F2F2"/>
          </w:tcPr>
          <w:p w14:paraId="54B64586" w14:textId="77777777" w:rsidR="00A52D6B" w:rsidRPr="00A52D6B" w:rsidRDefault="007178DC" w:rsidP="007178DC">
            <w:pPr>
              <w:pStyle w:val="Body"/>
              <w:spacing w:after="0"/>
              <w:rPr>
                <w:rFonts w:ascii="Arial" w:eastAsia="Calibri" w:hAnsi="Arial" w:cs="Arial"/>
                <w:szCs w:val="22"/>
                <w:highlight w:val="yellow"/>
              </w:rPr>
            </w:pPr>
            <w:r w:rsidRPr="00A52D6B">
              <w:rPr>
                <w:rFonts w:ascii="Arial" w:eastAsia="Calibri" w:hAnsi="Arial" w:cs="Arial"/>
                <w:b/>
                <w:szCs w:val="22"/>
                <w:highlight w:val="yellow"/>
              </w:rPr>
              <w:t>Introduction:</w:t>
            </w:r>
            <w:r w:rsidRPr="00A52D6B">
              <w:rPr>
                <w:rFonts w:ascii="Arial" w:eastAsia="Calibri" w:hAnsi="Arial" w:cs="Arial"/>
                <w:szCs w:val="22"/>
                <w:highlight w:val="yellow"/>
              </w:rPr>
              <w:t xml:space="preserve"> Chemotherapy regimens used in treating </w:t>
            </w:r>
            <w:proofErr w:type="spellStart"/>
            <w:r w:rsidRPr="00A52D6B">
              <w:rPr>
                <w:rFonts w:ascii="Arial" w:eastAsia="Calibri" w:hAnsi="Arial" w:cs="Arial"/>
                <w:szCs w:val="22"/>
                <w:highlight w:val="yellow"/>
              </w:rPr>
              <w:t>haematologic</w:t>
            </w:r>
            <w:proofErr w:type="spellEnd"/>
            <w:r w:rsidRPr="00A52D6B">
              <w:rPr>
                <w:rFonts w:ascii="Arial" w:eastAsia="Calibri" w:hAnsi="Arial" w:cs="Arial"/>
                <w:szCs w:val="22"/>
                <w:highlight w:val="yellow"/>
              </w:rPr>
              <w:t xml:space="preserve"> malignancies could be targeted or non-specific. Targeted-therapy requires further confirmatory testing to be done and these could occasion delays in initiation. Cost of regimens and availability of these regimens are other factors which could impact on the time to initiation of therapy for these patients. </w:t>
            </w:r>
          </w:p>
          <w:p w14:paraId="60555C94" w14:textId="78C0C729" w:rsidR="007178DC" w:rsidRPr="00A52D6B" w:rsidRDefault="00A52D6B" w:rsidP="007178DC">
            <w:pPr>
              <w:pStyle w:val="Body"/>
              <w:spacing w:after="0"/>
              <w:rPr>
                <w:rFonts w:ascii="Arial" w:eastAsia="Calibri" w:hAnsi="Arial" w:cs="Arial"/>
                <w:szCs w:val="22"/>
                <w:highlight w:val="yellow"/>
              </w:rPr>
            </w:pPr>
            <w:r w:rsidRPr="00A52D6B">
              <w:rPr>
                <w:rFonts w:ascii="Arial" w:eastAsia="Calibri" w:hAnsi="Arial" w:cs="Arial"/>
                <w:b/>
                <w:szCs w:val="22"/>
                <w:highlight w:val="yellow"/>
              </w:rPr>
              <w:t>Aim:</w:t>
            </w:r>
            <w:r w:rsidRPr="00A52D6B">
              <w:rPr>
                <w:rFonts w:ascii="Arial" w:eastAsia="Calibri" w:hAnsi="Arial" w:cs="Arial"/>
                <w:szCs w:val="22"/>
                <w:highlight w:val="yellow"/>
              </w:rPr>
              <w:t xml:space="preserve"> </w:t>
            </w:r>
            <w:r w:rsidR="007178DC" w:rsidRPr="00A52D6B">
              <w:rPr>
                <w:rFonts w:ascii="Arial" w:eastAsia="Calibri" w:hAnsi="Arial" w:cs="Arial"/>
                <w:szCs w:val="22"/>
                <w:highlight w:val="yellow"/>
              </w:rPr>
              <w:t>This study aimed to assess if the relationship between type of chemotherapy regimen and delays in commencement of definitive treatment.</w:t>
            </w:r>
          </w:p>
          <w:p w14:paraId="45CD8955" w14:textId="16A568D5" w:rsidR="007178DC" w:rsidRPr="00A52D6B" w:rsidRDefault="007178DC" w:rsidP="007178DC">
            <w:pPr>
              <w:pStyle w:val="Body"/>
              <w:spacing w:after="0"/>
              <w:rPr>
                <w:rFonts w:ascii="Arial" w:eastAsia="Calibri" w:hAnsi="Arial" w:cs="Arial"/>
                <w:szCs w:val="22"/>
                <w:highlight w:val="yellow"/>
              </w:rPr>
            </w:pPr>
            <w:r w:rsidRPr="00A52D6B">
              <w:rPr>
                <w:rFonts w:ascii="Arial" w:eastAsia="Calibri" w:hAnsi="Arial" w:cs="Arial"/>
                <w:b/>
                <w:szCs w:val="22"/>
                <w:highlight w:val="yellow"/>
              </w:rPr>
              <w:t>Methods:</w:t>
            </w:r>
            <w:r w:rsidRPr="00A52D6B">
              <w:rPr>
                <w:rFonts w:ascii="Arial" w:eastAsia="Calibri" w:hAnsi="Arial" w:cs="Arial"/>
                <w:szCs w:val="22"/>
                <w:highlight w:val="yellow"/>
              </w:rPr>
              <w:t xml:space="preserve"> A retrospective, cross-sectional study carried out on adult patients with </w:t>
            </w:r>
            <w:proofErr w:type="spellStart"/>
            <w:r w:rsidRPr="00A52D6B">
              <w:rPr>
                <w:rFonts w:ascii="Arial" w:eastAsia="Calibri" w:hAnsi="Arial" w:cs="Arial"/>
                <w:szCs w:val="22"/>
                <w:highlight w:val="yellow"/>
              </w:rPr>
              <w:t>haematologic</w:t>
            </w:r>
            <w:proofErr w:type="spellEnd"/>
            <w:r w:rsidRPr="00A52D6B">
              <w:rPr>
                <w:rFonts w:ascii="Arial" w:eastAsia="Calibri" w:hAnsi="Arial" w:cs="Arial"/>
                <w:szCs w:val="22"/>
                <w:highlight w:val="yellow"/>
              </w:rPr>
              <w:t xml:space="preserve"> malignancies that received definitive treatment with chemotherapy regimens over a 10-year period</w:t>
            </w:r>
            <w:r w:rsidR="007863CA" w:rsidRPr="00A52D6B">
              <w:rPr>
                <w:rFonts w:ascii="Arial" w:eastAsia="Calibri" w:hAnsi="Arial" w:cs="Arial"/>
                <w:szCs w:val="22"/>
                <w:highlight w:val="yellow"/>
              </w:rPr>
              <w:t xml:space="preserve"> at the University of Port Harcourt Teaching Hospital, Nigeria</w:t>
            </w:r>
            <w:r w:rsidRPr="00A52D6B">
              <w:rPr>
                <w:rFonts w:ascii="Arial" w:eastAsia="Calibri" w:hAnsi="Arial" w:cs="Arial"/>
                <w:szCs w:val="22"/>
                <w:highlight w:val="yellow"/>
              </w:rPr>
              <w:t>.</w:t>
            </w:r>
          </w:p>
          <w:p w14:paraId="791A6D79" w14:textId="4DB984AA" w:rsidR="007178DC" w:rsidRPr="00A52D6B" w:rsidRDefault="007178DC" w:rsidP="007178DC">
            <w:pPr>
              <w:pStyle w:val="Body"/>
              <w:spacing w:after="0"/>
              <w:rPr>
                <w:rFonts w:ascii="Arial" w:eastAsia="Calibri" w:hAnsi="Arial" w:cs="Arial"/>
                <w:szCs w:val="22"/>
                <w:highlight w:val="yellow"/>
              </w:rPr>
            </w:pPr>
            <w:r w:rsidRPr="00A52D6B">
              <w:rPr>
                <w:rFonts w:ascii="Arial" w:eastAsia="Calibri" w:hAnsi="Arial" w:cs="Arial"/>
                <w:b/>
                <w:szCs w:val="22"/>
                <w:highlight w:val="yellow"/>
              </w:rPr>
              <w:t>Results:</w:t>
            </w:r>
            <w:r w:rsidR="00A52D6B" w:rsidRPr="00A52D6B">
              <w:rPr>
                <w:rFonts w:ascii="Arial" w:eastAsia="Calibri" w:hAnsi="Arial" w:cs="Arial"/>
                <w:b/>
                <w:szCs w:val="22"/>
                <w:highlight w:val="yellow"/>
              </w:rPr>
              <w:t xml:space="preserve"> </w:t>
            </w:r>
            <w:r w:rsidR="00A52D6B" w:rsidRPr="00A52D6B">
              <w:rPr>
                <w:rFonts w:ascii="Arial" w:eastAsia="Calibri" w:hAnsi="Arial" w:cs="Arial"/>
                <w:szCs w:val="22"/>
                <w:highlight w:val="yellow"/>
              </w:rPr>
              <w:t>A total of</w:t>
            </w:r>
            <w:r w:rsidRPr="00A52D6B">
              <w:rPr>
                <w:rFonts w:ascii="Arial" w:eastAsia="Calibri" w:hAnsi="Arial" w:cs="Arial"/>
                <w:szCs w:val="22"/>
                <w:highlight w:val="yellow"/>
              </w:rPr>
              <w:t xml:space="preserve"> 72 patients were enrolled into the study of which 69.4% received chemotherapy, while 30.6% did not. </w:t>
            </w:r>
            <w:r w:rsidR="00A52D6B" w:rsidRPr="00A52D6B">
              <w:rPr>
                <w:rFonts w:ascii="Arial" w:eastAsia="Calibri" w:hAnsi="Arial" w:cs="Arial"/>
                <w:szCs w:val="22"/>
                <w:highlight w:val="yellow"/>
              </w:rPr>
              <w:t xml:space="preserve">This study showed that 50% of adult </w:t>
            </w:r>
            <w:proofErr w:type="spellStart"/>
            <w:r w:rsidR="00A52D6B" w:rsidRPr="00A52D6B">
              <w:rPr>
                <w:rFonts w:ascii="Arial" w:eastAsia="Calibri" w:hAnsi="Arial" w:cs="Arial"/>
                <w:szCs w:val="22"/>
                <w:highlight w:val="yellow"/>
              </w:rPr>
              <w:t>haematologic</w:t>
            </w:r>
            <w:proofErr w:type="spellEnd"/>
            <w:r w:rsidR="00A52D6B" w:rsidRPr="00A52D6B">
              <w:rPr>
                <w:rFonts w:ascii="Arial" w:eastAsia="Calibri" w:hAnsi="Arial" w:cs="Arial"/>
                <w:szCs w:val="22"/>
                <w:highlight w:val="yellow"/>
              </w:rPr>
              <w:t xml:space="preserve"> cancer patients who receive definitive chemotherapy experience delays between diagnosis and commencement of chemotherapy. A statistically significant relationship between type of chemotherapy regimen and delays in their commencement, P =.04 was established in this study.</w:t>
            </w:r>
          </w:p>
          <w:p w14:paraId="05E6B4DF" w14:textId="77777777" w:rsidR="007178DC" w:rsidRPr="007178DC" w:rsidRDefault="007178DC" w:rsidP="007178DC">
            <w:pPr>
              <w:pStyle w:val="Body"/>
              <w:spacing w:after="0"/>
              <w:rPr>
                <w:rFonts w:ascii="Arial" w:eastAsia="Calibri" w:hAnsi="Arial" w:cs="Arial"/>
                <w:szCs w:val="22"/>
              </w:rPr>
            </w:pPr>
            <w:r w:rsidRPr="00A52D6B">
              <w:rPr>
                <w:rFonts w:ascii="Arial" w:eastAsia="Calibri" w:hAnsi="Arial" w:cs="Arial"/>
                <w:b/>
                <w:szCs w:val="22"/>
                <w:highlight w:val="yellow"/>
              </w:rPr>
              <w:t>Conclusion:</w:t>
            </w:r>
            <w:r w:rsidRPr="00A52D6B">
              <w:rPr>
                <w:rFonts w:ascii="Arial" w:eastAsia="Calibri" w:hAnsi="Arial" w:cs="Arial"/>
                <w:szCs w:val="22"/>
                <w:highlight w:val="yellow"/>
              </w:rPr>
              <w:t xml:space="preserve"> Type of chemotherapy has relation to delay in initiation of treatment in patients with </w:t>
            </w:r>
            <w:proofErr w:type="spellStart"/>
            <w:r w:rsidRPr="00A52D6B">
              <w:rPr>
                <w:rFonts w:ascii="Arial" w:eastAsia="Calibri" w:hAnsi="Arial" w:cs="Arial"/>
                <w:szCs w:val="22"/>
                <w:highlight w:val="yellow"/>
              </w:rPr>
              <w:t>haematologic</w:t>
            </w:r>
            <w:proofErr w:type="spellEnd"/>
            <w:r w:rsidRPr="00A52D6B">
              <w:rPr>
                <w:rFonts w:ascii="Arial" w:eastAsia="Calibri" w:hAnsi="Arial" w:cs="Arial"/>
                <w:szCs w:val="22"/>
                <w:highlight w:val="yellow"/>
              </w:rPr>
              <w:t xml:space="preserve"> malignancies.</w:t>
            </w:r>
          </w:p>
          <w:p w14:paraId="6AC36FB8" w14:textId="28FC2839" w:rsidR="00505F06" w:rsidRPr="00BA1B01" w:rsidRDefault="00505F06" w:rsidP="00441B6F">
            <w:pPr>
              <w:pStyle w:val="Body"/>
              <w:spacing w:after="0"/>
              <w:rPr>
                <w:rFonts w:ascii="Arial" w:eastAsia="Calibri" w:hAnsi="Arial" w:cs="Arial"/>
                <w:szCs w:val="22"/>
              </w:rPr>
            </w:pPr>
          </w:p>
        </w:tc>
      </w:tr>
    </w:tbl>
    <w:p w14:paraId="67B63D90" w14:textId="77777777" w:rsidR="00636EB2" w:rsidRDefault="00636EB2" w:rsidP="00441B6F">
      <w:pPr>
        <w:pStyle w:val="Body"/>
        <w:spacing w:after="0"/>
        <w:rPr>
          <w:rFonts w:ascii="Arial" w:hAnsi="Arial" w:cs="Arial"/>
          <w:i/>
        </w:rPr>
      </w:pPr>
    </w:p>
    <w:p w14:paraId="55649C2C" w14:textId="70708642" w:rsidR="00A24E7E" w:rsidRDefault="00A24E7E" w:rsidP="00441B6F">
      <w:pPr>
        <w:pStyle w:val="Body"/>
        <w:spacing w:after="0"/>
        <w:rPr>
          <w:rFonts w:ascii="Arial" w:hAnsi="Arial" w:cs="Arial"/>
          <w:i/>
        </w:rPr>
      </w:pPr>
      <w:r>
        <w:rPr>
          <w:rFonts w:ascii="Arial" w:hAnsi="Arial" w:cs="Arial"/>
          <w:i/>
        </w:rPr>
        <w:t>Keywords: [</w:t>
      </w:r>
      <w:r w:rsidR="00F83048" w:rsidRPr="00F83048">
        <w:rPr>
          <w:rFonts w:ascii="Arial" w:hAnsi="Arial" w:cs="Arial"/>
          <w:i/>
        </w:rPr>
        <w:t xml:space="preserve">Chemotherapy regimens, </w:t>
      </w:r>
      <w:proofErr w:type="spellStart"/>
      <w:r w:rsidR="00F83048" w:rsidRPr="00F83048">
        <w:rPr>
          <w:rFonts w:ascii="Arial" w:hAnsi="Arial" w:cs="Arial"/>
          <w:i/>
        </w:rPr>
        <w:t>haematologic</w:t>
      </w:r>
      <w:proofErr w:type="spellEnd"/>
      <w:r w:rsidR="00F83048" w:rsidRPr="00F83048">
        <w:rPr>
          <w:rFonts w:ascii="Arial" w:hAnsi="Arial" w:cs="Arial"/>
          <w:i/>
        </w:rPr>
        <w:t xml:space="preserve"> cancers, </w:t>
      </w:r>
      <w:proofErr w:type="spellStart"/>
      <w:r w:rsidR="00F83048" w:rsidRPr="00F83048">
        <w:rPr>
          <w:rFonts w:ascii="Arial" w:hAnsi="Arial" w:cs="Arial"/>
          <w:i/>
        </w:rPr>
        <w:t>haematologic</w:t>
      </w:r>
      <w:proofErr w:type="spellEnd"/>
      <w:r w:rsidR="00F83048" w:rsidRPr="00F83048">
        <w:rPr>
          <w:rFonts w:ascii="Arial" w:hAnsi="Arial" w:cs="Arial"/>
          <w:i/>
        </w:rPr>
        <w:t xml:space="preserve"> malignancies, delay</w:t>
      </w:r>
      <w:r w:rsidR="002B2C49">
        <w:rPr>
          <w:rFonts w:ascii="Arial" w:hAnsi="Arial" w:cs="Arial"/>
          <w:i/>
        </w:rPr>
        <w:t>ed</w:t>
      </w:r>
      <w:r w:rsidR="00F83048" w:rsidRPr="00F83048">
        <w:rPr>
          <w:rFonts w:ascii="Arial" w:hAnsi="Arial" w:cs="Arial"/>
          <w:i/>
        </w:rPr>
        <w:t xml:space="preserve"> commencement of treatment</w:t>
      </w:r>
      <w:r>
        <w:rPr>
          <w:rFonts w:ascii="Arial" w:hAnsi="Arial" w:cs="Arial"/>
          <w:i/>
        </w:rPr>
        <w:t>}</w:t>
      </w:r>
    </w:p>
    <w:p w14:paraId="0F26C568" w14:textId="77777777" w:rsidR="00505F06" w:rsidRPr="00A24E7E" w:rsidRDefault="00505F06" w:rsidP="00441B6F">
      <w:pPr>
        <w:pStyle w:val="Body"/>
        <w:spacing w:after="0"/>
        <w:rPr>
          <w:rFonts w:ascii="Arial" w:hAnsi="Arial" w:cs="Arial"/>
          <w:i/>
        </w:rPr>
      </w:pPr>
    </w:p>
    <w:p w14:paraId="5D6FDE74" w14:textId="0895BAB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7B5E068" w14:textId="77777777" w:rsidR="00790ADA" w:rsidRPr="00FB3A86" w:rsidRDefault="00790ADA" w:rsidP="00441B6F">
      <w:pPr>
        <w:pStyle w:val="AbstHead"/>
        <w:spacing w:after="0"/>
        <w:jc w:val="both"/>
        <w:rPr>
          <w:rFonts w:ascii="Arial" w:hAnsi="Arial" w:cs="Arial"/>
        </w:rPr>
      </w:pPr>
    </w:p>
    <w:p w14:paraId="666134D8" w14:textId="6A1E983E" w:rsidR="00DF6DD7" w:rsidRDefault="001B4EF4" w:rsidP="0021670F">
      <w:pPr>
        <w:pStyle w:val="Body"/>
        <w:rPr>
          <w:rFonts w:ascii="Arial" w:eastAsia="Calibri" w:hAnsi="Arial" w:cs="Arial"/>
          <w:szCs w:val="22"/>
        </w:rPr>
      </w:pPr>
      <w:r>
        <w:rPr>
          <w:rFonts w:ascii="Arial" w:eastAsia="Calibri" w:hAnsi="Arial" w:cs="Arial"/>
          <w:szCs w:val="22"/>
        </w:rPr>
        <w:t>Malignancies are defined by collection of cells which have acquired proliferation advantage</w:t>
      </w:r>
      <w:r w:rsidR="00897A09">
        <w:rPr>
          <w:rFonts w:ascii="Arial" w:eastAsia="Calibri" w:hAnsi="Arial" w:cs="Arial"/>
          <w:szCs w:val="22"/>
        </w:rPr>
        <w:t>,</w:t>
      </w:r>
      <w:r>
        <w:rPr>
          <w:rFonts w:ascii="Arial" w:eastAsia="Calibri" w:hAnsi="Arial" w:cs="Arial"/>
          <w:szCs w:val="22"/>
        </w:rPr>
        <w:t xml:space="preserve"> and </w:t>
      </w:r>
      <w:r w:rsidR="000011F8">
        <w:rPr>
          <w:rFonts w:ascii="Arial" w:eastAsia="Calibri" w:hAnsi="Arial" w:cs="Arial"/>
          <w:szCs w:val="22"/>
        </w:rPr>
        <w:t>that have lost</w:t>
      </w:r>
      <w:r w:rsidR="00EA05C2">
        <w:rPr>
          <w:rFonts w:ascii="Arial" w:eastAsia="Calibri" w:hAnsi="Arial" w:cs="Arial"/>
          <w:szCs w:val="22"/>
        </w:rPr>
        <w:t xml:space="preserve"> </w:t>
      </w:r>
      <w:r w:rsidR="00897A09">
        <w:rPr>
          <w:rFonts w:ascii="Arial" w:eastAsia="Calibri" w:hAnsi="Arial" w:cs="Arial"/>
          <w:szCs w:val="22"/>
        </w:rPr>
        <w:t xml:space="preserve">the </w:t>
      </w:r>
      <w:r w:rsidR="000011F8">
        <w:rPr>
          <w:rFonts w:ascii="Arial" w:eastAsia="Calibri" w:hAnsi="Arial" w:cs="Arial"/>
          <w:szCs w:val="22"/>
        </w:rPr>
        <w:t xml:space="preserve">contact inhibition </w:t>
      </w:r>
      <w:r w:rsidR="00897A09">
        <w:rPr>
          <w:rFonts w:ascii="Arial" w:eastAsia="Calibri" w:hAnsi="Arial" w:cs="Arial"/>
          <w:szCs w:val="22"/>
        </w:rPr>
        <w:t>that</w:t>
      </w:r>
      <w:r w:rsidR="000011F8">
        <w:rPr>
          <w:rFonts w:ascii="Arial" w:eastAsia="Calibri" w:hAnsi="Arial" w:cs="Arial"/>
          <w:szCs w:val="22"/>
        </w:rPr>
        <w:t xml:space="preserve"> characterize normal cells</w:t>
      </w:r>
      <w:r w:rsidR="007B39AC">
        <w:rPr>
          <w:rFonts w:ascii="Arial" w:eastAsia="Calibri" w:hAnsi="Arial" w:cs="Arial"/>
          <w:szCs w:val="22"/>
        </w:rPr>
        <w:t xml:space="preserve"> (Grimes &amp; Fletcher 2020)</w:t>
      </w:r>
      <w:r w:rsidR="00002D5C">
        <w:rPr>
          <w:rFonts w:ascii="Arial" w:eastAsia="Calibri" w:hAnsi="Arial" w:cs="Arial"/>
          <w:szCs w:val="22"/>
        </w:rPr>
        <w:t>.</w:t>
      </w:r>
      <w:r w:rsidR="000011F8">
        <w:rPr>
          <w:rFonts w:ascii="Arial" w:eastAsia="Calibri" w:hAnsi="Arial" w:cs="Arial"/>
          <w:szCs w:val="22"/>
        </w:rPr>
        <w:t xml:space="preserve"> </w:t>
      </w:r>
      <w:r w:rsidR="00EA05C2">
        <w:rPr>
          <w:rFonts w:ascii="Arial" w:eastAsia="Calibri" w:hAnsi="Arial" w:cs="Arial"/>
          <w:szCs w:val="22"/>
        </w:rPr>
        <w:t xml:space="preserve">These alterations in the physiology of the </w:t>
      </w:r>
      <w:r w:rsidR="005D3081">
        <w:rPr>
          <w:rFonts w:ascii="Arial" w:eastAsia="Calibri" w:hAnsi="Arial" w:cs="Arial"/>
          <w:szCs w:val="22"/>
        </w:rPr>
        <w:t xml:space="preserve">abnormal </w:t>
      </w:r>
      <w:r w:rsidR="00EA05C2">
        <w:rPr>
          <w:rFonts w:ascii="Arial" w:eastAsia="Calibri" w:hAnsi="Arial" w:cs="Arial"/>
          <w:szCs w:val="22"/>
        </w:rPr>
        <w:t xml:space="preserve">cells </w:t>
      </w:r>
      <w:r w:rsidR="00ED3372">
        <w:rPr>
          <w:rFonts w:ascii="Arial" w:eastAsia="Calibri" w:hAnsi="Arial" w:cs="Arial"/>
          <w:szCs w:val="22"/>
        </w:rPr>
        <w:t xml:space="preserve">may be due to genetic or epigenetic events, </w:t>
      </w:r>
      <w:r w:rsidR="005D3081">
        <w:rPr>
          <w:rFonts w:ascii="Arial" w:eastAsia="Calibri" w:hAnsi="Arial" w:cs="Arial"/>
          <w:szCs w:val="22"/>
        </w:rPr>
        <w:t xml:space="preserve">or </w:t>
      </w:r>
      <w:r w:rsidR="00ED3372">
        <w:rPr>
          <w:rFonts w:ascii="Arial" w:eastAsia="Calibri" w:hAnsi="Arial" w:cs="Arial"/>
          <w:szCs w:val="22"/>
        </w:rPr>
        <w:t>translocation aberrations</w:t>
      </w:r>
      <w:r w:rsidR="005D3081">
        <w:rPr>
          <w:rFonts w:ascii="Arial" w:eastAsia="Calibri" w:hAnsi="Arial" w:cs="Arial"/>
          <w:szCs w:val="22"/>
        </w:rPr>
        <w:t xml:space="preserve"> which may occur in the setting of infections, environmental </w:t>
      </w:r>
      <w:r w:rsidR="00EC17B1">
        <w:rPr>
          <w:rFonts w:ascii="Arial" w:eastAsia="Calibri" w:hAnsi="Arial" w:cs="Arial"/>
          <w:szCs w:val="22"/>
        </w:rPr>
        <w:t xml:space="preserve">and toxic </w:t>
      </w:r>
      <w:r w:rsidR="005D3081">
        <w:rPr>
          <w:rFonts w:ascii="Arial" w:eastAsia="Calibri" w:hAnsi="Arial" w:cs="Arial"/>
          <w:szCs w:val="22"/>
        </w:rPr>
        <w:t xml:space="preserve">exposures, or </w:t>
      </w:r>
      <w:r w:rsidR="00EC17B1">
        <w:rPr>
          <w:rFonts w:ascii="Arial" w:eastAsia="Calibri" w:hAnsi="Arial" w:cs="Arial"/>
          <w:szCs w:val="22"/>
        </w:rPr>
        <w:t>by means which are yet</w:t>
      </w:r>
      <w:r w:rsidR="00581C64">
        <w:rPr>
          <w:rFonts w:ascii="Arial" w:eastAsia="Calibri" w:hAnsi="Arial" w:cs="Arial"/>
          <w:szCs w:val="22"/>
        </w:rPr>
        <w:t xml:space="preserve"> to be</w:t>
      </w:r>
      <w:r w:rsidR="00EC17B1">
        <w:rPr>
          <w:rFonts w:ascii="Arial" w:eastAsia="Calibri" w:hAnsi="Arial" w:cs="Arial"/>
          <w:szCs w:val="22"/>
        </w:rPr>
        <w:t xml:space="preserve"> understood</w:t>
      </w:r>
      <w:r w:rsidR="00002D5C">
        <w:rPr>
          <w:rFonts w:ascii="Arial" w:eastAsia="Calibri" w:hAnsi="Arial" w:cs="Arial"/>
          <w:szCs w:val="22"/>
        </w:rPr>
        <w:t xml:space="preserve"> </w:t>
      </w:r>
      <w:r w:rsidR="003B7DAD">
        <w:rPr>
          <w:rFonts w:ascii="Arial" w:eastAsia="Calibri" w:hAnsi="Arial" w:cs="Arial"/>
          <w:szCs w:val="22"/>
        </w:rPr>
        <w:t>(</w:t>
      </w:r>
      <w:proofErr w:type="spellStart"/>
      <w:r w:rsidR="003B7DAD">
        <w:rPr>
          <w:rFonts w:ascii="Arial" w:eastAsia="Calibri" w:hAnsi="Arial" w:cs="Arial"/>
          <w:szCs w:val="22"/>
        </w:rPr>
        <w:t>Karnwal</w:t>
      </w:r>
      <w:proofErr w:type="spellEnd"/>
      <w:r w:rsidR="003B7DAD">
        <w:rPr>
          <w:rFonts w:ascii="Arial" w:eastAsia="Calibri" w:hAnsi="Arial" w:cs="Arial"/>
          <w:szCs w:val="22"/>
        </w:rPr>
        <w:t xml:space="preserve"> et al., 2025</w:t>
      </w:r>
      <w:r w:rsidR="00DF6DD7">
        <w:rPr>
          <w:rFonts w:ascii="Arial" w:eastAsia="Calibri" w:hAnsi="Arial" w:cs="Arial"/>
          <w:szCs w:val="22"/>
        </w:rPr>
        <w:t>)</w:t>
      </w:r>
      <w:r w:rsidR="00002D5C">
        <w:rPr>
          <w:rFonts w:ascii="Arial" w:eastAsia="Calibri" w:hAnsi="Arial" w:cs="Arial"/>
          <w:szCs w:val="22"/>
        </w:rPr>
        <w:t>.</w:t>
      </w:r>
    </w:p>
    <w:p w14:paraId="51E29105" w14:textId="331CB737" w:rsidR="0021670F" w:rsidRPr="0021670F" w:rsidRDefault="00B917F4" w:rsidP="0021670F">
      <w:pPr>
        <w:pStyle w:val="Body"/>
        <w:rPr>
          <w:rFonts w:ascii="Arial" w:eastAsia="Calibri" w:hAnsi="Arial" w:cs="Arial"/>
          <w:szCs w:val="22"/>
        </w:rPr>
      </w:pPr>
      <w:proofErr w:type="spellStart"/>
      <w:r>
        <w:rPr>
          <w:rFonts w:ascii="Arial" w:eastAsia="Calibri" w:hAnsi="Arial" w:cs="Arial"/>
          <w:szCs w:val="22"/>
        </w:rPr>
        <w:t>Haematologic</w:t>
      </w:r>
      <w:proofErr w:type="spellEnd"/>
      <w:r>
        <w:rPr>
          <w:rFonts w:ascii="Arial" w:eastAsia="Calibri" w:hAnsi="Arial" w:cs="Arial"/>
          <w:szCs w:val="22"/>
        </w:rPr>
        <w:t xml:space="preserve"> malignancies </w:t>
      </w:r>
      <w:r w:rsidR="009317D2">
        <w:rPr>
          <w:rFonts w:ascii="Arial" w:eastAsia="Calibri" w:hAnsi="Arial" w:cs="Arial"/>
          <w:szCs w:val="22"/>
        </w:rPr>
        <w:t xml:space="preserve">arise when </w:t>
      </w:r>
      <w:r w:rsidR="00E941A7">
        <w:rPr>
          <w:rFonts w:ascii="Arial" w:eastAsia="Calibri" w:hAnsi="Arial" w:cs="Arial"/>
          <w:szCs w:val="22"/>
        </w:rPr>
        <w:t xml:space="preserve">any one </w:t>
      </w:r>
      <w:r w:rsidR="005367A7">
        <w:rPr>
          <w:rFonts w:ascii="Arial" w:eastAsia="Calibri" w:hAnsi="Arial" w:cs="Arial"/>
          <w:szCs w:val="22"/>
        </w:rPr>
        <w:t>cell</w:t>
      </w:r>
      <w:r w:rsidR="00597E9F">
        <w:rPr>
          <w:rFonts w:ascii="Arial" w:eastAsia="Calibri" w:hAnsi="Arial" w:cs="Arial"/>
          <w:szCs w:val="22"/>
        </w:rPr>
        <w:t>,</w:t>
      </w:r>
      <w:r w:rsidR="005367A7">
        <w:rPr>
          <w:rFonts w:ascii="Arial" w:eastAsia="Calibri" w:hAnsi="Arial" w:cs="Arial"/>
          <w:szCs w:val="22"/>
        </w:rPr>
        <w:t xml:space="preserve"> </w:t>
      </w:r>
      <w:r w:rsidR="00597E9F">
        <w:rPr>
          <w:rFonts w:ascii="Arial" w:eastAsia="Calibri" w:hAnsi="Arial" w:cs="Arial"/>
          <w:szCs w:val="22"/>
        </w:rPr>
        <w:t xml:space="preserve">including the </w:t>
      </w:r>
      <w:proofErr w:type="spellStart"/>
      <w:r w:rsidR="005367A7">
        <w:rPr>
          <w:rFonts w:ascii="Arial" w:eastAsia="Calibri" w:hAnsi="Arial" w:cs="Arial"/>
          <w:szCs w:val="22"/>
        </w:rPr>
        <w:t>haematopoietic</w:t>
      </w:r>
      <w:proofErr w:type="spellEnd"/>
      <w:r w:rsidR="005367A7">
        <w:rPr>
          <w:rFonts w:ascii="Arial" w:eastAsia="Calibri" w:hAnsi="Arial" w:cs="Arial"/>
          <w:szCs w:val="22"/>
        </w:rPr>
        <w:t xml:space="preserve"> stem cells</w:t>
      </w:r>
      <w:r w:rsidR="00597E9F">
        <w:rPr>
          <w:rFonts w:ascii="Arial" w:eastAsia="Calibri" w:hAnsi="Arial" w:cs="Arial"/>
          <w:szCs w:val="22"/>
        </w:rPr>
        <w:t xml:space="preserve">, </w:t>
      </w:r>
      <w:r w:rsidR="00F637A5">
        <w:rPr>
          <w:rFonts w:ascii="Arial" w:eastAsia="Calibri" w:hAnsi="Arial" w:cs="Arial"/>
          <w:szCs w:val="22"/>
        </w:rPr>
        <w:t xml:space="preserve">that arise from the </w:t>
      </w:r>
      <w:proofErr w:type="spellStart"/>
      <w:r w:rsidR="00F637A5">
        <w:rPr>
          <w:rFonts w:ascii="Arial" w:eastAsia="Calibri" w:hAnsi="Arial" w:cs="Arial"/>
          <w:szCs w:val="22"/>
        </w:rPr>
        <w:t>haematopoietic</w:t>
      </w:r>
      <w:proofErr w:type="spellEnd"/>
      <w:r w:rsidR="00F637A5">
        <w:rPr>
          <w:rFonts w:ascii="Arial" w:eastAsia="Calibri" w:hAnsi="Arial" w:cs="Arial"/>
          <w:szCs w:val="22"/>
        </w:rPr>
        <w:t xml:space="preserve"> stem cells, suffers an event </w:t>
      </w:r>
      <w:r w:rsidR="00F06B4B">
        <w:rPr>
          <w:rFonts w:ascii="Arial" w:eastAsia="Calibri" w:hAnsi="Arial" w:cs="Arial"/>
          <w:szCs w:val="22"/>
        </w:rPr>
        <w:t>that</w:t>
      </w:r>
      <w:r w:rsidR="00F637A5">
        <w:rPr>
          <w:rFonts w:ascii="Arial" w:eastAsia="Calibri" w:hAnsi="Arial" w:cs="Arial"/>
          <w:szCs w:val="22"/>
        </w:rPr>
        <w:t xml:space="preserve"> makes it </w:t>
      </w:r>
      <w:r w:rsidR="00035243">
        <w:rPr>
          <w:rFonts w:ascii="Arial" w:eastAsia="Calibri" w:hAnsi="Arial" w:cs="Arial"/>
          <w:szCs w:val="22"/>
        </w:rPr>
        <w:t xml:space="preserve">unresponsive to </w:t>
      </w:r>
      <w:r w:rsidR="006E68BA">
        <w:rPr>
          <w:rFonts w:ascii="Arial" w:eastAsia="Calibri" w:hAnsi="Arial" w:cs="Arial"/>
          <w:szCs w:val="22"/>
        </w:rPr>
        <w:t xml:space="preserve">the </w:t>
      </w:r>
      <w:r w:rsidR="007C7C08">
        <w:rPr>
          <w:rFonts w:ascii="Arial" w:eastAsia="Calibri" w:hAnsi="Arial" w:cs="Arial"/>
          <w:szCs w:val="22"/>
        </w:rPr>
        <w:t>homeostatic mechanisms</w:t>
      </w:r>
      <w:r w:rsidR="00F637A5">
        <w:rPr>
          <w:rFonts w:ascii="Arial" w:eastAsia="Calibri" w:hAnsi="Arial" w:cs="Arial"/>
          <w:szCs w:val="22"/>
        </w:rPr>
        <w:t xml:space="preserve"> </w:t>
      </w:r>
      <w:r w:rsidR="006E68BA">
        <w:rPr>
          <w:rFonts w:ascii="Arial" w:eastAsia="Calibri" w:hAnsi="Arial" w:cs="Arial"/>
          <w:szCs w:val="22"/>
        </w:rPr>
        <w:t xml:space="preserve">that maintain the body’s </w:t>
      </w:r>
      <w:proofErr w:type="spellStart"/>
      <w:r w:rsidR="00D23B50">
        <w:rPr>
          <w:rFonts w:ascii="Arial" w:eastAsia="Calibri" w:hAnsi="Arial" w:cs="Arial"/>
          <w:szCs w:val="22"/>
        </w:rPr>
        <w:t>milieux</w:t>
      </w:r>
      <w:proofErr w:type="spellEnd"/>
      <w:r w:rsidR="006E68BA">
        <w:rPr>
          <w:rFonts w:ascii="Arial" w:eastAsia="Calibri" w:hAnsi="Arial" w:cs="Arial"/>
          <w:szCs w:val="22"/>
        </w:rPr>
        <w:t>.</w:t>
      </w:r>
      <w:r w:rsidR="00EA05C2">
        <w:rPr>
          <w:rFonts w:ascii="Arial" w:eastAsia="Calibri" w:hAnsi="Arial" w:cs="Arial"/>
          <w:szCs w:val="22"/>
        </w:rPr>
        <w:t xml:space="preserve"> </w:t>
      </w:r>
      <w:r w:rsidR="00FA4FA1">
        <w:rPr>
          <w:rFonts w:ascii="Arial" w:eastAsia="Calibri" w:hAnsi="Arial" w:cs="Arial"/>
          <w:szCs w:val="22"/>
        </w:rPr>
        <w:t xml:space="preserve">Typically, these present with </w:t>
      </w:r>
      <w:proofErr w:type="spellStart"/>
      <w:r w:rsidR="00FA4FA1">
        <w:rPr>
          <w:rFonts w:ascii="Arial" w:eastAsia="Calibri" w:hAnsi="Arial" w:cs="Arial"/>
          <w:szCs w:val="22"/>
        </w:rPr>
        <w:t>cytopaenias</w:t>
      </w:r>
      <w:proofErr w:type="spellEnd"/>
      <w:r w:rsidR="00FA4FA1">
        <w:rPr>
          <w:rFonts w:ascii="Arial" w:eastAsia="Calibri" w:hAnsi="Arial" w:cs="Arial"/>
          <w:szCs w:val="22"/>
        </w:rPr>
        <w:t xml:space="preserve"> </w:t>
      </w:r>
      <w:r w:rsidR="00D23B50">
        <w:rPr>
          <w:rFonts w:ascii="Arial" w:eastAsia="Calibri" w:hAnsi="Arial" w:cs="Arial"/>
          <w:szCs w:val="22"/>
        </w:rPr>
        <w:t xml:space="preserve">and infiltration of tissues and organs by these abnormal blood cells. </w:t>
      </w:r>
      <w:r w:rsidR="0021670F" w:rsidRPr="0021670F">
        <w:rPr>
          <w:rFonts w:ascii="Arial" w:eastAsia="Calibri" w:hAnsi="Arial" w:cs="Arial"/>
          <w:szCs w:val="22"/>
        </w:rPr>
        <w:t xml:space="preserve">In </w:t>
      </w:r>
      <w:r w:rsidR="00F13D92">
        <w:rPr>
          <w:rFonts w:ascii="Arial" w:eastAsia="Calibri" w:hAnsi="Arial" w:cs="Arial"/>
          <w:szCs w:val="22"/>
        </w:rPr>
        <w:t xml:space="preserve">making a diagnosis of </w:t>
      </w:r>
      <w:r w:rsidR="0021670F" w:rsidRPr="0021670F">
        <w:rPr>
          <w:rFonts w:ascii="Arial" w:eastAsia="Calibri" w:hAnsi="Arial" w:cs="Arial"/>
          <w:szCs w:val="22"/>
        </w:rPr>
        <w:t xml:space="preserve">cancer, </w:t>
      </w:r>
      <w:r w:rsidR="00CD5E53">
        <w:rPr>
          <w:rFonts w:ascii="Arial" w:eastAsia="Calibri" w:hAnsi="Arial" w:cs="Arial"/>
          <w:szCs w:val="22"/>
        </w:rPr>
        <w:t xml:space="preserve">beyond clinical symptoms and signs, </w:t>
      </w:r>
      <w:r w:rsidR="0021670F" w:rsidRPr="0021670F">
        <w:rPr>
          <w:rFonts w:ascii="Arial" w:eastAsia="Calibri" w:hAnsi="Arial" w:cs="Arial"/>
          <w:szCs w:val="22"/>
        </w:rPr>
        <w:t xml:space="preserve">investigations are needed to rule out other disease entities, to prognosticate, and/or to confirm possibility of use of </w:t>
      </w:r>
      <w:r w:rsidR="008E1C6F">
        <w:rPr>
          <w:rFonts w:ascii="Arial" w:eastAsia="Calibri" w:hAnsi="Arial" w:cs="Arial"/>
          <w:szCs w:val="22"/>
        </w:rPr>
        <w:t>specific</w:t>
      </w:r>
      <w:r w:rsidR="0021670F" w:rsidRPr="0021670F">
        <w:rPr>
          <w:rFonts w:ascii="Arial" w:eastAsia="Calibri" w:hAnsi="Arial" w:cs="Arial"/>
          <w:szCs w:val="22"/>
        </w:rPr>
        <w:t xml:space="preserve"> </w:t>
      </w:r>
      <w:r w:rsidR="0021670F" w:rsidRPr="0021670F">
        <w:rPr>
          <w:rFonts w:ascii="Arial" w:eastAsia="Calibri" w:hAnsi="Arial" w:cs="Arial"/>
          <w:szCs w:val="22"/>
        </w:rPr>
        <w:lastRenderedPageBreak/>
        <w:t>therapy</w:t>
      </w:r>
      <w:r w:rsidR="008E1C6F">
        <w:rPr>
          <w:rFonts w:ascii="Arial" w:eastAsia="Calibri" w:hAnsi="Arial" w:cs="Arial"/>
          <w:szCs w:val="22"/>
        </w:rPr>
        <w:t xml:space="preserve"> in </w:t>
      </w:r>
      <w:r w:rsidR="00D32FE3">
        <w:rPr>
          <w:rFonts w:ascii="Arial" w:eastAsia="Calibri" w:hAnsi="Arial" w:cs="Arial"/>
          <w:szCs w:val="22"/>
        </w:rPr>
        <w:t>their treatment</w:t>
      </w:r>
      <w:r w:rsidR="0021670F" w:rsidRPr="0021670F">
        <w:rPr>
          <w:rFonts w:ascii="Arial" w:eastAsia="Calibri" w:hAnsi="Arial" w:cs="Arial"/>
          <w:szCs w:val="22"/>
        </w:rPr>
        <w:t>. These tests can be done</w:t>
      </w:r>
      <w:r w:rsidR="00A022D2">
        <w:rPr>
          <w:rFonts w:ascii="Arial" w:eastAsia="Calibri" w:hAnsi="Arial" w:cs="Arial"/>
          <w:szCs w:val="22"/>
        </w:rPr>
        <w:t xml:space="preserve"> by the</w:t>
      </w:r>
      <w:r w:rsidR="0021670F" w:rsidRPr="0021670F">
        <w:rPr>
          <w:rFonts w:ascii="Arial" w:eastAsia="Calibri" w:hAnsi="Arial" w:cs="Arial"/>
          <w:szCs w:val="22"/>
        </w:rPr>
        <w:t xml:space="preserve"> use of either simple, readily available equipment, or more specialized </w:t>
      </w:r>
      <w:r w:rsidR="002735CB">
        <w:rPr>
          <w:rFonts w:ascii="Arial" w:eastAsia="Calibri" w:hAnsi="Arial" w:cs="Arial"/>
          <w:szCs w:val="22"/>
        </w:rPr>
        <w:t>kinds of equipment</w:t>
      </w:r>
      <w:r w:rsidR="0021670F" w:rsidRPr="0021670F">
        <w:rPr>
          <w:rFonts w:ascii="Arial" w:eastAsia="Calibri" w:hAnsi="Arial" w:cs="Arial"/>
          <w:szCs w:val="22"/>
        </w:rPr>
        <w:t>.</w:t>
      </w:r>
    </w:p>
    <w:p w14:paraId="7BE25C75" w14:textId="1C53E469" w:rsidR="0021670F" w:rsidRPr="0021670F" w:rsidRDefault="007565B2" w:rsidP="0021670F">
      <w:pPr>
        <w:pStyle w:val="Body"/>
        <w:spacing w:after="0"/>
        <w:rPr>
          <w:rFonts w:ascii="Arial" w:eastAsia="Calibri" w:hAnsi="Arial" w:cs="Arial"/>
          <w:szCs w:val="22"/>
        </w:rPr>
      </w:pPr>
      <w:r>
        <w:rPr>
          <w:rFonts w:ascii="Arial" w:eastAsia="Calibri" w:hAnsi="Arial" w:cs="Arial"/>
          <w:szCs w:val="22"/>
        </w:rPr>
        <w:t>V</w:t>
      </w:r>
      <w:r w:rsidR="0021670F" w:rsidRPr="0021670F">
        <w:rPr>
          <w:rFonts w:ascii="Arial" w:eastAsia="Calibri" w:hAnsi="Arial" w:cs="Arial"/>
          <w:szCs w:val="22"/>
        </w:rPr>
        <w:t xml:space="preserve">arious types of chemotherapeutic agents are used in the </w:t>
      </w:r>
      <w:r>
        <w:rPr>
          <w:rFonts w:ascii="Arial" w:eastAsia="Calibri" w:hAnsi="Arial" w:cs="Arial"/>
          <w:szCs w:val="22"/>
        </w:rPr>
        <w:t xml:space="preserve">definitive </w:t>
      </w:r>
      <w:r w:rsidR="0021670F" w:rsidRPr="0021670F">
        <w:rPr>
          <w:rFonts w:ascii="Arial" w:eastAsia="Calibri" w:hAnsi="Arial" w:cs="Arial"/>
          <w:szCs w:val="22"/>
        </w:rPr>
        <w:t>treatment of cancers, both non-</w:t>
      </w:r>
      <w:proofErr w:type="spellStart"/>
      <w:r w:rsidR="0021670F" w:rsidRPr="0021670F">
        <w:rPr>
          <w:rFonts w:ascii="Arial" w:eastAsia="Calibri" w:hAnsi="Arial" w:cs="Arial"/>
          <w:szCs w:val="22"/>
        </w:rPr>
        <w:t>haematologic</w:t>
      </w:r>
      <w:proofErr w:type="spellEnd"/>
      <w:r w:rsidR="0021670F" w:rsidRPr="0021670F">
        <w:rPr>
          <w:rFonts w:ascii="Arial" w:eastAsia="Calibri" w:hAnsi="Arial" w:cs="Arial"/>
          <w:szCs w:val="22"/>
        </w:rPr>
        <w:t xml:space="preserve"> and </w:t>
      </w:r>
      <w:proofErr w:type="spellStart"/>
      <w:r w:rsidR="0021670F" w:rsidRPr="0021670F">
        <w:rPr>
          <w:rFonts w:ascii="Arial" w:eastAsia="Calibri" w:hAnsi="Arial" w:cs="Arial"/>
          <w:szCs w:val="22"/>
        </w:rPr>
        <w:t>haematologic</w:t>
      </w:r>
      <w:proofErr w:type="spellEnd"/>
      <w:r w:rsidR="0021670F" w:rsidRPr="0021670F">
        <w:rPr>
          <w:rFonts w:ascii="Arial" w:eastAsia="Calibri" w:hAnsi="Arial" w:cs="Arial"/>
          <w:szCs w:val="22"/>
        </w:rPr>
        <w:t>. These agents belong to different classes and have diverse mechanisms of action</w:t>
      </w:r>
      <w:r w:rsidR="00965677">
        <w:rPr>
          <w:rFonts w:ascii="Arial" w:eastAsia="Calibri" w:hAnsi="Arial" w:cs="Arial"/>
          <w:szCs w:val="22"/>
        </w:rPr>
        <w:t xml:space="preserve">, including </w:t>
      </w:r>
      <w:r w:rsidR="00E533B1">
        <w:rPr>
          <w:rFonts w:ascii="Arial" w:eastAsia="Calibri" w:hAnsi="Arial" w:cs="Arial"/>
          <w:szCs w:val="22"/>
        </w:rPr>
        <w:t xml:space="preserve">targeting </w:t>
      </w:r>
      <w:r w:rsidR="00965677">
        <w:rPr>
          <w:rFonts w:ascii="Arial" w:eastAsia="Calibri" w:hAnsi="Arial" w:cs="Arial"/>
          <w:szCs w:val="22"/>
        </w:rPr>
        <w:t xml:space="preserve">specific points </w:t>
      </w:r>
      <w:r w:rsidR="00E533B1">
        <w:rPr>
          <w:rFonts w:ascii="Arial" w:eastAsia="Calibri" w:hAnsi="Arial" w:cs="Arial"/>
          <w:szCs w:val="22"/>
        </w:rPr>
        <w:t>in</w:t>
      </w:r>
      <w:r w:rsidR="00965677">
        <w:rPr>
          <w:rFonts w:ascii="Arial" w:eastAsia="Calibri" w:hAnsi="Arial" w:cs="Arial"/>
          <w:szCs w:val="22"/>
        </w:rPr>
        <w:t xml:space="preserve"> the cell cycle</w:t>
      </w:r>
      <w:r w:rsidR="00E533B1">
        <w:rPr>
          <w:rFonts w:ascii="Arial" w:eastAsia="Calibri" w:hAnsi="Arial" w:cs="Arial"/>
          <w:szCs w:val="22"/>
        </w:rPr>
        <w:t xml:space="preserve"> (</w:t>
      </w:r>
      <w:proofErr w:type="spellStart"/>
      <w:r w:rsidR="00E533B1">
        <w:rPr>
          <w:rFonts w:ascii="Arial" w:eastAsia="Calibri" w:hAnsi="Arial" w:cs="Arial"/>
          <w:szCs w:val="22"/>
        </w:rPr>
        <w:t>Malyukova</w:t>
      </w:r>
      <w:proofErr w:type="spellEnd"/>
      <w:r w:rsidR="00E533B1">
        <w:rPr>
          <w:rFonts w:ascii="Arial" w:eastAsia="Calibri" w:hAnsi="Arial" w:cs="Arial"/>
          <w:szCs w:val="22"/>
        </w:rPr>
        <w:t xml:space="preserve"> et al., 2024)</w:t>
      </w:r>
      <w:r w:rsidR="00002D5C">
        <w:rPr>
          <w:rFonts w:ascii="Arial" w:eastAsia="Calibri" w:hAnsi="Arial" w:cs="Arial"/>
          <w:szCs w:val="22"/>
        </w:rPr>
        <w:t>,</w:t>
      </w:r>
      <w:r w:rsidR="00965677">
        <w:rPr>
          <w:rFonts w:ascii="Arial" w:eastAsia="Calibri" w:hAnsi="Arial" w:cs="Arial"/>
          <w:szCs w:val="22"/>
        </w:rPr>
        <w:t xml:space="preserve"> </w:t>
      </w:r>
      <w:r w:rsidR="006410A0">
        <w:rPr>
          <w:rFonts w:ascii="Arial" w:eastAsia="Calibri" w:hAnsi="Arial" w:cs="Arial"/>
          <w:szCs w:val="22"/>
        </w:rPr>
        <w:t>chromosomal patterns within cells, (Ca</w:t>
      </w:r>
      <w:r w:rsidR="002849BE">
        <w:rPr>
          <w:rFonts w:ascii="Arial" w:eastAsia="Calibri" w:hAnsi="Arial" w:cs="Arial"/>
          <w:szCs w:val="22"/>
        </w:rPr>
        <w:t>r</w:t>
      </w:r>
      <w:r w:rsidR="006410A0">
        <w:rPr>
          <w:rFonts w:ascii="Arial" w:eastAsia="Calibri" w:hAnsi="Arial" w:cs="Arial"/>
          <w:szCs w:val="22"/>
        </w:rPr>
        <w:t xml:space="preserve">doso &amp; </w:t>
      </w:r>
      <w:proofErr w:type="spellStart"/>
      <w:r w:rsidR="006410A0">
        <w:rPr>
          <w:rFonts w:ascii="Arial" w:eastAsia="Calibri" w:hAnsi="Arial" w:cs="Arial"/>
          <w:szCs w:val="22"/>
        </w:rPr>
        <w:t>Neparidze</w:t>
      </w:r>
      <w:proofErr w:type="spellEnd"/>
      <w:r w:rsidR="006410A0">
        <w:rPr>
          <w:rFonts w:ascii="Arial" w:eastAsia="Calibri" w:hAnsi="Arial" w:cs="Arial"/>
          <w:szCs w:val="22"/>
        </w:rPr>
        <w:t>, 2025) eventually culminating in apoptosis of the cells</w:t>
      </w:r>
      <w:r w:rsidR="00535E16">
        <w:rPr>
          <w:rFonts w:ascii="Arial" w:eastAsia="Calibri" w:hAnsi="Arial" w:cs="Arial"/>
          <w:szCs w:val="22"/>
        </w:rPr>
        <w:t xml:space="preserve"> </w:t>
      </w:r>
      <w:r w:rsidR="00462B82">
        <w:rPr>
          <w:rFonts w:ascii="Arial" w:eastAsia="Calibri" w:hAnsi="Arial" w:cs="Arial"/>
          <w:szCs w:val="22"/>
        </w:rPr>
        <w:t>(</w:t>
      </w:r>
      <w:proofErr w:type="spellStart"/>
      <w:r w:rsidR="008405D5">
        <w:rPr>
          <w:rFonts w:ascii="Arial" w:eastAsia="Calibri" w:hAnsi="Arial" w:cs="Arial"/>
          <w:szCs w:val="22"/>
        </w:rPr>
        <w:t>Mirzayans</w:t>
      </w:r>
      <w:proofErr w:type="spellEnd"/>
      <w:r w:rsidR="008405D5">
        <w:rPr>
          <w:rFonts w:ascii="Arial" w:eastAsia="Calibri" w:hAnsi="Arial" w:cs="Arial"/>
          <w:szCs w:val="22"/>
        </w:rPr>
        <w:t>, R. 2024)</w:t>
      </w:r>
      <w:r w:rsidR="00002D5C">
        <w:rPr>
          <w:rFonts w:ascii="Arial" w:eastAsia="Calibri" w:hAnsi="Arial" w:cs="Arial"/>
          <w:szCs w:val="22"/>
        </w:rPr>
        <w:t>.</w:t>
      </w:r>
      <w:r w:rsidR="0021670F" w:rsidRPr="0021670F">
        <w:rPr>
          <w:rFonts w:ascii="Arial" w:eastAsia="Calibri" w:hAnsi="Arial" w:cs="Arial"/>
          <w:szCs w:val="22"/>
        </w:rPr>
        <w:t xml:space="preserve"> Cancer chemotherapy regimens</w:t>
      </w:r>
      <w:r w:rsidR="0079391D">
        <w:rPr>
          <w:rFonts w:ascii="Arial" w:eastAsia="Calibri" w:hAnsi="Arial" w:cs="Arial"/>
          <w:szCs w:val="22"/>
        </w:rPr>
        <w:t xml:space="preserve"> are</w:t>
      </w:r>
      <w:r w:rsidR="0021670F" w:rsidRPr="0021670F">
        <w:rPr>
          <w:rFonts w:ascii="Arial" w:eastAsia="Calibri" w:hAnsi="Arial" w:cs="Arial"/>
          <w:szCs w:val="22"/>
        </w:rPr>
        <w:t xml:space="preserve"> administered at timed intervals, in order to achieve remission of the disease (Hess et al., 2021)</w:t>
      </w:r>
      <w:r w:rsidR="00002D5C">
        <w:rPr>
          <w:rFonts w:ascii="Arial" w:eastAsia="Calibri" w:hAnsi="Arial" w:cs="Arial"/>
          <w:szCs w:val="22"/>
        </w:rPr>
        <w:t>,</w:t>
      </w:r>
      <w:r w:rsidR="0079391D" w:rsidRPr="0079391D">
        <w:rPr>
          <w:rFonts w:ascii="Arial" w:eastAsia="Calibri" w:hAnsi="Arial" w:cs="Arial"/>
          <w:szCs w:val="22"/>
        </w:rPr>
        <w:t xml:space="preserve"> </w:t>
      </w:r>
      <w:r w:rsidR="00762FB6">
        <w:rPr>
          <w:rFonts w:ascii="Arial" w:eastAsia="Calibri" w:hAnsi="Arial" w:cs="Arial"/>
          <w:szCs w:val="22"/>
        </w:rPr>
        <w:t xml:space="preserve">and may </w:t>
      </w:r>
      <w:r w:rsidR="0079391D" w:rsidRPr="0079391D">
        <w:rPr>
          <w:rFonts w:ascii="Arial" w:eastAsia="Calibri" w:hAnsi="Arial" w:cs="Arial"/>
          <w:szCs w:val="22"/>
        </w:rPr>
        <w:t>consist of single or multiple agents</w:t>
      </w:r>
      <w:r w:rsidR="00762FB6">
        <w:rPr>
          <w:rFonts w:ascii="Arial" w:eastAsia="Calibri" w:hAnsi="Arial" w:cs="Arial"/>
          <w:szCs w:val="22"/>
        </w:rPr>
        <w:t xml:space="preserve">; multiple-agent regimen tend to utilize the synergistic and </w:t>
      </w:r>
      <w:r w:rsidR="00425926">
        <w:rPr>
          <w:rFonts w:ascii="Arial" w:eastAsia="Calibri" w:hAnsi="Arial" w:cs="Arial"/>
          <w:szCs w:val="22"/>
        </w:rPr>
        <w:t>differing mechanisms of action of each, enhancing response.</w:t>
      </w:r>
      <w:r w:rsidR="0021670F" w:rsidRPr="0021670F">
        <w:rPr>
          <w:rFonts w:ascii="Arial" w:eastAsia="Calibri" w:hAnsi="Arial" w:cs="Arial"/>
          <w:szCs w:val="22"/>
        </w:rPr>
        <w:t xml:space="preserve"> </w:t>
      </w:r>
      <w:r w:rsidR="00D03BFE">
        <w:rPr>
          <w:rFonts w:ascii="Arial" w:eastAsia="Calibri" w:hAnsi="Arial" w:cs="Arial"/>
          <w:szCs w:val="22"/>
        </w:rPr>
        <w:t xml:space="preserve">In addition to </w:t>
      </w:r>
      <w:r w:rsidR="00CF1C53">
        <w:rPr>
          <w:rFonts w:ascii="Arial" w:eastAsia="Calibri" w:hAnsi="Arial" w:cs="Arial"/>
          <w:szCs w:val="22"/>
        </w:rPr>
        <w:t xml:space="preserve">some of </w:t>
      </w:r>
      <w:r w:rsidR="00D03BFE">
        <w:rPr>
          <w:rFonts w:ascii="Arial" w:eastAsia="Calibri" w:hAnsi="Arial" w:cs="Arial"/>
          <w:szCs w:val="22"/>
        </w:rPr>
        <w:t xml:space="preserve">these agents having targeted activity </w:t>
      </w:r>
      <w:r w:rsidR="00825F94">
        <w:rPr>
          <w:rFonts w:ascii="Arial" w:eastAsia="Calibri" w:hAnsi="Arial" w:cs="Arial"/>
          <w:szCs w:val="22"/>
        </w:rPr>
        <w:t>at</w:t>
      </w:r>
      <w:r w:rsidR="00D03BFE">
        <w:rPr>
          <w:rFonts w:ascii="Arial" w:eastAsia="Calibri" w:hAnsi="Arial" w:cs="Arial"/>
          <w:szCs w:val="22"/>
        </w:rPr>
        <w:t xml:space="preserve"> various points in </w:t>
      </w:r>
      <w:proofErr w:type="spellStart"/>
      <w:r w:rsidR="00D03BFE">
        <w:rPr>
          <w:rFonts w:ascii="Arial" w:eastAsia="Calibri" w:hAnsi="Arial" w:cs="Arial"/>
          <w:szCs w:val="22"/>
        </w:rPr>
        <w:t>leukaemogenesis</w:t>
      </w:r>
      <w:proofErr w:type="spellEnd"/>
      <w:r w:rsidR="00D03BFE">
        <w:rPr>
          <w:rFonts w:ascii="Arial" w:eastAsia="Calibri" w:hAnsi="Arial" w:cs="Arial"/>
          <w:szCs w:val="22"/>
        </w:rPr>
        <w:t>, the</w:t>
      </w:r>
      <w:r w:rsidR="00825F94">
        <w:rPr>
          <w:rFonts w:ascii="Arial" w:eastAsia="Calibri" w:hAnsi="Arial" w:cs="Arial"/>
          <w:szCs w:val="22"/>
        </w:rPr>
        <w:t>y could also act</w:t>
      </w:r>
      <w:r w:rsidR="0021670F" w:rsidRPr="0021670F">
        <w:rPr>
          <w:rFonts w:ascii="Arial" w:eastAsia="Calibri" w:hAnsi="Arial" w:cs="Arial"/>
          <w:szCs w:val="22"/>
        </w:rPr>
        <w:t xml:space="preserve"> against products of the cancer cells</w:t>
      </w:r>
      <w:r w:rsidR="00825F94">
        <w:rPr>
          <w:rFonts w:ascii="Arial" w:eastAsia="Calibri" w:hAnsi="Arial" w:cs="Arial"/>
          <w:szCs w:val="22"/>
        </w:rPr>
        <w:t xml:space="preserve"> </w:t>
      </w:r>
      <w:r w:rsidR="00705D2F">
        <w:rPr>
          <w:rFonts w:ascii="Arial" w:eastAsia="Calibri" w:hAnsi="Arial" w:cs="Arial"/>
          <w:szCs w:val="22"/>
        </w:rPr>
        <w:t>(Savage et al., 2024)</w:t>
      </w:r>
      <w:r w:rsidR="008768AF">
        <w:rPr>
          <w:rFonts w:ascii="Arial" w:eastAsia="Calibri" w:hAnsi="Arial" w:cs="Arial"/>
          <w:szCs w:val="22"/>
        </w:rPr>
        <w:t>.</w:t>
      </w:r>
      <w:r w:rsidR="0021670F" w:rsidRPr="0021670F">
        <w:rPr>
          <w:rFonts w:ascii="Arial" w:eastAsia="Calibri" w:hAnsi="Arial" w:cs="Arial"/>
          <w:szCs w:val="22"/>
        </w:rPr>
        <w:t xml:space="preserve"> </w:t>
      </w:r>
    </w:p>
    <w:p w14:paraId="3601E712" w14:textId="46D8C395" w:rsidR="0021670F" w:rsidRDefault="0021670F" w:rsidP="0021670F">
      <w:pPr>
        <w:pStyle w:val="Body"/>
        <w:spacing w:after="0"/>
        <w:rPr>
          <w:rFonts w:ascii="Arial" w:eastAsia="Calibri" w:hAnsi="Arial" w:cs="Arial"/>
          <w:szCs w:val="22"/>
        </w:rPr>
      </w:pPr>
      <w:r w:rsidRPr="0021670F">
        <w:rPr>
          <w:rFonts w:ascii="Arial" w:eastAsia="Calibri" w:hAnsi="Arial" w:cs="Arial"/>
          <w:szCs w:val="22"/>
        </w:rPr>
        <w:t xml:space="preserve">Factors that affect the early diagnosis and timely initiation of treatment of </w:t>
      </w:r>
      <w:proofErr w:type="spellStart"/>
      <w:r w:rsidRPr="0021670F">
        <w:rPr>
          <w:rFonts w:ascii="Arial" w:eastAsia="Calibri" w:hAnsi="Arial" w:cs="Arial"/>
          <w:szCs w:val="22"/>
        </w:rPr>
        <w:t>haematologic</w:t>
      </w:r>
      <w:proofErr w:type="spellEnd"/>
      <w:r w:rsidRPr="0021670F">
        <w:rPr>
          <w:rFonts w:ascii="Arial" w:eastAsia="Calibri" w:hAnsi="Arial" w:cs="Arial"/>
          <w:szCs w:val="22"/>
        </w:rPr>
        <w:t xml:space="preserve"> malignancies can cause delays in the initiation of chemotherapy</w:t>
      </w:r>
      <w:r w:rsidR="000F6F2A">
        <w:rPr>
          <w:rFonts w:ascii="Arial" w:eastAsia="Calibri" w:hAnsi="Arial" w:cs="Arial"/>
          <w:szCs w:val="22"/>
        </w:rPr>
        <w:t xml:space="preserve"> (Cone et al., 2020)</w:t>
      </w:r>
      <w:r w:rsidR="008768AF">
        <w:rPr>
          <w:rFonts w:ascii="Arial" w:eastAsia="Calibri" w:hAnsi="Arial" w:cs="Arial"/>
          <w:szCs w:val="22"/>
        </w:rPr>
        <w:t>,</w:t>
      </w:r>
      <w:r w:rsidRPr="0021670F">
        <w:rPr>
          <w:rFonts w:ascii="Arial" w:eastAsia="Calibri" w:hAnsi="Arial" w:cs="Arial"/>
          <w:szCs w:val="22"/>
        </w:rPr>
        <w:t xml:space="preserve"> and this is associated with </w:t>
      </w:r>
      <w:r w:rsidR="0014657F">
        <w:rPr>
          <w:rFonts w:ascii="Arial" w:eastAsia="Calibri" w:hAnsi="Arial" w:cs="Arial"/>
          <w:szCs w:val="22"/>
        </w:rPr>
        <w:t>increased</w:t>
      </w:r>
      <w:r w:rsidRPr="0021670F">
        <w:rPr>
          <w:rFonts w:ascii="Arial" w:eastAsia="Calibri" w:hAnsi="Arial" w:cs="Arial"/>
          <w:szCs w:val="22"/>
        </w:rPr>
        <w:t xml:space="preserve"> mortality (Hanna et al., 2020; Ang et al., 2025)</w:t>
      </w:r>
      <w:r w:rsidR="008768AF">
        <w:rPr>
          <w:rFonts w:ascii="Arial" w:eastAsia="Calibri" w:hAnsi="Arial" w:cs="Arial"/>
          <w:szCs w:val="22"/>
        </w:rPr>
        <w:t>.</w:t>
      </w:r>
      <w:r w:rsidRPr="0021670F">
        <w:rPr>
          <w:rFonts w:ascii="Arial" w:eastAsia="Calibri" w:hAnsi="Arial" w:cs="Arial"/>
          <w:szCs w:val="22"/>
        </w:rPr>
        <w:t xml:space="preserve"> This is worse in developing countries of the world because of the dire shortage of laboratory and treatment facilities, and the paucity of skilled manpower (Li et al., 2025; </w:t>
      </w:r>
      <w:proofErr w:type="spellStart"/>
      <w:r w:rsidRPr="0021670F">
        <w:rPr>
          <w:rFonts w:ascii="Arial" w:eastAsia="Calibri" w:hAnsi="Arial" w:cs="Arial"/>
          <w:szCs w:val="22"/>
        </w:rPr>
        <w:t>Obu</w:t>
      </w:r>
      <w:proofErr w:type="spellEnd"/>
      <w:r w:rsidRPr="0021670F">
        <w:rPr>
          <w:rFonts w:ascii="Arial" w:eastAsia="Calibri" w:hAnsi="Arial" w:cs="Arial"/>
          <w:szCs w:val="22"/>
        </w:rPr>
        <w:t xml:space="preserve"> et al., 2024)</w:t>
      </w:r>
      <w:r w:rsidR="008768AF">
        <w:rPr>
          <w:rFonts w:ascii="Arial" w:eastAsia="Calibri" w:hAnsi="Arial" w:cs="Arial"/>
          <w:szCs w:val="22"/>
        </w:rPr>
        <w:t>;</w:t>
      </w:r>
      <w:r w:rsidR="00FB3D95">
        <w:rPr>
          <w:rFonts w:ascii="Arial" w:eastAsia="Calibri" w:hAnsi="Arial" w:cs="Arial"/>
          <w:szCs w:val="22"/>
        </w:rPr>
        <w:t xml:space="preserve"> w</w:t>
      </w:r>
      <w:r w:rsidRPr="0021670F">
        <w:rPr>
          <w:rFonts w:ascii="Arial" w:eastAsia="Calibri" w:hAnsi="Arial" w:cs="Arial"/>
          <w:szCs w:val="22"/>
        </w:rPr>
        <w:t xml:space="preserve">here these are available, the restrictive financial situation makes them difficult to assess. Chemotherapy regimens for </w:t>
      </w:r>
      <w:proofErr w:type="spellStart"/>
      <w:r w:rsidRPr="0021670F">
        <w:rPr>
          <w:rFonts w:ascii="Arial" w:eastAsia="Calibri" w:hAnsi="Arial" w:cs="Arial"/>
          <w:szCs w:val="22"/>
        </w:rPr>
        <w:t>haematologic</w:t>
      </w:r>
      <w:proofErr w:type="spellEnd"/>
      <w:r w:rsidRPr="0021670F">
        <w:rPr>
          <w:rFonts w:ascii="Arial" w:eastAsia="Calibri" w:hAnsi="Arial" w:cs="Arial"/>
          <w:szCs w:val="22"/>
        </w:rPr>
        <w:t>-cancer management are not cheap, and because they are administered in regular monthly cycles, affording them is a common challenge in resource-limited settings; a well-documented difficulty in this part of the world (</w:t>
      </w:r>
      <w:proofErr w:type="spellStart"/>
      <w:r w:rsidRPr="0021670F">
        <w:rPr>
          <w:rFonts w:ascii="Arial" w:eastAsia="Calibri" w:hAnsi="Arial" w:cs="Arial"/>
          <w:szCs w:val="22"/>
        </w:rPr>
        <w:t>Korubo</w:t>
      </w:r>
      <w:proofErr w:type="spellEnd"/>
      <w:r w:rsidRPr="0021670F">
        <w:rPr>
          <w:rFonts w:ascii="Arial" w:eastAsia="Calibri" w:hAnsi="Arial" w:cs="Arial"/>
          <w:szCs w:val="22"/>
        </w:rPr>
        <w:t xml:space="preserve"> et al., 2018)</w:t>
      </w:r>
      <w:r w:rsidR="00BA02DC">
        <w:rPr>
          <w:rFonts w:ascii="Arial" w:eastAsia="Calibri" w:hAnsi="Arial" w:cs="Arial"/>
          <w:szCs w:val="22"/>
        </w:rPr>
        <w:t>.</w:t>
      </w:r>
    </w:p>
    <w:p w14:paraId="666CA7B3" w14:textId="77777777" w:rsidR="007268ED" w:rsidRDefault="007268ED" w:rsidP="0021670F">
      <w:pPr>
        <w:pStyle w:val="Body"/>
        <w:spacing w:after="0"/>
        <w:rPr>
          <w:rFonts w:ascii="Arial" w:eastAsia="Calibri" w:hAnsi="Arial" w:cs="Arial"/>
          <w:szCs w:val="22"/>
        </w:rPr>
      </w:pPr>
    </w:p>
    <w:p w14:paraId="3B604CF3" w14:textId="0D79B139" w:rsidR="007268ED" w:rsidRDefault="008F01D1" w:rsidP="0021670F">
      <w:pPr>
        <w:pStyle w:val="Body"/>
        <w:spacing w:after="0"/>
        <w:rPr>
          <w:rFonts w:ascii="Arial" w:eastAsia="Calibri" w:hAnsi="Arial" w:cs="Arial"/>
          <w:szCs w:val="22"/>
        </w:rPr>
      </w:pPr>
      <w:r>
        <w:rPr>
          <w:rFonts w:ascii="Arial" w:eastAsia="Calibri" w:hAnsi="Arial" w:cs="Arial"/>
          <w:szCs w:val="22"/>
        </w:rPr>
        <w:t xml:space="preserve">Cone et al. (2020) working </w:t>
      </w:r>
      <w:r w:rsidR="00BC0D55">
        <w:rPr>
          <w:rFonts w:ascii="Arial" w:eastAsia="Calibri" w:hAnsi="Arial" w:cs="Arial"/>
          <w:szCs w:val="22"/>
        </w:rPr>
        <w:t>with over 2 million</w:t>
      </w:r>
      <w:r>
        <w:rPr>
          <w:rFonts w:ascii="Arial" w:eastAsia="Calibri" w:hAnsi="Arial" w:cs="Arial"/>
          <w:szCs w:val="22"/>
        </w:rPr>
        <w:t xml:space="preserve"> patients with solid malignancies</w:t>
      </w:r>
      <w:r w:rsidR="00BC0D55">
        <w:rPr>
          <w:rFonts w:ascii="Arial" w:eastAsia="Calibri" w:hAnsi="Arial" w:cs="Arial"/>
          <w:szCs w:val="22"/>
        </w:rPr>
        <w:t xml:space="preserve"> identified that delays in initiation</w:t>
      </w:r>
      <w:r w:rsidR="00F92AD6">
        <w:rPr>
          <w:rFonts w:ascii="Arial" w:eastAsia="Calibri" w:hAnsi="Arial" w:cs="Arial"/>
          <w:szCs w:val="22"/>
        </w:rPr>
        <w:t xml:space="preserve"> of chemotherapy</w:t>
      </w:r>
      <w:r w:rsidR="00BC0D55">
        <w:rPr>
          <w:rFonts w:ascii="Arial" w:eastAsia="Calibri" w:hAnsi="Arial" w:cs="Arial"/>
          <w:szCs w:val="22"/>
        </w:rPr>
        <w:t xml:space="preserve"> beyond 30 days is associated with</w:t>
      </w:r>
      <w:r w:rsidR="00D35DB2">
        <w:rPr>
          <w:rFonts w:ascii="Arial" w:eastAsia="Calibri" w:hAnsi="Arial" w:cs="Arial"/>
          <w:szCs w:val="22"/>
        </w:rPr>
        <w:t xml:space="preserve"> increased numbers of all-cause mortality. </w:t>
      </w:r>
      <w:r w:rsidR="002F322D">
        <w:rPr>
          <w:rFonts w:ascii="Arial" w:eastAsia="Calibri" w:hAnsi="Arial" w:cs="Arial"/>
          <w:szCs w:val="22"/>
        </w:rPr>
        <w:t>Relative to non-</w:t>
      </w:r>
      <w:proofErr w:type="spellStart"/>
      <w:r w:rsidR="002F322D">
        <w:rPr>
          <w:rFonts w:ascii="Arial" w:eastAsia="Calibri" w:hAnsi="Arial" w:cs="Arial"/>
          <w:szCs w:val="22"/>
        </w:rPr>
        <w:t>haematologic</w:t>
      </w:r>
      <w:proofErr w:type="spellEnd"/>
      <w:r w:rsidR="002F322D">
        <w:rPr>
          <w:rFonts w:ascii="Arial" w:eastAsia="Calibri" w:hAnsi="Arial" w:cs="Arial"/>
          <w:szCs w:val="22"/>
        </w:rPr>
        <w:t xml:space="preserve"> cancers,</w:t>
      </w:r>
      <w:r w:rsidR="000A233A">
        <w:rPr>
          <w:rFonts w:ascii="Arial" w:eastAsia="Calibri" w:hAnsi="Arial" w:cs="Arial"/>
          <w:szCs w:val="22"/>
        </w:rPr>
        <w:t xml:space="preserve"> </w:t>
      </w:r>
      <w:proofErr w:type="spellStart"/>
      <w:r w:rsidR="000A233A">
        <w:rPr>
          <w:rFonts w:ascii="Arial" w:eastAsia="Calibri" w:hAnsi="Arial" w:cs="Arial"/>
          <w:szCs w:val="22"/>
        </w:rPr>
        <w:t>haematologic</w:t>
      </w:r>
      <w:proofErr w:type="spellEnd"/>
      <w:r w:rsidR="000A233A">
        <w:rPr>
          <w:rFonts w:ascii="Arial" w:eastAsia="Calibri" w:hAnsi="Arial" w:cs="Arial"/>
          <w:szCs w:val="22"/>
        </w:rPr>
        <w:t xml:space="preserve"> malignancies</w:t>
      </w:r>
      <w:r w:rsidR="00AB497A">
        <w:rPr>
          <w:rFonts w:ascii="Arial" w:eastAsia="Calibri" w:hAnsi="Arial" w:cs="Arial"/>
          <w:szCs w:val="22"/>
        </w:rPr>
        <w:t xml:space="preserve"> are more likely to</w:t>
      </w:r>
      <w:r w:rsidR="000A233A">
        <w:rPr>
          <w:rFonts w:ascii="Arial" w:eastAsia="Calibri" w:hAnsi="Arial" w:cs="Arial"/>
          <w:szCs w:val="22"/>
        </w:rPr>
        <w:t xml:space="preserve"> affect the bone marrow</w:t>
      </w:r>
      <w:r w:rsidR="002F322D">
        <w:rPr>
          <w:rFonts w:ascii="Arial" w:eastAsia="Calibri" w:hAnsi="Arial" w:cs="Arial"/>
          <w:szCs w:val="22"/>
        </w:rPr>
        <w:t>;</w:t>
      </w:r>
      <w:r w:rsidR="000A233A">
        <w:rPr>
          <w:rFonts w:ascii="Arial" w:eastAsia="Calibri" w:hAnsi="Arial" w:cs="Arial"/>
          <w:szCs w:val="22"/>
        </w:rPr>
        <w:t xml:space="preserve"> there is </w:t>
      </w:r>
      <w:r w:rsidR="002F322D">
        <w:rPr>
          <w:rFonts w:ascii="Arial" w:eastAsia="Calibri" w:hAnsi="Arial" w:cs="Arial"/>
          <w:szCs w:val="22"/>
        </w:rPr>
        <w:t xml:space="preserve">therefore </w:t>
      </w:r>
      <w:r w:rsidR="000A233A">
        <w:rPr>
          <w:rFonts w:ascii="Arial" w:eastAsia="Calibri" w:hAnsi="Arial" w:cs="Arial"/>
          <w:szCs w:val="22"/>
        </w:rPr>
        <w:t>need for</w:t>
      </w:r>
      <w:r w:rsidR="00F92AD6">
        <w:rPr>
          <w:rFonts w:ascii="Arial" w:eastAsia="Calibri" w:hAnsi="Arial" w:cs="Arial"/>
          <w:szCs w:val="22"/>
        </w:rPr>
        <w:t xml:space="preserve"> this duration to be shorter</w:t>
      </w:r>
      <w:r w:rsidR="002F322D">
        <w:rPr>
          <w:rFonts w:ascii="Arial" w:eastAsia="Calibri" w:hAnsi="Arial" w:cs="Arial"/>
          <w:szCs w:val="22"/>
        </w:rPr>
        <w:t>.</w:t>
      </w:r>
      <w:r w:rsidR="00C407CB">
        <w:rPr>
          <w:rFonts w:ascii="Arial" w:eastAsia="Calibri" w:hAnsi="Arial" w:cs="Arial"/>
          <w:szCs w:val="22"/>
        </w:rPr>
        <w:t xml:space="preserve"> </w:t>
      </w:r>
      <w:r w:rsidR="002F322D">
        <w:rPr>
          <w:rFonts w:ascii="Arial" w:eastAsia="Calibri" w:hAnsi="Arial" w:cs="Arial"/>
          <w:szCs w:val="22"/>
        </w:rPr>
        <w:t>T</w:t>
      </w:r>
      <w:r w:rsidR="00C407CB">
        <w:rPr>
          <w:rFonts w:ascii="Arial" w:eastAsia="Calibri" w:hAnsi="Arial" w:cs="Arial"/>
          <w:szCs w:val="22"/>
        </w:rPr>
        <w:t xml:space="preserve">his is especially true for the acute </w:t>
      </w:r>
      <w:proofErr w:type="spellStart"/>
      <w:r w:rsidR="00C407CB">
        <w:rPr>
          <w:rFonts w:ascii="Arial" w:eastAsia="Calibri" w:hAnsi="Arial" w:cs="Arial"/>
          <w:szCs w:val="22"/>
        </w:rPr>
        <w:t>haematologic</w:t>
      </w:r>
      <w:proofErr w:type="spellEnd"/>
      <w:r w:rsidR="00C407CB">
        <w:rPr>
          <w:rFonts w:ascii="Arial" w:eastAsia="Calibri" w:hAnsi="Arial" w:cs="Arial"/>
          <w:szCs w:val="22"/>
        </w:rPr>
        <w:t xml:space="preserve"> cancers in which definitive treatment should be commenced in a question of days</w:t>
      </w:r>
      <w:r w:rsidR="00CA0FCB">
        <w:rPr>
          <w:rFonts w:ascii="Arial" w:eastAsia="Calibri" w:hAnsi="Arial" w:cs="Arial"/>
          <w:szCs w:val="22"/>
        </w:rPr>
        <w:t xml:space="preserve"> as the </w:t>
      </w:r>
      <w:r w:rsidR="002F322D">
        <w:rPr>
          <w:rFonts w:ascii="Arial" w:eastAsia="Calibri" w:hAnsi="Arial" w:cs="Arial"/>
          <w:szCs w:val="22"/>
        </w:rPr>
        <w:t xml:space="preserve">rapidly proliferating </w:t>
      </w:r>
      <w:r w:rsidR="00CA0FCB">
        <w:rPr>
          <w:rFonts w:ascii="Arial" w:eastAsia="Calibri" w:hAnsi="Arial" w:cs="Arial"/>
          <w:szCs w:val="22"/>
        </w:rPr>
        <w:t>malignant cells could crowd the bone marrow</w:t>
      </w:r>
      <w:r w:rsidR="003D6665">
        <w:rPr>
          <w:rFonts w:ascii="Arial" w:eastAsia="Calibri" w:hAnsi="Arial" w:cs="Arial"/>
          <w:szCs w:val="22"/>
        </w:rPr>
        <w:t xml:space="preserve"> and do damage faster than the chronic blood cancers</w:t>
      </w:r>
      <w:r w:rsidR="00CA0FCB">
        <w:rPr>
          <w:rFonts w:ascii="Arial" w:eastAsia="Calibri" w:hAnsi="Arial" w:cs="Arial"/>
          <w:szCs w:val="22"/>
        </w:rPr>
        <w:t>.</w:t>
      </w:r>
    </w:p>
    <w:p w14:paraId="1D89FD3C" w14:textId="77777777" w:rsidR="00DB3DE8" w:rsidRPr="0021670F" w:rsidRDefault="00DB3DE8" w:rsidP="0021670F">
      <w:pPr>
        <w:pStyle w:val="Body"/>
        <w:spacing w:after="0"/>
        <w:rPr>
          <w:rFonts w:ascii="Arial" w:eastAsia="Calibri" w:hAnsi="Arial" w:cs="Arial"/>
          <w:szCs w:val="22"/>
        </w:rPr>
      </w:pPr>
    </w:p>
    <w:p w14:paraId="75E5293E" w14:textId="25707D61" w:rsidR="00B01FCD" w:rsidRPr="00166477" w:rsidRDefault="0021670F" w:rsidP="00441B6F">
      <w:pPr>
        <w:pStyle w:val="Body"/>
        <w:spacing w:after="0"/>
        <w:rPr>
          <w:rFonts w:ascii="Arial" w:eastAsia="Calibri" w:hAnsi="Arial" w:cs="Arial"/>
          <w:szCs w:val="22"/>
        </w:rPr>
      </w:pPr>
      <w:r w:rsidRPr="0021670F">
        <w:rPr>
          <w:rFonts w:ascii="Arial" w:eastAsia="Calibri" w:hAnsi="Arial" w:cs="Arial"/>
          <w:szCs w:val="22"/>
        </w:rPr>
        <w:t xml:space="preserve">Articles which explore the relationship between the type of chemotherapy regimen and delay in their commencement are few, for both </w:t>
      </w:r>
      <w:proofErr w:type="spellStart"/>
      <w:r w:rsidRPr="0021670F">
        <w:rPr>
          <w:rFonts w:ascii="Arial" w:eastAsia="Calibri" w:hAnsi="Arial" w:cs="Arial"/>
          <w:szCs w:val="22"/>
        </w:rPr>
        <w:t>haematologic</w:t>
      </w:r>
      <w:proofErr w:type="spellEnd"/>
      <w:r w:rsidRPr="0021670F">
        <w:rPr>
          <w:rFonts w:ascii="Arial" w:eastAsia="Calibri" w:hAnsi="Arial" w:cs="Arial"/>
          <w:szCs w:val="22"/>
        </w:rPr>
        <w:t xml:space="preserve"> and non-</w:t>
      </w:r>
      <w:proofErr w:type="spellStart"/>
      <w:r w:rsidRPr="0021670F">
        <w:rPr>
          <w:rFonts w:ascii="Arial" w:eastAsia="Calibri" w:hAnsi="Arial" w:cs="Arial"/>
          <w:szCs w:val="22"/>
        </w:rPr>
        <w:t>haematologic</w:t>
      </w:r>
      <w:proofErr w:type="spellEnd"/>
      <w:r w:rsidRPr="0021670F">
        <w:rPr>
          <w:rFonts w:ascii="Arial" w:eastAsia="Calibri" w:hAnsi="Arial" w:cs="Arial"/>
          <w:szCs w:val="22"/>
        </w:rPr>
        <w:t xml:space="preserve"> malignancies</w:t>
      </w:r>
      <w:r w:rsidR="00F464C1">
        <w:rPr>
          <w:rFonts w:ascii="Arial" w:eastAsia="Calibri" w:hAnsi="Arial" w:cs="Arial"/>
          <w:szCs w:val="22"/>
        </w:rPr>
        <w:t xml:space="preserve">. </w:t>
      </w:r>
      <w:r w:rsidR="002D45F5">
        <w:rPr>
          <w:rFonts w:ascii="Arial" w:eastAsia="Calibri" w:hAnsi="Arial" w:cs="Arial"/>
          <w:szCs w:val="22"/>
        </w:rPr>
        <w:t>The</w:t>
      </w:r>
      <w:r w:rsidR="00F464C1">
        <w:rPr>
          <w:rFonts w:ascii="Arial" w:eastAsia="Calibri" w:hAnsi="Arial" w:cs="Arial"/>
          <w:szCs w:val="22"/>
        </w:rPr>
        <w:t xml:space="preserve"> few seen rather explores the relationship between delayed or timely initiation of chemotherapy and overall survival and quality of life</w:t>
      </w:r>
      <w:r w:rsidR="002D45F5">
        <w:rPr>
          <w:rFonts w:ascii="Arial" w:eastAsia="Calibri" w:hAnsi="Arial" w:cs="Arial"/>
          <w:szCs w:val="22"/>
        </w:rPr>
        <w:t xml:space="preserve"> </w:t>
      </w:r>
      <w:r w:rsidR="004237FB">
        <w:rPr>
          <w:rFonts w:ascii="Arial" w:eastAsia="Calibri" w:hAnsi="Arial" w:cs="Arial"/>
          <w:szCs w:val="22"/>
        </w:rPr>
        <w:t>(</w:t>
      </w:r>
      <w:proofErr w:type="spellStart"/>
      <w:r w:rsidR="004237FB">
        <w:rPr>
          <w:rFonts w:ascii="Arial" w:eastAsia="Calibri" w:hAnsi="Arial" w:cs="Arial"/>
          <w:szCs w:val="22"/>
        </w:rPr>
        <w:t>Augustinus</w:t>
      </w:r>
      <w:proofErr w:type="spellEnd"/>
      <w:r w:rsidR="004237FB">
        <w:rPr>
          <w:rFonts w:ascii="Arial" w:eastAsia="Calibri" w:hAnsi="Arial" w:cs="Arial"/>
          <w:szCs w:val="22"/>
        </w:rPr>
        <w:t xml:space="preserve"> et al., 2023)</w:t>
      </w:r>
      <w:r w:rsidR="00530405">
        <w:rPr>
          <w:rFonts w:ascii="Arial" w:eastAsia="Calibri" w:hAnsi="Arial" w:cs="Arial"/>
          <w:szCs w:val="22"/>
        </w:rPr>
        <w:t>,</w:t>
      </w:r>
      <w:r w:rsidR="00F464C1">
        <w:rPr>
          <w:rFonts w:ascii="Arial" w:eastAsia="Calibri" w:hAnsi="Arial" w:cs="Arial"/>
          <w:szCs w:val="22"/>
        </w:rPr>
        <w:t xml:space="preserve"> rather than whether or not type of chemotherapy is associated with </w:t>
      </w:r>
      <w:r w:rsidR="00A138BF">
        <w:rPr>
          <w:rFonts w:ascii="Arial" w:eastAsia="Calibri" w:hAnsi="Arial" w:cs="Arial"/>
          <w:szCs w:val="22"/>
        </w:rPr>
        <w:t xml:space="preserve">delays in treatment initiation. And these few studies </w:t>
      </w:r>
      <w:r w:rsidR="008813FE">
        <w:rPr>
          <w:rFonts w:ascii="Arial" w:eastAsia="Calibri" w:hAnsi="Arial" w:cs="Arial"/>
          <w:szCs w:val="22"/>
        </w:rPr>
        <w:t>a</w:t>
      </w:r>
      <w:r w:rsidR="00A138BF">
        <w:rPr>
          <w:rFonts w:ascii="Arial" w:eastAsia="Calibri" w:hAnsi="Arial" w:cs="Arial"/>
          <w:szCs w:val="22"/>
        </w:rPr>
        <w:t>re on non-</w:t>
      </w:r>
      <w:proofErr w:type="spellStart"/>
      <w:r w:rsidR="00A138BF">
        <w:rPr>
          <w:rFonts w:ascii="Arial" w:eastAsia="Calibri" w:hAnsi="Arial" w:cs="Arial"/>
          <w:szCs w:val="22"/>
        </w:rPr>
        <w:t>haematologic</w:t>
      </w:r>
      <w:proofErr w:type="spellEnd"/>
      <w:r w:rsidR="00A138BF">
        <w:rPr>
          <w:rFonts w:ascii="Arial" w:eastAsia="Calibri" w:hAnsi="Arial" w:cs="Arial"/>
          <w:szCs w:val="22"/>
        </w:rPr>
        <w:t xml:space="preserve"> cancer patients.</w:t>
      </w:r>
      <w:r w:rsidRPr="0021670F">
        <w:rPr>
          <w:rFonts w:ascii="Arial" w:eastAsia="Calibri" w:hAnsi="Arial" w:cs="Arial"/>
          <w:szCs w:val="22"/>
        </w:rPr>
        <w:t xml:space="preserve"> This short research article aims to highlight the relationship between the type of chemotherapy regimen used in treating </w:t>
      </w:r>
      <w:proofErr w:type="spellStart"/>
      <w:r w:rsidRPr="0021670F">
        <w:rPr>
          <w:rFonts w:ascii="Arial" w:eastAsia="Calibri" w:hAnsi="Arial" w:cs="Arial"/>
          <w:szCs w:val="22"/>
        </w:rPr>
        <w:t>haematologic</w:t>
      </w:r>
      <w:proofErr w:type="spellEnd"/>
      <w:r w:rsidRPr="0021670F">
        <w:rPr>
          <w:rFonts w:ascii="Arial" w:eastAsia="Calibri" w:hAnsi="Arial" w:cs="Arial"/>
          <w:szCs w:val="22"/>
        </w:rPr>
        <w:t xml:space="preserve"> cancers, and delays in treatment initiation. It is also hoped that the findings from this study would serve as basis for expanded</w:t>
      </w:r>
      <w:r w:rsidR="009D3BC2">
        <w:rPr>
          <w:rFonts w:ascii="Arial" w:eastAsia="Calibri" w:hAnsi="Arial" w:cs="Arial"/>
          <w:szCs w:val="22"/>
        </w:rPr>
        <w:t xml:space="preserve"> and further critical</w:t>
      </w:r>
      <w:r w:rsidRPr="0021670F">
        <w:rPr>
          <w:rFonts w:ascii="Arial" w:eastAsia="Calibri" w:hAnsi="Arial" w:cs="Arial"/>
          <w:szCs w:val="22"/>
        </w:rPr>
        <w:t xml:space="preserve"> </w:t>
      </w:r>
      <w:r w:rsidR="009D3BC2">
        <w:rPr>
          <w:rFonts w:ascii="Arial" w:eastAsia="Calibri" w:hAnsi="Arial" w:cs="Arial"/>
          <w:szCs w:val="22"/>
        </w:rPr>
        <w:t>investigations</w:t>
      </w:r>
      <w:r w:rsidRPr="0021670F">
        <w:rPr>
          <w:rFonts w:ascii="Arial" w:eastAsia="Calibri" w:hAnsi="Arial" w:cs="Arial"/>
          <w:szCs w:val="22"/>
        </w:rPr>
        <w:t xml:space="preserve"> in this area of research.</w:t>
      </w:r>
    </w:p>
    <w:p w14:paraId="736C1EDD" w14:textId="77777777" w:rsidR="00790ADA" w:rsidRPr="00FB3A86" w:rsidRDefault="00790ADA" w:rsidP="00441B6F">
      <w:pPr>
        <w:pStyle w:val="Body"/>
        <w:spacing w:after="0"/>
        <w:rPr>
          <w:rFonts w:ascii="Arial" w:hAnsi="Arial" w:cs="Arial"/>
        </w:rPr>
      </w:pPr>
    </w:p>
    <w:p w14:paraId="26EB0655" w14:textId="284E4FFB" w:rsidR="00790ADA" w:rsidRDefault="00902823" w:rsidP="00441B6F">
      <w:pPr>
        <w:pStyle w:val="AbstHead"/>
        <w:spacing w:after="0"/>
        <w:jc w:val="both"/>
        <w:rPr>
          <w:rFonts w:ascii="Arial" w:hAnsi="Arial" w:cs="Arial"/>
        </w:rPr>
      </w:pPr>
      <w:r>
        <w:rPr>
          <w:rFonts w:ascii="Arial" w:hAnsi="Arial" w:cs="Arial"/>
        </w:rPr>
        <w:t>2. method</w:t>
      </w:r>
      <w:r w:rsidR="008E1014">
        <w:rPr>
          <w:rFonts w:ascii="Arial" w:hAnsi="Arial" w:cs="Arial"/>
        </w:rPr>
        <w:t>ology</w:t>
      </w:r>
    </w:p>
    <w:p w14:paraId="58155CC6" w14:textId="77777777" w:rsidR="00F82BAF" w:rsidRPr="00FB3A86" w:rsidRDefault="00F82BAF" w:rsidP="00441B6F">
      <w:pPr>
        <w:pStyle w:val="AbstHead"/>
        <w:spacing w:after="0"/>
        <w:jc w:val="both"/>
        <w:rPr>
          <w:rFonts w:ascii="Arial" w:hAnsi="Arial" w:cs="Arial"/>
        </w:rPr>
      </w:pPr>
    </w:p>
    <w:p w14:paraId="232A5FF6" w14:textId="64EDC446" w:rsidR="00AA74E0" w:rsidRDefault="00166477" w:rsidP="00166477">
      <w:pPr>
        <w:pStyle w:val="Body"/>
        <w:rPr>
          <w:rFonts w:ascii="Arial" w:hAnsi="Arial" w:cs="Arial"/>
        </w:rPr>
      </w:pPr>
      <w:r w:rsidRPr="00166477">
        <w:rPr>
          <w:rFonts w:ascii="Arial" w:hAnsi="Arial" w:cs="Arial"/>
        </w:rPr>
        <w:t xml:space="preserve">This was a retrospective, cross-sectional study involving adult patients with </w:t>
      </w:r>
      <w:proofErr w:type="spellStart"/>
      <w:r w:rsidRPr="00166477">
        <w:rPr>
          <w:rFonts w:ascii="Arial" w:hAnsi="Arial" w:cs="Arial"/>
        </w:rPr>
        <w:t>haematologic</w:t>
      </w:r>
      <w:proofErr w:type="spellEnd"/>
      <w:r w:rsidRPr="00166477">
        <w:rPr>
          <w:rFonts w:ascii="Arial" w:hAnsi="Arial" w:cs="Arial"/>
        </w:rPr>
        <w:t xml:space="preserve"> cancers managed at the University of Port Harcourt Teaching Hospital, over a 10-year period</w:t>
      </w:r>
      <w:r w:rsidR="00C026C6">
        <w:rPr>
          <w:rFonts w:ascii="Arial" w:hAnsi="Arial" w:cs="Arial"/>
        </w:rPr>
        <w:t xml:space="preserve"> </w:t>
      </w:r>
      <w:r w:rsidR="00C026C6" w:rsidRPr="00C026C6">
        <w:rPr>
          <w:rFonts w:ascii="Arial" w:hAnsi="Arial" w:cs="Arial"/>
        </w:rPr>
        <w:t>beginning January 2015 up until May 2025</w:t>
      </w:r>
      <w:r w:rsidRPr="00166477">
        <w:rPr>
          <w:rFonts w:ascii="Arial" w:hAnsi="Arial" w:cs="Arial"/>
        </w:rPr>
        <w:t xml:space="preserve">. Relevant sociodemographic information and clinical data including type of </w:t>
      </w:r>
      <w:proofErr w:type="spellStart"/>
      <w:r w:rsidRPr="00166477">
        <w:rPr>
          <w:rFonts w:ascii="Arial" w:hAnsi="Arial" w:cs="Arial"/>
        </w:rPr>
        <w:t>haematologic</w:t>
      </w:r>
      <w:proofErr w:type="spellEnd"/>
      <w:r w:rsidRPr="00166477">
        <w:rPr>
          <w:rFonts w:ascii="Arial" w:hAnsi="Arial" w:cs="Arial"/>
        </w:rPr>
        <w:t xml:space="preserve"> cancer, those who received chemotherapy and what regimen used, and data whether there was delay from </w:t>
      </w:r>
      <w:r w:rsidR="00D51B30">
        <w:rPr>
          <w:rFonts w:ascii="Arial" w:hAnsi="Arial" w:cs="Arial"/>
        </w:rPr>
        <w:t xml:space="preserve">time of </w:t>
      </w:r>
      <w:r w:rsidRPr="00166477">
        <w:rPr>
          <w:rFonts w:ascii="Arial" w:hAnsi="Arial" w:cs="Arial"/>
        </w:rPr>
        <w:t>diagnosis to commence of definitive treatment</w:t>
      </w:r>
      <w:r w:rsidR="00D51B30">
        <w:rPr>
          <w:rFonts w:ascii="Arial" w:hAnsi="Arial" w:cs="Arial"/>
        </w:rPr>
        <w:t xml:space="preserve"> with chemotherapy</w:t>
      </w:r>
      <w:r w:rsidRPr="00166477">
        <w:rPr>
          <w:rFonts w:ascii="Arial" w:hAnsi="Arial" w:cs="Arial"/>
        </w:rPr>
        <w:t xml:space="preserve"> were obtained from patients’ folders. Data analysis was by SPSS version 26 and ethical standards regarding data handling were adhered to.</w:t>
      </w:r>
    </w:p>
    <w:p w14:paraId="2BB02C59" w14:textId="77777777" w:rsidR="00790ADA" w:rsidRPr="00FB3A86" w:rsidRDefault="00790ADA" w:rsidP="00441B6F">
      <w:pPr>
        <w:pStyle w:val="Body"/>
        <w:spacing w:after="0"/>
        <w:rPr>
          <w:rFonts w:ascii="Arial" w:hAnsi="Arial" w:cs="Arial"/>
        </w:rPr>
      </w:pPr>
    </w:p>
    <w:p w14:paraId="20A20CDA"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3D3DBB8" w14:textId="77777777" w:rsidR="00790ADA" w:rsidRPr="00FB3A86" w:rsidRDefault="00790ADA" w:rsidP="00441B6F">
      <w:pPr>
        <w:pStyle w:val="Head1"/>
        <w:spacing w:after="0"/>
        <w:jc w:val="both"/>
        <w:rPr>
          <w:rFonts w:ascii="Arial" w:hAnsi="Arial" w:cs="Arial"/>
        </w:rPr>
      </w:pPr>
    </w:p>
    <w:p w14:paraId="39B7C895" w14:textId="6A2E0C4E" w:rsidR="00F82BAF" w:rsidRPr="00F82BAF" w:rsidRDefault="00F82BAF" w:rsidP="00F82BAF">
      <w:pPr>
        <w:pStyle w:val="Body"/>
        <w:rPr>
          <w:rFonts w:ascii="Arial" w:hAnsi="Arial" w:cs="Arial"/>
        </w:rPr>
      </w:pPr>
      <w:r w:rsidRPr="00F82BAF">
        <w:rPr>
          <w:rFonts w:ascii="Arial" w:hAnsi="Arial" w:cs="Arial"/>
        </w:rPr>
        <w:t xml:space="preserve">A total of </w:t>
      </w:r>
      <w:r w:rsidR="00CF5E08">
        <w:rPr>
          <w:rFonts w:ascii="Arial" w:hAnsi="Arial" w:cs="Arial"/>
        </w:rPr>
        <w:t xml:space="preserve">126 patients with </w:t>
      </w:r>
      <w:proofErr w:type="spellStart"/>
      <w:r w:rsidR="00CF5E08">
        <w:rPr>
          <w:rFonts w:ascii="Arial" w:hAnsi="Arial" w:cs="Arial"/>
        </w:rPr>
        <w:t>haematologic</w:t>
      </w:r>
      <w:proofErr w:type="spellEnd"/>
      <w:r w:rsidR="00CF5E08">
        <w:rPr>
          <w:rFonts w:ascii="Arial" w:hAnsi="Arial" w:cs="Arial"/>
        </w:rPr>
        <w:t xml:space="preserve"> cancers were seen and managed in the </w:t>
      </w:r>
      <w:proofErr w:type="spellStart"/>
      <w:r w:rsidR="00CF5E08">
        <w:rPr>
          <w:rFonts w:ascii="Arial" w:hAnsi="Arial" w:cs="Arial"/>
        </w:rPr>
        <w:t>haematology</w:t>
      </w:r>
      <w:proofErr w:type="spellEnd"/>
      <w:r w:rsidR="00CF5E08">
        <w:rPr>
          <w:rFonts w:ascii="Arial" w:hAnsi="Arial" w:cs="Arial"/>
        </w:rPr>
        <w:t xml:space="preserve"> department of the University of Port Harcourt Teaching Hospital</w:t>
      </w:r>
      <w:r w:rsidR="00C026C6">
        <w:rPr>
          <w:rFonts w:ascii="Arial" w:hAnsi="Arial" w:cs="Arial"/>
        </w:rPr>
        <w:t xml:space="preserve">. </w:t>
      </w:r>
      <w:r w:rsidR="00CF5E08">
        <w:rPr>
          <w:rFonts w:ascii="Arial" w:hAnsi="Arial" w:cs="Arial"/>
        </w:rPr>
        <w:t xml:space="preserve">Of these patients, </w:t>
      </w:r>
      <w:r w:rsidR="009346F5">
        <w:rPr>
          <w:rFonts w:ascii="Arial" w:hAnsi="Arial" w:cs="Arial"/>
        </w:rPr>
        <w:t xml:space="preserve">only </w:t>
      </w:r>
      <w:r w:rsidRPr="00F82BAF">
        <w:rPr>
          <w:rFonts w:ascii="Arial" w:hAnsi="Arial" w:cs="Arial"/>
        </w:rPr>
        <w:t>72 had complete data</w:t>
      </w:r>
      <w:r w:rsidR="009346F5">
        <w:rPr>
          <w:rFonts w:ascii="Arial" w:hAnsi="Arial" w:cs="Arial"/>
        </w:rPr>
        <w:t xml:space="preserve"> relevant to this study and these were the patients</w:t>
      </w:r>
      <w:r w:rsidRPr="00F82BAF">
        <w:rPr>
          <w:rFonts w:ascii="Arial" w:hAnsi="Arial" w:cs="Arial"/>
        </w:rPr>
        <w:t xml:space="preserve"> included in the study</w:t>
      </w:r>
      <w:r w:rsidR="00B10028">
        <w:rPr>
          <w:rFonts w:ascii="Arial" w:hAnsi="Arial" w:cs="Arial"/>
        </w:rPr>
        <w:t>.</w:t>
      </w:r>
      <w:r w:rsidRPr="00F82BAF">
        <w:rPr>
          <w:rFonts w:ascii="Arial" w:hAnsi="Arial" w:cs="Arial"/>
        </w:rPr>
        <w:t xml:space="preserve"> 46 </w:t>
      </w:r>
      <w:r w:rsidR="00B10028">
        <w:rPr>
          <w:rFonts w:ascii="Arial" w:hAnsi="Arial" w:cs="Arial"/>
        </w:rPr>
        <w:t xml:space="preserve">were </w:t>
      </w:r>
      <w:r w:rsidRPr="00F82BAF">
        <w:rPr>
          <w:rFonts w:ascii="Arial" w:hAnsi="Arial" w:cs="Arial"/>
        </w:rPr>
        <w:t>males and females</w:t>
      </w:r>
      <w:r w:rsidR="00B10028">
        <w:rPr>
          <w:rFonts w:ascii="Arial" w:hAnsi="Arial" w:cs="Arial"/>
        </w:rPr>
        <w:t xml:space="preserve"> were 26</w:t>
      </w:r>
      <w:r w:rsidRPr="00F82BAF">
        <w:rPr>
          <w:rFonts w:ascii="Arial" w:hAnsi="Arial" w:cs="Arial"/>
        </w:rPr>
        <w:t xml:space="preserve">. </w:t>
      </w:r>
      <w:proofErr w:type="spellStart"/>
      <w:r w:rsidRPr="00F82BAF">
        <w:rPr>
          <w:rFonts w:ascii="Arial" w:hAnsi="Arial" w:cs="Arial"/>
        </w:rPr>
        <w:t>Haematologic</w:t>
      </w:r>
      <w:proofErr w:type="spellEnd"/>
      <w:r w:rsidRPr="00F82BAF">
        <w:rPr>
          <w:rFonts w:ascii="Arial" w:hAnsi="Arial" w:cs="Arial"/>
        </w:rPr>
        <w:t xml:space="preserve"> cancers managed in the time under review were acute myeloid </w:t>
      </w:r>
      <w:proofErr w:type="spellStart"/>
      <w:r w:rsidRPr="00F82BAF">
        <w:rPr>
          <w:rFonts w:ascii="Arial" w:hAnsi="Arial" w:cs="Arial"/>
        </w:rPr>
        <w:t>leukaemia</w:t>
      </w:r>
      <w:proofErr w:type="spellEnd"/>
      <w:r w:rsidRPr="00F82BAF">
        <w:rPr>
          <w:rFonts w:ascii="Arial" w:hAnsi="Arial" w:cs="Arial"/>
        </w:rPr>
        <w:t xml:space="preserve">, acute lymphoid </w:t>
      </w:r>
      <w:proofErr w:type="spellStart"/>
      <w:r w:rsidRPr="00F82BAF">
        <w:rPr>
          <w:rFonts w:ascii="Arial" w:hAnsi="Arial" w:cs="Arial"/>
        </w:rPr>
        <w:t>leukaemia</w:t>
      </w:r>
      <w:proofErr w:type="spellEnd"/>
      <w:r w:rsidRPr="00F82BAF">
        <w:rPr>
          <w:rFonts w:ascii="Arial" w:hAnsi="Arial" w:cs="Arial"/>
        </w:rPr>
        <w:t xml:space="preserve">, chronic myeloid </w:t>
      </w:r>
      <w:proofErr w:type="spellStart"/>
      <w:r w:rsidRPr="00F82BAF">
        <w:rPr>
          <w:rFonts w:ascii="Arial" w:hAnsi="Arial" w:cs="Arial"/>
        </w:rPr>
        <w:t>leukaemia</w:t>
      </w:r>
      <w:proofErr w:type="spellEnd"/>
      <w:r w:rsidRPr="00F82BAF">
        <w:rPr>
          <w:rFonts w:ascii="Arial" w:hAnsi="Arial" w:cs="Arial"/>
        </w:rPr>
        <w:t xml:space="preserve">, chronic lymphocytic </w:t>
      </w:r>
      <w:proofErr w:type="spellStart"/>
      <w:r w:rsidRPr="00F82BAF">
        <w:rPr>
          <w:rFonts w:ascii="Arial" w:hAnsi="Arial" w:cs="Arial"/>
        </w:rPr>
        <w:t>leukaemia</w:t>
      </w:r>
      <w:proofErr w:type="spellEnd"/>
      <w:r w:rsidRPr="00F82BAF">
        <w:rPr>
          <w:rFonts w:ascii="Arial" w:hAnsi="Arial" w:cs="Arial"/>
        </w:rPr>
        <w:t xml:space="preserve">, Hodgkin and different types of non-Hodgkin lymphomas, myelodysplastic </w:t>
      </w:r>
      <w:proofErr w:type="spellStart"/>
      <w:r w:rsidR="00B10028">
        <w:rPr>
          <w:rFonts w:ascii="Arial" w:hAnsi="Arial" w:cs="Arial"/>
        </w:rPr>
        <w:t>dysplasia</w:t>
      </w:r>
      <w:r w:rsidRPr="00F82BAF">
        <w:rPr>
          <w:rFonts w:ascii="Arial" w:hAnsi="Arial" w:cs="Arial"/>
        </w:rPr>
        <w:t>s</w:t>
      </w:r>
      <w:proofErr w:type="spellEnd"/>
      <w:r w:rsidRPr="00F82BAF">
        <w:rPr>
          <w:rFonts w:ascii="Arial" w:hAnsi="Arial" w:cs="Arial"/>
        </w:rPr>
        <w:t>, and multiple myeloma a</w:t>
      </w:r>
      <w:r w:rsidR="00B10028">
        <w:rPr>
          <w:rFonts w:ascii="Arial" w:hAnsi="Arial" w:cs="Arial"/>
        </w:rPr>
        <w:t>nd these are</w:t>
      </w:r>
      <w:r w:rsidRPr="00F82BAF">
        <w:rPr>
          <w:rFonts w:ascii="Arial" w:hAnsi="Arial" w:cs="Arial"/>
        </w:rPr>
        <w:t xml:space="preserve"> shown in Figure 1.</w:t>
      </w:r>
    </w:p>
    <w:p w14:paraId="5A96DAC3" w14:textId="77777777" w:rsidR="00F82BAF" w:rsidRPr="00F82BAF" w:rsidRDefault="00F82BAF" w:rsidP="00F82BAF">
      <w:pPr>
        <w:pStyle w:val="Body"/>
        <w:spacing w:after="0"/>
        <w:rPr>
          <w:rFonts w:ascii="Arial" w:hAnsi="Arial" w:cs="Arial"/>
        </w:rPr>
      </w:pPr>
      <w:r w:rsidRPr="00F82BAF">
        <w:rPr>
          <w:rFonts w:ascii="Arial" w:hAnsi="Arial" w:cs="Arial"/>
          <w:noProof/>
        </w:rPr>
        <w:drawing>
          <wp:inline distT="0" distB="0" distL="0" distR="0" wp14:anchorId="1C18D926" wp14:editId="004F4B85">
            <wp:extent cx="5731510" cy="4688954"/>
            <wp:effectExtent l="0" t="0" r="2540" b="16510"/>
            <wp:docPr id="1" name="Chart 1">
              <a:extLst xmlns:a="http://schemas.openxmlformats.org/drawingml/2006/main">
                <a:ext uri="{FF2B5EF4-FFF2-40B4-BE49-F238E27FC236}">
                  <a16:creationId xmlns:a16="http://schemas.microsoft.com/office/drawing/2014/main" id="{6777FF66-15DE-47EA-8590-0E6188BFF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53547D" w14:textId="77777777" w:rsidR="00F82BAF" w:rsidRPr="00F82BAF" w:rsidRDefault="00F82BAF" w:rsidP="00F82BAF">
      <w:pPr>
        <w:pStyle w:val="Body"/>
        <w:spacing w:after="0"/>
        <w:rPr>
          <w:rFonts w:ascii="Arial" w:hAnsi="Arial" w:cs="Arial"/>
          <w:b/>
          <w:bCs/>
        </w:rPr>
      </w:pPr>
      <w:r w:rsidRPr="00F82BAF">
        <w:rPr>
          <w:rFonts w:ascii="Arial" w:hAnsi="Arial" w:cs="Arial"/>
          <w:b/>
          <w:bCs/>
        </w:rPr>
        <w:t xml:space="preserve">Fig. 1. Proportion of the different </w:t>
      </w:r>
      <w:proofErr w:type="spellStart"/>
      <w:r w:rsidRPr="00F82BAF">
        <w:rPr>
          <w:rFonts w:ascii="Arial" w:hAnsi="Arial" w:cs="Arial"/>
          <w:b/>
          <w:bCs/>
        </w:rPr>
        <w:t>haematologic</w:t>
      </w:r>
      <w:proofErr w:type="spellEnd"/>
      <w:r w:rsidRPr="00F82BAF">
        <w:rPr>
          <w:rFonts w:ascii="Arial" w:hAnsi="Arial" w:cs="Arial"/>
          <w:b/>
          <w:bCs/>
        </w:rPr>
        <w:t xml:space="preserve"> cancers managed in the study</w:t>
      </w:r>
    </w:p>
    <w:p w14:paraId="5FDD1D98" w14:textId="74887043" w:rsidR="00F82BAF" w:rsidRPr="00F82BAF" w:rsidRDefault="00564BD8" w:rsidP="00F82BAF">
      <w:pPr>
        <w:pStyle w:val="Body"/>
        <w:spacing w:after="0"/>
        <w:rPr>
          <w:rFonts w:ascii="Arial" w:hAnsi="Arial" w:cs="Arial"/>
        </w:rPr>
      </w:pPr>
      <w:r>
        <w:rPr>
          <w:rFonts w:ascii="Arial" w:hAnsi="Arial" w:cs="Arial"/>
        </w:rPr>
        <w:t xml:space="preserve">Of the 72 patients with complete data, </w:t>
      </w:r>
      <w:r w:rsidR="00F82BAF" w:rsidRPr="00F82BAF">
        <w:rPr>
          <w:rFonts w:ascii="Arial" w:hAnsi="Arial" w:cs="Arial"/>
        </w:rPr>
        <w:t xml:space="preserve">69.4% received chemotherapy, </w:t>
      </w:r>
      <w:r>
        <w:rPr>
          <w:rFonts w:ascii="Arial" w:hAnsi="Arial" w:cs="Arial"/>
        </w:rPr>
        <w:t>and</w:t>
      </w:r>
      <w:r w:rsidR="00F82BAF" w:rsidRPr="00F82BAF">
        <w:rPr>
          <w:rFonts w:ascii="Arial" w:hAnsi="Arial" w:cs="Arial"/>
        </w:rPr>
        <w:t xml:space="preserve"> 30.6% did not. Chemotherapy regimens used in the treatment include R-CHOP, CHOP, VRD, TKIs, CVP, and ABVD. Of those who received chemotherapy, 50% had some delay in commencement of chemotherapy, while just 5% of cases had adjustments in the dosing of their chemotherapy.</w:t>
      </w:r>
      <w:r w:rsidR="00313719">
        <w:rPr>
          <w:rFonts w:ascii="Arial" w:hAnsi="Arial" w:cs="Arial"/>
        </w:rPr>
        <w:t xml:space="preserve"> Delay in this context is considered to be time from diagnosis to initiation of definitive treatment with chemotherapy of more than 30 days</w:t>
      </w:r>
      <w:r w:rsidR="00EA2848">
        <w:rPr>
          <w:rFonts w:ascii="Arial" w:hAnsi="Arial" w:cs="Arial"/>
        </w:rPr>
        <w:t xml:space="preserve">, especially as the acute </w:t>
      </w:r>
      <w:proofErr w:type="spellStart"/>
      <w:r w:rsidR="00EA2848">
        <w:rPr>
          <w:rFonts w:ascii="Arial" w:hAnsi="Arial" w:cs="Arial"/>
        </w:rPr>
        <w:t>leukaemias</w:t>
      </w:r>
      <w:proofErr w:type="spellEnd"/>
      <w:r w:rsidR="00EA2848">
        <w:rPr>
          <w:rFonts w:ascii="Arial" w:hAnsi="Arial" w:cs="Arial"/>
        </w:rPr>
        <w:t xml:space="preserve"> patients were not part of those who got to receive chemotherapy.</w:t>
      </w:r>
    </w:p>
    <w:p w14:paraId="40C5366C" w14:textId="77777777" w:rsidR="00F82BAF" w:rsidRPr="00F82BAF" w:rsidRDefault="00F82BAF" w:rsidP="00F82BAF">
      <w:pPr>
        <w:pStyle w:val="Body"/>
        <w:spacing w:after="0"/>
        <w:rPr>
          <w:rFonts w:ascii="Arial" w:hAnsi="Arial" w:cs="Arial"/>
          <w:b/>
          <w:bCs/>
        </w:rPr>
      </w:pPr>
      <w:r w:rsidRPr="00F82BAF">
        <w:rPr>
          <w:rFonts w:ascii="Arial" w:hAnsi="Arial" w:cs="Arial"/>
          <w:b/>
          <w:bCs/>
        </w:rPr>
        <w:t xml:space="preserve">Table 1. Number of completed chemotherapy cycles, dose adjustments and delay in commencement of chemotherapy </w:t>
      </w:r>
    </w:p>
    <w:tbl>
      <w:tblPr>
        <w:tblStyle w:val="TableGrid"/>
        <w:tblW w:w="9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3256"/>
        <w:gridCol w:w="3256"/>
      </w:tblGrid>
      <w:tr w:rsidR="00F82BAF" w:rsidRPr="00F82BAF" w14:paraId="4C427DD4" w14:textId="77777777" w:rsidTr="00C03EE5">
        <w:trPr>
          <w:trHeight w:val="220"/>
        </w:trPr>
        <w:tc>
          <w:tcPr>
            <w:tcW w:w="3255" w:type="dxa"/>
            <w:tcBorders>
              <w:top w:val="single" w:sz="4" w:space="0" w:color="auto"/>
              <w:bottom w:val="single" w:sz="4" w:space="0" w:color="auto"/>
            </w:tcBorders>
          </w:tcPr>
          <w:p w14:paraId="68C59DC8"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Variables</w:t>
            </w:r>
          </w:p>
        </w:tc>
        <w:tc>
          <w:tcPr>
            <w:tcW w:w="3256" w:type="dxa"/>
            <w:tcBorders>
              <w:top w:val="single" w:sz="4" w:space="0" w:color="auto"/>
              <w:bottom w:val="single" w:sz="4" w:space="0" w:color="auto"/>
            </w:tcBorders>
          </w:tcPr>
          <w:p w14:paraId="0042E59D"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 xml:space="preserve">            Mean ± SD (n=50)</w:t>
            </w:r>
          </w:p>
        </w:tc>
        <w:tc>
          <w:tcPr>
            <w:tcW w:w="3256" w:type="dxa"/>
            <w:tcBorders>
              <w:top w:val="single" w:sz="4" w:space="0" w:color="auto"/>
              <w:bottom w:val="single" w:sz="4" w:space="0" w:color="auto"/>
            </w:tcBorders>
          </w:tcPr>
          <w:p w14:paraId="216F775A"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 xml:space="preserve">            Range (Min-Max)</w:t>
            </w:r>
          </w:p>
        </w:tc>
      </w:tr>
    </w:tbl>
    <w:tbl>
      <w:tblPr>
        <w:tblW w:w="9767" w:type="dxa"/>
        <w:tblBorders>
          <w:top w:val="single" w:sz="4" w:space="0" w:color="auto"/>
          <w:bottom w:val="single" w:sz="4" w:space="0" w:color="auto"/>
        </w:tblBorders>
        <w:tblLook w:val="04A0" w:firstRow="1" w:lastRow="0" w:firstColumn="1" w:lastColumn="0" w:noHBand="0" w:noVBand="1"/>
      </w:tblPr>
      <w:tblGrid>
        <w:gridCol w:w="3255"/>
        <w:gridCol w:w="3256"/>
        <w:gridCol w:w="3256"/>
      </w:tblGrid>
      <w:tr w:rsidR="00F82BAF" w:rsidRPr="00F82BAF" w14:paraId="22DA236F" w14:textId="77777777" w:rsidTr="00C03EE5">
        <w:trPr>
          <w:trHeight w:val="522"/>
        </w:trPr>
        <w:tc>
          <w:tcPr>
            <w:tcW w:w="3255" w:type="dxa"/>
            <w:tcBorders>
              <w:top w:val="single" w:sz="4" w:space="0" w:color="auto"/>
            </w:tcBorders>
          </w:tcPr>
          <w:p w14:paraId="2DE216D7" w14:textId="77777777" w:rsidR="00F82BAF" w:rsidRPr="00F82BAF" w:rsidRDefault="00F82BAF" w:rsidP="00F82BAF">
            <w:pPr>
              <w:pStyle w:val="Body"/>
              <w:rPr>
                <w:rFonts w:ascii="Arial" w:hAnsi="Arial" w:cs="Arial"/>
                <w:b/>
                <w:bCs/>
              </w:rPr>
            </w:pPr>
            <w:r w:rsidRPr="00F82BAF">
              <w:rPr>
                <w:rFonts w:ascii="Arial" w:hAnsi="Arial" w:cs="Arial"/>
                <w:b/>
                <w:bCs/>
              </w:rPr>
              <w:lastRenderedPageBreak/>
              <w:t>Chemotherapeutic regimen</w:t>
            </w:r>
          </w:p>
        </w:tc>
        <w:tc>
          <w:tcPr>
            <w:tcW w:w="3256" w:type="dxa"/>
            <w:tcBorders>
              <w:top w:val="single" w:sz="4" w:space="0" w:color="auto"/>
            </w:tcBorders>
          </w:tcPr>
          <w:p w14:paraId="5593145D" w14:textId="77777777" w:rsidR="00F82BAF" w:rsidRPr="00F82BAF" w:rsidRDefault="00F82BAF" w:rsidP="00F82BAF">
            <w:pPr>
              <w:pStyle w:val="Body"/>
              <w:rPr>
                <w:rFonts w:ascii="Arial" w:hAnsi="Arial" w:cs="Arial"/>
                <w:b/>
                <w:bCs/>
              </w:rPr>
            </w:pPr>
            <w:r w:rsidRPr="00F82BAF">
              <w:rPr>
                <w:rFonts w:ascii="Arial" w:hAnsi="Arial" w:cs="Arial"/>
                <w:b/>
                <w:bCs/>
              </w:rPr>
              <w:t>Frequency (n)</w:t>
            </w:r>
          </w:p>
        </w:tc>
        <w:tc>
          <w:tcPr>
            <w:tcW w:w="3256" w:type="dxa"/>
            <w:tcBorders>
              <w:top w:val="single" w:sz="4" w:space="0" w:color="auto"/>
            </w:tcBorders>
          </w:tcPr>
          <w:p w14:paraId="068120F6" w14:textId="77777777" w:rsidR="00F82BAF" w:rsidRPr="00F82BAF" w:rsidRDefault="00F82BAF" w:rsidP="00F82BAF">
            <w:pPr>
              <w:pStyle w:val="Body"/>
              <w:rPr>
                <w:rFonts w:ascii="Arial" w:hAnsi="Arial" w:cs="Arial"/>
                <w:b/>
                <w:bCs/>
              </w:rPr>
            </w:pPr>
            <w:r w:rsidRPr="00F82BAF">
              <w:rPr>
                <w:rFonts w:ascii="Arial" w:hAnsi="Arial" w:cs="Arial"/>
                <w:b/>
                <w:bCs/>
              </w:rPr>
              <w:t>Percentage (%)</w:t>
            </w:r>
          </w:p>
        </w:tc>
      </w:tr>
      <w:tr w:rsidR="00F82BAF" w:rsidRPr="00F82BAF" w14:paraId="02A67FFF" w14:textId="77777777" w:rsidTr="00C03EE5">
        <w:trPr>
          <w:trHeight w:val="522"/>
        </w:trPr>
        <w:tc>
          <w:tcPr>
            <w:tcW w:w="3255" w:type="dxa"/>
          </w:tcPr>
          <w:p w14:paraId="258E174B" w14:textId="77777777" w:rsidR="00F82BAF" w:rsidRPr="00F82BAF" w:rsidRDefault="00F82BAF" w:rsidP="00F82BAF">
            <w:pPr>
              <w:pStyle w:val="Body"/>
              <w:rPr>
                <w:rFonts w:ascii="Arial" w:hAnsi="Arial" w:cs="Arial"/>
              </w:rPr>
            </w:pPr>
            <w:r w:rsidRPr="00F82BAF">
              <w:rPr>
                <w:rFonts w:ascii="Arial" w:hAnsi="Arial" w:cs="Arial"/>
              </w:rPr>
              <w:t>ABVD</w:t>
            </w:r>
          </w:p>
        </w:tc>
        <w:tc>
          <w:tcPr>
            <w:tcW w:w="3256" w:type="dxa"/>
          </w:tcPr>
          <w:p w14:paraId="5720540A" w14:textId="77777777" w:rsidR="00F82BAF" w:rsidRPr="00F82BAF" w:rsidRDefault="00F82BAF" w:rsidP="00F82BAF">
            <w:pPr>
              <w:pStyle w:val="Body"/>
              <w:rPr>
                <w:rFonts w:ascii="Arial" w:hAnsi="Arial" w:cs="Arial"/>
              </w:rPr>
            </w:pPr>
            <w:r w:rsidRPr="00F82BAF">
              <w:rPr>
                <w:rFonts w:ascii="Arial" w:hAnsi="Arial" w:cs="Arial"/>
              </w:rPr>
              <w:t>7</w:t>
            </w:r>
          </w:p>
        </w:tc>
        <w:tc>
          <w:tcPr>
            <w:tcW w:w="3256" w:type="dxa"/>
          </w:tcPr>
          <w:p w14:paraId="0E44DB87" w14:textId="77777777" w:rsidR="00F82BAF" w:rsidRPr="00F82BAF" w:rsidRDefault="00F82BAF" w:rsidP="00F82BAF">
            <w:pPr>
              <w:pStyle w:val="Body"/>
              <w:rPr>
                <w:rFonts w:ascii="Arial" w:hAnsi="Arial" w:cs="Arial"/>
              </w:rPr>
            </w:pPr>
            <w:r w:rsidRPr="00F82BAF">
              <w:rPr>
                <w:rFonts w:ascii="Arial" w:hAnsi="Arial" w:cs="Arial"/>
              </w:rPr>
              <w:t>14.0</w:t>
            </w:r>
          </w:p>
        </w:tc>
      </w:tr>
      <w:tr w:rsidR="00F82BAF" w:rsidRPr="00F82BAF" w14:paraId="100F86C2" w14:textId="77777777" w:rsidTr="00C03EE5">
        <w:trPr>
          <w:trHeight w:val="522"/>
        </w:trPr>
        <w:tc>
          <w:tcPr>
            <w:tcW w:w="3255" w:type="dxa"/>
          </w:tcPr>
          <w:p w14:paraId="488904B8" w14:textId="77777777" w:rsidR="00F82BAF" w:rsidRPr="00F82BAF" w:rsidRDefault="00F82BAF" w:rsidP="00F82BAF">
            <w:pPr>
              <w:pStyle w:val="Body"/>
              <w:rPr>
                <w:rFonts w:ascii="Arial" w:hAnsi="Arial" w:cs="Arial"/>
              </w:rPr>
            </w:pPr>
            <w:r w:rsidRPr="00F82BAF">
              <w:rPr>
                <w:rFonts w:ascii="Arial" w:hAnsi="Arial" w:cs="Arial"/>
              </w:rPr>
              <w:t>CHOP</w:t>
            </w:r>
          </w:p>
        </w:tc>
        <w:tc>
          <w:tcPr>
            <w:tcW w:w="3256" w:type="dxa"/>
          </w:tcPr>
          <w:p w14:paraId="4B86F1B2" w14:textId="77777777" w:rsidR="00F82BAF" w:rsidRPr="00F82BAF" w:rsidRDefault="00F82BAF" w:rsidP="00F82BAF">
            <w:pPr>
              <w:pStyle w:val="Body"/>
              <w:rPr>
                <w:rFonts w:ascii="Arial" w:hAnsi="Arial" w:cs="Arial"/>
              </w:rPr>
            </w:pPr>
            <w:r w:rsidRPr="00F82BAF">
              <w:rPr>
                <w:rFonts w:ascii="Arial" w:hAnsi="Arial" w:cs="Arial"/>
              </w:rPr>
              <w:t>8</w:t>
            </w:r>
          </w:p>
        </w:tc>
        <w:tc>
          <w:tcPr>
            <w:tcW w:w="3256" w:type="dxa"/>
          </w:tcPr>
          <w:p w14:paraId="12F304E5" w14:textId="77777777" w:rsidR="00F82BAF" w:rsidRPr="00F82BAF" w:rsidRDefault="00F82BAF" w:rsidP="00F82BAF">
            <w:pPr>
              <w:pStyle w:val="Body"/>
              <w:rPr>
                <w:rFonts w:ascii="Arial" w:hAnsi="Arial" w:cs="Arial"/>
              </w:rPr>
            </w:pPr>
            <w:r w:rsidRPr="00F82BAF">
              <w:rPr>
                <w:rFonts w:ascii="Arial" w:hAnsi="Arial" w:cs="Arial"/>
              </w:rPr>
              <w:t>16.0</w:t>
            </w:r>
          </w:p>
        </w:tc>
      </w:tr>
      <w:tr w:rsidR="00F82BAF" w:rsidRPr="00F82BAF" w14:paraId="4780C8AD" w14:textId="77777777" w:rsidTr="00C03EE5">
        <w:trPr>
          <w:trHeight w:val="522"/>
        </w:trPr>
        <w:tc>
          <w:tcPr>
            <w:tcW w:w="3255" w:type="dxa"/>
          </w:tcPr>
          <w:p w14:paraId="3EB1717B" w14:textId="77777777" w:rsidR="00F82BAF" w:rsidRPr="00F82BAF" w:rsidRDefault="00F82BAF" w:rsidP="00F82BAF">
            <w:pPr>
              <w:pStyle w:val="Body"/>
              <w:rPr>
                <w:rFonts w:ascii="Arial" w:hAnsi="Arial" w:cs="Arial"/>
              </w:rPr>
            </w:pPr>
            <w:r w:rsidRPr="00F82BAF">
              <w:rPr>
                <w:rFonts w:ascii="Arial" w:hAnsi="Arial" w:cs="Arial"/>
              </w:rPr>
              <w:t>CVP</w:t>
            </w:r>
          </w:p>
        </w:tc>
        <w:tc>
          <w:tcPr>
            <w:tcW w:w="3256" w:type="dxa"/>
          </w:tcPr>
          <w:p w14:paraId="385B4D95" w14:textId="77777777" w:rsidR="00F82BAF" w:rsidRPr="00F82BAF" w:rsidRDefault="00F82BAF" w:rsidP="00F82BAF">
            <w:pPr>
              <w:pStyle w:val="Body"/>
              <w:rPr>
                <w:rFonts w:ascii="Arial" w:hAnsi="Arial" w:cs="Arial"/>
              </w:rPr>
            </w:pPr>
            <w:r w:rsidRPr="00F82BAF">
              <w:rPr>
                <w:rFonts w:ascii="Arial" w:hAnsi="Arial" w:cs="Arial"/>
              </w:rPr>
              <w:t>2</w:t>
            </w:r>
          </w:p>
        </w:tc>
        <w:tc>
          <w:tcPr>
            <w:tcW w:w="3256" w:type="dxa"/>
          </w:tcPr>
          <w:p w14:paraId="21BC1510" w14:textId="77777777" w:rsidR="00F82BAF" w:rsidRPr="00F82BAF" w:rsidRDefault="00F82BAF" w:rsidP="00F82BAF">
            <w:pPr>
              <w:pStyle w:val="Body"/>
              <w:rPr>
                <w:rFonts w:ascii="Arial" w:hAnsi="Arial" w:cs="Arial"/>
              </w:rPr>
            </w:pPr>
            <w:r w:rsidRPr="00F82BAF">
              <w:rPr>
                <w:rFonts w:ascii="Arial" w:hAnsi="Arial" w:cs="Arial"/>
              </w:rPr>
              <w:t>4.0</w:t>
            </w:r>
          </w:p>
        </w:tc>
      </w:tr>
      <w:tr w:rsidR="00F82BAF" w:rsidRPr="00F82BAF" w14:paraId="2241B1F6" w14:textId="77777777" w:rsidTr="00C03EE5">
        <w:trPr>
          <w:trHeight w:val="522"/>
        </w:trPr>
        <w:tc>
          <w:tcPr>
            <w:tcW w:w="3255" w:type="dxa"/>
          </w:tcPr>
          <w:p w14:paraId="329F61BA" w14:textId="77777777" w:rsidR="00F82BAF" w:rsidRPr="00F82BAF" w:rsidRDefault="00F82BAF" w:rsidP="00F82BAF">
            <w:pPr>
              <w:pStyle w:val="Body"/>
              <w:rPr>
                <w:rFonts w:ascii="Arial" w:hAnsi="Arial" w:cs="Arial"/>
              </w:rPr>
            </w:pPr>
            <w:r w:rsidRPr="00F82BAF">
              <w:rPr>
                <w:rFonts w:ascii="Arial" w:hAnsi="Arial" w:cs="Arial"/>
              </w:rPr>
              <w:t>R-CHOP</w:t>
            </w:r>
          </w:p>
        </w:tc>
        <w:tc>
          <w:tcPr>
            <w:tcW w:w="3256" w:type="dxa"/>
          </w:tcPr>
          <w:p w14:paraId="2774DDFC" w14:textId="77777777" w:rsidR="00F82BAF" w:rsidRPr="00F82BAF" w:rsidRDefault="00F82BAF" w:rsidP="00F82BAF">
            <w:pPr>
              <w:pStyle w:val="Body"/>
              <w:rPr>
                <w:rFonts w:ascii="Arial" w:hAnsi="Arial" w:cs="Arial"/>
              </w:rPr>
            </w:pPr>
            <w:r w:rsidRPr="00F82BAF">
              <w:rPr>
                <w:rFonts w:ascii="Arial" w:hAnsi="Arial" w:cs="Arial"/>
              </w:rPr>
              <w:t>7</w:t>
            </w:r>
          </w:p>
        </w:tc>
        <w:tc>
          <w:tcPr>
            <w:tcW w:w="3256" w:type="dxa"/>
          </w:tcPr>
          <w:p w14:paraId="4974D5FA" w14:textId="77777777" w:rsidR="00F82BAF" w:rsidRPr="00F82BAF" w:rsidRDefault="00F82BAF" w:rsidP="00F82BAF">
            <w:pPr>
              <w:pStyle w:val="Body"/>
              <w:rPr>
                <w:rFonts w:ascii="Arial" w:hAnsi="Arial" w:cs="Arial"/>
              </w:rPr>
            </w:pPr>
            <w:r w:rsidRPr="00F82BAF">
              <w:rPr>
                <w:rFonts w:ascii="Arial" w:hAnsi="Arial" w:cs="Arial"/>
              </w:rPr>
              <w:t>14.0</w:t>
            </w:r>
          </w:p>
        </w:tc>
      </w:tr>
      <w:tr w:rsidR="00F82BAF" w:rsidRPr="00F82BAF" w14:paraId="0294B627" w14:textId="77777777" w:rsidTr="00C03EE5">
        <w:trPr>
          <w:trHeight w:val="522"/>
        </w:trPr>
        <w:tc>
          <w:tcPr>
            <w:tcW w:w="3255" w:type="dxa"/>
            <w:tcBorders>
              <w:bottom w:val="nil"/>
            </w:tcBorders>
          </w:tcPr>
          <w:p w14:paraId="4D54F18C" w14:textId="77777777" w:rsidR="00F82BAF" w:rsidRPr="00F82BAF" w:rsidRDefault="00F82BAF" w:rsidP="00F82BAF">
            <w:pPr>
              <w:pStyle w:val="Body"/>
              <w:rPr>
                <w:rFonts w:ascii="Arial" w:hAnsi="Arial" w:cs="Arial"/>
              </w:rPr>
            </w:pPr>
            <w:r w:rsidRPr="00F82BAF">
              <w:rPr>
                <w:rFonts w:ascii="Arial" w:hAnsi="Arial" w:cs="Arial"/>
              </w:rPr>
              <w:t>TKIs</w:t>
            </w:r>
          </w:p>
        </w:tc>
        <w:tc>
          <w:tcPr>
            <w:tcW w:w="3256" w:type="dxa"/>
            <w:tcBorders>
              <w:bottom w:val="nil"/>
            </w:tcBorders>
          </w:tcPr>
          <w:p w14:paraId="4EC37721" w14:textId="77777777" w:rsidR="00F82BAF" w:rsidRPr="00F82BAF" w:rsidRDefault="00F82BAF" w:rsidP="00F82BAF">
            <w:pPr>
              <w:pStyle w:val="Body"/>
              <w:rPr>
                <w:rFonts w:ascii="Arial" w:hAnsi="Arial" w:cs="Arial"/>
              </w:rPr>
            </w:pPr>
            <w:r w:rsidRPr="00F82BAF">
              <w:rPr>
                <w:rFonts w:ascii="Arial" w:hAnsi="Arial" w:cs="Arial"/>
              </w:rPr>
              <w:t>11</w:t>
            </w:r>
          </w:p>
        </w:tc>
        <w:tc>
          <w:tcPr>
            <w:tcW w:w="3256" w:type="dxa"/>
            <w:tcBorders>
              <w:bottom w:val="nil"/>
            </w:tcBorders>
          </w:tcPr>
          <w:p w14:paraId="3BBDFCB6" w14:textId="77777777" w:rsidR="00F82BAF" w:rsidRPr="00F82BAF" w:rsidRDefault="00F82BAF" w:rsidP="00F82BAF">
            <w:pPr>
              <w:pStyle w:val="Body"/>
              <w:rPr>
                <w:rFonts w:ascii="Arial" w:hAnsi="Arial" w:cs="Arial"/>
              </w:rPr>
            </w:pPr>
            <w:r w:rsidRPr="00F82BAF">
              <w:rPr>
                <w:rFonts w:ascii="Arial" w:hAnsi="Arial" w:cs="Arial"/>
              </w:rPr>
              <w:t>22.0</w:t>
            </w:r>
          </w:p>
        </w:tc>
      </w:tr>
      <w:tr w:rsidR="00F82BAF" w:rsidRPr="00F82BAF" w14:paraId="06E92734" w14:textId="77777777" w:rsidTr="00C03EE5">
        <w:trPr>
          <w:trHeight w:val="522"/>
        </w:trPr>
        <w:tc>
          <w:tcPr>
            <w:tcW w:w="3255" w:type="dxa"/>
            <w:tcBorders>
              <w:top w:val="nil"/>
              <w:bottom w:val="single" w:sz="4" w:space="0" w:color="auto"/>
            </w:tcBorders>
          </w:tcPr>
          <w:p w14:paraId="1E1C9617" w14:textId="77777777" w:rsidR="00F82BAF" w:rsidRPr="00F82BAF" w:rsidRDefault="00F82BAF" w:rsidP="00F82BAF">
            <w:pPr>
              <w:pStyle w:val="Body"/>
              <w:rPr>
                <w:rFonts w:ascii="Arial" w:hAnsi="Arial" w:cs="Arial"/>
              </w:rPr>
            </w:pPr>
            <w:r w:rsidRPr="00F82BAF">
              <w:rPr>
                <w:rFonts w:ascii="Arial" w:hAnsi="Arial" w:cs="Arial"/>
              </w:rPr>
              <w:t>VRDs</w:t>
            </w:r>
          </w:p>
        </w:tc>
        <w:tc>
          <w:tcPr>
            <w:tcW w:w="3256" w:type="dxa"/>
            <w:tcBorders>
              <w:top w:val="nil"/>
              <w:bottom w:val="single" w:sz="4" w:space="0" w:color="auto"/>
            </w:tcBorders>
          </w:tcPr>
          <w:p w14:paraId="49B6B25F" w14:textId="77777777" w:rsidR="00F82BAF" w:rsidRPr="00F82BAF" w:rsidRDefault="00F82BAF" w:rsidP="00F82BAF">
            <w:pPr>
              <w:pStyle w:val="Body"/>
              <w:rPr>
                <w:rFonts w:ascii="Arial" w:hAnsi="Arial" w:cs="Arial"/>
              </w:rPr>
            </w:pPr>
            <w:r w:rsidRPr="00F82BAF">
              <w:rPr>
                <w:rFonts w:ascii="Arial" w:hAnsi="Arial" w:cs="Arial"/>
              </w:rPr>
              <w:t>15</w:t>
            </w:r>
          </w:p>
        </w:tc>
        <w:tc>
          <w:tcPr>
            <w:tcW w:w="3256" w:type="dxa"/>
            <w:tcBorders>
              <w:top w:val="nil"/>
              <w:bottom w:val="single" w:sz="4" w:space="0" w:color="auto"/>
            </w:tcBorders>
          </w:tcPr>
          <w:p w14:paraId="00E5B1F8" w14:textId="77777777" w:rsidR="00F82BAF" w:rsidRPr="00F82BAF" w:rsidRDefault="00F82BAF" w:rsidP="00F82BAF">
            <w:pPr>
              <w:pStyle w:val="Body"/>
              <w:rPr>
                <w:rFonts w:ascii="Arial" w:hAnsi="Arial" w:cs="Arial"/>
              </w:rPr>
            </w:pPr>
            <w:r w:rsidRPr="00F82BAF">
              <w:rPr>
                <w:rFonts w:ascii="Arial" w:hAnsi="Arial" w:cs="Arial"/>
              </w:rPr>
              <w:t>30.0</w:t>
            </w:r>
          </w:p>
        </w:tc>
      </w:tr>
      <w:tr w:rsidR="00F82BAF" w:rsidRPr="00F82BAF" w14:paraId="55020092" w14:textId="77777777" w:rsidTr="00C03EE5">
        <w:trPr>
          <w:trHeight w:val="522"/>
        </w:trPr>
        <w:tc>
          <w:tcPr>
            <w:tcW w:w="3255" w:type="dxa"/>
            <w:tcBorders>
              <w:top w:val="single" w:sz="4" w:space="0" w:color="auto"/>
            </w:tcBorders>
          </w:tcPr>
          <w:p w14:paraId="39919A88" w14:textId="77777777" w:rsidR="00F82BAF" w:rsidRPr="00F82BAF" w:rsidRDefault="00F82BAF" w:rsidP="00F82BAF">
            <w:pPr>
              <w:pStyle w:val="Body"/>
              <w:rPr>
                <w:rFonts w:ascii="Arial" w:hAnsi="Arial" w:cs="Arial"/>
                <w:b/>
                <w:bCs/>
              </w:rPr>
            </w:pPr>
            <w:r w:rsidRPr="00F82BAF">
              <w:rPr>
                <w:rFonts w:ascii="Arial" w:hAnsi="Arial" w:cs="Arial"/>
                <w:b/>
                <w:bCs/>
              </w:rPr>
              <w:t>Dose adjustments</w:t>
            </w:r>
          </w:p>
        </w:tc>
        <w:tc>
          <w:tcPr>
            <w:tcW w:w="3256" w:type="dxa"/>
            <w:tcBorders>
              <w:top w:val="single" w:sz="4" w:space="0" w:color="auto"/>
            </w:tcBorders>
          </w:tcPr>
          <w:p w14:paraId="21E231EE" w14:textId="77777777" w:rsidR="00F82BAF" w:rsidRPr="00F82BAF" w:rsidRDefault="00F82BAF" w:rsidP="00F82BAF">
            <w:pPr>
              <w:pStyle w:val="Body"/>
              <w:rPr>
                <w:rFonts w:ascii="Arial" w:hAnsi="Arial" w:cs="Arial"/>
              </w:rPr>
            </w:pPr>
          </w:p>
        </w:tc>
        <w:tc>
          <w:tcPr>
            <w:tcW w:w="3256" w:type="dxa"/>
            <w:tcBorders>
              <w:top w:val="single" w:sz="4" w:space="0" w:color="auto"/>
            </w:tcBorders>
          </w:tcPr>
          <w:p w14:paraId="7DA2436F" w14:textId="77777777" w:rsidR="00F82BAF" w:rsidRPr="00F82BAF" w:rsidRDefault="00F82BAF" w:rsidP="00F82BAF">
            <w:pPr>
              <w:pStyle w:val="Body"/>
              <w:rPr>
                <w:rFonts w:ascii="Arial" w:hAnsi="Arial" w:cs="Arial"/>
              </w:rPr>
            </w:pPr>
          </w:p>
        </w:tc>
      </w:tr>
      <w:tr w:rsidR="00F82BAF" w:rsidRPr="00F82BAF" w14:paraId="6111BBCD" w14:textId="77777777" w:rsidTr="00C03EE5">
        <w:trPr>
          <w:trHeight w:val="522"/>
        </w:trPr>
        <w:tc>
          <w:tcPr>
            <w:tcW w:w="3255" w:type="dxa"/>
            <w:tcBorders>
              <w:bottom w:val="nil"/>
            </w:tcBorders>
          </w:tcPr>
          <w:p w14:paraId="48DCB5A2" w14:textId="77777777" w:rsidR="00F82BAF" w:rsidRPr="00F82BAF" w:rsidRDefault="00F82BAF" w:rsidP="00F82BAF">
            <w:pPr>
              <w:pStyle w:val="Body"/>
              <w:rPr>
                <w:rFonts w:ascii="Arial" w:hAnsi="Arial" w:cs="Arial"/>
              </w:rPr>
            </w:pPr>
            <w:r w:rsidRPr="00F82BAF">
              <w:rPr>
                <w:rFonts w:ascii="Arial" w:hAnsi="Arial" w:cs="Arial"/>
              </w:rPr>
              <w:t>Yes</w:t>
            </w:r>
          </w:p>
        </w:tc>
        <w:tc>
          <w:tcPr>
            <w:tcW w:w="3256" w:type="dxa"/>
            <w:tcBorders>
              <w:bottom w:val="nil"/>
            </w:tcBorders>
          </w:tcPr>
          <w:p w14:paraId="5630E476" w14:textId="77777777" w:rsidR="00F82BAF" w:rsidRPr="00F82BAF" w:rsidRDefault="00F82BAF" w:rsidP="00F82BAF">
            <w:pPr>
              <w:pStyle w:val="Body"/>
              <w:rPr>
                <w:rFonts w:ascii="Arial" w:hAnsi="Arial" w:cs="Arial"/>
              </w:rPr>
            </w:pPr>
            <w:r w:rsidRPr="00F82BAF">
              <w:rPr>
                <w:rFonts w:ascii="Arial" w:hAnsi="Arial" w:cs="Arial"/>
              </w:rPr>
              <w:t>5</w:t>
            </w:r>
          </w:p>
        </w:tc>
        <w:tc>
          <w:tcPr>
            <w:tcW w:w="3256" w:type="dxa"/>
            <w:tcBorders>
              <w:bottom w:val="nil"/>
            </w:tcBorders>
          </w:tcPr>
          <w:p w14:paraId="2CB97030" w14:textId="77777777" w:rsidR="00F82BAF" w:rsidRPr="00F82BAF" w:rsidRDefault="00F82BAF" w:rsidP="00F82BAF">
            <w:pPr>
              <w:pStyle w:val="Body"/>
              <w:rPr>
                <w:rFonts w:ascii="Arial" w:hAnsi="Arial" w:cs="Arial"/>
              </w:rPr>
            </w:pPr>
            <w:r w:rsidRPr="00F82BAF">
              <w:rPr>
                <w:rFonts w:ascii="Arial" w:hAnsi="Arial" w:cs="Arial"/>
              </w:rPr>
              <w:t>10.0</w:t>
            </w:r>
          </w:p>
        </w:tc>
      </w:tr>
      <w:tr w:rsidR="00F82BAF" w:rsidRPr="00F82BAF" w14:paraId="64EDB6A1" w14:textId="77777777" w:rsidTr="00C03EE5">
        <w:trPr>
          <w:trHeight w:val="522"/>
        </w:trPr>
        <w:tc>
          <w:tcPr>
            <w:tcW w:w="3255" w:type="dxa"/>
            <w:tcBorders>
              <w:top w:val="nil"/>
              <w:bottom w:val="single" w:sz="4" w:space="0" w:color="auto"/>
            </w:tcBorders>
          </w:tcPr>
          <w:p w14:paraId="005E8390" w14:textId="77777777" w:rsidR="00F82BAF" w:rsidRPr="00F82BAF" w:rsidRDefault="00F82BAF" w:rsidP="00F82BAF">
            <w:pPr>
              <w:pStyle w:val="Body"/>
              <w:rPr>
                <w:rFonts w:ascii="Arial" w:hAnsi="Arial" w:cs="Arial"/>
              </w:rPr>
            </w:pPr>
            <w:r w:rsidRPr="00F82BAF">
              <w:rPr>
                <w:rFonts w:ascii="Arial" w:hAnsi="Arial" w:cs="Arial"/>
              </w:rPr>
              <w:t>No</w:t>
            </w:r>
          </w:p>
        </w:tc>
        <w:tc>
          <w:tcPr>
            <w:tcW w:w="3256" w:type="dxa"/>
            <w:tcBorders>
              <w:top w:val="nil"/>
              <w:bottom w:val="single" w:sz="4" w:space="0" w:color="auto"/>
            </w:tcBorders>
          </w:tcPr>
          <w:p w14:paraId="44E9E7DB" w14:textId="77777777" w:rsidR="00F82BAF" w:rsidRPr="00F82BAF" w:rsidRDefault="00F82BAF" w:rsidP="00F82BAF">
            <w:pPr>
              <w:pStyle w:val="Body"/>
              <w:rPr>
                <w:rFonts w:ascii="Arial" w:hAnsi="Arial" w:cs="Arial"/>
              </w:rPr>
            </w:pPr>
            <w:r w:rsidRPr="00F82BAF">
              <w:rPr>
                <w:rFonts w:ascii="Arial" w:hAnsi="Arial" w:cs="Arial"/>
              </w:rPr>
              <w:t>45</w:t>
            </w:r>
          </w:p>
        </w:tc>
        <w:tc>
          <w:tcPr>
            <w:tcW w:w="3256" w:type="dxa"/>
            <w:tcBorders>
              <w:top w:val="nil"/>
              <w:bottom w:val="single" w:sz="4" w:space="0" w:color="auto"/>
            </w:tcBorders>
          </w:tcPr>
          <w:p w14:paraId="5C708D68" w14:textId="77777777" w:rsidR="00F82BAF" w:rsidRPr="00F82BAF" w:rsidRDefault="00F82BAF" w:rsidP="00F82BAF">
            <w:pPr>
              <w:pStyle w:val="Body"/>
              <w:rPr>
                <w:rFonts w:ascii="Arial" w:hAnsi="Arial" w:cs="Arial"/>
              </w:rPr>
            </w:pPr>
            <w:r w:rsidRPr="00F82BAF">
              <w:rPr>
                <w:rFonts w:ascii="Arial" w:hAnsi="Arial" w:cs="Arial"/>
              </w:rPr>
              <w:t>90.0</w:t>
            </w:r>
          </w:p>
        </w:tc>
      </w:tr>
      <w:tr w:rsidR="00F82BAF" w:rsidRPr="00F82BAF" w14:paraId="48104382" w14:textId="77777777" w:rsidTr="00C03EE5">
        <w:trPr>
          <w:trHeight w:val="522"/>
        </w:trPr>
        <w:tc>
          <w:tcPr>
            <w:tcW w:w="3255" w:type="dxa"/>
            <w:tcBorders>
              <w:top w:val="single" w:sz="4" w:space="0" w:color="auto"/>
            </w:tcBorders>
          </w:tcPr>
          <w:p w14:paraId="0E843541" w14:textId="77777777" w:rsidR="00F82BAF" w:rsidRPr="00F82BAF" w:rsidRDefault="00F82BAF" w:rsidP="00F82BAF">
            <w:pPr>
              <w:pStyle w:val="Body"/>
              <w:rPr>
                <w:rFonts w:ascii="Arial" w:hAnsi="Arial" w:cs="Arial"/>
                <w:b/>
                <w:bCs/>
              </w:rPr>
            </w:pPr>
            <w:r w:rsidRPr="00F82BAF">
              <w:rPr>
                <w:rFonts w:ascii="Arial" w:hAnsi="Arial" w:cs="Arial"/>
                <w:b/>
                <w:bCs/>
              </w:rPr>
              <w:t>Delay in initiating chemotherapy</w:t>
            </w:r>
          </w:p>
        </w:tc>
        <w:tc>
          <w:tcPr>
            <w:tcW w:w="3256" w:type="dxa"/>
            <w:tcBorders>
              <w:top w:val="single" w:sz="4" w:space="0" w:color="auto"/>
            </w:tcBorders>
          </w:tcPr>
          <w:p w14:paraId="00FBAE46" w14:textId="77777777" w:rsidR="00F82BAF" w:rsidRPr="00F82BAF" w:rsidRDefault="00F82BAF" w:rsidP="00F82BAF">
            <w:pPr>
              <w:pStyle w:val="Body"/>
              <w:rPr>
                <w:rFonts w:ascii="Arial" w:hAnsi="Arial" w:cs="Arial"/>
              </w:rPr>
            </w:pPr>
          </w:p>
        </w:tc>
        <w:tc>
          <w:tcPr>
            <w:tcW w:w="3256" w:type="dxa"/>
            <w:tcBorders>
              <w:top w:val="single" w:sz="4" w:space="0" w:color="auto"/>
            </w:tcBorders>
          </w:tcPr>
          <w:p w14:paraId="5259549F" w14:textId="77777777" w:rsidR="00F82BAF" w:rsidRPr="00F82BAF" w:rsidRDefault="00F82BAF" w:rsidP="00F82BAF">
            <w:pPr>
              <w:pStyle w:val="Body"/>
              <w:rPr>
                <w:rFonts w:ascii="Arial" w:hAnsi="Arial" w:cs="Arial"/>
              </w:rPr>
            </w:pPr>
          </w:p>
        </w:tc>
      </w:tr>
      <w:tr w:rsidR="00F82BAF" w:rsidRPr="00F82BAF" w14:paraId="1286C3A4" w14:textId="77777777" w:rsidTr="00C03EE5">
        <w:trPr>
          <w:trHeight w:val="522"/>
        </w:trPr>
        <w:tc>
          <w:tcPr>
            <w:tcW w:w="3255" w:type="dxa"/>
          </w:tcPr>
          <w:p w14:paraId="32FABF2C" w14:textId="77777777" w:rsidR="00F82BAF" w:rsidRPr="00F82BAF" w:rsidRDefault="00F82BAF" w:rsidP="00F82BAF">
            <w:pPr>
              <w:pStyle w:val="Body"/>
              <w:rPr>
                <w:rFonts w:ascii="Arial" w:hAnsi="Arial" w:cs="Arial"/>
              </w:rPr>
            </w:pPr>
            <w:r w:rsidRPr="00F82BAF">
              <w:rPr>
                <w:rFonts w:ascii="Arial" w:hAnsi="Arial" w:cs="Arial"/>
              </w:rPr>
              <w:t>Yes</w:t>
            </w:r>
          </w:p>
        </w:tc>
        <w:tc>
          <w:tcPr>
            <w:tcW w:w="3256" w:type="dxa"/>
          </w:tcPr>
          <w:p w14:paraId="5884D8DE" w14:textId="77777777" w:rsidR="00F82BAF" w:rsidRPr="00F82BAF" w:rsidRDefault="00F82BAF" w:rsidP="00F82BAF">
            <w:pPr>
              <w:pStyle w:val="Body"/>
              <w:rPr>
                <w:rFonts w:ascii="Arial" w:hAnsi="Arial" w:cs="Arial"/>
              </w:rPr>
            </w:pPr>
            <w:r w:rsidRPr="00F82BAF">
              <w:rPr>
                <w:rFonts w:ascii="Arial" w:hAnsi="Arial" w:cs="Arial"/>
              </w:rPr>
              <w:t>25</w:t>
            </w:r>
          </w:p>
        </w:tc>
        <w:tc>
          <w:tcPr>
            <w:tcW w:w="3256" w:type="dxa"/>
          </w:tcPr>
          <w:p w14:paraId="7B80AD56" w14:textId="77777777" w:rsidR="00F82BAF" w:rsidRPr="00F82BAF" w:rsidRDefault="00F82BAF" w:rsidP="00F82BAF">
            <w:pPr>
              <w:pStyle w:val="Body"/>
              <w:rPr>
                <w:rFonts w:ascii="Arial" w:hAnsi="Arial" w:cs="Arial"/>
              </w:rPr>
            </w:pPr>
            <w:r w:rsidRPr="00F82BAF">
              <w:rPr>
                <w:rFonts w:ascii="Arial" w:hAnsi="Arial" w:cs="Arial"/>
              </w:rPr>
              <w:t>50.0</w:t>
            </w:r>
          </w:p>
        </w:tc>
      </w:tr>
      <w:tr w:rsidR="00F82BAF" w:rsidRPr="00F82BAF" w14:paraId="6D031964" w14:textId="77777777" w:rsidTr="00C03EE5">
        <w:trPr>
          <w:trHeight w:val="522"/>
        </w:trPr>
        <w:tc>
          <w:tcPr>
            <w:tcW w:w="3255" w:type="dxa"/>
          </w:tcPr>
          <w:p w14:paraId="570C26BF" w14:textId="77777777" w:rsidR="00F82BAF" w:rsidRPr="00F82BAF" w:rsidRDefault="00F82BAF" w:rsidP="00F82BAF">
            <w:pPr>
              <w:pStyle w:val="Body"/>
              <w:rPr>
                <w:rFonts w:ascii="Arial" w:hAnsi="Arial" w:cs="Arial"/>
              </w:rPr>
            </w:pPr>
            <w:r w:rsidRPr="00F82BAF">
              <w:rPr>
                <w:rFonts w:ascii="Arial" w:hAnsi="Arial" w:cs="Arial"/>
              </w:rPr>
              <w:t>No</w:t>
            </w:r>
          </w:p>
        </w:tc>
        <w:tc>
          <w:tcPr>
            <w:tcW w:w="3256" w:type="dxa"/>
          </w:tcPr>
          <w:p w14:paraId="083741C2" w14:textId="77777777" w:rsidR="00F82BAF" w:rsidRPr="00F82BAF" w:rsidRDefault="00F82BAF" w:rsidP="00F82BAF">
            <w:pPr>
              <w:pStyle w:val="Body"/>
              <w:rPr>
                <w:rFonts w:ascii="Arial" w:hAnsi="Arial" w:cs="Arial"/>
              </w:rPr>
            </w:pPr>
            <w:r w:rsidRPr="00F82BAF">
              <w:rPr>
                <w:rFonts w:ascii="Arial" w:hAnsi="Arial" w:cs="Arial"/>
              </w:rPr>
              <w:t>25</w:t>
            </w:r>
          </w:p>
        </w:tc>
        <w:tc>
          <w:tcPr>
            <w:tcW w:w="3256" w:type="dxa"/>
          </w:tcPr>
          <w:p w14:paraId="4AE2772F" w14:textId="77777777" w:rsidR="00F82BAF" w:rsidRPr="00F82BAF" w:rsidRDefault="00F82BAF" w:rsidP="00F82BAF">
            <w:pPr>
              <w:pStyle w:val="Body"/>
              <w:rPr>
                <w:rFonts w:ascii="Arial" w:hAnsi="Arial" w:cs="Arial"/>
              </w:rPr>
            </w:pPr>
            <w:r w:rsidRPr="00F82BAF">
              <w:rPr>
                <w:rFonts w:ascii="Arial" w:hAnsi="Arial" w:cs="Arial"/>
              </w:rPr>
              <w:t>50.0</w:t>
            </w:r>
          </w:p>
        </w:tc>
      </w:tr>
    </w:tbl>
    <w:p w14:paraId="2AF210EF" w14:textId="484C9E00" w:rsidR="00F82BAF" w:rsidRDefault="00A040EF" w:rsidP="00F82BAF">
      <w:pPr>
        <w:pStyle w:val="Body"/>
        <w:spacing w:after="0"/>
        <w:rPr>
          <w:rFonts w:ascii="Arial" w:hAnsi="Arial" w:cs="Arial"/>
        </w:rPr>
      </w:pPr>
      <w:r>
        <w:rPr>
          <w:rFonts w:ascii="Arial" w:hAnsi="Arial" w:cs="Arial"/>
        </w:rPr>
        <w:t>R</w:t>
      </w:r>
      <w:r w:rsidR="002777E1">
        <w:rPr>
          <w:rFonts w:ascii="Arial" w:hAnsi="Arial" w:cs="Arial"/>
        </w:rPr>
        <w:t>-CHOP</w:t>
      </w:r>
      <w:r>
        <w:rPr>
          <w:rFonts w:ascii="Arial" w:hAnsi="Arial" w:cs="Arial"/>
        </w:rPr>
        <w:t xml:space="preserve"> = R</w:t>
      </w:r>
      <w:r w:rsidR="00C02B3D">
        <w:rPr>
          <w:rFonts w:ascii="Arial" w:hAnsi="Arial" w:cs="Arial"/>
        </w:rPr>
        <w:t xml:space="preserve">ituximab, </w:t>
      </w:r>
      <w:proofErr w:type="spellStart"/>
      <w:r w:rsidR="00C02B3D">
        <w:rPr>
          <w:rFonts w:ascii="Arial" w:hAnsi="Arial" w:cs="Arial"/>
        </w:rPr>
        <w:t>Cyclosphosphamide</w:t>
      </w:r>
      <w:proofErr w:type="spellEnd"/>
      <w:r w:rsidR="00C02B3D">
        <w:rPr>
          <w:rFonts w:ascii="Arial" w:hAnsi="Arial" w:cs="Arial"/>
        </w:rPr>
        <w:t>, Oncovin, Prednisolone</w:t>
      </w:r>
      <w:r w:rsidR="002777E1">
        <w:rPr>
          <w:rFonts w:ascii="Arial" w:hAnsi="Arial" w:cs="Arial"/>
        </w:rPr>
        <w:t>.</w:t>
      </w:r>
      <w:r>
        <w:rPr>
          <w:rFonts w:ascii="Arial" w:hAnsi="Arial" w:cs="Arial"/>
        </w:rPr>
        <w:t xml:space="preserve"> TKIs = Tyrosine Kinase Inhibitors</w:t>
      </w:r>
      <w:r w:rsidR="002777E1">
        <w:rPr>
          <w:rFonts w:ascii="Arial" w:hAnsi="Arial" w:cs="Arial"/>
        </w:rPr>
        <w:t>.</w:t>
      </w:r>
      <w:r w:rsidR="008D0431">
        <w:rPr>
          <w:rFonts w:ascii="Arial" w:hAnsi="Arial" w:cs="Arial"/>
        </w:rPr>
        <w:t xml:space="preserve"> V</w:t>
      </w:r>
      <w:r w:rsidR="002777E1">
        <w:rPr>
          <w:rFonts w:ascii="Arial" w:hAnsi="Arial" w:cs="Arial"/>
        </w:rPr>
        <w:t>RD</w:t>
      </w:r>
      <w:r w:rsidR="008D0431">
        <w:rPr>
          <w:rFonts w:ascii="Arial" w:hAnsi="Arial" w:cs="Arial"/>
        </w:rPr>
        <w:t xml:space="preserve"> = </w:t>
      </w:r>
      <w:proofErr w:type="spellStart"/>
      <w:r w:rsidR="008D0431">
        <w:rPr>
          <w:rFonts w:ascii="Arial" w:hAnsi="Arial" w:cs="Arial"/>
        </w:rPr>
        <w:t>Velcade</w:t>
      </w:r>
      <w:proofErr w:type="spellEnd"/>
      <w:r w:rsidR="008D0431">
        <w:rPr>
          <w:rFonts w:ascii="Arial" w:hAnsi="Arial" w:cs="Arial"/>
        </w:rPr>
        <w:t xml:space="preserve">, </w:t>
      </w:r>
      <w:proofErr w:type="spellStart"/>
      <w:r w:rsidR="008D0431">
        <w:rPr>
          <w:rFonts w:ascii="Arial" w:hAnsi="Arial" w:cs="Arial"/>
        </w:rPr>
        <w:t>Revlimi</w:t>
      </w:r>
      <w:r w:rsidR="002777E1">
        <w:rPr>
          <w:rFonts w:ascii="Arial" w:hAnsi="Arial" w:cs="Arial"/>
        </w:rPr>
        <w:t>d</w:t>
      </w:r>
      <w:proofErr w:type="spellEnd"/>
      <w:r w:rsidR="002777E1">
        <w:rPr>
          <w:rFonts w:ascii="Arial" w:hAnsi="Arial" w:cs="Arial"/>
        </w:rPr>
        <w:t>,</w:t>
      </w:r>
      <w:r w:rsidR="008D0431">
        <w:rPr>
          <w:rFonts w:ascii="Arial" w:hAnsi="Arial" w:cs="Arial"/>
        </w:rPr>
        <w:t xml:space="preserve"> Dexamethasone</w:t>
      </w:r>
      <w:r w:rsidR="002777E1">
        <w:rPr>
          <w:rFonts w:ascii="Arial" w:hAnsi="Arial" w:cs="Arial"/>
        </w:rPr>
        <w:t>. ABVD</w:t>
      </w:r>
      <w:r w:rsidR="008D0431">
        <w:rPr>
          <w:rFonts w:ascii="Arial" w:hAnsi="Arial" w:cs="Arial"/>
        </w:rPr>
        <w:t xml:space="preserve"> = Adriamycin, Bleomycin, V</w:t>
      </w:r>
      <w:r w:rsidR="00835AC5">
        <w:rPr>
          <w:rFonts w:ascii="Arial" w:hAnsi="Arial" w:cs="Arial"/>
        </w:rPr>
        <w:t xml:space="preserve">incristine, Dacarbazine. CVP = </w:t>
      </w:r>
      <w:proofErr w:type="spellStart"/>
      <w:r w:rsidR="00835AC5">
        <w:rPr>
          <w:rFonts w:ascii="Arial" w:hAnsi="Arial" w:cs="Arial"/>
        </w:rPr>
        <w:t>Cyclosphosphamide</w:t>
      </w:r>
      <w:proofErr w:type="spellEnd"/>
      <w:r w:rsidR="00835AC5">
        <w:rPr>
          <w:rFonts w:ascii="Arial" w:hAnsi="Arial" w:cs="Arial"/>
        </w:rPr>
        <w:t>, Vincristine, Prednisolone</w:t>
      </w:r>
    </w:p>
    <w:p w14:paraId="2FEA37D2" w14:textId="77777777" w:rsidR="00DB2EBD" w:rsidRPr="00F82BAF" w:rsidRDefault="00DB2EBD" w:rsidP="00F82BAF">
      <w:pPr>
        <w:pStyle w:val="Body"/>
        <w:spacing w:after="0"/>
        <w:rPr>
          <w:rFonts w:ascii="Arial" w:hAnsi="Arial" w:cs="Arial"/>
        </w:rPr>
      </w:pPr>
    </w:p>
    <w:p w14:paraId="23806131" w14:textId="3C9B6987" w:rsidR="00F82BAF" w:rsidRDefault="00F82BAF" w:rsidP="00F82BAF">
      <w:pPr>
        <w:pStyle w:val="Body"/>
        <w:spacing w:after="0"/>
        <w:rPr>
          <w:rFonts w:ascii="Arial" w:hAnsi="Arial" w:cs="Arial"/>
        </w:rPr>
      </w:pPr>
      <w:r w:rsidRPr="00F82BAF">
        <w:rPr>
          <w:rFonts w:ascii="Arial" w:hAnsi="Arial" w:cs="Arial"/>
        </w:rPr>
        <w:t xml:space="preserve">Delay in commencement of chemotherapy was identified in 25 patients, </w:t>
      </w:r>
      <w:r w:rsidR="00DB2EBD">
        <w:rPr>
          <w:rFonts w:ascii="Arial" w:hAnsi="Arial" w:cs="Arial"/>
        </w:rPr>
        <w:t>out of which</w:t>
      </w:r>
      <w:r w:rsidRPr="00F82BAF">
        <w:rPr>
          <w:rFonts w:ascii="Arial" w:hAnsi="Arial" w:cs="Arial"/>
        </w:rPr>
        <w:t xml:space="preserve"> TKIs and VRD ma</w:t>
      </w:r>
      <w:r w:rsidR="00DB2EBD">
        <w:rPr>
          <w:rFonts w:ascii="Arial" w:hAnsi="Arial" w:cs="Arial"/>
        </w:rPr>
        <w:t>de</w:t>
      </w:r>
      <w:r w:rsidRPr="00F82BAF">
        <w:rPr>
          <w:rFonts w:ascii="Arial" w:hAnsi="Arial" w:cs="Arial"/>
        </w:rPr>
        <w:t xml:space="preserve"> up the highest proportions at 36.0% and 32.0% respectively. </w:t>
      </w:r>
      <w:r w:rsidR="00DB2EBD">
        <w:rPr>
          <w:rFonts w:ascii="Arial" w:hAnsi="Arial" w:cs="Arial"/>
        </w:rPr>
        <w:t xml:space="preserve">Delays involving </w:t>
      </w:r>
      <w:r w:rsidRPr="00F82BAF">
        <w:rPr>
          <w:rFonts w:ascii="Arial" w:hAnsi="Arial" w:cs="Arial"/>
        </w:rPr>
        <w:t xml:space="preserve">CHOP, ABVD, and R-CHOP </w:t>
      </w:r>
      <w:r w:rsidR="00DB2EBD">
        <w:rPr>
          <w:rFonts w:ascii="Arial" w:hAnsi="Arial" w:cs="Arial"/>
        </w:rPr>
        <w:t xml:space="preserve">regimens </w:t>
      </w:r>
      <w:r w:rsidR="002B4F6C">
        <w:rPr>
          <w:rFonts w:ascii="Arial" w:hAnsi="Arial" w:cs="Arial"/>
        </w:rPr>
        <w:t xml:space="preserve">were observed in </w:t>
      </w:r>
      <w:r w:rsidRPr="00F82BAF">
        <w:rPr>
          <w:rFonts w:ascii="Arial" w:hAnsi="Arial" w:cs="Arial"/>
        </w:rPr>
        <w:t xml:space="preserve">16.0%, 12.0%, and 4% </w:t>
      </w:r>
      <w:r w:rsidR="002B4F6C">
        <w:rPr>
          <w:rFonts w:ascii="Arial" w:hAnsi="Arial" w:cs="Arial"/>
        </w:rPr>
        <w:t xml:space="preserve">of all delay cases, </w:t>
      </w:r>
      <w:r w:rsidRPr="00F82BAF">
        <w:rPr>
          <w:rFonts w:ascii="Arial" w:hAnsi="Arial" w:cs="Arial"/>
        </w:rPr>
        <w:t xml:space="preserve">respectively. There was a statistically significant relationship between chemotherapy regimen and delay in initiation of chemotherapy identified, </w:t>
      </w:r>
      <w:r w:rsidRPr="00F82BAF">
        <w:rPr>
          <w:rFonts w:ascii="Arial" w:hAnsi="Arial" w:cs="Arial"/>
          <w:i/>
          <w:iCs/>
        </w:rPr>
        <w:t>P</w:t>
      </w:r>
      <w:r w:rsidRPr="00F82BAF">
        <w:rPr>
          <w:rFonts w:ascii="Arial" w:hAnsi="Arial" w:cs="Arial"/>
        </w:rPr>
        <w:t xml:space="preserve"> =.04</w:t>
      </w:r>
    </w:p>
    <w:p w14:paraId="2DD82F8A" w14:textId="77777777" w:rsidR="00534141" w:rsidRPr="00F82BAF" w:rsidRDefault="00534141" w:rsidP="00F82BAF">
      <w:pPr>
        <w:pStyle w:val="Body"/>
        <w:spacing w:after="0"/>
        <w:rPr>
          <w:rFonts w:ascii="Arial" w:hAnsi="Arial" w:cs="Arial"/>
        </w:rPr>
      </w:pPr>
    </w:p>
    <w:p w14:paraId="0F1D4967" w14:textId="77777777" w:rsidR="00F82BAF" w:rsidRPr="00F82BAF" w:rsidRDefault="00F82BAF" w:rsidP="00F82BAF">
      <w:pPr>
        <w:pStyle w:val="Body"/>
        <w:spacing w:after="0"/>
        <w:rPr>
          <w:rFonts w:ascii="Arial" w:hAnsi="Arial" w:cs="Arial"/>
          <w:b/>
          <w:bCs/>
        </w:rPr>
      </w:pPr>
      <w:r w:rsidRPr="00F82BAF">
        <w:rPr>
          <w:rFonts w:ascii="Arial" w:hAnsi="Arial" w:cs="Arial"/>
          <w:b/>
          <w:bCs/>
        </w:rPr>
        <w:t>Table 2. Type of chemotherapy regimen and delay in commencement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2037"/>
        <w:gridCol w:w="2038"/>
        <w:gridCol w:w="2035"/>
      </w:tblGrid>
      <w:tr w:rsidR="00F82BAF" w:rsidRPr="00F82BAF" w14:paraId="771D8032" w14:textId="77777777" w:rsidTr="00C03EE5">
        <w:trPr>
          <w:trHeight w:val="577"/>
        </w:trPr>
        <w:tc>
          <w:tcPr>
            <w:tcW w:w="2308" w:type="dxa"/>
            <w:tcBorders>
              <w:top w:val="single" w:sz="4" w:space="0" w:color="auto"/>
              <w:bottom w:val="nil"/>
            </w:tcBorders>
          </w:tcPr>
          <w:p w14:paraId="7195BB86"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Variables</w:t>
            </w:r>
          </w:p>
        </w:tc>
        <w:tc>
          <w:tcPr>
            <w:tcW w:w="4619" w:type="dxa"/>
            <w:gridSpan w:val="2"/>
            <w:tcBorders>
              <w:top w:val="single" w:sz="4" w:space="0" w:color="auto"/>
              <w:bottom w:val="single" w:sz="4" w:space="0" w:color="auto"/>
            </w:tcBorders>
          </w:tcPr>
          <w:p w14:paraId="1847EBFC" w14:textId="5DA0A96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Delays</w:t>
            </w:r>
            <w:r w:rsidR="00470526">
              <w:rPr>
                <w:rFonts w:ascii="Arial" w:eastAsia="Times New Roman" w:hAnsi="Arial" w:cs="Arial"/>
                <w:b/>
                <w:bCs/>
                <w:sz w:val="20"/>
              </w:rPr>
              <w:t xml:space="preserve"> (&gt;</w:t>
            </w:r>
            <w:r w:rsidR="007268ED">
              <w:rPr>
                <w:rFonts w:ascii="Arial" w:eastAsia="Times New Roman" w:hAnsi="Arial" w:cs="Arial"/>
                <w:b/>
                <w:bCs/>
                <w:sz w:val="20"/>
              </w:rPr>
              <w:t>30</w:t>
            </w:r>
            <w:r w:rsidR="00470526">
              <w:rPr>
                <w:rFonts w:ascii="Arial" w:eastAsia="Times New Roman" w:hAnsi="Arial" w:cs="Arial"/>
                <w:b/>
                <w:bCs/>
                <w:sz w:val="20"/>
              </w:rPr>
              <w:t xml:space="preserve"> days)</w:t>
            </w:r>
            <w:r w:rsidRPr="00F82BAF">
              <w:rPr>
                <w:rFonts w:ascii="Arial" w:eastAsia="Times New Roman" w:hAnsi="Arial" w:cs="Arial"/>
                <w:b/>
                <w:bCs/>
                <w:sz w:val="20"/>
              </w:rPr>
              <w:t xml:space="preserve"> (N=50)</w:t>
            </w:r>
          </w:p>
        </w:tc>
        <w:tc>
          <w:tcPr>
            <w:tcW w:w="2309" w:type="dxa"/>
            <w:tcBorders>
              <w:top w:val="single" w:sz="4" w:space="0" w:color="auto"/>
              <w:bottom w:val="nil"/>
            </w:tcBorders>
          </w:tcPr>
          <w:p w14:paraId="1A34D008"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Total</w:t>
            </w:r>
          </w:p>
        </w:tc>
      </w:tr>
      <w:tr w:rsidR="00F82BAF" w:rsidRPr="00F82BAF" w14:paraId="2ECF12AE" w14:textId="77777777" w:rsidTr="00C03EE5">
        <w:trPr>
          <w:trHeight w:val="577"/>
        </w:trPr>
        <w:tc>
          <w:tcPr>
            <w:tcW w:w="2308" w:type="dxa"/>
            <w:tcBorders>
              <w:top w:val="nil"/>
              <w:bottom w:val="single" w:sz="4" w:space="0" w:color="auto"/>
            </w:tcBorders>
          </w:tcPr>
          <w:p w14:paraId="41CBEE55" w14:textId="77777777" w:rsidR="00F82BAF" w:rsidRPr="00F82BAF" w:rsidRDefault="00F82BAF" w:rsidP="00F82BAF">
            <w:pPr>
              <w:pStyle w:val="Body"/>
              <w:spacing w:after="0"/>
              <w:rPr>
                <w:rFonts w:ascii="Arial" w:eastAsia="Times New Roman" w:hAnsi="Arial" w:cs="Arial"/>
                <w:b/>
                <w:bCs/>
                <w:sz w:val="20"/>
              </w:rPr>
            </w:pPr>
          </w:p>
        </w:tc>
        <w:tc>
          <w:tcPr>
            <w:tcW w:w="2308" w:type="dxa"/>
            <w:tcBorders>
              <w:top w:val="single" w:sz="4" w:space="0" w:color="auto"/>
              <w:bottom w:val="single" w:sz="4" w:space="0" w:color="auto"/>
            </w:tcBorders>
          </w:tcPr>
          <w:p w14:paraId="47830992"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Yes n (%)</w:t>
            </w:r>
          </w:p>
        </w:tc>
        <w:tc>
          <w:tcPr>
            <w:tcW w:w="2310" w:type="dxa"/>
            <w:tcBorders>
              <w:top w:val="single" w:sz="4" w:space="0" w:color="auto"/>
              <w:bottom w:val="single" w:sz="4" w:space="0" w:color="auto"/>
            </w:tcBorders>
          </w:tcPr>
          <w:p w14:paraId="091305F3"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 xml:space="preserve">No n (%) </w:t>
            </w:r>
          </w:p>
        </w:tc>
        <w:tc>
          <w:tcPr>
            <w:tcW w:w="2309" w:type="dxa"/>
            <w:tcBorders>
              <w:top w:val="nil"/>
              <w:bottom w:val="single" w:sz="4" w:space="0" w:color="auto"/>
            </w:tcBorders>
          </w:tcPr>
          <w:p w14:paraId="39D801EF" w14:textId="77777777" w:rsidR="00F82BAF" w:rsidRPr="00F82BAF" w:rsidRDefault="00F82BAF" w:rsidP="00F82BAF">
            <w:pPr>
              <w:pStyle w:val="Body"/>
              <w:spacing w:after="0"/>
              <w:rPr>
                <w:rFonts w:ascii="Arial" w:eastAsia="Times New Roman" w:hAnsi="Arial" w:cs="Arial"/>
                <w:b/>
                <w:bCs/>
                <w:sz w:val="20"/>
              </w:rPr>
            </w:pPr>
          </w:p>
        </w:tc>
      </w:tr>
      <w:tr w:rsidR="00F82BAF" w:rsidRPr="00F82BAF" w14:paraId="2EEB50A3" w14:textId="77777777" w:rsidTr="00C03EE5">
        <w:trPr>
          <w:trHeight w:val="577"/>
        </w:trPr>
        <w:tc>
          <w:tcPr>
            <w:tcW w:w="2308" w:type="dxa"/>
            <w:tcBorders>
              <w:top w:val="single" w:sz="4" w:space="0" w:color="auto"/>
            </w:tcBorders>
          </w:tcPr>
          <w:p w14:paraId="590C636B"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Chemo regimen</w:t>
            </w:r>
          </w:p>
        </w:tc>
        <w:tc>
          <w:tcPr>
            <w:tcW w:w="2308" w:type="dxa"/>
            <w:tcBorders>
              <w:top w:val="single" w:sz="4" w:space="0" w:color="auto"/>
            </w:tcBorders>
          </w:tcPr>
          <w:p w14:paraId="4B4EE147" w14:textId="77777777" w:rsidR="00F82BAF" w:rsidRPr="00F82BAF" w:rsidRDefault="00F82BAF" w:rsidP="00F82BAF">
            <w:pPr>
              <w:pStyle w:val="Body"/>
              <w:spacing w:after="0"/>
              <w:rPr>
                <w:rFonts w:ascii="Arial" w:eastAsia="Times New Roman" w:hAnsi="Arial" w:cs="Arial"/>
                <w:sz w:val="20"/>
              </w:rPr>
            </w:pPr>
          </w:p>
        </w:tc>
        <w:tc>
          <w:tcPr>
            <w:tcW w:w="2310" w:type="dxa"/>
            <w:tcBorders>
              <w:top w:val="single" w:sz="4" w:space="0" w:color="auto"/>
            </w:tcBorders>
          </w:tcPr>
          <w:p w14:paraId="2C253FBB" w14:textId="77777777" w:rsidR="00F82BAF" w:rsidRPr="00F82BAF" w:rsidRDefault="00F82BAF" w:rsidP="00F82BAF">
            <w:pPr>
              <w:pStyle w:val="Body"/>
              <w:spacing w:after="0"/>
              <w:rPr>
                <w:rFonts w:ascii="Arial" w:eastAsia="Times New Roman" w:hAnsi="Arial" w:cs="Arial"/>
                <w:sz w:val="20"/>
              </w:rPr>
            </w:pPr>
          </w:p>
        </w:tc>
        <w:tc>
          <w:tcPr>
            <w:tcW w:w="2309" w:type="dxa"/>
            <w:tcBorders>
              <w:top w:val="single" w:sz="4" w:space="0" w:color="auto"/>
            </w:tcBorders>
          </w:tcPr>
          <w:p w14:paraId="2C0AA1BB" w14:textId="77777777" w:rsidR="00F82BAF" w:rsidRPr="00F82BAF" w:rsidRDefault="00F82BAF" w:rsidP="00F82BAF">
            <w:pPr>
              <w:pStyle w:val="Body"/>
              <w:spacing w:after="0"/>
              <w:rPr>
                <w:rFonts w:ascii="Arial" w:eastAsia="Times New Roman" w:hAnsi="Arial" w:cs="Arial"/>
                <w:sz w:val="20"/>
              </w:rPr>
            </w:pPr>
          </w:p>
        </w:tc>
      </w:tr>
      <w:tr w:rsidR="00F82BAF" w:rsidRPr="00F82BAF" w14:paraId="293FE978" w14:textId="77777777" w:rsidTr="00C03EE5">
        <w:trPr>
          <w:trHeight w:val="577"/>
        </w:trPr>
        <w:tc>
          <w:tcPr>
            <w:tcW w:w="2308" w:type="dxa"/>
          </w:tcPr>
          <w:p w14:paraId="14813E8E"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ABVD</w:t>
            </w:r>
          </w:p>
        </w:tc>
        <w:tc>
          <w:tcPr>
            <w:tcW w:w="2308" w:type="dxa"/>
          </w:tcPr>
          <w:p w14:paraId="3D49900C"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3 (12.0)</w:t>
            </w:r>
          </w:p>
        </w:tc>
        <w:tc>
          <w:tcPr>
            <w:tcW w:w="2310" w:type="dxa"/>
          </w:tcPr>
          <w:p w14:paraId="4A27FA9E"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4 (16.0)</w:t>
            </w:r>
          </w:p>
        </w:tc>
        <w:tc>
          <w:tcPr>
            <w:tcW w:w="2309" w:type="dxa"/>
          </w:tcPr>
          <w:p w14:paraId="7AC66C91"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7 (14.0)</w:t>
            </w:r>
          </w:p>
        </w:tc>
      </w:tr>
      <w:tr w:rsidR="00F82BAF" w:rsidRPr="00F82BAF" w14:paraId="5550D6EC" w14:textId="77777777" w:rsidTr="00C03EE5">
        <w:trPr>
          <w:trHeight w:val="577"/>
        </w:trPr>
        <w:tc>
          <w:tcPr>
            <w:tcW w:w="2308" w:type="dxa"/>
          </w:tcPr>
          <w:p w14:paraId="13EC5E90"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CHOP</w:t>
            </w:r>
          </w:p>
        </w:tc>
        <w:tc>
          <w:tcPr>
            <w:tcW w:w="2308" w:type="dxa"/>
          </w:tcPr>
          <w:p w14:paraId="6DF4761A"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4 (16.0)</w:t>
            </w:r>
          </w:p>
        </w:tc>
        <w:tc>
          <w:tcPr>
            <w:tcW w:w="2310" w:type="dxa"/>
          </w:tcPr>
          <w:p w14:paraId="5663C1B3"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4 (16.0)</w:t>
            </w:r>
          </w:p>
        </w:tc>
        <w:tc>
          <w:tcPr>
            <w:tcW w:w="2309" w:type="dxa"/>
          </w:tcPr>
          <w:p w14:paraId="4C0ACC6A"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8 (16.0)</w:t>
            </w:r>
          </w:p>
        </w:tc>
      </w:tr>
      <w:tr w:rsidR="00F82BAF" w:rsidRPr="00F82BAF" w14:paraId="7DFF840B" w14:textId="77777777" w:rsidTr="00C03EE5">
        <w:trPr>
          <w:trHeight w:val="602"/>
        </w:trPr>
        <w:tc>
          <w:tcPr>
            <w:tcW w:w="2308" w:type="dxa"/>
          </w:tcPr>
          <w:p w14:paraId="19520277"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lastRenderedPageBreak/>
              <w:t>CVP</w:t>
            </w:r>
          </w:p>
        </w:tc>
        <w:tc>
          <w:tcPr>
            <w:tcW w:w="2308" w:type="dxa"/>
          </w:tcPr>
          <w:p w14:paraId="7A3543D4"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0 (0.0)</w:t>
            </w:r>
          </w:p>
        </w:tc>
        <w:tc>
          <w:tcPr>
            <w:tcW w:w="2310" w:type="dxa"/>
          </w:tcPr>
          <w:p w14:paraId="6878097C"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2 (8.0)</w:t>
            </w:r>
          </w:p>
        </w:tc>
        <w:tc>
          <w:tcPr>
            <w:tcW w:w="2309" w:type="dxa"/>
          </w:tcPr>
          <w:p w14:paraId="6010C26C"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2 (4.0)</w:t>
            </w:r>
          </w:p>
        </w:tc>
      </w:tr>
      <w:tr w:rsidR="00F82BAF" w:rsidRPr="00F82BAF" w14:paraId="4191F795" w14:textId="77777777" w:rsidTr="00C03EE5">
        <w:trPr>
          <w:trHeight w:val="577"/>
        </w:trPr>
        <w:tc>
          <w:tcPr>
            <w:tcW w:w="2308" w:type="dxa"/>
          </w:tcPr>
          <w:p w14:paraId="4E799FE4"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R-CHOP</w:t>
            </w:r>
          </w:p>
        </w:tc>
        <w:tc>
          <w:tcPr>
            <w:tcW w:w="2308" w:type="dxa"/>
          </w:tcPr>
          <w:p w14:paraId="2AF7DE72"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1 (4.0)</w:t>
            </w:r>
          </w:p>
        </w:tc>
        <w:tc>
          <w:tcPr>
            <w:tcW w:w="2310" w:type="dxa"/>
          </w:tcPr>
          <w:p w14:paraId="021D957B"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6 (24.0)</w:t>
            </w:r>
          </w:p>
        </w:tc>
        <w:tc>
          <w:tcPr>
            <w:tcW w:w="2309" w:type="dxa"/>
          </w:tcPr>
          <w:p w14:paraId="43FC4FE6"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7 (14.0)</w:t>
            </w:r>
          </w:p>
        </w:tc>
      </w:tr>
      <w:tr w:rsidR="00F82BAF" w:rsidRPr="00F82BAF" w14:paraId="04FDC7CB" w14:textId="77777777" w:rsidTr="00C03EE5">
        <w:trPr>
          <w:trHeight w:val="577"/>
        </w:trPr>
        <w:tc>
          <w:tcPr>
            <w:tcW w:w="2308" w:type="dxa"/>
          </w:tcPr>
          <w:p w14:paraId="17D3F57C"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TKIs</w:t>
            </w:r>
          </w:p>
        </w:tc>
        <w:tc>
          <w:tcPr>
            <w:tcW w:w="2308" w:type="dxa"/>
          </w:tcPr>
          <w:p w14:paraId="397D4E2B"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9 (36.0)</w:t>
            </w:r>
          </w:p>
        </w:tc>
        <w:tc>
          <w:tcPr>
            <w:tcW w:w="2310" w:type="dxa"/>
          </w:tcPr>
          <w:p w14:paraId="172CA356"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2 (8.0)</w:t>
            </w:r>
          </w:p>
        </w:tc>
        <w:tc>
          <w:tcPr>
            <w:tcW w:w="2309" w:type="dxa"/>
          </w:tcPr>
          <w:p w14:paraId="2682DA4F"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11 (22.0)</w:t>
            </w:r>
          </w:p>
        </w:tc>
      </w:tr>
      <w:tr w:rsidR="00F82BAF" w:rsidRPr="00F82BAF" w14:paraId="7BF4B929" w14:textId="77777777" w:rsidTr="00C03EE5">
        <w:trPr>
          <w:trHeight w:val="577"/>
        </w:trPr>
        <w:tc>
          <w:tcPr>
            <w:tcW w:w="2308" w:type="dxa"/>
          </w:tcPr>
          <w:p w14:paraId="16E667FA"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VRD</w:t>
            </w:r>
          </w:p>
        </w:tc>
        <w:tc>
          <w:tcPr>
            <w:tcW w:w="2308" w:type="dxa"/>
          </w:tcPr>
          <w:p w14:paraId="202FA243"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8 (32.0)</w:t>
            </w:r>
          </w:p>
        </w:tc>
        <w:tc>
          <w:tcPr>
            <w:tcW w:w="2310" w:type="dxa"/>
          </w:tcPr>
          <w:p w14:paraId="5E709FE8"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7 (28.0)</w:t>
            </w:r>
          </w:p>
        </w:tc>
        <w:tc>
          <w:tcPr>
            <w:tcW w:w="2309" w:type="dxa"/>
          </w:tcPr>
          <w:p w14:paraId="21B370A2"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15 (30.0)</w:t>
            </w:r>
          </w:p>
        </w:tc>
      </w:tr>
      <w:tr w:rsidR="00F82BAF" w:rsidRPr="00F82BAF" w14:paraId="38849C35" w14:textId="77777777" w:rsidTr="00C03EE5">
        <w:trPr>
          <w:trHeight w:val="577"/>
        </w:trPr>
        <w:tc>
          <w:tcPr>
            <w:tcW w:w="2308" w:type="dxa"/>
          </w:tcPr>
          <w:p w14:paraId="76705094" w14:textId="77777777" w:rsidR="00F82BAF" w:rsidRPr="00F82BAF" w:rsidRDefault="00F82BAF" w:rsidP="00F82BAF">
            <w:pPr>
              <w:pStyle w:val="Body"/>
              <w:spacing w:after="0"/>
              <w:rPr>
                <w:rFonts w:ascii="Arial" w:eastAsia="Times New Roman" w:hAnsi="Arial" w:cs="Arial"/>
                <w:sz w:val="20"/>
              </w:rPr>
            </w:pPr>
          </w:p>
        </w:tc>
        <w:tc>
          <w:tcPr>
            <w:tcW w:w="4619" w:type="dxa"/>
            <w:gridSpan w:val="2"/>
          </w:tcPr>
          <w:p w14:paraId="4DD0332E" w14:textId="77777777" w:rsidR="00F82BAF" w:rsidRPr="00F82BAF" w:rsidRDefault="00F82BAF" w:rsidP="00F82BAF">
            <w:pPr>
              <w:pStyle w:val="Body"/>
              <w:spacing w:after="0"/>
              <w:rPr>
                <w:rFonts w:ascii="Arial" w:eastAsia="Times New Roman" w:hAnsi="Arial" w:cs="Arial"/>
                <w:i/>
                <w:iCs/>
                <w:sz w:val="20"/>
              </w:rPr>
            </w:pPr>
            <w:r w:rsidRPr="00F82BAF">
              <w:rPr>
                <w:rFonts w:ascii="Arial" w:eastAsia="Times New Roman" w:hAnsi="Arial" w:cs="Arial"/>
                <w:i/>
                <w:iCs/>
                <w:sz w:val="20"/>
              </w:rPr>
              <w:t>Chi square=9.772; p=0.038*</w:t>
            </w:r>
          </w:p>
        </w:tc>
        <w:tc>
          <w:tcPr>
            <w:tcW w:w="2309" w:type="dxa"/>
          </w:tcPr>
          <w:p w14:paraId="47483777" w14:textId="77777777" w:rsidR="00F82BAF" w:rsidRPr="00F82BAF" w:rsidRDefault="00F82BAF" w:rsidP="00F82BAF">
            <w:pPr>
              <w:pStyle w:val="Body"/>
              <w:spacing w:after="0"/>
              <w:rPr>
                <w:rFonts w:ascii="Arial" w:eastAsia="Times New Roman" w:hAnsi="Arial" w:cs="Arial"/>
                <w:sz w:val="20"/>
              </w:rPr>
            </w:pPr>
          </w:p>
        </w:tc>
      </w:tr>
    </w:tbl>
    <w:p w14:paraId="3852A871" w14:textId="44F88227" w:rsidR="00F82BAF" w:rsidRDefault="00F82BAF" w:rsidP="00F82BAF">
      <w:pPr>
        <w:pStyle w:val="Body"/>
        <w:spacing w:after="0"/>
        <w:rPr>
          <w:rFonts w:ascii="Arial" w:hAnsi="Arial" w:cs="Arial"/>
        </w:rPr>
      </w:pPr>
      <w:r w:rsidRPr="00F82BAF">
        <w:rPr>
          <w:rFonts w:ascii="Arial" w:hAnsi="Arial" w:cs="Arial"/>
        </w:rPr>
        <w:t>* Denotes significance at the 0.05 level</w:t>
      </w:r>
    </w:p>
    <w:p w14:paraId="17C74958" w14:textId="77777777" w:rsidR="00F82BAF" w:rsidRPr="00F82BAF" w:rsidRDefault="00F82BAF" w:rsidP="00F82BAF">
      <w:pPr>
        <w:pStyle w:val="Body"/>
        <w:spacing w:after="0"/>
        <w:rPr>
          <w:rFonts w:ascii="Arial" w:hAnsi="Arial" w:cs="Arial"/>
        </w:rPr>
      </w:pPr>
    </w:p>
    <w:p w14:paraId="5614C221" w14:textId="3284D665" w:rsidR="00F82BAF" w:rsidRPr="00F82BAF" w:rsidRDefault="00F82BAF" w:rsidP="00F82BAF">
      <w:pPr>
        <w:pStyle w:val="Body"/>
        <w:spacing w:after="0"/>
        <w:rPr>
          <w:rFonts w:ascii="Arial" w:hAnsi="Arial" w:cs="Arial"/>
        </w:rPr>
      </w:pPr>
      <w:r w:rsidRPr="00F82BAF">
        <w:rPr>
          <w:rFonts w:ascii="Arial" w:hAnsi="Arial" w:cs="Arial"/>
        </w:rPr>
        <w:t>Generally,</w:t>
      </w:r>
      <w:r w:rsidR="00A5630B">
        <w:rPr>
          <w:rFonts w:ascii="Arial" w:hAnsi="Arial" w:cs="Arial"/>
        </w:rPr>
        <w:t xml:space="preserve"> the</w:t>
      </w:r>
      <w:r w:rsidRPr="00F82BAF">
        <w:rPr>
          <w:rFonts w:ascii="Arial" w:hAnsi="Arial" w:cs="Arial"/>
        </w:rPr>
        <w:t xml:space="preserve"> incidence of </w:t>
      </w:r>
      <w:proofErr w:type="spellStart"/>
      <w:r w:rsidRPr="00F82BAF">
        <w:rPr>
          <w:rFonts w:ascii="Arial" w:hAnsi="Arial" w:cs="Arial"/>
        </w:rPr>
        <w:t>haematologic</w:t>
      </w:r>
      <w:proofErr w:type="spellEnd"/>
      <w:r w:rsidRPr="00F82BAF">
        <w:rPr>
          <w:rFonts w:ascii="Arial" w:hAnsi="Arial" w:cs="Arial"/>
        </w:rPr>
        <w:t xml:space="preserve"> cancers is higher in males compared with females (</w:t>
      </w:r>
      <w:proofErr w:type="spellStart"/>
      <w:r w:rsidRPr="00F82BAF">
        <w:rPr>
          <w:rFonts w:ascii="Arial" w:hAnsi="Arial" w:cs="Arial"/>
        </w:rPr>
        <w:t>Amini</w:t>
      </w:r>
      <w:proofErr w:type="spellEnd"/>
      <w:r w:rsidRPr="00F82BAF">
        <w:rPr>
          <w:rFonts w:ascii="Arial" w:hAnsi="Arial" w:cs="Arial"/>
        </w:rPr>
        <w:t xml:space="preserve"> et al., 2023). This higher male preponderance was reflected in index study which showed </w:t>
      </w:r>
      <w:r w:rsidR="006D50E7">
        <w:rPr>
          <w:rFonts w:ascii="Arial" w:hAnsi="Arial" w:cs="Arial"/>
        </w:rPr>
        <w:t>m</w:t>
      </w:r>
      <w:r w:rsidRPr="00F82BAF">
        <w:rPr>
          <w:rFonts w:ascii="Arial" w:hAnsi="Arial" w:cs="Arial"/>
        </w:rPr>
        <w:t xml:space="preserve">ale: </w:t>
      </w:r>
      <w:r w:rsidR="006D50E7">
        <w:rPr>
          <w:rFonts w:ascii="Arial" w:hAnsi="Arial" w:cs="Arial"/>
        </w:rPr>
        <w:t>f</w:t>
      </w:r>
      <w:r w:rsidRPr="00F82BAF">
        <w:rPr>
          <w:rFonts w:ascii="Arial" w:hAnsi="Arial" w:cs="Arial"/>
        </w:rPr>
        <w:t xml:space="preserve">emale ratio of 1.8:1. This is similar to the M:F ratio 1.7:1 obtained in a study done on </w:t>
      </w:r>
      <w:proofErr w:type="spellStart"/>
      <w:r w:rsidRPr="00F82BAF">
        <w:rPr>
          <w:rFonts w:ascii="Arial" w:hAnsi="Arial" w:cs="Arial"/>
        </w:rPr>
        <w:t>haematologic</w:t>
      </w:r>
      <w:proofErr w:type="spellEnd"/>
      <w:r w:rsidRPr="00F82BAF">
        <w:rPr>
          <w:rFonts w:ascii="Arial" w:hAnsi="Arial" w:cs="Arial"/>
        </w:rPr>
        <w:t xml:space="preserve"> cancer patients in Abuja, North Central Nigeria (</w:t>
      </w:r>
      <w:proofErr w:type="spellStart"/>
      <w:r w:rsidRPr="00F82BAF">
        <w:rPr>
          <w:rFonts w:ascii="Arial" w:hAnsi="Arial" w:cs="Arial"/>
        </w:rPr>
        <w:t>Ochei</w:t>
      </w:r>
      <w:proofErr w:type="spellEnd"/>
      <w:r w:rsidRPr="00F82BAF">
        <w:rPr>
          <w:rFonts w:ascii="Arial" w:hAnsi="Arial" w:cs="Arial"/>
        </w:rPr>
        <w:t xml:space="preserve"> et al., 2021)</w:t>
      </w:r>
      <w:r w:rsidR="00962D15">
        <w:rPr>
          <w:rFonts w:ascii="Arial" w:hAnsi="Arial" w:cs="Arial"/>
        </w:rPr>
        <w:t>.</w:t>
      </w:r>
      <w:r w:rsidR="002F550F">
        <w:rPr>
          <w:rFonts w:ascii="Arial" w:hAnsi="Arial" w:cs="Arial"/>
        </w:rPr>
        <w:t xml:space="preserve"> Globally, the trend is same as </w:t>
      </w:r>
      <w:proofErr w:type="spellStart"/>
      <w:r w:rsidR="002F550F">
        <w:rPr>
          <w:rFonts w:ascii="Arial" w:hAnsi="Arial" w:cs="Arial"/>
        </w:rPr>
        <w:t>haematologic</w:t>
      </w:r>
      <w:proofErr w:type="spellEnd"/>
      <w:r w:rsidR="002F550F">
        <w:rPr>
          <w:rFonts w:ascii="Arial" w:hAnsi="Arial" w:cs="Arial"/>
        </w:rPr>
        <w:t xml:space="preserve"> cancers show a higher male preponderance compared with females; considered </w:t>
      </w:r>
      <w:r w:rsidR="00FB33B9">
        <w:rPr>
          <w:rFonts w:ascii="Arial" w:hAnsi="Arial" w:cs="Arial"/>
        </w:rPr>
        <w:t xml:space="preserve">factors implicated </w:t>
      </w:r>
      <w:r w:rsidR="005B2A7E">
        <w:rPr>
          <w:rFonts w:ascii="Arial" w:hAnsi="Arial" w:cs="Arial"/>
        </w:rPr>
        <w:t>in this situation a</w:t>
      </w:r>
      <w:r w:rsidR="00FB33B9">
        <w:rPr>
          <w:rFonts w:ascii="Arial" w:hAnsi="Arial" w:cs="Arial"/>
        </w:rPr>
        <w:t xml:space="preserve">re </w:t>
      </w:r>
      <w:r w:rsidR="00DE1172">
        <w:rPr>
          <w:rFonts w:ascii="Arial" w:hAnsi="Arial" w:cs="Arial"/>
        </w:rPr>
        <w:t>hormonal factors, environmental exposures, and genetic differences between males and females (</w:t>
      </w:r>
      <w:r w:rsidR="00FB60D3">
        <w:rPr>
          <w:rFonts w:ascii="Arial" w:hAnsi="Arial" w:cs="Arial"/>
        </w:rPr>
        <w:t>Zhang et al., 2023)</w:t>
      </w:r>
      <w:r w:rsidR="00962D15">
        <w:rPr>
          <w:rFonts w:ascii="Arial" w:hAnsi="Arial" w:cs="Arial"/>
        </w:rPr>
        <w:t>.</w:t>
      </w:r>
    </w:p>
    <w:p w14:paraId="756845F9" w14:textId="7E20F190" w:rsidR="00F82BAF" w:rsidRDefault="00F82BAF" w:rsidP="00F82BAF">
      <w:pPr>
        <w:pStyle w:val="Body"/>
        <w:spacing w:after="0"/>
        <w:rPr>
          <w:rFonts w:ascii="Arial" w:hAnsi="Arial" w:cs="Arial"/>
        </w:rPr>
      </w:pPr>
      <w:r w:rsidRPr="00F82BAF">
        <w:rPr>
          <w:rFonts w:ascii="Arial" w:hAnsi="Arial" w:cs="Arial"/>
        </w:rPr>
        <w:t xml:space="preserve">The </w:t>
      </w:r>
      <w:proofErr w:type="spellStart"/>
      <w:r w:rsidRPr="00F82BAF">
        <w:rPr>
          <w:rFonts w:ascii="Arial" w:hAnsi="Arial" w:cs="Arial"/>
        </w:rPr>
        <w:t>haematologic</w:t>
      </w:r>
      <w:proofErr w:type="spellEnd"/>
      <w:r w:rsidRPr="00F82BAF">
        <w:rPr>
          <w:rFonts w:ascii="Arial" w:hAnsi="Arial" w:cs="Arial"/>
        </w:rPr>
        <w:t xml:space="preserve"> malignancies that got to be treated with chemotherapy, in this study, are those which run a rather chronic course</w:t>
      </w:r>
      <w:r w:rsidR="00D74EA7">
        <w:rPr>
          <w:rFonts w:ascii="Arial" w:hAnsi="Arial" w:cs="Arial"/>
        </w:rPr>
        <w:t xml:space="preserve"> (Howell et al., 2022)</w:t>
      </w:r>
      <w:r w:rsidR="00962D15">
        <w:rPr>
          <w:rFonts w:ascii="Arial" w:hAnsi="Arial" w:cs="Arial"/>
        </w:rPr>
        <w:t>.</w:t>
      </w:r>
      <w:r w:rsidRPr="00F82BAF">
        <w:rPr>
          <w:rFonts w:ascii="Arial" w:hAnsi="Arial" w:cs="Arial"/>
        </w:rPr>
        <w:t xml:space="preserve"> Though the acute </w:t>
      </w:r>
      <w:proofErr w:type="spellStart"/>
      <w:r w:rsidRPr="00F82BAF">
        <w:rPr>
          <w:rFonts w:ascii="Arial" w:hAnsi="Arial" w:cs="Arial"/>
        </w:rPr>
        <w:t>leukaemias</w:t>
      </w:r>
      <w:proofErr w:type="spellEnd"/>
      <w:r w:rsidRPr="00F82BAF">
        <w:rPr>
          <w:rFonts w:ascii="Arial" w:hAnsi="Arial" w:cs="Arial"/>
        </w:rPr>
        <w:t xml:space="preserve"> were also managed in the time under review, definitive chemotherapy for these cases was not initiated. Patients with acute </w:t>
      </w:r>
      <w:proofErr w:type="spellStart"/>
      <w:r w:rsidRPr="00F82BAF">
        <w:rPr>
          <w:rFonts w:ascii="Arial" w:hAnsi="Arial" w:cs="Arial"/>
        </w:rPr>
        <w:t>leukaemia</w:t>
      </w:r>
      <w:proofErr w:type="spellEnd"/>
      <w:r w:rsidRPr="00F82BAF">
        <w:rPr>
          <w:rFonts w:ascii="Arial" w:hAnsi="Arial" w:cs="Arial"/>
        </w:rPr>
        <w:t xml:space="preserve"> usually present in acute states and </w:t>
      </w:r>
      <w:proofErr w:type="spellStart"/>
      <w:r w:rsidRPr="00F82BAF">
        <w:rPr>
          <w:rFonts w:ascii="Arial" w:hAnsi="Arial" w:cs="Arial"/>
        </w:rPr>
        <w:t>centre</w:t>
      </w:r>
      <w:proofErr w:type="spellEnd"/>
      <w:r w:rsidRPr="00F82BAF">
        <w:rPr>
          <w:rFonts w:ascii="Arial" w:hAnsi="Arial" w:cs="Arial"/>
        </w:rPr>
        <w:t xml:space="preserve">-based observations as well as studies in our part of the world, show that most times, majority of these patients with acute </w:t>
      </w:r>
      <w:proofErr w:type="spellStart"/>
      <w:r w:rsidRPr="00F82BAF">
        <w:rPr>
          <w:rFonts w:ascii="Arial" w:hAnsi="Arial" w:cs="Arial"/>
        </w:rPr>
        <w:t>leukaemias</w:t>
      </w:r>
      <w:proofErr w:type="spellEnd"/>
      <w:r w:rsidRPr="00F82BAF">
        <w:rPr>
          <w:rFonts w:ascii="Arial" w:hAnsi="Arial" w:cs="Arial"/>
        </w:rPr>
        <w:t xml:space="preserve"> are only able to receive supportive treatment, not definitive chemotherapy regimen (</w:t>
      </w:r>
      <w:proofErr w:type="spellStart"/>
      <w:r w:rsidRPr="00F82BAF">
        <w:rPr>
          <w:rFonts w:ascii="Arial" w:hAnsi="Arial" w:cs="Arial"/>
        </w:rPr>
        <w:t>Korubo</w:t>
      </w:r>
      <w:proofErr w:type="spellEnd"/>
      <w:r w:rsidRPr="00F82BAF">
        <w:rPr>
          <w:rFonts w:ascii="Arial" w:hAnsi="Arial" w:cs="Arial"/>
        </w:rPr>
        <w:t xml:space="preserve"> et al., 2025a; </w:t>
      </w:r>
      <w:proofErr w:type="spellStart"/>
      <w:r w:rsidRPr="00F82BAF">
        <w:rPr>
          <w:rFonts w:ascii="Arial" w:hAnsi="Arial" w:cs="Arial"/>
        </w:rPr>
        <w:t>Korubo</w:t>
      </w:r>
      <w:proofErr w:type="spellEnd"/>
      <w:r w:rsidRPr="00F82BAF">
        <w:rPr>
          <w:rFonts w:ascii="Arial" w:hAnsi="Arial" w:cs="Arial"/>
        </w:rPr>
        <w:t xml:space="preserve"> et al., 2025b)</w:t>
      </w:r>
      <w:r w:rsidR="00962D15">
        <w:rPr>
          <w:rFonts w:ascii="Arial" w:hAnsi="Arial" w:cs="Arial"/>
        </w:rPr>
        <w:t>.</w:t>
      </w:r>
    </w:p>
    <w:p w14:paraId="501BA1A5" w14:textId="77777777" w:rsidR="00BB153E" w:rsidRPr="00F82BAF" w:rsidRDefault="00BB153E" w:rsidP="00F82BAF">
      <w:pPr>
        <w:pStyle w:val="Body"/>
        <w:spacing w:after="0"/>
        <w:rPr>
          <w:rFonts w:ascii="Arial" w:hAnsi="Arial" w:cs="Arial"/>
        </w:rPr>
      </w:pPr>
    </w:p>
    <w:p w14:paraId="39A50D12" w14:textId="6665ECD1" w:rsidR="0024790C" w:rsidRDefault="00F82BAF" w:rsidP="00530D6F">
      <w:pPr>
        <w:pStyle w:val="Body"/>
        <w:spacing w:after="0"/>
        <w:rPr>
          <w:rFonts w:ascii="Arial" w:hAnsi="Arial" w:cs="Arial"/>
        </w:rPr>
      </w:pPr>
      <w:r w:rsidRPr="00F82BAF">
        <w:rPr>
          <w:rFonts w:ascii="Arial" w:hAnsi="Arial" w:cs="Arial"/>
        </w:rPr>
        <w:t>This study showed</w:t>
      </w:r>
      <w:r w:rsidR="0068561C">
        <w:rPr>
          <w:rFonts w:ascii="Arial" w:hAnsi="Arial" w:cs="Arial"/>
        </w:rPr>
        <w:t xml:space="preserve"> that 50% of adult </w:t>
      </w:r>
      <w:proofErr w:type="spellStart"/>
      <w:r w:rsidR="0068561C">
        <w:rPr>
          <w:rFonts w:ascii="Arial" w:hAnsi="Arial" w:cs="Arial"/>
        </w:rPr>
        <w:t>haematologic</w:t>
      </w:r>
      <w:proofErr w:type="spellEnd"/>
      <w:r w:rsidR="0068561C">
        <w:rPr>
          <w:rFonts w:ascii="Arial" w:hAnsi="Arial" w:cs="Arial"/>
        </w:rPr>
        <w:t xml:space="preserve"> cancer patients who receive </w:t>
      </w:r>
      <w:r w:rsidR="00BB153E">
        <w:rPr>
          <w:rFonts w:ascii="Arial" w:hAnsi="Arial" w:cs="Arial"/>
        </w:rPr>
        <w:t xml:space="preserve">definitive </w:t>
      </w:r>
      <w:r w:rsidR="0068561C">
        <w:rPr>
          <w:rFonts w:ascii="Arial" w:hAnsi="Arial" w:cs="Arial"/>
        </w:rPr>
        <w:t>chemotherapy experience delays between diagnosis and commencement of chemotherapy.</w:t>
      </w:r>
      <w:r w:rsidRPr="00F82BAF">
        <w:rPr>
          <w:rFonts w:ascii="Arial" w:hAnsi="Arial" w:cs="Arial"/>
        </w:rPr>
        <w:t xml:space="preserve"> </w:t>
      </w:r>
      <w:r w:rsidR="00825F83">
        <w:rPr>
          <w:rFonts w:ascii="Arial" w:hAnsi="Arial" w:cs="Arial"/>
        </w:rPr>
        <w:t>A</w:t>
      </w:r>
      <w:r w:rsidRPr="00F82BAF">
        <w:rPr>
          <w:rFonts w:ascii="Arial" w:hAnsi="Arial" w:cs="Arial"/>
        </w:rPr>
        <w:t xml:space="preserve"> statistically significant relationship between type of chemotherapy regimen and delays in their commencement, </w:t>
      </w:r>
      <w:r w:rsidRPr="00F82BAF">
        <w:rPr>
          <w:rFonts w:ascii="Arial" w:hAnsi="Arial" w:cs="Arial"/>
          <w:i/>
          <w:iCs/>
        </w:rPr>
        <w:t>P</w:t>
      </w:r>
      <w:r w:rsidRPr="00F82BAF">
        <w:rPr>
          <w:rFonts w:ascii="Arial" w:hAnsi="Arial" w:cs="Arial"/>
        </w:rPr>
        <w:t xml:space="preserve"> =.04</w:t>
      </w:r>
      <w:r w:rsidR="00825F83">
        <w:rPr>
          <w:rFonts w:ascii="Arial" w:hAnsi="Arial" w:cs="Arial"/>
        </w:rPr>
        <w:t xml:space="preserve"> was established in this study</w:t>
      </w:r>
      <w:r w:rsidRPr="00F82BAF">
        <w:rPr>
          <w:rFonts w:ascii="Arial" w:hAnsi="Arial" w:cs="Arial"/>
        </w:rPr>
        <w:t>. Using chemotherapy regimens consisting of targeted agents require confirmation of specific markers or chromosomal arrangements by specialized diagnostic measures</w:t>
      </w:r>
      <w:r w:rsidR="00004E3C">
        <w:rPr>
          <w:rFonts w:ascii="Arial" w:hAnsi="Arial" w:cs="Arial"/>
        </w:rPr>
        <w:t>. I</w:t>
      </w:r>
      <w:r w:rsidRPr="00F82BAF">
        <w:rPr>
          <w:rFonts w:ascii="Arial" w:hAnsi="Arial" w:cs="Arial"/>
        </w:rPr>
        <w:t>t follows that delays in identifying these markers would translate into delay in commencement of chemotherapy. Rituximab and TKIs were the only targeted therapies used in the patients in this study.</w:t>
      </w:r>
      <w:r w:rsidR="008B6655">
        <w:rPr>
          <w:rFonts w:ascii="Arial" w:hAnsi="Arial" w:cs="Arial"/>
        </w:rPr>
        <w:t xml:space="preserve"> R-CHOP regimen was associated with 4% of delay in commencement of chemotherapy</w:t>
      </w:r>
      <w:r w:rsidR="006474D9">
        <w:rPr>
          <w:rFonts w:ascii="Arial" w:hAnsi="Arial" w:cs="Arial"/>
        </w:rPr>
        <w:t xml:space="preserve">. Being a monoclonal antibody targeting CD20 molecules on </w:t>
      </w:r>
      <w:proofErr w:type="spellStart"/>
      <w:r w:rsidR="006474D9">
        <w:rPr>
          <w:rFonts w:ascii="Arial" w:hAnsi="Arial" w:cs="Arial"/>
        </w:rPr>
        <w:t>tumour</w:t>
      </w:r>
      <w:proofErr w:type="spellEnd"/>
      <w:r w:rsidR="006474D9">
        <w:rPr>
          <w:rFonts w:ascii="Arial" w:hAnsi="Arial" w:cs="Arial"/>
        </w:rPr>
        <w:t xml:space="preserve"> cells, </w:t>
      </w:r>
      <w:r w:rsidR="009F489F">
        <w:rPr>
          <w:rFonts w:ascii="Arial" w:hAnsi="Arial" w:cs="Arial"/>
        </w:rPr>
        <w:t xml:space="preserve">it is plausible for Rituximab to </w:t>
      </w:r>
      <w:r w:rsidR="0092533E">
        <w:rPr>
          <w:rFonts w:ascii="Arial" w:hAnsi="Arial" w:cs="Arial"/>
        </w:rPr>
        <w:t>b</w:t>
      </w:r>
      <w:r w:rsidR="009F489F">
        <w:rPr>
          <w:rFonts w:ascii="Arial" w:hAnsi="Arial" w:cs="Arial"/>
        </w:rPr>
        <w:t xml:space="preserve">e associated </w:t>
      </w:r>
      <w:r w:rsidR="0092533E">
        <w:rPr>
          <w:rFonts w:ascii="Arial" w:hAnsi="Arial" w:cs="Arial"/>
        </w:rPr>
        <w:t xml:space="preserve">with </w:t>
      </w:r>
      <w:r w:rsidR="009F489F">
        <w:rPr>
          <w:rFonts w:ascii="Arial" w:hAnsi="Arial" w:cs="Arial"/>
        </w:rPr>
        <w:t>delay in</w:t>
      </w:r>
      <w:r w:rsidR="0092533E">
        <w:rPr>
          <w:rFonts w:ascii="Arial" w:hAnsi="Arial" w:cs="Arial"/>
        </w:rPr>
        <w:t xml:space="preserve"> initiation of therapy.</w:t>
      </w:r>
      <w:r w:rsidR="00A93F5F">
        <w:rPr>
          <w:rFonts w:ascii="Arial" w:hAnsi="Arial" w:cs="Arial"/>
        </w:rPr>
        <w:t xml:space="preserve"> Use of TKIs </w:t>
      </w:r>
      <w:r w:rsidR="00612190">
        <w:rPr>
          <w:rFonts w:ascii="Arial" w:hAnsi="Arial" w:cs="Arial"/>
        </w:rPr>
        <w:t xml:space="preserve">showed the most delay in commencement of chemotherapy, </w:t>
      </w:r>
      <w:r w:rsidRPr="00F82BAF">
        <w:rPr>
          <w:rFonts w:ascii="Arial" w:hAnsi="Arial" w:cs="Arial"/>
        </w:rPr>
        <w:t xml:space="preserve">slightly more than one-third of total. In our facility, diagnosis of CML via </w:t>
      </w:r>
      <w:r w:rsidRPr="00F82BAF">
        <w:rPr>
          <w:rFonts w:ascii="Arial" w:hAnsi="Arial" w:cs="Arial"/>
          <w:i/>
          <w:iCs/>
        </w:rPr>
        <w:t>BCR-ABL1</w:t>
      </w:r>
      <w:r w:rsidRPr="00F82BAF">
        <w:rPr>
          <w:rFonts w:ascii="Arial" w:hAnsi="Arial" w:cs="Arial"/>
        </w:rPr>
        <w:t xml:space="preserve"> transcript analysis is outsourced to a peripheral laboratory, and confirmed cases are sent to another tertiary hospital where they can assess the TKIs for free via the </w:t>
      </w:r>
      <w:proofErr w:type="spellStart"/>
      <w:r w:rsidRPr="00F82BAF">
        <w:rPr>
          <w:rFonts w:ascii="Arial" w:hAnsi="Arial" w:cs="Arial"/>
        </w:rPr>
        <w:t>Glivec</w:t>
      </w:r>
      <w:proofErr w:type="spellEnd"/>
      <w:r w:rsidRPr="00F82BAF">
        <w:rPr>
          <w:rFonts w:ascii="Arial" w:hAnsi="Arial" w:cs="Arial"/>
        </w:rPr>
        <w:t xml:space="preserve"> International Patient Assistance Program (GIPAP) now the Max Solution (MAS), fronted by Novartis pharmaceutical and the Max Foundation; this delay between diagnosis, confirmation of diagnosis, and treatment of CML patients in resource-limited </w:t>
      </w:r>
      <w:proofErr w:type="spellStart"/>
      <w:r w:rsidRPr="00F82BAF">
        <w:rPr>
          <w:rFonts w:ascii="Arial" w:hAnsi="Arial" w:cs="Arial"/>
        </w:rPr>
        <w:t>centres</w:t>
      </w:r>
      <w:proofErr w:type="spellEnd"/>
      <w:r w:rsidRPr="00F82BAF">
        <w:rPr>
          <w:rFonts w:ascii="Arial" w:hAnsi="Arial" w:cs="Arial"/>
        </w:rPr>
        <w:t>, definitely contributed to the delays in the CML-patients category (</w:t>
      </w:r>
      <w:proofErr w:type="spellStart"/>
      <w:r w:rsidRPr="00F82BAF">
        <w:rPr>
          <w:rFonts w:ascii="Arial" w:hAnsi="Arial" w:cs="Arial"/>
        </w:rPr>
        <w:t>Uku</w:t>
      </w:r>
      <w:proofErr w:type="spellEnd"/>
      <w:r w:rsidRPr="00F82BAF">
        <w:rPr>
          <w:rFonts w:ascii="Arial" w:hAnsi="Arial" w:cs="Arial"/>
        </w:rPr>
        <w:t xml:space="preserve"> et al., 2025; Benjamin et al., 2022). Factors implicated </w:t>
      </w:r>
      <w:r w:rsidR="00EA13F6">
        <w:rPr>
          <w:rFonts w:ascii="Arial" w:hAnsi="Arial" w:cs="Arial"/>
        </w:rPr>
        <w:t xml:space="preserve">in this regard </w:t>
      </w:r>
      <w:r w:rsidRPr="00F82BAF">
        <w:rPr>
          <w:rFonts w:ascii="Arial" w:hAnsi="Arial" w:cs="Arial"/>
        </w:rPr>
        <w:t xml:space="preserve">are cost of transportation, </w:t>
      </w:r>
      <w:r w:rsidR="00EA13F6">
        <w:rPr>
          <w:rFonts w:ascii="Arial" w:hAnsi="Arial" w:cs="Arial"/>
        </w:rPr>
        <w:t xml:space="preserve">the stress of traveling to access this treatment, </w:t>
      </w:r>
      <w:r w:rsidRPr="00F82BAF">
        <w:rPr>
          <w:rFonts w:ascii="Arial" w:hAnsi="Arial" w:cs="Arial"/>
        </w:rPr>
        <w:t>and other sociodemographic barriers (Nelson et al., 2024)</w:t>
      </w:r>
      <w:r w:rsidR="00991D84">
        <w:rPr>
          <w:rFonts w:ascii="Arial" w:hAnsi="Arial" w:cs="Arial"/>
        </w:rPr>
        <w:t>.</w:t>
      </w:r>
      <w:r w:rsidRPr="00F82BAF">
        <w:rPr>
          <w:rFonts w:ascii="Arial" w:hAnsi="Arial" w:cs="Arial"/>
        </w:rPr>
        <w:t xml:space="preserve"> The regimen which showed the second highest </w:t>
      </w:r>
      <w:r w:rsidR="00C13BE9">
        <w:rPr>
          <w:rFonts w:ascii="Arial" w:hAnsi="Arial" w:cs="Arial"/>
        </w:rPr>
        <w:t xml:space="preserve">proportion of </w:t>
      </w:r>
      <w:r w:rsidRPr="00F82BAF">
        <w:rPr>
          <w:rFonts w:ascii="Arial" w:hAnsi="Arial" w:cs="Arial"/>
        </w:rPr>
        <w:t xml:space="preserve">delay is VRDs; this was in slightly less than one-third of cases. VRDs do not require special, confirmatory laboratory tests before commencement, and as such, delays in their commencement are likely due to unavailability </w:t>
      </w:r>
      <w:r w:rsidRPr="00F82BAF">
        <w:rPr>
          <w:rFonts w:ascii="Arial" w:hAnsi="Arial" w:cs="Arial"/>
        </w:rPr>
        <w:lastRenderedPageBreak/>
        <w:t>of component</w:t>
      </w:r>
      <w:r w:rsidR="00C13BE9">
        <w:rPr>
          <w:rFonts w:ascii="Arial" w:hAnsi="Arial" w:cs="Arial"/>
        </w:rPr>
        <w:t xml:space="preserve"> drugs</w:t>
      </w:r>
      <w:r w:rsidRPr="00F82BAF">
        <w:rPr>
          <w:rFonts w:ascii="Arial" w:hAnsi="Arial" w:cs="Arial"/>
        </w:rPr>
        <w:t>, financial limitations, or patients’ refusal to</w:t>
      </w:r>
      <w:r w:rsidR="00413BA7">
        <w:rPr>
          <w:rFonts w:ascii="Arial" w:hAnsi="Arial" w:cs="Arial"/>
        </w:rPr>
        <w:t xml:space="preserve"> be</w:t>
      </w:r>
      <w:r w:rsidRPr="00F82BAF">
        <w:rPr>
          <w:rFonts w:ascii="Arial" w:hAnsi="Arial" w:cs="Arial"/>
        </w:rPr>
        <w:t xml:space="preserve"> treated. </w:t>
      </w:r>
      <w:r w:rsidR="00281C47">
        <w:rPr>
          <w:rFonts w:ascii="Arial" w:hAnsi="Arial" w:cs="Arial"/>
        </w:rPr>
        <w:t>This fact of patient refusal of therapy</w:t>
      </w:r>
      <w:r w:rsidR="005A2D91">
        <w:rPr>
          <w:rFonts w:ascii="Arial" w:hAnsi="Arial" w:cs="Arial"/>
        </w:rPr>
        <w:t xml:space="preserve"> is not </w:t>
      </w:r>
      <w:r w:rsidR="00A177E9">
        <w:rPr>
          <w:rFonts w:ascii="Arial" w:hAnsi="Arial" w:cs="Arial"/>
        </w:rPr>
        <w:t xml:space="preserve">an </w:t>
      </w:r>
      <w:r w:rsidR="005A2D91">
        <w:rPr>
          <w:rFonts w:ascii="Arial" w:hAnsi="Arial" w:cs="Arial"/>
        </w:rPr>
        <w:t>uncommon occurrence with cancer patients, and</w:t>
      </w:r>
      <w:r w:rsidR="00281C47">
        <w:rPr>
          <w:rFonts w:ascii="Arial" w:hAnsi="Arial" w:cs="Arial"/>
        </w:rPr>
        <w:t xml:space="preserve"> </w:t>
      </w:r>
      <w:r w:rsidR="001C6FD6">
        <w:rPr>
          <w:rFonts w:ascii="Arial" w:hAnsi="Arial" w:cs="Arial"/>
        </w:rPr>
        <w:t>has been attribute</w:t>
      </w:r>
      <w:r w:rsidR="008C13B0">
        <w:rPr>
          <w:rFonts w:ascii="Arial" w:hAnsi="Arial" w:cs="Arial"/>
        </w:rPr>
        <w:t>d</w:t>
      </w:r>
      <w:r w:rsidR="001C6FD6">
        <w:rPr>
          <w:rFonts w:ascii="Arial" w:hAnsi="Arial" w:cs="Arial"/>
        </w:rPr>
        <w:t xml:space="preserve"> to a lack of resilience by </w:t>
      </w:r>
      <w:proofErr w:type="spellStart"/>
      <w:r w:rsidR="008C13B0">
        <w:rPr>
          <w:rFonts w:ascii="Arial" w:hAnsi="Arial" w:cs="Arial"/>
        </w:rPr>
        <w:t>Khankeh</w:t>
      </w:r>
      <w:proofErr w:type="spellEnd"/>
      <w:r w:rsidR="008C13B0">
        <w:rPr>
          <w:rFonts w:ascii="Arial" w:hAnsi="Arial" w:cs="Arial"/>
        </w:rPr>
        <w:t xml:space="preserve"> et al. 202</w:t>
      </w:r>
      <w:r w:rsidR="00BC2C48">
        <w:rPr>
          <w:rFonts w:ascii="Arial" w:hAnsi="Arial" w:cs="Arial"/>
        </w:rPr>
        <w:t>3</w:t>
      </w:r>
      <w:r w:rsidR="008C13B0">
        <w:rPr>
          <w:rFonts w:ascii="Arial" w:hAnsi="Arial" w:cs="Arial"/>
        </w:rPr>
        <w:t xml:space="preserve">, stating that most times, these patients abandon treatment without the notice of the oncologist or even family members. </w:t>
      </w:r>
      <w:r w:rsidR="0024790C" w:rsidRPr="0024790C">
        <w:rPr>
          <w:rFonts w:ascii="Arial" w:hAnsi="Arial" w:cs="Arial"/>
        </w:rPr>
        <w:t>CHOP and ABVD regimens made up 16.0% and 12.0%, respectively. Agents in these regimens have a non-targeted mechanisms and delays in initiation of therapy with them is would be due to patient-related factors. CVP was not associated with delays in commencement.</w:t>
      </w:r>
    </w:p>
    <w:p w14:paraId="3718E78F" w14:textId="77777777" w:rsidR="0024790C" w:rsidRDefault="0024790C" w:rsidP="00530D6F">
      <w:pPr>
        <w:pStyle w:val="Body"/>
        <w:spacing w:after="0"/>
        <w:rPr>
          <w:rFonts w:ascii="Arial" w:hAnsi="Arial" w:cs="Arial"/>
        </w:rPr>
      </w:pPr>
    </w:p>
    <w:p w14:paraId="28DE21FD" w14:textId="353481AF" w:rsidR="004952DB" w:rsidRDefault="002037E9" w:rsidP="00530D6F">
      <w:pPr>
        <w:pStyle w:val="Body"/>
        <w:spacing w:after="0"/>
        <w:rPr>
          <w:rFonts w:ascii="Arial" w:hAnsi="Arial" w:cs="Arial"/>
        </w:rPr>
      </w:pPr>
      <w:r w:rsidRPr="002037E9">
        <w:rPr>
          <w:rFonts w:ascii="Arial" w:hAnsi="Arial" w:cs="Arial"/>
        </w:rPr>
        <w:t xml:space="preserve">Comorbid health </w:t>
      </w:r>
      <w:r w:rsidR="0002590C">
        <w:rPr>
          <w:rFonts w:ascii="Arial" w:hAnsi="Arial" w:cs="Arial"/>
        </w:rPr>
        <w:t>condi</w:t>
      </w:r>
      <w:r w:rsidRPr="002037E9">
        <w:rPr>
          <w:rFonts w:ascii="Arial" w:hAnsi="Arial" w:cs="Arial"/>
        </w:rPr>
        <w:t xml:space="preserve">tions </w:t>
      </w:r>
      <w:r w:rsidR="004F26FA" w:rsidRPr="002037E9">
        <w:rPr>
          <w:rFonts w:ascii="Arial" w:hAnsi="Arial" w:cs="Arial"/>
        </w:rPr>
        <w:t>are</w:t>
      </w:r>
      <w:r w:rsidRPr="002037E9">
        <w:rPr>
          <w:rFonts w:ascii="Arial" w:hAnsi="Arial" w:cs="Arial"/>
        </w:rPr>
        <w:t xml:space="preserve"> </w:t>
      </w:r>
      <w:r w:rsidR="004F26FA">
        <w:rPr>
          <w:rFonts w:ascii="Arial" w:hAnsi="Arial" w:cs="Arial"/>
        </w:rPr>
        <w:t>an</w:t>
      </w:r>
      <w:r w:rsidRPr="002037E9">
        <w:rPr>
          <w:rFonts w:ascii="Arial" w:hAnsi="Arial" w:cs="Arial"/>
        </w:rPr>
        <w:t xml:space="preserve">other factor which could delay commencement of chemotherapy in </w:t>
      </w:r>
      <w:proofErr w:type="spellStart"/>
      <w:r w:rsidRPr="002037E9">
        <w:rPr>
          <w:rFonts w:ascii="Arial" w:hAnsi="Arial" w:cs="Arial"/>
        </w:rPr>
        <w:t>haematologic</w:t>
      </w:r>
      <w:proofErr w:type="spellEnd"/>
      <w:r w:rsidRPr="002037E9">
        <w:rPr>
          <w:rFonts w:ascii="Arial" w:hAnsi="Arial" w:cs="Arial"/>
        </w:rPr>
        <w:t xml:space="preserve"> cancer patient</w:t>
      </w:r>
      <w:r w:rsidR="004F26FA">
        <w:rPr>
          <w:rFonts w:ascii="Arial" w:hAnsi="Arial" w:cs="Arial"/>
        </w:rPr>
        <w:t xml:space="preserve"> </w:t>
      </w:r>
      <w:r w:rsidR="0002590C">
        <w:rPr>
          <w:rFonts w:ascii="Arial" w:hAnsi="Arial" w:cs="Arial"/>
        </w:rPr>
        <w:t>(</w:t>
      </w:r>
      <w:proofErr w:type="spellStart"/>
      <w:r w:rsidR="0002590C">
        <w:rPr>
          <w:rFonts w:ascii="Arial" w:hAnsi="Arial" w:cs="Arial"/>
        </w:rPr>
        <w:t>Mullangi</w:t>
      </w:r>
      <w:proofErr w:type="spellEnd"/>
      <w:r w:rsidR="0002590C">
        <w:rPr>
          <w:rFonts w:ascii="Arial" w:hAnsi="Arial" w:cs="Arial"/>
        </w:rPr>
        <w:t xml:space="preserve"> et al., 2022)</w:t>
      </w:r>
      <w:r w:rsidR="00EC7E73">
        <w:rPr>
          <w:rFonts w:ascii="Arial" w:hAnsi="Arial" w:cs="Arial"/>
        </w:rPr>
        <w:t>,</w:t>
      </w:r>
      <w:r w:rsidR="002367FE">
        <w:rPr>
          <w:rFonts w:ascii="Arial" w:hAnsi="Arial" w:cs="Arial"/>
        </w:rPr>
        <w:t xml:space="preserve"> as patients who present in acut</w:t>
      </w:r>
      <w:r w:rsidR="00112C93">
        <w:rPr>
          <w:rFonts w:ascii="Arial" w:hAnsi="Arial" w:cs="Arial"/>
        </w:rPr>
        <w:t>e cardiovascular decompensation, metabolic derangements, or gastrointestinal urgency, would need to be stabilized</w:t>
      </w:r>
      <w:r w:rsidR="003D6184">
        <w:rPr>
          <w:rFonts w:ascii="Arial" w:hAnsi="Arial" w:cs="Arial"/>
        </w:rPr>
        <w:t>.</w:t>
      </w:r>
      <w:r w:rsidR="00194113">
        <w:rPr>
          <w:rFonts w:ascii="Arial" w:hAnsi="Arial" w:cs="Arial"/>
        </w:rPr>
        <w:t xml:space="preserve"> </w:t>
      </w:r>
      <w:r w:rsidR="00984D05">
        <w:rPr>
          <w:rFonts w:ascii="Arial" w:hAnsi="Arial" w:cs="Arial"/>
        </w:rPr>
        <w:t>International and local s</w:t>
      </w:r>
      <w:r w:rsidR="00194113">
        <w:rPr>
          <w:rFonts w:ascii="Arial" w:hAnsi="Arial" w:cs="Arial"/>
        </w:rPr>
        <w:t xml:space="preserve">tudies have shown that comorbidities are not uncommon among patients with </w:t>
      </w:r>
      <w:proofErr w:type="spellStart"/>
      <w:r w:rsidR="00194113">
        <w:rPr>
          <w:rFonts w:ascii="Arial" w:hAnsi="Arial" w:cs="Arial"/>
        </w:rPr>
        <w:t>haematologic</w:t>
      </w:r>
      <w:proofErr w:type="spellEnd"/>
      <w:r w:rsidR="00194113">
        <w:rPr>
          <w:rFonts w:ascii="Arial" w:hAnsi="Arial" w:cs="Arial"/>
        </w:rPr>
        <w:t xml:space="preserve"> and indeed other cancers (Fowler et al., 20</w:t>
      </w:r>
      <w:r w:rsidR="00B111D6">
        <w:rPr>
          <w:rFonts w:ascii="Arial" w:hAnsi="Arial" w:cs="Arial"/>
        </w:rPr>
        <w:t>20</w:t>
      </w:r>
      <w:r w:rsidR="00984D05">
        <w:rPr>
          <w:rFonts w:ascii="Arial" w:hAnsi="Arial" w:cs="Arial"/>
        </w:rPr>
        <w:t xml:space="preserve">; </w:t>
      </w:r>
      <w:proofErr w:type="spellStart"/>
      <w:r w:rsidR="00984D05">
        <w:rPr>
          <w:rFonts w:ascii="Arial" w:hAnsi="Arial" w:cs="Arial"/>
        </w:rPr>
        <w:t>Salako</w:t>
      </w:r>
      <w:proofErr w:type="spellEnd"/>
      <w:r w:rsidR="00984D05">
        <w:rPr>
          <w:rFonts w:ascii="Arial" w:hAnsi="Arial" w:cs="Arial"/>
        </w:rPr>
        <w:t xml:space="preserve"> et al., 2018</w:t>
      </w:r>
      <w:r w:rsidR="00B111D6">
        <w:rPr>
          <w:rFonts w:ascii="Arial" w:hAnsi="Arial" w:cs="Arial"/>
        </w:rPr>
        <w:t>)</w:t>
      </w:r>
      <w:r w:rsidR="00EC7E73">
        <w:rPr>
          <w:rFonts w:ascii="Arial" w:hAnsi="Arial" w:cs="Arial"/>
        </w:rPr>
        <w:t>,</w:t>
      </w:r>
      <w:r w:rsidR="007238D0">
        <w:rPr>
          <w:rFonts w:ascii="Arial" w:hAnsi="Arial" w:cs="Arial"/>
        </w:rPr>
        <w:t xml:space="preserve"> </w:t>
      </w:r>
      <w:r w:rsidR="00984D05">
        <w:rPr>
          <w:rFonts w:ascii="Arial" w:hAnsi="Arial" w:cs="Arial"/>
        </w:rPr>
        <w:t xml:space="preserve">with entities such as hypertension, diabetes and peptic ulcer making up the highest comorbid health conditions in </w:t>
      </w:r>
      <w:r w:rsidR="003D6184">
        <w:rPr>
          <w:rFonts w:ascii="Arial" w:hAnsi="Arial" w:cs="Arial"/>
        </w:rPr>
        <w:t xml:space="preserve">cancer </w:t>
      </w:r>
      <w:r w:rsidR="00984D05">
        <w:rPr>
          <w:rFonts w:ascii="Arial" w:hAnsi="Arial" w:cs="Arial"/>
        </w:rPr>
        <w:t>patients in Nigeria</w:t>
      </w:r>
      <w:r w:rsidR="00827FD7">
        <w:rPr>
          <w:rFonts w:ascii="Arial" w:hAnsi="Arial" w:cs="Arial"/>
        </w:rPr>
        <w:t xml:space="preserve"> (</w:t>
      </w:r>
      <w:proofErr w:type="spellStart"/>
      <w:r w:rsidR="00827FD7">
        <w:rPr>
          <w:rFonts w:ascii="Arial" w:hAnsi="Arial" w:cs="Arial"/>
        </w:rPr>
        <w:t>Salako</w:t>
      </w:r>
      <w:proofErr w:type="spellEnd"/>
      <w:r w:rsidR="00827FD7">
        <w:rPr>
          <w:rFonts w:ascii="Arial" w:hAnsi="Arial" w:cs="Arial"/>
        </w:rPr>
        <w:t xml:space="preserve"> et al., 2018)</w:t>
      </w:r>
      <w:r w:rsidR="00EC7E73">
        <w:rPr>
          <w:rFonts w:ascii="Arial" w:hAnsi="Arial" w:cs="Arial"/>
        </w:rPr>
        <w:t>.</w:t>
      </w:r>
      <w:r w:rsidR="00827FD7">
        <w:rPr>
          <w:rFonts w:ascii="Arial" w:hAnsi="Arial" w:cs="Arial"/>
        </w:rPr>
        <w:t xml:space="preserve"> Our study did not factor the effect of comorbidity in</w:t>
      </w:r>
      <w:r w:rsidR="00303EEB">
        <w:rPr>
          <w:rFonts w:ascii="Arial" w:hAnsi="Arial" w:cs="Arial"/>
        </w:rPr>
        <w:t xml:space="preserve"> delaying initiation of definitive</w:t>
      </w:r>
      <w:r w:rsidR="00827FD7">
        <w:rPr>
          <w:rFonts w:ascii="Arial" w:hAnsi="Arial" w:cs="Arial"/>
        </w:rPr>
        <w:t xml:space="preserve"> </w:t>
      </w:r>
      <w:r w:rsidR="00303EEB">
        <w:rPr>
          <w:rFonts w:ascii="Arial" w:hAnsi="Arial" w:cs="Arial"/>
        </w:rPr>
        <w:t xml:space="preserve">treatment for patients with </w:t>
      </w:r>
      <w:proofErr w:type="spellStart"/>
      <w:r w:rsidR="00303EEB">
        <w:rPr>
          <w:rFonts w:ascii="Arial" w:hAnsi="Arial" w:cs="Arial"/>
        </w:rPr>
        <w:t>haematologic</w:t>
      </w:r>
      <w:proofErr w:type="spellEnd"/>
      <w:r w:rsidR="00303EEB">
        <w:rPr>
          <w:rFonts w:ascii="Arial" w:hAnsi="Arial" w:cs="Arial"/>
        </w:rPr>
        <w:t xml:space="preserve"> cancers, however, </w:t>
      </w:r>
      <w:r w:rsidR="007C7B8A">
        <w:rPr>
          <w:rFonts w:ascii="Arial" w:hAnsi="Arial" w:cs="Arial"/>
        </w:rPr>
        <w:t xml:space="preserve">because these comorbid disease entities are common in this part of the world, </w:t>
      </w:r>
      <w:r w:rsidR="00187D35">
        <w:rPr>
          <w:rFonts w:ascii="Arial" w:hAnsi="Arial" w:cs="Arial"/>
        </w:rPr>
        <w:t>their effect cannot be overstated, and</w:t>
      </w:r>
      <w:r w:rsidR="00070037">
        <w:rPr>
          <w:rFonts w:ascii="Arial" w:hAnsi="Arial" w:cs="Arial"/>
        </w:rPr>
        <w:t xml:space="preserve"> needs to be considered.</w:t>
      </w:r>
      <w:r w:rsidR="00F8076C">
        <w:rPr>
          <w:rFonts w:ascii="Arial" w:hAnsi="Arial" w:cs="Arial"/>
        </w:rPr>
        <w:t xml:space="preserve"> A recent study among patients with cervical cancer in Lagos has reported that 21.</w:t>
      </w:r>
      <w:r w:rsidR="00120E5C">
        <w:rPr>
          <w:rFonts w:ascii="Arial" w:hAnsi="Arial" w:cs="Arial"/>
        </w:rPr>
        <w:t>6%, 8.2%, and 6.1% of these cases have comorbid cardiovascular, endocrine, and gastrointestinal disorders, respectively</w:t>
      </w:r>
      <w:r w:rsidR="00A20A4E">
        <w:rPr>
          <w:rFonts w:ascii="Arial" w:hAnsi="Arial" w:cs="Arial"/>
        </w:rPr>
        <w:t xml:space="preserve"> </w:t>
      </w:r>
      <w:r w:rsidR="00894C7A">
        <w:rPr>
          <w:rFonts w:ascii="Arial" w:hAnsi="Arial" w:cs="Arial"/>
        </w:rPr>
        <w:t>(Ola et al., 2025)</w:t>
      </w:r>
      <w:r w:rsidR="00EC7E73">
        <w:rPr>
          <w:rFonts w:ascii="Arial" w:hAnsi="Arial" w:cs="Arial"/>
        </w:rPr>
        <w:t>.</w:t>
      </w:r>
      <w:r w:rsidR="007F7868">
        <w:rPr>
          <w:rFonts w:ascii="Arial" w:hAnsi="Arial" w:cs="Arial"/>
        </w:rPr>
        <w:t xml:space="preserve"> </w:t>
      </w:r>
      <w:r w:rsidR="0052668D">
        <w:rPr>
          <w:rFonts w:ascii="Arial" w:hAnsi="Arial" w:cs="Arial"/>
        </w:rPr>
        <w:t xml:space="preserve">The effect of comorbidities was also highlighted in a study done </w:t>
      </w:r>
      <w:r w:rsidR="0085330F">
        <w:rPr>
          <w:rFonts w:ascii="Arial" w:hAnsi="Arial" w:cs="Arial"/>
        </w:rPr>
        <w:t xml:space="preserve">among patients with </w:t>
      </w:r>
      <w:proofErr w:type="spellStart"/>
      <w:r w:rsidR="0085330F">
        <w:rPr>
          <w:rFonts w:ascii="Arial" w:hAnsi="Arial" w:cs="Arial"/>
        </w:rPr>
        <w:t>haematologic</w:t>
      </w:r>
      <w:proofErr w:type="spellEnd"/>
      <w:r w:rsidR="0085330F">
        <w:rPr>
          <w:rFonts w:ascii="Arial" w:hAnsi="Arial" w:cs="Arial"/>
        </w:rPr>
        <w:t xml:space="preserve"> malignancies in a </w:t>
      </w:r>
      <w:r w:rsidR="0052668D">
        <w:rPr>
          <w:rFonts w:ascii="Arial" w:hAnsi="Arial" w:cs="Arial"/>
        </w:rPr>
        <w:t>suburban tertiary health care facility in the South-South region of the country (</w:t>
      </w:r>
      <w:r w:rsidR="00E07291">
        <w:rPr>
          <w:rFonts w:ascii="Arial" w:hAnsi="Arial" w:cs="Arial"/>
        </w:rPr>
        <w:t>Muhammad et al., 2025)</w:t>
      </w:r>
      <w:r w:rsidR="00EC7E73">
        <w:rPr>
          <w:rFonts w:ascii="Arial" w:hAnsi="Arial" w:cs="Arial"/>
        </w:rPr>
        <w:t>;</w:t>
      </w:r>
      <w:r w:rsidR="0052668D">
        <w:rPr>
          <w:rFonts w:ascii="Arial" w:hAnsi="Arial" w:cs="Arial"/>
        </w:rPr>
        <w:t xml:space="preserve"> this is same region of the country in which our facility is located.</w:t>
      </w:r>
    </w:p>
    <w:p w14:paraId="34BC1F41" w14:textId="77777777" w:rsidR="006474D9" w:rsidRDefault="006474D9" w:rsidP="00530D6F">
      <w:pPr>
        <w:pStyle w:val="Body"/>
        <w:spacing w:after="0"/>
        <w:rPr>
          <w:rFonts w:ascii="Arial" w:hAnsi="Arial" w:cs="Arial"/>
        </w:rPr>
      </w:pPr>
    </w:p>
    <w:p w14:paraId="43C9956D" w14:textId="77777777" w:rsidR="00790ADA" w:rsidRPr="00FB3A86" w:rsidRDefault="00790ADA" w:rsidP="00441B6F">
      <w:pPr>
        <w:pStyle w:val="Body"/>
        <w:spacing w:after="0"/>
        <w:rPr>
          <w:rFonts w:ascii="Arial" w:hAnsi="Arial" w:cs="Arial"/>
        </w:rPr>
      </w:pPr>
    </w:p>
    <w:p w14:paraId="277661E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3966C3B" w14:textId="77777777" w:rsidR="00790ADA" w:rsidRPr="00FB3A86" w:rsidRDefault="00790ADA" w:rsidP="00441B6F">
      <w:pPr>
        <w:pStyle w:val="ConcHead"/>
        <w:spacing w:after="0"/>
        <w:jc w:val="both"/>
        <w:rPr>
          <w:rFonts w:ascii="Arial" w:hAnsi="Arial" w:cs="Arial"/>
        </w:rPr>
      </w:pPr>
    </w:p>
    <w:p w14:paraId="3CC2C556" w14:textId="08EEF84F" w:rsidR="00B01FCD" w:rsidRDefault="0051433B" w:rsidP="0051433B">
      <w:pPr>
        <w:pStyle w:val="Body"/>
        <w:rPr>
          <w:rFonts w:ascii="Arial" w:hAnsi="Arial" w:cs="Arial"/>
        </w:rPr>
      </w:pPr>
      <w:r w:rsidRPr="0051433B">
        <w:rPr>
          <w:rFonts w:ascii="Arial" w:hAnsi="Arial" w:cs="Arial"/>
        </w:rPr>
        <w:t xml:space="preserve">The type of chemotherapy regimen used in treating </w:t>
      </w:r>
      <w:proofErr w:type="spellStart"/>
      <w:r w:rsidRPr="0051433B">
        <w:rPr>
          <w:rFonts w:ascii="Arial" w:hAnsi="Arial" w:cs="Arial"/>
        </w:rPr>
        <w:t>haematologic</w:t>
      </w:r>
      <w:proofErr w:type="spellEnd"/>
      <w:r w:rsidRPr="0051433B">
        <w:rPr>
          <w:rFonts w:ascii="Arial" w:hAnsi="Arial" w:cs="Arial"/>
        </w:rPr>
        <w:t xml:space="preserve"> malignancies is associated with delays in initiation of definitive treatment in resource-constrained clinical settings. Physicians who practice in these settings must take this into consideration in managing their patients.</w:t>
      </w:r>
    </w:p>
    <w:p w14:paraId="08E97CF8" w14:textId="77777777" w:rsidR="00A52D6B" w:rsidRPr="00A52D6B" w:rsidRDefault="00A52D6B" w:rsidP="00A52D6B">
      <w:pPr>
        <w:pStyle w:val="Body"/>
        <w:rPr>
          <w:rFonts w:ascii="Arial" w:hAnsi="Arial" w:cs="Arial"/>
          <w:b/>
          <w:sz w:val="18"/>
        </w:rPr>
      </w:pPr>
      <w:r w:rsidRPr="00A52D6B">
        <w:rPr>
          <w:rFonts w:ascii="Arial" w:hAnsi="Arial" w:cs="Arial"/>
          <w:b/>
          <w:sz w:val="18"/>
        </w:rPr>
        <w:t>LIMITATIONS OF STUDY</w:t>
      </w:r>
    </w:p>
    <w:p w14:paraId="17194D09" w14:textId="458DA77D" w:rsidR="00790ADA" w:rsidRPr="00FB3A86" w:rsidRDefault="00A52D6B" w:rsidP="00A52D6B">
      <w:pPr>
        <w:pStyle w:val="Body"/>
        <w:spacing w:after="0"/>
        <w:rPr>
          <w:rFonts w:ascii="Arial" w:hAnsi="Arial" w:cs="Arial"/>
        </w:rPr>
      </w:pPr>
      <w:r w:rsidRPr="00A52D6B">
        <w:rPr>
          <w:rFonts w:ascii="Arial" w:hAnsi="Arial" w:cs="Arial"/>
        </w:rPr>
        <w:t>The study did not distinguish patients on the basis of their financial abilities. It also did not take into consideration whether or not chemotherapy regimens were readily available to be accessed by patients. The effect of comorbid health conditions was also not factored into consideration. Therefore, the findings obtained in this study may be different in a cohort of patients who have ready access to the chemotherapy regimens, and who are financially able, and where comorbidities are considered. The small sample size of the study population is another limitation of this study.</w:t>
      </w:r>
    </w:p>
    <w:p w14:paraId="46CF01C1" w14:textId="77777777" w:rsidR="00315186" w:rsidRPr="00315186" w:rsidRDefault="00315186" w:rsidP="00441B6F"/>
    <w:p w14:paraId="0E833623" w14:textId="77777777" w:rsidR="00315186" w:rsidRPr="00315186" w:rsidRDefault="00315186" w:rsidP="00441B6F"/>
    <w:p w14:paraId="562FB1BB" w14:textId="77777777" w:rsidR="00E3030A" w:rsidRDefault="00E3030A" w:rsidP="00441B6F">
      <w:pPr>
        <w:pStyle w:val="ReferHead"/>
        <w:spacing w:after="0"/>
        <w:jc w:val="both"/>
        <w:rPr>
          <w:rFonts w:ascii="Arial" w:hAnsi="Arial" w:cs="Arial"/>
          <w:b w:val="0"/>
          <w:caps w:val="0"/>
          <w:sz w:val="20"/>
        </w:rPr>
      </w:pPr>
      <w:bookmarkStart w:id="1" w:name="_GoBack"/>
      <w:bookmarkEnd w:id="1"/>
    </w:p>
    <w:p w14:paraId="0C3858E6" w14:textId="77777777" w:rsidR="005C784C" w:rsidRDefault="005C784C" w:rsidP="00441B6F">
      <w:pPr>
        <w:pStyle w:val="ReferHead"/>
        <w:spacing w:after="0"/>
        <w:jc w:val="both"/>
        <w:rPr>
          <w:rFonts w:ascii="Arial" w:hAnsi="Arial" w:cs="Arial"/>
          <w:b w:val="0"/>
          <w:caps w:val="0"/>
          <w:sz w:val="20"/>
        </w:rPr>
      </w:pPr>
    </w:p>
    <w:p w14:paraId="68B7207B"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465FFF9" w14:textId="77777777" w:rsidR="005C784C" w:rsidRPr="002B685A" w:rsidRDefault="005C784C" w:rsidP="00441B6F">
      <w:pPr>
        <w:pStyle w:val="ReferHead"/>
        <w:spacing w:after="0"/>
        <w:jc w:val="both"/>
        <w:rPr>
          <w:rFonts w:ascii="Arial" w:hAnsi="Arial" w:cs="Arial"/>
          <w:bCs/>
        </w:rPr>
      </w:pPr>
    </w:p>
    <w:p w14:paraId="527C42B1" w14:textId="71A6EA77" w:rsidR="0041027F" w:rsidRDefault="00823818" w:rsidP="00823818">
      <w:pPr>
        <w:pStyle w:val="ReferHead"/>
        <w:spacing w:after="0"/>
        <w:jc w:val="both"/>
        <w:rPr>
          <w:rFonts w:ascii="Arial" w:hAnsi="Arial" w:cs="Arial"/>
          <w:b w:val="0"/>
          <w:caps w:val="0"/>
          <w:sz w:val="20"/>
        </w:rPr>
      </w:pPr>
      <w:r>
        <w:rPr>
          <w:rFonts w:ascii="Arial" w:hAnsi="Arial" w:cs="Arial"/>
          <w:b w:val="0"/>
          <w:caps w:val="0"/>
          <w:sz w:val="20"/>
        </w:rPr>
        <w:t>Duly obtained from the Health Research and Ethics Committee of the Hospital.</w:t>
      </w:r>
    </w:p>
    <w:p w14:paraId="2B7DDB08" w14:textId="164888DE" w:rsidR="00F574E0" w:rsidRDefault="00F574E0" w:rsidP="00823818">
      <w:pPr>
        <w:pStyle w:val="ReferHead"/>
        <w:spacing w:after="0"/>
        <w:jc w:val="both"/>
        <w:rPr>
          <w:rFonts w:ascii="Arial" w:hAnsi="Arial" w:cs="Arial"/>
          <w:b w:val="0"/>
          <w:caps w:val="0"/>
          <w:sz w:val="20"/>
        </w:rPr>
      </w:pPr>
    </w:p>
    <w:p w14:paraId="59EF9F66" w14:textId="77777777" w:rsidR="00F574E0" w:rsidRPr="00F574E0" w:rsidRDefault="00F574E0" w:rsidP="00F574E0">
      <w:pPr>
        <w:pStyle w:val="ReferHead"/>
        <w:jc w:val="both"/>
        <w:rPr>
          <w:rFonts w:ascii="Arial" w:hAnsi="Arial" w:cs="Arial"/>
          <w:caps w:val="0"/>
          <w:sz w:val="20"/>
        </w:rPr>
      </w:pPr>
      <w:r w:rsidRPr="00F574E0">
        <w:rPr>
          <w:rFonts w:ascii="Arial" w:hAnsi="Arial" w:cs="Arial"/>
          <w:caps w:val="0"/>
          <w:sz w:val="20"/>
        </w:rPr>
        <w:t>COMPETING INTERESTS</w:t>
      </w:r>
    </w:p>
    <w:p w14:paraId="77B760A5" w14:textId="58C2F747" w:rsidR="00F574E0" w:rsidRDefault="00F574E0" w:rsidP="00F574E0">
      <w:pPr>
        <w:pStyle w:val="ReferHead"/>
        <w:spacing w:after="0"/>
        <w:jc w:val="both"/>
        <w:rPr>
          <w:rFonts w:ascii="Arial" w:hAnsi="Arial" w:cs="Arial"/>
          <w:b w:val="0"/>
          <w:caps w:val="0"/>
          <w:sz w:val="20"/>
        </w:rPr>
      </w:pPr>
      <w:r w:rsidRPr="00F574E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AED3F9B" w14:textId="77777777" w:rsidR="00AC7207" w:rsidRDefault="00AC7207" w:rsidP="00823818">
      <w:pPr>
        <w:pStyle w:val="ReferHead"/>
        <w:spacing w:after="0"/>
        <w:jc w:val="both"/>
        <w:rPr>
          <w:rFonts w:ascii="Arial" w:hAnsi="Arial" w:cs="Arial"/>
          <w:b w:val="0"/>
          <w:caps w:val="0"/>
          <w:sz w:val="20"/>
        </w:rPr>
      </w:pPr>
    </w:p>
    <w:p w14:paraId="1C7D843A" w14:textId="232BA688" w:rsidR="00AC7207" w:rsidRDefault="00AC7207" w:rsidP="00823818">
      <w:pPr>
        <w:pStyle w:val="ReferHead"/>
        <w:spacing w:after="0"/>
        <w:jc w:val="both"/>
        <w:rPr>
          <w:rFonts w:ascii="Arial" w:hAnsi="Arial" w:cs="Arial"/>
          <w:b w:val="0"/>
          <w:caps w:val="0"/>
          <w:sz w:val="20"/>
          <w:u w:val="single"/>
        </w:rPr>
      </w:pPr>
    </w:p>
    <w:p w14:paraId="5CA08174" w14:textId="14931503" w:rsidR="00E9664F" w:rsidRDefault="00E9664F" w:rsidP="00823818">
      <w:pPr>
        <w:pStyle w:val="ReferHead"/>
        <w:spacing w:after="0"/>
        <w:jc w:val="both"/>
        <w:rPr>
          <w:rFonts w:ascii="Arial" w:hAnsi="Arial" w:cs="Arial"/>
          <w:b w:val="0"/>
          <w:caps w:val="0"/>
          <w:sz w:val="20"/>
          <w:u w:val="single"/>
        </w:rPr>
      </w:pPr>
    </w:p>
    <w:p w14:paraId="54A535C1" w14:textId="7FCE6EC3" w:rsidR="00E9664F" w:rsidRPr="000A1464" w:rsidRDefault="00E9664F" w:rsidP="00E9664F">
      <w:pPr>
        <w:rPr>
          <w:rFonts w:ascii="Calibri" w:eastAsia="Calibri" w:hAnsi="Calibri"/>
          <w:kern w:val="2"/>
          <w:highlight w:val="yellow"/>
        </w:rPr>
      </w:pPr>
      <w:bookmarkStart w:id="2" w:name="_Hlk204003461"/>
      <w:r w:rsidRPr="000A1464">
        <w:rPr>
          <w:rFonts w:ascii="Calibri" w:eastAsia="Calibri" w:hAnsi="Calibri"/>
          <w:kern w:val="2"/>
          <w:highlight w:val="yellow"/>
        </w:rPr>
        <w:t>Disclaimer (Artificial intelligence)</w:t>
      </w:r>
    </w:p>
    <w:p w14:paraId="12155D77" w14:textId="699BB7D7" w:rsidR="00E9664F" w:rsidRPr="000A1464" w:rsidRDefault="00E9664F" w:rsidP="00E9664F">
      <w:pPr>
        <w:rPr>
          <w:rFonts w:ascii="Calibri" w:eastAsia="Calibri" w:hAnsi="Calibri"/>
          <w:kern w:val="2"/>
          <w:highlight w:val="yellow"/>
        </w:rPr>
      </w:pPr>
      <w:r w:rsidRPr="000A1464">
        <w:rPr>
          <w:rFonts w:ascii="Calibri" w:eastAsia="Calibri" w:hAnsi="Calibri"/>
          <w:kern w:val="2"/>
          <w:highlight w:val="yellow"/>
        </w:rPr>
        <w:t>Authors hereby declare that NO generative AI technologies such as Large Language Models (</w:t>
      </w:r>
      <w:proofErr w:type="spellStart"/>
      <w:r w:rsidRPr="000A1464">
        <w:rPr>
          <w:rFonts w:ascii="Calibri" w:eastAsia="Calibri" w:hAnsi="Calibri"/>
          <w:kern w:val="2"/>
          <w:highlight w:val="yellow"/>
        </w:rPr>
        <w:t>ChatGPT</w:t>
      </w:r>
      <w:proofErr w:type="spellEnd"/>
      <w:r w:rsidRPr="000A1464">
        <w:rPr>
          <w:rFonts w:ascii="Calibri" w:eastAsia="Calibri" w:hAnsi="Calibri"/>
          <w:kern w:val="2"/>
          <w:highlight w:val="yellow"/>
        </w:rPr>
        <w:t>, COPILOT, etc.) and text-to-image generators have been used during the writing or editing of this manuscript.</w:t>
      </w:r>
      <w:bookmarkEnd w:id="2"/>
    </w:p>
    <w:p w14:paraId="04174F21" w14:textId="77777777" w:rsidR="00860000" w:rsidRDefault="00860000" w:rsidP="00441B6F">
      <w:pPr>
        <w:pStyle w:val="ReferHead"/>
        <w:spacing w:after="0"/>
        <w:jc w:val="both"/>
        <w:rPr>
          <w:rFonts w:ascii="Arial" w:hAnsi="Arial" w:cs="Arial"/>
        </w:rPr>
      </w:pPr>
    </w:p>
    <w:p w14:paraId="0D435BC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C241936" w14:textId="77777777" w:rsidR="00790ADA" w:rsidRPr="00FB3A86" w:rsidRDefault="00790ADA" w:rsidP="00441B6F">
      <w:pPr>
        <w:pStyle w:val="ReferHead"/>
        <w:spacing w:after="0"/>
        <w:jc w:val="both"/>
        <w:rPr>
          <w:rFonts w:ascii="Arial" w:hAnsi="Arial" w:cs="Arial"/>
        </w:rPr>
      </w:pPr>
    </w:p>
    <w:p w14:paraId="39B18A4F" w14:textId="00878CFB" w:rsidR="003A1F98" w:rsidRPr="003A1F98" w:rsidRDefault="003A1F98" w:rsidP="003A1F98">
      <w:pPr>
        <w:pStyle w:val="Body"/>
      </w:pPr>
      <w:proofErr w:type="spellStart"/>
      <w:r w:rsidRPr="003A1F98">
        <w:t>Amini</w:t>
      </w:r>
      <w:proofErr w:type="spellEnd"/>
      <w:r w:rsidRPr="003A1F98">
        <w:t>, M., Sharma, R., &amp; Jani, C. (2023). Gender differences in leukemia outcomes based on health care expenditures using estimates from the GLOBOCAN 2020. </w:t>
      </w:r>
      <w:r w:rsidRPr="003A1F98">
        <w:rPr>
          <w:i/>
          <w:iCs/>
        </w:rPr>
        <w:t>Archives of public health</w:t>
      </w:r>
      <w:r w:rsidRPr="003A1F98">
        <w:t>, </w:t>
      </w:r>
      <w:r w:rsidRPr="003A1F98">
        <w:rPr>
          <w:i/>
          <w:iCs/>
        </w:rPr>
        <w:t>81</w:t>
      </w:r>
      <w:r w:rsidRPr="003A1F98">
        <w:t>(1), 151.</w:t>
      </w:r>
    </w:p>
    <w:p w14:paraId="6B13C7D2" w14:textId="77777777" w:rsidR="003A1F98" w:rsidRDefault="003A1F98" w:rsidP="003A1F98">
      <w:pPr>
        <w:pStyle w:val="Body"/>
        <w:spacing w:after="0"/>
      </w:pPr>
      <w:r w:rsidRPr="003A1F98">
        <w:t xml:space="preserve">Ang, S. P., Lee, E., Chia, J. E., Iglesias, M., Di Vanna, M., </w:t>
      </w:r>
      <w:proofErr w:type="spellStart"/>
      <w:r w:rsidRPr="003A1F98">
        <w:t>Shambhavi</w:t>
      </w:r>
      <w:proofErr w:type="spellEnd"/>
      <w:r w:rsidRPr="003A1F98">
        <w:t xml:space="preserve">, S., &amp; Iglesias, J. (2025). Time-to-Treatment Initiation and Its Effect on All-Cause Mortality: Insights </w:t>
      </w:r>
      <w:proofErr w:type="gramStart"/>
      <w:r w:rsidRPr="003A1F98">
        <w:t>From</w:t>
      </w:r>
      <w:proofErr w:type="gramEnd"/>
      <w:r w:rsidRPr="003A1F98">
        <w:t xml:space="preserve"> the Surveillance, Epidemiology, and End Results Database. </w:t>
      </w:r>
      <w:r w:rsidRPr="003A1F98">
        <w:rPr>
          <w:i/>
          <w:iCs/>
        </w:rPr>
        <w:t>World Journal of Oncology</w:t>
      </w:r>
      <w:r w:rsidRPr="003A1F98">
        <w:t>, </w:t>
      </w:r>
      <w:r w:rsidRPr="003A1F98">
        <w:rPr>
          <w:i/>
          <w:iCs/>
        </w:rPr>
        <w:t>16</w:t>
      </w:r>
      <w:r w:rsidRPr="003A1F98">
        <w:t>(3), 286.</w:t>
      </w:r>
    </w:p>
    <w:p w14:paraId="23E4A32A" w14:textId="77777777" w:rsidR="004237FB" w:rsidRDefault="004237FB" w:rsidP="003A1F98">
      <w:pPr>
        <w:pStyle w:val="Body"/>
        <w:spacing w:after="0"/>
      </w:pPr>
    </w:p>
    <w:p w14:paraId="0FD97D76" w14:textId="64BD1CCD" w:rsidR="004237FB" w:rsidRDefault="004237FB" w:rsidP="003A1F98">
      <w:pPr>
        <w:pStyle w:val="Body"/>
        <w:spacing w:after="0"/>
      </w:pPr>
      <w:proofErr w:type="spellStart"/>
      <w:r w:rsidRPr="004237FB">
        <w:t>Augustinus</w:t>
      </w:r>
      <w:proofErr w:type="spellEnd"/>
      <w:r w:rsidRPr="004237FB">
        <w:t xml:space="preserve">, S., </w:t>
      </w:r>
      <w:proofErr w:type="spellStart"/>
      <w:r w:rsidRPr="004237FB">
        <w:t>Thurairajah</w:t>
      </w:r>
      <w:proofErr w:type="spellEnd"/>
      <w:r w:rsidRPr="004237FB">
        <w:t xml:space="preserve">, G., </w:t>
      </w:r>
      <w:proofErr w:type="spellStart"/>
      <w:r w:rsidRPr="004237FB">
        <w:t>Besselink</w:t>
      </w:r>
      <w:proofErr w:type="spellEnd"/>
      <w:r w:rsidRPr="004237FB">
        <w:t xml:space="preserve">, M. G., van </w:t>
      </w:r>
      <w:proofErr w:type="spellStart"/>
      <w:r w:rsidRPr="004237FB">
        <w:t>Laarhoven</w:t>
      </w:r>
      <w:proofErr w:type="spellEnd"/>
      <w:r w:rsidRPr="004237FB">
        <w:t xml:space="preserve">, H. W., van </w:t>
      </w:r>
      <w:proofErr w:type="spellStart"/>
      <w:r w:rsidRPr="004237FB">
        <w:t>Oijen</w:t>
      </w:r>
      <w:proofErr w:type="spellEnd"/>
      <w:r w:rsidRPr="004237FB">
        <w:t xml:space="preserve">, M. G., Mackay, T. M., &amp; </w:t>
      </w:r>
      <w:proofErr w:type="spellStart"/>
      <w:r w:rsidRPr="004237FB">
        <w:t>Wilmink</w:t>
      </w:r>
      <w:proofErr w:type="spellEnd"/>
      <w:r w:rsidRPr="004237FB">
        <w:t>, J. W. (2023). Delayed versus immediate start of chemotherapy in asymptomatic patients with advanced cancer: a meta-analysis. </w:t>
      </w:r>
      <w:r w:rsidRPr="004237FB">
        <w:rPr>
          <w:i/>
          <w:iCs/>
        </w:rPr>
        <w:t>The Oncologist</w:t>
      </w:r>
      <w:r w:rsidRPr="004237FB">
        <w:t>, </w:t>
      </w:r>
      <w:r w:rsidRPr="004237FB">
        <w:rPr>
          <w:i/>
          <w:iCs/>
        </w:rPr>
        <w:t>28</w:t>
      </w:r>
      <w:r w:rsidRPr="004237FB">
        <w:t>(11), 961-968.</w:t>
      </w:r>
    </w:p>
    <w:p w14:paraId="485304AB" w14:textId="77777777" w:rsidR="002849BE" w:rsidRPr="003A1F98" w:rsidRDefault="002849BE" w:rsidP="003A1F98">
      <w:pPr>
        <w:pStyle w:val="Body"/>
        <w:spacing w:after="0"/>
      </w:pPr>
    </w:p>
    <w:p w14:paraId="70E5BC4C" w14:textId="77777777" w:rsidR="003A1F98" w:rsidRDefault="003A1F98" w:rsidP="003A1F98">
      <w:pPr>
        <w:pStyle w:val="Body"/>
        <w:spacing w:after="0"/>
      </w:pPr>
      <w:r w:rsidRPr="003A1F98">
        <w:t xml:space="preserve">Benjamin, A., </w:t>
      </w:r>
      <w:proofErr w:type="spellStart"/>
      <w:r w:rsidRPr="003A1F98">
        <w:t>Adeshola</w:t>
      </w:r>
      <w:proofErr w:type="spellEnd"/>
      <w:r w:rsidRPr="003A1F98">
        <w:t xml:space="preserve">, A., Fatima, A. M., John, J., Akintunde, A. A., Mohammed, I., ... &amp; Haruna, M. M. (2022). Chronic myeloid leukemia coexisting with non-Hodgkin's lymphoma: An uncommon presentation of </w:t>
      </w:r>
      <w:proofErr w:type="spellStart"/>
      <w:r w:rsidRPr="003A1F98">
        <w:t>bilineage</w:t>
      </w:r>
      <w:proofErr w:type="spellEnd"/>
      <w:r w:rsidRPr="003A1F98">
        <w:t xml:space="preserve"> hematological malignancy. </w:t>
      </w:r>
      <w:r w:rsidRPr="003A1F98">
        <w:rPr>
          <w:i/>
          <w:iCs/>
        </w:rPr>
        <w:t xml:space="preserve">The Egyptian Journal of </w:t>
      </w:r>
      <w:proofErr w:type="spellStart"/>
      <w:r w:rsidRPr="003A1F98">
        <w:rPr>
          <w:i/>
          <w:iCs/>
        </w:rPr>
        <w:t>Haematology</w:t>
      </w:r>
      <w:proofErr w:type="spellEnd"/>
      <w:r w:rsidRPr="003A1F98">
        <w:t>, </w:t>
      </w:r>
      <w:r w:rsidRPr="003A1F98">
        <w:rPr>
          <w:i/>
          <w:iCs/>
        </w:rPr>
        <w:t>47</w:t>
      </w:r>
      <w:r w:rsidRPr="003A1F98">
        <w:t>(3), 227-231.</w:t>
      </w:r>
    </w:p>
    <w:p w14:paraId="70763C52" w14:textId="77777777" w:rsidR="000F6F2A" w:rsidRDefault="000F6F2A" w:rsidP="003A1F98">
      <w:pPr>
        <w:pStyle w:val="Body"/>
        <w:spacing w:after="0"/>
      </w:pPr>
    </w:p>
    <w:p w14:paraId="629F272B" w14:textId="30C8D90B" w:rsidR="002849BE" w:rsidRDefault="002849BE" w:rsidP="003A1F98">
      <w:pPr>
        <w:pStyle w:val="Body"/>
        <w:spacing w:after="0"/>
      </w:pPr>
      <w:r w:rsidRPr="002849BE">
        <w:t xml:space="preserve">Cardoso, B. A., &amp; </w:t>
      </w:r>
      <w:proofErr w:type="spellStart"/>
      <w:r w:rsidRPr="002849BE">
        <w:t>Neparidze</w:t>
      </w:r>
      <w:proofErr w:type="spellEnd"/>
      <w:r w:rsidRPr="002849BE">
        <w:t>, N. (2025). Two decades of targeted therapies in hematology: new targets and novel combinations. </w:t>
      </w:r>
      <w:r w:rsidRPr="002849BE">
        <w:rPr>
          <w:i/>
          <w:iCs/>
        </w:rPr>
        <w:t>Frontiers in Hematology</w:t>
      </w:r>
      <w:r w:rsidRPr="002849BE">
        <w:t>, </w:t>
      </w:r>
      <w:r w:rsidRPr="002849BE">
        <w:rPr>
          <w:i/>
          <w:iCs/>
        </w:rPr>
        <w:t>4</w:t>
      </w:r>
      <w:r w:rsidRPr="002849BE">
        <w:t>, 1548984.</w:t>
      </w:r>
    </w:p>
    <w:p w14:paraId="3357FF59" w14:textId="77777777" w:rsidR="000F6F2A" w:rsidRDefault="000F6F2A" w:rsidP="003A1F98">
      <w:pPr>
        <w:pStyle w:val="Body"/>
        <w:spacing w:after="0"/>
      </w:pPr>
    </w:p>
    <w:p w14:paraId="387D403B" w14:textId="66A2AA0D" w:rsidR="000F6F2A" w:rsidRDefault="000F6F2A" w:rsidP="003A1F98">
      <w:pPr>
        <w:pStyle w:val="Body"/>
        <w:spacing w:after="0"/>
      </w:pPr>
      <w:r w:rsidRPr="000F6F2A">
        <w:t xml:space="preserve">Cone, E. B., Marchese, M., </w:t>
      </w:r>
      <w:proofErr w:type="spellStart"/>
      <w:r w:rsidRPr="000F6F2A">
        <w:t>Paciotti</w:t>
      </w:r>
      <w:proofErr w:type="spellEnd"/>
      <w:r w:rsidRPr="000F6F2A">
        <w:t>, M., Nguyen, D. D., Nabi, J., Cole, A. P., ... &amp; Trinh, Q. D. (2020). Assessment of time-to-treatment initiation and survival in a cohort of patients with common cancers. </w:t>
      </w:r>
      <w:r w:rsidRPr="000F6F2A">
        <w:rPr>
          <w:i/>
          <w:iCs/>
        </w:rPr>
        <w:t>JAMA network open</w:t>
      </w:r>
      <w:r w:rsidRPr="000F6F2A">
        <w:t>, </w:t>
      </w:r>
      <w:r w:rsidRPr="000F6F2A">
        <w:rPr>
          <w:i/>
          <w:iCs/>
        </w:rPr>
        <w:t>3</w:t>
      </w:r>
      <w:r w:rsidRPr="000F6F2A">
        <w:t>(12), e2030072-e2030072.</w:t>
      </w:r>
    </w:p>
    <w:p w14:paraId="79242DCA" w14:textId="77777777" w:rsidR="00612FEE" w:rsidRDefault="00612FEE" w:rsidP="003A1F98">
      <w:pPr>
        <w:pStyle w:val="Body"/>
        <w:spacing w:after="0"/>
      </w:pPr>
    </w:p>
    <w:p w14:paraId="4186F7EA" w14:textId="3626415F" w:rsidR="00612FEE" w:rsidRDefault="00612FEE" w:rsidP="003A1F98">
      <w:pPr>
        <w:pStyle w:val="Body"/>
        <w:spacing w:after="0"/>
      </w:pPr>
      <w:r w:rsidRPr="00612FEE">
        <w:t xml:space="preserve">Fowler, H., </w:t>
      </w:r>
      <w:proofErr w:type="spellStart"/>
      <w:r w:rsidRPr="00612FEE">
        <w:t>Belot</w:t>
      </w:r>
      <w:proofErr w:type="spellEnd"/>
      <w:r w:rsidRPr="00612FEE">
        <w:t xml:space="preserve">, A., Ellis, L., </w:t>
      </w:r>
      <w:proofErr w:type="spellStart"/>
      <w:r w:rsidRPr="00612FEE">
        <w:t>Maringe</w:t>
      </w:r>
      <w:proofErr w:type="spellEnd"/>
      <w:r w:rsidRPr="00612FEE">
        <w:t xml:space="preserve">, C., </w:t>
      </w:r>
      <w:proofErr w:type="spellStart"/>
      <w:r w:rsidRPr="00612FEE">
        <w:t>Luque</w:t>
      </w:r>
      <w:proofErr w:type="spellEnd"/>
      <w:r w:rsidRPr="00612FEE">
        <w:t xml:space="preserve">-Fernandez, M. A., </w:t>
      </w:r>
      <w:proofErr w:type="spellStart"/>
      <w:r w:rsidRPr="00612FEE">
        <w:t>Njagi</w:t>
      </w:r>
      <w:proofErr w:type="spellEnd"/>
      <w:r w:rsidRPr="00612FEE">
        <w:t>, E. N., ... &amp; Rachet, B. (2020). Comorbidity prevalence among cancer patients: a population-based cohort study of four cancers. </w:t>
      </w:r>
      <w:r w:rsidRPr="00612FEE">
        <w:rPr>
          <w:i/>
          <w:iCs/>
        </w:rPr>
        <w:t>BMC cancer</w:t>
      </w:r>
      <w:r w:rsidRPr="00612FEE">
        <w:t>, </w:t>
      </w:r>
      <w:r w:rsidRPr="00612FEE">
        <w:rPr>
          <w:i/>
          <w:iCs/>
        </w:rPr>
        <w:t>20</w:t>
      </w:r>
      <w:r w:rsidRPr="00612FEE">
        <w:t>(1), 2.</w:t>
      </w:r>
    </w:p>
    <w:p w14:paraId="50A14F93" w14:textId="77777777" w:rsidR="007B39AC" w:rsidRDefault="007B39AC" w:rsidP="003A1F98">
      <w:pPr>
        <w:pStyle w:val="Body"/>
        <w:spacing w:after="0"/>
      </w:pPr>
    </w:p>
    <w:p w14:paraId="27988B71" w14:textId="63A93573" w:rsidR="007B39AC" w:rsidRDefault="007B39AC" w:rsidP="003A1F98">
      <w:pPr>
        <w:pStyle w:val="Body"/>
        <w:spacing w:after="0"/>
      </w:pPr>
      <w:r w:rsidRPr="007B39AC">
        <w:lastRenderedPageBreak/>
        <w:t xml:space="preserve">Grimes, D. R., &amp; Fletcher, A. G. (2020). Close encounters of the cell kind: The impact of contact inhibition on </w:t>
      </w:r>
      <w:proofErr w:type="spellStart"/>
      <w:r w:rsidRPr="007B39AC">
        <w:t>tumour</w:t>
      </w:r>
      <w:proofErr w:type="spellEnd"/>
      <w:r w:rsidRPr="007B39AC">
        <w:t xml:space="preserve"> growth and cancer models. </w:t>
      </w:r>
      <w:r w:rsidRPr="007B39AC">
        <w:rPr>
          <w:i/>
          <w:iCs/>
        </w:rPr>
        <w:t>Bulletin of mathematical biology</w:t>
      </w:r>
      <w:r w:rsidRPr="007B39AC">
        <w:t>, </w:t>
      </w:r>
      <w:r w:rsidRPr="007B39AC">
        <w:rPr>
          <w:i/>
          <w:iCs/>
        </w:rPr>
        <w:t>82</w:t>
      </w:r>
      <w:r w:rsidRPr="007B39AC">
        <w:t>(2), 20.</w:t>
      </w:r>
    </w:p>
    <w:p w14:paraId="581E1BD7" w14:textId="77777777" w:rsidR="002849BE" w:rsidRPr="003A1F98" w:rsidRDefault="002849BE" w:rsidP="003A1F98">
      <w:pPr>
        <w:pStyle w:val="Body"/>
        <w:spacing w:after="0"/>
      </w:pPr>
    </w:p>
    <w:p w14:paraId="387596F0" w14:textId="77777777" w:rsidR="003A1F98" w:rsidRDefault="003A1F98" w:rsidP="003A1F98">
      <w:pPr>
        <w:pStyle w:val="Body"/>
        <w:spacing w:after="0"/>
      </w:pPr>
      <w:r w:rsidRPr="003A1F98">
        <w:t xml:space="preserve">Hanna, T. P., King, W. D., Thibodeau, S., </w:t>
      </w:r>
      <w:proofErr w:type="spellStart"/>
      <w:r w:rsidRPr="003A1F98">
        <w:t>Jalink</w:t>
      </w:r>
      <w:proofErr w:type="spellEnd"/>
      <w:r w:rsidRPr="003A1F98">
        <w:t>, M., Paulin, G. A., Harvey-Jones, E., ... &amp; Aggarwal, A. (2020). Mortality due to cancer treatment delay: systematic review and meta-analysis. </w:t>
      </w:r>
      <w:proofErr w:type="spellStart"/>
      <w:r w:rsidRPr="003A1F98">
        <w:rPr>
          <w:i/>
          <w:iCs/>
        </w:rPr>
        <w:t>bmj</w:t>
      </w:r>
      <w:proofErr w:type="spellEnd"/>
      <w:r w:rsidRPr="003A1F98">
        <w:t>, </w:t>
      </w:r>
      <w:r w:rsidRPr="003A1F98">
        <w:rPr>
          <w:i/>
          <w:iCs/>
        </w:rPr>
        <w:t>371</w:t>
      </w:r>
      <w:r w:rsidRPr="003A1F98">
        <w:t>.</w:t>
      </w:r>
    </w:p>
    <w:p w14:paraId="45AAA062" w14:textId="77777777" w:rsidR="002849BE" w:rsidRPr="003A1F98" w:rsidRDefault="002849BE" w:rsidP="003A1F98">
      <w:pPr>
        <w:pStyle w:val="Body"/>
        <w:spacing w:after="0"/>
      </w:pPr>
    </w:p>
    <w:p w14:paraId="122C3B40" w14:textId="77777777" w:rsidR="003A1F98" w:rsidRDefault="003A1F98" w:rsidP="003A1F98">
      <w:pPr>
        <w:pStyle w:val="Body"/>
        <w:spacing w:after="0"/>
      </w:pPr>
      <w:r w:rsidRPr="003A1F98">
        <w:t>Hess, L. M., Li, X., Wu, Y., Goodloe, R. J., &amp; Cui, Z. L. (2021). Defining treatment regimens and lines of therapy using real-world data in oncology. </w:t>
      </w:r>
      <w:r w:rsidRPr="003A1F98">
        <w:rPr>
          <w:i/>
          <w:iCs/>
        </w:rPr>
        <w:t>Future Oncology</w:t>
      </w:r>
      <w:r w:rsidRPr="003A1F98">
        <w:t>, </w:t>
      </w:r>
      <w:r w:rsidRPr="003A1F98">
        <w:rPr>
          <w:i/>
          <w:iCs/>
        </w:rPr>
        <w:t>17</w:t>
      </w:r>
      <w:r w:rsidRPr="003A1F98">
        <w:t>(15), 1865-1877.</w:t>
      </w:r>
    </w:p>
    <w:p w14:paraId="6F8FC3EC" w14:textId="77777777" w:rsidR="00D74EA7" w:rsidRDefault="00D74EA7" w:rsidP="003A1F98">
      <w:pPr>
        <w:pStyle w:val="Body"/>
        <w:spacing w:after="0"/>
      </w:pPr>
    </w:p>
    <w:p w14:paraId="0D21D479" w14:textId="0512D9F6" w:rsidR="00D74EA7" w:rsidRDefault="00D74EA7" w:rsidP="003A1F98">
      <w:pPr>
        <w:pStyle w:val="Body"/>
        <w:spacing w:after="0"/>
      </w:pPr>
      <w:r w:rsidRPr="00D74EA7">
        <w:t xml:space="preserve">Howell, D. A., McCaughan, D., Smith, A. G., Patmore, R., &amp; Roman, E. (2022). Incurable but treatable: Understanding, uncertainty and impact in chronic blood cancers—A qualitative study from the UK’s </w:t>
      </w:r>
      <w:proofErr w:type="spellStart"/>
      <w:r w:rsidRPr="00D74EA7">
        <w:t>Haematological</w:t>
      </w:r>
      <w:proofErr w:type="spellEnd"/>
      <w:r w:rsidRPr="00D74EA7">
        <w:t xml:space="preserve"> Malignancy Research Network. </w:t>
      </w:r>
      <w:proofErr w:type="spellStart"/>
      <w:r w:rsidRPr="00D74EA7">
        <w:rPr>
          <w:i/>
          <w:iCs/>
        </w:rPr>
        <w:t>PLoS</w:t>
      </w:r>
      <w:proofErr w:type="spellEnd"/>
      <w:r w:rsidRPr="00D74EA7">
        <w:rPr>
          <w:i/>
          <w:iCs/>
        </w:rPr>
        <w:t xml:space="preserve"> One</w:t>
      </w:r>
      <w:r w:rsidRPr="00D74EA7">
        <w:t>, </w:t>
      </w:r>
      <w:r w:rsidRPr="00D74EA7">
        <w:rPr>
          <w:i/>
          <w:iCs/>
        </w:rPr>
        <w:t>17</w:t>
      </w:r>
      <w:r w:rsidRPr="00D74EA7">
        <w:t>(2), e0263672.</w:t>
      </w:r>
    </w:p>
    <w:p w14:paraId="7366C6D5" w14:textId="77777777" w:rsidR="00BC2C48" w:rsidRDefault="00BC2C48" w:rsidP="003A1F98">
      <w:pPr>
        <w:pStyle w:val="Body"/>
        <w:spacing w:after="0"/>
      </w:pPr>
    </w:p>
    <w:p w14:paraId="5A41F62B" w14:textId="56057997" w:rsidR="00BC2C48" w:rsidRDefault="00BC2C48" w:rsidP="003A1F98">
      <w:pPr>
        <w:pStyle w:val="Body"/>
        <w:spacing w:after="0"/>
      </w:pPr>
      <w:proofErr w:type="spellStart"/>
      <w:r w:rsidRPr="00BC2C48">
        <w:t>Khankeh</w:t>
      </w:r>
      <w:proofErr w:type="spellEnd"/>
      <w:r w:rsidRPr="00BC2C48">
        <w:t xml:space="preserve">, H. R., </w:t>
      </w:r>
      <w:proofErr w:type="spellStart"/>
      <w:r w:rsidRPr="00BC2C48">
        <w:t>Vojdani</w:t>
      </w:r>
      <w:proofErr w:type="spellEnd"/>
      <w:r w:rsidRPr="00BC2C48">
        <w:t xml:space="preserve">, R., Saber, M., &amp; </w:t>
      </w:r>
      <w:proofErr w:type="spellStart"/>
      <w:r w:rsidRPr="00BC2C48">
        <w:t>Imanieh</w:t>
      </w:r>
      <w:proofErr w:type="spellEnd"/>
      <w:r w:rsidRPr="00BC2C48">
        <w:t xml:space="preserve">, M. (2023). How do cancer patients refuse treatment? A grounded theory </w:t>
      </w:r>
      <w:proofErr w:type="gramStart"/>
      <w:r w:rsidRPr="00BC2C48">
        <w:t>study</w:t>
      </w:r>
      <w:proofErr w:type="gramEnd"/>
      <w:r w:rsidRPr="00BC2C48">
        <w:t>. </w:t>
      </w:r>
      <w:r w:rsidRPr="00BC2C48">
        <w:rPr>
          <w:i/>
          <w:iCs/>
        </w:rPr>
        <w:t>BMC Palliative Care</w:t>
      </w:r>
      <w:r w:rsidRPr="00BC2C48">
        <w:t>, </w:t>
      </w:r>
      <w:r w:rsidRPr="00BC2C48">
        <w:rPr>
          <w:i/>
          <w:iCs/>
        </w:rPr>
        <w:t>22</w:t>
      </w:r>
      <w:r w:rsidRPr="00BC2C48">
        <w:t>(1), 10.</w:t>
      </w:r>
    </w:p>
    <w:p w14:paraId="693D56EB" w14:textId="77777777" w:rsidR="002D0676" w:rsidRDefault="002D0676" w:rsidP="003A1F98">
      <w:pPr>
        <w:pStyle w:val="Body"/>
        <w:spacing w:after="0"/>
      </w:pPr>
    </w:p>
    <w:p w14:paraId="2D8C9239" w14:textId="5E67A283" w:rsidR="00C13BFE" w:rsidRPr="00C13BFE" w:rsidRDefault="00C13BFE" w:rsidP="00C13BFE">
      <w:pPr>
        <w:pStyle w:val="Body"/>
      </w:pPr>
      <w:proofErr w:type="spellStart"/>
      <w:r w:rsidRPr="00C13BFE">
        <w:t>Karnwal</w:t>
      </w:r>
      <w:proofErr w:type="spellEnd"/>
      <w:r w:rsidRPr="00C13BFE">
        <w:t>, A., Dutta, J., Al-</w:t>
      </w:r>
      <w:proofErr w:type="spellStart"/>
      <w:r w:rsidRPr="00C13BFE">
        <w:t>Tawaha</w:t>
      </w:r>
      <w:proofErr w:type="spellEnd"/>
      <w:r w:rsidRPr="00C13BFE">
        <w:t xml:space="preserve">, A. R. M. S., &amp; </w:t>
      </w:r>
      <w:proofErr w:type="spellStart"/>
      <w:r w:rsidRPr="00C13BFE">
        <w:t>Nesterova</w:t>
      </w:r>
      <w:proofErr w:type="spellEnd"/>
      <w:r w:rsidRPr="00C13BFE">
        <w:t>, N. (2025). Genetic landscape of cancer: mechanisms, key genes, and therapeutic implications. </w:t>
      </w:r>
      <w:r w:rsidRPr="00C13BFE">
        <w:rPr>
          <w:i/>
          <w:iCs/>
        </w:rPr>
        <w:t>Clinical and Translational Oncology</w:t>
      </w:r>
      <w:r w:rsidRPr="00C13BFE">
        <w:t>, 1-22.</w:t>
      </w:r>
    </w:p>
    <w:p w14:paraId="14D705D7" w14:textId="3E2A023D" w:rsidR="00C13BFE" w:rsidRPr="00C13BFE" w:rsidRDefault="00C13BFE" w:rsidP="00C13BFE">
      <w:pPr>
        <w:pStyle w:val="Body"/>
      </w:pPr>
      <w:proofErr w:type="spellStart"/>
      <w:r w:rsidRPr="00C13BFE">
        <w:t>Korubo</w:t>
      </w:r>
      <w:proofErr w:type="spellEnd"/>
      <w:r w:rsidRPr="00C13BFE">
        <w:t xml:space="preserve">, K. I., Okoye, H. C., &amp; </w:t>
      </w:r>
      <w:proofErr w:type="spellStart"/>
      <w:r w:rsidRPr="00C13BFE">
        <w:t>Efobi</w:t>
      </w:r>
      <w:proofErr w:type="spellEnd"/>
      <w:r w:rsidRPr="00C13BFE">
        <w:t>, C. C. (2018). The economic burden of malignant and premalignant hematological diseases in Southern Nigeria. </w:t>
      </w:r>
      <w:r w:rsidRPr="00C13BFE">
        <w:rPr>
          <w:i/>
          <w:iCs/>
        </w:rPr>
        <w:t>Nigerian Journal of Clinical Practice</w:t>
      </w:r>
      <w:r w:rsidRPr="00C13BFE">
        <w:t>, </w:t>
      </w:r>
      <w:r w:rsidRPr="00C13BFE">
        <w:rPr>
          <w:i/>
          <w:iCs/>
        </w:rPr>
        <w:t>21</w:t>
      </w:r>
      <w:r w:rsidRPr="00C13BFE">
        <w:t>(11), 1396-1402.</w:t>
      </w:r>
    </w:p>
    <w:p w14:paraId="7DA93CFA" w14:textId="70EC1E7C" w:rsidR="00C13BFE" w:rsidRPr="00C13BFE" w:rsidRDefault="00C13BFE" w:rsidP="00C13BFE">
      <w:pPr>
        <w:pStyle w:val="Body"/>
      </w:pPr>
      <w:proofErr w:type="spellStart"/>
      <w:r w:rsidRPr="00C13BFE">
        <w:t>Korubo</w:t>
      </w:r>
      <w:proofErr w:type="spellEnd"/>
      <w:r w:rsidRPr="00C13BFE">
        <w:t xml:space="preserve">, K. I., Dublin-Green, L. A., </w:t>
      </w:r>
      <w:proofErr w:type="spellStart"/>
      <w:r w:rsidRPr="00C13BFE">
        <w:t>Uku</w:t>
      </w:r>
      <w:proofErr w:type="spellEnd"/>
      <w:r w:rsidRPr="00C13BFE">
        <w:t xml:space="preserve">, P., Mary-Anne, O. N., </w:t>
      </w:r>
      <w:proofErr w:type="spellStart"/>
      <w:r w:rsidRPr="00C13BFE">
        <w:t>Maduka</w:t>
      </w:r>
      <w:proofErr w:type="spellEnd"/>
      <w:r w:rsidRPr="00C13BFE">
        <w:t xml:space="preserve">, A. D., </w:t>
      </w:r>
      <w:proofErr w:type="spellStart"/>
      <w:r w:rsidRPr="00C13BFE">
        <w:t>Wobo</w:t>
      </w:r>
      <w:proofErr w:type="spellEnd"/>
      <w:r w:rsidRPr="00C13BFE">
        <w:t xml:space="preserve">, E., ... &amp; </w:t>
      </w:r>
      <w:proofErr w:type="spellStart"/>
      <w:r w:rsidRPr="00C13BFE">
        <w:t>Eze</w:t>
      </w:r>
      <w:proofErr w:type="spellEnd"/>
      <w:r w:rsidRPr="00C13BFE">
        <w:t xml:space="preserve">, C. E. (2025). Challenges in Managing Adult Acute Lymphoblastic </w:t>
      </w:r>
      <w:proofErr w:type="spellStart"/>
      <w:r w:rsidRPr="00C13BFE">
        <w:t>Leukaemia</w:t>
      </w:r>
      <w:proofErr w:type="spellEnd"/>
      <w:r w:rsidRPr="00C13BFE">
        <w:t>: A Case Series from a Resource-constrained Environment. </w:t>
      </w:r>
      <w:r w:rsidRPr="00C13BFE">
        <w:rPr>
          <w:i/>
          <w:iCs/>
        </w:rPr>
        <w:t>International Journal of Research and Reports in Hematology</w:t>
      </w:r>
      <w:r w:rsidRPr="00C13BFE">
        <w:t>, </w:t>
      </w:r>
      <w:r w:rsidRPr="00C13BFE">
        <w:rPr>
          <w:i/>
          <w:iCs/>
        </w:rPr>
        <w:t>8</w:t>
      </w:r>
      <w:r w:rsidRPr="00C13BFE">
        <w:t>(1), 174-184.</w:t>
      </w:r>
    </w:p>
    <w:p w14:paraId="5775C34E" w14:textId="0CC807F4" w:rsidR="00C13BFE" w:rsidRPr="00C13BFE" w:rsidRDefault="00C13BFE" w:rsidP="00C13BFE">
      <w:pPr>
        <w:pStyle w:val="Body"/>
      </w:pPr>
      <w:proofErr w:type="spellStart"/>
      <w:r w:rsidRPr="00C13BFE">
        <w:t>Korubo</w:t>
      </w:r>
      <w:proofErr w:type="spellEnd"/>
      <w:r w:rsidRPr="00C13BFE">
        <w:t xml:space="preserve">, K. I., </w:t>
      </w:r>
      <w:proofErr w:type="spellStart"/>
      <w:r w:rsidRPr="00C13BFE">
        <w:t>Maduka</w:t>
      </w:r>
      <w:proofErr w:type="spellEnd"/>
      <w:r w:rsidRPr="00C13BFE">
        <w:t xml:space="preserve">, A. D., </w:t>
      </w:r>
      <w:proofErr w:type="spellStart"/>
      <w:r w:rsidRPr="00C13BFE">
        <w:t>Wobo</w:t>
      </w:r>
      <w:proofErr w:type="spellEnd"/>
      <w:r w:rsidRPr="00C13BFE">
        <w:t xml:space="preserve">, E., </w:t>
      </w:r>
      <w:proofErr w:type="spellStart"/>
      <w:r w:rsidRPr="00C13BFE">
        <w:t>Ekeh</w:t>
      </w:r>
      <w:proofErr w:type="spellEnd"/>
      <w:r w:rsidRPr="00C13BFE">
        <w:t xml:space="preserve">, G., </w:t>
      </w:r>
      <w:proofErr w:type="spellStart"/>
      <w:r w:rsidRPr="00C13BFE">
        <w:t>Omunakwe</w:t>
      </w:r>
      <w:proofErr w:type="spellEnd"/>
      <w:r w:rsidRPr="00C13BFE">
        <w:t xml:space="preserve">, H. E., Dublin-Green, L. A., &amp; </w:t>
      </w:r>
      <w:proofErr w:type="spellStart"/>
      <w:r w:rsidRPr="00C13BFE">
        <w:t>Nwauche</w:t>
      </w:r>
      <w:proofErr w:type="spellEnd"/>
      <w:r w:rsidRPr="00C13BFE">
        <w:t>, C. A. (2025). Acute Myeloid Leukemia: To Treat or Not to Treat–Experience from a Resource-limited Setting. </w:t>
      </w:r>
      <w:r w:rsidRPr="00C13BFE">
        <w:rPr>
          <w:i/>
          <w:iCs/>
        </w:rPr>
        <w:t>Journal of Applied Hematology</w:t>
      </w:r>
      <w:r w:rsidRPr="00C13BFE">
        <w:t>, </w:t>
      </w:r>
      <w:r w:rsidRPr="00C13BFE">
        <w:rPr>
          <w:i/>
          <w:iCs/>
        </w:rPr>
        <w:t>16</w:t>
      </w:r>
      <w:r w:rsidRPr="00C13BFE">
        <w:t>(1), 33-37.</w:t>
      </w:r>
    </w:p>
    <w:p w14:paraId="5BD2697E" w14:textId="77777777" w:rsidR="00C13BFE" w:rsidRPr="00C13BFE" w:rsidRDefault="00C13BFE" w:rsidP="00C13BFE">
      <w:pPr>
        <w:pStyle w:val="Body"/>
      </w:pPr>
      <w:proofErr w:type="spellStart"/>
      <w:r w:rsidRPr="00C13BFE">
        <w:t>Malyukova</w:t>
      </w:r>
      <w:proofErr w:type="spellEnd"/>
      <w:r w:rsidRPr="00C13BFE">
        <w:t xml:space="preserve">, A., </w:t>
      </w:r>
      <w:proofErr w:type="spellStart"/>
      <w:r w:rsidRPr="00C13BFE">
        <w:t>Lahnalampi</w:t>
      </w:r>
      <w:proofErr w:type="spellEnd"/>
      <w:r w:rsidRPr="00C13BFE">
        <w:t xml:space="preserve">, M., </w:t>
      </w:r>
      <w:proofErr w:type="spellStart"/>
      <w:r w:rsidRPr="00C13BFE">
        <w:t>Falqués</w:t>
      </w:r>
      <w:proofErr w:type="spellEnd"/>
      <w:r w:rsidRPr="00C13BFE">
        <w:t xml:space="preserve">-Costa, T., </w:t>
      </w:r>
      <w:proofErr w:type="spellStart"/>
      <w:r w:rsidRPr="00C13BFE">
        <w:t>Pölönen</w:t>
      </w:r>
      <w:proofErr w:type="spellEnd"/>
      <w:r w:rsidRPr="00C13BFE">
        <w:t xml:space="preserve">, P., </w:t>
      </w:r>
      <w:proofErr w:type="spellStart"/>
      <w:r w:rsidRPr="00C13BFE">
        <w:t>Sipola</w:t>
      </w:r>
      <w:proofErr w:type="spellEnd"/>
      <w:r w:rsidRPr="00C13BFE">
        <w:t xml:space="preserve">, M., </w:t>
      </w:r>
      <w:proofErr w:type="spellStart"/>
      <w:r w:rsidRPr="00C13BFE">
        <w:t>Mehtonen</w:t>
      </w:r>
      <w:proofErr w:type="spellEnd"/>
      <w:r w:rsidRPr="00C13BFE">
        <w:t xml:space="preserve">, J., ... &amp; </w:t>
      </w:r>
      <w:proofErr w:type="spellStart"/>
      <w:r w:rsidRPr="00C13BFE">
        <w:t>Sangfelt</w:t>
      </w:r>
      <w:proofErr w:type="spellEnd"/>
      <w:r w:rsidRPr="00C13BFE">
        <w:t>, O. (2024). Sequential drug treatment targeting cell cycle and cell fate regulatory programs blocks non-genetic cancer evolution in acute lymphoblastic leukemia. </w:t>
      </w:r>
      <w:r w:rsidRPr="00C13BFE">
        <w:rPr>
          <w:i/>
          <w:iCs/>
        </w:rPr>
        <w:t>Genome Biology</w:t>
      </w:r>
      <w:r w:rsidRPr="00C13BFE">
        <w:t>, </w:t>
      </w:r>
      <w:r w:rsidRPr="00C13BFE">
        <w:rPr>
          <w:i/>
          <w:iCs/>
        </w:rPr>
        <w:t>25</w:t>
      </w:r>
      <w:r w:rsidRPr="00C13BFE">
        <w:t>(1), 143.</w:t>
      </w:r>
    </w:p>
    <w:p w14:paraId="3225DEAA" w14:textId="77777777" w:rsidR="00C13BFE" w:rsidRPr="00C13BFE" w:rsidRDefault="00C13BFE" w:rsidP="00C13BFE">
      <w:pPr>
        <w:pStyle w:val="Body"/>
      </w:pPr>
    </w:p>
    <w:p w14:paraId="1F620FFD" w14:textId="1A779FA1" w:rsidR="00C13BFE" w:rsidRDefault="00C13BFE" w:rsidP="00C13BFE">
      <w:pPr>
        <w:pStyle w:val="Body"/>
      </w:pPr>
      <w:proofErr w:type="spellStart"/>
      <w:r w:rsidRPr="00C13BFE">
        <w:t>Mirzayans</w:t>
      </w:r>
      <w:proofErr w:type="spellEnd"/>
      <w:r w:rsidRPr="00C13BFE">
        <w:t>, R. (2024). When therapy-induced cancer cell apoptosis fuels tumor relapse. </w:t>
      </w:r>
      <w:proofErr w:type="spellStart"/>
      <w:r w:rsidRPr="00C13BFE">
        <w:rPr>
          <w:i/>
          <w:iCs/>
        </w:rPr>
        <w:t>Onco</w:t>
      </w:r>
      <w:proofErr w:type="spellEnd"/>
      <w:r w:rsidRPr="00C13BFE">
        <w:t>, </w:t>
      </w:r>
      <w:r w:rsidRPr="00C13BFE">
        <w:rPr>
          <w:i/>
          <w:iCs/>
        </w:rPr>
        <w:t>4</w:t>
      </w:r>
      <w:r w:rsidRPr="00C13BFE">
        <w:t>(1), 37-45.</w:t>
      </w:r>
    </w:p>
    <w:p w14:paraId="591FEFA4" w14:textId="5BD36802" w:rsidR="0085330F" w:rsidRPr="00C13BFE" w:rsidRDefault="0085330F" w:rsidP="00C13BFE">
      <w:pPr>
        <w:pStyle w:val="Body"/>
      </w:pPr>
      <w:r w:rsidRPr="0085330F">
        <w:t>MUHAMMAD, D., EFE, O., IFEANYICHUKWU, N., &amp; IPHIEROOGHENE, O. (2025). MOLECULAR TARGETED THERAPY IN PATIENTS WITH HAEMATOLOGICAL MALIGNANCIES SEEN AT A SUBURBAN TEACHING HOSPITAL IN THE SOUTH-SOUTH REGION OF NIGERIA. </w:t>
      </w:r>
      <w:r w:rsidRPr="0085330F">
        <w:rPr>
          <w:i/>
          <w:iCs/>
        </w:rPr>
        <w:t xml:space="preserve">SAUDI JOURNAL OF MEDICINE </w:t>
      </w:r>
      <w:proofErr w:type="spellStart"/>
      <w:r w:rsidRPr="0085330F">
        <w:rPr>
          <w:i/>
          <w:iCs/>
        </w:rPr>
        <w:t>Учредители</w:t>
      </w:r>
      <w:proofErr w:type="spellEnd"/>
      <w:r w:rsidRPr="0085330F">
        <w:rPr>
          <w:i/>
          <w:iCs/>
        </w:rPr>
        <w:t>: SASPR Edu International Pvt. Ltd</w:t>
      </w:r>
      <w:r w:rsidRPr="0085330F">
        <w:t>, </w:t>
      </w:r>
      <w:r w:rsidRPr="0085330F">
        <w:rPr>
          <w:i/>
          <w:iCs/>
        </w:rPr>
        <w:t>10</w:t>
      </w:r>
      <w:r w:rsidRPr="0085330F">
        <w:t>(03), 89-94.</w:t>
      </w:r>
    </w:p>
    <w:p w14:paraId="3777FFC4" w14:textId="70A81F25" w:rsidR="00C13BFE" w:rsidRPr="00C13BFE" w:rsidRDefault="00C13BFE" w:rsidP="00C13BFE">
      <w:pPr>
        <w:pStyle w:val="Body"/>
      </w:pPr>
      <w:proofErr w:type="spellStart"/>
      <w:r w:rsidRPr="00C13BFE">
        <w:lastRenderedPageBreak/>
        <w:t>Mullangi</w:t>
      </w:r>
      <w:proofErr w:type="spellEnd"/>
      <w:r w:rsidRPr="00C13BFE">
        <w:t xml:space="preserve">, S., </w:t>
      </w:r>
      <w:proofErr w:type="spellStart"/>
      <w:r w:rsidRPr="00C13BFE">
        <w:t>Aviki</w:t>
      </w:r>
      <w:proofErr w:type="spellEnd"/>
      <w:r w:rsidRPr="00C13BFE">
        <w:t>, E. M., Chen, Y., Robson, M., &amp; Hershman, D. L. (2022). Factors associated with cancer treatment delay among patients diagnosed with COVID-19. </w:t>
      </w:r>
      <w:r w:rsidRPr="00C13BFE">
        <w:rPr>
          <w:i/>
          <w:iCs/>
        </w:rPr>
        <w:t>JAMA network Open</w:t>
      </w:r>
      <w:r w:rsidRPr="00C13BFE">
        <w:t>, </w:t>
      </w:r>
      <w:r w:rsidRPr="00C13BFE">
        <w:rPr>
          <w:i/>
          <w:iCs/>
        </w:rPr>
        <w:t>5</w:t>
      </w:r>
      <w:r w:rsidRPr="00C13BFE">
        <w:t>(7), e2224296-e2224296.</w:t>
      </w:r>
    </w:p>
    <w:p w14:paraId="78E5542B" w14:textId="60411925" w:rsidR="00D75217" w:rsidRPr="003A1F98" w:rsidRDefault="00C13BFE" w:rsidP="00C13BFE">
      <w:pPr>
        <w:pStyle w:val="Body"/>
      </w:pPr>
      <w:r w:rsidRPr="00C13BFE">
        <w:t xml:space="preserve">Nelson, E. A., Ahmed, I. O., </w:t>
      </w:r>
      <w:proofErr w:type="spellStart"/>
      <w:r w:rsidRPr="00C13BFE">
        <w:t>Bolarinwa</w:t>
      </w:r>
      <w:proofErr w:type="spellEnd"/>
      <w:r w:rsidRPr="00C13BFE">
        <w:t xml:space="preserve">, R. A., </w:t>
      </w:r>
      <w:proofErr w:type="spellStart"/>
      <w:r w:rsidRPr="00C13BFE">
        <w:t>Adeagbo</w:t>
      </w:r>
      <w:proofErr w:type="spellEnd"/>
      <w:r w:rsidRPr="00C13BFE">
        <w:t xml:space="preserve">, B. A., </w:t>
      </w:r>
      <w:proofErr w:type="spellStart"/>
      <w:r w:rsidRPr="00C13BFE">
        <w:t>Adegbola</w:t>
      </w:r>
      <w:proofErr w:type="spellEnd"/>
      <w:r w:rsidRPr="00C13BFE">
        <w:t xml:space="preserve">, A. J., </w:t>
      </w:r>
      <w:proofErr w:type="spellStart"/>
      <w:r w:rsidRPr="00C13BFE">
        <w:t>Salawu</w:t>
      </w:r>
      <w:proofErr w:type="spellEnd"/>
      <w:r w:rsidRPr="00C13BFE">
        <w:t xml:space="preserve">, L., ... &amp; </w:t>
      </w:r>
      <w:proofErr w:type="spellStart"/>
      <w:r w:rsidRPr="00C13BFE">
        <w:t>Durosinmi</w:t>
      </w:r>
      <w:proofErr w:type="spellEnd"/>
      <w:r w:rsidRPr="00C13BFE">
        <w:t xml:space="preserve">, M. A. (2024). Late presentation of chronic myeloid </w:t>
      </w:r>
      <w:proofErr w:type="spellStart"/>
      <w:r w:rsidRPr="00C13BFE">
        <w:t>leukaemia</w:t>
      </w:r>
      <w:proofErr w:type="spellEnd"/>
      <w:r w:rsidRPr="00C13BFE">
        <w:t xml:space="preserve"> patients in a low-income country: the prognostic implications and impact on treatment outcome. </w:t>
      </w:r>
      <w:r w:rsidRPr="00C13BFE">
        <w:rPr>
          <w:i/>
          <w:iCs/>
        </w:rPr>
        <w:t>BMC Research Notes</w:t>
      </w:r>
      <w:r w:rsidRPr="00C13BFE">
        <w:t>, </w:t>
      </w:r>
      <w:r w:rsidRPr="00C13BFE">
        <w:rPr>
          <w:i/>
          <w:iCs/>
        </w:rPr>
        <w:t>17</w:t>
      </w:r>
      <w:r w:rsidRPr="00C13BFE">
        <w:t>(1), 245.</w:t>
      </w:r>
    </w:p>
    <w:p w14:paraId="45E9B35B" w14:textId="77777777" w:rsidR="003A1F98" w:rsidRDefault="003A1F98" w:rsidP="003A1F98">
      <w:pPr>
        <w:pStyle w:val="Body"/>
        <w:spacing w:after="0"/>
      </w:pPr>
      <w:r w:rsidRPr="003A1F98">
        <w:t>Li, Z., Chen, G., &amp; Du, G. (2025). Global, regional, and national economic burden of hematologic malignancies (1990–2021) with projections to 2050. </w:t>
      </w:r>
      <w:r w:rsidRPr="003A1F98">
        <w:rPr>
          <w:i/>
          <w:iCs/>
        </w:rPr>
        <w:t>Frontiers in Public Health</w:t>
      </w:r>
      <w:r w:rsidRPr="003A1F98">
        <w:t>, </w:t>
      </w:r>
      <w:r w:rsidRPr="003A1F98">
        <w:rPr>
          <w:i/>
          <w:iCs/>
        </w:rPr>
        <w:t>13</w:t>
      </w:r>
      <w:r w:rsidRPr="003A1F98">
        <w:t>, 1570792.</w:t>
      </w:r>
    </w:p>
    <w:p w14:paraId="4F54D4D0" w14:textId="77777777" w:rsidR="00520308" w:rsidRPr="003A1F98" w:rsidRDefault="00520308" w:rsidP="003A1F98">
      <w:pPr>
        <w:pStyle w:val="Body"/>
        <w:spacing w:after="0"/>
      </w:pPr>
    </w:p>
    <w:p w14:paraId="3192913C" w14:textId="77777777" w:rsidR="003A1F98" w:rsidRDefault="003A1F98" w:rsidP="003A1F98">
      <w:pPr>
        <w:pStyle w:val="Body"/>
        <w:spacing w:after="0"/>
      </w:pPr>
      <w:proofErr w:type="spellStart"/>
      <w:r w:rsidRPr="003A1F98">
        <w:t>Obu</w:t>
      </w:r>
      <w:proofErr w:type="spellEnd"/>
      <w:r w:rsidRPr="003A1F98">
        <w:t xml:space="preserve">, S. I., </w:t>
      </w:r>
      <w:proofErr w:type="spellStart"/>
      <w:r w:rsidRPr="003A1F98">
        <w:t>Dibigbo</w:t>
      </w:r>
      <w:proofErr w:type="spellEnd"/>
      <w:r w:rsidRPr="003A1F98">
        <w:t>–</w:t>
      </w:r>
      <w:proofErr w:type="spellStart"/>
      <w:r w:rsidRPr="003A1F98">
        <w:t>Ibeaji</w:t>
      </w:r>
      <w:proofErr w:type="spellEnd"/>
      <w:r w:rsidRPr="003A1F98">
        <w:t xml:space="preserve">, N., </w:t>
      </w:r>
      <w:proofErr w:type="spellStart"/>
      <w:r w:rsidRPr="003A1F98">
        <w:t>Obu</w:t>
      </w:r>
      <w:proofErr w:type="spellEnd"/>
      <w:r w:rsidRPr="003A1F98">
        <w:t xml:space="preserve">, G. O., &amp; </w:t>
      </w:r>
      <w:proofErr w:type="spellStart"/>
      <w:r w:rsidRPr="003A1F98">
        <w:t>Ilikannu</w:t>
      </w:r>
      <w:proofErr w:type="spellEnd"/>
      <w:r w:rsidRPr="003A1F98">
        <w:t>, S. O. (2024). Diagnostic Challenges in Hematological Malignancies in Nigeria and their Impact on Treatment Outcome. </w:t>
      </w:r>
      <w:r w:rsidRPr="003A1F98">
        <w:rPr>
          <w:i/>
          <w:iCs/>
        </w:rPr>
        <w:t>International Blood Research &amp; Reviews</w:t>
      </w:r>
      <w:r w:rsidRPr="003A1F98">
        <w:t>, </w:t>
      </w:r>
      <w:r w:rsidRPr="003A1F98">
        <w:rPr>
          <w:i/>
          <w:iCs/>
        </w:rPr>
        <w:t>15</w:t>
      </w:r>
      <w:r w:rsidRPr="003A1F98">
        <w:t>(4), 8-15.</w:t>
      </w:r>
    </w:p>
    <w:p w14:paraId="670110E9" w14:textId="77777777" w:rsidR="00D75217" w:rsidRPr="003A1F98" w:rsidRDefault="00D75217" w:rsidP="003A1F98">
      <w:pPr>
        <w:pStyle w:val="Body"/>
        <w:spacing w:after="0"/>
      </w:pPr>
    </w:p>
    <w:p w14:paraId="5EDA8934" w14:textId="77777777" w:rsidR="003A1F98" w:rsidRDefault="003A1F98" w:rsidP="003A1F98">
      <w:pPr>
        <w:pStyle w:val="Body"/>
        <w:spacing w:after="0"/>
      </w:pPr>
      <w:proofErr w:type="spellStart"/>
      <w:r w:rsidRPr="003A1F98">
        <w:t>Ochei</w:t>
      </w:r>
      <w:proofErr w:type="spellEnd"/>
      <w:r w:rsidRPr="003A1F98">
        <w:t xml:space="preserve">, L. C., Okocha, C. E., &amp; </w:t>
      </w:r>
      <w:proofErr w:type="spellStart"/>
      <w:r w:rsidRPr="003A1F98">
        <w:t>Ochei</w:t>
      </w:r>
      <w:proofErr w:type="spellEnd"/>
      <w:r w:rsidRPr="003A1F98">
        <w:t xml:space="preserve">, U. M. (2021). The frequency and pattern of </w:t>
      </w:r>
      <w:proofErr w:type="spellStart"/>
      <w:r w:rsidRPr="003A1F98">
        <w:t>haematological</w:t>
      </w:r>
      <w:proofErr w:type="spellEnd"/>
      <w:r w:rsidRPr="003A1F98">
        <w:t xml:space="preserve"> malignancies in a tertiary hospital in Abuja, Federal Capital Territory, North-Central Nigeria: A sixteen-year review. IOSR Journal of Dental and Medical Sciences, 20(5), 38–44. </w:t>
      </w:r>
    </w:p>
    <w:p w14:paraId="59B6F257" w14:textId="77777777" w:rsidR="002D0676" w:rsidRDefault="002D0676" w:rsidP="003A1F98">
      <w:pPr>
        <w:pStyle w:val="Body"/>
        <w:spacing w:after="0"/>
      </w:pPr>
    </w:p>
    <w:p w14:paraId="34850D17" w14:textId="1A255313" w:rsidR="002D0676" w:rsidRDefault="002D0676" w:rsidP="003A1F98">
      <w:pPr>
        <w:pStyle w:val="Body"/>
        <w:spacing w:after="0"/>
      </w:pPr>
      <w:r w:rsidRPr="002D0676">
        <w:t xml:space="preserve">Ola, I. O., </w:t>
      </w:r>
      <w:proofErr w:type="spellStart"/>
      <w:r w:rsidRPr="002D0676">
        <w:t>Okunowo</w:t>
      </w:r>
      <w:proofErr w:type="spellEnd"/>
      <w:r w:rsidRPr="002D0676">
        <w:t xml:space="preserve">, A. A., &amp; </w:t>
      </w:r>
      <w:proofErr w:type="spellStart"/>
      <w:r w:rsidRPr="002D0676">
        <w:t>Habeebu</w:t>
      </w:r>
      <w:proofErr w:type="spellEnd"/>
      <w:r w:rsidRPr="002D0676">
        <w:t>, M. Y. (2025). Mortality risk stratification based on comorbidity status among cervical cancer patients in Lagos, Nigeria. </w:t>
      </w:r>
      <w:r w:rsidRPr="002D0676">
        <w:rPr>
          <w:i/>
          <w:iCs/>
        </w:rPr>
        <w:t>International Health</w:t>
      </w:r>
      <w:r w:rsidRPr="002D0676">
        <w:t>, ihaf008.</w:t>
      </w:r>
    </w:p>
    <w:p w14:paraId="2887C13A" w14:textId="77777777" w:rsidR="003B7DAD" w:rsidRDefault="003B7DAD" w:rsidP="003A1F98">
      <w:pPr>
        <w:pStyle w:val="Body"/>
        <w:spacing w:after="0"/>
      </w:pPr>
    </w:p>
    <w:p w14:paraId="60849385" w14:textId="10E64AFF" w:rsidR="00BC0834" w:rsidRDefault="00BC0834" w:rsidP="003A1F98">
      <w:pPr>
        <w:pStyle w:val="Body"/>
        <w:spacing w:after="0"/>
      </w:pPr>
      <w:proofErr w:type="spellStart"/>
      <w:r w:rsidRPr="00BC0834">
        <w:t>Salako</w:t>
      </w:r>
      <w:proofErr w:type="spellEnd"/>
      <w:r w:rsidRPr="00BC0834">
        <w:t xml:space="preserve">, O., </w:t>
      </w:r>
      <w:proofErr w:type="spellStart"/>
      <w:r w:rsidRPr="00BC0834">
        <w:t>Okediji</w:t>
      </w:r>
      <w:proofErr w:type="spellEnd"/>
      <w:r w:rsidRPr="00BC0834">
        <w:t xml:space="preserve">, P. T., </w:t>
      </w:r>
      <w:proofErr w:type="spellStart"/>
      <w:r w:rsidRPr="00BC0834">
        <w:t>Habeebu</w:t>
      </w:r>
      <w:proofErr w:type="spellEnd"/>
      <w:r w:rsidRPr="00BC0834">
        <w:t xml:space="preserve">, M. Y., </w:t>
      </w:r>
      <w:proofErr w:type="spellStart"/>
      <w:r w:rsidRPr="00BC0834">
        <w:t>Fatiregun</w:t>
      </w:r>
      <w:proofErr w:type="spellEnd"/>
      <w:r w:rsidRPr="00BC0834">
        <w:t xml:space="preserve">, O. A., </w:t>
      </w:r>
      <w:proofErr w:type="spellStart"/>
      <w:r w:rsidRPr="00BC0834">
        <w:t>Awofeso</w:t>
      </w:r>
      <w:proofErr w:type="spellEnd"/>
      <w:r w:rsidRPr="00BC0834">
        <w:t xml:space="preserve">, O. M., </w:t>
      </w:r>
      <w:proofErr w:type="spellStart"/>
      <w:r w:rsidRPr="00BC0834">
        <w:t>Okunade</w:t>
      </w:r>
      <w:proofErr w:type="spellEnd"/>
      <w:r w:rsidRPr="00BC0834">
        <w:t xml:space="preserve">, K. S., ... &amp; </w:t>
      </w:r>
      <w:proofErr w:type="spellStart"/>
      <w:r w:rsidRPr="00BC0834">
        <w:t>Oboh</w:t>
      </w:r>
      <w:proofErr w:type="spellEnd"/>
      <w:r w:rsidRPr="00BC0834">
        <w:t>, E. O. (2018). The pattern of comorbidities in cancer patients in Lagos, South-Western Nigeria. </w:t>
      </w:r>
      <w:proofErr w:type="spellStart"/>
      <w:r w:rsidRPr="00BC0834">
        <w:rPr>
          <w:i/>
          <w:iCs/>
        </w:rPr>
        <w:t>Ecancermedicalscience</w:t>
      </w:r>
      <w:proofErr w:type="spellEnd"/>
      <w:r w:rsidRPr="00BC0834">
        <w:t>, </w:t>
      </w:r>
      <w:r w:rsidRPr="00BC0834">
        <w:rPr>
          <w:i/>
          <w:iCs/>
        </w:rPr>
        <w:t>12</w:t>
      </w:r>
      <w:r w:rsidRPr="00BC0834">
        <w:t>, 843.</w:t>
      </w:r>
    </w:p>
    <w:p w14:paraId="46692D34" w14:textId="77777777" w:rsidR="00705D2F" w:rsidRDefault="00705D2F" w:rsidP="003A1F98">
      <w:pPr>
        <w:pStyle w:val="Body"/>
        <w:spacing w:after="0"/>
      </w:pPr>
    </w:p>
    <w:p w14:paraId="3B782B7A" w14:textId="11B1BCF0" w:rsidR="00705D2F" w:rsidRDefault="00705D2F" w:rsidP="003A1F98">
      <w:pPr>
        <w:pStyle w:val="Body"/>
        <w:spacing w:after="0"/>
      </w:pPr>
      <w:r w:rsidRPr="00705D2F">
        <w:t xml:space="preserve">Savage, S. R., Yi, X., Lei, J. T., Wen, B., Zhao, H., Liao, Y., ... &amp; Zhang, B. (2024). Pan-cancer </w:t>
      </w:r>
      <w:proofErr w:type="spellStart"/>
      <w:r w:rsidRPr="00705D2F">
        <w:t>proteogenomics</w:t>
      </w:r>
      <w:proofErr w:type="spellEnd"/>
      <w:r w:rsidRPr="00705D2F">
        <w:t xml:space="preserve"> expands the landscape of therapeutic targets. </w:t>
      </w:r>
      <w:r w:rsidRPr="00705D2F">
        <w:rPr>
          <w:i/>
          <w:iCs/>
        </w:rPr>
        <w:t>Cell</w:t>
      </w:r>
      <w:r w:rsidRPr="00705D2F">
        <w:t>, </w:t>
      </w:r>
      <w:r w:rsidRPr="00705D2F">
        <w:rPr>
          <w:i/>
          <w:iCs/>
        </w:rPr>
        <w:t>187</w:t>
      </w:r>
      <w:r w:rsidRPr="00705D2F">
        <w:t>(16), 4389-4407.</w:t>
      </w:r>
    </w:p>
    <w:p w14:paraId="23CF3F58" w14:textId="77777777" w:rsidR="00D75217" w:rsidRPr="003A1F98" w:rsidRDefault="00D75217" w:rsidP="003A1F98">
      <w:pPr>
        <w:pStyle w:val="Body"/>
        <w:spacing w:after="0"/>
      </w:pPr>
    </w:p>
    <w:p w14:paraId="16AA3AD0" w14:textId="70B2EAF2" w:rsidR="00185DD0" w:rsidRDefault="003A1F98" w:rsidP="00823818">
      <w:pPr>
        <w:pStyle w:val="Body"/>
        <w:spacing w:after="0"/>
      </w:pPr>
      <w:proofErr w:type="spellStart"/>
      <w:r w:rsidRPr="003A1F98">
        <w:t>Uku</w:t>
      </w:r>
      <w:proofErr w:type="spellEnd"/>
      <w:r w:rsidRPr="003A1F98">
        <w:t xml:space="preserve">, P. D., </w:t>
      </w:r>
      <w:proofErr w:type="spellStart"/>
      <w:r w:rsidRPr="003A1F98">
        <w:t>Maduka</w:t>
      </w:r>
      <w:proofErr w:type="spellEnd"/>
      <w:r w:rsidRPr="003A1F98">
        <w:t xml:space="preserve">, A. D., </w:t>
      </w:r>
      <w:proofErr w:type="spellStart"/>
      <w:r w:rsidRPr="003A1F98">
        <w:t>Etewu</w:t>
      </w:r>
      <w:proofErr w:type="spellEnd"/>
      <w:r w:rsidRPr="003A1F98">
        <w:t xml:space="preserve">, H. J., </w:t>
      </w:r>
      <w:proofErr w:type="spellStart"/>
      <w:r w:rsidRPr="003A1F98">
        <w:t>Belema</w:t>
      </w:r>
      <w:proofErr w:type="spellEnd"/>
      <w:r w:rsidRPr="003A1F98">
        <w:t xml:space="preserve">, E., &amp; </w:t>
      </w:r>
      <w:proofErr w:type="spellStart"/>
      <w:r w:rsidRPr="003A1F98">
        <w:t>Guembe</w:t>
      </w:r>
      <w:proofErr w:type="spellEnd"/>
      <w:r w:rsidRPr="003A1F98">
        <w:t xml:space="preserve">, K. O. (2025). Concurrent Chronic Myeloid </w:t>
      </w:r>
      <w:proofErr w:type="spellStart"/>
      <w:r w:rsidRPr="003A1F98">
        <w:t>Leukaemia</w:t>
      </w:r>
      <w:proofErr w:type="spellEnd"/>
      <w:r w:rsidRPr="003A1F98">
        <w:t xml:space="preserve"> and Non-Hodgkin Lymphoma at Presentation in a Young Man: A Case Report and Literature Review. </w:t>
      </w:r>
      <w:r w:rsidRPr="003A1F98">
        <w:rPr>
          <w:i/>
          <w:iCs/>
        </w:rPr>
        <w:t>Asian Hematology Research Journal</w:t>
      </w:r>
      <w:r w:rsidRPr="003A1F98">
        <w:t>, </w:t>
      </w:r>
      <w:r w:rsidRPr="003A1F98">
        <w:rPr>
          <w:i/>
          <w:iCs/>
        </w:rPr>
        <w:t>8</w:t>
      </w:r>
      <w:r w:rsidRPr="003A1F98">
        <w:t>(3), 141-146.</w:t>
      </w:r>
    </w:p>
    <w:p w14:paraId="5E831ADB" w14:textId="77777777" w:rsidR="00BA217F" w:rsidRDefault="00BA217F" w:rsidP="00823818">
      <w:pPr>
        <w:pStyle w:val="Body"/>
        <w:spacing w:after="0"/>
      </w:pPr>
    </w:p>
    <w:p w14:paraId="13186305" w14:textId="341FB547" w:rsidR="00185DD0" w:rsidRPr="00185DD0" w:rsidRDefault="00BA217F" w:rsidP="00823818">
      <w:pPr>
        <w:pStyle w:val="Body"/>
        <w:spacing w:after="0"/>
      </w:pPr>
      <w:r w:rsidRPr="00BA217F">
        <w:t>Zhang, N., Wu, J., Wang, Q., Liang, Y., Li, X., Chen, G., ... &amp; Zhou, F. (2023). Global burden of hematologic malignancies and evolution patterns over the past 30 years. </w:t>
      </w:r>
      <w:r w:rsidRPr="00BA217F">
        <w:rPr>
          <w:i/>
          <w:iCs/>
        </w:rPr>
        <w:t>Blood Cancer Journal</w:t>
      </w:r>
      <w:r w:rsidRPr="00BA217F">
        <w:t>, </w:t>
      </w:r>
      <w:r w:rsidRPr="00BA217F">
        <w:rPr>
          <w:i/>
          <w:iCs/>
        </w:rPr>
        <w:t>13</w:t>
      </w:r>
      <w:r w:rsidRPr="00BA217F">
        <w:t>(1), 82.</w:t>
      </w:r>
    </w:p>
    <w:p w14:paraId="1FE850B8" w14:textId="3AC7B3D7" w:rsidR="00185DD0" w:rsidRPr="00FB3A86" w:rsidRDefault="00185DD0" w:rsidP="00823818">
      <w:pPr>
        <w:pStyle w:val="Body"/>
        <w:spacing w:after="0"/>
        <w:rPr>
          <w:rFonts w:ascii="Arial" w:hAnsi="Arial" w:cs="Arial"/>
          <w:b/>
        </w:rPr>
        <w:sectPr w:rsidR="00185DD0" w:rsidRPr="00FB3A86" w:rsidSect="0091332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2E6D63E2" w14:textId="77777777" w:rsidR="00B01FCD" w:rsidRPr="00FB3A86" w:rsidRDefault="00B01FCD" w:rsidP="00441B6F">
      <w:pPr>
        <w:pStyle w:val="Appendix"/>
        <w:spacing w:after="0"/>
        <w:jc w:val="both"/>
        <w:rPr>
          <w:rFonts w:ascii="Arial" w:hAnsi="Arial" w:cs="Arial"/>
          <w:b w:val="0"/>
        </w:rPr>
      </w:pPr>
    </w:p>
    <w:sectPr w:rsidR="00B01FCD" w:rsidRPr="00FB3A86" w:rsidSect="0091332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6B7D1" w14:textId="77777777" w:rsidR="00F1286C" w:rsidRDefault="00F1286C" w:rsidP="00C37E61">
      <w:r>
        <w:separator/>
      </w:r>
    </w:p>
  </w:endnote>
  <w:endnote w:type="continuationSeparator" w:id="0">
    <w:p w14:paraId="42EC06A2" w14:textId="77777777" w:rsidR="00F1286C" w:rsidRDefault="00F128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02EAD" w14:textId="77777777" w:rsidR="004E328C" w:rsidRDefault="004E3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BC97"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89F3D" w14:textId="77777777" w:rsidR="004E328C" w:rsidRDefault="004E3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36A59" w14:textId="77777777" w:rsidR="00F1286C" w:rsidRDefault="00F1286C" w:rsidP="00C37E61">
      <w:r>
        <w:separator/>
      </w:r>
    </w:p>
  </w:footnote>
  <w:footnote w:type="continuationSeparator" w:id="0">
    <w:p w14:paraId="0690DBDE" w14:textId="77777777" w:rsidR="00F1286C" w:rsidRDefault="00F128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069B1" w14:textId="173DF899" w:rsidR="004E328C" w:rsidRDefault="00F1286C">
    <w:pPr>
      <w:pStyle w:val="Header"/>
    </w:pPr>
    <w:r>
      <w:rPr>
        <w:noProof/>
      </w:rPr>
      <w:pict w14:anchorId="381EF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308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5521" w14:textId="02DC0C09" w:rsidR="004E328C" w:rsidRDefault="00F1286C">
    <w:pPr>
      <w:pStyle w:val="Header"/>
    </w:pPr>
    <w:r>
      <w:rPr>
        <w:noProof/>
      </w:rPr>
      <w:pict w14:anchorId="07C74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308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F208" w14:textId="03F0C0CF" w:rsidR="004E328C" w:rsidRDefault="00F1286C">
    <w:pPr>
      <w:pStyle w:val="Header"/>
    </w:pPr>
    <w:r>
      <w:rPr>
        <w:noProof/>
      </w:rPr>
      <w:pict w14:anchorId="03523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3080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xMDUysDQ0MjQwNjVU0lEKTi0uzszPAykwrAUAXYxQAywAAAA="/>
  </w:docVars>
  <w:rsids>
    <w:rsidRoot w:val="00AA6219"/>
    <w:rsid w:val="00000F8F"/>
    <w:rsid w:val="000011F8"/>
    <w:rsid w:val="00002D5C"/>
    <w:rsid w:val="00004E3C"/>
    <w:rsid w:val="00010DE5"/>
    <w:rsid w:val="00013402"/>
    <w:rsid w:val="00013AFB"/>
    <w:rsid w:val="00020FD6"/>
    <w:rsid w:val="0002590C"/>
    <w:rsid w:val="00030174"/>
    <w:rsid w:val="00035243"/>
    <w:rsid w:val="00042FEA"/>
    <w:rsid w:val="0004579C"/>
    <w:rsid w:val="00070037"/>
    <w:rsid w:val="000843CA"/>
    <w:rsid w:val="000A1464"/>
    <w:rsid w:val="000A233A"/>
    <w:rsid w:val="000A47FA"/>
    <w:rsid w:val="000A4FEC"/>
    <w:rsid w:val="000A65D3"/>
    <w:rsid w:val="000B1E33"/>
    <w:rsid w:val="000C7A25"/>
    <w:rsid w:val="000D5D7A"/>
    <w:rsid w:val="000D689F"/>
    <w:rsid w:val="000E7B7B"/>
    <w:rsid w:val="000E7D62"/>
    <w:rsid w:val="000F6F2A"/>
    <w:rsid w:val="00103357"/>
    <w:rsid w:val="00112C93"/>
    <w:rsid w:val="001134E9"/>
    <w:rsid w:val="00120E5C"/>
    <w:rsid w:val="00123C9F"/>
    <w:rsid w:val="00126190"/>
    <w:rsid w:val="00130F17"/>
    <w:rsid w:val="001320BF"/>
    <w:rsid w:val="0014657F"/>
    <w:rsid w:val="00160A65"/>
    <w:rsid w:val="00163BC4"/>
    <w:rsid w:val="00166477"/>
    <w:rsid w:val="00185DD0"/>
    <w:rsid w:val="00187D35"/>
    <w:rsid w:val="00191062"/>
    <w:rsid w:val="00192B72"/>
    <w:rsid w:val="00194113"/>
    <w:rsid w:val="001A29D8"/>
    <w:rsid w:val="001A5CAA"/>
    <w:rsid w:val="001B0427"/>
    <w:rsid w:val="001B4EF4"/>
    <w:rsid w:val="001C45E2"/>
    <w:rsid w:val="001C6FD6"/>
    <w:rsid w:val="001D3A51"/>
    <w:rsid w:val="001D5E79"/>
    <w:rsid w:val="001E10D2"/>
    <w:rsid w:val="001E1F1E"/>
    <w:rsid w:val="001E25B4"/>
    <w:rsid w:val="001E44FE"/>
    <w:rsid w:val="00200595"/>
    <w:rsid w:val="00202DE6"/>
    <w:rsid w:val="002037E9"/>
    <w:rsid w:val="00204835"/>
    <w:rsid w:val="0021670F"/>
    <w:rsid w:val="00216D4A"/>
    <w:rsid w:val="00231920"/>
    <w:rsid w:val="0023195C"/>
    <w:rsid w:val="002367FE"/>
    <w:rsid w:val="0024282C"/>
    <w:rsid w:val="002460DC"/>
    <w:rsid w:val="0024790C"/>
    <w:rsid w:val="00250985"/>
    <w:rsid w:val="002556F6"/>
    <w:rsid w:val="002735CB"/>
    <w:rsid w:val="002777E1"/>
    <w:rsid w:val="00281C47"/>
    <w:rsid w:val="00283105"/>
    <w:rsid w:val="002849BE"/>
    <w:rsid w:val="00284C4C"/>
    <w:rsid w:val="00287E68"/>
    <w:rsid w:val="00296529"/>
    <w:rsid w:val="002A738E"/>
    <w:rsid w:val="002B27FB"/>
    <w:rsid w:val="002B2C49"/>
    <w:rsid w:val="002B4F6C"/>
    <w:rsid w:val="002B685A"/>
    <w:rsid w:val="002C57D2"/>
    <w:rsid w:val="002D0676"/>
    <w:rsid w:val="002D45F5"/>
    <w:rsid w:val="002E0D56"/>
    <w:rsid w:val="002F322D"/>
    <w:rsid w:val="002F4383"/>
    <w:rsid w:val="002F550F"/>
    <w:rsid w:val="00303EEB"/>
    <w:rsid w:val="00313719"/>
    <w:rsid w:val="00315186"/>
    <w:rsid w:val="003252A8"/>
    <w:rsid w:val="0033343E"/>
    <w:rsid w:val="003512C2"/>
    <w:rsid w:val="00371FB6"/>
    <w:rsid w:val="003763C1"/>
    <w:rsid w:val="00376BBE"/>
    <w:rsid w:val="0039224F"/>
    <w:rsid w:val="003A1F98"/>
    <w:rsid w:val="003A43A4"/>
    <w:rsid w:val="003A7E18"/>
    <w:rsid w:val="003B7DAD"/>
    <w:rsid w:val="003C4C86"/>
    <w:rsid w:val="003C6258"/>
    <w:rsid w:val="003D6184"/>
    <w:rsid w:val="003D6665"/>
    <w:rsid w:val="003E2904"/>
    <w:rsid w:val="003E45BC"/>
    <w:rsid w:val="0040065E"/>
    <w:rsid w:val="00401927"/>
    <w:rsid w:val="0041027F"/>
    <w:rsid w:val="00412475"/>
    <w:rsid w:val="00413BA7"/>
    <w:rsid w:val="00423789"/>
    <w:rsid w:val="004237FB"/>
    <w:rsid w:val="00425926"/>
    <w:rsid w:val="00440F43"/>
    <w:rsid w:val="00441B6F"/>
    <w:rsid w:val="00446221"/>
    <w:rsid w:val="00450E62"/>
    <w:rsid w:val="004539DB"/>
    <w:rsid w:val="00462B82"/>
    <w:rsid w:val="00470526"/>
    <w:rsid w:val="00471A80"/>
    <w:rsid w:val="004952DB"/>
    <w:rsid w:val="004D305E"/>
    <w:rsid w:val="004D4277"/>
    <w:rsid w:val="004E328C"/>
    <w:rsid w:val="004F26FA"/>
    <w:rsid w:val="00502516"/>
    <w:rsid w:val="00505F06"/>
    <w:rsid w:val="00506828"/>
    <w:rsid w:val="0051433B"/>
    <w:rsid w:val="00520308"/>
    <w:rsid w:val="0052668D"/>
    <w:rsid w:val="00530405"/>
    <w:rsid w:val="0053056E"/>
    <w:rsid w:val="00530D6F"/>
    <w:rsid w:val="00534141"/>
    <w:rsid w:val="00535E16"/>
    <w:rsid w:val="005367A7"/>
    <w:rsid w:val="00553F1A"/>
    <w:rsid w:val="00554FDA"/>
    <w:rsid w:val="00564BD8"/>
    <w:rsid w:val="00581C64"/>
    <w:rsid w:val="005876E8"/>
    <w:rsid w:val="00597E9F"/>
    <w:rsid w:val="005A2D91"/>
    <w:rsid w:val="005B2A7E"/>
    <w:rsid w:val="005C784C"/>
    <w:rsid w:val="005D17F6"/>
    <w:rsid w:val="005D3081"/>
    <w:rsid w:val="005E5539"/>
    <w:rsid w:val="00602BF5"/>
    <w:rsid w:val="00612190"/>
    <w:rsid w:val="00612FEE"/>
    <w:rsid w:val="00617FDD"/>
    <w:rsid w:val="00633614"/>
    <w:rsid w:val="00633F68"/>
    <w:rsid w:val="00636EB2"/>
    <w:rsid w:val="006375B8"/>
    <w:rsid w:val="006410A0"/>
    <w:rsid w:val="006474D9"/>
    <w:rsid w:val="0066510A"/>
    <w:rsid w:val="00673F9F"/>
    <w:rsid w:val="0068561C"/>
    <w:rsid w:val="00686953"/>
    <w:rsid w:val="00687DEA"/>
    <w:rsid w:val="00687E67"/>
    <w:rsid w:val="006967F7"/>
    <w:rsid w:val="006A0E6B"/>
    <w:rsid w:val="006A250C"/>
    <w:rsid w:val="006B21D3"/>
    <w:rsid w:val="006B57D0"/>
    <w:rsid w:val="006C17AF"/>
    <w:rsid w:val="006D30FF"/>
    <w:rsid w:val="006D3977"/>
    <w:rsid w:val="006D50E7"/>
    <w:rsid w:val="006D6940"/>
    <w:rsid w:val="006E68BA"/>
    <w:rsid w:val="006F11EC"/>
    <w:rsid w:val="0070082C"/>
    <w:rsid w:val="00705D2F"/>
    <w:rsid w:val="007141E9"/>
    <w:rsid w:val="007178DC"/>
    <w:rsid w:val="007238D0"/>
    <w:rsid w:val="00723CD9"/>
    <w:rsid w:val="007268ED"/>
    <w:rsid w:val="00727209"/>
    <w:rsid w:val="007369E6"/>
    <w:rsid w:val="00746E59"/>
    <w:rsid w:val="00754C9A"/>
    <w:rsid w:val="0075599A"/>
    <w:rsid w:val="007565B2"/>
    <w:rsid w:val="00761D52"/>
    <w:rsid w:val="00762254"/>
    <w:rsid w:val="00762FB6"/>
    <w:rsid w:val="007659D6"/>
    <w:rsid w:val="0077749E"/>
    <w:rsid w:val="00785FA4"/>
    <w:rsid w:val="007863CA"/>
    <w:rsid w:val="00790ADA"/>
    <w:rsid w:val="0079391D"/>
    <w:rsid w:val="007A1E20"/>
    <w:rsid w:val="007B39AC"/>
    <w:rsid w:val="007C7B8A"/>
    <w:rsid w:val="007C7C08"/>
    <w:rsid w:val="007D2288"/>
    <w:rsid w:val="007D2F92"/>
    <w:rsid w:val="007E088F"/>
    <w:rsid w:val="007F7868"/>
    <w:rsid w:val="007F7B32"/>
    <w:rsid w:val="00804BC2"/>
    <w:rsid w:val="008127C5"/>
    <w:rsid w:val="0081431A"/>
    <w:rsid w:val="00823818"/>
    <w:rsid w:val="00825F83"/>
    <w:rsid w:val="00825F94"/>
    <w:rsid w:val="00827FD7"/>
    <w:rsid w:val="0083216F"/>
    <w:rsid w:val="00835AC5"/>
    <w:rsid w:val="008405D5"/>
    <w:rsid w:val="0085330F"/>
    <w:rsid w:val="00860000"/>
    <w:rsid w:val="00863BD3"/>
    <w:rsid w:val="008641ED"/>
    <w:rsid w:val="00866D66"/>
    <w:rsid w:val="008671C6"/>
    <w:rsid w:val="00875803"/>
    <w:rsid w:val="008768AF"/>
    <w:rsid w:val="008813FE"/>
    <w:rsid w:val="00894C7A"/>
    <w:rsid w:val="00897A09"/>
    <w:rsid w:val="008B459E"/>
    <w:rsid w:val="008B6655"/>
    <w:rsid w:val="008C13B0"/>
    <w:rsid w:val="008D0431"/>
    <w:rsid w:val="008E1014"/>
    <w:rsid w:val="008E13AE"/>
    <w:rsid w:val="008E1506"/>
    <w:rsid w:val="008E1C6F"/>
    <w:rsid w:val="008E710C"/>
    <w:rsid w:val="008F01D1"/>
    <w:rsid w:val="008F69D6"/>
    <w:rsid w:val="00902823"/>
    <w:rsid w:val="00905C6A"/>
    <w:rsid w:val="0091332F"/>
    <w:rsid w:val="00915CA6"/>
    <w:rsid w:val="0092533E"/>
    <w:rsid w:val="00927834"/>
    <w:rsid w:val="009317D2"/>
    <w:rsid w:val="009346F5"/>
    <w:rsid w:val="009500A6"/>
    <w:rsid w:val="00957C18"/>
    <w:rsid w:val="00962D15"/>
    <w:rsid w:val="00965677"/>
    <w:rsid w:val="009659BA"/>
    <w:rsid w:val="00983040"/>
    <w:rsid w:val="00984D05"/>
    <w:rsid w:val="00991D84"/>
    <w:rsid w:val="009B3FB9"/>
    <w:rsid w:val="009C2465"/>
    <w:rsid w:val="009D35A0"/>
    <w:rsid w:val="009D3BC2"/>
    <w:rsid w:val="009D7EB7"/>
    <w:rsid w:val="009E048A"/>
    <w:rsid w:val="009E08E9"/>
    <w:rsid w:val="009E3DB9"/>
    <w:rsid w:val="009E6E35"/>
    <w:rsid w:val="009F0EDA"/>
    <w:rsid w:val="009F489F"/>
    <w:rsid w:val="00A022D2"/>
    <w:rsid w:val="00A03B96"/>
    <w:rsid w:val="00A040EF"/>
    <w:rsid w:val="00A05B19"/>
    <w:rsid w:val="00A1134E"/>
    <w:rsid w:val="00A138BF"/>
    <w:rsid w:val="00A177E9"/>
    <w:rsid w:val="00A20A4E"/>
    <w:rsid w:val="00A24E7E"/>
    <w:rsid w:val="00A258C3"/>
    <w:rsid w:val="00A347C0"/>
    <w:rsid w:val="00A51431"/>
    <w:rsid w:val="00A52D6B"/>
    <w:rsid w:val="00A539AD"/>
    <w:rsid w:val="00A5630B"/>
    <w:rsid w:val="00A64479"/>
    <w:rsid w:val="00A730F1"/>
    <w:rsid w:val="00A7546B"/>
    <w:rsid w:val="00A77B2C"/>
    <w:rsid w:val="00A93F5F"/>
    <w:rsid w:val="00A94063"/>
    <w:rsid w:val="00AA6219"/>
    <w:rsid w:val="00AA74E0"/>
    <w:rsid w:val="00AB21AE"/>
    <w:rsid w:val="00AB497A"/>
    <w:rsid w:val="00AB703F"/>
    <w:rsid w:val="00AC456E"/>
    <w:rsid w:val="00AC6BA7"/>
    <w:rsid w:val="00AC6BB8"/>
    <w:rsid w:val="00AC7207"/>
    <w:rsid w:val="00AD59AD"/>
    <w:rsid w:val="00AE008F"/>
    <w:rsid w:val="00B01FCD"/>
    <w:rsid w:val="00B10028"/>
    <w:rsid w:val="00B111D6"/>
    <w:rsid w:val="00B1776C"/>
    <w:rsid w:val="00B52583"/>
    <w:rsid w:val="00B52896"/>
    <w:rsid w:val="00B917F4"/>
    <w:rsid w:val="00B95236"/>
    <w:rsid w:val="00B96BD9"/>
    <w:rsid w:val="00BA02DC"/>
    <w:rsid w:val="00BA1B01"/>
    <w:rsid w:val="00BA217F"/>
    <w:rsid w:val="00BA2641"/>
    <w:rsid w:val="00BB153E"/>
    <w:rsid w:val="00BB37AA"/>
    <w:rsid w:val="00BC0834"/>
    <w:rsid w:val="00BC0D55"/>
    <w:rsid w:val="00BC2C48"/>
    <w:rsid w:val="00BC53A0"/>
    <w:rsid w:val="00BE62AD"/>
    <w:rsid w:val="00BF121F"/>
    <w:rsid w:val="00BF1F80"/>
    <w:rsid w:val="00C026C6"/>
    <w:rsid w:val="00C02B3D"/>
    <w:rsid w:val="00C13BE9"/>
    <w:rsid w:val="00C13BFE"/>
    <w:rsid w:val="00C166EF"/>
    <w:rsid w:val="00C17EB0"/>
    <w:rsid w:val="00C27F5F"/>
    <w:rsid w:val="00C30A0F"/>
    <w:rsid w:val="00C37E61"/>
    <w:rsid w:val="00C407CB"/>
    <w:rsid w:val="00C63A87"/>
    <w:rsid w:val="00C70F1B"/>
    <w:rsid w:val="00C71A47"/>
    <w:rsid w:val="00C7464C"/>
    <w:rsid w:val="00C77F72"/>
    <w:rsid w:val="00C85588"/>
    <w:rsid w:val="00C926BC"/>
    <w:rsid w:val="00CA0FCB"/>
    <w:rsid w:val="00CD5E53"/>
    <w:rsid w:val="00CD6755"/>
    <w:rsid w:val="00CD6856"/>
    <w:rsid w:val="00CE0089"/>
    <w:rsid w:val="00CE675D"/>
    <w:rsid w:val="00CE793C"/>
    <w:rsid w:val="00CF193C"/>
    <w:rsid w:val="00CF1C53"/>
    <w:rsid w:val="00CF5E08"/>
    <w:rsid w:val="00D02C86"/>
    <w:rsid w:val="00D03BFE"/>
    <w:rsid w:val="00D1241D"/>
    <w:rsid w:val="00D173F1"/>
    <w:rsid w:val="00D23B50"/>
    <w:rsid w:val="00D32FE3"/>
    <w:rsid w:val="00D35DB2"/>
    <w:rsid w:val="00D51B30"/>
    <w:rsid w:val="00D74CB0"/>
    <w:rsid w:val="00D74EA7"/>
    <w:rsid w:val="00D75217"/>
    <w:rsid w:val="00D8295D"/>
    <w:rsid w:val="00D90185"/>
    <w:rsid w:val="00DB2EBD"/>
    <w:rsid w:val="00DB3DE8"/>
    <w:rsid w:val="00DC2A65"/>
    <w:rsid w:val="00DE1172"/>
    <w:rsid w:val="00DE15F0"/>
    <w:rsid w:val="00DE5663"/>
    <w:rsid w:val="00DE78AA"/>
    <w:rsid w:val="00DF51B1"/>
    <w:rsid w:val="00DF67EC"/>
    <w:rsid w:val="00DF6DD7"/>
    <w:rsid w:val="00E053D0"/>
    <w:rsid w:val="00E07291"/>
    <w:rsid w:val="00E15994"/>
    <w:rsid w:val="00E3030A"/>
    <w:rsid w:val="00E3114E"/>
    <w:rsid w:val="00E31A70"/>
    <w:rsid w:val="00E35B02"/>
    <w:rsid w:val="00E533B1"/>
    <w:rsid w:val="00E66496"/>
    <w:rsid w:val="00E66B35"/>
    <w:rsid w:val="00E66E10"/>
    <w:rsid w:val="00E769F6"/>
    <w:rsid w:val="00E8407C"/>
    <w:rsid w:val="00E84F3C"/>
    <w:rsid w:val="00E941A7"/>
    <w:rsid w:val="00E9664F"/>
    <w:rsid w:val="00EA012C"/>
    <w:rsid w:val="00EA05C2"/>
    <w:rsid w:val="00EA13F6"/>
    <w:rsid w:val="00EA2848"/>
    <w:rsid w:val="00EC17B1"/>
    <w:rsid w:val="00EC6A55"/>
    <w:rsid w:val="00EC7E73"/>
    <w:rsid w:val="00ED0288"/>
    <w:rsid w:val="00ED3372"/>
    <w:rsid w:val="00EE52CB"/>
    <w:rsid w:val="00EF3485"/>
    <w:rsid w:val="00EF581D"/>
    <w:rsid w:val="00EF6C16"/>
    <w:rsid w:val="00EF7FD8"/>
    <w:rsid w:val="00F06B4B"/>
    <w:rsid w:val="00F06F59"/>
    <w:rsid w:val="00F1286C"/>
    <w:rsid w:val="00F13D92"/>
    <w:rsid w:val="00F17254"/>
    <w:rsid w:val="00F17988"/>
    <w:rsid w:val="00F464C1"/>
    <w:rsid w:val="00F469F0"/>
    <w:rsid w:val="00F53273"/>
    <w:rsid w:val="00F574E0"/>
    <w:rsid w:val="00F637A5"/>
    <w:rsid w:val="00F755E4"/>
    <w:rsid w:val="00F77D02"/>
    <w:rsid w:val="00F8076C"/>
    <w:rsid w:val="00F82BAF"/>
    <w:rsid w:val="00F83048"/>
    <w:rsid w:val="00F92AD6"/>
    <w:rsid w:val="00FA4FA1"/>
    <w:rsid w:val="00FB33B9"/>
    <w:rsid w:val="00FB3A86"/>
    <w:rsid w:val="00FB3D95"/>
    <w:rsid w:val="00FB60D3"/>
    <w:rsid w:val="00FD2A6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8962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dLbl>
              <c:idx val="0"/>
              <c:tx>
                <c:rich>
                  <a:bodyPr/>
                  <a:lstStyle/>
                  <a:p>
                    <a:fld id="{4D9CFBA9-FCF2-4F70-BAB3-79867003F082}" type="VALUE">
                      <a:rPr lang="en-US"/>
                      <a:pPr/>
                      <a:t>[VALUE]</a:t>
                    </a:fld>
                    <a:r>
                      <a:rPr lang="en-US"/>
                      <a:t> (2.8%)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749-4B18-9CBC-7A60AE4F6E67}"/>
                </c:ext>
              </c:extLst>
            </c:dLbl>
            <c:dLbl>
              <c:idx val="1"/>
              <c:tx>
                <c:rich>
                  <a:bodyPr/>
                  <a:lstStyle/>
                  <a:p>
                    <a:fld id="{B91B03EE-07F3-4421-A143-4CA763567132}" type="VALUE">
                      <a:rPr lang="en-US"/>
                      <a:pPr/>
                      <a:t>[VALUE]</a:t>
                    </a:fld>
                    <a:r>
                      <a:rPr lang="en-US"/>
                      <a:t> (4.2%)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749-4B18-9CBC-7A60AE4F6E67}"/>
                </c:ext>
              </c:extLst>
            </c:dLbl>
            <c:dLbl>
              <c:idx val="2"/>
              <c:tx>
                <c:rich>
                  <a:bodyPr/>
                  <a:lstStyle/>
                  <a:p>
                    <a:fld id="{6B65F02E-066C-4FDA-A96C-D51327787819}" type="VALUE">
                      <a:rPr lang="en-US"/>
                      <a:pPr/>
                      <a:t>[VALUE]</a:t>
                    </a:fld>
                    <a:r>
                      <a:rPr lang="en-US"/>
                      <a:t> (5.6%)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749-4B18-9CBC-7A60AE4F6E67}"/>
                </c:ext>
              </c:extLst>
            </c:dLbl>
            <c:dLbl>
              <c:idx val="3"/>
              <c:tx>
                <c:rich>
                  <a:bodyPr/>
                  <a:lstStyle/>
                  <a:p>
                    <a:fld id="{D4C39E18-E556-49A7-A816-BE4085F0842C}" type="VALUE">
                      <a:rPr lang="en-US"/>
                      <a:pPr/>
                      <a:t>[VALUE]</a:t>
                    </a:fld>
                    <a:r>
                      <a:rPr lang="en-US"/>
                      <a:t> (27.8%)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749-4B18-9CBC-7A60AE4F6E67}"/>
                </c:ext>
              </c:extLst>
            </c:dLbl>
            <c:dLbl>
              <c:idx val="4"/>
              <c:layout>
                <c:manualLayout>
                  <c:x val="-5.9282679577116887E-3"/>
                  <c:y val="-9.6617406519838075E-3"/>
                </c:manualLayout>
              </c:layout>
              <c:tx>
                <c:rich>
                  <a:bodyPr/>
                  <a:lstStyle/>
                  <a:p>
                    <a:fld id="{E7FF2519-CE2A-461F-ABEC-2AE72A5E7E48}" type="VALUE">
                      <a:rPr lang="en-US"/>
                      <a:pPr/>
                      <a:t>[VALUE]</a:t>
                    </a:fld>
                    <a:r>
                      <a:rPr lang="en-US"/>
                      <a:t> (1.4%)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749-4B18-9CBC-7A60AE4F6E67}"/>
                </c:ext>
              </c:extLst>
            </c:dLbl>
            <c:dLbl>
              <c:idx val="5"/>
              <c:tx>
                <c:rich>
                  <a:bodyPr/>
                  <a:lstStyle/>
                  <a:p>
                    <a:fld id="{C6DC2854-B1BA-499B-B4C3-6110CBCD703A}" type="VALUE">
                      <a:rPr lang="en-US"/>
                      <a:pPr/>
                      <a:t>[VALUE]</a:t>
                    </a:fld>
                    <a:r>
                      <a:rPr lang="en-US"/>
                      <a:t> (11.1%)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749-4B18-9CBC-7A60AE4F6E67}"/>
                </c:ext>
              </c:extLst>
            </c:dLbl>
            <c:dLbl>
              <c:idx val="6"/>
              <c:tx>
                <c:rich>
                  <a:bodyPr/>
                  <a:lstStyle/>
                  <a:p>
                    <a:fld id="{17680854-CDF6-4234-B010-F001ACFD56B9}" type="VALUE">
                      <a:rPr lang="en-US"/>
                      <a:pPr/>
                      <a:t>[VALUE]</a:t>
                    </a:fld>
                    <a:r>
                      <a:rPr lang="en-US"/>
                      <a:t> (1.4%)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749-4B18-9CBC-7A60AE4F6E67}"/>
                </c:ext>
              </c:extLst>
            </c:dLbl>
            <c:dLbl>
              <c:idx val="7"/>
              <c:tx>
                <c:rich>
                  <a:bodyPr/>
                  <a:lstStyle/>
                  <a:p>
                    <a:fld id="{D415E4BA-2533-433A-910B-718A14F8BD7F}" type="VALUE">
                      <a:rPr lang="en-US"/>
                      <a:pPr/>
                      <a:t>[VALUE]</a:t>
                    </a:fld>
                    <a:r>
                      <a:rPr lang="en-US"/>
                      <a:t> (23.6%)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749-4B18-9CBC-7A60AE4F6E67}"/>
                </c:ext>
              </c:extLst>
            </c:dLbl>
            <c:dLbl>
              <c:idx val="8"/>
              <c:tx>
                <c:rich>
                  <a:bodyPr/>
                  <a:lstStyle/>
                  <a:p>
                    <a:fld id="{57514C18-7E2B-4A0A-8594-92E75B2406A4}" type="VALUE">
                      <a:rPr lang="en-US"/>
                      <a:pPr/>
                      <a:t>[VALUE]</a:t>
                    </a:fld>
                    <a:r>
                      <a:rPr lang="en-US"/>
                      <a:t> (20.8%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749-4B18-9CBC-7A60AE4F6E67}"/>
                </c:ext>
              </c:extLst>
            </c:dLbl>
            <c:dLbl>
              <c:idx val="9"/>
              <c:tx>
                <c:rich>
                  <a:bodyPr/>
                  <a:lstStyle/>
                  <a:p>
                    <a:fld id="{C8663968-84F9-43B0-B17D-1E70216C2B69}" type="VALUE">
                      <a:rPr lang="en-US"/>
                      <a:pPr/>
                      <a:t>[VALUE]</a:t>
                    </a:fld>
                    <a:r>
                      <a:rPr lang="en-US"/>
                      <a:t> (1.4%)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749-4B18-9CBC-7A60AE4F6E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Sheet1!$B$2:$B$11</c:f>
              <c:strCache>
                <c:ptCount val="10"/>
                <c:pt idx="0">
                  <c:v>ALL</c:v>
                </c:pt>
                <c:pt idx="1">
                  <c:v>AML</c:v>
                </c:pt>
                <c:pt idx="2">
                  <c:v>CLL</c:v>
                </c:pt>
                <c:pt idx="3">
                  <c:v>CML</c:v>
                </c:pt>
                <c:pt idx="4">
                  <c:v>DLBCL</c:v>
                </c:pt>
                <c:pt idx="5">
                  <c:v>HL</c:v>
                </c:pt>
                <c:pt idx="6">
                  <c:v>MDN</c:v>
                </c:pt>
                <c:pt idx="7">
                  <c:v>MM</c:v>
                </c:pt>
                <c:pt idx="8">
                  <c:v>NHL</c:v>
                </c:pt>
                <c:pt idx="9">
                  <c:v>SLL/FL</c:v>
                </c:pt>
              </c:strCache>
            </c:strRef>
          </c:cat>
          <c:val>
            <c:numRef>
              <c:f>Sheet1!$C$2:$C$11</c:f>
              <c:numCache>
                <c:formatCode>General</c:formatCode>
                <c:ptCount val="10"/>
                <c:pt idx="0">
                  <c:v>2</c:v>
                </c:pt>
                <c:pt idx="1">
                  <c:v>3</c:v>
                </c:pt>
                <c:pt idx="2">
                  <c:v>4</c:v>
                </c:pt>
                <c:pt idx="3">
                  <c:v>20</c:v>
                </c:pt>
                <c:pt idx="4">
                  <c:v>1</c:v>
                </c:pt>
                <c:pt idx="5">
                  <c:v>8</c:v>
                </c:pt>
                <c:pt idx="6">
                  <c:v>1</c:v>
                </c:pt>
                <c:pt idx="7">
                  <c:v>17</c:v>
                </c:pt>
                <c:pt idx="8">
                  <c:v>15</c:v>
                </c:pt>
                <c:pt idx="9">
                  <c:v>1</c:v>
                </c:pt>
              </c:numCache>
            </c:numRef>
          </c:val>
          <c:extLst>
            <c:ext xmlns:c16="http://schemas.microsoft.com/office/drawing/2014/chart" uri="{C3380CC4-5D6E-409C-BE32-E72D297353CC}">
              <c16:uniqueId val="{0000000A-0749-4B18-9CBC-7A60AE4F6E67}"/>
            </c:ext>
          </c:extLst>
        </c:ser>
        <c:dLbls>
          <c:dLblPos val="outEnd"/>
          <c:showLegendKey val="0"/>
          <c:showVal val="1"/>
          <c:showCatName val="0"/>
          <c:showSerName val="0"/>
          <c:showPercent val="0"/>
          <c:showBubbleSize val="0"/>
        </c:dLbls>
        <c:gapWidth val="227"/>
        <c:overlap val="-48"/>
        <c:axId val="812569360"/>
        <c:axId val="818863024"/>
      </c:barChart>
      <c:catAx>
        <c:axId val="81256936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Type of haematologic cancer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8863024"/>
        <c:crosses val="autoZero"/>
        <c:auto val="1"/>
        <c:lblAlgn val="ctr"/>
        <c:lblOffset val="100"/>
        <c:noMultiLvlLbl val="0"/>
      </c:catAx>
      <c:valAx>
        <c:axId val="8188630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Frequency of presentation</a:t>
                </a:r>
              </a:p>
            </c:rich>
          </c:tx>
          <c:layout>
            <c:manualLayout>
              <c:xMode val="edge"/>
              <c:yMode val="edge"/>
              <c:x val="0.36002048325833858"/>
              <c:y val="0.9343743868419480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2569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D2B5A-53A2-4788-A9C7-78D152FA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349</TotalTime>
  <Pages>9</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22982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82</cp:revision>
  <cp:lastPrinted>1999-07-06T11:00:00Z</cp:lastPrinted>
  <dcterms:created xsi:type="dcterms:W3CDTF">2025-09-10T07:01:00Z</dcterms:created>
  <dcterms:modified xsi:type="dcterms:W3CDTF">2025-09-17T05:08:00Z</dcterms:modified>
</cp:coreProperties>
</file>