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0186A" w14:textId="32D7B13B" w:rsidR="005403F3" w:rsidRPr="00DA2347" w:rsidRDefault="005403F3" w:rsidP="00950904">
      <w:pPr>
        <w:pStyle w:val="author"/>
        <w:spacing w:after="0"/>
        <w:jc w:val="both"/>
        <w:rPr>
          <w:rFonts w:ascii="Arial" w:hAnsi="Arial" w:cs="Arial"/>
          <w:b/>
          <w:smallCaps/>
          <w:sz w:val="36"/>
          <w:szCs w:val="36"/>
          <w:lang w:val="es-AR"/>
        </w:rPr>
      </w:pPr>
      <w:r w:rsidRPr="00DA2347">
        <w:rPr>
          <w:rFonts w:ascii="Arial" w:hAnsi="Arial" w:cs="Arial"/>
          <w:b/>
          <w:smallCaps/>
          <w:sz w:val="36"/>
          <w:szCs w:val="36"/>
          <w:lang w:val="en"/>
        </w:rPr>
        <w:t>VEGETATIVE PROPAGATION</w:t>
      </w:r>
      <w:r w:rsidR="00A055A8" w:rsidRPr="00DA2347">
        <w:rPr>
          <w:rFonts w:ascii="Arial" w:hAnsi="Arial" w:cs="Arial"/>
          <w:b/>
          <w:smallCaps/>
          <w:sz w:val="36"/>
          <w:szCs w:val="36"/>
          <w:lang w:val="en"/>
        </w:rPr>
        <w:t xml:space="preserve"> </w:t>
      </w:r>
      <w:r w:rsidRPr="00DA2347">
        <w:rPr>
          <w:rFonts w:ascii="Arial" w:hAnsi="Arial" w:cs="Arial"/>
          <w:b/>
          <w:smallCaps/>
          <w:sz w:val="36"/>
          <w:szCs w:val="36"/>
          <w:lang w:val="en"/>
        </w:rPr>
        <w:t>BY SOMATIC EMBRYOGENESIS OF TWO SUGARCANE VARIETIES IN NORTHWEST ARGENTINA</w:t>
      </w:r>
    </w:p>
    <w:p w14:paraId="7AE1FE62" w14:textId="77777777" w:rsidR="005403F3" w:rsidRPr="00DA2347" w:rsidRDefault="005403F3" w:rsidP="00DA2347">
      <w:pPr>
        <w:pStyle w:val="author"/>
        <w:widowControl/>
        <w:spacing w:after="0"/>
        <w:ind w:firstLine="300"/>
        <w:jc w:val="both"/>
        <w:rPr>
          <w:rFonts w:ascii="Arial" w:hAnsi="Arial" w:cs="Arial"/>
          <w:b/>
          <w:smallCaps/>
          <w:sz w:val="24"/>
          <w:szCs w:val="24"/>
        </w:rPr>
      </w:pPr>
    </w:p>
    <w:p w14:paraId="3DF2C4E0" w14:textId="51609394" w:rsidR="00F03CB5" w:rsidRDefault="00F03CB5" w:rsidP="0012418F">
      <w:pPr>
        <w:jc w:val="right"/>
        <w:rPr>
          <w:rFonts w:ascii="Arial" w:hAnsi="Arial" w:cs="Arial"/>
          <w:szCs w:val="24"/>
          <w:lang w:val="es-ES"/>
        </w:rPr>
      </w:pPr>
    </w:p>
    <w:p w14:paraId="010A6C23" w14:textId="77777777" w:rsidR="00400A3F" w:rsidRPr="00DA2347" w:rsidRDefault="00400A3F" w:rsidP="0012418F">
      <w:pPr>
        <w:jc w:val="right"/>
        <w:rPr>
          <w:rFonts w:ascii="Arial" w:hAnsi="Arial" w:cs="Arial"/>
          <w:szCs w:val="24"/>
          <w:lang w:val="es-ES"/>
        </w:rPr>
      </w:pPr>
    </w:p>
    <w:tbl>
      <w:tblPr>
        <w:tblW w:w="10598" w:type="dxa"/>
        <w:tblLook w:val="04A0" w:firstRow="1" w:lastRow="0" w:firstColumn="1" w:lastColumn="0" w:noHBand="0" w:noVBand="1"/>
      </w:tblPr>
      <w:tblGrid>
        <w:gridCol w:w="5211"/>
        <w:gridCol w:w="5387"/>
      </w:tblGrid>
      <w:tr w:rsidR="008F5EAB" w:rsidRPr="00DA2347" w14:paraId="33CB86B4" w14:textId="77777777" w:rsidTr="009E4347">
        <w:trPr>
          <w:trHeight w:val="324"/>
        </w:trPr>
        <w:tc>
          <w:tcPr>
            <w:tcW w:w="5211" w:type="dxa"/>
          </w:tcPr>
          <w:p w14:paraId="62340574" w14:textId="6A2EA575" w:rsidR="008F5EAB" w:rsidRPr="00DA2347" w:rsidRDefault="008F5EAB" w:rsidP="00DA2347">
            <w:pPr>
              <w:pStyle w:val="NoSpacing"/>
              <w:ind w:firstLine="34"/>
              <w:jc w:val="both"/>
              <w:rPr>
                <w:rFonts w:ascii="Arial" w:hAnsi="Arial" w:cs="Arial"/>
                <w:sz w:val="24"/>
                <w:szCs w:val="24"/>
              </w:rPr>
            </w:pPr>
          </w:p>
        </w:tc>
        <w:tc>
          <w:tcPr>
            <w:tcW w:w="5387" w:type="dxa"/>
          </w:tcPr>
          <w:p w14:paraId="00C229D5" w14:textId="77777777" w:rsidR="008F5EAB" w:rsidRPr="00DA2347" w:rsidRDefault="008F5EAB" w:rsidP="00DA2347">
            <w:pPr>
              <w:pStyle w:val="NoSpacing"/>
              <w:ind w:left="210" w:firstLine="34"/>
              <w:jc w:val="both"/>
              <w:rPr>
                <w:rFonts w:ascii="Arial" w:hAnsi="Arial" w:cs="Arial"/>
                <w:sz w:val="24"/>
                <w:szCs w:val="24"/>
              </w:rPr>
            </w:pPr>
          </w:p>
        </w:tc>
      </w:tr>
    </w:tbl>
    <w:p w14:paraId="48FDEE37" w14:textId="0FBFD4A9" w:rsidR="00CF16E1" w:rsidRPr="00B90E44" w:rsidRDefault="00B90E44" w:rsidP="00DA2347">
      <w:pPr>
        <w:ind w:left="0"/>
        <w:jc w:val="both"/>
        <w:rPr>
          <w:rFonts w:ascii="Arial" w:hAnsi="Arial" w:cs="Arial"/>
          <w:b/>
          <w:sz w:val="22"/>
          <w:lang w:val="es-EC"/>
        </w:rPr>
      </w:pPr>
      <w:r w:rsidRPr="00B90E44">
        <w:rPr>
          <w:rFonts w:ascii="Arial" w:hAnsi="Arial" w:cs="Arial"/>
          <w:b/>
          <w:sz w:val="22"/>
          <w:lang w:val="es-EC"/>
        </w:rPr>
        <w:t>ABSTRACT</w:t>
      </w:r>
    </w:p>
    <w:p w14:paraId="2A93D86E" w14:textId="0811DA6D" w:rsidR="008D6C1A" w:rsidRPr="00BD0D08" w:rsidRDefault="008D6C1A" w:rsidP="00DA2347">
      <w:pPr>
        <w:ind w:left="0"/>
        <w:jc w:val="both"/>
        <w:rPr>
          <w:rFonts w:ascii="Arial" w:hAnsi="Arial" w:cs="Arial"/>
          <w:sz w:val="20"/>
          <w:szCs w:val="20"/>
          <w:lang w:val="en"/>
        </w:rPr>
      </w:pPr>
      <w:r w:rsidRPr="00BD0D08">
        <w:rPr>
          <w:rFonts w:ascii="Arial" w:hAnsi="Arial" w:cs="Arial"/>
          <w:sz w:val="20"/>
          <w:szCs w:val="20"/>
          <w:lang w:val="en"/>
        </w:rPr>
        <w:t>An efficient protocol was developed for the induction of somatic embryogenesis and plant regeneration from the apical whorl of two sugarcane varieties (SP 70-1143 and CP 70-1133) grown in the fields of Oran, northwest of Argentina. Callus induction was obtained on MS medium containing 2,4-D (45.25 µM/L) and cefotaxime (0.4 g/L). Rapidly growing nodular calluses were registered, which differentiate</w:t>
      </w:r>
      <w:r w:rsidR="00BD0D08">
        <w:rPr>
          <w:rFonts w:ascii="Arial" w:hAnsi="Arial" w:cs="Arial"/>
          <w:sz w:val="20"/>
          <w:szCs w:val="20"/>
          <w:lang w:val="en"/>
        </w:rPr>
        <w:t>d</w:t>
      </w:r>
      <w:r w:rsidRPr="00BD0D08">
        <w:rPr>
          <w:rFonts w:ascii="Arial" w:hAnsi="Arial" w:cs="Arial"/>
          <w:sz w:val="20"/>
          <w:szCs w:val="20"/>
          <w:lang w:val="en"/>
        </w:rPr>
        <w:t xml:space="preserve"> </w:t>
      </w:r>
      <w:r w:rsidR="00760E5C">
        <w:rPr>
          <w:rFonts w:ascii="Arial" w:hAnsi="Arial" w:cs="Arial"/>
          <w:sz w:val="20"/>
          <w:szCs w:val="20"/>
          <w:lang w:val="en"/>
        </w:rPr>
        <w:t>into</w:t>
      </w:r>
      <w:r w:rsidRPr="00BD0D08">
        <w:rPr>
          <w:rFonts w:ascii="Arial" w:hAnsi="Arial" w:cs="Arial"/>
          <w:sz w:val="20"/>
          <w:szCs w:val="20"/>
          <w:lang w:val="en"/>
        </w:rPr>
        <w:t xml:space="preserve"> somatic embryos. In embryogenic callus formation and proliferation, </w:t>
      </w:r>
      <w:r w:rsidR="00EE6481">
        <w:rPr>
          <w:rFonts w:ascii="Arial" w:hAnsi="Arial" w:cs="Arial"/>
          <w:sz w:val="20"/>
          <w:szCs w:val="20"/>
          <w:lang w:val="en"/>
        </w:rPr>
        <w:t xml:space="preserve">the </w:t>
      </w:r>
      <w:r w:rsidRPr="00BD0D08">
        <w:rPr>
          <w:rFonts w:ascii="Arial" w:hAnsi="Arial" w:cs="Arial"/>
          <w:sz w:val="20"/>
          <w:szCs w:val="20"/>
          <w:lang w:val="en"/>
        </w:rPr>
        <w:t xml:space="preserve">results </w:t>
      </w:r>
      <w:r w:rsidR="00B17551">
        <w:rPr>
          <w:rFonts w:ascii="Arial" w:hAnsi="Arial" w:cs="Arial"/>
          <w:sz w:val="20"/>
          <w:szCs w:val="20"/>
          <w:lang w:val="en"/>
        </w:rPr>
        <w:t>obtained</w:t>
      </w:r>
      <w:r w:rsidR="00EE6481">
        <w:rPr>
          <w:rFonts w:ascii="Arial" w:hAnsi="Arial" w:cs="Arial"/>
          <w:sz w:val="20"/>
          <w:szCs w:val="20"/>
          <w:lang w:val="en"/>
        </w:rPr>
        <w:t xml:space="preserve"> were </w:t>
      </w:r>
      <w:r w:rsidRPr="00BD0D08">
        <w:rPr>
          <w:rFonts w:ascii="Arial" w:hAnsi="Arial" w:cs="Arial"/>
          <w:sz w:val="20"/>
          <w:szCs w:val="20"/>
          <w:lang w:val="en"/>
        </w:rPr>
        <w:t>depend</w:t>
      </w:r>
      <w:r w:rsidR="00EE6481">
        <w:rPr>
          <w:rFonts w:ascii="Arial" w:hAnsi="Arial" w:cs="Arial"/>
          <w:sz w:val="20"/>
          <w:szCs w:val="20"/>
          <w:lang w:val="en"/>
        </w:rPr>
        <w:t>ent</w:t>
      </w:r>
      <w:r w:rsidRPr="00BD0D08">
        <w:rPr>
          <w:rFonts w:ascii="Arial" w:hAnsi="Arial" w:cs="Arial"/>
          <w:sz w:val="20"/>
          <w:szCs w:val="20"/>
          <w:lang w:val="en"/>
        </w:rPr>
        <w:t xml:space="preserve"> on the genotypes evaluated. Shoot formation was effective with BAP (113 µM/L), also with a response influenced by </w:t>
      </w:r>
      <w:r w:rsidR="00B84BA9">
        <w:rPr>
          <w:rFonts w:ascii="Arial" w:hAnsi="Arial" w:cs="Arial"/>
          <w:sz w:val="20"/>
          <w:szCs w:val="20"/>
          <w:lang w:val="en"/>
        </w:rPr>
        <w:t xml:space="preserve">the </w:t>
      </w:r>
      <w:r w:rsidRPr="00BD0D08">
        <w:rPr>
          <w:rFonts w:ascii="Arial" w:hAnsi="Arial" w:cs="Arial"/>
          <w:sz w:val="20"/>
          <w:szCs w:val="20"/>
          <w:lang w:val="en"/>
        </w:rPr>
        <w:t>genotype. In the presence of 2.69 µM/L of ANA, the vitroplantlets showed root formation. To improve the rooting response, a</w:t>
      </w:r>
      <w:r w:rsidR="006D4231">
        <w:rPr>
          <w:rFonts w:ascii="Arial" w:hAnsi="Arial" w:cs="Arial"/>
          <w:sz w:val="20"/>
          <w:szCs w:val="20"/>
          <w:lang w:val="en"/>
        </w:rPr>
        <w:t>n a</w:t>
      </w:r>
      <w:r w:rsidRPr="00BD0D08">
        <w:rPr>
          <w:rFonts w:ascii="Arial" w:hAnsi="Arial" w:cs="Arial"/>
          <w:sz w:val="20"/>
          <w:szCs w:val="20"/>
          <w:lang w:val="en"/>
        </w:rPr>
        <w:t xml:space="preserve">dditional treatment with 2.07 µM/L of K-IBA increased the rooting percentage in the genotype with the lowest response. Under controlled conditions, the vitroplantlets were hardened in plastic containers, </w:t>
      </w:r>
      <w:r w:rsidR="00FD3657">
        <w:rPr>
          <w:rFonts w:ascii="Arial" w:hAnsi="Arial" w:cs="Arial"/>
          <w:sz w:val="20"/>
          <w:szCs w:val="20"/>
          <w:lang w:val="en"/>
        </w:rPr>
        <w:t>reached</w:t>
      </w:r>
      <w:r w:rsidRPr="00BD0D08">
        <w:rPr>
          <w:rFonts w:ascii="Arial" w:hAnsi="Arial" w:cs="Arial"/>
          <w:sz w:val="20"/>
          <w:szCs w:val="20"/>
          <w:lang w:val="en"/>
        </w:rPr>
        <w:t xml:space="preserve"> 100% survival in the acclimatation phase. The vitroplantlets were successfully transferred to field conditions. No morphological alterations were observed in the plants regenerated by embryogenesis. Somatic embryogenesis is a valuable tool for the propagation and genetic improvement of sugarcane.</w:t>
      </w:r>
    </w:p>
    <w:p w14:paraId="7DF9228B" w14:textId="77777777" w:rsidR="00CF16E1" w:rsidRPr="00194AD8" w:rsidRDefault="00CF16E1" w:rsidP="00DA2347">
      <w:pPr>
        <w:ind w:left="0"/>
        <w:jc w:val="both"/>
        <w:rPr>
          <w:rFonts w:ascii="Arial" w:hAnsi="Arial" w:cs="Arial"/>
          <w:sz w:val="22"/>
          <w:lang w:val="es-EC"/>
        </w:rPr>
      </w:pPr>
    </w:p>
    <w:p w14:paraId="59AF313F" w14:textId="1BB372D5" w:rsidR="00CF16E1" w:rsidRPr="00B279A8" w:rsidRDefault="00CF16E1" w:rsidP="00DA2347">
      <w:pPr>
        <w:ind w:left="0"/>
        <w:jc w:val="both"/>
        <w:rPr>
          <w:rFonts w:ascii="Arial" w:hAnsi="Arial" w:cs="Arial"/>
          <w:i/>
          <w:iCs/>
          <w:sz w:val="20"/>
          <w:szCs w:val="20"/>
          <w:lang w:val="es-EC"/>
        </w:rPr>
      </w:pPr>
      <w:r w:rsidRPr="00B279A8">
        <w:rPr>
          <w:rFonts w:ascii="Arial" w:hAnsi="Arial" w:cs="Arial"/>
          <w:i/>
          <w:iCs/>
          <w:sz w:val="20"/>
          <w:szCs w:val="20"/>
          <w:lang w:val="es-EC"/>
        </w:rPr>
        <w:t>Keywords: sugarcane</w:t>
      </w:r>
      <w:r w:rsidR="002B251A">
        <w:rPr>
          <w:rFonts w:ascii="Arial" w:hAnsi="Arial" w:cs="Arial"/>
          <w:i/>
          <w:iCs/>
          <w:sz w:val="20"/>
          <w:szCs w:val="20"/>
          <w:lang w:val="es-EC"/>
        </w:rPr>
        <w:t>;</w:t>
      </w:r>
      <w:r w:rsidRPr="00B279A8">
        <w:rPr>
          <w:rFonts w:ascii="Arial" w:hAnsi="Arial" w:cs="Arial"/>
          <w:i/>
          <w:iCs/>
          <w:sz w:val="20"/>
          <w:szCs w:val="20"/>
          <w:lang w:val="es-EC"/>
        </w:rPr>
        <w:t xml:space="preserve"> embr</w:t>
      </w:r>
      <w:r w:rsidR="008D4712">
        <w:rPr>
          <w:rFonts w:ascii="Arial" w:hAnsi="Arial" w:cs="Arial"/>
          <w:i/>
          <w:iCs/>
          <w:sz w:val="20"/>
          <w:szCs w:val="20"/>
          <w:lang w:val="es-EC"/>
        </w:rPr>
        <w:t>y</w:t>
      </w:r>
      <w:r w:rsidRPr="00B279A8">
        <w:rPr>
          <w:rFonts w:ascii="Arial" w:hAnsi="Arial" w:cs="Arial"/>
          <w:i/>
          <w:iCs/>
          <w:sz w:val="20"/>
          <w:szCs w:val="20"/>
          <w:lang w:val="es-EC"/>
        </w:rPr>
        <w:t>ogenic callus</w:t>
      </w:r>
      <w:r w:rsidR="002B251A">
        <w:rPr>
          <w:rFonts w:ascii="Arial" w:hAnsi="Arial" w:cs="Arial"/>
          <w:i/>
          <w:iCs/>
          <w:sz w:val="20"/>
          <w:szCs w:val="20"/>
          <w:lang w:val="es-EC"/>
        </w:rPr>
        <w:t>;</w:t>
      </w:r>
      <w:r w:rsidR="005C38BE" w:rsidRPr="00B279A8">
        <w:rPr>
          <w:rFonts w:ascii="Arial" w:hAnsi="Arial" w:cs="Arial"/>
          <w:i/>
          <w:iCs/>
          <w:sz w:val="20"/>
          <w:szCs w:val="20"/>
          <w:lang w:val="es-EC"/>
        </w:rPr>
        <w:t xml:space="preserve"> rooting</w:t>
      </w:r>
      <w:r w:rsidR="002B251A">
        <w:rPr>
          <w:rFonts w:ascii="Arial" w:hAnsi="Arial" w:cs="Arial"/>
          <w:i/>
          <w:iCs/>
          <w:sz w:val="20"/>
          <w:szCs w:val="20"/>
          <w:lang w:val="es-EC"/>
        </w:rPr>
        <w:t>;</w:t>
      </w:r>
      <w:r w:rsidR="00A73FC2" w:rsidRPr="00B279A8">
        <w:rPr>
          <w:rFonts w:ascii="Arial" w:hAnsi="Arial" w:cs="Arial"/>
          <w:i/>
          <w:iCs/>
          <w:sz w:val="20"/>
          <w:szCs w:val="20"/>
          <w:lang w:val="es-EC"/>
        </w:rPr>
        <w:t xml:space="preserve"> </w:t>
      </w:r>
      <w:r w:rsidR="004C6CA6" w:rsidRPr="00B279A8">
        <w:rPr>
          <w:rFonts w:ascii="Arial" w:hAnsi="Arial" w:cs="Arial"/>
          <w:i/>
          <w:iCs/>
          <w:sz w:val="20"/>
          <w:szCs w:val="20"/>
          <w:lang w:val="es-EC"/>
        </w:rPr>
        <w:t>acclimat</w:t>
      </w:r>
      <w:r w:rsidR="003324D6" w:rsidRPr="00B279A8">
        <w:rPr>
          <w:rFonts w:ascii="Arial" w:hAnsi="Arial" w:cs="Arial"/>
          <w:i/>
          <w:iCs/>
          <w:sz w:val="20"/>
          <w:szCs w:val="20"/>
          <w:lang w:val="es-EC"/>
        </w:rPr>
        <w:t>ation</w:t>
      </w:r>
      <w:r w:rsidRPr="00B279A8">
        <w:rPr>
          <w:rFonts w:ascii="Arial" w:hAnsi="Arial" w:cs="Arial"/>
          <w:i/>
          <w:iCs/>
          <w:sz w:val="20"/>
          <w:szCs w:val="20"/>
          <w:lang w:val="es-EC"/>
        </w:rPr>
        <w:t>.</w:t>
      </w:r>
    </w:p>
    <w:p w14:paraId="31011661" w14:textId="77777777" w:rsidR="00CF16E1" w:rsidRPr="00194AD8" w:rsidRDefault="00CF16E1" w:rsidP="00DA2347">
      <w:pPr>
        <w:jc w:val="both"/>
        <w:rPr>
          <w:rFonts w:ascii="Arial" w:hAnsi="Arial" w:cs="Arial"/>
          <w:b/>
          <w:sz w:val="22"/>
          <w:lang w:val="es-EC"/>
        </w:rPr>
      </w:pPr>
    </w:p>
    <w:p w14:paraId="21FB7552" w14:textId="77777777" w:rsidR="00EF5093" w:rsidRPr="00DA2347" w:rsidRDefault="00EF5093" w:rsidP="00DA2347">
      <w:pPr>
        <w:jc w:val="both"/>
        <w:rPr>
          <w:rFonts w:ascii="Arial" w:hAnsi="Arial" w:cs="Arial"/>
          <w:b/>
          <w:szCs w:val="24"/>
          <w:lang w:val="es-EC"/>
        </w:rPr>
      </w:pPr>
    </w:p>
    <w:p w14:paraId="48B80ABB" w14:textId="46A6670C" w:rsidR="00AA2DC7" w:rsidRPr="001B73ED" w:rsidRDefault="001B73ED" w:rsidP="00DC522B">
      <w:pPr>
        <w:pStyle w:val="Heading1"/>
        <w:numPr>
          <w:ilvl w:val="0"/>
          <w:numId w:val="2"/>
        </w:numPr>
        <w:spacing w:before="0"/>
        <w:ind w:left="0" w:firstLine="0"/>
        <w:jc w:val="both"/>
        <w:rPr>
          <w:rFonts w:ascii="Arial" w:hAnsi="Arial" w:cs="Arial"/>
          <w:color w:val="auto"/>
          <w:sz w:val="22"/>
          <w:szCs w:val="22"/>
        </w:rPr>
      </w:pPr>
      <w:r w:rsidRPr="001B73ED">
        <w:rPr>
          <w:rFonts w:ascii="Arial" w:hAnsi="Arial" w:cs="Arial"/>
          <w:color w:val="auto"/>
          <w:sz w:val="22"/>
          <w:szCs w:val="22"/>
        </w:rPr>
        <w:t>INTRODUCTION</w:t>
      </w:r>
    </w:p>
    <w:p w14:paraId="2F4675DB" w14:textId="195E5FB9" w:rsidR="00B559A0" w:rsidRPr="00E63E63" w:rsidRDefault="003C3C5D" w:rsidP="00E63E63">
      <w:pPr>
        <w:ind w:left="0"/>
        <w:jc w:val="both"/>
        <w:rPr>
          <w:rFonts w:ascii="Arial" w:eastAsiaTheme="minorEastAsia" w:hAnsi="Arial" w:cs="Arial"/>
          <w:sz w:val="20"/>
          <w:szCs w:val="20"/>
          <w:lang w:val="es-AR" w:eastAsia="es-AR"/>
        </w:rPr>
      </w:pPr>
      <w:r w:rsidRPr="00E63E63">
        <w:rPr>
          <w:rFonts w:ascii="Arial" w:eastAsiaTheme="minorEastAsia" w:hAnsi="Arial" w:cs="Arial"/>
          <w:sz w:val="20"/>
          <w:szCs w:val="20"/>
          <w:lang w:eastAsia="es-AR"/>
        </w:rPr>
        <w:t>Sugarcane is a commercially important crop grown in tropical and subtropical areas. It plays an important role in the global economy</w:t>
      </w:r>
      <w:r w:rsidR="0096485B" w:rsidRPr="00E63E63">
        <w:rPr>
          <w:rFonts w:ascii="Arial" w:eastAsiaTheme="minorEastAsia" w:hAnsi="Arial" w:cs="Arial"/>
          <w:sz w:val="20"/>
          <w:szCs w:val="20"/>
          <w:lang w:eastAsia="es-AR"/>
        </w:rPr>
        <w:t>. C</w:t>
      </w:r>
      <w:r w:rsidRPr="00E63E63">
        <w:rPr>
          <w:rFonts w:ascii="Arial" w:eastAsiaTheme="minorEastAsia" w:hAnsi="Arial" w:cs="Arial"/>
          <w:sz w:val="20"/>
          <w:szCs w:val="20"/>
          <w:lang w:eastAsia="es-AR"/>
        </w:rPr>
        <w:t>ultivated area</w:t>
      </w:r>
      <w:r w:rsidR="0096485B" w:rsidRPr="00E63E63">
        <w:rPr>
          <w:rFonts w:ascii="Arial" w:eastAsiaTheme="minorEastAsia" w:hAnsi="Arial" w:cs="Arial"/>
          <w:sz w:val="20"/>
          <w:szCs w:val="20"/>
          <w:lang w:eastAsia="es-AR"/>
        </w:rPr>
        <w:t>s</w:t>
      </w:r>
      <w:r w:rsidRPr="00E63E63">
        <w:rPr>
          <w:rFonts w:ascii="Arial" w:eastAsiaTheme="minorEastAsia" w:hAnsi="Arial" w:cs="Arial"/>
          <w:sz w:val="20"/>
          <w:szCs w:val="20"/>
          <w:lang w:eastAsia="es-AR"/>
        </w:rPr>
        <w:t xml:space="preserve"> ha</w:t>
      </w:r>
      <w:r w:rsidR="0096485B" w:rsidRPr="00E63E63">
        <w:rPr>
          <w:rFonts w:ascii="Arial" w:eastAsiaTheme="minorEastAsia" w:hAnsi="Arial" w:cs="Arial"/>
          <w:sz w:val="20"/>
          <w:szCs w:val="20"/>
          <w:lang w:eastAsia="es-AR"/>
        </w:rPr>
        <w:t>ve</w:t>
      </w:r>
      <w:r w:rsidRPr="00E63E63">
        <w:rPr>
          <w:rFonts w:ascii="Arial" w:eastAsiaTheme="minorEastAsia" w:hAnsi="Arial" w:cs="Arial"/>
          <w:sz w:val="20"/>
          <w:szCs w:val="20"/>
          <w:lang w:eastAsia="es-AR"/>
        </w:rPr>
        <w:t xml:space="preserve"> increased in recent years, leading to the expansion of agricultural frontiers into less favorable areas. The industrialization of sugarcane for the production of saccharose and fiber (paper, among other products) is the most important </w:t>
      </w:r>
      <w:r w:rsidR="0096485B" w:rsidRPr="00E63E63">
        <w:rPr>
          <w:rFonts w:ascii="Arial" w:eastAsiaTheme="minorEastAsia" w:hAnsi="Arial" w:cs="Arial"/>
          <w:sz w:val="20"/>
          <w:szCs w:val="20"/>
          <w:lang w:eastAsia="es-AR"/>
        </w:rPr>
        <w:t>goal</w:t>
      </w:r>
      <w:r w:rsidRPr="00E63E63">
        <w:rPr>
          <w:rFonts w:ascii="Arial" w:eastAsiaTheme="minorEastAsia" w:hAnsi="Arial" w:cs="Arial"/>
          <w:sz w:val="20"/>
          <w:szCs w:val="20"/>
          <w:lang w:eastAsia="es-AR"/>
        </w:rPr>
        <w:t>, motivating the increase in production area</w:t>
      </w:r>
      <w:r w:rsidR="001D60DB" w:rsidRPr="00E63E63">
        <w:rPr>
          <w:rFonts w:ascii="Arial" w:eastAsiaTheme="minorEastAsia" w:hAnsi="Arial" w:cs="Arial"/>
          <w:sz w:val="20"/>
          <w:szCs w:val="20"/>
          <w:lang w:eastAsia="es-AR"/>
        </w:rPr>
        <w:t>s</w:t>
      </w:r>
      <w:r w:rsidRPr="00E63E63">
        <w:rPr>
          <w:rFonts w:ascii="Arial" w:eastAsiaTheme="minorEastAsia" w:hAnsi="Arial" w:cs="Arial"/>
          <w:sz w:val="20"/>
          <w:szCs w:val="20"/>
          <w:lang w:eastAsia="es-AR"/>
        </w:rPr>
        <w:t xml:space="preserve">. In Argentina, in the Salta </w:t>
      </w:r>
      <w:r w:rsidR="008D603D" w:rsidRPr="00E63E63">
        <w:rPr>
          <w:rFonts w:ascii="Arial" w:eastAsiaTheme="minorEastAsia" w:hAnsi="Arial" w:cs="Arial"/>
          <w:sz w:val="20"/>
          <w:szCs w:val="20"/>
          <w:lang w:eastAsia="es-AR"/>
        </w:rPr>
        <w:t xml:space="preserve">provinces of </w:t>
      </w:r>
      <w:r w:rsidRPr="00E63E63">
        <w:rPr>
          <w:rFonts w:ascii="Arial" w:eastAsiaTheme="minorEastAsia" w:hAnsi="Arial" w:cs="Arial"/>
          <w:sz w:val="20"/>
          <w:szCs w:val="20"/>
          <w:lang w:eastAsia="es-AR"/>
        </w:rPr>
        <w:t xml:space="preserve">and Jujuy, an area of ​​110,000 hectares of sugarcane is projected to be cultivated by 2024, in addition to the 290,000 hectares in the province of Tucumán. The domestic market typically accounts for 60% of the sugarcane content. 70% of the sugar destined for this market is consumed by industry (bottlers of beverages, bakery products, cookies, dairy products, ice cream, sugar confectionery, sweets, jams, powdered juices, liquor manufacturers, laboratories, etc.); the remaining 30% is fractionated for retail consumption. </w:t>
      </w:r>
      <w:r w:rsidRPr="00E63E63">
        <w:rPr>
          <w:rFonts w:ascii="Arial" w:eastAsiaTheme="minorEastAsia" w:hAnsi="Arial" w:cs="Arial"/>
          <w:sz w:val="20"/>
          <w:szCs w:val="20"/>
          <w:lang w:val="en" w:eastAsia="es-AR"/>
        </w:rPr>
        <w:t xml:space="preserve">Exports vary depending on harvest production. Furthermore, the opportunity presented by bioethanol for sugarcane was reflected in the evolution of planted </w:t>
      </w:r>
      <w:r w:rsidR="00CE1C51" w:rsidRPr="00E63E63">
        <w:rPr>
          <w:rFonts w:ascii="Arial" w:eastAsiaTheme="minorEastAsia" w:hAnsi="Arial" w:cs="Arial"/>
          <w:sz w:val="20"/>
          <w:szCs w:val="20"/>
          <w:lang w:val="en" w:eastAsia="es-AR"/>
        </w:rPr>
        <w:t>areas</w:t>
      </w:r>
      <w:r w:rsidRPr="00E63E63">
        <w:rPr>
          <w:rFonts w:ascii="Arial" w:eastAsiaTheme="minorEastAsia" w:hAnsi="Arial" w:cs="Arial"/>
          <w:sz w:val="20"/>
          <w:szCs w:val="20"/>
          <w:lang w:val="en" w:eastAsia="es-AR"/>
        </w:rPr>
        <w:t xml:space="preserve">, which grew </w:t>
      </w:r>
      <w:r w:rsidR="008D603D" w:rsidRPr="00E63E63">
        <w:rPr>
          <w:rFonts w:ascii="Arial" w:eastAsiaTheme="minorEastAsia" w:hAnsi="Arial" w:cs="Arial"/>
          <w:sz w:val="20"/>
          <w:szCs w:val="20"/>
          <w:lang w:val="en" w:eastAsia="es-AR"/>
        </w:rPr>
        <w:t>around</w:t>
      </w:r>
      <w:r w:rsidRPr="00E63E63">
        <w:rPr>
          <w:rFonts w:ascii="Arial" w:eastAsiaTheme="minorEastAsia" w:hAnsi="Arial" w:cs="Arial"/>
          <w:sz w:val="20"/>
          <w:szCs w:val="20"/>
          <w:lang w:val="en" w:eastAsia="es-AR"/>
        </w:rPr>
        <w:t xml:space="preserve"> 32% between 2004 and 2018, and by 2024</w:t>
      </w:r>
      <w:r w:rsidR="008D603D" w:rsidRPr="00E63E63">
        <w:rPr>
          <w:rFonts w:ascii="Arial" w:eastAsiaTheme="minorEastAsia" w:hAnsi="Arial" w:cs="Arial"/>
          <w:sz w:val="20"/>
          <w:szCs w:val="20"/>
          <w:lang w:val="en" w:eastAsia="es-AR"/>
        </w:rPr>
        <w:t>, it</w:t>
      </w:r>
      <w:r w:rsidRPr="00E63E63">
        <w:rPr>
          <w:rFonts w:ascii="Arial" w:eastAsiaTheme="minorEastAsia" w:hAnsi="Arial" w:cs="Arial"/>
          <w:sz w:val="20"/>
          <w:szCs w:val="20"/>
          <w:lang w:val="en" w:eastAsia="es-AR"/>
        </w:rPr>
        <w:t xml:space="preserve"> was almost 40% more than before the biofuels law. This opportunity was also projected into alcohol production. At the time the Biofuels Law was enacted, the sector produced approximately 200,000 m</w:t>
      </w:r>
      <w:r w:rsidRPr="004500A8">
        <w:rPr>
          <w:rFonts w:ascii="Arial" w:eastAsiaTheme="minorEastAsia" w:hAnsi="Arial" w:cs="Arial"/>
          <w:sz w:val="20"/>
          <w:szCs w:val="20"/>
          <w:vertAlign w:val="superscript"/>
          <w:lang w:val="en" w:eastAsia="es-AR"/>
        </w:rPr>
        <w:t>3</w:t>
      </w:r>
      <w:r w:rsidRPr="00E63E63">
        <w:rPr>
          <w:rFonts w:ascii="Arial" w:eastAsiaTheme="minorEastAsia" w:hAnsi="Arial" w:cs="Arial"/>
          <w:sz w:val="20"/>
          <w:szCs w:val="20"/>
          <w:lang w:val="en" w:eastAsia="es-AR"/>
        </w:rPr>
        <w:t xml:space="preserve"> of alcohol annually, a volume that tripled to nearly 583,000 m</w:t>
      </w:r>
      <w:r w:rsidRPr="004500A8">
        <w:rPr>
          <w:rFonts w:ascii="Arial" w:eastAsiaTheme="minorEastAsia" w:hAnsi="Arial" w:cs="Arial"/>
          <w:sz w:val="20"/>
          <w:szCs w:val="20"/>
          <w:vertAlign w:val="superscript"/>
          <w:lang w:val="en" w:eastAsia="es-AR"/>
        </w:rPr>
        <w:t>3</w:t>
      </w:r>
      <w:r w:rsidRPr="00E63E63">
        <w:rPr>
          <w:rFonts w:ascii="Arial" w:eastAsiaTheme="minorEastAsia" w:hAnsi="Arial" w:cs="Arial"/>
          <w:sz w:val="20"/>
          <w:szCs w:val="20"/>
          <w:lang w:val="en" w:eastAsia="es-AR"/>
        </w:rPr>
        <w:t xml:space="preserve"> in 2018 and the 600,000 m</w:t>
      </w:r>
      <w:r w:rsidRPr="004500A8">
        <w:rPr>
          <w:rFonts w:ascii="Arial" w:eastAsiaTheme="minorEastAsia" w:hAnsi="Arial" w:cs="Arial"/>
          <w:sz w:val="20"/>
          <w:szCs w:val="20"/>
          <w:vertAlign w:val="superscript"/>
          <w:lang w:val="en" w:eastAsia="es-AR"/>
        </w:rPr>
        <w:t>3</w:t>
      </w:r>
      <w:r w:rsidRPr="00E63E63">
        <w:rPr>
          <w:rFonts w:ascii="Arial" w:eastAsiaTheme="minorEastAsia" w:hAnsi="Arial" w:cs="Arial"/>
          <w:sz w:val="20"/>
          <w:szCs w:val="20"/>
          <w:lang w:val="en" w:eastAsia="es-AR"/>
        </w:rPr>
        <w:t xml:space="preserve"> expected to be reached by 2024 (Digital Magazine of the Argentine Sugar Center</w:t>
      </w:r>
      <w:r w:rsidR="00D628F9" w:rsidRPr="00E63E63">
        <w:rPr>
          <w:rFonts w:ascii="Arial" w:eastAsiaTheme="minorEastAsia" w:hAnsi="Arial" w:cs="Arial"/>
          <w:sz w:val="20"/>
          <w:szCs w:val="20"/>
          <w:lang w:val="en" w:eastAsia="es-AR"/>
        </w:rPr>
        <w:t>,</w:t>
      </w:r>
      <w:r w:rsidRPr="00E63E63">
        <w:rPr>
          <w:rFonts w:ascii="Arial" w:eastAsiaTheme="minorEastAsia" w:hAnsi="Arial" w:cs="Arial"/>
          <w:sz w:val="20"/>
          <w:szCs w:val="20"/>
          <w:lang w:val="en" w:eastAsia="es-AR"/>
        </w:rPr>
        <w:t xml:space="preserve"> 2024).</w:t>
      </w:r>
      <w:r w:rsidR="000B4CF8" w:rsidRPr="00E63E63">
        <w:rPr>
          <w:rFonts w:ascii="Arial" w:eastAsiaTheme="minorEastAsia" w:hAnsi="Arial" w:cs="Arial"/>
          <w:sz w:val="20"/>
          <w:szCs w:val="20"/>
          <w:lang w:val="en" w:eastAsia="es-AR"/>
        </w:rPr>
        <w:t xml:space="preserve"> </w:t>
      </w:r>
      <w:r w:rsidRPr="00E63E63">
        <w:rPr>
          <w:rFonts w:ascii="Arial" w:eastAsiaTheme="minorEastAsia" w:hAnsi="Arial" w:cs="Arial"/>
          <w:sz w:val="20"/>
          <w:szCs w:val="20"/>
          <w:lang w:val="en" w:eastAsia="es-AR"/>
        </w:rPr>
        <w:t xml:space="preserve">Currently, sugarcane cultivars worldwide are the result of interspecific crosses between </w:t>
      </w:r>
      <w:r w:rsidRPr="00E63E63">
        <w:rPr>
          <w:rFonts w:ascii="Arial" w:eastAsiaTheme="minorEastAsia" w:hAnsi="Arial" w:cs="Arial"/>
          <w:i/>
          <w:iCs/>
          <w:sz w:val="20"/>
          <w:szCs w:val="20"/>
          <w:lang w:val="en" w:eastAsia="es-AR"/>
        </w:rPr>
        <w:t>Saccharum officinarum</w:t>
      </w:r>
      <w:r w:rsidRPr="00E63E63">
        <w:rPr>
          <w:rFonts w:ascii="Arial" w:eastAsiaTheme="minorEastAsia" w:hAnsi="Arial" w:cs="Arial"/>
          <w:sz w:val="20"/>
          <w:szCs w:val="20"/>
          <w:lang w:val="en" w:eastAsia="es-AR"/>
        </w:rPr>
        <w:t xml:space="preserve">, </w:t>
      </w:r>
      <w:r w:rsidRPr="00E63E63">
        <w:rPr>
          <w:rFonts w:ascii="Arial" w:eastAsiaTheme="minorEastAsia" w:hAnsi="Arial" w:cs="Arial"/>
          <w:i/>
          <w:iCs/>
          <w:sz w:val="20"/>
          <w:szCs w:val="20"/>
          <w:lang w:val="en" w:eastAsia="es-AR"/>
        </w:rPr>
        <w:t>S. barbieri</w:t>
      </w:r>
      <w:r w:rsidRPr="00E63E63">
        <w:rPr>
          <w:rFonts w:ascii="Arial" w:eastAsiaTheme="minorEastAsia" w:hAnsi="Arial" w:cs="Arial"/>
          <w:sz w:val="20"/>
          <w:szCs w:val="20"/>
          <w:lang w:val="en" w:eastAsia="es-AR"/>
        </w:rPr>
        <w:t xml:space="preserve">, </w:t>
      </w:r>
      <w:r w:rsidRPr="00E63E63">
        <w:rPr>
          <w:rFonts w:ascii="Arial" w:eastAsiaTheme="minorEastAsia" w:hAnsi="Arial" w:cs="Arial"/>
          <w:i/>
          <w:iCs/>
          <w:sz w:val="20"/>
          <w:szCs w:val="20"/>
          <w:lang w:val="en" w:eastAsia="es-AR"/>
        </w:rPr>
        <w:t>S. sinense</w:t>
      </w:r>
      <w:r w:rsidRPr="00E63E63">
        <w:rPr>
          <w:rFonts w:ascii="Arial" w:eastAsiaTheme="minorEastAsia" w:hAnsi="Arial" w:cs="Arial"/>
          <w:sz w:val="20"/>
          <w:szCs w:val="20"/>
          <w:lang w:val="en" w:eastAsia="es-AR"/>
        </w:rPr>
        <w:t xml:space="preserve"> and the wild species </w:t>
      </w:r>
      <w:r w:rsidRPr="00E63E63">
        <w:rPr>
          <w:rFonts w:ascii="Arial" w:eastAsiaTheme="minorEastAsia" w:hAnsi="Arial" w:cs="Arial"/>
          <w:i/>
          <w:iCs/>
          <w:sz w:val="20"/>
          <w:szCs w:val="20"/>
          <w:lang w:val="en" w:eastAsia="es-AR"/>
        </w:rPr>
        <w:t>S.</w:t>
      </w:r>
      <w:r w:rsidRPr="00E63E63">
        <w:rPr>
          <w:rFonts w:ascii="Arial" w:hAnsi="Arial" w:cs="Arial"/>
          <w:i/>
          <w:iCs/>
          <w:sz w:val="20"/>
          <w:szCs w:val="20"/>
          <w:lang w:val="en"/>
        </w:rPr>
        <w:t xml:space="preserve"> </w:t>
      </w:r>
      <w:r w:rsidRPr="00E63E63">
        <w:rPr>
          <w:rFonts w:ascii="Arial" w:eastAsiaTheme="minorEastAsia" w:hAnsi="Arial" w:cs="Arial"/>
          <w:i/>
          <w:iCs/>
          <w:sz w:val="20"/>
          <w:szCs w:val="20"/>
          <w:lang w:val="en" w:eastAsia="es-AR"/>
        </w:rPr>
        <w:t>spontaneum</w:t>
      </w:r>
      <w:r w:rsidRPr="00E63E63">
        <w:rPr>
          <w:rFonts w:ascii="Arial" w:eastAsiaTheme="minorEastAsia" w:hAnsi="Arial" w:cs="Arial"/>
          <w:sz w:val="20"/>
          <w:szCs w:val="20"/>
          <w:lang w:val="en" w:eastAsia="es-AR"/>
        </w:rPr>
        <w:t xml:space="preserve"> and </w:t>
      </w:r>
      <w:r w:rsidRPr="00E63E63">
        <w:rPr>
          <w:rFonts w:ascii="Arial" w:eastAsiaTheme="minorEastAsia" w:hAnsi="Arial" w:cs="Arial"/>
          <w:i/>
          <w:iCs/>
          <w:sz w:val="20"/>
          <w:szCs w:val="20"/>
          <w:lang w:val="en" w:eastAsia="es-AR"/>
        </w:rPr>
        <w:t>S. robustum</w:t>
      </w:r>
      <w:r w:rsidRPr="00E63E63">
        <w:rPr>
          <w:rFonts w:ascii="Arial" w:eastAsiaTheme="minorEastAsia" w:hAnsi="Arial" w:cs="Arial"/>
          <w:sz w:val="20"/>
          <w:szCs w:val="20"/>
          <w:lang w:val="en" w:eastAsia="es-AR"/>
        </w:rPr>
        <w:t xml:space="preserve">, classified as the </w:t>
      </w:r>
      <w:r w:rsidRPr="00E63E63">
        <w:rPr>
          <w:rFonts w:ascii="Arial" w:eastAsiaTheme="minorEastAsia" w:hAnsi="Arial" w:cs="Arial"/>
          <w:i/>
          <w:iCs/>
          <w:sz w:val="20"/>
          <w:szCs w:val="20"/>
          <w:lang w:val="en" w:eastAsia="es-AR"/>
        </w:rPr>
        <w:t>Saccharum spp</w:t>
      </w:r>
      <w:r w:rsidRPr="00E63E63">
        <w:rPr>
          <w:rFonts w:ascii="Arial" w:eastAsiaTheme="minorEastAsia" w:hAnsi="Arial" w:cs="Arial"/>
          <w:sz w:val="20"/>
          <w:szCs w:val="20"/>
          <w:lang w:val="en" w:eastAsia="es-AR"/>
        </w:rPr>
        <w:t xml:space="preserve"> complex (Dibax, 2011). Obtaining new varieties through traditional genetic improvement is a process that requires many years of study and continuous evaluation. Genetic improvement of th</w:t>
      </w:r>
      <w:r w:rsidR="00B13AEC" w:rsidRPr="00E63E63">
        <w:rPr>
          <w:rFonts w:ascii="Arial" w:eastAsiaTheme="minorEastAsia" w:hAnsi="Arial" w:cs="Arial"/>
          <w:sz w:val="20"/>
          <w:szCs w:val="20"/>
          <w:lang w:val="en" w:eastAsia="es-AR"/>
        </w:rPr>
        <w:t>ese</w:t>
      </w:r>
      <w:r w:rsidRPr="00E63E63">
        <w:rPr>
          <w:rFonts w:ascii="Arial" w:eastAsiaTheme="minorEastAsia" w:hAnsi="Arial" w:cs="Arial"/>
          <w:sz w:val="20"/>
          <w:szCs w:val="20"/>
          <w:lang w:val="en" w:eastAsia="es-AR"/>
        </w:rPr>
        <w:t xml:space="preserve"> species, with a complex polyaneuploid genome, is difficult and time-consuming (Rastogi </w:t>
      </w:r>
      <w:r w:rsidR="00CE1C51" w:rsidRPr="00E63E63">
        <w:rPr>
          <w:rFonts w:ascii="Arial" w:eastAsiaTheme="minorEastAsia" w:hAnsi="Arial" w:cs="Arial"/>
          <w:i/>
          <w:iCs/>
          <w:sz w:val="20"/>
          <w:szCs w:val="20"/>
          <w:lang w:val="en" w:eastAsia="es-AR"/>
        </w:rPr>
        <w:t>et al.,</w:t>
      </w:r>
      <w:r w:rsidRPr="00E63E63">
        <w:rPr>
          <w:rFonts w:ascii="Arial" w:eastAsiaTheme="minorEastAsia" w:hAnsi="Arial" w:cs="Arial"/>
          <w:sz w:val="20"/>
          <w:szCs w:val="20"/>
          <w:lang w:val="en" w:eastAsia="es-AR"/>
        </w:rPr>
        <w:t xml:space="preserve"> 2015; Alves and Oropeza, 2015). Conventional propagation methods using cuttings are slow to propagate new commercial varieties; the time between selection and multiplication is more than 10 years (Montes de Oca, 2010).</w:t>
      </w:r>
      <w:r w:rsidR="000476B7" w:rsidRPr="00E63E63">
        <w:rPr>
          <w:rFonts w:ascii="Arial" w:hAnsi="Arial" w:cs="Arial"/>
          <w:sz w:val="20"/>
          <w:szCs w:val="20"/>
          <w:lang w:val="en"/>
        </w:rPr>
        <w:t xml:space="preserve"> </w:t>
      </w:r>
      <w:r w:rsidR="000476B7" w:rsidRPr="00E63E63">
        <w:rPr>
          <w:rFonts w:ascii="Arial" w:eastAsiaTheme="minorEastAsia" w:hAnsi="Arial" w:cs="Arial"/>
          <w:sz w:val="20"/>
          <w:szCs w:val="20"/>
          <w:lang w:val="en" w:eastAsia="es-AR"/>
        </w:rPr>
        <w:t xml:space="preserve">An alternative to this problem is clonal propagation through meristems or axillary buds </w:t>
      </w:r>
      <w:r w:rsidR="00E13581" w:rsidRPr="00E63E63">
        <w:rPr>
          <w:rFonts w:ascii="Arial" w:eastAsiaTheme="minorEastAsia" w:hAnsi="Arial" w:cs="Arial"/>
          <w:i/>
          <w:iCs/>
          <w:sz w:val="20"/>
          <w:szCs w:val="20"/>
          <w:lang w:val="en" w:eastAsia="es-AR"/>
        </w:rPr>
        <w:t xml:space="preserve">in vitro </w:t>
      </w:r>
      <w:r w:rsidR="000476B7" w:rsidRPr="00E63E63">
        <w:rPr>
          <w:rFonts w:ascii="Arial" w:eastAsiaTheme="minorEastAsia" w:hAnsi="Arial" w:cs="Arial"/>
          <w:sz w:val="20"/>
          <w:szCs w:val="20"/>
          <w:lang w:val="en" w:eastAsia="es-AR"/>
        </w:rPr>
        <w:t xml:space="preserve">and the mass production of somatic embryos (Nieves </w:t>
      </w:r>
      <w:r w:rsidR="00CE1C51" w:rsidRPr="00E63E63">
        <w:rPr>
          <w:rFonts w:ascii="Arial" w:eastAsiaTheme="minorEastAsia" w:hAnsi="Arial" w:cs="Arial"/>
          <w:i/>
          <w:iCs/>
          <w:sz w:val="20"/>
          <w:szCs w:val="20"/>
          <w:lang w:val="en" w:eastAsia="es-AR"/>
        </w:rPr>
        <w:t>et al.,</w:t>
      </w:r>
      <w:r w:rsidR="000476B7" w:rsidRPr="00E63E63">
        <w:rPr>
          <w:rFonts w:ascii="Arial" w:eastAsiaTheme="minorEastAsia" w:hAnsi="Arial" w:cs="Arial"/>
          <w:sz w:val="20"/>
          <w:szCs w:val="20"/>
          <w:lang w:val="en" w:eastAsia="es-AR"/>
        </w:rPr>
        <w:t xml:space="preserve"> 2007). In sugarcane, tissue culture techniques </w:t>
      </w:r>
      <w:r w:rsidR="000476B7" w:rsidRPr="00E63E63">
        <w:rPr>
          <w:rFonts w:ascii="Arial" w:eastAsiaTheme="minorEastAsia" w:hAnsi="Arial" w:cs="Arial"/>
          <w:sz w:val="20"/>
          <w:szCs w:val="20"/>
          <w:lang w:val="en" w:eastAsia="es-AR"/>
        </w:rPr>
        <w:lastRenderedPageBreak/>
        <w:t xml:space="preserve">have been widely used for the propagation of elite cultivars, in mutation breeding, and in the generation of somaclonal variation (Raza </w:t>
      </w:r>
      <w:r w:rsidR="00CE1C51" w:rsidRPr="00E63E63">
        <w:rPr>
          <w:rFonts w:ascii="Arial" w:eastAsiaTheme="minorEastAsia" w:hAnsi="Arial" w:cs="Arial"/>
          <w:i/>
          <w:iCs/>
          <w:sz w:val="20"/>
          <w:szCs w:val="20"/>
          <w:lang w:val="en" w:eastAsia="es-AR"/>
        </w:rPr>
        <w:t>et al.,</w:t>
      </w:r>
      <w:r w:rsidR="000476B7" w:rsidRPr="00E63E63">
        <w:rPr>
          <w:rFonts w:ascii="Arial" w:eastAsiaTheme="minorEastAsia" w:hAnsi="Arial" w:cs="Arial"/>
          <w:sz w:val="20"/>
          <w:szCs w:val="20"/>
          <w:lang w:val="en" w:eastAsia="es-AR"/>
        </w:rPr>
        <w:t xml:space="preserve"> 2012).</w:t>
      </w:r>
      <w:r w:rsidR="000476B7" w:rsidRPr="00E63E63">
        <w:rPr>
          <w:rFonts w:ascii="Arial" w:hAnsi="Arial" w:cs="Arial"/>
          <w:sz w:val="20"/>
          <w:szCs w:val="20"/>
          <w:lang w:val="en"/>
        </w:rPr>
        <w:t xml:space="preserve"> </w:t>
      </w:r>
      <w:r w:rsidR="00F06FBC" w:rsidRPr="00E63E63">
        <w:rPr>
          <w:rFonts w:ascii="Arial" w:eastAsiaTheme="minorEastAsia" w:hAnsi="Arial" w:cs="Arial"/>
          <w:sz w:val="20"/>
          <w:szCs w:val="20"/>
          <w:lang w:val="en" w:eastAsia="es-AR"/>
        </w:rPr>
        <w:t>Plant tissue culture is defined as a highly heterogeneous set of techniques, where an explant (a part separated from the donor plant, which may be protoplasts, cells, tissues, or organs) is aseptically grown in an enriched culture medium and incubated under controlled environmental conditions. One of the most reliable and effective methods for plant regeneration is somatic embryo formation.</w:t>
      </w:r>
      <w:r w:rsidR="00F06FBC" w:rsidRPr="00E63E63">
        <w:rPr>
          <w:rFonts w:ascii="Arial" w:hAnsi="Arial" w:cs="Arial"/>
          <w:sz w:val="20"/>
          <w:szCs w:val="20"/>
          <w:lang w:val="en"/>
        </w:rPr>
        <w:t xml:space="preserve"> </w:t>
      </w:r>
      <w:r w:rsidR="00F06FBC" w:rsidRPr="00E63E63">
        <w:rPr>
          <w:rFonts w:ascii="Arial" w:eastAsiaTheme="minorEastAsia" w:hAnsi="Arial" w:cs="Arial"/>
          <w:sz w:val="20"/>
          <w:szCs w:val="20"/>
          <w:lang w:val="en" w:eastAsia="es-AR"/>
        </w:rPr>
        <w:t xml:space="preserve">Plants </w:t>
      </w:r>
      <w:r w:rsidR="00D808A2">
        <w:rPr>
          <w:rFonts w:ascii="Arial" w:eastAsiaTheme="minorEastAsia" w:hAnsi="Arial" w:cs="Arial"/>
          <w:sz w:val="20"/>
          <w:szCs w:val="20"/>
          <w:lang w:val="en" w:eastAsia="es-AR"/>
        </w:rPr>
        <w:t>result</w:t>
      </w:r>
      <w:r w:rsidR="00F06FBC" w:rsidRPr="00E63E63">
        <w:rPr>
          <w:rFonts w:ascii="Arial" w:eastAsiaTheme="minorEastAsia" w:hAnsi="Arial" w:cs="Arial"/>
          <w:sz w:val="20"/>
          <w:szCs w:val="20"/>
          <w:lang w:val="en" w:eastAsia="es-AR"/>
        </w:rPr>
        <w:t>ed this way can be of single-cell origin, and the resulting embryogenic cultures can be used for plant breeding and subsequent genetic analysis. The success of this biotechnological tool depends largely on the origin of the plant material, the composition of the growth medium, the growing conditions, and the variety of the donor plants.</w:t>
      </w:r>
      <w:r w:rsidR="00F06FBC" w:rsidRPr="00E63E63">
        <w:rPr>
          <w:rFonts w:ascii="Arial" w:hAnsi="Arial" w:cs="Arial"/>
          <w:sz w:val="20"/>
          <w:szCs w:val="20"/>
          <w:lang w:val="en"/>
        </w:rPr>
        <w:t xml:space="preserve"> </w:t>
      </w:r>
      <w:r w:rsidR="00F06FBC" w:rsidRPr="00E63E63">
        <w:rPr>
          <w:rFonts w:ascii="Arial" w:eastAsiaTheme="minorEastAsia" w:hAnsi="Arial" w:cs="Arial"/>
          <w:sz w:val="20"/>
          <w:szCs w:val="20"/>
          <w:lang w:val="en" w:eastAsia="es-AR"/>
        </w:rPr>
        <w:t xml:space="preserve">Among these factors, variety represents an important factor influencing the efficiency of this technique (Gandonou </w:t>
      </w:r>
      <w:r w:rsidR="00CE1C51" w:rsidRPr="00E63E63">
        <w:rPr>
          <w:rFonts w:ascii="Arial" w:eastAsiaTheme="minorEastAsia" w:hAnsi="Arial" w:cs="Arial"/>
          <w:i/>
          <w:iCs/>
          <w:sz w:val="20"/>
          <w:szCs w:val="20"/>
          <w:lang w:val="en" w:eastAsia="es-AR"/>
        </w:rPr>
        <w:t>et al.,</w:t>
      </w:r>
      <w:r w:rsidR="00F06FBC" w:rsidRPr="00E63E63">
        <w:rPr>
          <w:rFonts w:ascii="Arial" w:eastAsiaTheme="minorEastAsia" w:hAnsi="Arial" w:cs="Arial"/>
          <w:sz w:val="20"/>
          <w:szCs w:val="20"/>
          <w:lang w:val="en" w:eastAsia="es-AR"/>
        </w:rPr>
        <w:t xml:space="preserve"> 2005). Somatic embryos are sensitive to the application of exogenous products (phytohormones, herbicides, osmotic stress regulators, etc.) and can therefore be used for the </w:t>
      </w:r>
      <w:r w:rsidR="00E13581" w:rsidRPr="00E63E63">
        <w:rPr>
          <w:rFonts w:ascii="Arial" w:eastAsiaTheme="minorEastAsia" w:hAnsi="Arial" w:cs="Arial"/>
          <w:i/>
          <w:iCs/>
          <w:sz w:val="20"/>
          <w:szCs w:val="20"/>
          <w:lang w:val="en" w:eastAsia="es-AR"/>
        </w:rPr>
        <w:t xml:space="preserve">in vitro </w:t>
      </w:r>
      <w:r w:rsidR="00F06FBC" w:rsidRPr="00E63E63">
        <w:rPr>
          <w:rFonts w:ascii="Arial" w:eastAsiaTheme="minorEastAsia" w:hAnsi="Arial" w:cs="Arial"/>
          <w:sz w:val="20"/>
          <w:szCs w:val="20"/>
          <w:lang w:val="en" w:eastAsia="es-AR"/>
        </w:rPr>
        <w:t>detection of varieties resistant to toxins or other factors such as drought or salinity.</w:t>
      </w:r>
      <w:r w:rsidR="00F06FBC" w:rsidRPr="00E63E63">
        <w:rPr>
          <w:rFonts w:ascii="Arial" w:hAnsi="Arial" w:cs="Arial"/>
          <w:sz w:val="20"/>
          <w:szCs w:val="20"/>
          <w:lang w:val="en"/>
        </w:rPr>
        <w:t xml:space="preserve"> </w:t>
      </w:r>
      <w:r w:rsidR="00F06FBC" w:rsidRPr="00E63E63">
        <w:rPr>
          <w:rFonts w:ascii="Arial" w:eastAsiaTheme="minorEastAsia" w:hAnsi="Arial" w:cs="Arial"/>
          <w:sz w:val="20"/>
          <w:szCs w:val="20"/>
          <w:lang w:val="en" w:eastAsia="es-AR"/>
        </w:rPr>
        <w:t xml:space="preserve">The development of an efficient embryogenic system is essential for the application of transgenic technology (Lakshmanan </w:t>
      </w:r>
      <w:r w:rsidR="00CE1C51" w:rsidRPr="00E63E63">
        <w:rPr>
          <w:rFonts w:ascii="Arial" w:eastAsiaTheme="minorEastAsia" w:hAnsi="Arial" w:cs="Arial"/>
          <w:i/>
          <w:iCs/>
          <w:sz w:val="20"/>
          <w:szCs w:val="20"/>
          <w:lang w:val="en" w:eastAsia="es-AR"/>
        </w:rPr>
        <w:t>et al.,</w:t>
      </w:r>
      <w:r w:rsidR="00F06FBC" w:rsidRPr="00E63E63">
        <w:rPr>
          <w:rFonts w:ascii="Arial" w:eastAsiaTheme="minorEastAsia" w:hAnsi="Arial" w:cs="Arial"/>
          <w:sz w:val="20"/>
          <w:szCs w:val="20"/>
          <w:lang w:val="en" w:eastAsia="es-AR"/>
        </w:rPr>
        <w:t xml:space="preserve"> 2006). Sugarcane </w:t>
      </w:r>
      <w:r w:rsidR="00E13581" w:rsidRPr="00E63E63">
        <w:rPr>
          <w:rFonts w:ascii="Arial" w:eastAsiaTheme="minorEastAsia" w:hAnsi="Arial" w:cs="Arial"/>
          <w:i/>
          <w:iCs/>
          <w:sz w:val="20"/>
          <w:szCs w:val="20"/>
          <w:lang w:val="en" w:eastAsia="es-AR"/>
        </w:rPr>
        <w:t xml:space="preserve">in vitro </w:t>
      </w:r>
      <w:r w:rsidR="00F06FBC" w:rsidRPr="00E63E63">
        <w:rPr>
          <w:rFonts w:ascii="Arial" w:eastAsiaTheme="minorEastAsia" w:hAnsi="Arial" w:cs="Arial"/>
          <w:sz w:val="20"/>
          <w:szCs w:val="20"/>
          <w:lang w:val="en" w:eastAsia="es-AR"/>
        </w:rPr>
        <w:t xml:space="preserve">regeneration systems are laborious and require significant time and resources (Nawaz, 2013). The application of this biotechnological tool is appropriate for solving agronomic challenges over conventional techniques, since </w:t>
      </w:r>
      <w:r w:rsidR="00E13581" w:rsidRPr="00E63E63">
        <w:rPr>
          <w:rFonts w:ascii="Arial" w:eastAsiaTheme="minorEastAsia" w:hAnsi="Arial" w:cs="Arial"/>
          <w:i/>
          <w:iCs/>
          <w:sz w:val="20"/>
          <w:szCs w:val="20"/>
          <w:lang w:val="en" w:eastAsia="es-AR"/>
        </w:rPr>
        <w:t xml:space="preserve">in vitro </w:t>
      </w:r>
      <w:r w:rsidR="00F06FBC" w:rsidRPr="00E63E63">
        <w:rPr>
          <w:rFonts w:ascii="Arial" w:eastAsiaTheme="minorEastAsia" w:hAnsi="Arial" w:cs="Arial"/>
          <w:sz w:val="20"/>
          <w:szCs w:val="20"/>
          <w:lang w:val="en" w:eastAsia="es-AR"/>
        </w:rPr>
        <w:t xml:space="preserve">plants grow in a controlled environment (Jamil </w:t>
      </w:r>
      <w:r w:rsidR="00CE1C51" w:rsidRPr="00E63E63">
        <w:rPr>
          <w:rFonts w:ascii="Arial" w:eastAsiaTheme="minorEastAsia" w:hAnsi="Arial" w:cs="Arial"/>
          <w:i/>
          <w:iCs/>
          <w:sz w:val="20"/>
          <w:szCs w:val="20"/>
          <w:lang w:val="en" w:eastAsia="es-AR"/>
        </w:rPr>
        <w:t>et al.,</w:t>
      </w:r>
      <w:r w:rsidR="00F06FBC" w:rsidRPr="00E63E63">
        <w:rPr>
          <w:rFonts w:ascii="Arial" w:eastAsiaTheme="minorEastAsia" w:hAnsi="Arial" w:cs="Arial"/>
          <w:sz w:val="20"/>
          <w:szCs w:val="20"/>
          <w:lang w:val="en" w:eastAsia="es-AR"/>
        </w:rPr>
        <w:t xml:space="preserve"> 2017).</w:t>
      </w:r>
      <w:r w:rsidR="00B559A0" w:rsidRPr="00E63E63">
        <w:rPr>
          <w:rFonts w:ascii="Arial" w:hAnsi="Arial" w:cs="Arial"/>
          <w:sz w:val="20"/>
          <w:szCs w:val="20"/>
          <w:lang w:val="en"/>
        </w:rPr>
        <w:t xml:space="preserve"> </w:t>
      </w:r>
      <w:r w:rsidR="00B559A0" w:rsidRPr="00E63E63">
        <w:rPr>
          <w:rFonts w:ascii="Arial" w:eastAsiaTheme="minorEastAsia" w:hAnsi="Arial" w:cs="Arial"/>
          <w:sz w:val="20"/>
          <w:szCs w:val="20"/>
          <w:lang w:val="en" w:eastAsia="es-AR"/>
        </w:rPr>
        <w:t>Micropropagation allows for a higher multiplication rate for plants propagated asexually. In this context, this work proposes establishing an efficient protocol for vegetative propagation of sugarcane germplasm through embryogenic callus induction, plant regeneration, rooting of vitroplant</w:t>
      </w:r>
      <w:r w:rsidR="002E02F5">
        <w:rPr>
          <w:rFonts w:ascii="Arial" w:eastAsiaTheme="minorEastAsia" w:hAnsi="Arial" w:cs="Arial"/>
          <w:sz w:val="20"/>
          <w:szCs w:val="20"/>
          <w:lang w:val="en" w:eastAsia="es-AR"/>
        </w:rPr>
        <w:t>let</w:t>
      </w:r>
      <w:r w:rsidR="00B559A0" w:rsidRPr="00E63E63">
        <w:rPr>
          <w:rFonts w:ascii="Arial" w:eastAsiaTheme="minorEastAsia" w:hAnsi="Arial" w:cs="Arial"/>
          <w:sz w:val="20"/>
          <w:szCs w:val="20"/>
          <w:lang w:val="en" w:eastAsia="es-AR"/>
        </w:rPr>
        <w:t xml:space="preserve">s, </w:t>
      </w:r>
      <w:r w:rsidR="004C6CA6" w:rsidRPr="00E63E63">
        <w:rPr>
          <w:rFonts w:ascii="Arial" w:eastAsiaTheme="minorEastAsia" w:hAnsi="Arial" w:cs="Arial"/>
          <w:sz w:val="20"/>
          <w:szCs w:val="20"/>
          <w:lang w:val="en" w:eastAsia="es-AR"/>
        </w:rPr>
        <w:t>acclimat</w:t>
      </w:r>
      <w:r w:rsidR="00AF07A7" w:rsidRPr="00E63E63">
        <w:rPr>
          <w:rFonts w:ascii="Arial" w:eastAsiaTheme="minorEastAsia" w:hAnsi="Arial" w:cs="Arial"/>
          <w:sz w:val="20"/>
          <w:szCs w:val="20"/>
          <w:lang w:val="en" w:eastAsia="es-AR"/>
        </w:rPr>
        <w:t>ation</w:t>
      </w:r>
      <w:r w:rsidR="00B559A0" w:rsidRPr="00E63E63">
        <w:rPr>
          <w:rFonts w:ascii="Arial" w:eastAsiaTheme="minorEastAsia" w:hAnsi="Arial" w:cs="Arial"/>
          <w:sz w:val="20"/>
          <w:szCs w:val="20"/>
          <w:lang w:val="en" w:eastAsia="es-AR"/>
        </w:rPr>
        <w:t>, and field transplantation.</w:t>
      </w:r>
    </w:p>
    <w:p w14:paraId="2308634D" w14:textId="3D24243C" w:rsidR="00F06FBC" w:rsidRPr="00DA2347" w:rsidRDefault="00F06FBC" w:rsidP="00DA2347">
      <w:pPr>
        <w:pStyle w:val="NoSpacing"/>
        <w:ind w:firstLine="709"/>
        <w:jc w:val="both"/>
        <w:rPr>
          <w:rFonts w:ascii="Arial" w:hAnsi="Arial" w:cs="Arial"/>
          <w:sz w:val="24"/>
          <w:szCs w:val="24"/>
        </w:rPr>
      </w:pPr>
    </w:p>
    <w:p w14:paraId="260D1B74" w14:textId="13D64024" w:rsidR="00F06FBC" w:rsidRPr="00DA2347" w:rsidRDefault="00F06FBC" w:rsidP="00DA2347">
      <w:pPr>
        <w:pStyle w:val="NoSpacing"/>
        <w:ind w:firstLine="709"/>
        <w:jc w:val="both"/>
        <w:rPr>
          <w:rFonts w:ascii="Arial" w:hAnsi="Arial" w:cs="Arial"/>
          <w:sz w:val="24"/>
          <w:szCs w:val="24"/>
        </w:rPr>
      </w:pPr>
    </w:p>
    <w:p w14:paraId="05B68F3C" w14:textId="7A9E837C" w:rsidR="006E369A" w:rsidRPr="00184109" w:rsidRDefault="00967264" w:rsidP="00DC522B">
      <w:pPr>
        <w:pStyle w:val="Heading1"/>
        <w:numPr>
          <w:ilvl w:val="0"/>
          <w:numId w:val="2"/>
        </w:numPr>
        <w:spacing w:before="0"/>
        <w:ind w:left="0" w:firstLine="0"/>
        <w:jc w:val="both"/>
        <w:rPr>
          <w:rFonts w:ascii="Arial" w:hAnsi="Arial" w:cs="Arial"/>
          <w:color w:val="auto"/>
          <w:sz w:val="22"/>
          <w:szCs w:val="22"/>
        </w:rPr>
      </w:pPr>
      <w:r w:rsidRPr="00184109">
        <w:rPr>
          <w:rFonts w:ascii="Arial" w:hAnsi="Arial" w:cs="Arial"/>
          <w:color w:val="auto"/>
          <w:sz w:val="22"/>
          <w:szCs w:val="22"/>
        </w:rPr>
        <w:t>MATERIALS AND METHODS</w:t>
      </w:r>
    </w:p>
    <w:p w14:paraId="3E78338C" w14:textId="68E19F08" w:rsidR="006E369A" w:rsidRPr="00184109" w:rsidRDefault="006E369A" w:rsidP="00DC522B">
      <w:pPr>
        <w:pStyle w:val="Heading1"/>
        <w:numPr>
          <w:ilvl w:val="1"/>
          <w:numId w:val="4"/>
        </w:numPr>
        <w:spacing w:before="0"/>
        <w:jc w:val="both"/>
        <w:rPr>
          <w:rFonts w:ascii="Arial" w:hAnsi="Arial" w:cs="Arial"/>
          <w:color w:val="auto"/>
          <w:sz w:val="20"/>
          <w:szCs w:val="20"/>
        </w:rPr>
      </w:pPr>
      <w:r w:rsidRPr="00184109">
        <w:rPr>
          <w:rFonts w:ascii="Arial" w:hAnsi="Arial" w:cs="Arial"/>
          <w:color w:val="auto"/>
          <w:sz w:val="20"/>
          <w:szCs w:val="20"/>
        </w:rPr>
        <w:t xml:space="preserve">Induction of embryogenic callus </w:t>
      </w:r>
    </w:p>
    <w:p w14:paraId="36637927" w14:textId="5AEF28C4" w:rsidR="006E369A" w:rsidRPr="00184109" w:rsidRDefault="006E369A" w:rsidP="00DA2347">
      <w:pPr>
        <w:pStyle w:val="NoSpacing"/>
        <w:jc w:val="both"/>
        <w:rPr>
          <w:rFonts w:ascii="Arial" w:hAnsi="Arial" w:cs="Arial"/>
          <w:sz w:val="20"/>
          <w:szCs w:val="20"/>
          <w:lang w:val="en"/>
        </w:rPr>
      </w:pPr>
      <w:r w:rsidRPr="00184109">
        <w:rPr>
          <w:rFonts w:ascii="Arial" w:hAnsi="Arial" w:cs="Arial"/>
          <w:sz w:val="20"/>
          <w:szCs w:val="20"/>
        </w:rPr>
        <w:t xml:space="preserve">To initiate the induction of somatic embryogenesis, meristematic tissues were extracted from the apical whorl of sugarcane plants of 8 months of age, from two varieties SP 70-1143 and CP 70-1133. </w:t>
      </w:r>
      <w:r w:rsidRPr="00184109">
        <w:rPr>
          <w:rFonts w:ascii="Arial" w:hAnsi="Arial" w:cs="Arial"/>
          <w:sz w:val="20"/>
          <w:szCs w:val="20"/>
          <w:lang w:val="en"/>
        </w:rPr>
        <w:t xml:space="preserve">In the laboratory, the outer leaves were removed until a section </w:t>
      </w:r>
      <w:r w:rsidR="008F00B2" w:rsidRPr="00184109">
        <w:rPr>
          <w:rFonts w:ascii="Arial" w:hAnsi="Arial" w:cs="Arial"/>
          <w:sz w:val="20"/>
          <w:szCs w:val="20"/>
          <w:lang w:val="en"/>
        </w:rPr>
        <w:t xml:space="preserve">of </w:t>
      </w:r>
      <w:r w:rsidRPr="00184109">
        <w:rPr>
          <w:rFonts w:ascii="Arial" w:hAnsi="Arial" w:cs="Arial"/>
          <w:sz w:val="20"/>
          <w:szCs w:val="20"/>
          <w:lang w:val="en"/>
        </w:rPr>
        <w:t>approximately 20 cm long, including the last node, remained, protected by juvenile leaf primordia. Under aseptic conditions (laminar flow chamber), this material was washed with a 0.15% w/w Benomyl fungicide solution for 15 minutes, then disinfected with 1% v/v sodium hypochlorite for 20 minutes</w:t>
      </w:r>
      <w:r w:rsidR="00E73DB8" w:rsidRPr="00184109">
        <w:rPr>
          <w:rFonts w:ascii="Arial" w:hAnsi="Arial" w:cs="Arial"/>
          <w:sz w:val="20"/>
          <w:szCs w:val="20"/>
          <w:lang w:val="en"/>
        </w:rPr>
        <w:t>. S</w:t>
      </w:r>
      <w:r w:rsidRPr="00184109">
        <w:rPr>
          <w:rFonts w:ascii="Arial" w:hAnsi="Arial" w:cs="Arial"/>
          <w:sz w:val="20"/>
          <w:szCs w:val="20"/>
          <w:lang w:val="en"/>
        </w:rPr>
        <w:t xml:space="preserve">ubsequently, three washes were </w:t>
      </w:r>
      <w:r w:rsidR="00E73DB8" w:rsidRPr="00184109">
        <w:rPr>
          <w:rFonts w:ascii="Arial" w:hAnsi="Arial" w:cs="Arial"/>
          <w:sz w:val="20"/>
          <w:szCs w:val="20"/>
          <w:lang w:val="en"/>
        </w:rPr>
        <w:t>done</w:t>
      </w:r>
      <w:r w:rsidRPr="00184109">
        <w:rPr>
          <w:rFonts w:ascii="Arial" w:hAnsi="Arial" w:cs="Arial"/>
          <w:sz w:val="20"/>
          <w:szCs w:val="20"/>
          <w:lang w:val="en"/>
        </w:rPr>
        <w:t xml:space="preserve"> with sterile distilled water for 10 minutes each. Once disinfection was complete, a layer of juvenile leaf primordia was removed using sterile dissection instruments, leaving a stem portion </w:t>
      </w:r>
      <w:r w:rsidR="00E73DB8" w:rsidRPr="00184109">
        <w:rPr>
          <w:rFonts w:ascii="Arial" w:hAnsi="Arial" w:cs="Arial"/>
          <w:sz w:val="20"/>
          <w:szCs w:val="20"/>
          <w:lang w:val="en"/>
        </w:rPr>
        <w:t xml:space="preserve">of </w:t>
      </w:r>
      <w:r w:rsidRPr="00184109">
        <w:rPr>
          <w:rFonts w:ascii="Arial" w:hAnsi="Arial" w:cs="Arial"/>
          <w:sz w:val="20"/>
          <w:szCs w:val="20"/>
          <w:lang w:val="en"/>
        </w:rPr>
        <w:t>approximately 1 cm in diameter. Two-mm-thick discs were cut from the stem portion and sown in the culture medium. Murashige Skoog (MS) saline medium and vitamins were used (Murashige and Skoog, 1962). 2,4-D (2,4-dichlorophenoxyacetic acid) was added to the induction culture medium at a concentration of 45.25 µM/L, 20 g/L of sucrose, 0.1 g/L of myo-inositol (PhytoTech Labs, USA) and 7 g/L of agar for solidification. The</w:t>
      </w:r>
      <w:r w:rsidR="000C1829" w:rsidRPr="00184109">
        <w:rPr>
          <w:rFonts w:ascii="Arial" w:hAnsi="Arial" w:cs="Arial"/>
          <w:sz w:val="20"/>
          <w:szCs w:val="20"/>
          <w:lang w:val="en"/>
        </w:rPr>
        <w:t>n,</w:t>
      </w:r>
      <w:r w:rsidRPr="00184109">
        <w:rPr>
          <w:rFonts w:ascii="Arial" w:hAnsi="Arial" w:cs="Arial"/>
          <w:sz w:val="20"/>
          <w:szCs w:val="20"/>
          <w:lang w:val="en"/>
        </w:rPr>
        <w:t xml:space="preserve"> antibiotic Cefotaxime was added to the medium composition at a concentration of 0.4 g/L. The pH of the induction culture medium was adjusted between 6 and 7 before the media was sterilized in an autoclave at 121 ºC at 15 psi for 20 minutes. The experimental unit was defined </w:t>
      </w:r>
      <w:r w:rsidR="002E02F5" w:rsidRPr="002E02F5">
        <w:rPr>
          <w:rFonts w:ascii="Arial" w:hAnsi="Arial" w:cs="Arial"/>
          <w:sz w:val="20"/>
          <w:szCs w:val="20"/>
          <w:lang w:val="en"/>
        </w:rPr>
        <w:t>by a flask of 10 cm in diameter and 10 cm in height, containing 25 ml of culture medium and sealed with PVC film</w:t>
      </w:r>
      <w:r w:rsidR="00FF22A3">
        <w:rPr>
          <w:rFonts w:ascii="Arial" w:hAnsi="Arial" w:cs="Arial"/>
          <w:sz w:val="20"/>
          <w:szCs w:val="20"/>
          <w:lang w:val="en"/>
        </w:rPr>
        <w:t xml:space="preserve">, </w:t>
      </w:r>
      <w:r w:rsidR="00FF22A3" w:rsidRPr="00FF22A3">
        <w:rPr>
          <w:rFonts w:ascii="Arial" w:hAnsi="Arial" w:cs="Arial"/>
          <w:sz w:val="20"/>
          <w:szCs w:val="20"/>
          <w:lang w:val="en"/>
        </w:rPr>
        <w:t>with 5 discs of stem portions</w:t>
      </w:r>
      <w:r w:rsidRPr="00184109">
        <w:rPr>
          <w:rFonts w:ascii="Arial" w:hAnsi="Arial" w:cs="Arial"/>
          <w:sz w:val="20"/>
          <w:szCs w:val="20"/>
          <w:lang w:val="en"/>
        </w:rPr>
        <w:t>. Once the explants were sown in the induction culture medium, they were kept in darkness for 34 days at a temperature of 25 ± 2 °C, with continuous transplants into the same medium</w:t>
      </w:r>
      <w:r w:rsidR="0027489D" w:rsidRPr="00184109">
        <w:rPr>
          <w:rFonts w:ascii="Arial" w:hAnsi="Arial" w:cs="Arial"/>
          <w:sz w:val="20"/>
          <w:szCs w:val="20"/>
          <w:lang w:val="en"/>
        </w:rPr>
        <w:t xml:space="preserve">. Detected </w:t>
      </w:r>
      <w:r w:rsidRPr="00184109">
        <w:rPr>
          <w:rFonts w:ascii="Arial" w:hAnsi="Arial" w:cs="Arial"/>
          <w:sz w:val="20"/>
          <w:szCs w:val="20"/>
          <w:lang w:val="en"/>
        </w:rPr>
        <w:t xml:space="preserve">contaminated explants were discarded. At this stage, the percentage of contamination and callus formation was assessed. The area of ​​the explant that had formed callus was evaluated according to the 5-grade scale of Kryvenki </w:t>
      </w:r>
      <w:r w:rsidRPr="00184109">
        <w:rPr>
          <w:rFonts w:ascii="Arial" w:hAnsi="Arial" w:cs="Arial"/>
          <w:i/>
          <w:iCs/>
          <w:sz w:val="20"/>
          <w:szCs w:val="20"/>
          <w:lang w:val="en"/>
        </w:rPr>
        <w:t>et al.</w:t>
      </w:r>
      <w:r w:rsidRPr="00184109">
        <w:rPr>
          <w:rFonts w:ascii="Arial" w:hAnsi="Arial" w:cs="Arial"/>
          <w:sz w:val="20"/>
          <w:szCs w:val="20"/>
          <w:lang w:val="en"/>
        </w:rPr>
        <w:t xml:space="preserve"> (2008).</w:t>
      </w:r>
    </w:p>
    <w:p w14:paraId="1071C5FB" w14:textId="7BDB696D"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Dead explant,</w:t>
      </w:r>
    </w:p>
    <w:p w14:paraId="77C4DA8A" w14:textId="5D519E28"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Living explant without callus formation,</w:t>
      </w:r>
    </w:p>
    <w:p w14:paraId="5600CE5A" w14:textId="47FF0ECA"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25% of the explant with callus formation,</w:t>
      </w:r>
    </w:p>
    <w:p w14:paraId="77F93406" w14:textId="12A6F624"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50% of the explant with callus formation,</w:t>
      </w:r>
    </w:p>
    <w:p w14:paraId="2E4DC883" w14:textId="35EA9FE7" w:rsidR="006E369A" w:rsidRPr="00184109" w:rsidRDefault="006E369A" w:rsidP="00DC522B">
      <w:pPr>
        <w:pStyle w:val="NoSpacing"/>
        <w:numPr>
          <w:ilvl w:val="0"/>
          <w:numId w:val="3"/>
        </w:numPr>
        <w:jc w:val="both"/>
        <w:rPr>
          <w:rFonts w:ascii="Arial" w:hAnsi="Arial" w:cs="Arial"/>
          <w:sz w:val="20"/>
          <w:szCs w:val="20"/>
          <w:lang w:val="en"/>
        </w:rPr>
      </w:pPr>
      <w:r w:rsidRPr="00184109">
        <w:rPr>
          <w:rFonts w:ascii="Arial" w:hAnsi="Arial" w:cs="Arial"/>
          <w:sz w:val="20"/>
          <w:szCs w:val="20"/>
          <w:lang w:val="en"/>
        </w:rPr>
        <w:t>100% of the explant with callus formation.</w:t>
      </w:r>
    </w:p>
    <w:p w14:paraId="7484D436" w14:textId="07EC9ED7" w:rsidR="006E369A" w:rsidRPr="00184109" w:rsidRDefault="00C50E68" w:rsidP="00DA2347">
      <w:pPr>
        <w:pStyle w:val="NoSpacing"/>
        <w:jc w:val="both"/>
        <w:rPr>
          <w:rFonts w:ascii="Arial" w:hAnsi="Arial" w:cs="Arial"/>
          <w:sz w:val="20"/>
          <w:szCs w:val="20"/>
        </w:rPr>
      </w:pPr>
      <w:r>
        <w:rPr>
          <w:rFonts w:ascii="Arial" w:hAnsi="Arial" w:cs="Arial"/>
          <w:sz w:val="20"/>
          <w:szCs w:val="20"/>
        </w:rPr>
        <w:t>In t</w:t>
      </w:r>
      <w:r w:rsidR="00FF22A3" w:rsidRPr="00FE78E9">
        <w:rPr>
          <w:rFonts w:ascii="Arial" w:hAnsi="Arial" w:cs="Arial"/>
          <w:sz w:val="20"/>
          <w:szCs w:val="20"/>
        </w:rPr>
        <w:t xml:space="preserve">his </w:t>
      </w:r>
      <w:r w:rsidR="00D64F10">
        <w:rPr>
          <w:rFonts w:ascii="Arial" w:hAnsi="Arial" w:cs="Arial"/>
          <w:sz w:val="20"/>
          <w:szCs w:val="20"/>
        </w:rPr>
        <w:t>experiment</w:t>
      </w:r>
      <w:r w:rsidR="00FF22A3" w:rsidRPr="00FE78E9">
        <w:rPr>
          <w:rFonts w:ascii="Arial" w:hAnsi="Arial" w:cs="Arial"/>
          <w:sz w:val="20"/>
          <w:szCs w:val="20"/>
        </w:rPr>
        <w:t xml:space="preserve">, the vitroplantlets regeneration from embryogenic callus and the rooting were conducted using a completely randomized design (CRD) in a 2x2 factorial scheme, with ten replicates. Treatment effects were analyzed using ANOVA, and </w:t>
      </w:r>
      <w:r w:rsidR="007258C8">
        <w:rPr>
          <w:rFonts w:ascii="Arial" w:hAnsi="Arial" w:cs="Arial"/>
          <w:sz w:val="20"/>
          <w:szCs w:val="20"/>
        </w:rPr>
        <w:t xml:space="preserve">the </w:t>
      </w:r>
      <w:r w:rsidR="00FF22A3" w:rsidRPr="00FE78E9">
        <w:rPr>
          <w:rFonts w:ascii="Arial" w:hAnsi="Arial" w:cs="Arial"/>
          <w:sz w:val="20"/>
          <w:szCs w:val="20"/>
        </w:rPr>
        <w:t>means</w:t>
      </w:r>
      <w:r w:rsidR="00BE4349">
        <w:rPr>
          <w:rFonts w:ascii="Arial" w:hAnsi="Arial" w:cs="Arial"/>
          <w:sz w:val="20"/>
          <w:szCs w:val="20"/>
        </w:rPr>
        <w:t xml:space="preserve"> obtained</w:t>
      </w:r>
      <w:r w:rsidR="00FF22A3" w:rsidRPr="00FE78E9">
        <w:rPr>
          <w:rFonts w:ascii="Arial" w:hAnsi="Arial" w:cs="Arial"/>
          <w:sz w:val="20"/>
          <w:szCs w:val="20"/>
        </w:rPr>
        <w:t xml:space="preserve"> were compared using Fisher's multiple range test using INFOSTAT® software.</w:t>
      </w:r>
    </w:p>
    <w:p w14:paraId="153ED717" w14:textId="77777777" w:rsidR="00496735" w:rsidRDefault="00496735" w:rsidP="00DA2347">
      <w:pPr>
        <w:pStyle w:val="NoSpacing"/>
        <w:jc w:val="both"/>
        <w:rPr>
          <w:rFonts w:ascii="Arial" w:hAnsi="Arial" w:cs="Arial"/>
          <w:b/>
          <w:sz w:val="20"/>
          <w:szCs w:val="20"/>
        </w:rPr>
      </w:pPr>
    </w:p>
    <w:p w14:paraId="1B16789B" w14:textId="465064FB" w:rsidR="0056384F" w:rsidRPr="00184109" w:rsidRDefault="001C5BF2" w:rsidP="00DC522B">
      <w:pPr>
        <w:pStyle w:val="NoSpacing"/>
        <w:numPr>
          <w:ilvl w:val="1"/>
          <w:numId w:val="6"/>
        </w:numPr>
        <w:jc w:val="both"/>
        <w:rPr>
          <w:rFonts w:ascii="Arial" w:hAnsi="Arial" w:cs="Arial"/>
          <w:b/>
          <w:sz w:val="20"/>
          <w:szCs w:val="20"/>
        </w:rPr>
      </w:pPr>
      <w:r w:rsidRPr="00184109">
        <w:rPr>
          <w:rFonts w:ascii="Arial" w:hAnsi="Arial" w:cs="Arial"/>
          <w:b/>
          <w:sz w:val="20"/>
          <w:szCs w:val="20"/>
        </w:rPr>
        <w:lastRenderedPageBreak/>
        <w:t>P</w:t>
      </w:r>
      <w:r w:rsidR="0056384F" w:rsidRPr="00184109">
        <w:rPr>
          <w:rFonts w:ascii="Arial" w:hAnsi="Arial" w:cs="Arial"/>
          <w:b/>
          <w:sz w:val="20"/>
          <w:szCs w:val="20"/>
        </w:rPr>
        <w:t>roliferation of embryogenic calluses</w:t>
      </w:r>
    </w:p>
    <w:p w14:paraId="38FA684E" w14:textId="77777777" w:rsidR="0056384F" w:rsidRDefault="0056384F" w:rsidP="00DA2347">
      <w:pPr>
        <w:pStyle w:val="NoSpacing"/>
        <w:jc w:val="both"/>
        <w:rPr>
          <w:rFonts w:ascii="Arial" w:hAnsi="Arial" w:cs="Arial"/>
          <w:sz w:val="20"/>
          <w:szCs w:val="20"/>
        </w:rPr>
      </w:pPr>
      <w:r w:rsidRPr="00184109">
        <w:rPr>
          <w:rFonts w:ascii="Arial" w:hAnsi="Arial" w:cs="Arial"/>
          <w:sz w:val="20"/>
          <w:szCs w:val="20"/>
        </w:rPr>
        <w:t>The embryogenic calli obtained in the dark induction medium (in the stage described previously) were fractionated and subcultured in MS medium (with the same salt and vitamin composition as the previous stage), but without the addition of antibiotics or 2,4D, under a 16-hour photoperiod with light provided by white fluorescent tubes (1000 Lux) at 25 ± 2 °C. Repotting was carried out every 20 days for three subcultures. At the end of this stage, the percentage of embryogenic callus formation was evaluated in both varieties.</w:t>
      </w:r>
    </w:p>
    <w:p w14:paraId="7CA11F97" w14:textId="77777777" w:rsidR="00496735" w:rsidRPr="00184109" w:rsidRDefault="00496735" w:rsidP="00DA2347">
      <w:pPr>
        <w:pStyle w:val="NoSpacing"/>
        <w:jc w:val="both"/>
        <w:rPr>
          <w:rFonts w:ascii="Arial" w:hAnsi="Arial" w:cs="Arial"/>
          <w:sz w:val="20"/>
          <w:szCs w:val="20"/>
        </w:rPr>
      </w:pPr>
    </w:p>
    <w:p w14:paraId="78D494BB" w14:textId="5E437283" w:rsidR="0056384F" w:rsidRPr="00184109" w:rsidRDefault="0056384F" w:rsidP="00DC522B">
      <w:pPr>
        <w:pStyle w:val="NoSpacing"/>
        <w:numPr>
          <w:ilvl w:val="1"/>
          <w:numId w:val="7"/>
        </w:numPr>
        <w:jc w:val="both"/>
        <w:rPr>
          <w:rFonts w:ascii="Arial" w:hAnsi="Arial" w:cs="Arial"/>
          <w:b/>
          <w:sz w:val="20"/>
          <w:szCs w:val="20"/>
        </w:rPr>
      </w:pPr>
      <w:r w:rsidRPr="00184109">
        <w:rPr>
          <w:rFonts w:ascii="Arial" w:hAnsi="Arial" w:cs="Arial"/>
          <w:b/>
          <w:sz w:val="20"/>
          <w:szCs w:val="20"/>
        </w:rPr>
        <w:t xml:space="preserve">Regeneration </w:t>
      </w:r>
      <w:r w:rsidR="00F111F7" w:rsidRPr="00184109">
        <w:rPr>
          <w:rFonts w:ascii="Arial" w:hAnsi="Arial" w:cs="Arial"/>
          <w:b/>
          <w:sz w:val="20"/>
          <w:szCs w:val="20"/>
        </w:rPr>
        <w:t>of vitroplantlets</w:t>
      </w:r>
      <w:r w:rsidRPr="00184109">
        <w:rPr>
          <w:rFonts w:ascii="Arial" w:hAnsi="Arial" w:cs="Arial"/>
          <w:b/>
          <w:sz w:val="20"/>
          <w:szCs w:val="20"/>
        </w:rPr>
        <w:t xml:space="preserve"> from embryogenic callus</w:t>
      </w:r>
    </w:p>
    <w:p w14:paraId="4ED42A73" w14:textId="6554E27E" w:rsidR="007A5355" w:rsidRPr="00184109" w:rsidRDefault="0056384F" w:rsidP="00DA2347">
      <w:pPr>
        <w:pStyle w:val="NoSpacing"/>
        <w:jc w:val="both"/>
        <w:rPr>
          <w:rFonts w:ascii="Arial" w:hAnsi="Arial" w:cs="Arial"/>
          <w:sz w:val="20"/>
          <w:szCs w:val="20"/>
        </w:rPr>
      </w:pPr>
      <w:r w:rsidRPr="00184109">
        <w:rPr>
          <w:rFonts w:ascii="Arial" w:hAnsi="Arial" w:cs="Arial"/>
          <w:sz w:val="20"/>
          <w:szCs w:val="20"/>
        </w:rPr>
        <w:t>In order to different</w:t>
      </w:r>
      <w:r w:rsidR="00146503" w:rsidRPr="00184109">
        <w:rPr>
          <w:rFonts w:ascii="Arial" w:hAnsi="Arial" w:cs="Arial"/>
          <w:sz w:val="20"/>
          <w:szCs w:val="20"/>
        </w:rPr>
        <w:t>ia</w:t>
      </w:r>
      <w:r w:rsidRPr="00184109">
        <w:rPr>
          <w:rFonts w:ascii="Arial" w:hAnsi="Arial" w:cs="Arial"/>
          <w:sz w:val="20"/>
          <w:szCs w:val="20"/>
        </w:rPr>
        <w:t>t</w:t>
      </w:r>
      <w:r w:rsidR="005D75A2" w:rsidRPr="00184109">
        <w:rPr>
          <w:rFonts w:ascii="Arial" w:hAnsi="Arial" w:cs="Arial"/>
          <w:sz w:val="20"/>
          <w:szCs w:val="20"/>
        </w:rPr>
        <w:t>e</w:t>
      </w:r>
      <w:r w:rsidRPr="00184109">
        <w:rPr>
          <w:rFonts w:ascii="Arial" w:hAnsi="Arial" w:cs="Arial"/>
          <w:sz w:val="20"/>
          <w:szCs w:val="20"/>
        </w:rPr>
        <w:t xml:space="preserve"> of </w:t>
      </w:r>
      <w:r w:rsidR="00361150" w:rsidRPr="00361150">
        <w:rPr>
          <w:rFonts w:ascii="Arial" w:hAnsi="Arial" w:cs="Arial"/>
          <w:sz w:val="20"/>
          <w:szCs w:val="20"/>
        </w:rPr>
        <w:t>vitroplantlets</w:t>
      </w:r>
      <w:r w:rsidRPr="00184109">
        <w:rPr>
          <w:rFonts w:ascii="Arial" w:hAnsi="Arial" w:cs="Arial"/>
          <w:sz w:val="20"/>
          <w:szCs w:val="20"/>
        </w:rPr>
        <w:t xml:space="preserve"> from embryogenic callus, two regeneration media (TR1 and TR2) were formulated, based on MS saline and vitamins, varying in the composition of phytohormones, TR1: supplemented with IBA (indole butyric acid) at a concentration of 40µM/L</w:t>
      </w:r>
      <w:r w:rsidR="005D75A2" w:rsidRPr="00184109">
        <w:rPr>
          <w:rFonts w:ascii="Arial" w:hAnsi="Arial" w:cs="Arial"/>
          <w:sz w:val="20"/>
          <w:szCs w:val="20"/>
        </w:rPr>
        <w:t>,</w:t>
      </w:r>
      <w:r w:rsidRPr="00184109">
        <w:rPr>
          <w:rFonts w:ascii="Arial" w:hAnsi="Arial" w:cs="Arial"/>
          <w:sz w:val="20"/>
          <w:szCs w:val="20"/>
        </w:rPr>
        <w:t xml:space="preserve"> and TR2 with BAP (6-benzylaminopurine) at 113 µM/L. </w:t>
      </w:r>
      <w:r w:rsidRPr="00184109">
        <w:rPr>
          <w:rFonts w:ascii="Arial" w:hAnsi="Arial" w:cs="Arial"/>
          <w:sz w:val="20"/>
          <w:szCs w:val="20"/>
          <w:lang w:val="en"/>
        </w:rPr>
        <w:t>The media were supplemented with sucrose at a concentration of 20 g/L and 7 g/L of agar, adjusting the pH as previously described. Calluses were transferred to the respective media</w:t>
      </w:r>
      <w:r w:rsidR="005D75A2" w:rsidRPr="00184109">
        <w:rPr>
          <w:rFonts w:ascii="Arial" w:hAnsi="Arial" w:cs="Arial"/>
          <w:sz w:val="20"/>
          <w:szCs w:val="20"/>
          <w:lang w:val="en"/>
        </w:rPr>
        <w:t xml:space="preserve">, </w:t>
      </w:r>
      <w:r w:rsidRPr="00184109">
        <w:rPr>
          <w:rFonts w:ascii="Arial" w:hAnsi="Arial" w:cs="Arial"/>
          <w:sz w:val="20"/>
          <w:szCs w:val="20"/>
          <w:lang w:val="en"/>
        </w:rPr>
        <w:t xml:space="preserve">the cultures were maintained under a 16-h photoperiod with light provided by white fluorescent tubes (1000 Lux) at 25 ± 2 °C for four weeks, </w:t>
      </w:r>
      <w:r w:rsidR="00476111" w:rsidRPr="00184109">
        <w:rPr>
          <w:rFonts w:ascii="Arial" w:hAnsi="Arial" w:cs="Arial"/>
          <w:sz w:val="20"/>
          <w:szCs w:val="20"/>
          <w:lang w:val="en"/>
        </w:rPr>
        <w:t>and</w:t>
      </w:r>
      <w:r w:rsidRPr="00184109">
        <w:rPr>
          <w:rFonts w:ascii="Arial" w:hAnsi="Arial" w:cs="Arial"/>
          <w:sz w:val="20"/>
          <w:szCs w:val="20"/>
          <w:lang w:val="en"/>
        </w:rPr>
        <w:t xml:space="preserve"> repotting to fresh medium </w:t>
      </w:r>
      <w:r w:rsidR="00146503" w:rsidRPr="00184109">
        <w:rPr>
          <w:rFonts w:ascii="Arial" w:hAnsi="Arial" w:cs="Arial"/>
          <w:sz w:val="20"/>
          <w:szCs w:val="20"/>
          <w:lang w:val="en"/>
        </w:rPr>
        <w:t xml:space="preserve">was done </w:t>
      </w:r>
      <w:r w:rsidRPr="00184109">
        <w:rPr>
          <w:rFonts w:ascii="Arial" w:hAnsi="Arial" w:cs="Arial"/>
          <w:sz w:val="20"/>
          <w:szCs w:val="20"/>
          <w:lang w:val="en"/>
        </w:rPr>
        <w:t>every 10 days.</w:t>
      </w:r>
      <w:r w:rsidR="007A5355" w:rsidRPr="00184109">
        <w:rPr>
          <w:rFonts w:ascii="Arial" w:hAnsi="Arial" w:cs="Arial"/>
          <w:sz w:val="20"/>
          <w:szCs w:val="20"/>
          <w:lang w:val="en"/>
        </w:rPr>
        <w:t xml:space="preserve"> The experimental unit consisted of a flask containing five embryogenic callus masses. After 30 days of culture in the regeneration treatments (RT), the percentage of embryogenic masses that produced shoots was evaluated. The resulting structures were observed under a Zeiss Discovery V8 stereoscopic magnifier.</w:t>
      </w:r>
    </w:p>
    <w:p w14:paraId="2F09E9E8" w14:textId="77777777" w:rsidR="0056384F" w:rsidRPr="00184109" w:rsidRDefault="0056384F" w:rsidP="00DA2347">
      <w:pPr>
        <w:pStyle w:val="NoSpacing"/>
        <w:jc w:val="both"/>
        <w:rPr>
          <w:rFonts w:ascii="Arial" w:hAnsi="Arial" w:cs="Arial"/>
          <w:sz w:val="20"/>
          <w:szCs w:val="20"/>
        </w:rPr>
      </w:pPr>
    </w:p>
    <w:p w14:paraId="41D1B220" w14:textId="77777777" w:rsidR="005672BB" w:rsidRPr="00184109" w:rsidRDefault="005672BB" w:rsidP="00DC522B">
      <w:pPr>
        <w:pStyle w:val="NoSpacing"/>
        <w:numPr>
          <w:ilvl w:val="1"/>
          <w:numId w:val="8"/>
        </w:numPr>
        <w:jc w:val="both"/>
        <w:rPr>
          <w:rFonts w:ascii="Arial" w:hAnsi="Arial" w:cs="Arial"/>
          <w:b/>
          <w:sz w:val="20"/>
          <w:szCs w:val="20"/>
        </w:rPr>
      </w:pPr>
      <w:r w:rsidRPr="00184109">
        <w:rPr>
          <w:rFonts w:ascii="Arial" w:hAnsi="Arial" w:cs="Arial"/>
          <w:b/>
          <w:sz w:val="20"/>
          <w:szCs w:val="20"/>
        </w:rPr>
        <w:t xml:space="preserve">Rooting of </w:t>
      </w:r>
      <w:bookmarkStart w:id="0" w:name="_Hlk209512608"/>
      <w:r w:rsidRPr="00184109">
        <w:rPr>
          <w:rFonts w:ascii="Arial" w:hAnsi="Arial" w:cs="Arial"/>
          <w:b/>
          <w:sz w:val="20"/>
          <w:szCs w:val="20"/>
        </w:rPr>
        <w:t>vitroplantlets</w:t>
      </w:r>
      <w:bookmarkEnd w:id="0"/>
    </w:p>
    <w:p w14:paraId="72290011" w14:textId="005862BA" w:rsidR="004605B2" w:rsidRPr="00184109" w:rsidRDefault="005672BB" w:rsidP="00DA2347">
      <w:pPr>
        <w:pStyle w:val="NoSpacing"/>
        <w:jc w:val="both"/>
        <w:rPr>
          <w:rFonts w:ascii="Arial" w:hAnsi="Arial" w:cs="Arial"/>
          <w:sz w:val="20"/>
          <w:szCs w:val="20"/>
        </w:rPr>
      </w:pPr>
      <w:r w:rsidRPr="00184109">
        <w:rPr>
          <w:rFonts w:ascii="Arial" w:hAnsi="Arial" w:cs="Arial"/>
          <w:sz w:val="20"/>
          <w:szCs w:val="20"/>
        </w:rPr>
        <w:t xml:space="preserve">The rooting experiment began with the </w:t>
      </w:r>
      <w:r w:rsidR="00C25143" w:rsidRPr="00C25143">
        <w:rPr>
          <w:rFonts w:ascii="Arial" w:hAnsi="Arial" w:cs="Arial"/>
          <w:sz w:val="20"/>
          <w:szCs w:val="20"/>
        </w:rPr>
        <w:t xml:space="preserve">vitroplantlets </w:t>
      </w:r>
      <w:r w:rsidRPr="00184109">
        <w:rPr>
          <w:rFonts w:ascii="Arial" w:hAnsi="Arial" w:cs="Arial"/>
          <w:sz w:val="20"/>
          <w:szCs w:val="20"/>
        </w:rPr>
        <w:t xml:space="preserve">obtained from both varieties in the regeneration media (TR1 and TR2) from the previous stage. The first two weeks </w:t>
      </w:r>
      <w:r w:rsidR="00974DED" w:rsidRPr="00184109">
        <w:rPr>
          <w:rFonts w:ascii="Arial" w:hAnsi="Arial" w:cs="Arial"/>
          <w:sz w:val="20"/>
          <w:szCs w:val="20"/>
        </w:rPr>
        <w:t xml:space="preserve">they </w:t>
      </w:r>
      <w:r w:rsidRPr="00184109">
        <w:rPr>
          <w:rFonts w:ascii="Arial" w:hAnsi="Arial" w:cs="Arial"/>
          <w:sz w:val="20"/>
          <w:szCs w:val="20"/>
        </w:rPr>
        <w:t xml:space="preserve">were </w:t>
      </w:r>
      <w:r w:rsidR="00974DED" w:rsidRPr="00184109">
        <w:rPr>
          <w:rFonts w:ascii="Arial" w:hAnsi="Arial" w:cs="Arial"/>
          <w:sz w:val="20"/>
          <w:szCs w:val="20"/>
        </w:rPr>
        <w:t>mantained</w:t>
      </w:r>
      <w:r w:rsidRPr="00184109">
        <w:rPr>
          <w:rFonts w:ascii="Arial" w:hAnsi="Arial" w:cs="Arial"/>
          <w:sz w:val="20"/>
          <w:szCs w:val="20"/>
        </w:rPr>
        <w:t xml:space="preserve"> on </w:t>
      </w:r>
      <w:r w:rsidR="00974DED" w:rsidRPr="00184109">
        <w:rPr>
          <w:rFonts w:ascii="Arial" w:hAnsi="Arial" w:cs="Arial"/>
          <w:sz w:val="20"/>
          <w:szCs w:val="20"/>
        </w:rPr>
        <w:t xml:space="preserve">an </w:t>
      </w:r>
      <w:r w:rsidRPr="00184109">
        <w:rPr>
          <w:rFonts w:ascii="Arial" w:hAnsi="Arial" w:cs="Arial"/>
          <w:sz w:val="20"/>
          <w:szCs w:val="20"/>
        </w:rPr>
        <w:t>MS medium supplemented with 2.69 µM/L of naphthaleneacetic acid (NAA).</w:t>
      </w:r>
      <w:r w:rsidR="004605B2" w:rsidRPr="00184109">
        <w:rPr>
          <w:rFonts w:ascii="Arial" w:hAnsi="Arial" w:cs="Arial"/>
          <w:sz w:val="20"/>
          <w:szCs w:val="20"/>
        </w:rPr>
        <w:t xml:space="preserve"> </w:t>
      </w:r>
      <w:r w:rsidR="004605B2" w:rsidRPr="00184109">
        <w:rPr>
          <w:rFonts w:ascii="Arial" w:hAnsi="Arial" w:cs="Arial"/>
          <w:sz w:val="20"/>
          <w:szCs w:val="20"/>
          <w:lang w:val="en"/>
        </w:rPr>
        <w:t>The vitroplantlets that did not show root formation within the two-week period were transplanted to a second rooting medium supplemented with K-IBA (potassium salt of indolebutyric acid) at a concentration of 2.07 µM/L for one week. The rooting percentage was evaluated at the end of the experiment in both rooting treatments.</w:t>
      </w:r>
    </w:p>
    <w:p w14:paraId="1C9CFB97" w14:textId="77777777" w:rsidR="005672BB" w:rsidRPr="00184109" w:rsidRDefault="005672BB" w:rsidP="00DA2347">
      <w:pPr>
        <w:pStyle w:val="NoSpacing"/>
        <w:jc w:val="both"/>
        <w:rPr>
          <w:rFonts w:ascii="Arial" w:hAnsi="Arial" w:cs="Arial"/>
          <w:sz w:val="20"/>
          <w:szCs w:val="20"/>
        </w:rPr>
      </w:pPr>
    </w:p>
    <w:p w14:paraId="67FE0FBB" w14:textId="050673CF" w:rsidR="0044269B" w:rsidRPr="00184109" w:rsidRDefault="00891679" w:rsidP="00DC522B">
      <w:pPr>
        <w:pStyle w:val="NoSpacing"/>
        <w:numPr>
          <w:ilvl w:val="1"/>
          <w:numId w:val="9"/>
        </w:numPr>
        <w:jc w:val="both"/>
        <w:rPr>
          <w:rFonts w:ascii="Arial" w:hAnsi="Arial" w:cs="Arial"/>
          <w:b/>
          <w:sz w:val="20"/>
          <w:szCs w:val="20"/>
        </w:rPr>
      </w:pPr>
      <w:r w:rsidRPr="00184109">
        <w:rPr>
          <w:rFonts w:ascii="Arial" w:hAnsi="Arial" w:cs="Arial"/>
          <w:b/>
          <w:sz w:val="20"/>
          <w:szCs w:val="20"/>
        </w:rPr>
        <w:t>Acclimat</w:t>
      </w:r>
      <w:r w:rsidR="00520614" w:rsidRPr="00184109">
        <w:rPr>
          <w:rFonts w:ascii="Arial" w:hAnsi="Arial" w:cs="Arial"/>
          <w:b/>
          <w:sz w:val="20"/>
          <w:szCs w:val="20"/>
        </w:rPr>
        <w:t>ation</w:t>
      </w:r>
    </w:p>
    <w:p w14:paraId="7E9D730C" w14:textId="3ABFADB3" w:rsidR="00465484" w:rsidRPr="00184109" w:rsidRDefault="00891679" w:rsidP="00DA2347">
      <w:pPr>
        <w:pStyle w:val="NoSpacing"/>
        <w:jc w:val="both"/>
        <w:rPr>
          <w:rFonts w:ascii="Arial" w:hAnsi="Arial" w:cs="Arial"/>
          <w:sz w:val="20"/>
          <w:szCs w:val="20"/>
        </w:rPr>
      </w:pPr>
      <w:r w:rsidRPr="00184109">
        <w:rPr>
          <w:rFonts w:ascii="Arial" w:hAnsi="Arial" w:cs="Arial"/>
          <w:sz w:val="20"/>
          <w:szCs w:val="20"/>
        </w:rPr>
        <w:t xml:space="preserve">Once the </w:t>
      </w:r>
      <w:r w:rsidR="00653C63" w:rsidRPr="00653C63">
        <w:rPr>
          <w:rFonts w:ascii="Arial" w:hAnsi="Arial" w:cs="Arial"/>
          <w:sz w:val="20"/>
          <w:szCs w:val="20"/>
        </w:rPr>
        <w:t>vitroplantlets</w:t>
      </w:r>
      <w:r w:rsidRPr="00184109">
        <w:rPr>
          <w:rFonts w:ascii="Arial" w:hAnsi="Arial" w:cs="Arial"/>
          <w:sz w:val="20"/>
          <w:szCs w:val="20"/>
        </w:rPr>
        <w:t xml:space="preserve"> were rooted in vitro, the </w:t>
      </w:r>
      <w:r w:rsidR="004C6CA6" w:rsidRPr="00184109">
        <w:rPr>
          <w:rFonts w:ascii="Arial" w:hAnsi="Arial" w:cs="Arial"/>
          <w:sz w:val="20"/>
          <w:szCs w:val="20"/>
        </w:rPr>
        <w:t>acclimatized</w:t>
      </w:r>
      <w:r w:rsidRPr="00184109">
        <w:rPr>
          <w:rFonts w:ascii="Arial" w:hAnsi="Arial" w:cs="Arial"/>
          <w:sz w:val="20"/>
          <w:szCs w:val="20"/>
        </w:rPr>
        <w:t xml:space="preserve"> process to </w:t>
      </w:r>
      <w:r w:rsidR="007425DA" w:rsidRPr="00184109">
        <w:rPr>
          <w:rFonts w:ascii="Arial" w:hAnsi="Arial" w:cs="Arial"/>
          <w:i/>
          <w:iCs/>
          <w:sz w:val="20"/>
          <w:szCs w:val="20"/>
        </w:rPr>
        <w:t xml:space="preserve">ex vitro </w:t>
      </w:r>
      <w:r w:rsidRPr="00184109">
        <w:rPr>
          <w:rFonts w:ascii="Arial" w:hAnsi="Arial" w:cs="Arial"/>
          <w:sz w:val="20"/>
          <w:szCs w:val="20"/>
        </w:rPr>
        <w:t xml:space="preserve">conditions began. The flasks containing the rooted </w:t>
      </w:r>
      <w:r w:rsidR="00653C63" w:rsidRPr="00653C63">
        <w:rPr>
          <w:rFonts w:ascii="Arial" w:hAnsi="Arial" w:cs="Arial"/>
          <w:sz w:val="20"/>
          <w:szCs w:val="20"/>
        </w:rPr>
        <w:t>vitroplantlets</w:t>
      </w:r>
      <w:r w:rsidRPr="00184109">
        <w:rPr>
          <w:rFonts w:ascii="Arial" w:hAnsi="Arial" w:cs="Arial"/>
          <w:sz w:val="20"/>
          <w:szCs w:val="20"/>
        </w:rPr>
        <w:t xml:space="preserve"> were opened. They were washed under running water to remove any remaining culture media. </w:t>
      </w:r>
      <w:r w:rsidRPr="00184109">
        <w:rPr>
          <w:rFonts w:ascii="Arial" w:hAnsi="Arial" w:cs="Arial"/>
          <w:sz w:val="20"/>
          <w:szCs w:val="20"/>
          <w:lang w:val="en"/>
        </w:rPr>
        <w:t xml:space="preserve">The vitroplantlets were transferred to Styrofoam seedling trays with a capacity of 50 seedlings. A substrate composed of equal proportions of perlite and vermiculite was evaluated. The experiment was watered every three days with </w:t>
      </w:r>
      <w:r w:rsidR="00D40FEB" w:rsidRPr="00184109">
        <w:rPr>
          <w:rFonts w:ascii="Arial" w:hAnsi="Arial" w:cs="Arial"/>
          <w:sz w:val="20"/>
          <w:szCs w:val="20"/>
          <w:lang w:val="en"/>
        </w:rPr>
        <w:t>running</w:t>
      </w:r>
      <w:r w:rsidRPr="00184109">
        <w:rPr>
          <w:rFonts w:ascii="Arial" w:hAnsi="Arial" w:cs="Arial"/>
          <w:sz w:val="20"/>
          <w:szCs w:val="20"/>
          <w:lang w:val="en"/>
        </w:rPr>
        <w:t xml:space="preserve"> water. The trays were covered with transparent plastic and kept under controlled temperature conditions of 25±2°C for 15 days.</w:t>
      </w:r>
      <w:r w:rsidR="00465484" w:rsidRPr="00184109">
        <w:rPr>
          <w:rFonts w:ascii="Arial" w:hAnsi="Arial" w:cs="Arial"/>
          <w:sz w:val="20"/>
          <w:szCs w:val="20"/>
          <w:lang w:val="en"/>
        </w:rPr>
        <w:t xml:space="preserve"> </w:t>
      </w:r>
      <w:r w:rsidR="00465484" w:rsidRPr="00184109">
        <w:rPr>
          <w:rFonts w:ascii="Arial" w:hAnsi="Arial" w:cs="Arial"/>
          <w:sz w:val="20"/>
          <w:szCs w:val="20"/>
        </w:rPr>
        <w:t xml:space="preserve">After this time, the plastic cover was gradually opened until the </w:t>
      </w:r>
      <w:r w:rsidR="004B47E2">
        <w:rPr>
          <w:rFonts w:ascii="Arial" w:hAnsi="Arial" w:cs="Arial"/>
          <w:sz w:val="20"/>
          <w:szCs w:val="20"/>
        </w:rPr>
        <w:t>plantlets</w:t>
      </w:r>
      <w:r w:rsidR="00653C63">
        <w:rPr>
          <w:rFonts w:ascii="Arial" w:hAnsi="Arial" w:cs="Arial"/>
          <w:sz w:val="20"/>
          <w:szCs w:val="20"/>
        </w:rPr>
        <w:t xml:space="preserve"> </w:t>
      </w:r>
      <w:r w:rsidR="00653C63" w:rsidRPr="00653C63">
        <w:rPr>
          <w:rFonts w:ascii="Arial" w:hAnsi="Arial" w:cs="Arial"/>
          <w:sz w:val="20"/>
          <w:szCs w:val="20"/>
        </w:rPr>
        <w:t>(obtained from vitropantulas)</w:t>
      </w:r>
      <w:r w:rsidR="00465484" w:rsidRPr="00184109">
        <w:rPr>
          <w:rFonts w:ascii="Arial" w:hAnsi="Arial" w:cs="Arial"/>
          <w:sz w:val="20"/>
          <w:szCs w:val="20"/>
        </w:rPr>
        <w:t xml:space="preserve"> were exposed to </w:t>
      </w:r>
      <w:r w:rsidR="00250FF7" w:rsidRPr="00184109">
        <w:rPr>
          <w:rFonts w:ascii="Arial" w:hAnsi="Arial" w:cs="Arial"/>
          <w:sz w:val="20"/>
          <w:szCs w:val="20"/>
        </w:rPr>
        <w:t>environmental</w:t>
      </w:r>
      <w:r w:rsidR="00465484" w:rsidRPr="00184109">
        <w:rPr>
          <w:rFonts w:ascii="Arial" w:hAnsi="Arial" w:cs="Arial"/>
          <w:sz w:val="20"/>
          <w:szCs w:val="20"/>
        </w:rPr>
        <w:t xml:space="preserve"> conditions. The survival rate for both varieties was evaluated. The resulting plant</w:t>
      </w:r>
      <w:r w:rsidR="002840D0">
        <w:rPr>
          <w:rFonts w:ascii="Arial" w:hAnsi="Arial" w:cs="Arial"/>
          <w:sz w:val="20"/>
          <w:szCs w:val="20"/>
        </w:rPr>
        <w:t>let</w:t>
      </w:r>
      <w:r w:rsidR="00465484" w:rsidRPr="00184109">
        <w:rPr>
          <w:rFonts w:ascii="Arial" w:hAnsi="Arial" w:cs="Arial"/>
          <w:sz w:val="20"/>
          <w:szCs w:val="20"/>
        </w:rPr>
        <w:t>s were transplanted to the field.</w:t>
      </w:r>
    </w:p>
    <w:p w14:paraId="779DF0BA" w14:textId="77777777" w:rsidR="00891679" w:rsidRPr="00DA2347" w:rsidRDefault="00891679" w:rsidP="00DA2347">
      <w:pPr>
        <w:pStyle w:val="NoSpacing"/>
        <w:jc w:val="both"/>
        <w:rPr>
          <w:rFonts w:ascii="Arial" w:hAnsi="Arial" w:cs="Arial"/>
          <w:sz w:val="24"/>
          <w:szCs w:val="24"/>
        </w:rPr>
      </w:pPr>
    </w:p>
    <w:p w14:paraId="24B51081" w14:textId="221B7BA3" w:rsidR="004806BF" w:rsidRPr="003B0F50" w:rsidRDefault="003B0F50" w:rsidP="00DC522B">
      <w:pPr>
        <w:pStyle w:val="Heading1"/>
        <w:numPr>
          <w:ilvl w:val="0"/>
          <w:numId w:val="2"/>
        </w:numPr>
        <w:spacing w:before="0"/>
        <w:ind w:left="0" w:firstLine="0"/>
        <w:jc w:val="both"/>
        <w:rPr>
          <w:rFonts w:ascii="Arial" w:hAnsi="Arial" w:cs="Arial"/>
          <w:color w:val="auto"/>
          <w:sz w:val="22"/>
          <w:szCs w:val="22"/>
        </w:rPr>
      </w:pPr>
      <w:r w:rsidRPr="003B0F50">
        <w:rPr>
          <w:rFonts w:ascii="Arial" w:hAnsi="Arial" w:cs="Arial"/>
          <w:color w:val="auto"/>
          <w:sz w:val="22"/>
          <w:szCs w:val="22"/>
        </w:rPr>
        <w:t xml:space="preserve">RESULTS AND DISCUSSION </w:t>
      </w:r>
    </w:p>
    <w:p w14:paraId="3EFF63B8" w14:textId="77777777" w:rsidR="00EC2C2F" w:rsidRPr="00A339BF" w:rsidRDefault="00EC2C2F" w:rsidP="00DC522B">
      <w:pPr>
        <w:pStyle w:val="Heading1"/>
        <w:numPr>
          <w:ilvl w:val="1"/>
          <w:numId w:val="13"/>
        </w:numPr>
        <w:spacing w:before="0"/>
        <w:jc w:val="both"/>
        <w:rPr>
          <w:rFonts w:ascii="Arial" w:hAnsi="Arial" w:cs="Arial"/>
          <w:color w:val="auto"/>
          <w:sz w:val="22"/>
          <w:szCs w:val="22"/>
        </w:rPr>
      </w:pPr>
      <w:r w:rsidRPr="00A339BF">
        <w:rPr>
          <w:rFonts w:ascii="Arial" w:hAnsi="Arial" w:cs="Arial"/>
          <w:color w:val="auto"/>
          <w:sz w:val="22"/>
          <w:szCs w:val="22"/>
        </w:rPr>
        <w:t xml:space="preserve">Induction of embryogenic callus </w:t>
      </w:r>
    </w:p>
    <w:p w14:paraId="1A552002" w14:textId="44B44A03" w:rsidR="00E86A7A" w:rsidRDefault="008F0118" w:rsidP="00DA2347">
      <w:pPr>
        <w:pStyle w:val="NoSpacing"/>
        <w:jc w:val="both"/>
        <w:rPr>
          <w:rFonts w:ascii="Arial" w:hAnsi="Arial" w:cs="Arial"/>
          <w:lang w:val="en"/>
        </w:rPr>
      </w:pPr>
      <w:r w:rsidRPr="00A339BF">
        <w:rPr>
          <w:rFonts w:ascii="Arial" w:hAnsi="Arial" w:cs="Arial"/>
        </w:rPr>
        <w:t xml:space="preserve">The percentage of contamination in the planted explants reached 5% in SP 70-1143 and 20% in CP 70-1133, produced mainly by fungi, unlike </w:t>
      </w:r>
      <w:r w:rsidR="00673EB5" w:rsidRPr="00A339BF">
        <w:rPr>
          <w:rFonts w:ascii="Arial" w:hAnsi="Arial" w:cs="Arial"/>
        </w:rPr>
        <w:t xml:space="preserve">other data available, in </w:t>
      </w:r>
      <w:r w:rsidRPr="00A339BF">
        <w:rPr>
          <w:rFonts w:ascii="Arial" w:hAnsi="Arial" w:cs="Arial"/>
        </w:rPr>
        <w:t xml:space="preserve">which contamination </w:t>
      </w:r>
      <w:r w:rsidR="00673EB5" w:rsidRPr="00A339BF">
        <w:rPr>
          <w:rFonts w:ascii="Arial" w:hAnsi="Arial" w:cs="Arial"/>
        </w:rPr>
        <w:t xml:space="preserve">is attributed </w:t>
      </w:r>
      <w:r w:rsidRPr="00A339BF">
        <w:rPr>
          <w:rFonts w:ascii="Arial" w:hAnsi="Arial" w:cs="Arial"/>
        </w:rPr>
        <w:t xml:space="preserve">to bacterial proliferation (Alvarado Capó, </w:t>
      </w:r>
      <w:r w:rsidR="00CE1C51" w:rsidRPr="00A339BF">
        <w:rPr>
          <w:rFonts w:ascii="Arial" w:hAnsi="Arial" w:cs="Arial"/>
          <w:i/>
          <w:iCs/>
        </w:rPr>
        <w:t>et al.,</w:t>
      </w:r>
      <w:r w:rsidRPr="00A339BF">
        <w:rPr>
          <w:rFonts w:ascii="Arial" w:hAnsi="Arial" w:cs="Arial"/>
        </w:rPr>
        <w:t xml:space="preserve"> 2003).</w:t>
      </w:r>
      <w:r w:rsidR="009E7FE1" w:rsidRPr="00A339BF">
        <w:rPr>
          <w:rFonts w:ascii="Arial" w:hAnsi="Arial" w:cs="Arial"/>
        </w:rPr>
        <w:t xml:space="preserve"> </w:t>
      </w:r>
      <w:r w:rsidR="009E7FE1" w:rsidRPr="00A339BF">
        <w:rPr>
          <w:rFonts w:ascii="Arial" w:hAnsi="Arial" w:cs="Arial"/>
          <w:lang w:val="en"/>
        </w:rPr>
        <w:t xml:space="preserve">In this work, the percentage of contamination </w:t>
      </w:r>
      <w:r w:rsidR="00736287">
        <w:rPr>
          <w:rFonts w:ascii="Arial" w:hAnsi="Arial" w:cs="Arial"/>
          <w:lang w:val="en"/>
        </w:rPr>
        <w:t>attain</w:t>
      </w:r>
      <w:r w:rsidR="009E7FE1" w:rsidRPr="00A339BF">
        <w:rPr>
          <w:rFonts w:ascii="Arial" w:hAnsi="Arial" w:cs="Arial"/>
          <w:lang w:val="en"/>
        </w:rPr>
        <w:t xml:space="preserve">ed with the presence of 0.4 g/L of Cefotaxime in the culture medium is comparable with those reported by Mittal </w:t>
      </w:r>
      <w:r w:rsidR="009E7FE1" w:rsidRPr="003D148B">
        <w:rPr>
          <w:rFonts w:ascii="Arial" w:hAnsi="Arial" w:cs="Arial"/>
          <w:i/>
          <w:iCs/>
          <w:lang w:val="en"/>
        </w:rPr>
        <w:t>et al</w:t>
      </w:r>
      <w:r w:rsidR="009E7FE1" w:rsidRPr="00A339BF">
        <w:rPr>
          <w:rFonts w:ascii="Arial" w:hAnsi="Arial" w:cs="Arial"/>
          <w:lang w:val="en"/>
        </w:rPr>
        <w:t>. (2009) in India for different varieties of sugarcane, who suggest the use of cefotaxime at a concentration of 0.5 g/L.</w:t>
      </w:r>
      <w:r w:rsidR="00101FEE" w:rsidRPr="00A339BF">
        <w:rPr>
          <w:rFonts w:ascii="Arial" w:hAnsi="Arial" w:cs="Arial"/>
          <w:lang w:val="en"/>
        </w:rPr>
        <w:t xml:space="preserve"> Cefotaxime is a b-lactam antibiotic, belonging to the third-generation cephalosporin family, which contributes to maintaining asepsis during the morphogenetic process, inhibiting the synthesis of the bacterial cell wall, producing cell lysis (Selwyn, 1983; Leifert </w:t>
      </w:r>
      <w:r w:rsidR="00CE1C51" w:rsidRPr="00A339BF">
        <w:rPr>
          <w:rFonts w:ascii="Arial" w:hAnsi="Arial" w:cs="Arial"/>
          <w:i/>
          <w:iCs/>
          <w:lang w:val="en"/>
        </w:rPr>
        <w:t>et al.,</w:t>
      </w:r>
      <w:r w:rsidR="00101FEE" w:rsidRPr="00A339BF">
        <w:rPr>
          <w:rFonts w:ascii="Arial" w:hAnsi="Arial" w:cs="Arial"/>
          <w:lang w:val="en"/>
        </w:rPr>
        <w:t xml:space="preserve"> 1990).</w:t>
      </w:r>
      <w:r w:rsidR="00A42696" w:rsidRPr="00A339BF">
        <w:rPr>
          <w:rFonts w:ascii="Arial" w:hAnsi="Arial" w:cs="Arial"/>
          <w:lang w:val="en"/>
        </w:rPr>
        <w:t xml:space="preserve"> It can act as a promoter of somatic embryogenesis, stimulating subsequent shoot regeneration. Mathias and Boyd (1986) propose that the cefotaxime molecule could </w:t>
      </w:r>
      <w:r w:rsidR="00A42696" w:rsidRPr="00A339BF">
        <w:rPr>
          <w:rFonts w:ascii="Arial" w:hAnsi="Arial" w:cs="Arial"/>
          <w:lang w:val="en"/>
        </w:rPr>
        <w:lastRenderedPageBreak/>
        <w:t>mimic the structure of a phytohormone</w:t>
      </w:r>
      <w:r w:rsidR="009F5733" w:rsidRPr="00A339BF">
        <w:rPr>
          <w:rFonts w:ascii="Arial" w:hAnsi="Arial" w:cs="Arial"/>
          <w:lang w:val="en"/>
        </w:rPr>
        <w:t>,</w:t>
      </w:r>
      <w:r w:rsidR="00A42696" w:rsidRPr="00A339BF">
        <w:rPr>
          <w:rFonts w:ascii="Arial" w:hAnsi="Arial" w:cs="Arial"/>
          <w:lang w:val="en"/>
        </w:rPr>
        <w:t xml:space="preserve"> or that the plant metabolizes it as a phytohormone.</w:t>
      </w:r>
      <w:r w:rsidR="00E86A7A" w:rsidRPr="00A339BF">
        <w:rPr>
          <w:rFonts w:ascii="Arial" w:hAnsi="Arial" w:cs="Arial"/>
          <w:lang w:val="en"/>
        </w:rPr>
        <w:t xml:space="preserve"> In both sugarcane varieties, callus formation beg</w:t>
      </w:r>
      <w:r w:rsidR="009F5733" w:rsidRPr="00A339BF">
        <w:rPr>
          <w:rFonts w:ascii="Arial" w:hAnsi="Arial" w:cs="Arial"/>
          <w:lang w:val="en"/>
        </w:rPr>
        <w:t>an</w:t>
      </w:r>
      <w:r w:rsidR="00E86A7A" w:rsidRPr="00A339BF">
        <w:rPr>
          <w:rFonts w:ascii="Arial" w:hAnsi="Arial" w:cs="Arial"/>
          <w:lang w:val="en"/>
        </w:rPr>
        <w:t xml:space="preserve"> between 7 and 10 days after planting in the induction culture medium. The callus initially consist</w:t>
      </w:r>
      <w:r w:rsidR="009F5733" w:rsidRPr="00A339BF">
        <w:rPr>
          <w:rFonts w:ascii="Arial" w:hAnsi="Arial" w:cs="Arial"/>
          <w:lang w:val="en"/>
        </w:rPr>
        <w:t>ed</w:t>
      </w:r>
      <w:r w:rsidR="00E86A7A" w:rsidRPr="00A339BF">
        <w:rPr>
          <w:rFonts w:ascii="Arial" w:hAnsi="Arial" w:cs="Arial"/>
          <w:lang w:val="en"/>
        </w:rPr>
        <w:t xml:space="preserve"> of morphogenic cells that cover the explant cut area. Callus formation </w:t>
      </w:r>
      <w:r w:rsidR="00251472" w:rsidRPr="00A339BF">
        <w:rPr>
          <w:rFonts w:ascii="Arial" w:hAnsi="Arial" w:cs="Arial"/>
          <w:lang w:val="en"/>
        </w:rPr>
        <w:t>was</w:t>
      </w:r>
      <w:r w:rsidR="00E86A7A" w:rsidRPr="00A339BF">
        <w:rPr>
          <w:rFonts w:ascii="Arial" w:hAnsi="Arial" w:cs="Arial"/>
          <w:lang w:val="en"/>
        </w:rPr>
        <w:t xml:space="preserve"> assessed according to the Kryvenki scale between 20 and 34 days after the start of explant incubation (Table 1).</w:t>
      </w:r>
    </w:p>
    <w:p w14:paraId="3E49791F" w14:textId="77777777" w:rsidR="00D74989" w:rsidRDefault="00D74989" w:rsidP="00DA2347">
      <w:pPr>
        <w:pStyle w:val="NoSpacing"/>
        <w:jc w:val="both"/>
        <w:rPr>
          <w:rFonts w:ascii="Arial" w:hAnsi="Arial" w:cs="Arial"/>
          <w:lang w:val="en"/>
        </w:rPr>
      </w:pPr>
    </w:p>
    <w:p w14:paraId="1F913F1B" w14:textId="77777777" w:rsidR="00D74989" w:rsidRPr="00D74989" w:rsidRDefault="00D74989" w:rsidP="00D74989">
      <w:pPr>
        <w:pStyle w:val="NoSpacing"/>
        <w:jc w:val="both"/>
        <w:rPr>
          <w:rFonts w:ascii="Arial" w:hAnsi="Arial" w:cs="Arial"/>
          <w:b/>
          <w:bCs/>
        </w:rPr>
      </w:pPr>
      <w:r w:rsidRPr="00D74989">
        <w:rPr>
          <w:rFonts w:ascii="Arial" w:hAnsi="Arial" w:cs="Arial"/>
          <w:b/>
          <w:bCs/>
        </w:rPr>
        <w:t xml:space="preserve">Table </w:t>
      </w:r>
      <w:r w:rsidRPr="00D74989">
        <w:rPr>
          <w:rFonts w:ascii="Arial" w:hAnsi="Arial" w:cs="Arial"/>
          <w:b/>
          <w:bCs/>
        </w:rPr>
        <w:fldChar w:fldCharType="begin"/>
      </w:r>
      <w:r w:rsidRPr="00D74989">
        <w:rPr>
          <w:rFonts w:ascii="Arial" w:hAnsi="Arial" w:cs="Arial"/>
          <w:b/>
          <w:bCs/>
        </w:rPr>
        <w:instrText xml:space="preserve"> SEQ Table \* ARABIC </w:instrText>
      </w:r>
      <w:r w:rsidRPr="00D74989">
        <w:rPr>
          <w:rFonts w:ascii="Arial" w:hAnsi="Arial" w:cs="Arial"/>
          <w:b/>
          <w:bCs/>
        </w:rPr>
        <w:fldChar w:fldCharType="separate"/>
      </w:r>
      <w:r w:rsidRPr="00D74989">
        <w:rPr>
          <w:rFonts w:ascii="Arial" w:hAnsi="Arial" w:cs="Arial"/>
          <w:b/>
          <w:bCs/>
        </w:rPr>
        <w:t>1</w:t>
      </w:r>
      <w:r w:rsidRPr="00D74989">
        <w:rPr>
          <w:rFonts w:ascii="Arial" w:hAnsi="Arial" w:cs="Arial"/>
          <w:b/>
          <w:bCs/>
        </w:rPr>
        <w:fldChar w:fldCharType="end"/>
      </w:r>
      <w:r w:rsidRPr="00D74989">
        <w:rPr>
          <w:rFonts w:ascii="Arial" w:hAnsi="Arial" w:cs="Arial"/>
          <w:b/>
          <w:bCs/>
        </w:rPr>
        <w:t xml:space="preserve">. </w:t>
      </w:r>
      <w:r w:rsidRPr="00D74989">
        <w:rPr>
          <w:rFonts w:ascii="Arial" w:hAnsi="Arial" w:cs="Arial"/>
          <w:b/>
          <w:bCs/>
          <w:lang w:val="en"/>
        </w:rPr>
        <w:t xml:space="preserve">Area of ​​the explant that formed callus in </w:t>
      </w:r>
      <w:r w:rsidRPr="00D74989">
        <w:rPr>
          <w:rFonts w:ascii="Arial" w:hAnsi="Arial" w:cs="Arial"/>
          <w:b/>
          <w:bCs/>
          <w:i/>
          <w:iCs/>
          <w:lang w:val="en"/>
        </w:rPr>
        <w:t>Saccharum officinarum</w:t>
      </w:r>
      <w:r w:rsidRPr="00D74989">
        <w:rPr>
          <w:rFonts w:ascii="Arial" w:hAnsi="Arial" w:cs="Arial"/>
          <w:b/>
          <w:bCs/>
          <w:lang w:val="en"/>
        </w:rPr>
        <w:t>, between 20 and 34 days after the start of the sowing of explants in the induction culture medium.</w:t>
      </w:r>
    </w:p>
    <w:p w14:paraId="175250F5" w14:textId="77777777" w:rsidR="00D74989" w:rsidRPr="00A339BF" w:rsidRDefault="00D74989" w:rsidP="00DA2347">
      <w:pPr>
        <w:pStyle w:val="NoSpacing"/>
        <w:jc w:val="both"/>
        <w:rPr>
          <w:rFonts w:ascii="Arial" w:hAnsi="Arial" w:cs="Arial"/>
        </w:rPr>
      </w:pPr>
    </w:p>
    <w:p w14:paraId="701BEAD6" w14:textId="4EB99B1B" w:rsidR="00A42696" w:rsidRPr="00A339BF" w:rsidRDefault="00A42696" w:rsidP="00DA2347">
      <w:pPr>
        <w:pStyle w:val="NoSpacing"/>
        <w:jc w:val="both"/>
        <w:rPr>
          <w:rFonts w:ascii="Arial" w:hAnsi="Arial" w:cs="Arial"/>
        </w:rPr>
      </w:pPr>
    </w:p>
    <w:tbl>
      <w:tblPr>
        <w:tblStyle w:val="TableGrid"/>
        <w:tblW w:w="0" w:type="auto"/>
        <w:jc w:val="center"/>
        <w:tblLook w:val="04A0" w:firstRow="1" w:lastRow="0" w:firstColumn="1" w:lastColumn="0" w:noHBand="0" w:noVBand="1"/>
      </w:tblPr>
      <w:tblGrid>
        <w:gridCol w:w="1696"/>
        <w:gridCol w:w="1560"/>
        <w:gridCol w:w="1701"/>
      </w:tblGrid>
      <w:tr w:rsidR="00F73656" w:rsidRPr="00A339BF" w14:paraId="3F980BC9" w14:textId="77777777" w:rsidTr="003011BB">
        <w:trPr>
          <w:jc w:val="center"/>
        </w:trPr>
        <w:tc>
          <w:tcPr>
            <w:tcW w:w="1696" w:type="dxa"/>
          </w:tcPr>
          <w:p w14:paraId="1FEBE60F" w14:textId="77777777" w:rsidR="00B662FD" w:rsidRPr="00A339BF" w:rsidRDefault="00B662FD" w:rsidP="00DA2347">
            <w:pPr>
              <w:pStyle w:val="NoSpacing"/>
              <w:jc w:val="both"/>
              <w:rPr>
                <w:rFonts w:ascii="Arial" w:hAnsi="Arial" w:cs="Arial"/>
              </w:rPr>
            </w:pPr>
            <w:r w:rsidRPr="00A339BF">
              <w:rPr>
                <w:rFonts w:ascii="Arial" w:hAnsi="Arial" w:cs="Arial"/>
                <w:lang w:val="en"/>
              </w:rPr>
              <w:t>Number of days since sowing began</w:t>
            </w:r>
          </w:p>
          <w:p w14:paraId="34566108" w14:textId="3E58547B" w:rsidR="00F73656" w:rsidRPr="00A339BF" w:rsidRDefault="00F73656" w:rsidP="00DA2347">
            <w:pPr>
              <w:pStyle w:val="NoSpacing"/>
              <w:jc w:val="both"/>
              <w:rPr>
                <w:rFonts w:ascii="Arial" w:hAnsi="Arial" w:cs="Arial"/>
                <w:lang w:val="en-US"/>
              </w:rPr>
            </w:pPr>
          </w:p>
        </w:tc>
        <w:tc>
          <w:tcPr>
            <w:tcW w:w="3261" w:type="dxa"/>
            <w:gridSpan w:val="2"/>
          </w:tcPr>
          <w:p w14:paraId="37F18131" w14:textId="77777777" w:rsidR="00B662FD" w:rsidRPr="00A339BF" w:rsidRDefault="00B662FD" w:rsidP="00DA2347">
            <w:pPr>
              <w:pStyle w:val="NoSpacing"/>
              <w:jc w:val="both"/>
              <w:rPr>
                <w:rFonts w:ascii="Arial" w:hAnsi="Arial" w:cs="Arial"/>
              </w:rPr>
            </w:pPr>
            <w:r w:rsidRPr="00A339BF">
              <w:rPr>
                <w:rFonts w:ascii="Arial" w:hAnsi="Arial" w:cs="Arial"/>
                <w:lang w:val="en"/>
              </w:rPr>
              <w:t>Area of ​​the explant that formed callus according to the Kryvenki Scale</w:t>
            </w:r>
          </w:p>
          <w:p w14:paraId="70D53D28" w14:textId="6F804752" w:rsidR="00F73656" w:rsidRPr="00A339BF" w:rsidRDefault="00F73656" w:rsidP="00DA2347">
            <w:pPr>
              <w:pStyle w:val="NoSpacing"/>
              <w:jc w:val="both"/>
              <w:rPr>
                <w:rFonts w:ascii="Arial" w:hAnsi="Arial" w:cs="Arial"/>
                <w:lang w:val="en-US"/>
              </w:rPr>
            </w:pPr>
          </w:p>
        </w:tc>
      </w:tr>
      <w:tr w:rsidR="00F73656" w:rsidRPr="00A339BF" w14:paraId="174836F5" w14:textId="77777777" w:rsidTr="003011BB">
        <w:trPr>
          <w:jc w:val="center"/>
        </w:trPr>
        <w:tc>
          <w:tcPr>
            <w:tcW w:w="1696" w:type="dxa"/>
          </w:tcPr>
          <w:p w14:paraId="4708F95B" w14:textId="77777777" w:rsidR="00F73656" w:rsidRPr="00A339BF" w:rsidRDefault="00F73656" w:rsidP="00DA2347">
            <w:pPr>
              <w:pStyle w:val="NoSpacing"/>
              <w:jc w:val="both"/>
              <w:rPr>
                <w:rFonts w:ascii="Arial" w:hAnsi="Arial" w:cs="Arial"/>
                <w:lang w:val="en-US"/>
              </w:rPr>
            </w:pPr>
          </w:p>
        </w:tc>
        <w:tc>
          <w:tcPr>
            <w:tcW w:w="1560" w:type="dxa"/>
          </w:tcPr>
          <w:p w14:paraId="3E530202" w14:textId="4D4056B0" w:rsidR="00F73656" w:rsidRPr="00A339BF" w:rsidRDefault="00F36FE4" w:rsidP="00DA2347">
            <w:pPr>
              <w:pStyle w:val="NoSpacing"/>
              <w:jc w:val="both"/>
              <w:rPr>
                <w:rFonts w:ascii="Arial" w:hAnsi="Arial" w:cs="Arial"/>
                <w:lang w:val="en-US"/>
              </w:rPr>
            </w:pPr>
            <w:r w:rsidRPr="00A339BF">
              <w:rPr>
                <w:rFonts w:ascii="Arial" w:hAnsi="Arial" w:cs="Arial"/>
              </w:rPr>
              <w:t>SP 70-1143</w:t>
            </w:r>
          </w:p>
        </w:tc>
        <w:tc>
          <w:tcPr>
            <w:tcW w:w="1701" w:type="dxa"/>
          </w:tcPr>
          <w:p w14:paraId="1180DA6D" w14:textId="366BEFAD" w:rsidR="00F73656" w:rsidRPr="00A339BF" w:rsidRDefault="00F36FE4" w:rsidP="00DA2347">
            <w:pPr>
              <w:pStyle w:val="NoSpacing"/>
              <w:jc w:val="both"/>
              <w:rPr>
                <w:rFonts w:ascii="Arial" w:hAnsi="Arial" w:cs="Arial"/>
                <w:lang w:val="en-US"/>
              </w:rPr>
            </w:pPr>
            <w:r w:rsidRPr="00A339BF">
              <w:rPr>
                <w:rFonts w:ascii="Arial" w:hAnsi="Arial" w:cs="Arial"/>
              </w:rPr>
              <w:t>CP 70-1133</w:t>
            </w:r>
          </w:p>
        </w:tc>
      </w:tr>
      <w:tr w:rsidR="00F73656" w:rsidRPr="00A339BF" w14:paraId="7962E8E9" w14:textId="77777777" w:rsidTr="003011BB">
        <w:trPr>
          <w:jc w:val="center"/>
        </w:trPr>
        <w:tc>
          <w:tcPr>
            <w:tcW w:w="1696" w:type="dxa"/>
          </w:tcPr>
          <w:p w14:paraId="487100B0" w14:textId="0A714EBD" w:rsidR="00F73656" w:rsidRPr="00A339BF" w:rsidRDefault="00CE375C" w:rsidP="00DA2347">
            <w:pPr>
              <w:pStyle w:val="NoSpacing"/>
              <w:jc w:val="both"/>
              <w:rPr>
                <w:rFonts w:ascii="Arial" w:hAnsi="Arial" w:cs="Arial"/>
                <w:lang w:val="en-US"/>
              </w:rPr>
            </w:pPr>
            <w:r w:rsidRPr="00A339BF">
              <w:rPr>
                <w:rFonts w:ascii="Arial" w:hAnsi="Arial" w:cs="Arial"/>
                <w:lang w:val="en-US"/>
              </w:rPr>
              <w:t>20</w:t>
            </w:r>
          </w:p>
        </w:tc>
        <w:tc>
          <w:tcPr>
            <w:tcW w:w="1560" w:type="dxa"/>
          </w:tcPr>
          <w:p w14:paraId="323435CE"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3</w:t>
            </w:r>
          </w:p>
        </w:tc>
        <w:tc>
          <w:tcPr>
            <w:tcW w:w="1701" w:type="dxa"/>
          </w:tcPr>
          <w:p w14:paraId="1800FFD2"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2</w:t>
            </w:r>
          </w:p>
        </w:tc>
      </w:tr>
      <w:tr w:rsidR="00F73656" w:rsidRPr="00A339BF" w14:paraId="0D3BFE63" w14:textId="77777777" w:rsidTr="003011BB">
        <w:trPr>
          <w:jc w:val="center"/>
        </w:trPr>
        <w:tc>
          <w:tcPr>
            <w:tcW w:w="1696" w:type="dxa"/>
          </w:tcPr>
          <w:p w14:paraId="628E39BD" w14:textId="19BA4FCA" w:rsidR="00F73656" w:rsidRPr="00A339BF" w:rsidRDefault="00CE375C" w:rsidP="00DA2347">
            <w:pPr>
              <w:pStyle w:val="NoSpacing"/>
              <w:jc w:val="both"/>
              <w:rPr>
                <w:rFonts w:ascii="Arial" w:hAnsi="Arial" w:cs="Arial"/>
                <w:lang w:val="en-US"/>
              </w:rPr>
            </w:pPr>
            <w:r w:rsidRPr="00A339BF">
              <w:rPr>
                <w:rFonts w:ascii="Arial" w:hAnsi="Arial" w:cs="Arial"/>
                <w:lang w:val="en-US"/>
              </w:rPr>
              <w:t>27</w:t>
            </w:r>
          </w:p>
        </w:tc>
        <w:tc>
          <w:tcPr>
            <w:tcW w:w="1560" w:type="dxa"/>
          </w:tcPr>
          <w:p w14:paraId="0549F4AF"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4</w:t>
            </w:r>
          </w:p>
        </w:tc>
        <w:tc>
          <w:tcPr>
            <w:tcW w:w="1701" w:type="dxa"/>
          </w:tcPr>
          <w:p w14:paraId="013C9C12"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3</w:t>
            </w:r>
          </w:p>
        </w:tc>
      </w:tr>
      <w:tr w:rsidR="00F73656" w:rsidRPr="00A339BF" w14:paraId="12BC2371" w14:textId="77777777" w:rsidTr="003011BB">
        <w:trPr>
          <w:jc w:val="center"/>
        </w:trPr>
        <w:tc>
          <w:tcPr>
            <w:tcW w:w="1696" w:type="dxa"/>
          </w:tcPr>
          <w:p w14:paraId="519AD702" w14:textId="0BCA61DF" w:rsidR="00F73656" w:rsidRPr="00A339BF" w:rsidRDefault="00CE375C" w:rsidP="00DA2347">
            <w:pPr>
              <w:pStyle w:val="NoSpacing"/>
              <w:jc w:val="both"/>
              <w:rPr>
                <w:rFonts w:ascii="Arial" w:hAnsi="Arial" w:cs="Arial"/>
                <w:lang w:val="en-US"/>
              </w:rPr>
            </w:pPr>
            <w:r w:rsidRPr="00A339BF">
              <w:rPr>
                <w:rFonts w:ascii="Arial" w:hAnsi="Arial" w:cs="Arial"/>
                <w:lang w:val="en-US"/>
              </w:rPr>
              <w:t>34</w:t>
            </w:r>
          </w:p>
        </w:tc>
        <w:tc>
          <w:tcPr>
            <w:tcW w:w="1560" w:type="dxa"/>
          </w:tcPr>
          <w:p w14:paraId="3C37522A"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5</w:t>
            </w:r>
          </w:p>
        </w:tc>
        <w:tc>
          <w:tcPr>
            <w:tcW w:w="1701" w:type="dxa"/>
          </w:tcPr>
          <w:p w14:paraId="3157DCBE" w14:textId="77777777" w:rsidR="00F73656" w:rsidRPr="00A339BF" w:rsidRDefault="00F73656" w:rsidP="00DA2347">
            <w:pPr>
              <w:pStyle w:val="NoSpacing"/>
              <w:jc w:val="both"/>
              <w:rPr>
                <w:rFonts w:ascii="Arial" w:hAnsi="Arial" w:cs="Arial"/>
                <w:lang w:val="en-US"/>
              </w:rPr>
            </w:pPr>
            <w:r w:rsidRPr="00A339BF">
              <w:rPr>
                <w:rFonts w:ascii="Arial" w:hAnsi="Arial" w:cs="Arial"/>
                <w:lang w:val="en-US"/>
              </w:rPr>
              <w:t>4</w:t>
            </w:r>
          </w:p>
        </w:tc>
      </w:tr>
    </w:tbl>
    <w:p w14:paraId="56A8654A" w14:textId="4DF88C9D" w:rsidR="00F73656" w:rsidRPr="00A339BF" w:rsidRDefault="00D54F24" w:rsidP="00DA2347">
      <w:pPr>
        <w:pStyle w:val="NoSpacing"/>
        <w:jc w:val="both"/>
        <w:rPr>
          <w:rFonts w:ascii="Arial" w:hAnsi="Arial" w:cs="Arial"/>
        </w:rPr>
      </w:pPr>
      <w:r w:rsidRPr="00A339BF">
        <w:rPr>
          <w:rFonts w:ascii="Arial" w:hAnsi="Arial" w:cs="Arial"/>
        </w:rPr>
        <w:t xml:space="preserve">  </w:t>
      </w:r>
    </w:p>
    <w:p w14:paraId="2E813212" w14:textId="01636A9E" w:rsidR="00656C5E" w:rsidRPr="00A339BF" w:rsidRDefault="009E5121" w:rsidP="00DA2347">
      <w:pPr>
        <w:pStyle w:val="NoSpacing"/>
        <w:jc w:val="both"/>
        <w:rPr>
          <w:rFonts w:ascii="Arial" w:hAnsi="Arial" w:cs="Arial"/>
        </w:rPr>
      </w:pPr>
      <w:r w:rsidRPr="00A339BF">
        <w:rPr>
          <w:rFonts w:ascii="Arial" w:hAnsi="Arial" w:cs="Arial"/>
        </w:rPr>
        <w:t xml:space="preserve">SP 70-1143 </w:t>
      </w:r>
      <w:r w:rsidRPr="00967E35">
        <w:rPr>
          <w:rFonts w:ascii="Arial" w:hAnsi="Arial" w:cs="Arial"/>
        </w:rPr>
        <w:t>reached</w:t>
      </w:r>
      <w:r w:rsidRPr="00A339BF">
        <w:rPr>
          <w:rFonts w:ascii="Arial" w:hAnsi="Arial" w:cs="Arial"/>
        </w:rPr>
        <w:t xml:space="preserve"> 80% embryogenic callus formation, and CP 70-1133 </w:t>
      </w:r>
      <w:r w:rsidR="00DA427C">
        <w:rPr>
          <w:rFonts w:ascii="Arial" w:hAnsi="Arial" w:cs="Arial"/>
        </w:rPr>
        <w:t xml:space="preserve">got to </w:t>
      </w:r>
      <w:r w:rsidRPr="00A339BF">
        <w:rPr>
          <w:rFonts w:ascii="Arial" w:hAnsi="Arial" w:cs="Arial"/>
        </w:rPr>
        <w:t>50%. In the callus mass, some cells</w:t>
      </w:r>
      <w:r w:rsidR="00E354F1" w:rsidRPr="00A339BF">
        <w:rPr>
          <w:rFonts w:ascii="Arial" w:hAnsi="Arial" w:cs="Arial"/>
        </w:rPr>
        <w:t xml:space="preserve"> were</w:t>
      </w:r>
      <w:r w:rsidRPr="00A339BF">
        <w:rPr>
          <w:rFonts w:ascii="Arial" w:hAnsi="Arial" w:cs="Arial"/>
        </w:rPr>
        <w:t xml:space="preserve"> divided to form a cellular agglomeration, compatible with proembryogenic structures, which are observed at the periphery of the callus mass. </w:t>
      </w:r>
      <w:r w:rsidRPr="00A339BF">
        <w:rPr>
          <w:rFonts w:ascii="Arial" w:hAnsi="Arial" w:cs="Arial"/>
          <w:lang w:val="en"/>
        </w:rPr>
        <w:t xml:space="preserve">Embryogenic callus characterization was based on texture, color, and response. In SP 70-1143, homogeneous, </w:t>
      </w:r>
      <w:r w:rsidR="00D35511" w:rsidRPr="00A339BF">
        <w:rPr>
          <w:rFonts w:ascii="Arial" w:hAnsi="Arial" w:cs="Arial"/>
          <w:lang w:val="en"/>
        </w:rPr>
        <w:t>yellowish white</w:t>
      </w:r>
      <w:r w:rsidRPr="00A339BF">
        <w:rPr>
          <w:rFonts w:ascii="Arial" w:hAnsi="Arial" w:cs="Arial"/>
          <w:lang w:val="en"/>
        </w:rPr>
        <w:t xml:space="preserve">, loose, and easily disaggregated callus </w:t>
      </w:r>
      <w:r w:rsidR="002133B7" w:rsidRPr="00A339BF">
        <w:rPr>
          <w:rFonts w:ascii="Arial" w:hAnsi="Arial" w:cs="Arial"/>
          <w:lang w:val="en"/>
        </w:rPr>
        <w:t>w</w:t>
      </w:r>
      <w:r w:rsidR="00633B38">
        <w:rPr>
          <w:rFonts w:ascii="Arial" w:hAnsi="Arial" w:cs="Arial"/>
          <w:lang w:val="en"/>
        </w:rPr>
        <w:t>as</w:t>
      </w:r>
      <w:r w:rsidR="002133B7" w:rsidRPr="00A339BF">
        <w:rPr>
          <w:rFonts w:ascii="Arial" w:hAnsi="Arial" w:cs="Arial"/>
          <w:lang w:val="en"/>
        </w:rPr>
        <w:t xml:space="preserve"> not</w:t>
      </w:r>
      <w:r w:rsidRPr="00A339BF">
        <w:rPr>
          <w:rFonts w:ascii="Arial" w:hAnsi="Arial" w:cs="Arial"/>
          <w:lang w:val="en"/>
        </w:rPr>
        <w:t xml:space="preserve">ed (Figure 1 A and B). </w:t>
      </w:r>
      <w:r w:rsidR="009B187F" w:rsidRPr="00A339BF">
        <w:rPr>
          <w:rFonts w:ascii="Arial" w:hAnsi="Arial" w:cs="Arial"/>
          <w:lang w:val="en"/>
        </w:rPr>
        <w:t xml:space="preserve">A </w:t>
      </w:r>
      <w:r w:rsidR="00D35511" w:rsidRPr="00A339BF">
        <w:rPr>
          <w:rFonts w:ascii="Arial" w:hAnsi="Arial" w:cs="Arial"/>
          <w:lang w:val="en"/>
        </w:rPr>
        <w:t>limited</w:t>
      </w:r>
      <w:r w:rsidRPr="00A339BF">
        <w:rPr>
          <w:rFonts w:ascii="Arial" w:hAnsi="Arial" w:cs="Arial"/>
          <w:lang w:val="en"/>
        </w:rPr>
        <w:t xml:space="preserve"> embryogenic callus formation was</w:t>
      </w:r>
      <w:r w:rsidR="009B187F" w:rsidRPr="00A339BF">
        <w:rPr>
          <w:rFonts w:ascii="Arial" w:hAnsi="Arial" w:cs="Arial"/>
          <w:lang w:val="en"/>
        </w:rPr>
        <w:t xml:space="preserve"> displayed in CP 70-1133</w:t>
      </w:r>
      <w:r w:rsidRPr="00A339BF">
        <w:rPr>
          <w:rFonts w:ascii="Arial" w:hAnsi="Arial" w:cs="Arial"/>
          <w:lang w:val="en"/>
        </w:rPr>
        <w:t>; however, the embryogenic callus of CP 70-1133 exhibited the same characteristics as in SP 70-1143 (Figure 1 C).</w:t>
      </w:r>
      <w:r w:rsidR="00656C5E" w:rsidRPr="00A339BF">
        <w:rPr>
          <w:rFonts w:ascii="Arial" w:hAnsi="Arial" w:cs="Arial"/>
          <w:lang w:val="en"/>
        </w:rPr>
        <w:t xml:space="preserve"> </w:t>
      </w:r>
      <w:r w:rsidR="00456B50" w:rsidRPr="005C1D05">
        <w:rPr>
          <w:rFonts w:ascii="Arial" w:hAnsi="Arial" w:cs="Arial"/>
          <w:lang w:val="en"/>
        </w:rPr>
        <w:t xml:space="preserve">The ANOVA for this variable indicates that the response was different between the two genotypes. Differences </w:t>
      </w:r>
      <w:r w:rsidR="000E1C33" w:rsidRPr="005C1D05">
        <w:rPr>
          <w:rFonts w:ascii="Arial" w:hAnsi="Arial" w:cs="Arial"/>
          <w:lang w:val="en"/>
        </w:rPr>
        <w:t xml:space="preserve">in </w:t>
      </w:r>
      <w:r w:rsidR="00DD614F" w:rsidRPr="005C1D05">
        <w:rPr>
          <w:rFonts w:ascii="Arial" w:hAnsi="Arial" w:cs="Arial"/>
          <w:lang w:val="en"/>
        </w:rPr>
        <w:t>the means of the</w:t>
      </w:r>
      <w:r w:rsidR="00456B50" w:rsidRPr="005C1D05">
        <w:rPr>
          <w:rFonts w:ascii="Arial" w:hAnsi="Arial" w:cs="Arial"/>
          <w:lang w:val="en"/>
        </w:rPr>
        <w:t xml:space="preserve"> treatment </w:t>
      </w:r>
      <w:r w:rsidR="00DD614F" w:rsidRPr="005C1D05">
        <w:rPr>
          <w:rFonts w:ascii="Arial" w:hAnsi="Arial" w:cs="Arial"/>
          <w:lang w:val="en"/>
        </w:rPr>
        <w:t>result</w:t>
      </w:r>
      <w:r w:rsidR="000E1C33" w:rsidRPr="005C1D05">
        <w:rPr>
          <w:rFonts w:ascii="Arial" w:hAnsi="Arial" w:cs="Arial"/>
          <w:lang w:val="en"/>
        </w:rPr>
        <w:t>s</w:t>
      </w:r>
      <w:r w:rsidR="00456B50" w:rsidRPr="005C1D05">
        <w:rPr>
          <w:rFonts w:ascii="Arial" w:hAnsi="Arial" w:cs="Arial"/>
          <w:lang w:val="en"/>
        </w:rPr>
        <w:t xml:space="preserve"> were compared using the LSD test at the 5% probability level</w:t>
      </w:r>
      <w:r w:rsidR="000E1C33" w:rsidRPr="005C1D05">
        <w:rPr>
          <w:rFonts w:ascii="Arial" w:hAnsi="Arial" w:cs="Arial"/>
          <w:lang w:val="en"/>
        </w:rPr>
        <w:t>. This comparison</w:t>
      </w:r>
      <w:r w:rsidR="00456B50" w:rsidRPr="005C1D05">
        <w:rPr>
          <w:rFonts w:ascii="Arial" w:hAnsi="Arial" w:cs="Arial"/>
          <w:lang w:val="en"/>
        </w:rPr>
        <w:t xml:space="preserve"> demonstra</w:t>
      </w:r>
      <w:r w:rsidR="000E1C33" w:rsidRPr="005C1D05">
        <w:rPr>
          <w:rFonts w:ascii="Arial" w:hAnsi="Arial" w:cs="Arial"/>
          <w:lang w:val="en"/>
        </w:rPr>
        <w:t>te</w:t>
      </w:r>
      <w:r w:rsidR="003460CC" w:rsidRPr="005C1D05">
        <w:rPr>
          <w:rFonts w:ascii="Arial" w:hAnsi="Arial" w:cs="Arial"/>
          <w:lang w:val="en"/>
        </w:rPr>
        <w:t>s</w:t>
      </w:r>
      <w:r w:rsidR="00456B50" w:rsidRPr="005C1D05">
        <w:rPr>
          <w:rFonts w:ascii="Arial" w:hAnsi="Arial" w:cs="Arial"/>
          <w:lang w:val="en"/>
        </w:rPr>
        <w:t xml:space="preserve"> the influence of genotype on embryogenic callus formation (p=0.0002).</w:t>
      </w:r>
      <w:r w:rsidR="00656C5E" w:rsidRPr="00A339BF">
        <w:rPr>
          <w:rFonts w:ascii="Arial" w:hAnsi="Arial" w:cs="Arial"/>
          <w:lang w:val="en"/>
        </w:rPr>
        <w:t xml:space="preserve"> Embryogenesis is</w:t>
      </w:r>
      <w:r w:rsidR="004157AA" w:rsidRPr="00A339BF">
        <w:rPr>
          <w:rFonts w:ascii="Arial" w:hAnsi="Arial" w:cs="Arial"/>
          <w:lang w:val="en"/>
        </w:rPr>
        <w:t xml:space="preserve"> generally</w:t>
      </w:r>
      <w:r w:rsidR="00656C5E" w:rsidRPr="00A339BF">
        <w:rPr>
          <w:rFonts w:ascii="Arial" w:hAnsi="Arial" w:cs="Arial"/>
          <w:lang w:val="en"/>
        </w:rPr>
        <w:t xml:space="preserve"> linked to genetic factors, which may be associated with different endogenous auxin levels, resulting from the different physiological states of the explants used (Mahalakshmi </w:t>
      </w:r>
      <w:r w:rsidR="00CE1C51" w:rsidRPr="00A339BF">
        <w:rPr>
          <w:rFonts w:ascii="Arial" w:hAnsi="Arial" w:cs="Arial"/>
          <w:i/>
          <w:iCs/>
          <w:lang w:val="en"/>
        </w:rPr>
        <w:t>et al.,</w:t>
      </w:r>
      <w:r w:rsidR="00656C5E" w:rsidRPr="00A339BF">
        <w:rPr>
          <w:rFonts w:ascii="Arial" w:hAnsi="Arial" w:cs="Arial"/>
          <w:lang w:val="en"/>
        </w:rPr>
        <w:t xml:space="preserve"> 2003).</w:t>
      </w:r>
    </w:p>
    <w:p w14:paraId="5DA618BB" w14:textId="4777734B" w:rsidR="00A67377" w:rsidRPr="00A339BF" w:rsidRDefault="004C5E75" w:rsidP="00D24CB7">
      <w:pPr>
        <w:pStyle w:val="NoSpacing"/>
        <w:jc w:val="center"/>
        <w:rPr>
          <w:rFonts w:ascii="Arial" w:hAnsi="Arial" w:cs="Arial"/>
          <w:lang w:val="en-US"/>
        </w:rPr>
      </w:pPr>
      <w:r w:rsidRPr="00A339BF">
        <w:rPr>
          <w:rFonts w:ascii="Arial" w:hAnsi="Arial" w:cs="Arial"/>
          <w:noProof/>
        </w:rPr>
        <w:drawing>
          <wp:inline distT="0" distB="0" distL="0" distR="0" wp14:anchorId="74822DC6" wp14:editId="56374624">
            <wp:extent cx="5612130" cy="2129462"/>
            <wp:effectExtent l="0" t="0" r="7620" b="4445"/>
            <wp:docPr id="2" name="Imagen 2" descr="https://lh7-rt.googleusercontent.com/slidesz/AGV_vUfa35cOeS4pIIm6w0IUcy2D4Hb6ApgYeQ0AxiEefANVBxsd5ELCjjkaFk0tWQGC_SvAqBBVk9bpfa2E5XrucUU5GRUTj_lYJsu3WTml43wnGuKPeoB5XliYTQK09nYurHeXdLtpy-G4qxLzsD_m_VM=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4303b17b-7fff-c061-82d5-8bd046a72a6d" descr="https://lh7-rt.googleusercontent.com/slidesz/AGV_vUfa35cOeS4pIIm6w0IUcy2D4Hb6ApgYeQ0AxiEefANVBxsd5ELCjjkaFk0tWQGC_SvAqBBVk9bpfa2E5XrucUU5GRUTj_lYJsu3WTml43wnGuKPeoB5XliYTQK09nYurHeXdLtpy-G4qxLzsD_m_VM=s2048?key=lMu10moZvwBVW-4yt9OnQ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129462"/>
                    </a:xfrm>
                    <a:prstGeom prst="rect">
                      <a:avLst/>
                    </a:prstGeom>
                    <a:noFill/>
                    <a:ln>
                      <a:noFill/>
                    </a:ln>
                  </pic:spPr>
                </pic:pic>
              </a:graphicData>
            </a:graphic>
          </wp:inline>
        </w:drawing>
      </w:r>
    </w:p>
    <w:p w14:paraId="32CDD8FE" w14:textId="5D70396C" w:rsidR="007F38DB" w:rsidRPr="00D74989" w:rsidRDefault="00DF1414" w:rsidP="00DA2347">
      <w:pPr>
        <w:pStyle w:val="NoSpacing"/>
        <w:ind w:firstLine="709"/>
        <w:jc w:val="both"/>
        <w:rPr>
          <w:rFonts w:ascii="Arial" w:hAnsi="Arial" w:cs="Arial"/>
          <w:b/>
          <w:bCs/>
        </w:rPr>
      </w:pPr>
      <w:r w:rsidRPr="00D74989">
        <w:rPr>
          <w:rFonts w:ascii="Arial" w:hAnsi="Arial" w:cs="Arial"/>
          <w:b/>
          <w:bCs/>
          <w:lang w:val="en-US"/>
        </w:rPr>
        <w:t>Fig</w:t>
      </w:r>
      <w:r w:rsidR="00D74989" w:rsidRPr="00D74989">
        <w:rPr>
          <w:rFonts w:ascii="Arial" w:hAnsi="Arial" w:cs="Arial"/>
          <w:b/>
          <w:bCs/>
          <w:lang w:val="en-US"/>
        </w:rPr>
        <w:t>.</w:t>
      </w:r>
      <w:r w:rsidRPr="00D74989">
        <w:rPr>
          <w:rFonts w:ascii="Arial" w:hAnsi="Arial" w:cs="Arial"/>
          <w:b/>
          <w:bCs/>
          <w:lang w:val="en-US"/>
        </w:rPr>
        <w:t xml:space="preserve"> 1</w:t>
      </w:r>
      <w:r w:rsidR="00D74989">
        <w:rPr>
          <w:rFonts w:ascii="Arial" w:hAnsi="Arial" w:cs="Arial"/>
          <w:b/>
          <w:bCs/>
          <w:lang w:val="en-US"/>
        </w:rPr>
        <w:t>.</w:t>
      </w:r>
      <w:r w:rsidRPr="00D74989">
        <w:rPr>
          <w:rFonts w:ascii="Arial" w:hAnsi="Arial" w:cs="Arial"/>
          <w:b/>
          <w:bCs/>
          <w:lang w:val="en-US"/>
        </w:rPr>
        <w:t xml:space="preserve"> </w:t>
      </w:r>
      <w:r w:rsidR="007F38DB" w:rsidRPr="00D74989">
        <w:rPr>
          <w:rFonts w:ascii="Arial" w:hAnsi="Arial" w:cs="Arial"/>
          <w:b/>
          <w:bCs/>
          <w:lang w:val="en"/>
        </w:rPr>
        <w:t xml:space="preserve">Appearance of embryogenic </w:t>
      </w:r>
      <w:r w:rsidR="00D35511" w:rsidRPr="00D74989">
        <w:rPr>
          <w:rFonts w:ascii="Arial" w:hAnsi="Arial" w:cs="Arial"/>
          <w:b/>
          <w:bCs/>
          <w:lang w:val="en"/>
        </w:rPr>
        <w:t>calluses</w:t>
      </w:r>
      <w:r w:rsidR="007F38DB" w:rsidRPr="00D74989">
        <w:rPr>
          <w:rFonts w:ascii="Arial" w:hAnsi="Arial" w:cs="Arial"/>
          <w:b/>
          <w:bCs/>
          <w:lang w:val="en"/>
        </w:rPr>
        <w:t xml:space="preserve"> of </w:t>
      </w:r>
      <w:r w:rsidR="007F38DB" w:rsidRPr="00D74989">
        <w:rPr>
          <w:rFonts w:ascii="Arial" w:hAnsi="Arial" w:cs="Arial"/>
          <w:b/>
          <w:bCs/>
          <w:i/>
          <w:iCs/>
          <w:lang w:val="en"/>
        </w:rPr>
        <w:t>Saccharum officinarum</w:t>
      </w:r>
      <w:r w:rsidR="007F38DB" w:rsidRPr="00D74989">
        <w:rPr>
          <w:rFonts w:ascii="Arial" w:hAnsi="Arial" w:cs="Arial"/>
          <w:b/>
          <w:bCs/>
          <w:lang w:val="en"/>
        </w:rPr>
        <w:t>, A and B) variety SP 70-1143 C) variety CP 70-1133. Black circular section corresponds to proembryogenic mass</w:t>
      </w:r>
      <w:r w:rsidR="00EA16CB" w:rsidRPr="00D74989">
        <w:rPr>
          <w:rFonts w:ascii="Arial" w:hAnsi="Arial" w:cs="Arial"/>
          <w:b/>
          <w:bCs/>
          <w:lang w:val="en"/>
        </w:rPr>
        <w:t>.</w:t>
      </w:r>
    </w:p>
    <w:p w14:paraId="62AA15A8" w14:textId="2C7A9712" w:rsidR="00EB1522" w:rsidRPr="00A339BF" w:rsidRDefault="007F38DB" w:rsidP="00DA2347">
      <w:pPr>
        <w:pStyle w:val="NoSpacing"/>
        <w:ind w:firstLine="709"/>
        <w:jc w:val="both"/>
        <w:rPr>
          <w:rFonts w:ascii="Arial" w:hAnsi="Arial" w:cs="Arial"/>
          <w:lang w:val="en-US"/>
        </w:rPr>
      </w:pPr>
      <w:r w:rsidRPr="00A339BF">
        <w:rPr>
          <w:rFonts w:ascii="Arial" w:hAnsi="Arial" w:cs="Arial"/>
          <w:lang w:val="en-US"/>
        </w:rPr>
        <w:t xml:space="preserve">  </w:t>
      </w:r>
    </w:p>
    <w:p w14:paraId="1B062FB9" w14:textId="4EE6F1D2" w:rsidR="00C7284B" w:rsidRPr="00A339BF" w:rsidRDefault="00CD269D" w:rsidP="00DA2347">
      <w:pPr>
        <w:pStyle w:val="NoSpacing"/>
        <w:jc w:val="both"/>
        <w:rPr>
          <w:rFonts w:ascii="Arial" w:hAnsi="Arial" w:cs="Arial"/>
        </w:rPr>
      </w:pPr>
      <w:r w:rsidRPr="00A339BF">
        <w:rPr>
          <w:rFonts w:ascii="Arial" w:hAnsi="Arial" w:cs="Arial"/>
        </w:rPr>
        <w:lastRenderedPageBreak/>
        <w:t xml:space="preserve">Contrary to what other researchers </w:t>
      </w:r>
      <w:r w:rsidR="00220006" w:rsidRPr="00A339BF">
        <w:rPr>
          <w:rFonts w:ascii="Arial" w:hAnsi="Arial" w:cs="Arial"/>
        </w:rPr>
        <w:t>notic</w:t>
      </w:r>
      <w:r w:rsidRPr="00A339BF">
        <w:rPr>
          <w:rFonts w:ascii="Arial" w:hAnsi="Arial" w:cs="Arial"/>
        </w:rPr>
        <w:t xml:space="preserve">ed (Freire Seijo </w:t>
      </w:r>
      <w:r w:rsidR="00CE1C51" w:rsidRPr="00A339BF">
        <w:rPr>
          <w:rFonts w:ascii="Arial" w:hAnsi="Arial" w:cs="Arial"/>
          <w:i/>
          <w:iCs/>
        </w:rPr>
        <w:t>et al.,</w:t>
      </w:r>
      <w:r w:rsidRPr="00A339BF">
        <w:rPr>
          <w:rFonts w:ascii="Arial" w:hAnsi="Arial" w:cs="Arial"/>
        </w:rPr>
        <w:t xml:space="preserve"> 2006), embryogenic callus formation was possible in a semisolid medium.</w:t>
      </w:r>
      <w:r w:rsidR="00F83155" w:rsidRPr="00A339BF">
        <w:rPr>
          <w:rFonts w:ascii="Arial" w:hAnsi="Arial" w:cs="Arial"/>
        </w:rPr>
        <w:t xml:space="preserve"> </w:t>
      </w:r>
      <w:r w:rsidRPr="00A339BF">
        <w:rPr>
          <w:rFonts w:ascii="Arial" w:hAnsi="Arial" w:cs="Arial"/>
        </w:rPr>
        <w:t xml:space="preserve">2,4D acts to induce and regulate callus formation, </w:t>
      </w:r>
      <w:r w:rsidR="00780B90" w:rsidRPr="00A339BF">
        <w:rPr>
          <w:rFonts w:ascii="Arial" w:hAnsi="Arial" w:cs="Arial"/>
        </w:rPr>
        <w:t>leading to</w:t>
      </w:r>
      <w:r w:rsidRPr="00A339BF">
        <w:rPr>
          <w:rFonts w:ascii="Arial" w:hAnsi="Arial" w:cs="Arial"/>
        </w:rPr>
        <w:t xml:space="preserve"> cell dedifferentiation</w:t>
      </w:r>
      <w:r w:rsidR="00780B90" w:rsidRPr="00A339BF">
        <w:rPr>
          <w:rFonts w:ascii="Arial" w:hAnsi="Arial" w:cs="Arial"/>
        </w:rPr>
        <w:t xml:space="preserve">. It also </w:t>
      </w:r>
      <w:r w:rsidRPr="00A339BF">
        <w:rPr>
          <w:rFonts w:ascii="Arial" w:hAnsi="Arial" w:cs="Arial"/>
        </w:rPr>
        <w:t>lead</w:t>
      </w:r>
      <w:r w:rsidR="00780B90" w:rsidRPr="00A339BF">
        <w:rPr>
          <w:rFonts w:ascii="Arial" w:hAnsi="Arial" w:cs="Arial"/>
        </w:rPr>
        <w:t>s</w:t>
      </w:r>
      <w:r w:rsidRPr="00A339BF">
        <w:rPr>
          <w:rFonts w:ascii="Arial" w:hAnsi="Arial" w:cs="Arial"/>
        </w:rPr>
        <w:t xml:space="preserve"> to callus growth, and stimulating its proliferation (Mastuti </w:t>
      </w:r>
      <w:r w:rsidR="00CE1C51" w:rsidRPr="00A339BF">
        <w:rPr>
          <w:rFonts w:ascii="Arial" w:hAnsi="Arial" w:cs="Arial"/>
          <w:i/>
          <w:iCs/>
        </w:rPr>
        <w:t>et al.,</w:t>
      </w:r>
      <w:r w:rsidRPr="00A339BF">
        <w:rPr>
          <w:rFonts w:ascii="Arial" w:hAnsi="Arial" w:cs="Arial"/>
        </w:rPr>
        <w:t xml:space="preserve"> 2017).</w:t>
      </w:r>
      <w:r w:rsidR="00F83155" w:rsidRPr="00A339BF">
        <w:rPr>
          <w:rFonts w:ascii="Arial" w:hAnsi="Arial" w:cs="Arial"/>
        </w:rPr>
        <w:t xml:space="preserve"> </w:t>
      </w:r>
      <w:r w:rsidRPr="00A339BF">
        <w:rPr>
          <w:rFonts w:ascii="Arial" w:hAnsi="Arial" w:cs="Arial"/>
        </w:rPr>
        <w:t>The response of the explant to the exogenous addition of auxins is variable and depends on the growth status of the explant (endogenous level of these hormones) and the type and quantity of auxin present in the culture medium.</w:t>
      </w:r>
      <w:r w:rsidR="00C7284B" w:rsidRPr="00A339BF">
        <w:rPr>
          <w:rFonts w:ascii="Arial" w:hAnsi="Arial" w:cs="Arial"/>
        </w:rPr>
        <w:t xml:space="preserve"> </w:t>
      </w:r>
      <w:r w:rsidR="00E13581" w:rsidRPr="00A339BF">
        <w:rPr>
          <w:rFonts w:ascii="Arial" w:hAnsi="Arial" w:cs="Arial"/>
          <w:i/>
          <w:iCs/>
          <w:lang w:val="en"/>
        </w:rPr>
        <w:t xml:space="preserve">In vitro </w:t>
      </w:r>
      <w:r w:rsidR="00C7284B" w:rsidRPr="00A339BF">
        <w:rPr>
          <w:rFonts w:ascii="Arial" w:hAnsi="Arial" w:cs="Arial"/>
          <w:lang w:val="en"/>
        </w:rPr>
        <w:t xml:space="preserve">plant regeneration, embryogenic callus induction was </w:t>
      </w:r>
      <w:r w:rsidR="006B38F0" w:rsidRPr="00A339BF">
        <w:rPr>
          <w:rFonts w:ascii="Arial" w:hAnsi="Arial" w:cs="Arial"/>
          <w:lang w:val="en"/>
        </w:rPr>
        <w:t>perciev</w:t>
      </w:r>
      <w:r w:rsidR="00C7284B" w:rsidRPr="00A339BF">
        <w:rPr>
          <w:rFonts w:ascii="Arial" w:hAnsi="Arial" w:cs="Arial"/>
          <w:lang w:val="en"/>
        </w:rPr>
        <w:t xml:space="preserve">ed to be initiated by the application of different concentrations of 2-4 D (Jahangir </w:t>
      </w:r>
      <w:r w:rsidR="00CE1C51" w:rsidRPr="00A339BF">
        <w:rPr>
          <w:rFonts w:ascii="Arial" w:hAnsi="Arial" w:cs="Arial"/>
          <w:i/>
          <w:iCs/>
          <w:lang w:val="en"/>
        </w:rPr>
        <w:t>et al.,</w:t>
      </w:r>
      <w:r w:rsidR="00C7284B" w:rsidRPr="00A339BF">
        <w:rPr>
          <w:rFonts w:ascii="Arial" w:hAnsi="Arial" w:cs="Arial"/>
          <w:lang w:val="en"/>
        </w:rPr>
        <w:t xml:space="preserve"> 2010</w:t>
      </w:r>
      <w:r w:rsidR="00CF3FC8">
        <w:rPr>
          <w:rFonts w:ascii="Arial" w:hAnsi="Arial" w:cs="Arial"/>
          <w:lang w:val="en"/>
        </w:rPr>
        <w:t xml:space="preserve">, </w:t>
      </w:r>
      <w:r w:rsidR="00CF3FC8" w:rsidRPr="007C02CB">
        <w:rPr>
          <w:rFonts w:ascii="Arial" w:hAnsi="Arial" w:cs="Arial"/>
          <w:lang w:val="en"/>
        </w:rPr>
        <w:t xml:space="preserve">Dewanti, </w:t>
      </w:r>
      <w:r w:rsidR="00CF3FC8" w:rsidRPr="007C02CB">
        <w:rPr>
          <w:rFonts w:ascii="Arial" w:hAnsi="Arial" w:cs="Arial"/>
          <w:i/>
          <w:iCs/>
          <w:lang w:val="en"/>
        </w:rPr>
        <w:t>et al</w:t>
      </w:r>
      <w:r w:rsidR="00CF3FC8" w:rsidRPr="007C02CB">
        <w:rPr>
          <w:rFonts w:ascii="Arial" w:hAnsi="Arial" w:cs="Arial"/>
          <w:lang w:val="en"/>
        </w:rPr>
        <w:t>., 2016</w:t>
      </w:r>
      <w:r w:rsidR="00C7284B" w:rsidRPr="00A339BF">
        <w:rPr>
          <w:rFonts w:ascii="Arial" w:hAnsi="Arial" w:cs="Arial"/>
          <w:lang w:val="en"/>
        </w:rPr>
        <w:t xml:space="preserve">). Biologically, every part of the sugarcane plant is capable of being utilized to produce callus, however, only the immature leaves rolled from the apex and the inflorescences </w:t>
      </w:r>
      <w:r w:rsidR="00D35511" w:rsidRPr="00A339BF">
        <w:rPr>
          <w:rFonts w:ascii="Arial" w:hAnsi="Arial" w:cs="Arial"/>
          <w:lang w:val="en"/>
        </w:rPr>
        <w:t>can produce</w:t>
      </w:r>
      <w:r w:rsidR="00C7284B" w:rsidRPr="00A339BF">
        <w:rPr>
          <w:rFonts w:ascii="Arial" w:hAnsi="Arial" w:cs="Arial"/>
          <w:lang w:val="en"/>
        </w:rPr>
        <w:t xml:space="preserve"> callus at a</w:t>
      </w:r>
      <w:r w:rsidR="006B38F0" w:rsidRPr="00A339BF">
        <w:rPr>
          <w:rFonts w:ascii="Arial" w:hAnsi="Arial" w:cs="Arial"/>
          <w:lang w:val="en"/>
        </w:rPr>
        <w:t xml:space="preserve"> significa</w:t>
      </w:r>
      <w:r w:rsidR="009258C0" w:rsidRPr="00A339BF">
        <w:rPr>
          <w:rFonts w:ascii="Arial" w:hAnsi="Arial" w:cs="Arial"/>
          <w:lang w:val="en"/>
        </w:rPr>
        <w:t>n</w:t>
      </w:r>
      <w:r w:rsidR="006B38F0" w:rsidRPr="00A339BF">
        <w:rPr>
          <w:rFonts w:ascii="Arial" w:hAnsi="Arial" w:cs="Arial"/>
          <w:lang w:val="en"/>
        </w:rPr>
        <w:t>t</w:t>
      </w:r>
      <w:r w:rsidR="00C7284B" w:rsidRPr="00A339BF">
        <w:rPr>
          <w:rFonts w:ascii="Arial" w:hAnsi="Arial" w:cs="Arial"/>
          <w:lang w:val="en"/>
        </w:rPr>
        <w:t xml:space="preserve"> level (Rao and Jabeen, 2013).</w:t>
      </w:r>
    </w:p>
    <w:p w14:paraId="56491CFB" w14:textId="138E4437" w:rsidR="00EA36DA" w:rsidRPr="00A339BF" w:rsidRDefault="00F83155" w:rsidP="00DA2347">
      <w:pPr>
        <w:pStyle w:val="NoSpacing"/>
        <w:jc w:val="both"/>
        <w:rPr>
          <w:rFonts w:ascii="Arial" w:hAnsi="Arial" w:cs="Arial"/>
        </w:rPr>
      </w:pPr>
      <w:r w:rsidRPr="00A339BF">
        <w:rPr>
          <w:rFonts w:ascii="Arial" w:hAnsi="Arial" w:cs="Arial"/>
          <w:lang w:val="en"/>
        </w:rPr>
        <w:t xml:space="preserve">Various genetic and physiological factors influence the induction of somatic embryogenesis, triggering the replacement of the existing gene expression pattern in the explant tissue with a new expression of embryogenic genes. This process is only possible if the cells are competent and receive the appropriate inducing stimuli. Among the factors involved, plant hormones, especially auxins, are key components; their exogenous application </w:t>
      </w:r>
      <w:r w:rsidR="00147B6D" w:rsidRPr="00147B6D">
        <w:rPr>
          <w:rFonts w:ascii="Arial" w:hAnsi="Arial" w:cs="Arial"/>
          <w:lang w:val="en"/>
        </w:rPr>
        <w:t>is reminiscent of</w:t>
      </w:r>
      <w:r w:rsidRPr="00A339BF">
        <w:rPr>
          <w:rFonts w:ascii="Arial" w:hAnsi="Arial" w:cs="Arial"/>
          <w:lang w:val="en"/>
        </w:rPr>
        <w:t xml:space="preserve"> the embryogenic potential of mitotically inactive somatic cells.</w:t>
      </w:r>
      <w:r w:rsidR="0091010F" w:rsidRPr="00A339BF">
        <w:rPr>
          <w:rFonts w:ascii="Arial" w:hAnsi="Arial" w:cs="Arial"/>
          <w:lang w:val="en"/>
        </w:rPr>
        <w:t xml:space="preserve"> Auxin signaling and stress may be key events in the genetic reprogramming of somatic cells during early embryogenesis, which is necessary for dedifferentiation and the acquisition of embryogenic status (Silveira </w:t>
      </w:r>
      <w:r w:rsidR="00CE1C51" w:rsidRPr="00A339BF">
        <w:rPr>
          <w:rFonts w:ascii="Arial" w:hAnsi="Arial" w:cs="Arial"/>
          <w:i/>
          <w:iCs/>
          <w:lang w:val="en"/>
        </w:rPr>
        <w:t>et al.,</w:t>
      </w:r>
      <w:r w:rsidR="0091010F" w:rsidRPr="00A339BF">
        <w:rPr>
          <w:rFonts w:ascii="Arial" w:hAnsi="Arial" w:cs="Arial"/>
          <w:lang w:val="en"/>
        </w:rPr>
        <w:t xml:space="preserve"> 2013). In this assay, using 45.25 µM/L 2,4 D, embryogenic competence of the explant was </w:t>
      </w:r>
      <w:r w:rsidR="00327D22" w:rsidRPr="00A339BF">
        <w:rPr>
          <w:rFonts w:ascii="Arial" w:hAnsi="Arial" w:cs="Arial"/>
          <w:lang w:val="en"/>
        </w:rPr>
        <w:t>found</w:t>
      </w:r>
      <w:r w:rsidR="0091010F" w:rsidRPr="00A339BF">
        <w:rPr>
          <w:rFonts w:ascii="Arial" w:hAnsi="Arial" w:cs="Arial"/>
          <w:lang w:val="en"/>
        </w:rPr>
        <w:t>, allowing somatic cells to trigger the embryonic response.</w:t>
      </w:r>
      <w:r w:rsidR="00EA36DA" w:rsidRPr="00A339BF">
        <w:rPr>
          <w:rFonts w:ascii="Arial" w:hAnsi="Arial" w:cs="Arial"/>
          <w:lang w:val="en"/>
        </w:rPr>
        <w:t xml:space="preserve"> During the trial, phenolization occurred in both SP 70-1143 and CP 70-1133. The phenolized calli did not differentiate any type of structure and eventually died (Figure 2). The main causes of oxidation may be the corrosive effect caused by the disinfectant agent during the disinfection process, damage to the explant during handling, the composition of the culture medium</w:t>
      </w:r>
      <w:r w:rsidR="00BF31FD" w:rsidRPr="00A339BF">
        <w:rPr>
          <w:rFonts w:ascii="Arial" w:hAnsi="Arial" w:cs="Arial"/>
          <w:lang w:val="en"/>
        </w:rPr>
        <w:t>,</w:t>
      </w:r>
      <w:r w:rsidR="00EA36DA" w:rsidRPr="00A339BF">
        <w:rPr>
          <w:rFonts w:ascii="Arial" w:hAnsi="Arial" w:cs="Arial"/>
          <w:lang w:val="en"/>
        </w:rPr>
        <w:t xml:space="preserve"> the quantity of medium in the flask, and even the quality of the flask (Azofeifa, 2009).</w:t>
      </w:r>
    </w:p>
    <w:p w14:paraId="5690A963" w14:textId="3F5A3DA3" w:rsidR="006F5A13" w:rsidRPr="00A339BF" w:rsidRDefault="006F5A13" w:rsidP="00DA2347">
      <w:pPr>
        <w:pStyle w:val="NoSpacing"/>
        <w:jc w:val="both"/>
        <w:rPr>
          <w:rFonts w:ascii="Arial" w:hAnsi="Arial" w:cs="Arial"/>
        </w:rPr>
      </w:pPr>
    </w:p>
    <w:p w14:paraId="06BF1329" w14:textId="02D8D5EB" w:rsidR="006F5A13" w:rsidRPr="00A339BF" w:rsidRDefault="00E46452" w:rsidP="00D24CB7">
      <w:pPr>
        <w:pStyle w:val="NoSpacing"/>
        <w:jc w:val="center"/>
        <w:rPr>
          <w:rFonts w:ascii="Arial" w:hAnsi="Arial" w:cs="Arial"/>
        </w:rPr>
      </w:pPr>
      <w:r w:rsidRPr="00A339BF">
        <w:rPr>
          <w:rFonts w:ascii="Arial" w:hAnsi="Arial" w:cs="Arial"/>
          <w:noProof/>
        </w:rPr>
        <w:drawing>
          <wp:inline distT="0" distB="0" distL="0" distR="0" wp14:anchorId="27CB0B8B" wp14:editId="0417ECBB">
            <wp:extent cx="3968904" cy="2300160"/>
            <wp:effectExtent l="0" t="0" r="0" b="5080"/>
            <wp:docPr id="3" name="Imagen 3" descr="https://lh7-rt.googleusercontent.com/slidesz/AGV_vUc8ND2lLK6aTg6ix_6tU5AJatxb8Az5VWvZx65jqL3kfD0kZ8iV-6mXr6O-U_TtRnpvTqakZkY2553Nk3kz68PFhX5dv6XkAqFBwie9C8ShGlKvMXHVmuyCW4RrC_Ins9vmnwmE5xtYrfU61ZNrkWc=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f1e68b5-7fff-f679-1a0c-ad8de76481de" descr="https://lh7-rt.googleusercontent.com/slidesz/AGV_vUc8ND2lLK6aTg6ix_6tU5AJatxb8Az5VWvZx65jqL3kfD0kZ8iV-6mXr6O-U_TtRnpvTqakZkY2553Nk3kz68PFhX5dv6XkAqFBwie9C8ShGlKvMXHVmuyCW4RrC_Ins9vmnwmE5xtYrfU61ZNrkWc=s2048?key=lMu10moZvwBVW-4yt9OnQ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6970" cy="2316425"/>
                    </a:xfrm>
                    <a:prstGeom prst="rect">
                      <a:avLst/>
                    </a:prstGeom>
                    <a:noFill/>
                    <a:ln>
                      <a:noFill/>
                    </a:ln>
                  </pic:spPr>
                </pic:pic>
              </a:graphicData>
            </a:graphic>
          </wp:inline>
        </w:drawing>
      </w:r>
    </w:p>
    <w:p w14:paraId="6B4EC2D1" w14:textId="72C7C5D6" w:rsidR="006F5A13" w:rsidRPr="00A339BF" w:rsidRDefault="006F5A13" w:rsidP="00DA2347">
      <w:pPr>
        <w:pStyle w:val="NoSpacing"/>
        <w:jc w:val="both"/>
        <w:rPr>
          <w:rFonts w:ascii="Arial" w:hAnsi="Arial" w:cs="Arial"/>
        </w:rPr>
      </w:pPr>
    </w:p>
    <w:p w14:paraId="71F884C8" w14:textId="71810005" w:rsidR="00125F91" w:rsidRPr="00D74989" w:rsidRDefault="00EC70EA" w:rsidP="00DA2347">
      <w:pPr>
        <w:pStyle w:val="NoSpacing"/>
        <w:ind w:firstLine="709"/>
        <w:jc w:val="both"/>
        <w:rPr>
          <w:rFonts w:ascii="Arial" w:hAnsi="Arial" w:cs="Arial"/>
          <w:b/>
          <w:bCs/>
        </w:rPr>
      </w:pPr>
      <w:r w:rsidRPr="00D74989">
        <w:rPr>
          <w:rFonts w:ascii="Arial" w:hAnsi="Arial" w:cs="Arial"/>
          <w:b/>
          <w:bCs/>
          <w:lang w:val="en-US"/>
        </w:rPr>
        <w:t>Fig</w:t>
      </w:r>
      <w:r w:rsidR="00D74989">
        <w:rPr>
          <w:rFonts w:ascii="Arial" w:hAnsi="Arial" w:cs="Arial"/>
          <w:b/>
          <w:bCs/>
          <w:lang w:val="en-US"/>
        </w:rPr>
        <w:t xml:space="preserve">. </w:t>
      </w:r>
      <w:r w:rsidR="006F5A13" w:rsidRPr="00D74989">
        <w:rPr>
          <w:rFonts w:ascii="Arial" w:hAnsi="Arial" w:cs="Arial"/>
          <w:b/>
          <w:bCs/>
          <w:lang w:val="en-US"/>
        </w:rPr>
        <w:t>2</w:t>
      </w:r>
      <w:r w:rsidR="00D74989">
        <w:rPr>
          <w:rFonts w:ascii="Arial" w:hAnsi="Arial" w:cs="Arial"/>
          <w:b/>
          <w:bCs/>
          <w:lang w:val="en-US"/>
        </w:rPr>
        <w:t>.</w:t>
      </w:r>
      <w:r w:rsidRPr="00D74989">
        <w:rPr>
          <w:rFonts w:ascii="Arial" w:hAnsi="Arial" w:cs="Arial"/>
          <w:b/>
          <w:bCs/>
          <w:lang w:val="en-US"/>
        </w:rPr>
        <w:t xml:space="preserve"> </w:t>
      </w:r>
      <w:r w:rsidR="00125F91" w:rsidRPr="00D74989">
        <w:rPr>
          <w:rFonts w:ascii="Arial" w:hAnsi="Arial" w:cs="Arial"/>
          <w:b/>
          <w:bCs/>
          <w:lang w:val="en"/>
        </w:rPr>
        <w:t xml:space="preserve">Phenolized calluses of </w:t>
      </w:r>
      <w:r w:rsidR="00125F91" w:rsidRPr="00D74989">
        <w:rPr>
          <w:rFonts w:ascii="Arial" w:hAnsi="Arial" w:cs="Arial"/>
          <w:b/>
          <w:bCs/>
          <w:i/>
          <w:iCs/>
          <w:lang w:val="en"/>
        </w:rPr>
        <w:t>Saccharum officinarum</w:t>
      </w:r>
      <w:r w:rsidR="00125F91" w:rsidRPr="00D74989">
        <w:rPr>
          <w:rFonts w:ascii="Arial" w:hAnsi="Arial" w:cs="Arial"/>
          <w:b/>
          <w:bCs/>
          <w:lang w:val="en"/>
        </w:rPr>
        <w:t>, A) varieties SP 70-1143, B and C) variety CP 70-1133.</w:t>
      </w:r>
    </w:p>
    <w:p w14:paraId="2BA5D48C" w14:textId="77777777" w:rsidR="00125F91" w:rsidRPr="00A339BF" w:rsidRDefault="00125F91" w:rsidP="00DA2347">
      <w:pPr>
        <w:pStyle w:val="NoSpacing"/>
        <w:ind w:firstLine="709"/>
        <w:jc w:val="both"/>
        <w:rPr>
          <w:rFonts w:ascii="Arial" w:hAnsi="Arial" w:cs="Arial"/>
          <w:lang w:val="en-US"/>
        </w:rPr>
      </w:pPr>
    </w:p>
    <w:p w14:paraId="360DE2AD" w14:textId="2C5D1EE1" w:rsidR="000D363D" w:rsidRPr="00A339BF" w:rsidRDefault="000D363D" w:rsidP="00DA2347">
      <w:pPr>
        <w:pStyle w:val="NoSpacing"/>
        <w:jc w:val="both"/>
        <w:rPr>
          <w:rFonts w:ascii="Arial" w:hAnsi="Arial" w:cs="Arial"/>
          <w:lang w:val="en"/>
        </w:rPr>
      </w:pPr>
      <w:r w:rsidRPr="00A339BF">
        <w:rPr>
          <w:rFonts w:ascii="Arial" w:hAnsi="Arial" w:cs="Arial"/>
          <w:lang w:val="en"/>
        </w:rPr>
        <w:t>Sugarcane explants have a high content of highly oxidizing polysaccharides</w:t>
      </w:r>
      <w:r w:rsidR="00744E8C" w:rsidRPr="00A339BF">
        <w:rPr>
          <w:rFonts w:ascii="Arial" w:hAnsi="Arial" w:cs="Arial"/>
          <w:lang w:val="en"/>
        </w:rPr>
        <w:t>,</w:t>
      </w:r>
      <w:r w:rsidRPr="00A339BF">
        <w:rPr>
          <w:rFonts w:ascii="Arial" w:hAnsi="Arial" w:cs="Arial"/>
          <w:lang w:val="en"/>
        </w:rPr>
        <w:t xml:space="preserve"> and the meristem releases phenols into the culture medium during the disinfection process. These compounds act as grow</w:t>
      </w:r>
      <w:r w:rsidR="00744E8C" w:rsidRPr="00A339BF">
        <w:rPr>
          <w:rFonts w:ascii="Arial" w:hAnsi="Arial" w:cs="Arial"/>
          <w:lang w:val="en"/>
        </w:rPr>
        <w:t>ing</w:t>
      </w:r>
      <w:r w:rsidRPr="00A339BF">
        <w:rPr>
          <w:rFonts w:ascii="Arial" w:hAnsi="Arial" w:cs="Arial"/>
          <w:lang w:val="en"/>
        </w:rPr>
        <w:t xml:space="preserve"> inhibitors, leading to their death. Roca (1991) mentions that apical meristems present fewer problems with phenolization than axillary meristems during </w:t>
      </w:r>
      <w:r w:rsidR="00E13581" w:rsidRPr="00A339BF">
        <w:rPr>
          <w:rFonts w:ascii="Arial" w:hAnsi="Arial" w:cs="Arial"/>
          <w:i/>
          <w:iCs/>
          <w:lang w:val="en"/>
        </w:rPr>
        <w:lastRenderedPageBreak/>
        <w:t xml:space="preserve">in vitro </w:t>
      </w:r>
      <w:r w:rsidRPr="00A339BF">
        <w:rPr>
          <w:rFonts w:ascii="Arial" w:hAnsi="Arial" w:cs="Arial"/>
          <w:lang w:val="en"/>
        </w:rPr>
        <w:t>propagation; however, in this work, phenolization of the explants is recorded, even when they come from meristematic tissues.</w:t>
      </w:r>
    </w:p>
    <w:p w14:paraId="143BC197" w14:textId="77777777" w:rsidR="000D363D" w:rsidRPr="00A339BF" w:rsidRDefault="000D363D" w:rsidP="00DA2347">
      <w:pPr>
        <w:pStyle w:val="NoSpacing"/>
        <w:jc w:val="both"/>
        <w:rPr>
          <w:rFonts w:ascii="Arial" w:hAnsi="Arial" w:cs="Arial"/>
          <w:lang w:val="en"/>
        </w:rPr>
      </w:pPr>
    </w:p>
    <w:p w14:paraId="1D4A5CF6" w14:textId="77777777" w:rsidR="00EF2FBF" w:rsidRPr="00A339BF" w:rsidRDefault="00EF2FBF" w:rsidP="00DC522B">
      <w:pPr>
        <w:pStyle w:val="NoSpacing"/>
        <w:numPr>
          <w:ilvl w:val="1"/>
          <w:numId w:val="14"/>
        </w:numPr>
        <w:jc w:val="both"/>
        <w:rPr>
          <w:rFonts w:ascii="Arial" w:hAnsi="Arial" w:cs="Arial"/>
          <w:b/>
        </w:rPr>
      </w:pPr>
      <w:r w:rsidRPr="00A339BF">
        <w:rPr>
          <w:rFonts w:ascii="Arial" w:hAnsi="Arial" w:cs="Arial"/>
          <w:b/>
        </w:rPr>
        <w:t>Proliferation of embryogenic calluses</w:t>
      </w:r>
    </w:p>
    <w:p w14:paraId="14809DCF" w14:textId="5D9BCEE3" w:rsidR="005F6BA0" w:rsidRPr="00A339BF" w:rsidRDefault="00EF2FBF" w:rsidP="00DA2347">
      <w:pPr>
        <w:pStyle w:val="NoSpacing"/>
        <w:jc w:val="both"/>
        <w:rPr>
          <w:rFonts w:ascii="Arial" w:hAnsi="Arial" w:cs="Arial"/>
        </w:rPr>
      </w:pPr>
      <w:r w:rsidRPr="00A339BF">
        <w:rPr>
          <w:rFonts w:ascii="Arial" w:hAnsi="Arial" w:cs="Arial"/>
        </w:rPr>
        <w:t xml:space="preserve">The embryogenic calluses </w:t>
      </w:r>
      <w:r w:rsidR="00E34584">
        <w:rPr>
          <w:rFonts w:ascii="Arial" w:hAnsi="Arial" w:cs="Arial"/>
        </w:rPr>
        <w:t>generated</w:t>
      </w:r>
      <w:r w:rsidRPr="00A339BF">
        <w:rPr>
          <w:rFonts w:ascii="Arial" w:hAnsi="Arial" w:cs="Arial"/>
        </w:rPr>
        <w:t xml:space="preserve"> during the embryogenesis induction stage responded positively during the proliferation stage in MS culture medium (with the same salt and vitamin composition as the previous stage), but without the addition of antibiotics or 2,4D and in the presence of light. The percentage of callus proliferation in both varieties </w:t>
      </w:r>
      <w:r w:rsidRPr="009F224E">
        <w:rPr>
          <w:rFonts w:ascii="Arial" w:hAnsi="Arial" w:cs="Arial"/>
        </w:rPr>
        <w:t>reached 46%</w:t>
      </w:r>
      <w:r w:rsidRPr="00A339BF">
        <w:rPr>
          <w:rFonts w:ascii="Arial" w:hAnsi="Arial" w:cs="Arial"/>
        </w:rPr>
        <w:t xml:space="preserve"> in SP 70-1143 and 8% in CP 70-1133. Continued exposure of the explants to 2,4D hamper</w:t>
      </w:r>
      <w:r w:rsidR="00744E8C" w:rsidRPr="00A339BF">
        <w:rPr>
          <w:rFonts w:ascii="Arial" w:hAnsi="Arial" w:cs="Arial"/>
        </w:rPr>
        <w:t>ed</w:t>
      </w:r>
      <w:r w:rsidRPr="00A339BF">
        <w:rPr>
          <w:rFonts w:ascii="Arial" w:hAnsi="Arial" w:cs="Arial"/>
        </w:rPr>
        <w:t xml:space="preserve"> normal embryo growth</w:t>
      </w:r>
      <w:r w:rsidR="003E6626">
        <w:rPr>
          <w:rFonts w:ascii="Arial" w:hAnsi="Arial" w:cs="Arial"/>
        </w:rPr>
        <w:t xml:space="preserve"> (</w:t>
      </w:r>
      <w:r w:rsidR="003E6626" w:rsidRPr="003E6626">
        <w:rPr>
          <w:rFonts w:ascii="Arial" w:hAnsi="Arial" w:cs="Arial"/>
        </w:rPr>
        <w:t xml:space="preserve">Ahloowalia </w:t>
      </w:r>
      <w:r w:rsidR="003E6626">
        <w:rPr>
          <w:rFonts w:ascii="Arial" w:hAnsi="Arial" w:cs="Arial"/>
        </w:rPr>
        <w:t>and</w:t>
      </w:r>
      <w:r w:rsidR="003E6626" w:rsidRPr="003E6626">
        <w:rPr>
          <w:rFonts w:ascii="Arial" w:hAnsi="Arial" w:cs="Arial"/>
        </w:rPr>
        <w:t xml:space="preserve"> Maretzki,</w:t>
      </w:r>
      <w:r w:rsidR="00AF26C4">
        <w:rPr>
          <w:rFonts w:ascii="Arial" w:hAnsi="Arial" w:cs="Arial"/>
        </w:rPr>
        <w:t xml:space="preserve"> </w:t>
      </w:r>
      <w:r w:rsidR="003E6626" w:rsidRPr="003E6626">
        <w:rPr>
          <w:rFonts w:ascii="Arial" w:hAnsi="Arial" w:cs="Arial"/>
        </w:rPr>
        <w:t>1983).</w:t>
      </w:r>
      <w:r w:rsidR="00EA16CB" w:rsidRPr="00A339BF">
        <w:rPr>
          <w:rFonts w:ascii="Arial" w:hAnsi="Arial" w:cs="Arial"/>
        </w:rPr>
        <w:t xml:space="preserve"> </w:t>
      </w:r>
      <w:r w:rsidR="00942F7D" w:rsidRPr="00A339BF">
        <w:rPr>
          <w:rFonts w:ascii="Arial" w:hAnsi="Arial" w:cs="Arial"/>
          <w:noProof/>
        </w:rPr>
        <w:t>At this stage, the calluses presented a granular appearance, disaggregat</w:t>
      </w:r>
      <w:r w:rsidR="00744E8C" w:rsidRPr="00A339BF">
        <w:rPr>
          <w:rFonts w:ascii="Arial" w:hAnsi="Arial" w:cs="Arial"/>
          <w:noProof/>
        </w:rPr>
        <w:t>ing easily</w:t>
      </w:r>
      <w:r w:rsidR="00942F7D" w:rsidRPr="00A339BF">
        <w:rPr>
          <w:rFonts w:ascii="Arial" w:hAnsi="Arial" w:cs="Arial"/>
          <w:noProof/>
        </w:rPr>
        <w:t xml:space="preserve">, without photooxidation and without any type of contamination (Figure 3 A). The explants were placed in the callus proliferation medium for 60 days, with transplants every 20 days. Green dots began to appear in the callus mass, corresponding to embryos in the globular stage, which continued to grow through other embryonic stages, finally generating </w:t>
      </w:r>
      <w:r w:rsidR="00E91CF9">
        <w:rPr>
          <w:rFonts w:ascii="Arial" w:hAnsi="Arial" w:cs="Arial"/>
          <w:noProof/>
        </w:rPr>
        <w:t>vitroplantlets</w:t>
      </w:r>
      <w:r w:rsidR="00942F7D" w:rsidRPr="00A339BF">
        <w:rPr>
          <w:rFonts w:ascii="Arial" w:hAnsi="Arial" w:cs="Arial"/>
          <w:noProof/>
        </w:rPr>
        <w:t xml:space="preserve"> with true leaves (Figure 3 B).</w:t>
      </w:r>
      <w:r w:rsidR="00EA16CB" w:rsidRPr="00A339BF">
        <w:rPr>
          <w:rFonts w:ascii="Arial" w:hAnsi="Arial" w:cs="Arial"/>
          <w:noProof/>
        </w:rPr>
        <w:t xml:space="preserve"> </w:t>
      </w:r>
      <w:r w:rsidR="005F6BA0" w:rsidRPr="00A339BF">
        <w:rPr>
          <w:rFonts w:ascii="Arial" w:hAnsi="Arial" w:cs="Arial"/>
        </w:rPr>
        <w:t xml:space="preserve">In sugarcane, no more than 10 </w:t>
      </w:r>
      <w:r w:rsidR="00E13581" w:rsidRPr="00A339BF">
        <w:rPr>
          <w:rFonts w:ascii="Arial" w:hAnsi="Arial" w:cs="Arial"/>
          <w:i/>
          <w:iCs/>
        </w:rPr>
        <w:t xml:space="preserve">in vitro </w:t>
      </w:r>
      <w:r w:rsidR="005F6BA0" w:rsidRPr="00A339BF">
        <w:rPr>
          <w:rFonts w:ascii="Arial" w:hAnsi="Arial" w:cs="Arial"/>
        </w:rPr>
        <w:t xml:space="preserve">culture cycles are recommended, because somaclonal variations </w:t>
      </w:r>
      <w:r w:rsidR="00744E8C" w:rsidRPr="00A339BF">
        <w:rPr>
          <w:rFonts w:ascii="Arial" w:hAnsi="Arial" w:cs="Arial"/>
        </w:rPr>
        <w:t>may</w:t>
      </w:r>
      <w:r w:rsidR="005F6BA0" w:rsidRPr="00A339BF">
        <w:rPr>
          <w:rFonts w:ascii="Arial" w:hAnsi="Arial" w:cs="Arial"/>
        </w:rPr>
        <w:t xml:space="preserve"> occur during each culture cycle, which is not advisable in a mass production program of plants with genetic stability.</w:t>
      </w:r>
    </w:p>
    <w:p w14:paraId="7CE571F5" w14:textId="77777777" w:rsidR="00942F7D" w:rsidRPr="00A339BF" w:rsidRDefault="00942F7D" w:rsidP="00DA2347">
      <w:pPr>
        <w:pStyle w:val="NoSpacing"/>
        <w:jc w:val="both"/>
        <w:rPr>
          <w:rFonts w:ascii="Arial" w:hAnsi="Arial" w:cs="Arial"/>
          <w:noProof/>
          <w:color w:val="FF0000"/>
        </w:rPr>
      </w:pPr>
    </w:p>
    <w:p w14:paraId="095DFB08" w14:textId="0DE16E97" w:rsidR="00DA58FE" w:rsidRPr="00A339BF" w:rsidRDefault="00CA0201" w:rsidP="00D24CB7">
      <w:pPr>
        <w:pStyle w:val="NoSpacing"/>
        <w:ind w:firstLine="709"/>
        <w:jc w:val="center"/>
        <w:rPr>
          <w:rFonts w:ascii="Arial" w:hAnsi="Arial" w:cs="Arial"/>
        </w:rPr>
      </w:pPr>
      <w:r w:rsidRPr="00A339BF">
        <w:rPr>
          <w:rFonts w:ascii="Arial" w:hAnsi="Arial" w:cs="Arial"/>
          <w:noProof/>
        </w:rPr>
        <w:drawing>
          <wp:inline distT="0" distB="0" distL="0" distR="0" wp14:anchorId="00D6B5FF" wp14:editId="3A181F13">
            <wp:extent cx="4725973" cy="2365687"/>
            <wp:effectExtent l="0" t="0" r="0" b="0"/>
            <wp:docPr id="4" name="Imagen 4" descr="https://lh7-rt.googleusercontent.com/slidesz/AGV_vUetW_aLeY-EQ-WTLy7rW2XTvynL0XQoKKW7gDyXLTTiXJj0XlfKyR6v2L3kMPS5XbL_wuUECzaHfegTy7x5AH8GdkIt5ZhZSqv-aCz1gB0tcAQhsfCFMnOEbJy2-xZzdS3TvKxnIgaVxvUahBOZTqI=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c144b97-7fff-3481-9351-d501c4830eaa" descr="https://lh7-rt.googleusercontent.com/slidesz/AGV_vUetW_aLeY-EQ-WTLy7rW2XTvynL0XQoKKW7gDyXLTTiXJj0XlfKyR6v2L3kMPS5XbL_wuUECzaHfegTy7x5AH8GdkIt5ZhZSqv-aCz1gB0tcAQhsfCFMnOEbJy2-xZzdS3TvKxnIgaVxvUahBOZTqI=s2048?key=lMu10moZvwBVW-4yt9OnQ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8254" cy="2376840"/>
                    </a:xfrm>
                    <a:prstGeom prst="rect">
                      <a:avLst/>
                    </a:prstGeom>
                    <a:noFill/>
                    <a:ln>
                      <a:noFill/>
                    </a:ln>
                  </pic:spPr>
                </pic:pic>
              </a:graphicData>
            </a:graphic>
          </wp:inline>
        </w:drawing>
      </w:r>
    </w:p>
    <w:p w14:paraId="784EC5B0" w14:textId="2A8E17C0" w:rsidR="005F6BA0" w:rsidRPr="007E72F1" w:rsidRDefault="00DB3895" w:rsidP="00DA2347">
      <w:pPr>
        <w:pStyle w:val="NoSpacing"/>
        <w:ind w:firstLine="709"/>
        <w:jc w:val="both"/>
        <w:rPr>
          <w:rFonts w:ascii="Arial" w:hAnsi="Arial" w:cs="Arial"/>
          <w:b/>
          <w:bCs/>
        </w:rPr>
      </w:pPr>
      <w:r w:rsidRPr="007E72F1">
        <w:rPr>
          <w:rFonts w:ascii="Arial" w:hAnsi="Arial" w:cs="Arial"/>
          <w:b/>
          <w:bCs/>
          <w:lang w:val="en-US"/>
        </w:rPr>
        <w:t>Fig</w:t>
      </w:r>
      <w:r w:rsidR="007E72F1">
        <w:rPr>
          <w:rFonts w:ascii="Arial" w:hAnsi="Arial" w:cs="Arial"/>
          <w:b/>
          <w:bCs/>
          <w:lang w:val="en-US"/>
        </w:rPr>
        <w:t>.</w:t>
      </w:r>
      <w:r w:rsidRPr="007E72F1">
        <w:rPr>
          <w:rFonts w:ascii="Arial" w:hAnsi="Arial" w:cs="Arial"/>
          <w:b/>
          <w:bCs/>
          <w:lang w:val="en-US"/>
        </w:rPr>
        <w:t xml:space="preserve"> </w:t>
      </w:r>
      <w:r w:rsidR="00495870" w:rsidRPr="007E72F1">
        <w:rPr>
          <w:rFonts w:ascii="Arial" w:hAnsi="Arial" w:cs="Arial"/>
          <w:b/>
          <w:bCs/>
          <w:lang w:val="en-US"/>
        </w:rPr>
        <w:t>3</w:t>
      </w:r>
      <w:r w:rsidR="007E72F1">
        <w:rPr>
          <w:rFonts w:ascii="Arial" w:hAnsi="Arial" w:cs="Arial"/>
          <w:b/>
          <w:bCs/>
          <w:lang w:val="en-US"/>
        </w:rPr>
        <w:t xml:space="preserve">. </w:t>
      </w:r>
      <w:r w:rsidR="005F6BA0" w:rsidRPr="007E72F1">
        <w:rPr>
          <w:rFonts w:ascii="Arial" w:hAnsi="Arial" w:cs="Arial"/>
          <w:b/>
          <w:bCs/>
          <w:lang w:val="en"/>
        </w:rPr>
        <w:t xml:space="preserve">A) Morphological appearance of embryogenic calli of </w:t>
      </w:r>
      <w:r w:rsidR="005F6BA0" w:rsidRPr="007E72F1">
        <w:rPr>
          <w:rFonts w:ascii="Arial" w:hAnsi="Arial" w:cs="Arial"/>
          <w:b/>
          <w:bCs/>
          <w:i/>
          <w:iCs/>
          <w:lang w:val="en"/>
        </w:rPr>
        <w:t>Saccharum officinarum</w:t>
      </w:r>
      <w:r w:rsidR="005F6BA0" w:rsidRPr="007E72F1">
        <w:rPr>
          <w:rFonts w:ascii="Arial" w:hAnsi="Arial" w:cs="Arial"/>
          <w:b/>
          <w:bCs/>
          <w:lang w:val="en"/>
        </w:rPr>
        <w:t>, 20 days after ringing</w:t>
      </w:r>
      <w:r w:rsidR="00A93EB6" w:rsidRPr="007E72F1">
        <w:rPr>
          <w:rFonts w:ascii="Arial" w:hAnsi="Arial" w:cs="Arial"/>
          <w:b/>
          <w:bCs/>
          <w:lang w:val="en"/>
        </w:rPr>
        <w:t xml:space="preserve"> initiation</w:t>
      </w:r>
      <w:r w:rsidR="005F6BA0" w:rsidRPr="007E72F1">
        <w:rPr>
          <w:rFonts w:ascii="Arial" w:hAnsi="Arial" w:cs="Arial"/>
          <w:b/>
          <w:bCs/>
          <w:lang w:val="en"/>
        </w:rPr>
        <w:t xml:space="preserve"> in the proliferation stage, in SP 70-1143. B) Globular stage embryos of </w:t>
      </w:r>
      <w:r w:rsidR="005F6BA0" w:rsidRPr="007E72F1">
        <w:rPr>
          <w:rFonts w:ascii="Arial" w:hAnsi="Arial" w:cs="Arial"/>
          <w:b/>
          <w:bCs/>
          <w:i/>
          <w:iCs/>
          <w:lang w:val="en"/>
        </w:rPr>
        <w:t>Saccharum officinarum</w:t>
      </w:r>
      <w:r w:rsidR="005F6BA0" w:rsidRPr="007E72F1">
        <w:rPr>
          <w:rFonts w:ascii="Arial" w:hAnsi="Arial" w:cs="Arial"/>
          <w:b/>
          <w:bCs/>
          <w:lang w:val="en"/>
        </w:rPr>
        <w:t xml:space="preserve">, 40 days </w:t>
      </w:r>
      <w:r w:rsidR="00A35A44" w:rsidRPr="007E72F1">
        <w:rPr>
          <w:rFonts w:ascii="Arial" w:hAnsi="Arial" w:cs="Arial"/>
          <w:b/>
          <w:bCs/>
          <w:lang w:val="en"/>
        </w:rPr>
        <w:t>after ringing</w:t>
      </w:r>
      <w:r w:rsidR="00A93EB6" w:rsidRPr="007E72F1">
        <w:rPr>
          <w:rFonts w:ascii="Arial" w:hAnsi="Arial" w:cs="Arial"/>
          <w:b/>
          <w:bCs/>
          <w:lang w:val="en"/>
        </w:rPr>
        <w:t xml:space="preserve"> initiation</w:t>
      </w:r>
      <w:r w:rsidR="005F6BA0" w:rsidRPr="007E72F1">
        <w:rPr>
          <w:rFonts w:ascii="Arial" w:hAnsi="Arial" w:cs="Arial"/>
          <w:b/>
          <w:bCs/>
          <w:lang w:val="en"/>
        </w:rPr>
        <w:t xml:space="preserve"> in the proliferation stage, in SP 70-1143.</w:t>
      </w:r>
    </w:p>
    <w:p w14:paraId="13F91183" w14:textId="7B593D7E" w:rsidR="00D22D7D" w:rsidRPr="00A339BF" w:rsidRDefault="009C3298" w:rsidP="00DA2347">
      <w:pPr>
        <w:pStyle w:val="NoSpacing"/>
        <w:ind w:firstLine="709"/>
        <w:jc w:val="both"/>
        <w:rPr>
          <w:rFonts w:ascii="Arial" w:hAnsi="Arial" w:cs="Arial"/>
          <w:lang w:val="en-US"/>
        </w:rPr>
      </w:pPr>
      <w:r w:rsidRPr="00A339BF">
        <w:rPr>
          <w:rFonts w:ascii="Arial" w:hAnsi="Arial" w:cs="Arial"/>
          <w:lang w:val="en-US"/>
        </w:rPr>
        <w:t>.</w:t>
      </w:r>
    </w:p>
    <w:p w14:paraId="0E22E6F1" w14:textId="74CE8926" w:rsidR="00291158" w:rsidRPr="00A339BF" w:rsidRDefault="00291158" w:rsidP="00DC522B">
      <w:pPr>
        <w:pStyle w:val="NoSpacing"/>
        <w:numPr>
          <w:ilvl w:val="1"/>
          <w:numId w:val="10"/>
        </w:numPr>
        <w:jc w:val="both"/>
        <w:rPr>
          <w:rFonts w:ascii="Arial" w:hAnsi="Arial" w:cs="Arial"/>
          <w:b/>
        </w:rPr>
      </w:pPr>
      <w:r w:rsidRPr="00A339BF">
        <w:rPr>
          <w:rFonts w:ascii="Arial" w:hAnsi="Arial" w:cs="Arial"/>
          <w:b/>
        </w:rPr>
        <w:t xml:space="preserve">Regeneration of </w:t>
      </w:r>
      <w:r w:rsidR="0029454E">
        <w:rPr>
          <w:rFonts w:ascii="Arial" w:hAnsi="Arial" w:cs="Arial"/>
          <w:b/>
        </w:rPr>
        <w:t>vitroplantlets</w:t>
      </w:r>
      <w:r w:rsidRPr="00A339BF">
        <w:rPr>
          <w:rFonts w:ascii="Arial" w:hAnsi="Arial" w:cs="Arial"/>
          <w:b/>
        </w:rPr>
        <w:t xml:space="preserve"> from embryogenic callus</w:t>
      </w:r>
    </w:p>
    <w:p w14:paraId="17CDD41F" w14:textId="49CDDFBB" w:rsidR="005C1D05" w:rsidRPr="00A339BF" w:rsidRDefault="00291158" w:rsidP="005C1D05">
      <w:pPr>
        <w:pStyle w:val="NoSpacing"/>
        <w:jc w:val="both"/>
        <w:rPr>
          <w:rFonts w:ascii="Arial" w:hAnsi="Arial" w:cs="Arial"/>
        </w:rPr>
      </w:pPr>
      <w:r w:rsidRPr="00A339BF">
        <w:rPr>
          <w:rFonts w:ascii="Arial" w:hAnsi="Arial" w:cs="Arial"/>
        </w:rPr>
        <w:t>Thirty days after the start of this stage, the percentage of embryogenic masses that produced shoots was evaluated in the media supplemented with IBA or BAP.</w:t>
      </w:r>
      <w:r w:rsidR="003D7AB1" w:rsidRPr="00A339BF">
        <w:rPr>
          <w:rFonts w:ascii="Arial" w:hAnsi="Arial" w:cs="Arial"/>
        </w:rPr>
        <w:t xml:space="preserve"> </w:t>
      </w:r>
      <w:r w:rsidRPr="00A339BF">
        <w:rPr>
          <w:rFonts w:ascii="Arial" w:hAnsi="Arial" w:cs="Arial"/>
        </w:rPr>
        <w:t>In the presence of IBA in the culture media, no shoots were generated in either variety. No embryo germination was observed, nor was contamination recorded. Phenolization occurs over time, when the growth of embryogenic agglomerates stops.</w:t>
      </w:r>
      <w:r w:rsidR="003D7AB1" w:rsidRPr="00A339BF">
        <w:rPr>
          <w:rFonts w:ascii="Arial" w:hAnsi="Arial" w:cs="Arial"/>
        </w:rPr>
        <w:t xml:space="preserve"> </w:t>
      </w:r>
      <w:r w:rsidR="00CA43DB" w:rsidRPr="00A339BF">
        <w:rPr>
          <w:rFonts w:ascii="Arial" w:hAnsi="Arial" w:cs="Arial"/>
        </w:rPr>
        <w:t>With BAP in SP 70-1143, 45.88% shoot (</w:t>
      </w:r>
      <w:r w:rsidR="002C6830">
        <w:rPr>
          <w:rFonts w:ascii="Arial" w:hAnsi="Arial" w:cs="Arial"/>
        </w:rPr>
        <w:t>plantlet</w:t>
      </w:r>
      <w:r w:rsidR="00CA43DB" w:rsidRPr="00A339BF">
        <w:rPr>
          <w:rFonts w:ascii="Arial" w:hAnsi="Arial" w:cs="Arial"/>
        </w:rPr>
        <w:t>) formation was re</w:t>
      </w:r>
      <w:r w:rsidR="009F224E">
        <w:rPr>
          <w:rFonts w:ascii="Arial" w:hAnsi="Arial" w:cs="Arial"/>
        </w:rPr>
        <w:t>gistered</w:t>
      </w:r>
      <w:r w:rsidR="00CA43DB" w:rsidRPr="00A339BF">
        <w:rPr>
          <w:rFonts w:ascii="Arial" w:hAnsi="Arial" w:cs="Arial"/>
        </w:rPr>
        <w:t>; embryos that germinated, g</w:t>
      </w:r>
      <w:r w:rsidR="00F83E4B" w:rsidRPr="00A339BF">
        <w:rPr>
          <w:rFonts w:ascii="Arial" w:hAnsi="Arial" w:cs="Arial"/>
        </w:rPr>
        <w:t>ave</w:t>
      </w:r>
      <w:r w:rsidR="00CA43DB" w:rsidRPr="00A339BF">
        <w:rPr>
          <w:rFonts w:ascii="Arial" w:hAnsi="Arial" w:cs="Arial"/>
        </w:rPr>
        <w:t xml:space="preserve"> rise to a </w:t>
      </w:r>
      <w:r w:rsidR="001058B2" w:rsidRPr="00A339BF">
        <w:rPr>
          <w:rFonts w:ascii="Arial" w:hAnsi="Arial" w:cs="Arial"/>
        </w:rPr>
        <w:t>vitroplant</w:t>
      </w:r>
      <w:r w:rsidR="00447999">
        <w:rPr>
          <w:rFonts w:ascii="Arial" w:hAnsi="Arial" w:cs="Arial"/>
        </w:rPr>
        <w:t>let</w:t>
      </w:r>
      <w:r w:rsidR="001058B2" w:rsidRPr="00A339BF">
        <w:rPr>
          <w:rFonts w:ascii="Arial" w:hAnsi="Arial" w:cs="Arial"/>
        </w:rPr>
        <w:t>s</w:t>
      </w:r>
      <w:r w:rsidR="00CA43DB" w:rsidRPr="00A339BF">
        <w:rPr>
          <w:rFonts w:ascii="Arial" w:hAnsi="Arial" w:cs="Arial"/>
        </w:rPr>
        <w:t xml:space="preserve"> (Fig. 4 A and B). Embryos in the cotyledonary stage are those that generate </w:t>
      </w:r>
      <w:r w:rsidR="00F83E4B" w:rsidRPr="00A339BF">
        <w:rPr>
          <w:rFonts w:ascii="Arial" w:hAnsi="Arial" w:cs="Arial"/>
        </w:rPr>
        <w:t>fully-developed</w:t>
      </w:r>
      <w:r w:rsidR="00CA43DB" w:rsidRPr="00A339BF">
        <w:rPr>
          <w:rFonts w:ascii="Arial" w:hAnsi="Arial" w:cs="Arial"/>
        </w:rPr>
        <w:t xml:space="preserve"> </w:t>
      </w:r>
      <w:r w:rsidR="001058B2" w:rsidRPr="00A339BF">
        <w:rPr>
          <w:rFonts w:ascii="Arial" w:hAnsi="Arial" w:cs="Arial"/>
        </w:rPr>
        <w:t>vitroplant</w:t>
      </w:r>
      <w:r w:rsidR="00DE7971">
        <w:rPr>
          <w:rFonts w:ascii="Arial" w:hAnsi="Arial" w:cs="Arial"/>
        </w:rPr>
        <w:t>let</w:t>
      </w:r>
      <w:r w:rsidR="00CA43DB" w:rsidRPr="00A339BF">
        <w:rPr>
          <w:rFonts w:ascii="Arial" w:hAnsi="Arial" w:cs="Arial"/>
        </w:rPr>
        <w:t xml:space="preserve">s, with a cauline and radical system. The creamy yellow calluses progressively presented a change in coloration, which turned green and began to differentiate into shoots, which gradually elongated (Fig. 4 C). Within a month, this growth and differentiation of a complete </w:t>
      </w:r>
      <w:r w:rsidR="002C6830">
        <w:rPr>
          <w:rFonts w:ascii="Arial" w:hAnsi="Arial" w:cs="Arial"/>
        </w:rPr>
        <w:t>vitroplantlet</w:t>
      </w:r>
      <w:r w:rsidR="00CA43DB" w:rsidRPr="00A339BF">
        <w:rPr>
          <w:rFonts w:ascii="Arial" w:hAnsi="Arial" w:cs="Arial"/>
        </w:rPr>
        <w:t xml:space="preserve"> </w:t>
      </w:r>
      <w:r w:rsidR="00F83E4B" w:rsidRPr="00A339BF">
        <w:rPr>
          <w:rFonts w:ascii="Arial" w:hAnsi="Arial" w:cs="Arial"/>
        </w:rPr>
        <w:t xml:space="preserve">was </w:t>
      </w:r>
      <w:r w:rsidR="007E7C32">
        <w:rPr>
          <w:rFonts w:ascii="Arial" w:hAnsi="Arial" w:cs="Arial"/>
        </w:rPr>
        <w:t>achiev</w:t>
      </w:r>
      <w:r w:rsidR="00F83E4B" w:rsidRPr="00A339BF">
        <w:rPr>
          <w:rFonts w:ascii="Arial" w:hAnsi="Arial" w:cs="Arial"/>
        </w:rPr>
        <w:t>ed</w:t>
      </w:r>
      <w:r w:rsidR="00CA43DB" w:rsidRPr="00A339BF">
        <w:rPr>
          <w:rFonts w:ascii="Arial" w:hAnsi="Arial" w:cs="Arial"/>
        </w:rPr>
        <w:t>.</w:t>
      </w:r>
      <w:r w:rsidR="003D7AB1" w:rsidRPr="00A339BF">
        <w:rPr>
          <w:rFonts w:ascii="Arial" w:hAnsi="Arial" w:cs="Arial"/>
        </w:rPr>
        <w:t xml:space="preserve"> </w:t>
      </w:r>
      <w:r w:rsidR="00CA43DB" w:rsidRPr="00A339BF">
        <w:rPr>
          <w:rFonts w:ascii="Arial" w:hAnsi="Arial" w:cs="Arial"/>
        </w:rPr>
        <w:t xml:space="preserve">The presence of BAP in the </w:t>
      </w:r>
      <w:r w:rsidR="00CA43DB" w:rsidRPr="00A339BF">
        <w:rPr>
          <w:rFonts w:ascii="Arial" w:hAnsi="Arial" w:cs="Arial"/>
        </w:rPr>
        <w:lastRenderedPageBreak/>
        <w:t>culture medium promotes the conversion of embryos into</w:t>
      </w:r>
      <w:r w:rsidR="00F83E4B" w:rsidRPr="00A339BF">
        <w:rPr>
          <w:rFonts w:ascii="Arial" w:hAnsi="Arial" w:cs="Arial"/>
        </w:rPr>
        <w:t xml:space="preserve"> </w:t>
      </w:r>
      <w:r w:rsidR="002671C8" w:rsidRPr="002671C8">
        <w:rPr>
          <w:rFonts w:ascii="Arial" w:hAnsi="Arial" w:cs="Arial"/>
          <w:lang w:val="en"/>
        </w:rPr>
        <w:t>complete vitroplantlets</w:t>
      </w:r>
      <w:r w:rsidR="00CA43DB" w:rsidRPr="00A339BF">
        <w:rPr>
          <w:rFonts w:ascii="Arial" w:hAnsi="Arial" w:cs="Arial"/>
        </w:rPr>
        <w:t xml:space="preserve">. Similar behavior has been reported by Sidek </w:t>
      </w:r>
      <w:r w:rsidR="00CA43DB" w:rsidRPr="00694EFF">
        <w:rPr>
          <w:rFonts w:ascii="Arial" w:hAnsi="Arial" w:cs="Arial"/>
          <w:i/>
          <w:iCs/>
        </w:rPr>
        <w:t>et al</w:t>
      </w:r>
      <w:r w:rsidR="00CA43DB" w:rsidRPr="00A339BF">
        <w:rPr>
          <w:rFonts w:ascii="Arial" w:hAnsi="Arial" w:cs="Arial"/>
        </w:rPr>
        <w:t xml:space="preserve">. 2022 for Oryza sativa L. (cv. MARDI Siraj 297). In the case of the CP 70-1133 variety, a low percentage of </w:t>
      </w:r>
      <w:r w:rsidR="00094C46">
        <w:rPr>
          <w:rFonts w:ascii="Arial" w:hAnsi="Arial" w:cs="Arial"/>
        </w:rPr>
        <w:t>vitro</w:t>
      </w:r>
      <w:r w:rsidR="00C47701">
        <w:rPr>
          <w:rFonts w:ascii="Arial" w:hAnsi="Arial" w:cs="Arial"/>
        </w:rPr>
        <w:t>plantlets</w:t>
      </w:r>
      <w:r w:rsidR="00CA43DB" w:rsidRPr="00A339BF">
        <w:rPr>
          <w:rFonts w:ascii="Arial" w:hAnsi="Arial" w:cs="Arial"/>
        </w:rPr>
        <w:t xml:space="preserve"> production was re</w:t>
      </w:r>
      <w:r w:rsidR="00094C46">
        <w:rPr>
          <w:rFonts w:ascii="Arial" w:hAnsi="Arial" w:cs="Arial"/>
        </w:rPr>
        <w:t>gistered</w:t>
      </w:r>
      <w:r w:rsidR="00CA43DB" w:rsidRPr="00A339BF">
        <w:rPr>
          <w:rFonts w:ascii="Arial" w:hAnsi="Arial" w:cs="Arial"/>
        </w:rPr>
        <w:t xml:space="preserve">, </w:t>
      </w:r>
      <w:r w:rsidR="00CA43DB" w:rsidRPr="00847E2C">
        <w:rPr>
          <w:rFonts w:ascii="Arial" w:hAnsi="Arial" w:cs="Arial"/>
        </w:rPr>
        <w:t>reaching</w:t>
      </w:r>
      <w:r w:rsidR="00CA43DB" w:rsidRPr="00A339BF">
        <w:rPr>
          <w:rFonts w:ascii="Arial" w:hAnsi="Arial" w:cs="Arial"/>
        </w:rPr>
        <w:t xml:space="preserve"> only 8.23% vitroplantlet</w:t>
      </w:r>
      <w:r w:rsidR="00094C46">
        <w:rPr>
          <w:rFonts w:ascii="Arial" w:hAnsi="Arial" w:cs="Arial"/>
        </w:rPr>
        <w:t>s</w:t>
      </w:r>
      <w:r w:rsidR="00CA43DB" w:rsidRPr="00A339BF">
        <w:rPr>
          <w:rFonts w:ascii="Arial" w:hAnsi="Arial" w:cs="Arial"/>
        </w:rPr>
        <w:t xml:space="preserve"> formation. Vitrification processes (presence of hyperhydric cells) were observed in the SP 70-1143 variety.</w:t>
      </w:r>
      <w:r w:rsidR="0031236D">
        <w:rPr>
          <w:rFonts w:ascii="Arial" w:hAnsi="Arial" w:cs="Arial"/>
        </w:rPr>
        <w:t xml:space="preserve"> </w:t>
      </w:r>
      <w:r w:rsidR="005C1D05" w:rsidRPr="005C1D05">
        <w:rPr>
          <w:rFonts w:ascii="Arial" w:hAnsi="Arial" w:cs="Arial"/>
          <w:lang w:val="en"/>
        </w:rPr>
        <w:t xml:space="preserve">The ANOVA for this variable indicates that the response was different between the two genotypes. Differences in the means of the treatment results were compared using the LSD test at the 5% probability level. This comparison demonstrates the influence of </w:t>
      </w:r>
      <w:r w:rsidR="00847E2C" w:rsidRPr="005C1D05">
        <w:rPr>
          <w:rFonts w:ascii="Arial" w:hAnsi="Arial" w:cs="Arial"/>
          <w:lang w:val="en"/>
        </w:rPr>
        <w:t>genotypes</w:t>
      </w:r>
      <w:r w:rsidR="005C1D05" w:rsidRPr="005C1D05">
        <w:rPr>
          <w:rFonts w:ascii="Arial" w:hAnsi="Arial" w:cs="Arial"/>
          <w:lang w:val="en"/>
        </w:rPr>
        <w:t xml:space="preserve"> on</w:t>
      </w:r>
      <w:r w:rsidR="005C1D05">
        <w:rPr>
          <w:rFonts w:ascii="Arial" w:hAnsi="Arial" w:cs="Arial"/>
          <w:lang w:val="en"/>
        </w:rPr>
        <w:t xml:space="preserve"> vitroplantlets</w:t>
      </w:r>
      <w:r w:rsidR="005C1D05" w:rsidRPr="005C1D05">
        <w:rPr>
          <w:rFonts w:ascii="Arial" w:hAnsi="Arial" w:cs="Arial"/>
        </w:rPr>
        <w:t xml:space="preserve"> regeneration from embryogenic callus (p=0.0001).</w:t>
      </w:r>
    </w:p>
    <w:p w14:paraId="1E2D417B" w14:textId="77777777" w:rsidR="00CA43DB" w:rsidRPr="00A339BF" w:rsidRDefault="00CA43DB" w:rsidP="00DA2347">
      <w:pPr>
        <w:pStyle w:val="NoSpacing"/>
        <w:jc w:val="both"/>
        <w:rPr>
          <w:rFonts w:ascii="Arial" w:hAnsi="Arial" w:cs="Arial"/>
        </w:rPr>
      </w:pPr>
    </w:p>
    <w:p w14:paraId="594472EF" w14:textId="038443B1" w:rsidR="004E6945" w:rsidRPr="00A339BF" w:rsidRDefault="00804643" w:rsidP="00DA2347">
      <w:pPr>
        <w:pStyle w:val="NoSpacing"/>
        <w:jc w:val="both"/>
        <w:rPr>
          <w:rFonts w:ascii="Arial" w:hAnsi="Arial" w:cs="Arial"/>
        </w:rPr>
      </w:pPr>
      <w:r w:rsidRPr="00A339BF">
        <w:rPr>
          <w:rFonts w:ascii="Arial" w:hAnsi="Arial" w:cs="Arial"/>
          <w:noProof/>
        </w:rPr>
        <w:drawing>
          <wp:inline distT="0" distB="0" distL="0" distR="0" wp14:anchorId="0C5A2A79" wp14:editId="7E67C039">
            <wp:extent cx="5612130" cy="1509733"/>
            <wp:effectExtent l="0" t="0" r="7620" b="0"/>
            <wp:docPr id="8" name="Imagen 8" descr="https://lh7-rt.googleusercontent.com/slidesz/AGV_vUcSiQ45wP8LrYOkI0jb88j0DuCyUFjE2X4ygqiliuJYUSLcGX_TL-XKVCLuMdppBw7sjym5BQPGZPoQBnBVUwe0mGFYP2OkEhEJe3wwwLnXOz_lTbwPgdv6x1RuZu9cwKPubkFOBlUoPWioa7Fd-zQ=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4f7963e3-7fff-3c7d-9221-3310fb734137" descr="https://lh7-rt.googleusercontent.com/slidesz/AGV_vUcSiQ45wP8LrYOkI0jb88j0DuCyUFjE2X4ygqiliuJYUSLcGX_TL-XKVCLuMdppBw7sjym5BQPGZPoQBnBVUwe0mGFYP2OkEhEJe3wwwLnXOz_lTbwPgdv6x1RuZu9cwKPubkFOBlUoPWioa7Fd-zQ=s2048?key=lMu10moZvwBVW-4yt9OnQ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509733"/>
                    </a:xfrm>
                    <a:prstGeom prst="rect">
                      <a:avLst/>
                    </a:prstGeom>
                    <a:noFill/>
                    <a:ln>
                      <a:noFill/>
                    </a:ln>
                  </pic:spPr>
                </pic:pic>
              </a:graphicData>
            </a:graphic>
          </wp:inline>
        </w:drawing>
      </w:r>
    </w:p>
    <w:p w14:paraId="6BDE6F70" w14:textId="7F0E010C" w:rsidR="00082EFC" w:rsidRPr="00A35A44" w:rsidRDefault="0070028B" w:rsidP="004208D3">
      <w:pPr>
        <w:pStyle w:val="NoSpacing"/>
        <w:ind w:firstLine="709"/>
        <w:jc w:val="both"/>
        <w:rPr>
          <w:rFonts w:ascii="Arial" w:hAnsi="Arial" w:cs="Arial"/>
          <w:b/>
          <w:bCs/>
        </w:rPr>
      </w:pPr>
      <w:r w:rsidRPr="00A35A44">
        <w:rPr>
          <w:rFonts w:ascii="Arial" w:hAnsi="Arial" w:cs="Arial"/>
          <w:b/>
          <w:bCs/>
        </w:rPr>
        <w:t>Fig</w:t>
      </w:r>
      <w:r w:rsidR="00A35A44">
        <w:rPr>
          <w:rFonts w:ascii="Arial" w:hAnsi="Arial" w:cs="Arial"/>
          <w:b/>
          <w:bCs/>
        </w:rPr>
        <w:t>.</w:t>
      </w:r>
      <w:r w:rsidRPr="00A35A44">
        <w:rPr>
          <w:rFonts w:ascii="Arial" w:hAnsi="Arial" w:cs="Arial"/>
          <w:b/>
          <w:bCs/>
        </w:rPr>
        <w:t xml:space="preserve"> </w:t>
      </w:r>
      <w:r w:rsidR="00E14E55" w:rsidRPr="00A35A44">
        <w:rPr>
          <w:rFonts w:ascii="Arial" w:hAnsi="Arial" w:cs="Arial"/>
          <w:b/>
          <w:bCs/>
        </w:rPr>
        <w:t>4</w:t>
      </w:r>
      <w:r w:rsidR="00A35A44">
        <w:rPr>
          <w:rFonts w:ascii="Arial" w:hAnsi="Arial" w:cs="Arial"/>
          <w:b/>
          <w:bCs/>
        </w:rPr>
        <w:t>.</w:t>
      </w:r>
      <w:r w:rsidRPr="00A35A44">
        <w:rPr>
          <w:rFonts w:ascii="Arial" w:hAnsi="Arial" w:cs="Arial"/>
          <w:b/>
          <w:bCs/>
        </w:rPr>
        <w:t>A)</w:t>
      </w:r>
      <w:r w:rsidR="00B86F0E" w:rsidRPr="00A35A44">
        <w:rPr>
          <w:rFonts w:ascii="Arial" w:hAnsi="Arial" w:cs="Arial"/>
          <w:b/>
          <w:bCs/>
        </w:rPr>
        <w:t xml:space="preserve"> </w:t>
      </w:r>
      <w:r w:rsidR="00082EFC" w:rsidRPr="00A35A44">
        <w:rPr>
          <w:rFonts w:ascii="Arial" w:hAnsi="Arial" w:cs="Arial"/>
          <w:b/>
          <w:bCs/>
          <w:lang w:val="en"/>
        </w:rPr>
        <w:t xml:space="preserve">Differentiation and growth of </w:t>
      </w:r>
      <w:r w:rsidR="00082EFC" w:rsidRPr="00A35A44">
        <w:rPr>
          <w:rFonts w:ascii="Arial" w:hAnsi="Arial" w:cs="Arial"/>
          <w:b/>
          <w:bCs/>
          <w:i/>
          <w:iCs/>
          <w:lang w:val="en"/>
        </w:rPr>
        <w:t>Saccharum officinarum</w:t>
      </w:r>
      <w:r w:rsidR="00082EFC" w:rsidRPr="00A35A44">
        <w:rPr>
          <w:rFonts w:ascii="Arial" w:hAnsi="Arial" w:cs="Arial"/>
          <w:b/>
          <w:bCs/>
          <w:lang w:val="en"/>
        </w:rPr>
        <w:t xml:space="preserve"> </w:t>
      </w:r>
      <w:r w:rsidR="00C1570B">
        <w:rPr>
          <w:rFonts w:ascii="Arial" w:hAnsi="Arial" w:cs="Arial"/>
          <w:b/>
          <w:bCs/>
          <w:lang w:val="en"/>
        </w:rPr>
        <w:t>vitroplantlets</w:t>
      </w:r>
      <w:r w:rsidR="00082EFC" w:rsidRPr="00A35A44">
        <w:rPr>
          <w:rFonts w:ascii="Arial" w:hAnsi="Arial" w:cs="Arial"/>
          <w:b/>
          <w:bCs/>
          <w:lang w:val="en"/>
        </w:rPr>
        <w:t xml:space="preserve"> obtained by somatic embryogenesis. B) </w:t>
      </w:r>
      <w:r w:rsidR="00094C46">
        <w:rPr>
          <w:rFonts w:ascii="Arial" w:hAnsi="Arial" w:cs="Arial"/>
          <w:b/>
          <w:bCs/>
          <w:lang w:val="en"/>
        </w:rPr>
        <w:t xml:space="preserve">Vitroplantlets </w:t>
      </w:r>
      <w:r w:rsidR="00082EFC" w:rsidRPr="00A35A44">
        <w:rPr>
          <w:rFonts w:ascii="Arial" w:hAnsi="Arial" w:cs="Arial"/>
          <w:b/>
          <w:bCs/>
          <w:lang w:val="en"/>
        </w:rPr>
        <w:t>differentia</w:t>
      </w:r>
      <w:r w:rsidR="00437332">
        <w:rPr>
          <w:rFonts w:ascii="Arial" w:hAnsi="Arial" w:cs="Arial"/>
          <w:b/>
          <w:bCs/>
          <w:lang w:val="en"/>
        </w:rPr>
        <w:t>te</w:t>
      </w:r>
      <w:r w:rsidR="00082EFC" w:rsidRPr="00A35A44">
        <w:rPr>
          <w:rFonts w:ascii="Arial" w:hAnsi="Arial" w:cs="Arial"/>
          <w:b/>
          <w:bCs/>
          <w:lang w:val="en"/>
        </w:rPr>
        <w:t xml:space="preserve"> at 20 days in</w:t>
      </w:r>
      <w:r w:rsidR="000D19B4" w:rsidRPr="00A35A44">
        <w:rPr>
          <w:rFonts w:ascii="Arial" w:hAnsi="Arial" w:cs="Arial"/>
          <w:b/>
          <w:bCs/>
          <w:lang w:val="en"/>
        </w:rPr>
        <w:t xml:space="preserve"> a </w:t>
      </w:r>
      <w:r w:rsidR="00082EFC" w:rsidRPr="00A35A44">
        <w:rPr>
          <w:rFonts w:ascii="Arial" w:hAnsi="Arial" w:cs="Arial"/>
          <w:b/>
          <w:bCs/>
          <w:lang w:val="en"/>
        </w:rPr>
        <w:t xml:space="preserve">regeneration medium in SP 70-1143. C) Flasks containing </w:t>
      </w:r>
      <w:r w:rsidR="00082EFC" w:rsidRPr="00A35A44">
        <w:rPr>
          <w:rFonts w:ascii="Arial" w:hAnsi="Arial" w:cs="Arial"/>
          <w:b/>
          <w:bCs/>
          <w:i/>
          <w:iCs/>
          <w:lang w:val="en"/>
        </w:rPr>
        <w:t>Saccharum officinarum</w:t>
      </w:r>
      <w:r w:rsidR="00082EFC" w:rsidRPr="00A35A44">
        <w:rPr>
          <w:rFonts w:ascii="Arial" w:hAnsi="Arial" w:cs="Arial"/>
          <w:b/>
          <w:bCs/>
          <w:lang w:val="en"/>
        </w:rPr>
        <w:t xml:space="preserve"> </w:t>
      </w:r>
      <w:r w:rsidR="00F63576">
        <w:rPr>
          <w:rFonts w:ascii="Arial" w:hAnsi="Arial" w:cs="Arial"/>
          <w:b/>
          <w:bCs/>
          <w:lang w:val="en"/>
        </w:rPr>
        <w:t>vitroplantlets</w:t>
      </w:r>
      <w:r w:rsidR="00082EFC" w:rsidRPr="00A35A44">
        <w:rPr>
          <w:rFonts w:ascii="Arial" w:hAnsi="Arial" w:cs="Arial"/>
          <w:b/>
          <w:bCs/>
          <w:lang w:val="en"/>
        </w:rPr>
        <w:t xml:space="preserve">, of the SP 70-1143 variety, obtained from embryogenic calli, 30 days after the start of the </w:t>
      </w:r>
      <w:r w:rsidR="007E437A">
        <w:rPr>
          <w:rFonts w:ascii="Arial" w:hAnsi="Arial" w:cs="Arial"/>
          <w:b/>
          <w:bCs/>
          <w:lang w:val="en"/>
        </w:rPr>
        <w:t>vitroplantlet</w:t>
      </w:r>
      <w:r w:rsidR="00082EFC" w:rsidRPr="00A35A44">
        <w:rPr>
          <w:rFonts w:ascii="Arial" w:hAnsi="Arial" w:cs="Arial"/>
          <w:b/>
          <w:bCs/>
          <w:lang w:val="en"/>
        </w:rPr>
        <w:t xml:space="preserve"> regeneration stage.</w:t>
      </w:r>
    </w:p>
    <w:p w14:paraId="3DEB73D2" w14:textId="77777777" w:rsidR="00486A40" w:rsidRPr="00A339BF" w:rsidRDefault="00486A40" w:rsidP="00DA2347">
      <w:pPr>
        <w:pStyle w:val="NoSpacing"/>
        <w:jc w:val="both"/>
        <w:rPr>
          <w:rFonts w:ascii="Arial" w:hAnsi="Arial" w:cs="Arial"/>
        </w:rPr>
      </w:pPr>
    </w:p>
    <w:p w14:paraId="7FC6B191" w14:textId="5027043C" w:rsidR="00486A40" w:rsidRPr="00A339BF" w:rsidRDefault="00486A40" w:rsidP="00DA2347">
      <w:pPr>
        <w:pStyle w:val="NoSpacing"/>
        <w:jc w:val="both"/>
        <w:rPr>
          <w:rFonts w:ascii="Arial" w:hAnsi="Arial" w:cs="Arial"/>
        </w:rPr>
      </w:pPr>
      <w:r w:rsidRPr="00A339BF">
        <w:rPr>
          <w:rFonts w:ascii="Arial" w:hAnsi="Arial" w:cs="Arial"/>
        </w:rPr>
        <w:t>In the BAP-supplemented treatment, 1% of explants showed phenolization, manifesting as shoots acquir</w:t>
      </w:r>
      <w:r w:rsidR="009F5CCD" w:rsidRPr="00A339BF">
        <w:rPr>
          <w:rFonts w:ascii="Arial" w:hAnsi="Arial" w:cs="Arial"/>
        </w:rPr>
        <w:t>i</w:t>
      </w:r>
      <w:r w:rsidRPr="00A339BF">
        <w:rPr>
          <w:rFonts w:ascii="Arial" w:hAnsi="Arial" w:cs="Arial"/>
        </w:rPr>
        <w:t xml:space="preserve">ed a reddish color. Based on this observation, a change to a culture medium containing activated carbon at 3% w/v was evaluated. The phenolization process was reversed. However, growth </w:t>
      </w:r>
      <w:r w:rsidR="009F5CCD" w:rsidRPr="00A339BF">
        <w:rPr>
          <w:rFonts w:ascii="Arial" w:hAnsi="Arial" w:cs="Arial"/>
        </w:rPr>
        <w:t>speed</w:t>
      </w:r>
      <w:r w:rsidRPr="00A339BF">
        <w:rPr>
          <w:rFonts w:ascii="Arial" w:hAnsi="Arial" w:cs="Arial"/>
        </w:rPr>
        <w:t xml:space="preserve"> did not recover</w:t>
      </w:r>
      <w:r w:rsidR="009F5CCD" w:rsidRPr="00A339BF">
        <w:rPr>
          <w:rFonts w:ascii="Arial" w:hAnsi="Arial" w:cs="Arial"/>
        </w:rPr>
        <w:t xml:space="preserve"> leading to</w:t>
      </w:r>
      <w:r w:rsidRPr="00A339BF">
        <w:rPr>
          <w:rFonts w:ascii="Arial" w:hAnsi="Arial" w:cs="Arial"/>
        </w:rPr>
        <w:t xml:space="preserve"> changes in leaf texture and subsequent death of the vitroplantlets.</w:t>
      </w:r>
    </w:p>
    <w:p w14:paraId="4BDFA6E3" w14:textId="77777777" w:rsidR="00486A40" w:rsidRPr="00A339BF" w:rsidRDefault="00486A40" w:rsidP="00DA2347">
      <w:pPr>
        <w:pStyle w:val="NoSpacing"/>
        <w:jc w:val="both"/>
        <w:rPr>
          <w:rFonts w:ascii="Arial" w:hAnsi="Arial" w:cs="Arial"/>
        </w:rPr>
      </w:pPr>
    </w:p>
    <w:p w14:paraId="4E036801" w14:textId="77777777" w:rsidR="00870AB3" w:rsidRPr="006934AB" w:rsidRDefault="00870AB3" w:rsidP="00DC522B">
      <w:pPr>
        <w:pStyle w:val="NoSpacing"/>
        <w:numPr>
          <w:ilvl w:val="1"/>
          <w:numId w:val="10"/>
        </w:numPr>
        <w:jc w:val="both"/>
        <w:rPr>
          <w:rFonts w:ascii="Arial" w:hAnsi="Arial" w:cs="Arial"/>
          <w:b/>
        </w:rPr>
      </w:pPr>
      <w:r w:rsidRPr="006934AB">
        <w:rPr>
          <w:rFonts w:ascii="Arial" w:hAnsi="Arial" w:cs="Arial"/>
          <w:b/>
        </w:rPr>
        <w:t>Rooting of vitroplantlets</w:t>
      </w:r>
    </w:p>
    <w:p w14:paraId="74067DB5" w14:textId="4A16AEAA" w:rsidR="00BA5947" w:rsidRPr="00847E2C" w:rsidRDefault="00A80CEA" w:rsidP="00DA2347">
      <w:pPr>
        <w:pStyle w:val="NoSpacing"/>
        <w:jc w:val="both"/>
        <w:rPr>
          <w:rFonts w:ascii="Arial" w:hAnsi="Arial" w:cs="Arial"/>
          <w:lang w:val="en"/>
        </w:rPr>
      </w:pPr>
      <w:r w:rsidRPr="00A339BF">
        <w:rPr>
          <w:rFonts w:ascii="Arial" w:hAnsi="Arial" w:cs="Arial"/>
        </w:rPr>
        <w:t xml:space="preserve">Rooting is observed 10 days after the start of this stage. Normal </w:t>
      </w:r>
      <w:r w:rsidR="004D517B">
        <w:rPr>
          <w:rFonts w:ascii="Arial" w:hAnsi="Arial" w:cs="Arial"/>
        </w:rPr>
        <w:t>vitroplantlets</w:t>
      </w:r>
      <w:r w:rsidRPr="00A339BF">
        <w:rPr>
          <w:rFonts w:ascii="Arial" w:hAnsi="Arial" w:cs="Arial"/>
        </w:rPr>
        <w:t xml:space="preserve"> are identified with adequate growth of the stem and root systems (Fig. 5A). </w:t>
      </w:r>
      <w:r w:rsidR="00E13581" w:rsidRPr="00A339BF">
        <w:rPr>
          <w:rFonts w:ascii="Arial" w:hAnsi="Arial" w:cs="Arial"/>
          <w:i/>
          <w:iCs/>
        </w:rPr>
        <w:t xml:space="preserve">In vitro </w:t>
      </w:r>
      <w:r w:rsidRPr="00A339BF">
        <w:rPr>
          <w:rFonts w:ascii="Arial" w:hAnsi="Arial" w:cs="Arial"/>
        </w:rPr>
        <w:t>rooting induction can be stimulated by adding auxins to the culture medium; however, the survival rate decreases when acclimatized to natural conditions.</w:t>
      </w:r>
      <w:r w:rsidR="00BA5947" w:rsidRPr="00A339BF">
        <w:rPr>
          <w:rFonts w:ascii="Arial" w:hAnsi="Arial" w:cs="Arial"/>
        </w:rPr>
        <w:t xml:space="preserve"> </w:t>
      </w:r>
      <w:r w:rsidR="00BA5947" w:rsidRPr="00A339BF">
        <w:rPr>
          <w:rFonts w:ascii="Arial" w:hAnsi="Arial" w:cs="Arial"/>
          <w:lang w:val="en"/>
        </w:rPr>
        <w:t xml:space="preserve">In this study, the rooting percentage </w:t>
      </w:r>
      <w:r w:rsidR="001523E0" w:rsidRPr="00A339BF">
        <w:rPr>
          <w:rFonts w:ascii="Arial" w:hAnsi="Arial" w:cs="Arial"/>
          <w:lang w:val="en"/>
        </w:rPr>
        <w:t>w</w:t>
      </w:r>
      <w:r w:rsidR="00BA5947" w:rsidRPr="00A339BF">
        <w:rPr>
          <w:rFonts w:ascii="Arial" w:hAnsi="Arial" w:cs="Arial"/>
          <w:lang w:val="en"/>
        </w:rPr>
        <w:t xml:space="preserve">ith the 2.69 µM/L ANA treatment in SP 70-1143 </w:t>
      </w:r>
      <w:r w:rsidR="000753CF" w:rsidRPr="00A339BF">
        <w:rPr>
          <w:rFonts w:ascii="Arial" w:hAnsi="Arial" w:cs="Arial"/>
          <w:lang w:val="en"/>
        </w:rPr>
        <w:t>was</w:t>
      </w:r>
      <w:r w:rsidR="00BA5947" w:rsidRPr="00A339BF">
        <w:rPr>
          <w:rFonts w:ascii="Arial" w:hAnsi="Arial" w:cs="Arial"/>
          <w:lang w:val="en"/>
        </w:rPr>
        <w:t xml:space="preserve"> 91.93% (Fig. 5B)</w:t>
      </w:r>
      <w:r w:rsidR="001523E0" w:rsidRPr="00A339BF">
        <w:rPr>
          <w:rFonts w:ascii="Arial" w:hAnsi="Arial" w:cs="Arial"/>
          <w:lang w:val="en"/>
        </w:rPr>
        <w:t>,</w:t>
      </w:r>
      <w:r w:rsidR="00BA5947" w:rsidRPr="00A339BF">
        <w:rPr>
          <w:rFonts w:ascii="Arial" w:hAnsi="Arial" w:cs="Arial"/>
          <w:lang w:val="en"/>
        </w:rPr>
        <w:t xml:space="preserve"> and 8.07% in CP 70-1133.</w:t>
      </w:r>
      <w:r w:rsidR="001F0C68">
        <w:rPr>
          <w:rFonts w:ascii="Arial" w:hAnsi="Arial" w:cs="Arial"/>
          <w:lang w:val="en"/>
        </w:rPr>
        <w:t xml:space="preserve"> </w:t>
      </w:r>
      <w:r w:rsidR="00847E2C" w:rsidRPr="005C1D05">
        <w:rPr>
          <w:rFonts w:ascii="Arial" w:hAnsi="Arial" w:cs="Arial"/>
          <w:lang w:val="en"/>
        </w:rPr>
        <w:t>The ANOVA for this variable indicates that the response was different between the two genotypes. Differences in the means of the treatment results were compared using the LSD test at the 5% probability level. This comparison demonstrates the influence of genotypes on</w:t>
      </w:r>
      <w:r w:rsidR="00847E2C">
        <w:rPr>
          <w:rFonts w:ascii="Arial" w:hAnsi="Arial" w:cs="Arial"/>
          <w:lang w:val="en"/>
        </w:rPr>
        <w:t xml:space="preserve"> </w:t>
      </w:r>
      <w:r w:rsidR="00847E2C" w:rsidRPr="00847E2C">
        <w:rPr>
          <w:rFonts w:ascii="Arial" w:hAnsi="Arial" w:cs="Arial"/>
          <w:lang w:val="en"/>
        </w:rPr>
        <w:t>rooting of vitroplantlets (p=0.0001).</w:t>
      </w:r>
      <w:r w:rsidR="00847E2C" w:rsidRPr="00A339BF">
        <w:rPr>
          <w:rFonts w:ascii="Arial" w:hAnsi="Arial" w:cs="Arial"/>
          <w:lang w:val="en"/>
        </w:rPr>
        <w:t xml:space="preserve"> </w:t>
      </w:r>
      <w:r w:rsidR="00847E2C" w:rsidRPr="005C1D05">
        <w:rPr>
          <w:rFonts w:ascii="Arial" w:hAnsi="Arial" w:cs="Arial"/>
          <w:lang w:val="en"/>
        </w:rPr>
        <w:t xml:space="preserve"> </w:t>
      </w:r>
      <w:r w:rsidR="004D517B">
        <w:rPr>
          <w:rFonts w:ascii="Arial" w:hAnsi="Arial" w:cs="Arial"/>
          <w:lang w:val="en"/>
        </w:rPr>
        <w:t>Vitroplantlets</w:t>
      </w:r>
      <w:r w:rsidR="00BA5947" w:rsidRPr="00A339BF">
        <w:rPr>
          <w:rFonts w:ascii="Arial" w:hAnsi="Arial" w:cs="Arial"/>
          <w:lang w:val="en"/>
        </w:rPr>
        <w:t xml:space="preserve"> that did not show root formation within 15 days were transferred to a treatment with 2.07 µM/L K-IBA; under this treatment, SP 70-1143 only registered 15.29% more rooting, while CP 70-1133 reached 64.51%, improving the initial response. The potassium salt of IBA is more stable and less sensitive to the enzymatic degradation of auxins (Riov, 1992). It is possible that K-IBA produces an elevation of endogenous auxin levels, leading to the initiation and expression of rooting (Pipinis, </w:t>
      </w:r>
      <w:r w:rsidR="00CE1C51" w:rsidRPr="00A339BF">
        <w:rPr>
          <w:rFonts w:ascii="Arial" w:hAnsi="Arial" w:cs="Arial"/>
          <w:i/>
          <w:iCs/>
          <w:lang w:val="en"/>
        </w:rPr>
        <w:t>et al.,</w:t>
      </w:r>
      <w:r w:rsidR="00BA5947" w:rsidRPr="00A339BF">
        <w:rPr>
          <w:rFonts w:ascii="Arial" w:hAnsi="Arial" w:cs="Arial"/>
          <w:lang w:val="en"/>
        </w:rPr>
        <w:t xml:space="preserve"> 2023).</w:t>
      </w:r>
    </w:p>
    <w:p w14:paraId="23EDE16D" w14:textId="381170AE" w:rsidR="00BA5947" w:rsidRPr="00A339BF" w:rsidRDefault="00BA5947" w:rsidP="00DA2347">
      <w:pPr>
        <w:pStyle w:val="NoSpacing"/>
        <w:jc w:val="both"/>
        <w:rPr>
          <w:rFonts w:ascii="Arial" w:hAnsi="Arial" w:cs="Arial"/>
        </w:rPr>
      </w:pPr>
    </w:p>
    <w:p w14:paraId="70073C83" w14:textId="5B2E9F7D" w:rsidR="00D03BF1" w:rsidRPr="00A339BF" w:rsidRDefault="00F955B4" w:rsidP="00D24CB7">
      <w:pPr>
        <w:pStyle w:val="NoSpacing"/>
        <w:jc w:val="center"/>
        <w:rPr>
          <w:rFonts w:ascii="Arial" w:hAnsi="Arial" w:cs="Arial"/>
        </w:rPr>
      </w:pPr>
      <w:r w:rsidRPr="00A339BF">
        <w:rPr>
          <w:rFonts w:ascii="Arial" w:hAnsi="Arial" w:cs="Arial"/>
          <w:noProof/>
        </w:rPr>
        <w:lastRenderedPageBreak/>
        <w:drawing>
          <wp:inline distT="0" distB="0" distL="0" distR="0" wp14:anchorId="7E432876" wp14:editId="166D8F1C">
            <wp:extent cx="3118513" cy="1956289"/>
            <wp:effectExtent l="0" t="0" r="5715" b="6350"/>
            <wp:docPr id="9" name="Imagen 9" descr="https://lh7-rt.googleusercontent.com/slidesz/AGV_vUfexn-Zbdc9_DFyXv3fw_cslHTZtSStC3p5SHhmhDLWtUoSnp2TuTPr9PhhwH5haSZRVC1K1DgIEHI7OlfBV2VRxygxAMt2xmEZjVYYGaEM0k5Mp81hKhZHwDH9fmJhZFn0-DgDrauL-yvQUrWCoLw=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a8bc8fb7-7fff-5119-06b6-42019cbdcb32" descr="https://lh7-rt.googleusercontent.com/slidesz/AGV_vUfexn-Zbdc9_DFyXv3fw_cslHTZtSStC3p5SHhmhDLWtUoSnp2TuTPr9PhhwH5haSZRVC1K1DgIEHI7OlfBV2VRxygxAMt2xmEZjVYYGaEM0k5Mp81hKhZHwDH9fmJhZFn0-DgDrauL-yvQUrWCoLw=s2048?key=lMu10moZvwBVW-4yt9OnQ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194" cy="1971772"/>
                    </a:xfrm>
                    <a:prstGeom prst="rect">
                      <a:avLst/>
                    </a:prstGeom>
                    <a:noFill/>
                    <a:ln>
                      <a:noFill/>
                    </a:ln>
                  </pic:spPr>
                </pic:pic>
              </a:graphicData>
            </a:graphic>
          </wp:inline>
        </w:drawing>
      </w:r>
    </w:p>
    <w:p w14:paraId="5EAE8806" w14:textId="41E7BA27" w:rsidR="00F81D14" w:rsidRPr="004208D3" w:rsidRDefault="00D03BF1" w:rsidP="009F6656">
      <w:pPr>
        <w:pStyle w:val="NoSpacing"/>
        <w:ind w:firstLine="709"/>
        <w:jc w:val="both"/>
        <w:rPr>
          <w:rFonts w:ascii="Arial" w:hAnsi="Arial" w:cs="Arial"/>
          <w:b/>
          <w:bCs/>
        </w:rPr>
      </w:pPr>
      <w:r w:rsidRPr="004208D3">
        <w:rPr>
          <w:rFonts w:ascii="Arial" w:hAnsi="Arial" w:cs="Arial"/>
          <w:b/>
          <w:bCs/>
        </w:rPr>
        <w:t>Fig</w:t>
      </w:r>
      <w:r w:rsidR="004208D3">
        <w:rPr>
          <w:rFonts w:ascii="Arial" w:hAnsi="Arial" w:cs="Arial"/>
          <w:b/>
          <w:bCs/>
        </w:rPr>
        <w:t>.</w:t>
      </w:r>
      <w:r w:rsidRPr="004208D3">
        <w:rPr>
          <w:rFonts w:ascii="Arial" w:hAnsi="Arial" w:cs="Arial"/>
          <w:b/>
          <w:bCs/>
        </w:rPr>
        <w:t xml:space="preserve"> 5</w:t>
      </w:r>
      <w:r w:rsidR="004208D3">
        <w:rPr>
          <w:rFonts w:ascii="Arial" w:hAnsi="Arial" w:cs="Arial"/>
          <w:b/>
          <w:bCs/>
        </w:rPr>
        <w:t xml:space="preserve">. </w:t>
      </w:r>
      <w:r w:rsidR="00C27D37" w:rsidRPr="004208D3">
        <w:rPr>
          <w:rFonts w:ascii="Arial" w:hAnsi="Arial" w:cs="Arial"/>
          <w:b/>
          <w:bCs/>
        </w:rPr>
        <w:t>A)</w:t>
      </w:r>
      <w:r w:rsidR="00F81D14" w:rsidRPr="004208D3">
        <w:rPr>
          <w:rFonts w:ascii="Arial" w:hAnsi="Arial" w:cs="Arial"/>
          <w:b/>
          <w:bCs/>
        </w:rPr>
        <w:t xml:space="preserve"> </w:t>
      </w:r>
      <w:r w:rsidR="00F81D14" w:rsidRPr="004208D3">
        <w:rPr>
          <w:rFonts w:ascii="Arial" w:hAnsi="Arial" w:cs="Arial"/>
          <w:b/>
          <w:bCs/>
          <w:lang w:val="en"/>
        </w:rPr>
        <w:t xml:space="preserve">Morphological appearance of a </w:t>
      </w:r>
      <w:r w:rsidR="00F81D14" w:rsidRPr="004208D3">
        <w:rPr>
          <w:rFonts w:ascii="Arial" w:hAnsi="Arial" w:cs="Arial"/>
          <w:b/>
          <w:bCs/>
          <w:i/>
          <w:iCs/>
          <w:lang w:val="en"/>
        </w:rPr>
        <w:t>Saccharum officinarum</w:t>
      </w:r>
      <w:r w:rsidR="00F81D14" w:rsidRPr="004208D3">
        <w:rPr>
          <w:rFonts w:ascii="Arial" w:hAnsi="Arial" w:cs="Arial"/>
          <w:b/>
          <w:bCs/>
          <w:lang w:val="en"/>
        </w:rPr>
        <w:t xml:space="preserve"> </w:t>
      </w:r>
      <w:r w:rsidR="001058B2" w:rsidRPr="004208D3">
        <w:rPr>
          <w:rFonts w:ascii="Arial" w:hAnsi="Arial" w:cs="Arial"/>
          <w:b/>
          <w:bCs/>
          <w:lang w:val="en"/>
        </w:rPr>
        <w:t>vitroplant</w:t>
      </w:r>
      <w:r w:rsidR="001016B3">
        <w:rPr>
          <w:rFonts w:ascii="Arial" w:hAnsi="Arial" w:cs="Arial"/>
          <w:b/>
          <w:bCs/>
          <w:lang w:val="en"/>
        </w:rPr>
        <w:t>lets</w:t>
      </w:r>
      <w:r w:rsidR="00F81D14" w:rsidRPr="004208D3">
        <w:rPr>
          <w:rFonts w:ascii="Arial" w:hAnsi="Arial" w:cs="Arial"/>
          <w:b/>
          <w:bCs/>
          <w:lang w:val="en"/>
        </w:rPr>
        <w:t xml:space="preserve"> obtained by somatic embryogenesis in the SP 70-1143 variety, B) Flask containing </w:t>
      </w:r>
      <w:r w:rsidR="004F43D8">
        <w:rPr>
          <w:rFonts w:ascii="Arial" w:hAnsi="Arial" w:cs="Arial"/>
          <w:b/>
          <w:bCs/>
          <w:lang w:val="en"/>
        </w:rPr>
        <w:t>vitroplantlets</w:t>
      </w:r>
      <w:r w:rsidR="00F81D14" w:rsidRPr="004208D3">
        <w:rPr>
          <w:rFonts w:ascii="Arial" w:hAnsi="Arial" w:cs="Arial"/>
          <w:b/>
          <w:bCs/>
          <w:lang w:val="en"/>
        </w:rPr>
        <w:t xml:space="preserve"> during the rooting stage.</w:t>
      </w:r>
    </w:p>
    <w:p w14:paraId="1B0A941D" w14:textId="0F498A3F" w:rsidR="00F81D14" w:rsidRPr="00A339BF" w:rsidRDefault="00C27D37" w:rsidP="00DA2347">
      <w:pPr>
        <w:pStyle w:val="NoSpacing"/>
        <w:jc w:val="both"/>
        <w:rPr>
          <w:rFonts w:ascii="Arial" w:hAnsi="Arial" w:cs="Arial"/>
          <w:b/>
          <w:lang w:val="es-ES"/>
        </w:rPr>
      </w:pPr>
      <w:r w:rsidRPr="00A339BF">
        <w:rPr>
          <w:rFonts w:ascii="Arial" w:hAnsi="Arial" w:cs="Arial"/>
        </w:rPr>
        <w:t xml:space="preserve"> </w:t>
      </w:r>
    </w:p>
    <w:p w14:paraId="7F5B6225" w14:textId="0E8D0817" w:rsidR="00C908F6" w:rsidRPr="00A339BF" w:rsidRDefault="004C6CA6" w:rsidP="00DC522B">
      <w:pPr>
        <w:pStyle w:val="ListParagraph"/>
        <w:numPr>
          <w:ilvl w:val="1"/>
          <w:numId w:val="12"/>
        </w:numPr>
        <w:autoSpaceDE w:val="0"/>
        <w:autoSpaceDN w:val="0"/>
        <w:adjustRightInd w:val="0"/>
        <w:jc w:val="both"/>
        <w:rPr>
          <w:rFonts w:ascii="Arial" w:hAnsi="Arial" w:cs="Arial"/>
          <w:b/>
          <w:sz w:val="22"/>
          <w:lang w:val="es-ES"/>
        </w:rPr>
      </w:pPr>
      <w:r w:rsidRPr="00A339BF">
        <w:rPr>
          <w:rFonts w:ascii="Arial" w:hAnsi="Arial" w:cs="Arial"/>
          <w:b/>
          <w:sz w:val="22"/>
          <w:lang w:val="es-ES"/>
        </w:rPr>
        <w:t>Acclimat</w:t>
      </w:r>
      <w:r w:rsidR="001523E0" w:rsidRPr="00A339BF">
        <w:rPr>
          <w:rFonts w:ascii="Arial" w:hAnsi="Arial" w:cs="Arial"/>
          <w:b/>
          <w:sz w:val="22"/>
          <w:lang w:val="es-ES"/>
        </w:rPr>
        <w:t>ation</w:t>
      </w:r>
    </w:p>
    <w:p w14:paraId="6DCCBC01" w14:textId="463E8134" w:rsidR="003016E9" w:rsidRPr="00A339BF" w:rsidRDefault="003016E9" w:rsidP="00DA2347">
      <w:pPr>
        <w:pStyle w:val="NoSpacing"/>
        <w:jc w:val="both"/>
        <w:rPr>
          <w:rFonts w:ascii="Arial" w:hAnsi="Arial" w:cs="Arial"/>
        </w:rPr>
      </w:pPr>
      <w:r w:rsidRPr="00A339BF">
        <w:rPr>
          <w:rFonts w:ascii="Arial" w:hAnsi="Arial" w:cs="Arial"/>
        </w:rPr>
        <w:t xml:space="preserve">Survival during </w:t>
      </w:r>
      <w:r w:rsidR="004C6CA6" w:rsidRPr="00A339BF">
        <w:rPr>
          <w:rFonts w:ascii="Arial" w:hAnsi="Arial" w:cs="Arial"/>
        </w:rPr>
        <w:t>acclimat</w:t>
      </w:r>
      <w:r w:rsidR="001523E0" w:rsidRPr="00A339BF">
        <w:rPr>
          <w:rFonts w:ascii="Arial" w:hAnsi="Arial" w:cs="Arial"/>
        </w:rPr>
        <w:t>ation</w:t>
      </w:r>
      <w:r w:rsidRPr="00A339BF">
        <w:rPr>
          <w:rFonts w:ascii="Arial" w:hAnsi="Arial" w:cs="Arial"/>
        </w:rPr>
        <w:t xml:space="preserve"> is a determining factor for the success of </w:t>
      </w:r>
      <w:r w:rsidR="00E13581" w:rsidRPr="00A339BF">
        <w:rPr>
          <w:rFonts w:ascii="Arial" w:hAnsi="Arial" w:cs="Arial"/>
          <w:i/>
          <w:iCs/>
        </w:rPr>
        <w:t xml:space="preserve">in vitro </w:t>
      </w:r>
      <w:r w:rsidRPr="00A339BF">
        <w:rPr>
          <w:rFonts w:ascii="Arial" w:hAnsi="Arial" w:cs="Arial"/>
        </w:rPr>
        <w:t xml:space="preserve">vegetative propagation (Barpete </w:t>
      </w:r>
      <w:r w:rsidR="00CE1C51" w:rsidRPr="00A339BF">
        <w:rPr>
          <w:rFonts w:ascii="Arial" w:hAnsi="Arial" w:cs="Arial"/>
          <w:i/>
          <w:iCs/>
        </w:rPr>
        <w:t>et al.,</w:t>
      </w:r>
      <w:r w:rsidRPr="00A339BF">
        <w:rPr>
          <w:rFonts w:ascii="Arial" w:hAnsi="Arial" w:cs="Arial"/>
        </w:rPr>
        <w:t xml:space="preserve"> 2014). To initiate </w:t>
      </w:r>
      <w:r w:rsidR="004C6CA6" w:rsidRPr="00A339BF">
        <w:rPr>
          <w:rFonts w:ascii="Arial" w:hAnsi="Arial" w:cs="Arial"/>
        </w:rPr>
        <w:t>acclimat</w:t>
      </w:r>
      <w:r w:rsidR="00BE50B7" w:rsidRPr="00A339BF">
        <w:rPr>
          <w:rFonts w:ascii="Arial" w:hAnsi="Arial" w:cs="Arial"/>
        </w:rPr>
        <w:t>ation</w:t>
      </w:r>
      <w:r w:rsidRPr="00A339BF">
        <w:rPr>
          <w:rFonts w:ascii="Arial" w:hAnsi="Arial" w:cs="Arial"/>
        </w:rPr>
        <w:t xml:space="preserve">, </w:t>
      </w:r>
      <w:r w:rsidR="00957465">
        <w:rPr>
          <w:rFonts w:ascii="Arial" w:hAnsi="Arial" w:cs="Arial"/>
        </w:rPr>
        <w:t>vitroplantlets</w:t>
      </w:r>
      <w:r w:rsidRPr="00A339BF">
        <w:rPr>
          <w:rFonts w:ascii="Arial" w:hAnsi="Arial" w:cs="Arial"/>
        </w:rPr>
        <w:t xml:space="preserve"> with good morphological and health appearance obtained by </w:t>
      </w:r>
      <w:r w:rsidR="00E13581" w:rsidRPr="00A339BF">
        <w:rPr>
          <w:rFonts w:ascii="Arial" w:hAnsi="Arial" w:cs="Arial"/>
          <w:i/>
          <w:iCs/>
        </w:rPr>
        <w:t xml:space="preserve">in vitro </w:t>
      </w:r>
      <w:r w:rsidRPr="00A339BF">
        <w:rPr>
          <w:rFonts w:ascii="Arial" w:hAnsi="Arial" w:cs="Arial"/>
        </w:rPr>
        <w:t xml:space="preserve">culture were selected. The substrate composed of equal proportions of perlite and vermiculite allowed adequate air exchange, water absorption by the roots, and good drainage, enabling adequate </w:t>
      </w:r>
      <w:r w:rsidR="000753CF">
        <w:rPr>
          <w:rFonts w:ascii="Arial" w:hAnsi="Arial" w:cs="Arial"/>
        </w:rPr>
        <w:t>plantlets</w:t>
      </w:r>
      <w:r w:rsidRPr="00A339BF">
        <w:rPr>
          <w:rFonts w:ascii="Arial" w:hAnsi="Arial" w:cs="Arial"/>
        </w:rPr>
        <w:t xml:space="preserve"> growth (Fig. 6A and B).</w:t>
      </w:r>
      <w:r w:rsidRPr="00A339BF">
        <w:rPr>
          <w:rFonts w:ascii="Arial" w:hAnsi="Arial" w:cs="Arial"/>
          <w:b/>
          <w:bCs/>
          <w:lang w:val="en"/>
        </w:rPr>
        <w:t xml:space="preserve"> </w:t>
      </w:r>
      <w:r w:rsidRPr="00A339BF">
        <w:rPr>
          <w:rFonts w:ascii="Arial" w:hAnsi="Arial" w:cs="Arial"/>
          <w:lang w:val="en"/>
        </w:rPr>
        <w:t xml:space="preserve">At this stage, a 100% survival rate was achieved in both varieties. The literature indicates that for a high survival rate of vitroplantlets, the roots require 10% air volume in the substrate (Kirkham, 1987), which was observed in this experiment. The </w:t>
      </w:r>
      <w:r w:rsidR="0004500F">
        <w:rPr>
          <w:rFonts w:ascii="Arial" w:hAnsi="Arial" w:cs="Arial"/>
          <w:lang w:val="en"/>
        </w:rPr>
        <w:t>vitroplantlets</w:t>
      </w:r>
      <w:r w:rsidRPr="00A339BF">
        <w:rPr>
          <w:rFonts w:ascii="Arial" w:hAnsi="Arial" w:cs="Arial"/>
          <w:lang w:val="en"/>
        </w:rPr>
        <w:t xml:space="preserve"> adapted to the substrate, initiating autotrophic growth, and were transferred to field conditions after a month of </w:t>
      </w:r>
      <w:r w:rsidR="004C6CA6" w:rsidRPr="00A339BF">
        <w:rPr>
          <w:rFonts w:ascii="Arial" w:hAnsi="Arial" w:cs="Arial"/>
          <w:lang w:val="en"/>
        </w:rPr>
        <w:t>acclimat</w:t>
      </w:r>
      <w:r w:rsidR="00880AC9" w:rsidRPr="00A339BF">
        <w:rPr>
          <w:rFonts w:ascii="Arial" w:hAnsi="Arial" w:cs="Arial"/>
          <w:lang w:val="en"/>
        </w:rPr>
        <w:t>ation</w:t>
      </w:r>
      <w:r w:rsidRPr="00A339BF">
        <w:rPr>
          <w:rFonts w:ascii="Arial" w:hAnsi="Arial" w:cs="Arial"/>
          <w:lang w:val="en"/>
        </w:rPr>
        <w:t xml:space="preserve"> (Fig. 6 C).</w:t>
      </w:r>
    </w:p>
    <w:p w14:paraId="07A6C588" w14:textId="625574E3" w:rsidR="003016E9" w:rsidRPr="00A339BF" w:rsidRDefault="003016E9" w:rsidP="00DA2347">
      <w:pPr>
        <w:pStyle w:val="NoSpacing"/>
        <w:jc w:val="both"/>
        <w:rPr>
          <w:rFonts w:ascii="Arial" w:hAnsi="Arial" w:cs="Arial"/>
        </w:rPr>
      </w:pPr>
    </w:p>
    <w:p w14:paraId="0CDBC244" w14:textId="77777777" w:rsidR="003016E9" w:rsidRPr="00A339BF" w:rsidRDefault="003016E9" w:rsidP="00DA2347">
      <w:pPr>
        <w:pStyle w:val="NoSpacing"/>
        <w:jc w:val="both"/>
        <w:rPr>
          <w:rFonts w:ascii="Arial" w:hAnsi="Arial" w:cs="Arial"/>
        </w:rPr>
      </w:pPr>
    </w:p>
    <w:p w14:paraId="5E1BCD77" w14:textId="77777777" w:rsidR="003016E9" w:rsidRPr="00A339BF" w:rsidRDefault="003016E9" w:rsidP="00DA2347">
      <w:pPr>
        <w:pStyle w:val="NoSpacing"/>
        <w:jc w:val="both"/>
        <w:rPr>
          <w:rFonts w:ascii="Arial" w:hAnsi="Arial" w:cs="Arial"/>
        </w:rPr>
      </w:pPr>
    </w:p>
    <w:p w14:paraId="2C8BD6F7" w14:textId="77777777" w:rsidR="00D03BF1" w:rsidRPr="00A339BF" w:rsidRDefault="00D03BF1" w:rsidP="00DA2347">
      <w:pPr>
        <w:pStyle w:val="NoSpacing"/>
        <w:ind w:left="218"/>
        <w:jc w:val="both"/>
        <w:rPr>
          <w:rFonts w:ascii="Arial" w:hAnsi="Arial" w:cs="Arial"/>
          <w:lang w:val="es-ES"/>
        </w:rPr>
      </w:pPr>
    </w:p>
    <w:p w14:paraId="5CC313F3" w14:textId="2C1E02D2" w:rsidR="00C35359" w:rsidRPr="00A339BF" w:rsidRDefault="00C35359" w:rsidP="00DA2347">
      <w:pPr>
        <w:pStyle w:val="NoSpacing"/>
        <w:ind w:left="218"/>
        <w:jc w:val="both"/>
        <w:rPr>
          <w:rFonts w:ascii="Arial" w:hAnsi="Arial" w:cs="Arial"/>
          <w:lang w:val="es-ES"/>
        </w:rPr>
      </w:pPr>
      <w:r w:rsidRPr="00A339BF">
        <w:rPr>
          <w:rFonts w:ascii="Arial" w:hAnsi="Arial" w:cs="Arial"/>
          <w:noProof/>
        </w:rPr>
        <w:drawing>
          <wp:inline distT="0" distB="0" distL="0" distR="0" wp14:anchorId="37A2018F" wp14:editId="06243758">
            <wp:extent cx="5612130" cy="2196336"/>
            <wp:effectExtent l="0" t="0" r="7620" b="0"/>
            <wp:docPr id="11" name="Imagen 11" descr="https://lh7-rt.googleusercontent.com/slidesz/AGV_vUc6SuvmdFKVbhJrbuTsNyGbbDyS5kVJ3XpJ8G7OyyzfWCscQX2NuO7naTBY7BZ90sJzapWsBryJ_qsOMQZf9REHB9MUJixb5laYtfzaStXRyBpnDuq47sL8-nxValsp8MRplttlrC--Ly4-YmxP5A=s2048?key=lMu10moZvwBVW-4yt9O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8b1802f-7fff-134a-e62d-0400e0984296" descr="https://lh7-rt.googleusercontent.com/slidesz/AGV_vUc6SuvmdFKVbhJrbuTsNyGbbDyS5kVJ3XpJ8G7OyyzfWCscQX2NuO7naTBY7BZ90sJzapWsBryJ_qsOMQZf9REHB9MUJixb5laYtfzaStXRyBpnDuq47sL8-nxValsp8MRplttlrC--Ly4-YmxP5A=s2048?key=lMu10moZvwBVW-4yt9OnQ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196336"/>
                    </a:xfrm>
                    <a:prstGeom prst="rect">
                      <a:avLst/>
                    </a:prstGeom>
                    <a:noFill/>
                    <a:ln>
                      <a:noFill/>
                    </a:ln>
                  </pic:spPr>
                </pic:pic>
              </a:graphicData>
            </a:graphic>
          </wp:inline>
        </w:drawing>
      </w:r>
    </w:p>
    <w:p w14:paraId="1A0AA30E" w14:textId="6E56EF1E" w:rsidR="003016E9" w:rsidRPr="009F6656" w:rsidRDefault="00D03BF1" w:rsidP="00E10F76">
      <w:pPr>
        <w:pStyle w:val="NoSpacing"/>
        <w:ind w:firstLine="709"/>
        <w:jc w:val="both"/>
        <w:rPr>
          <w:rFonts w:ascii="Arial" w:hAnsi="Arial" w:cs="Arial"/>
          <w:b/>
          <w:bCs/>
        </w:rPr>
      </w:pPr>
      <w:r w:rsidRPr="009F6656">
        <w:rPr>
          <w:rFonts w:ascii="Arial" w:hAnsi="Arial" w:cs="Arial"/>
          <w:b/>
          <w:bCs/>
        </w:rPr>
        <w:t>Fig</w:t>
      </w:r>
      <w:r w:rsidR="009F6656">
        <w:rPr>
          <w:rFonts w:ascii="Arial" w:hAnsi="Arial" w:cs="Arial"/>
          <w:b/>
          <w:bCs/>
        </w:rPr>
        <w:t xml:space="preserve">. </w:t>
      </w:r>
      <w:r w:rsidR="009357A3" w:rsidRPr="009F6656">
        <w:rPr>
          <w:rFonts w:ascii="Arial" w:hAnsi="Arial" w:cs="Arial"/>
          <w:b/>
          <w:bCs/>
        </w:rPr>
        <w:t>6</w:t>
      </w:r>
      <w:r w:rsidR="009F6656">
        <w:rPr>
          <w:rFonts w:ascii="Arial" w:hAnsi="Arial" w:cs="Arial"/>
          <w:b/>
          <w:bCs/>
        </w:rPr>
        <w:t xml:space="preserve">. </w:t>
      </w:r>
      <w:r w:rsidRPr="009F6656">
        <w:rPr>
          <w:rFonts w:ascii="Arial" w:hAnsi="Arial" w:cs="Arial"/>
          <w:b/>
          <w:bCs/>
        </w:rPr>
        <w:t>A</w:t>
      </w:r>
      <w:r w:rsidR="00C35359" w:rsidRPr="009F6656">
        <w:rPr>
          <w:rFonts w:ascii="Arial" w:hAnsi="Arial" w:cs="Arial"/>
          <w:b/>
          <w:bCs/>
        </w:rPr>
        <w:t xml:space="preserve"> y B</w:t>
      </w:r>
      <w:r w:rsidRPr="009F6656">
        <w:rPr>
          <w:rFonts w:ascii="Arial" w:hAnsi="Arial" w:cs="Arial"/>
          <w:b/>
          <w:bCs/>
        </w:rPr>
        <w:t xml:space="preserve">) </w:t>
      </w:r>
      <w:r w:rsidR="003016E9" w:rsidRPr="009F6656">
        <w:rPr>
          <w:rFonts w:ascii="Arial" w:hAnsi="Arial" w:cs="Arial"/>
          <w:b/>
          <w:bCs/>
          <w:i/>
          <w:iCs/>
          <w:lang w:val="en"/>
        </w:rPr>
        <w:t>Saccharum officinarum</w:t>
      </w:r>
      <w:r w:rsidR="003016E9" w:rsidRPr="009F6656">
        <w:rPr>
          <w:rFonts w:ascii="Arial" w:hAnsi="Arial" w:cs="Arial"/>
          <w:b/>
          <w:bCs/>
          <w:lang w:val="en"/>
        </w:rPr>
        <w:t xml:space="preserve"> </w:t>
      </w:r>
      <w:r w:rsidR="006331F5">
        <w:rPr>
          <w:rFonts w:ascii="Arial" w:hAnsi="Arial" w:cs="Arial"/>
          <w:b/>
          <w:bCs/>
          <w:lang w:val="en"/>
        </w:rPr>
        <w:t>plantlets</w:t>
      </w:r>
      <w:r w:rsidR="003016E9" w:rsidRPr="009F6656">
        <w:rPr>
          <w:rFonts w:ascii="Arial" w:hAnsi="Arial" w:cs="Arial"/>
          <w:b/>
          <w:bCs/>
          <w:lang w:val="en"/>
        </w:rPr>
        <w:t xml:space="preserve"> obtained by somatic embryogenesis in plastic trays during the </w:t>
      </w:r>
      <w:r w:rsidR="004C6CA6" w:rsidRPr="009F6656">
        <w:rPr>
          <w:rFonts w:ascii="Arial" w:hAnsi="Arial" w:cs="Arial"/>
          <w:b/>
          <w:bCs/>
          <w:lang w:val="en"/>
        </w:rPr>
        <w:t>acclimat</w:t>
      </w:r>
      <w:r w:rsidR="002B4242" w:rsidRPr="009F6656">
        <w:rPr>
          <w:rFonts w:ascii="Arial" w:hAnsi="Arial" w:cs="Arial"/>
          <w:b/>
          <w:bCs/>
          <w:lang w:val="en"/>
        </w:rPr>
        <w:t>ation</w:t>
      </w:r>
      <w:r w:rsidR="003016E9" w:rsidRPr="009F6656">
        <w:rPr>
          <w:rFonts w:ascii="Arial" w:hAnsi="Arial" w:cs="Arial"/>
          <w:b/>
          <w:bCs/>
          <w:lang w:val="en"/>
        </w:rPr>
        <w:t xml:space="preserve"> process. C) Plants transferred to the field.</w:t>
      </w:r>
    </w:p>
    <w:p w14:paraId="57728A86" w14:textId="251E1254" w:rsidR="003016E9" w:rsidRPr="00A339BF" w:rsidRDefault="003016E9" w:rsidP="00DA2347">
      <w:pPr>
        <w:pStyle w:val="NoSpacing"/>
        <w:jc w:val="both"/>
        <w:rPr>
          <w:rFonts w:ascii="Arial" w:hAnsi="Arial" w:cs="Arial"/>
        </w:rPr>
      </w:pPr>
    </w:p>
    <w:p w14:paraId="612BA0C8" w14:textId="1CA9AFE0" w:rsidR="003016E9" w:rsidRPr="00A339BF" w:rsidRDefault="003016E9" w:rsidP="00DA2347">
      <w:pPr>
        <w:pStyle w:val="NoSpacing"/>
        <w:jc w:val="both"/>
        <w:rPr>
          <w:rFonts w:ascii="Arial" w:hAnsi="Arial" w:cs="Arial"/>
        </w:rPr>
      </w:pPr>
      <w:r w:rsidRPr="00A339BF">
        <w:rPr>
          <w:rFonts w:ascii="Arial" w:hAnsi="Arial" w:cs="Arial"/>
          <w:lang w:val="es-ES"/>
        </w:rPr>
        <w:t xml:space="preserve">The effectiveness of any vegetative propagation methodology depends on the ability to transfer a large number of plants to field conditions at a low cost and with survival rates that </w:t>
      </w:r>
      <w:r w:rsidRPr="00A339BF">
        <w:rPr>
          <w:rFonts w:ascii="Arial" w:hAnsi="Arial" w:cs="Arial"/>
          <w:lang w:val="es-ES"/>
        </w:rPr>
        <w:lastRenderedPageBreak/>
        <w:t xml:space="preserve">justify the application of vegetative propagation via </w:t>
      </w:r>
      <w:r w:rsidR="00E13581" w:rsidRPr="00A339BF">
        <w:rPr>
          <w:rFonts w:ascii="Arial" w:hAnsi="Arial" w:cs="Arial"/>
          <w:i/>
          <w:iCs/>
          <w:lang w:val="es-ES"/>
        </w:rPr>
        <w:t xml:space="preserve">in vitro </w:t>
      </w:r>
      <w:r w:rsidRPr="00A339BF">
        <w:rPr>
          <w:rFonts w:ascii="Arial" w:hAnsi="Arial" w:cs="Arial"/>
          <w:lang w:val="es-ES"/>
        </w:rPr>
        <w:t xml:space="preserve">culture.  </w:t>
      </w:r>
      <w:r w:rsidRPr="00A339BF">
        <w:rPr>
          <w:rFonts w:ascii="Arial" w:hAnsi="Arial" w:cs="Arial"/>
          <w:lang w:val="en"/>
        </w:rPr>
        <w:t>Vitroplantlets obtained through micropropagation techniques present difficulties when transferred to natural field conditions due to morphological, anatomical, and physiological changes, such as</w:t>
      </w:r>
      <w:r w:rsidR="00226236">
        <w:rPr>
          <w:rFonts w:ascii="Arial" w:hAnsi="Arial" w:cs="Arial"/>
          <w:lang w:val="en"/>
        </w:rPr>
        <w:t xml:space="preserve"> </w:t>
      </w:r>
      <w:r w:rsidR="00226236" w:rsidRPr="00226236">
        <w:rPr>
          <w:rFonts w:ascii="Arial" w:hAnsi="Arial" w:cs="Arial"/>
          <w:lang w:val="en"/>
        </w:rPr>
        <w:t>poorly formed cuticle</w:t>
      </w:r>
      <w:r w:rsidRPr="00A339BF">
        <w:rPr>
          <w:rFonts w:ascii="Arial" w:hAnsi="Arial" w:cs="Arial"/>
          <w:lang w:val="en"/>
        </w:rPr>
        <w:t xml:space="preserve">, nonfunctional stomata, heterotrophic cells, and a weak root system (Chandra </w:t>
      </w:r>
      <w:r w:rsidR="00CE1C51" w:rsidRPr="00A339BF">
        <w:rPr>
          <w:rFonts w:ascii="Arial" w:hAnsi="Arial" w:cs="Arial"/>
          <w:i/>
          <w:iCs/>
          <w:lang w:val="en"/>
        </w:rPr>
        <w:t>et al.,</w:t>
      </w:r>
      <w:r w:rsidRPr="00A339BF">
        <w:rPr>
          <w:rFonts w:ascii="Arial" w:hAnsi="Arial" w:cs="Arial"/>
          <w:lang w:val="en"/>
        </w:rPr>
        <w:t xml:space="preserve"> 2010). </w:t>
      </w:r>
      <w:r w:rsidRPr="00A339BF">
        <w:rPr>
          <w:rFonts w:ascii="Arial" w:hAnsi="Arial" w:cs="Arial"/>
          <w:lang w:val="es-ES"/>
        </w:rPr>
        <w:t xml:space="preserve">In this study, </w:t>
      </w:r>
      <w:r w:rsidR="009E4F68">
        <w:rPr>
          <w:rFonts w:ascii="Arial" w:hAnsi="Arial" w:cs="Arial"/>
          <w:lang w:val="es-ES"/>
        </w:rPr>
        <w:t>vitroplantlets</w:t>
      </w:r>
      <w:r w:rsidRPr="00A339BF">
        <w:rPr>
          <w:rFonts w:ascii="Arial" w:hAnsi="Arial" w:cs="Arial"/>
          <w:lang w:val="es-ES"/>
        </w:rPr>
        <w:t xml:space="preserve"> were successfully transplanted in the field</w:t>
      </w:r>
      <w:r w:rsidR="00986387">
        <w:rPr>
          <w:rFonts w:ascii="Arial" w:hAnsi="Arial" w:cs="Arial"/>
          <w:lang w:val="es-ES"/>
        </w:rPr>
        <w:t>,</w:t>
      </w:r>
      <w:r w:rsidR="00750FDD">
        <w:rPr>
          <w:rFonts w:ascii="Arial" w:hAnsi="Arial" w:cs="Arial"/>
          <w:lang w:val="es-ES"/>
        </w:rPr>
        <w:t xml:space="preserve"> </w:t>
      </w:r>
      <w:r w:rsidR="00561597" w:rsidRPr="00885D40">
        <w:rPr>
          <w:rFonts w:ascii="Arial" w:hAnsi="Arial" w:cs="Arial"/>
          <w:lang w:val="es-ES"/>
        </w:rPr>
        <w:t>and</w:t>
      </w:r>
      <w:r w:rsidR="00986387" w:rsidRPr="00885D40">
        <w:rPr>
          <w:rFonts w:ascii="Arial" w:hAnsi="Arial" w:cs="Arial"/>
          <w:lang w:val="es-ES"/>
        </w:rPr>
        <w:t xml:space="preserve"> they </w:t>
      </w:r>
      <w:r w:rsidR="00561597" w:rsidRPr="00885D40">
        <w:rPr>
          <w:rFonts w:ascii="Arial" w:hAnsi="Arial" w:cs="Arial"/>
          <w:lang w:val="es-ES"/>
        </w:rPr>
        <w:t xml:space="preserve">are still </w:t>
      </w:r>
      <w:r w:rsidR="00986387" w:rsidRPr="00885D40">
        <w:rPr>
          <w:rFonts w:ascii="Arial" w:hAnsi="Arial" w:cs="Arial"/>
          <w:lang w:val="es-ES"/>
        </w:rPr>
        <w:t xml:space="preserve">being </w:t>
      </w:r>
      <w:r w:rsidR="00750FDD" w:rsidRPr="00885D40">
        <w:rPr>
          <w:rFonts w:ascii="Arial" w:hAnsi="Arial" w:cs="Arial"/>
          <w:lang w:val="es-ES"/>
        </w:rPr>
        <w:t>evaluated</w:t>
      </w:r>
      <w:r w:rsidRPr="00A339BF">
        <w:rPr>
          <w:rFonts w:ascii="Arial" w:hAnsi="Arial" w:cs="Arial"/>
          <w:lang w:val="es-ES"/>
        </w:rPr>
        <w:t xml:space="preserve">. The </w:t>
      </w:r>
      <w:r w:rsidR="009E4F68">
        <w:rPr>
          <w:rFonts w:ascii="Arial" w:hAnsi="Arial" w:cs="Arial"/>
          <w:lang w:val="es-ES"/>
        </w:rPr>
        <w:t>vitroplantlets</w:t>
      </w:r>
      <w:r w:rsidRPr="00A339BF">
        <w:rPr>
          <w:rFonts w:ascii="Arial" w:hAnsi="Arial" w:cs="Arial"/>
          <w:lang w:val="es-ES"/>
        </w:rPr>
        <w:t xml:space="preserve"> obtained through this method were no different from those produced by conventional methods, supporting the protocol applied.</w:t>
      </w:r>
    </w:p>
    <w:p w14:paraId="2F86AD6D" w14:textId="77777777" w:rsidR="005C041F" w:rsidRPr="00DA2347" w:rsidRDefault="005C041F" w:rsidP="00DA2347">
      <w:pPr>
        <w:pStyle w:val="Heading1"/>
        <w:spacing w:before="0"/>
        <w:ind w:left="-142"/>
        <w:jc w:val="both"/>
        <w:rPr>
          <w:rFonts w:ascii="Arial" w:hAnsi="Arial" w:cs="Arial"/>
          <w:color w:val="auto"/>
          <w:sz w:val="24"/>
          <w:szCs w:val="24"/>
          <w:lang w:val="es-ES"/>
        </w:rPr>
      </w:pPr>
    </w:p>
    <w:p w14:paraId="0C981210" w14:textId="61EEDDC5" w:rsidR="00743A47" w:rsidRPr="00D24CB7" w:rsidRDefault="00D24CB7" w:rsidP="00DA2347">
      <w:pPr>
        <w:pStyle w:val="Heading1"/>
        <w:spacing w:before="0"/>
        <w:ind w:left="0"/>
        <w:jc w:val="both"/>
        <w:rPr>
          <w:rFonts w:ascii="Arial" w:hAnsi="Arial" w:cs="Arial"/>
          <w:color w:val="auto"/>
          <w:sz w:val="22"/>
          <w:szCs w:val="22"/>
          <w:lang w:val="es-ES"/>
        </w:rPr>
      </w:pPr>
      <w:r w:rsidRPr="00D24CB7">
        <w:rPr>
          <w:rFonts w:ascii="Arial" w:hAnsi="Arial" w:cs="Arial"/>
          <w:color w:val="auto"/>
          <w:sz w:val="22"/>
          <w:szCs w:val="22"/>
          <w:lang w:val="es-ES"/>
        </w:rPr>
        <w:t>CONCLUSIONS</w:t>
      </w:r>
    </w:p>
    <w:p w14:paraId="000294FA" w14:textId="1FAE9198" w:rsidR="004338D2" w:rsidRPr="008D4C8B" w:rsidRDefault="003016E9" w:rsidP="00DA2347">
      <w:pPr>
        <w:pStyle w:val="NoSpacing"/>
        <w:jc w:val="both"/>
        <w:rPr>
          <w:rFonts w:ascii="Arial" w:hAnsi="Arial" w:cs="Arial"/>
          <w:lang w:val="es-ES"/>
        </w:rPr>
      </w:pPr>
      <w:r w:rsidRPr="008D4C8B">
        <w:rPr>
          <w:rFonts w:ascii="Arial" w:hAnsi="Arial" w:cs="Arial"/>
          <w:lang w:val="es-ES"/>
        </w:rPr>
        <w:t xml:space="preserve">Somatic embryogenesis involves a physiological, morphological, and molecular change that culminates in the development of a </w:t>
      </w:r>
      <w:r w:rsidR="008309E2" w:rsidRPr="008D4C8B">
        <w:rPr>
          <w:rFonts w:ascii="Arial" w:hAnsi="Arial" w:cs="Arial"/>
          <w:lang w:val="es-ES"/>
        </w:rPr>
        <w:t>plantlet</w:t>
      </w:r>
      <w:r w:rsidRPr="008D4C8B">
        <w:rPr>
          <w:rFonts w:ascii="Arial" w:hAnsi="Arial" w:cs="Arial"/>
          <w:lang w:val="es-ES"/>
        </w:rPr>
        <w:t xml:space="preserve">. </w:t>
      </w:r>
      <w:r w:rsidR="0024283F" w:rsidRPr="008D4C8B">
        <w:rPr>
          <w:rFonts w:ascii="Arial" w:hAnsi="Arial" w:cs="Arial"/>
          <w:lang w:val="es-ES"/>
        </w:rPr>
        <w:t>This work developed an efficient protocol for somatic embryogenesis and plant regeneration, using two genetic materials from the field.</w:t>
      </w:r>
      <w:r w:rsidR="004338D2" w:rsidRPr="008D4C8B">
        <w:rPr>
          <w:rFonts w:ascii="Arial" w:hAnsi="Arial" w:cs="Arial"/>
          <w:lang w:val="es-ES"/>
        </w:rPr>
        <w:t xml:space="preserve"> </w:t>
      </w:r>
      <w:r w:rsidR="00147FE1" w:rsidRPr="008D4C8B">
        <w:rPr>
          <w:rFonts w:ascii="Arial" w:hAnsi="Arial" w:cs="Arial"/>
          <w:lang w:val="es-ES"/>
        </w:rPr>
        <w:t>Using the established methodology, an accep</w:t>
      </w:r>
      <w:bookmarkStart w:id="1" w:name="_GoBack"/>
      <w:r w:rsidR="00147FE1" w:rsidRPr="008D4C8B">
        <w:rPr>
          <w:rFonts w:ascii="Arial" w:hAnsi="Arial" w:cs="Arial"/>
          <w:lang w:val="es-ES"/>
        </w:rPr>
        <w:t>table</w:t>
      </w:r>
      <w:bookmarkEnd w:id="1"/>
      <w:r w:rsidR="00147FE1" w:rsidRPr="008D4C8B">
        <w:rPr>
          <w:rFonts w:ascii="Arial" w:hAnsi="Arial" w:cs="Arial"/>
          <w:lang w:val="es-ES"/>
        </w:rPr>
        <w:t xml:space="preserve"> contamination rate was </w:t>
      </w:r>
      <w:r w:rsidR="007C79E3" w:rsidRPr="008D4C8B">
        <w:rPr>
          <w:rFonts w:ascii="Arial" w:hAnsi="Arial" w:cs="Arial"/>
          <w:lang w:val="es-ES"/>
        </w:rPr>
        <w:t>achiev</w:t>
      </w:r>
      <w:r w:rsidR="00147FE1" w:rsidRPr="008D4C8B">
        <w:rPr>
          <w:rFonts w:ascii="Arial" w:hAnsi="Arial" w:cs="Arial"/>
          <w:lang w:val="es-ES"/>
        </w:rPr>
        <w:t>ed. It was possible to induce the formation of embryogenic callus using 2,4D.</w:t>
      </w:r>
      <w:r w:rsidR="004338D2" w:rsidRPr="008D4C8B">
        <w:rPr>
          <w:rFonts w:ascii="Arial" w:hAnsi="Arial" w:cs="Arial"/>
          <w:lang w:val="es-ES"/>
        </w:rPr>
        <w:t xml:space="preserve"> </w:t>
      </w:r>
      <w:r w:rsidR="00792905" w:rsidRPr="008D4C8B">
        <w:rPr>
          <w:rFonts w:ascii="Arial" w:hAnsi="Arial" w:cs="Arial"/>
          <w:lang w:val="es-ES"/>
        </w:rPr>
        <w:t>Embryogenic calluses responded positively at the proliferation stage, in the absence of 2,4 D and in the presence of light. Appeared homogeneous, yellowish-white, loose, and easily disaggregated.</w:t>
      </w:r>
      <w:r w:rsidR="004338D2" w:rsidRPr="008D4C8B">
        <w:rPr>
          <w:rFonts w:ascii="Arial" w:hAnsi="Arial" w:cs="Arial"/>
          <w:lang w:val="es-ES"/>
        </w:rPr>
        <w:t xml:space="preserve"> Embryos acquired from embryogenic calli were stimulated with BAP to promote shoot growth. The use of ANA enabled root system growth. </w:t>
      </w:r>
      <w:r w:rsidR="007C79E3" w:rsidRPr="008D4C8B">
        <w:rPr>
          <w:rFonts w:ascii="Arial" w:hAnsi="Arial" w:cs="Arial"/>
          <w:lang w:val="es-ES"/>
        </w:rPr>
        <w:t>T</w:t>
      </w:r>
      <w:r w:rsidR="004338D2" w:rsidRPr="008D4C8B">
        <w:rPr>
          <w:rFonts w:ascii="Arial" w:hAnsi="Arial" w:cs="Arial"/>
          <w:lang w:val="es-ES"/>
        </w:rPr>
        <w:t xml:space="preserve">he vitroplantlets </w:t>
      </w:r>
      <w:r w:rsidR="007C79E3" w:rsidRPr="008D4C8B">
        <w:rPr>
          <w:rFonts w:ascii="Arial" w:hAnsi="Arial" w:cs="Arial"/>
          <w:lang w:val="es-ES"/>
        </w:rPr>
        <w:t>forme</w:t>
      </w:r>
      <w:r w:rsidR="004338D2" w:rsidRPr="008D4C8B">
        <w:rPr>
          <w:rFonts w:ascii="Arial" w:hAnsi="Arial" w:cs="Arial"/>
          <w:lang w:val="es-ES"/>
        </w:rPr>
        <w:t xml:space="preserve">d, they were hardened under controlled environmental conditions until normal </w:t>
      </w:r>
      <w:r w:rsidR="0097048E" w:rsidRPr="008D4C8B">
        <w:rPr>
          <w:rFonts w:ascii="Arial" w:hAnsi="Arial" w:cs="Arial"/>
          <w:lang w:val="es-ES"/>
        </w:rPr>
        <w:t>plantlet</w:t>
      </w:r>
      <w:r w:rsidR="0084406E" w:rsidRPr="008D4C8B">
        <w:rPr>
          <w:rFonts w:ascii="Arial" w:hAnsi="Arial" w:cs="Arial"/>
          <w:lang w:val="es-ES"/>
        </w:rPr>
        <w:t>s</w:t>
      </w:r>
      <w:r w:rsidR="004338D2" w:rsidRPr="008D4C8B">
        <w:rPr>
          <w:rFonts w:ascii="Arial" w:hAnsi="Arial" w:cs="Arial"/>
          <w:lang w:val="es-ES"/>
        </w:rPr>
        <w:t xml:space="preserve"> were obtained, which were then implanted in the field.</w:t>
      </w:r>
    </w:p>
    <w:p w14:paraId="0C5898E5" w14:textId="3F6394B5" w:rsidR="00FE1C69" w:rsidRPr="008D4C8B" w:rsidRDefault="001038F8" w:rsidP="00DA2347">
      <w:pPr>
        <w:pStyle w:val="NoSpacing"/>
        <w:jc w:val="both"/>
        <w:rPr>
          <w:rFonts w:ascii="Arial" w:hAnsi="Arial" w:cs="Arial"/>
        </w:rPr>
      </w:pPr>
      <w:r w:rsidRPr="008D4C8B">
        <w:rPr>
          <w:rFonts w:ascii="Arial" w:hAnsi="Arial" w:cs="Arial"/>
          <w:lang w:val="es-ES"/>
        </w:rPr>
        <w:t>T</w:t>
      </w:r>
      <w:r w:rsidR="00FE1C69" w:rsidRPr="008D4C8B">
        <w:rPr>
          <w:rFonts w:ascii="Arial" w:hAnsi="Arial" w:cs="Arial"/>
          <w:lang w:val="en"/>
        </w:rPr>
        <w:t xml:space="preserve">he generation of somatic embryos in varieties adapted to the region </w:t>
      </w:r>
      <w:r w:rsidRPr="008D4C8B">
        <w:rPr>
          <w:rFonts w:ascii="Arial" w:hAnsi="Arial" w:cs="Arial"/>
          <w:lang w:val="en"/>
        </w:rPr>
        <w:t>may lead to</w:t>
      </w:r>
      <w:r w:rsidR="00FE1C69" w:rsidRPr="008D4C8B">
        <w:rPr>
          <w:rFonts w:ascii="Arial" w:hAnsi="Arial" w:cs="Arial"/>
          <w:lang w:val="en"/>
        </w:rPr>
        <w:t xml:space="preserve"> great potential for future work</w:t>
      </w:r>
      <w:r w:rsidR="003E53CD" w:rsidRPr="008D4C8B">
        <w:rPr>
          <w:rFonts w:ascii="Arial" w:hAnsi="Arial" w:cs="Arial"/>
          <w:lang w:val="en"/>
        </w:rPr>
        <w:t xml:space="preserve"> that </w:t>
      </w:r>
      <w:r w:rsidR="00FE1C69" w:rsidRPr="008D4C8B">
        <w:rPr>
          <w:rFonts w:ascii="Arial" w:hAnsi="Arial" w:cs="Arial"/>
          <w:lang w:val="en"/>
        </w:rPr>
        <w:t>see</w:t>
      </w:r>
      <w:r w:rsidR="003E53CD" w:rsidRPr="008D4C8B">
        <w:rPr>
          <w:rFonts w:ascii="Arial" w:hAnsi="Arial" w:cs="Arial"/>
          <w:lang w:val="en"/>
        </w:rPr>
        <w:t>k</w:t>
      </w:r>
      <w:r w:rsidR="00FE1C69" w:rsidRPr="008D4C8B">
        <w:rPr>
          <w:rFonts w:ascii="Arial" w:hAnsi="Arial" w:cs="Arial"/>
          <w:lang w:val="en"/>
        </w:rPr>
        <w:t xml:space="preserve"> to improve the scale of multiplication or </w:t>
      </w:r>
      <w:r w:rsidR="003E53CD" w:rsidRPr="008D4C8B">
        <w:rPr>
          <w:rFonts w:ascii="Arial" w:hAnsi="Arial" w:cs="Arial"/>
          <w:lang w:val="en"/>
        </w:rPr>
        <w:t>to</w:t>
      </w:r>
      <w:r w:rsidR="00FE1C69" w:rsidRPr="008D4C8B">
        <w:rPr>
          <w:rFonts w:ascii="Arial" w:hAnsi="Arial" w:cs="Arial"/>
          <w:lang w:val="en"/>
        </w:rPr>
        <w:t xml:space="preserve"> use this tool as a means for genetic improvement.</w:t>
      </w:r>
    </w:p>
    <w:p w14:paraId="451FBAC1" w14:textId="3DEE2ECF" w:rsidR="003016E9" w:rsidRPr="00DA2347" w:rsidRDefault="003016E9" w:rsidP="00DA2347">
      <w:pPr>
        <w:pStyle w:val="NoSpacing"/>
        <w:jc w:val="both"/>
        <w:rPr>
          <w:rFonts w:ascii="Arial" w:hAnsi="Arial" w:cs="Arial"/>
          <w:sz w:val="24"/>
          <w:szCs w:val="24"/>
          <w:lang w:val="es-ES"/>
        </w:rPr>
      </w:pPr>
    </w:p>
    <w:p w14:paraId="0CC79BC7" w14:textId="77777777" w:rsidR="008322BF" w:rsidRPr="008322BF" w:rsidRDefault="008322BF" w:rsidP="008322BF">
      <w:pPr>
        <w:pStyle w:val="Heading1"/>
        <w:ind w:left="0"/>
        <w:jc w:val="both"/>
        <w:rPr>
          <w:rFonts w:ascii="Arial" w:hAnsi="Arial" w:cs="Arial"/>
          <w:color w:val="auto"/>
          <w:sz w:val="22"/>
          <w:szCs w:val="22"/>
          <w:lang w:val="es-ES"/>
        </w:rPr>
      </w:pPr>
      <w:r w:rsidRPr="008322BF">
        <w:rPr>
          <w:rFonts w:ascii="Arial" w:hAnsi="Arial" w:cs="Arial"/>
          <w:color w:val="auto"/>
          <w:sz w:val="22"/>
          <w:szCs w:val="22"/>
          <w:lang w:val="es-ES"/>
        </w:rPr>
        <w:t>DISCLAIMER (ARTIFICIAL INTELLIGENCE)</w:t>
      </w:r>
    </w:p>
    <w:p w14:paraId="3BCAA363" w14:textId="5AC19EF0" w:rsidR="008322BF" w:rsidRPr="00B30E65" w:rsidRDefault="008322BF" w:rsidP="008322BF">
      <w:pPr>
        <w:pStyle w:val="ListParagraph"/>
        <w:ind w:left="0"/>
        <w:jc w:val="both"/>
        <w:rPr>
          <w:rFonts w:ascii="Arial" w:hAnsi="Arial" w:cs="Arial"/>
          <w:sz w:val="20"/>
          <w:szCs w:val="20"/>
        </w:rPr>
      </w:pPr>
      <w:r w:rsidRPr="00B30E65">
        <w:rPr>
          <w:rFonts w:ascii="Arial" w:hAnsi="Arial" w:cs="Arial"/>
          <w:sz w:val="20"/>
          <w:szCs w:val="20"/>
        </w:rPr>
        <w:t>Author(s) hereby declare that NO generative AI technologies such as Large Language Models (ChatGPT, COPILOT, etc) and text to image generators have been used during writing or editing of t his manuscript.</w:t>
      </w:r>
    </w:p>
    <w:p w14:paraId="7B18C393" w14:textId="77777777" w:rsidR="008322BF" w:rsidRDefault="008322BF" w:rsidP="00DA2347">
      <w:pPr>
        <w:pStyle w:val="Heading1"/>
        <w:spacing w:before="0"/>
        <w:ind w:left="0"/>
        <w:jc w:val="both"/>
        <w:rPr>
          <w:rFonts w:ascii="Arial" w:hAnsi="Arial" w:cs="Arial"/>
          <w:color w:val="auto"/>
          <w:sz w:val="24"/>
          <w:szCs w:val="24"/>
          <w:lang w:val="es-ES"/>
        </w:rPr>
      </w:pPr>
    </w:p>
    <w:p w14:paraId="5B6DC201" w14:textId="77777777" w:rsidR="0069530E" w:rsidRDefault="0069530E" w:rsidP="00B30E65">
      <w:pPr>
        <w:pStyle w:val="NoSpacing"/>
        <w:jc w:val="both"/>
        <w:rPr>
          <w:rFonts w:ascii="Arial" w:hAnsi="Arial" w:cs="Arial"/>
          <w:sz w:val="20"/>
          <w:szCs w:val="20"/>
        </w:rPr>
      </w:pPr>
    </w:p>
    <w:p w14:paraId="44AFD8A6" w14:textId="77777777" w:rsidR="0069530E" w:rsidRDefault="0069530E" w:rsidP="00B30E65">
      <w:pPr>
        <w:pStyle w:val="NoSpacing"/>
        <w:jc w:val="both"/>
        <w:rPr>
          <w:rFonts w:ascii="Arial" w:hAnsi="Arial" w:cs="Arial"/>
          <w:sz w:val="20"/>
          <w:szCs w:val="20"/>
        </w:rPr>
      </w:pPr>
    </w:p>
    <w:p w14:paraId="0256EA86" w14:textId="77777777" w:rsidR="0069530E" w:rsidRPr="0069530E" w:rsidRDefault="0069530E" w:rsidP="0069530E">
      <w:pPr>
        <w:pStyle w:val="NoSpacing"/>
        <w:jc w:val="both"/>
        <w:rPr>
          <w:rFonts w:ascii="Arial" w:hAnsi="Arial" w:cs="Arial"/>
          <w:sz w:val="20"/>
          <w:szCs w:val="20"/>
        </w:rPr>
      </w:pPr>
      <w:r w:rsidRPr="0069530E">
        <w:rPr>
          <w:rFonts w:ascii="Arial" w:hAnsi="Arial" w:cs="Arial"/>
          <w:sz w:val="20"/>
          <w:szCs w:val="20"/>
        </w:rPr>
        <w:t>COMPETING INTERESTS DISCLAIMER:</w:t>
      </w:r>
    </w:p>
    <w:p w14:paraId="6BB875F5" w14:textId="5B6FB52D" w:rsidR="0069530E" w:rsidRPr="00B30E65" w:rsidRDefault="0069530E" w:rsidP="0069530E">
      <w:pPr>
        <w:pStyle w:val="NoSpacing"/>
        <w:jc w:val="both"/>
        <w:rPr>
          <w:rFonts w:ascii="Arial" w:hAnsi="Arial" w:cs="Arial"/>
          <w:sz w:val="20"/>
          <w:szCs w:val="20"/>
        </w:rPr>
      </w:pPr>
      <w:r w:rsidRPr="0069530E">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71E3A087" w14:textId="77777777" w:rsidR="00D159DC" w:rsidRPr="00DA2347" w:rsidRDefault="00D159DC" w:rsidP="00DA2347">
      <w:pPr>
        <w:pStyle w:val="NoSpacing"/>
        <w:ind w:firstLine="709"/>
        <w:jc w:val="both"/>
        <w:rPr>
          <w:rFonts w:ascii="Arial" w:hAnsi="Arial" w:cs="Arial"/>
          <w:sz w:val="24"/>
          <w:szCs w:val="24"/>
        </w:rPr>
      </w:pPr>
    </w:p>
    <w:p w14:paraId="7A3339CD" w14:textId="08C40FDB" w:rsidR="007105AB" w:rsidRPr="008322BF" w:rsidRDefault="008322BF" w:rsidP="008322BF">
      <w:pPr>
        <w:pStyle w:val="Heading1"/>
        <w:spacing w:before="0"/>
        <w:ind w:left="0"/>
        <w:jc w:val="both"/>
        <w:rPr>
          <w:rFonts w:ascii="Arial" w:hAnsi="Arial" w:cs="Arial"/>
          <w:color w:val="auto"/>
          <w:sz w:val="22"/>
          <w:szCs w:val="22"/>
          <w:lang w:val="es-EC"/>
        </w:rPr>
      </w:pPr>
      <w:r w:rsidRPr="008322BF">
        <w:rPr>
          <w:rFonts w:ascii="Arial" w:hAnsi="Arial" w:cs="Arial"/>
          <w:color w:val="auto"/>
          <w:sz w:val="22"/>
          <w:szCs w:val="22"/>
          <w:lang w:val="es-ES"/>
        </w:rPr>
        <w:t>RE</w:t>
      </w:r>
      <w:r w:rsidRPr="008322BF">
        <w:rPr>
          <w:rFonts w:ascii="Arial" w:hAnsi="Arial" w:cs="Arial"/>
          <w:color w:val="auto"/>
          <w:sz w:val="22"/>
          <w:szCs w:val="22"/>
          <w:lang w:val="es-EC"/>
        </w:rPr>
        <w:t>FERENCES</w:t>
      </w:r>
    </w:p>
    <w:p w14:paraId="1A3D6E6D" w14:textId="77777777" w:rsidR="007105AB" w:rsidRPr="00DA2347" w:rsidRDefault="007105AB" w:rsidP="00DA2347">
      <w:pPr>
        <w:pStyle w:val="ListParagraph"/>
        <w:autoSpaceDE w:val="0"/>
        <w:autoSpaceDN w:val="0"/>
        <w:adjustRightInd w:val="0"/>
        <w:jc w:val="both"/>
        <w:rPr>
          <w:rFonts w:ascii="Arial" w:hAnsi="Arial" w:cs="Arial"/>
          <w:szCs w:val="24"/>
        </w:rPr>
      </w:pPr>
    </w:p>
    <w:p w14:paraId="53E8D493" w14:textId="77777777" w:rsidR="00B36E44" w:rsidRDefault="00B36E44" w:rsidP="00B36E44">
      <w:pPr>
        <w:autoSpaceDE w:val="0"/>
        <w:autoSpaceDN w:val="0"/>
        <w:adjustRightInd w:val="0"/>
        <w:ind w:left="567" w:hanging="567"/>
        <w:jc w:val="both"/>
        <w:rPr>
          <w:rFonts w:ascii="Arial" w:hAnsi="Arial" w:cs="Arial"/>
          <w:szCs w:val="24"/>
        </w:rPr>
      </w:pPr>
      <w:r w:rsidRPr="00601B2B">
        <w:rPr>
          <w:rFonts w:ascii="Arial" w:hAnsi="Arial" w:cs="Arial"/>
          <w:szCs w:val="24"/>
        </w:rPr>
        <w:t xml:space="preserve">Ahloowalia, B. S., &amp; Maretzki, A. (1983). Plant regeneration via somatic embryogenesis in sugarcane. </w:t>
      </w:r>
      <w:r w:rsidRPr="00673ADB">
        <w:rPr>
          <w:rFonts w:ascii="Arial" w:hAnsi="Arial" w:cs="Arial"/>
          <w:i/>
          <w:iCs/>
          <w:szCs w:val="24"/>
        </w:rPr>
        <w:t>Plant Cell Reports</w:t>
      </w:r>
      <w:r w:rsidRPr="00601B2B">
        <w:rPr>
          <w:rFonts w:ascii="Arial" w:hAnsi="Arial" w:cs="Arial"/>
          <w:szCs w:val="24"/>
        </w:rPr>
        <w:t>, 2(1), 21-25.</w:t>
      </w:r>
    </w:p>
    <w:p w14:paraId="732FB1B6" w14:textId="4D061E74"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Alvarado Capó, Y., Cruz Martín, M., González, N. P., García Águila, L., Freire Seijo, M., Quiala E. &amp; Gómez Kosky, R. (2003). Working strategy for the prevention and control of bacterial contamination in sugarcane micropropagation. </w:t>
      </w:r>
      <w:r w:rsidRPr="00B933F2">
        <w:rPr>
          <w:rFonts w:ascii="Arial" w:hAnsi="Arial" w:cs="Arial"/>
          <w:i/>
          <w:iCs/>
          <w:szCs w:val="24"/>
        </w:rPr>
        <w:t>Plant Biotechnology</w:t>
      </w:r>
      <w:r w:rsidRPr="008F3E58">
        <w:rPr>
          <w:rFonts w:ascii="Arial" w:hAnsi="Arial" w:cs="Arial"/>
          <w:szCs w:val="24"/>
        </w:rPr>
        <w:t>, 3(2).</w:t>
      </w:r>
    </w:p>
    <w:p w14:paraId="07C17A2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Alvez, B. &amp; Oropeza, M. (2015). Effect of dicamba and 2,4-dichlorophenoxyacetic acid on somatic embryogenesis in sugarcane. </w:t>
      </w:r>
      <w:r w:rsidRPr="00B933F2">
        <w:rPr>
          <w:rFonts w:ascii="Arial" w:hAnsi="Arial" w:cs="Arial"/>
          <w:i/>
          <w:iCs/>
          <w:szCs w:val="24"/>
        </w:rPr>
        <w:t>Rev. Colomb. Biotecnol</w:t>
      </w:r>
      <w:r w:rsidRPr="008F3E58">
        <w:rPr>
          <w:rFonts w:ascii="Arial" w:hAnsi="Arial" w:cs="Arial"/>
          <w:szCs w:val="24"/>
        </w:rPr>
        <w:t>. Vol. XVII No. 2, 85-94.</w:t>
      </w:r>
    </w:p>
    <w:p w14:paraId="2477ADF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lastRenderedPageBreak/>
        <w:t xml:space="preserve">Azofeifa, A. (2009). Problems of oxidation and browning of </w:t>
      </w:r>
      <w:r w:rsidRPr="00147176">
        <w:rPr>
          <w:rFonts w:ascii="Arial" w:hAnsi="Arial" w:cs="Arial"/>
          <w:i/>
          <w:iCs/>
          <w:szCs w:val="24"/>
        </w:rPr>
        <w:t>in vitro</w:t>
      </w:r>
      <w:r w:rsidRPr="008F3E58">
        <w:rPr>
          <w:rFonts w:ascii="Arial" w:hAnsi="Arial" w:cs="Arial"/>
          <w:szCs w:val="24"/>
        </w:rPr>
        <w:t xml:space="preserve"> cultured explants. University of Costa Rica, Costa Rica. </w:t>
      </w:r>
      <w:r w:rsidRPr="00147176">
        <w:rPr>
          <w:rFonts w:ascii="Arial" w:hAnsi="Arial" w:cs="Arial"/>
          <w:i/>
          <w:iCs/>
          <w:szCs w:val="24"/>
        </w:rPr>
        <w:t>Agronomía Mesoamericana</w:t>
      </w:r>
      <w:r w:rsidRPr="008F3E58">
        <w:rPr>
          <w:rFonts w:ascii="Arial" w:hAnsi="Arial" w:cs="Arial"/>
          <w:szCs w:val="24"/>
        </w:rPr>
        <w:t xml:space="preserve"> vol. 20(1): 153-175.</w:t>
      </w:r>
    </w:p>
    <w:p w14:paraId="1E5AA6D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Barpete, S., Khawar, K. M., &amp; Özcan, S. (2014). Differential competence for </w:t>
      </w:r>
      <w:r w:rsidRPr="000B22B0">
        <w:rPr>
          <w:rFonts w:ascii="Arial" w:hAnsi="Arial" w:cs="Arial"/>
          <w:i/>
          <w:iCs/>
          <w:szCs w:val="24"/>
        </w:rPr>
        <w:t>in vitro</w:t>
      </w:r>
      <w:r w:rsidRPr="008F3E58">
        <w:rPr>
          <w:rFonts w:ascii="Arial" w:hAnsi="Arial" w:cs="Arial"/>
          <w:szCs w:val="24"/>
        </w:rPr>
        <w:t xml:space="preserve"> adventitious rooting of grass pea (</w:t>
      </w:r>
      <w:r w:rsidRPr="00C144D6">
        <w:rPr>
          <w:rFonts w:ascii="Arial" w:hAnsi="Arial" w:cs="Arial"/>
          <w:i/>
          <w:iCs/>
          <w:szCs w:val="24"/>
        </w:rPr>
        <w:t>Lathyrus sativus</w:t>
      </w:r>
      <w:r w:rsidRPr="008F3E58">
        <w:rPr>
          <w:rFonts w:ascii="Arial" w:hAnsi="Arial" w:cs="Arial"/>
          <w:szCs w:val="24"/>
        </w:rPr>
        <w:t xml:space="preserve"> L.). </w:t>
      </w:r>
      <w:r w:rsidRPr="00042213">
        <w:rPr>
          <w:rFonts w:ascii="Arial" w:hAnsi="Arial" w:cs="Arial"/>
          <w:i/>
          <w:iCs/>
          <w:szCs w:val="24"/>
        </w:rPr>
        <w:t>Plant Cell, Tissue and Organ Culture</w:t>
      </w:r>
      <w:r w:rsidRPr="008F3E58">
        <w:rPr>
          <w:rFonts w:ascii="Arial" w:hAnsi="Arial" w:cs="Arial"/>
          <w:szCs w:val="24"/>
        </w:rPr>
        <w:t xml:space="preserve"> (PCTOC), 119, 39–50.</w:t>
      </w:r>
    </w:p>
    <w:p w14:paraId="6B1536DC" w14:textId="77777777" w:rsid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Chandra, S., Bandopadhyay, R., Kumar, V., &amp; Chandra, R. (2010). Acclimatized tissue-cultured plantlets: from laboratory to land. </w:t>
      </w:r>
      <w:r w:rsidRPr="0051530E">
        <w:rPr>
          <w:rFonts w:ascii="Arial" w:hAnsi="Arial" w:cs="Arial"/>
          <w:i/>
          <w:iCs/>
          <w:szCs w:val="24"/>
        </w:rPr>
        <w:t>Biotechnology letters</w:t>
      </w:r>
      <w:r w:rsidRPr="008F3E58">
        <w:rPr>
          <w:rFonts w:ascii="Arial" w:hAnsi="Arial" w:cs="Arial"/>
          <w:szCs w:val="24"/>
        </w:rPr>
        <w:t>, 32, 1199-1205.</w:t>
      </w:r>
    </w:p>
    <w:p w14:paraId="7CB0FB7E" w14:textId="77777777" w:rsidR="005D76E3" w:rsidRPr="00E10F76" w:rsidRDefault="005D76E3" w:rsidP="005D76E3">
      <w:pPr>
        <w:autoSpaceDE w:val="0"/>
        <w:autoSpaceDN w:val="0"/>
        <w:adjustRightInd w:val="0"/>
        <w:ind w:left="567" w:hanging="567"/>
        <w:jc w:val="both"/>
        <w:rPr>
          <w:rFonts w:ascii="Arial" w:hAnsi="Arial" w:cs="Arial"/>
          <w:szCs w:val="24"/>
        </w:rPr>
      </w:pPr>
      <w:r w:rsidRPr="005D76E3">
        <w:rPr>
          <w:rFonts w:ascii="Arial" w:hAnsi="Arial" w:cs="Arial"/>
          <w:szCs w:val="24"/>
        </w:rPr>
        <w:t>Dewanti, P., Widuri, L. I., Alfian, F. N., Addy, H. S., Okviandari, P., &amp; Sugiharto, B. (2016). Rapid propagation of virus-free sugarcane (</w:t>
      </w:r>
      <w:r w:rsidRPr="005D76E3">
        <w:rPr>
          <w:rFonts w:ascii="Arial" w:hAnsi="Arial" w:cs="Arial"/>
          <w:i/>
          <w:iCs/>
          <w:szCs w:val="24"/>
        </w:rPr>
        <w:t>Saccharum officinarum</w:t>
      </w:r>
      <w:r w:rsidRPr="005D76E3">
        <w:rPr>
          <w:rFonts w:ascii="Arial" w:hAnsi="Arial" w:cs="Arial"/>
          <w:szCs w:val="24"/>
        </w:rPr>
        <w:t xml:space="preserve">) by somatic embryogenesis. </w:t>
      </w:r>
      <w:r w:rsidRPr="005D76E3">
        <w:rPr>
          <w:rFonts w:ascii="Arial" w:hAnsi="Arial" w:cs="Arial"/>
          <w:i/>
          <w:iCs/>
          <w:szCs w:val="24"/>
        </w:rPr>
        <w:t>Agriculture and Agricultural Science Procedia</w:t>
      </w:r>
      <w:r w:rsidRPr="005D76E3">
        <w:rPr>
          <w:rFonts w:ascii="Arial" w:hAnsi="Arial" w:cs="Arial"/>
          <w:szCs w:val="24"/>
        </w:rPr>
        <w:t xml:space="preserve">, </w:t>
      </w:r>
      <w:r w:rsidRPr="005D76E3">
        <w:rPr>
          <w:rFonts w:ascii="Arial" w:hAnsi="Arial" w:cs="Arial"/>
          <w:i/>
          <w:iCs/>
          <w:szCs w:val="24"/>
        </w:rPr>
        <w:t>9</w:t>
      </w:r>
      <w:r w:rsidRPr="005D76E3">
        <w:rPr>
          <w:rFonts w:ascii="Arial" w:hAnsi="Arial" w:cs="Arial"/>
          <w:szCs w:val="24"/>
        </w:rPr>
        <w:t>, 456-461.</w:t>
      </w:r>
    </w:p>
    <w:p w14:paraId="27E696BA"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Dibax, R., de Alcântara, G. B., Bespalhok Filho, J. C., Machado, M. P., de Oliveira, Y., da Silva, A. L. L., &amp; Machado, M. P. (2011). Plant regeneration of sugarcane cv. RB931003 and RB98710 from somatic embryos and acclimatized. </w:t>
      </w:r>
      <w:r w:rsidRPr="0083092D">
        <w:rPr>
          <w:rFonts w:ascii="Arial" w:hAnsi="Arial" w:cs="Arial"/>
          <w:i/>
          <w:iCs/>
          <w:szCs w:val="24"/>
        </w:rPr>
        <w:t>Journal of Biotechnology and Biodiversity</w:t>
      </w:r>
      <w:r w:rsidRPr="008F3E58">
        <w:rPr>
          <w:rFonts w:ascii="Arial" w:hAnsi="Arial" w:cs="Arial"/>
          <w:szCs w:val="24"/>
        </w:rPr>
        <w:t xml:space="preserve">, 2(3), 32-37. </w:t>
      </w:r>
    </w:p>
    <w:p w14:paraId="54311A5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Freire Seijo, M., Gómez Kosky, R., Herrera Ofarril, I., Reyes, M. (2006). Callus formation and establishment of sugarcane embryogenic cell suspensions from plant leaf segments </w:t>
      </w:r>
      <w:r w:rsidRPr="00DE2F22">
        <w:rPr>
          <w:rFonts w:ascii="Arial" w:hAnsi="Arial" w:cs="Arial"/>
          <w:i/>
          <w:iCs/>
          <w:szCs w:val="24"/>
        </w:rPr>
        <w:t>in vitro</w:t>
      </w:r>
      <w:r w:rsidRPr="008F3E58">
        <w:rPr>
          <w:rFonts w:ascii="Arial" w:hAnsi="Arial" w:cs="Arial"/>
          <w:szCs w:val="24"/>
        </w:rPr>
        <w:t xml:space="preserve">. </w:t>
      </w:r>
      <w:r w:rsidRPr="005A26ED">
        <w:rPr>
          <w:rFonts w:ascii="Arial" w:hAnsi="Arial" w:cs="Arial"/>
          <w:i/>
          <w:iCs/>
          <w:szCs w:val="24"/>
        </w:rPr>
        <w:t>Plant Biotechnology</w:t>
      </w:r>
      <w:r w:rsidRPr="008F3E58">
        <w:rPr>
          <w:rFonts w:ascii="Arial" w:hAnsi="Arial" w:cs="Arial"/>
          <w:szCs w:val="24"/>
        </w:rPr>
        <w:t xml:space="preserve"> Vol. 6, No. 1: 51 - 57.</w:t>
      </w:r>
    </w:p>
    <w:p w14:paraId="7ACC3AF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Gandonou, G., Errabii, T., Abrini, J., Idaomar, M., Chibi, F., Skali Senhaji, N. (2005). Effect of genotype on callus induction and plant regeneration from leaf explants of sugarcane (</w:t>
      </w:r>
      <w:r w:rsidRPr="004D2B3D">
        <w:rPr>
          <w:rFonts w:ascii="Arial" w:hAnsi="Arial" w:cs="Arial"/>
          <w:i/>
          <w:iCs/>
          <w:szCs w:val="24"/>
        </w:rPr>
        <w:t>Saccharum</w:t>
      </w:r>
      <w:r w:rsidRPr="008F3E58">
        <w:rPr>
          <w:rFonts w:ascii="Arial" w:hAnsi="Arial" w:cs="Arial"/>
          <w:szCs w:val="24"/>
        </w:rPr>
        <w:t xml:space="preserve"> sp.). </w:t>
      </w:r>
      <w:r w:rsidRPr="00742995">
        <w:rPr>
          <w:rFonts w:ascii="Arial" w:hAnsi="Arial" w:cs="Arial"/>
          <w:i/>
          <w:iCs/>
          <w:szCs w:val="24"/>
        </w:rPr>
        <w:t>African Journal of Biotechnology</w:t>
      </w:r>
      <w:r w:rsidRPr="008F3E58">
        <w:rPr>
          <w:rFonts w:ascii="Arial" w:hAnsi="Arial" w:cs="Arial"/>
          <w:szCs w:val="24"/>
        </w:rPr>
        <w:t xml:space="preserve"> Vol. 4 (11), pp. 1250-1255.</w:t>
      </w:r>
    </w:p>
    <w:p w14:paraId="080015B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Jahangir, G.Z., Nasir, I.A., Sial, R.A., Javid, M.A., Husnain, T. (2010). Various hormonal supplementations activate sugarcane regeneration </w:t>
      </w:r>
      <w:r w:rsidRPr="00794633">
        <w:rPr>
          <w:rFonts w:ascii="Arial" w:hAnsi="Arial" w:cs="Arial"/>
          <w:i/>
          <w:iCs/>
          <w:szCs w:val="24"/>
        </w:rPr>
        <w:t>in vitro</w:t>
      </w:r>
      <w:r w:rsidRPr="008F3E58">
        <w:rPr>
          <w:rFonts w:ascii="Arial" w:hAnsi="Arial" w:cs="Arial"/>
          <w:szCs w:val="24"/>
        </w:rPr>
        <w:t xml:space="preserve">. </w:t>
      </w:r>
      <w:r w:rsidRPr="00647121">
        <w:rPr>
          <w:rFonts w:ascii="Arial" w:hAnsi="Arial" w:cs="Arial"/>
          <w:i/>
          <w:iCs/>
          <w:szCs w:val="24"/>
        </w:rPr>
        <w:t>Journal of Agricultural Science</w:t>
      </w:r>
      <w:r w:rsidRPr="008F3E58">
        <w:rPr>
          <w:rFonts w:ascii="Arial" w:hAnsi="Arial" w:cs="Arial"/>
          <w:szCs w:val="24"/>
        </w:rPr>
        <w:t>, 2(4), 231.</w:t>
      </w:r>
    </w:p>
    <w:p w14:paraId="064ECA0E" w14:textId="18A992B9"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Jamil, S., Shahzad, R., Talha, G., Sakhawat, G., Rahman, S., </w:t>
      </w:r>
      <w:r w:rsidRPr="008340B4">
        <w:rPr>
          <w:rFonts w:ascii="Arial" w:hAnsi="Arial" w:cs="Arial"/>
          <w:szCs w:val="24"/>
        </w:rPr>
        <w:t xml:space="preserve">Sultana, R., </w:t>
      </w:r>
      <w:r w:rsidR="001150D5" w:rsidRPr="008340B4">
        <w:rPr>
          <w:rFonts w:ascii="Arial" w:hAnsi="Arial" w:cs="Arial"/>
          <w:i/>
          <w:iCs/>
          <w:szCs w:val="24"/>
        </w:rPr>
        <w:t>et. al</w:t>
      </w:r>
      <w:r w:rsidRPr="008340B4">
        <w:rPr>
          <w:rFonts w:ascii="Arial" w:hAnsi="Arial" w:cs="Arial"/>
          <w:szCs w:val="24"/>
        </w:rPr>
        <w:t>.</w:t>
      </w:r>
      <w:r w:rsidRPr="008F3E58">
        <w:rPr>
          <w:rFonts w:ascii="Arial" w:hAnsi="Arial" w:cs="Arial"/>
          <w:szCs w:val="24"/>
        </w:rPr>
        <w:t xml:space="preserve"> (2017). Optimization of protocols for </w:t>
      </w:r>
      <w:r w:rsidRPr="006A2185">
        <w:rPr>
          <w:rFonts w:ascii="Arial" w:hAnsi="Arial" w:cs="Arial"/>
          <w:i/>
          <w:iCs/>
          <w:szCs w:val="24"/>
        </w:rPr>
        <w:t>in vitro</w:t>
      </w:r>
      <w:r w:rsidRPr="008F3E58">
        <w:rPr>
          <w:rFonts w:ascii="Arial" w:hAnsi="Arial" w:cs="Arial"/>
          <w:szCs w:val="24"/>
        </w:rPr>
        <w:t xml:space="preserve"> regeneration of sugarcane (</w:t>
      </w:r>
      <w:r w:rsidRPr="00A01BDB">
        <w:rPr>
          <w:rFonts w:ascii="Arial" w:hAnsi="Arial" w:cs="Arial"/>
          <w:i/>
          <w:iCs/>
          <w:szCs w:val="24"/>
        </w:rPr>
        <w:t>Saccharum officinarum</w:t>
      </w:r>
      <w:r w:rsidRPr="008F3E58">
        <w:rPr>
          <w:rFonts w:ascii="Arial" w:hAnsi="Arial" w:cs="Arial"/>
          <w:szCs w:val="24"/>
        </w:rPr>
        <w:t>)</w:t>
      </w:r>
      <w:r w:rsidR="00393241">
        <w:rPr>
          <w:rFonts w:ascii="Arial" w:hAnsi="Arial" w:cs="Arial"/>
          <w:szCs w:val="24"/>
        </w:rPr>
        <w:t>.</w:t>
      </w:r>
      <w:r w:rsidRPr="008F3E58">
        <w:rPr>
          <w:rFonts w:ascii="Arial" w:hAnsi="Arial" w:cs="Arial"/>
          <w:szCs w:val="24"/>
        </w:rPr>
        <w:t xml:space="preserve"> </w:t>
      </w:r>
      <w:r w:rsidRPr="00393241">
        <w:rPr>
          <w:rFonts w:ascii="Arial" w:hAnsi="Arial" w:cs="Arial"/>
          <w:i/>
          <w:iCs/>
          <w:szCs w:val="24"/>
        </w:rPr>
        <w:t>International Journal of Agronomy</w:t>
      </w:r>
      <w:r w:rsidRPr="008F3E58">
        <w:rPr>
          <w:rFonts w:ascii="Arial" w:hAnsi="Arial" w:cs="Arial"/>
          <w:szCs w:val="24"/>
        </w:rPr>
        <w:t>, 2017(1), 2089381.</w:t>
      </w:r>
    </w:p>
    <w:p w14:paraId="17AA3F20"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Kirkham, M.B. (1987). Soil-oxygen and plant-root interaction: an electrical analog study. In Plant and Soil Interfaces and Interactions: Proceedings of the International Symposium: Plant and Soil: Interfaces and Interactions. Wageningen, The Netherlands August 6–8, 1986 (pp. 11-19). Springer Netherlands.</w:t>
      </w:r>
    </w:p>
    <w:p w14:paraId="79445F6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Kryvenki, M., Gómez Kosky, R., Guerrero, D., Dominguez, M., &amp; Reyes, M. (2008). Obtaining calluses with embryogenic structures from </w:t>
      </w:r>
      <w:r w:rsidRPr="00393241">
        <w:rPr>
          <w:rFonts w:ascii="Arial" w:hAnsi="Arial" w:cs="Arial"/>
          <w:i/>
          <w:iCs/>
          <w:szCs w:val="24"/>
        </w:rPr>
        <w:t>Stevia rebaudiana</w:t>
      </w:r>
      <w:r w:rsidRPr="008F3E58">
        <w:rPr>
          <w:rFonts w:ascii="Arial" w:hAnsi="Arial" w:cs="Arial"/>
          <w:szCs w:val="24"/>
        </w:rPr>
        <w:t xml:space="preserve"> Bert. in semisolid culture media. </w:t>
      </w:r>
      <w:r w:rsidRPr="00505BEE">
        <w:rPr>
          <w:rFonts w:ascii="Arial" w:hAnsi="Arial" w:cs="Arial"/>
          <w:i/>
          <w:iCs/>
          <w:szCs w:val="24"/>
        </w:rPr>
        <w:t>Plant Biotechnology</w:t>
      </w:r>
      <w:r w:rsidRPr="008F3E58">
        <w:rPr>
          <w:rFonts w:ascii="Arial" w:hAnsi="Arial" w:cs="Arial"/>
          <w:szCs w:val="24"/>
        </w:rPr>
        <w:t>, 8(2).</w:t>
      </w:r>
    </w:p>
    <w:p w14:paraId="4F0CD5C6" w14:textId="34E04C84"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Lakshmanan, P., Geijskes, R.J., Wang, L., Elliott, A., Grof, C.P., Berding, N., </w:t>
      </w:r>
      <w:r w:rsidR="008340B4" w:rsidRPr="008340B4">
        <w:rPr>
          <w:rFonts w:ascii="Arial" w:hAnsi="Arial" w:cs="Arial"/>
          <w:i/>
          <w:iCs/>
          <w:szCs w:val="24"/>
        </w:rPr>
        <w:t>et. al</w:t>
      </w:r>
      <w:r w:rsidR="008340B4" w:rsidRPr="008340B4">
        <w:rPr>
          <w:rFonts w:ascii="Arial" w:hAnsi="Arial" w:cs="Arial"/>
          <w:szCs w:val="24"/>
        </w:rPr>
        <w:t>.</w:t>
      </w:r>
      <w:r w:rsidR="008340B4" w:rsidRPr="008F3E58">
        <w:rPr>
          <w:rFonts w:ascii="Arial" w:hAnsi="Arial" w:cs="Arial"/>
          <w:szCs w:val="24"/>
        </w:rPr>
        <w:t xml:space="preserve"> </w:t>
      </w:r>
      <w:r w:rsidRPr="008F3E58">
        <w:rPr>
          <w:rFonts w:ascii="Arial" w:hAnsi="Arial" w:cs="Arial"/>
          <w:szCs w:val="24"/>
        </w:rPr>
        <w:t xml:space="preserve"> (2006). Developmental and hormonal regulation of direct shoot organogenesis and somatic embryogenesis in sugarcane (</w:t>
      </w:r>
      <w:r w:rsidRPr="00881331">
        <w:rPr>
          <w:rFonts w:ascii="Arial" w:hAnsi="Arial" w:cs="Arial"/>
          <w:i/>
          <w:iCs/>
          <w:szCs w:val="24"/>
        </w:rPr>
        <w:t>Saccharum</w:t>
      </w:r>
      <w:r w:rsidRPr="008F3E58">
        <w:rPr>
          <w:rFonts w:ascii="Arial" w:hAnsi="Arial" w:cs="Arial"/>
          <w:szCs w:val="24"/>
        </w:rPr>
        <w:t xml:space="preserve"> spp. interspecific hybrids) leaf culture. </w:t>
      </w:r>
      <w:r w:rsidRPr="00FD55F4">
        <w:rPr>
          <w:rFonts w:ascii="Arial" w:hAnsi="Arial" w:cs="Arial"/>
          <w:i/>
          <w:iCs/>
          <w:szCs w:val="24"/>
        </w:rPr>
        <w:t>Plant cell reports</w:t>
      </w:r>
      <w:r w:rsidRPr="008F3E58">
        <w:rPr>
          <w:rFonts w:ascii="Arial" w:hAnsi="Arial" w:cs="Arial"/>
          <w:szCs w:val="24"/>
        </w:rPr>
        <w:t>, 25(10), 1007-1015.</w:t>
      </w:r>
    </w:p>
    <w:p w14:paraId="3A71E160"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Leifert, C., Waites, W. M., Nicholas, J. R. &amp; Keetley, J. W. (1990). Yeast contaminants of micropropagated plant cultures. </w:t>
      </w:r>
      <w:r w:rsidRPr="0020394A">
        <w:rPr>
          <w:rFonts w:ascii="Arial" w:hAnsi="Arial" w:cs="Arial"/>
          <w:i/>
          <w:iCs/>
          <w:szCs w:val="24"/>
        </w:rPr>
        <w:t>Journal of Applied Microbiology,</w:t>
      </w:r>
      <w:r w:rsidRPr="008F3E58">
        <w:rPr>
          <w:rFonts w:ascii="Arial" w:hAnsi="Arial" w:cs="Arial"/>
          <w:szCs w:val="24"/>
        </w:rPr>
        <w:t xml:space="preserve"> 69(4), 471-476.</w:t>
      </w:r>
    </w:p>
    <w:p w14:paraId="53EC07E4" w14:textId="77777777" w:rsid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lastRenderedPageBreak/>
        <w:t>Mahalakshmi, A., Khurana, J. P., &amp; Khurana, P. (2003). Rapid induction of somatic embryogenesis by 2, 4-D in leaf base cultures of wheat (</w:t>
      </w:r>
      <w:r w:rsidRPr="006A2199">
        <w:rPr>
          <w:rFonts w:ascii="Arial" w:hAnsi="Arial" w:cs="Arial"/>
          <w:i/>
          <w:iCs/>
          <w:szCs w:val="24"/>
        </w:rPr>
        <w:t>Triticum aestivum</w:t>
      </w:r>
      <w:r w:rsidRPr="008F3E58">
        <w:rPr>
          <w:rFonts w:ascii="Arial" w:hAnsi="Arial" w:cs="Arial"/>
          <w:szCs w:val="24"/>
        </w:rPr>
        <w:t xml:space="preserve"> L.). </w:t>
      </w:r>
      <w:r w:rsidRPr="00324980">
        <w:rPr>
          <w:rFonts w:ascii="Arial" w:hAnsi="Arial" w:cs="Arial"/>
          <w:i/>
          <w:iCs/>
          <w:szCs w:val="24"/>
        </w:rPr>
        <w:t>Plant Biotechnology</w:t>
      </w:r>
      <w:r w:rsidRPr="008F3E58">
        <w:rPr>
          <w:rFonts w:ascii="Arial" w:hAnsi="Arial" w:cs="Arial"/>
          <w:szCs w:val="24"/>
        </w:rPr>
        <w:t>, 20(4), 267-273.</w:t>
      </w:r>
    </w:p>
    <w:p w14:paraId="4F35CDB8"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Mastuti, R., Munawarti, A., &amp; Firdiana, E. R. (2017). The combination effect of auxin and cytokinin on </w:t>
      </w:r>
      <w:r w:rsidRPr="0036614E">
        <w:rPr>
          <w:rFonts w:ascii="Arial" w:hAnsi="Arial" w:cs="Arial"/>
          <w:i/>
          <w:iCs/>
          <w:szCs w:val="24"/>
        </w:rPr>
        <w:t>in vitro</w:t>
      </w:r>
      <w:r w:rsidRPr="008F3E58">
        <w:rPr>
          <w:rFonts w:ascii="Arial" w:hAnsi="Arial" w:cs="Arial"/>
          <w:szCs w:val="24"/>
        </w:rPr>
        <w:t xml:space="preserve"> callus formation of </w:t>
      </w:r>
      <w:r w:rsidRPr="00FE5C88">
        <w:rPr>
          <w:rFonts w:ascii="Arial" w:hAnsi="Arial" w:cs="Arial"/>
          <w:i/>
          <w:iCs/>
          <w:szCs w:val="24"/>
        </w:rPr>
        <w:t>Physalis angulata</w:t>
      </w:r>
      <w:r w:rsidRPr="008F3E58">
        <w:rPr>
          <w:rFonts w:ascii="Arial" w:hAnsi="Arial" w:cs="Arial"/>
          <w:szCs w:val="24"/>
        </w:rPr>
        <w:t xml:space="preserve"> L.–A medicinal plant. In AIP Conference Proceedings (Vol. 1908, No. 1). AIP Publishing.</w:t>
      </w:r>
    </w:p>
    <w:p w14:paraId="5E21E5C2"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Mathias, R. J. and Boyd, L. A. (1986). Cefotaxime stimulates callus growth, embryogenesis and regeneration in haploid breed wheat (</w:t>
      </w:r>
      <w:r w:rsidRPr="005E2063">
        <w:rPr>
          <w:rFonts w:ascii="Arial" w:hAnsi="Arial" w:cs="Arial"/>
          <w:i/>
          <w:iCs/>
          <w:szCs w:val="24"/>
        </w:rPr>
        <w:t>Triticum aestivum</w:t>
      </w:r>
      <w:r w:rsidRPr="008F3E58">
        <w:rPr>
          <w:rFonts w:ascii="Arial" w:hAnsi="Arial" w:cs="Arial"/>
          <w:szCs w:val="24"/>
        </w:rPr>
        <w:t xml:space="preserve"> L.). The Plant Sci. 46:217-223</w:t>
      </w:r>
    </w:p>
    <w:p w14:paraId="55781C1E"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Mittal, P., Gosal, S.S., Senger, A., Kumar, P. (2009). Impact of cefotaxime on somatic embryogenesis and shoot regeneration in sugarcane. </w:t>
      </w:r>
      <w:r w:rsidRPr="007C5638">
        <w:rPr>
          <w:rFonts w:ascii="Arial" w:hAnsi="Arial" w:cs="Arial"/>
          <w:i/>
          <w:iCs/>
          <w:szCs w:val="24"/>
        </w:rPr>
        <w:t>Physiology and Molecular Biology of Plants</w:t>
      </w:r>
      <w:r w:rsidRPr="008F3E58">
        <w:rPr>
          <w:rFonts w:ascii="Arial" w:hAnsi="Arial" w:cs="Arial"/>
          <w:szCs w:val="24"/>
        </w:rPr>
        <w:t>, 15, 257-265.</w:t>
      </w:r>
    </w:p>
    <w:p w14:paraId="7BDB802A" w14:textId="1DEF286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Montes de Oca, J. L., Veitia Rodríguez, N., Bernal, A., Machado, P., Jiménez, M., Rivera, O.</w:t>
      </w:r>
      <w:r w:rsidR="008340B4">
        <w:rPr>
          <w:rFonts w:ascii="Arial" w:hAnsi="Arial" w:cs="Arial"/>
          <w:szCs w:val="24"/>
        </w:rPr>
        <w:t xml:space="preserve">, </w:t>
      </w:r>
      <w:r w:rsidR="008340B4" w:rsidRPr="008340B4">
        <w:rPr>
          <w:rFonts w:ascii="Arial" w:hAnsi="Arial" w:cs="Arial"/>
          <w:i/>
          <w:iCs/>
          <w:szCs w:val="24"/>
        </w:rPr>
        <w:t>et. al</w:t>
      </w:r>
      <w:r w:rsidR="008340B4" w:rsidRPr="008340B4">
        <w:rPr>
          <w:rFonts w:ascii="Arial" w:hAnsi="Arial" w:cs="Arial"/>
          <w:szCs w:val="24"/>
        </w:rPr>
        <w:t>.</w:t>
      </w:r>
      <w:r w:rsidR="008340B4" w:rsidRPr="008F3E58">
        <w:rPr>
          <w:rFonts w:ascii="Arial" w:hAnsi="Arial" w:cs="Arial"/>
          <w:szCs w:val="24"/>
        </w:rPr>
        <w:t xml:space="preserve"> </w:t>
      </w:r>
      <w:r w:rsidRPr="008F3E58">
        <w:rPr>
          <w:rFonts w:ascii="Arial" w:hAnsi="Arial" w:cs="Arial"/>
          <w:szCs w:val="24"/>
        </w:rPr>
        <w:t>(2010). Increasing the efficiency of the micropropagation of the water pipe (</w:t>
      </w:r>
      <w:r w:rsidRPr="0055387F">
        <w:rPr>
          <w:rFonts w:ascii="Arial" w:hAnsi="Arial" w:cs="Arial"/>
          <w:i/>
          <w:iCs/>
          <w:szCs w:val="24"/>
        </w:rPr>
        <w:t>Saccharum</w:t>
      </w:r>
      <w:r w:rsidRPr="008F3E58">
        <w:rPr>
          <w:rFonts w:ascii="Arial" w:hAnsi="Arial" w:cs="Arial"/>
          <w:szCs w:val="24"/>
        </w:rPr>
        <w:t xml:space="preserve"> spp hibrido) in</w:t>
      </w:r>
      <w:r w:rsidR="003044FF">
        <w:rPr>
          <w:rFonts w:ascii="Arial" w:hAnsi="Arial" w:cs="Arial"/>
          <w:szCs w:val="24"/>
        </w:rPr>
        <w:t xml:space="preserve"> </w:t>
      </w:r>
      <w:r w:rsidRPr="008F3E58">
        <w:rPr>
          <w:rFonts w:ascii="Arial" w:hAnsi="Arial" w:cs="Arial"/>
          <w:szCs w:val="24"/>
        </w:rPr>
        <w:t xml:space="preserve">temporal immersion systems. AGRIS - </w:t>
      </w:r>
      <w:r w:rsidRPr="009337A6">
        <w:rPr>
          <w:rFonts w:ascii="Arial" w:hAnsi="Arial" w:cs="Arial"/>
          <w:i/>
          <w:iCs/>
          <w:szCs w:val="24"/>
        </w:rPr>
        <w:t>International System for Agricultural Science and Technology</w:t>
      </w:r>
      <w:r w:rsidRPr="008F3E58">
        <w:rPr>
          <w:rFonts w:ascii="Arial" w:hAnsi="Arial" w:cs="Arial"/>
          <w:szCs w:val="24"/>
        </w:rPr>
        <w:t>.</w:t>
      </w:r>
    </w:p>
    <w:p w14:paraId="2ED0C039"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Murashige, T.; Skoog, F. (1962). A revised medium for rapid growth and bioassays with tobacco tissue culture. </w:t>
      </w:r>
      <w:r w:rsidRPr="00DE7CC4">
        <w:rPr>
          <w:rFonts w:ascii="Arial" w:hAnsi="Arial" w:cs="Arial"/>
          <w:i/>
          <w:iCs/>
          <w:szCs w:val="24"/>
        </w:rPr>
        <w:t>Physiology Plantarum</w:t>
      </w:r>
      <w:r w:rsidRPr="008F3E58">
        <w:rPr>
          <w:rFonts w:ascii="Arial" w:hAnsi="Arial" w:cs="Arial"/>
          <w:szCs w:val="24"/>
        </w:rPr>
        <w:t>,15:473-497.</w:t>
      </w:r>
    </w:p>
    <w:p w14:paraId="196B1304"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Nawaz, M., Ullah, I., Iqbal, M., Javed, M. (2013). Improving </w:t>
      </w:r>
      <w:r w:rsidRPr="003044FF">
        <w:rPr>
          <w:rFonts w:ascii="Arial" w:hAnsi="Arial" w:cs="Arial"/>
          <w:i/>
          <w:iCs/>
          <w:szCs w:val="24"/>
        </w:rPr>
        <w:t>in vitro</w:t>
      </w:r>
      <w:r w:rsidRPr="008F3E58">
        <w:rPr>
          <w:rFonts w:ascii="Arial" w:hAnsi="Arial" w:cs="Arial"/>
          <w:szCs w:val="24"/>
        </w:rPr>
        <w:t xml:space="preserve"> leaf disk regeneration system of sugarcane (</w:t>
      </w:r>
      <w:r w:rsidRPr="007F5320">
        <w:rPr>
          <w:rFonts w:ascii="Arial" w:hAnsi="Arial" w:cs="Arial"/>
          <w:i/>
          <w:iCs/>
          <w:szCs w:val="24"/>
        </w:rPr>
        <w:t>Saccharum officinarum</w:t>
      </w:r>
      <w:r w:rsidRPr="008F3E58">
        <w:rPr>
          <w:rFonts w:ascii="Arial" w:hAnsi="Arial" w:cs="Arial"/>
          <w:szCs w:val="24"/>
        </w:rPr>
        <w:t xml:space="preserve"> L.) with concurrent shoot/root induction from somatic embryos. </w:t>
      </w:r>
      <w:r w:rsidRPr="00037A8A">
        <w:rPr>
          <w:rFonts w:ascii="Arial" w:hAnsi="Arial" w:cs="Arial"/>
          <w:i/>
          <w:iCs/>
          <w:szCs w:val="24"/>
        </w:rPr>
        <w:t>Turkish Journal of Biology</w:t>
      </w:r>
      <w:r w:rsidRPr="008F3E58">
        <w:rPr>
          <w:rFonts w:ascii="Arial" w:hAnsi="Arial" w:cs="Arial"/>
          <w:szCs w:val="24"/>
        </w:rPr>
        <w:t xml:space="preserve"> 37:726-732.</w:t>
      </w:r>
    </w:p>
    <w:p w14:paraId="3BC53ECB"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Nieves, N., Rodríguez, K., Cid, M., Castillo, R., González, J.L., Núñez, M. (2007). Effect of the brassinosteroid analogs BB-6 and MH-5 on protein metabolism in sugarcane somatic embryogenesis. </w:t>
      </w:r>
      <w:r w:rsidRPr="0043793E">
        <w:rPr>
          <w:rFonts w:ascii="Arial" w:hAnsi="Arial" w:cs="Arial"/>
          <w:i/>
          <w:iCs/>
          <w:szCs w:val="24"/>
        </w:rPr>
        <w:t>Agronomía Costarricense</w:t>
      </w:r>
      <w:r w:rsidRPr="008F3E58">
        <w:rPr>
          <w:rFonts w:ascii="Arial" w:hAnsi="Arial" w:cs="Arial"/>
          <w:szCs w:val="24"/>
        </w:rPr>
        <w:t>, 31(2), 71-77.</w:t>
      </w:r>
    </w:p>
    <w:p w14:paraId="1906D062" w14:textId="011922D1"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Pipinis, E., Kostas, S., Hatzilazarou, S., Petropoulos, S., Mitsi, D., Stampoulidis, A., </w:t>
      </w:r>
      <w:r w:rsidR="0084721F" w:rsidRPr="008340B4">
        <w:rPr>
          <w:rFonts w:ascii="Arial" w:hAnsi="Arial" w:cs="Arial"/>
          <w:i/>
          <w:iCs/>
          <w:szCs w:val="24"/>
        </w:rPr>
        <w:t>et. al</w:t>
      </w:r>
      <w:r w:rsidR="0084721F" w:rsidRPr="008340B4">
        <w:rPr>
          <w:rFonts w:ascii="Arial" w:hAnsi="Arial" w:cs="Arial"/>
          <w:szCs w:val="24"/>
        </w:rPr>
        <w:t>.</w:t>
      </w:r>
      <w:r w:rsidR="0084721F" w:rsidRPr="008F3E58">
        <w:rPr>
          <w:rFonts w:ascii="Arial" w:hAnsi="Arial" w:cs="Arial"/>
          <w:szCs w:val="24"/>
        </w:rPr>
        <w:t xml:space="preserve"> </w:t>
      </w:r>
      <w:r w:rsidRPr="008F3E58">
        <w:rPr>
          <w:rFonts w:ascii="Arial" w:hAnsi="Arial" w:cs="Arial"/>
          <w:szCs w:val="24"/>
        </w:rPr>
        <w:t xml:space="preserve">(2023). Effects of donor tree age, cutting collection time and K-IBA application on rooting ability of L. stem cuttings: preliminary results. </w:t>
      </w:r>
      <w:r w:rsidRPr="000B4EE9">
        <w:rPr>
          <w:rFonts w:ascii="Arial" w:hAnsi="Arial" w:cs="Arial"/>
          <w:i/>
          <w:iCs/>
          <w:szCs w:val="24"/>
        </w:rPr>
        <w:t>Folia Oecologica</w:t>
      </w:r>
      <w:r w:rsidRPr="008F3E58">
        <w:rPr>
          <w:rFonts w:ascii="Arial" w:hAnsi="Arial" w:cs="Arial"/>
          <w:szCs w:val="24"/>
        </w:rPr>
        <w:t>, 50(1), 97-103.</w:t>
      </w:r>
    </w:p>
    <w:p w14:paraId="357502E3"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Rao, S., Jabeen, S. (2013). Optimization of Protocols for Callus Induction, Regeneration and Acclimatized of Sugarcane (</w:t>
      </w:r>
      <w:r w:rsidRPr="00AC2E3F">
        <w:rPr>
          <w:rFonts w:ascii="Arial" w:hAnsi="Arial" w:cs="Arial"/>
          <w:i/>
          <w:iCs/>
          <w:szCs w:val="24"/>
        </w:rPr>
        <w:t>Saccharum officinarum</w:t>
      </w:r>
      <w:r w:rsidRPr="008F3E58">
        <w:rPr>
          <w:rFonts w:ascii="Arial" w:hAnsi="Arial" w:cs="Arial"/>
          <w:szCs w:val="24"/>
        </w:rPr>
        <w:t xml:space="preserve"> L.) Cultivar CO-86032. </w:t>
      </w:r>
      <w:r w:rsidRPr="0003639B">
        <w:rPr>
          <w:rFonts w:ascii="Arial" w:hAnsi="Arial" w:cs="Arial"/>
          <w:i/>
          <w:iCs/>
          <w:szCs w:val="24"/>
        </w:rPr>
        <w:t>Current Trends in Biotechnology and Pharmacy</w:t>
      </w:r>
      <w:r w:rsidRPr="008F3E58">
        <w:rPr>
          <w:rFonts w:ascii="Arial" w:hAnsi="Arial" w:cs="Arial"/>
          <w:szCs w:val="24"/>
        </w:rPr>
        <w:t>. Flight. 7 (4) 861-869.</w:t>
      </w:r>
    </w:p>
    <w:p w14:paraId="64FC9CA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Rastogi, J., Siddhant, P. B., Sharma, B. L. (2015). Somaclonal Variation: A new dimension for sugarcane improvement. GERF </w:t>
      </w:r>
      <w:r w:rsidRPr="0003639B">
        <w:rPr>
          <w:rFonts w:ascii="Arial" w:hAnsi="Arial" w:cs="Arial"/>
          <w:i/>
          <w:iCs/>
          <w:szCs w:val="24"/>
        </w:rPr>
        <w:t>Bulletin of Biosciences</w:t>
      </w:r>
      <w:r w:rsidRPr="008F3E58">
        <w:rPr>
          <w:rFonts w:ascii="Arial" w:hAnsi="Arial" w:cs="Arial"/>
          <w:szCs w:val="24"/>
        </w:rPr>
        <w:t>, 6(1), 5-10.</w:t>
      </w:r>
    </w:p>
    <w:p w14:paraId="4A127282" w14:textId="0D9DFD7F"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Raza, S., Qamarunisa, S., Hussain, M., Jamil, I., Anjum, S., Azhar, A., </w:t>
      </w:r>
      <w:r w:rsidR="009B026D" w:rsidRPr="008340B4">
        <w:rPr>
          <w:rFonts w:ascii="Arial" w:hAnsi="Arial" w:cs="Arial"/>
          <w:i/>
          <w:iCs/>
          <w:szCs w:val="24"/>
        </w:rPr>
        <w:t>et. al</w:t>
      </w:r>
      <w:r w:rsidR="009B026D" w:rsidRPr="008340B4">
        <w:rPr>
          <w:rFonts w:ascii="Arial" w:hAnsi="Arial" w:cs="Arial"/>
          <w:szCs w:val="24"/>
        </w:rPr>
        <w:t>.</w:t>
      </w:r>
      <w:r w:rsidR="009B026D" w:rsidRPr="008F3E58">
        <w:rPr>
          <w:rFonts w:ascii="Arial" w:hAnsi="Arial" w:cs="Arial"/>
          <w:szCs w:val="24"/>
        </w:rPr>
        <w:t xml:space="preserve"> </w:t>
      </w:r>
      <w:r w:rsidRPr="008F3E58">
        <w:rPr>
          <w:rFonts w:ascii="Arial" w:hAnsi="Arial" w:cs="Arial"/>
          <w:szCs w:val="24"/>
        </w:rPr>
        <w:t xml:space="preserve"> (2012). Regeneration in sugarcane via somatic embryogenesis and genomic instability in regenerated plants. </w:t>
      </w:r>
      <w:r w:rsidRPr="0033443B">
        <w:rPr>
          <w:rFonts w:ascii="Arial" w:hAnsi="Arial" w:cs="Arial"/>
          <w:i/>
          <w:iCs/>
          <w:szCs w:val="24"/>
        </w:rPr>
        <w:t>Journal of Crop Science and Biotechnology</w:t>
      </w:r>
      <w:r w:rsidRPr="008F3E58">
        <w:rPr>
          <w:rFonts w:ascii="Arial" w:hAnsi="Arial" w:cs="Arial"/>
          <w:szCs w:val="24"/>
        </w:rPr>
        <w:t>, 15, 131-136.</w:t>
      </w:r>
    </w:p>
    <w:p w14:paraId="40BFB5C6"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Revista digital del Centro Azucarero Argentino: Sector Sucroalcoholero </w:t>
      </w:r>
      <w:proofErr w:type="gramStart"/>
      <w:r w:rsidRPr="008F3E58">
        <w:rPr>
          <w:rFonts w:ascii="Arial" w:hAnsi="Arial" w:cs="Arial"/>
          <w:szCs w:val="24"/>
        </w:rPr>
        <w:t>Argentino</w:t>
      </w:r>
      <w:proofErr w:type="gramEnd"/>
      <w:r w:rsidRPr="008F3E58">
        <w:rPr>
          <w:rFonts w:ascii="Arial" w:hAnsi="Arial" w:cs="Arial"/>
          <w:szCs w:val="24"/>
        </w:rPr>
        <w:t>. July 2024.</w:t>
      </w:r>
    </w:p>
    <w:p w14:paraId="15AD50E3"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Riov, J. (1992). Endogenous and exogenous auxin conjugates in rooting of cuttings. In VII International Symposium on Plant Growth Regulators in Fruit Production 329 (pp. 284-288). </w:t>
      </w:r>
    </w:p>
    <w:p w14:paraId="3504D3C8"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Roca William. (1991), "Cultivo de tejidos en la agricultura", funds and applications, CIAT, pp. 545-547.</w:t>
      </w:r>
    </w:p>
    <w:p w14:paraId="153D65CB"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lastRenderedPageBreak/>
        <w:t>Selwyn, S. (1983). Antibiotics other than beta-lactam compounds. In Chemotherapeutic Strategy: Proceedings of the Symposium Held on June 2-4 1982 at the World Trade Centre, London UK (p. 47). Macmillan Press.</w:t>
      </w:r>
    </w:p>
    <w:p w14:paraId="6F76D0D2" w14:textId="77777777" w:rsidR="008F3E58" w:rsidRPr="008F3E58"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Sidek, N., Nulit, R., Kong, Y. C., Yien, C. Y. S., Sekeli, R., &amp; EL-Barghathi, M. F. (2022). Callogenesis and somatic embryogenesis of </w:t>
      </w:r>
      <w:r w:rsidRPr="005845CD">
        <w:rPr>
          <w:rFonts w:ascii="Arial" w:hAnsi="Arial" w:cs="Arial"/>
          <w:i/>
          <w:iCs/>
          <w:szCs w:val="24"/>
        </w:rPr>
        <w:t>Oryza sativa</w:t>
      </w:r>
      <w:r w:rsidRPr="008F3E58">
        <w:rPr>
          <w:rFonts w:ascii="Arial" w:hAnsi="Arial" w:cs="Arial"/>
          <w:szCs w:val="24"/>
        </w:rPr>
        <w:t xml:space="preserve"> L. (cv. MARDI Siraj 297) under the influence of 2, 4-dichlorophenoxyacetic acid and kinetin. AIMS </w:t>
      </w:r>
      <w:r w:rsidRPr="004251AF">
        <w:rPr>
          <w:rFonts w:ascii="Arial" w:hAnsi="Arial" w:cs="Arial"/>
          <w:i/>
          <w:iCs/>
          <w:szCs w:val="24"/>
        </w:rPr>
        <w:t>Agriculture and Food</w:t>
      </w:r>
      <w:r w:rsidRPr="008F3E58">
        <w:rPr>
          <w:rFonts w:ascii="Arial" w:hAnsi="Arial" w:cs="Arial"/>
          <w:szCs w:val="24"/>
        </w:rPr>
        <w:t>, Volume 7, Issue 3: 536-552. doi: 10.3934/agrfood.2022033</w:t>
      </w:r>
    </w:p>
    <w:p w14:paraId="100ADDEC" w14:textId="3C35EB58" w:rsidR="007105AB" w:rsidRDefault="008F3E58" w:rsidP="008F3E58">
      <w:pPr>
        <w:autoSpaceDE w:val="0"/>
        <w:autoSpaceDN w:val="0"/>
        <w:adjustRightInd w:val="0"/>
        <w:ind w:left="567" w:hanging="567"/>
        <w:jc w:val="both"/>
        <w:rPr>
          <w:rFonts w:ascii="Arial" w:hAnsi="Arial" w:cs="Arial"/>
          <w:szCs w:val="24"/>
        </w:rPr>
      </w:pPr>
      <w:r w:rsidRPr="008F3E58">
        <w:rPr>
          <w:rFonts w:ascii="Arial" w:hAnsi="Arial" w:cs="Arial"/>
          <w:szCs w:val="24"/>
        </w:rPr>
        <w:t xml:space="preserve">Silveira, V., de Vita, A. M., Macedo, A. F., Dias, M. F. R., Floh, E. I. S., &amp; Santa-Catarina, C. (2013). Morphological and polyamine content changes in embryogenic and non-embryogenic callus of sugarcane. </w:t>
      </w:r>
      <w:r w:rsidRPr="00793BC7">
        <w:rPr>
          <w:rFonts w:ascii="Arial" w:hAnsi="Arial" w:cs="Arial"/>
          <w:i/>
          <w:iCs/>
          <w:szCs w:val="24"/>
        </w:rPr>
        <w:t>Plant Cell, Tissue and Organ Culture</w:t>
      </w:r>
      <w:r w:rsidRPr="008F3E58">
        <w:rPr>
          <w:rFonts w:ascii="Arial" w:hAnsi="Arial" w:cs="Arial"/>
          <w:szCs w:val="24"/>
        </w:rPr>
        <w:t xml:space="preserve"> (PCTOC), 114, 351-364.</w:t>
      </w:r>
    </w:p>
    <w:p w14:paraId="4A49E6F4" w14:textId="243D247A" w:rsidR="005B7046" w:rsidRDefault="005B7046" w:rsidP="008F3E58">
      <w:pPr>
        <w:autoSpaceDE w:val="0"/>
        <w:autoSpaceDN w:val="0"/>
        <w:adjustRightInd w:val="0"/>
        <w:ind w:left="567" w:hanging="567"/>
        <w:jc w:val="both"/>
        <w:rPr>
          <w:rFonts w:ascii="Arial" w:hAnsi="Arial" w:cs="Arial"/>
          <w:szCs w:val="24"/>
        </w:rPr>
      </w:pPr>
    </w:p>
    <w:p w14:paraId="633F7FA7" w14:textId="77777777" w:rsidR="005B7046" w:rsidRPr="005B7046" w:rsidRDefault="005B7046" w:rsidP="005B7046">
      <w:pPr>
        <w:rPr>
          <w:rFonts w:ascii="Arial" w:hAnsi="Arial" w:cs="Arial"/>
          <w:szCs w:val="24"/>
        </w:rPr>
      </w:pPr>
    </w:p>
    <w:p w14:paraId="298ED80F" w14:textId="77777777" w:rsidR="005B7046" w:rsidRPr="005B7046" w:rsidRDefault="005B7046" w:rsidP="005B7046">
      <w:pPr>
        <w:rPr>
          <w:rFonts w:ascii="Arial" w:hAnsi="Arial" w:cs="Arial"/>
          <w:szCs w:val="24"/>
        </w:rPr>
      </w:pPr>
    </w:p>
    <w:p w14:paraId="697411E0" w14:textId="77777777" w:rsidR="005B7046" w:rsidRPr="005B7046" w:rsidRDefault="005B7046" w:rsidP="005B7046">
      <w:pPr>
        <w:rPr>
          <w:rFonts w:ascii="Arial" w:hAnsi="Arial" w:cs="Arial"/>
          <w:szCs w:val="24"/>
        </w:rPr>
      </w:pPr>
    </w:p>
    <w:p w14:paraId="0D7645A5" w14:textId="77777777" w:rsidR="005B7046" w:rsidRPr="005B7046" w:rsidRDefault="005B7046" w:rsidP="005B7046">
      <w:pPr>
        <w:rPr>
          <w:rFonts w:ascii="Arial" w:hAnsi="Arial" w:cs="Arial"/>
          <w:szCs w:val="24"/>
        </w:rPr>
      </w:pPr>
    </w:p>
    <w:p w14:paraId="622C9200" w14:textId="77777777" w:rsidR="005B7046" w:rsidRPr="005B7046" w:rsidRDefault="005B7046" w:rsidP="005B7046">
      <w:pPr>
        <w:rPr>
          <w:rFonts w:ascii="Arial" w:hAnsi="Arial" w:cs="Arial"/>
          <w:szCs w:val="24"/>
        </w:rPr>
      </w:pPr>
    </w:p>
    <w:p w14:paraId="44A80051" w14:textId="77777777" w:rsidR="005B7046" w:rsidRPr="005B7046" w:rsidRDefault="005B7046" w:rsidP="005B7046">
      <w:pPr>
        <w:rPr>
          <w:rFonts w:ascii="Arial" w:hAnsi="Arial" w:cs="Arial"/>
          <w:szCs w:val="24"/>
        </w:rPr>
      </w:pPr>
    </w:p>
    <w:p w14:paraId="18C649B2" w14:textId="77777777" w:rsidR="005B7046" w:rsidRPr="005B7046" w:rsidRDefault="005B7046" w:rsidP="005B7046">
      <w:pPr>
        <w:rPr>
          <w:rFonts w:ascii="Arial" w:hAnsi="Arial" w:cs="Arial"/>
          <w:szCs w:val="24"/>
        </w:rPr>
      </w:pPr>
    </w:p>
    <w:p w14:paraId="229E4070" w14:textId="77777777" w:rsidR="005B7046" w:rsidRPr="005B7046" w:rsidRDefault="005B7046" w:rsidP="005B7046">
      <w:pPr>
        <w:rPr>
          <w:rFonts w:ascii="Arial" w:hAnsi="Arial" w:cs="Arial"/>
          <w:szCs w:val="24"/>
        </w:rPr>
      </w:pPr>
    </w:p>
    <w:p w14:paraId="1A9A12F2" w14:textId="77777777" w:rsidR="005B7046" w:rsidRPr="005B7046" w:rsidRDefault="005B7046" w:rsidP="005B7046">
      <w:pPr>
        <w:rPr>
          <w:rFonts w:ascii="Arial" w:hAnsi="Arial" w:cs="Arial"/>
          <w:szCs w:val="24"/>
        </w:rPr>
      </w:pPr>
    </w:p>
    <w:p w14:paraId="54FEFAE4" w14:textId="77777777" w:rsidR="005B7046" w:rsidRPr="005B7046" w:rsidRDefault="005B7046" w:rsidP="005B7046">
      <w:pPr>
        <w:rPr>
          <w:rFonts w:ascii="Arial" w:hAnsi="Arial" w:cs="Arial"/>
          <w:szCs w:val="24"/>
        </w:rPr>
      </w:pPr>
    </w:p>
    <w:p w14:paraId="76BF6DFB" w14:textId="77777777" w:rsidR="005B7046" w:rsidRPr="005B7046" w:rsidRDefault="005B7046" w:rsidP="005B7046">
      <w:pPr>
        <w:rPr>
          <w:rFonts w:ascii="Arial" w:hAnsi="Arial" w:cs="Arial"/>
          <w:szCs w:val="24"/>
        </w:rPr>
      </w:pPr>
    </w:p>
    <w:p w14:paraId="5F9B67DA" w14:textId="77777777" w:rsidR="005B7046" w:rsidRPr="005B7046" w:rsidRDefault="005B7046" w:rsidP="005B7046">
      <w:pPr>
        <w:rPr>
          <w:rFonts w:ascii="Arial" w:hAnsi="Arial" w:cs="Arial"/>
          <w:szCs w:val="24"/>
        </w:rPr>
      </w:pPr>
    </w:p>
    <w:p w14:paraId="646F57E4" w14:textId="77777777" w:rsidR="005B7046" w:rsidRPr="005B7046" w:rsidRDefault="005B7046" w:rsidP="005B7046">
      <w:pPr>
        <w:rPr>
          <w:rFonts w:ascii="Arial" w:hAnsi="Arial" w:cs="Arial"/>
          <w:szCs w:val="24"/>
        </w:rPr>
      </w:pPr>
    </w:p>
    <w:p w14:paraId="7283DAB9" w14:textId="77777777" w:rsidR="005B7046" w:rsidRPr="005B7046" w:rsidRDefault="005B7046" w:rsidP="005B7046">
      <w:pPr>
        <w:rPr>
          <w:rFonts w:ascii="Arial" w:hAnsi="Arial" w:cs="Arial"/>
          <w:szCs w:val="24"/>
        </w:rPr>
      </w:pPr>
    </w:p>
    <w:p w14:paraId="6A6E9D21" w14:textId="77777777" w:rsidR="005B7046" w:rsidRPr="005B7046" w:rsidRDefault="005B7046" w:rsidP="005B7046">
      <w:pPr>
        <w:rPr>
          <w:rFonts w:ascii="Arial" w:hAnsi="Arial" w:cs="Arial"/>
          <w:szCs w:val="24"/>
        </w:rPr>
      </w:pPr>
    </w:p>
    <w:p w14:paraId="77028715" w14:textId="77777777" w:rsidR="005B7046" w:rsidRPr="005B7046" w:rsidRDefault="005B7046" w:rsidP="005B7046">
      <w:pPr>
        <w:rPr>
          <w:rFonts w:ascii="Arial" w:hAnsi="Arial" w:cs="Arial"/>
          <w:szCs w:val="24"/>
        </w:rPr>
      </w:pPr>
    </w:p>
    <w:p w14:paraId="5DEA04A5" w14:textId="77777777" w:rsidR="005B7046" w:rsidRPr="005B7046" w:rsidRDefault="005B7046" w:rsidP="005B7046">
      <w:pPr>
        <w:rPr>
          <w:rFonts w:ascii="Arial" w:hAnsi="Arial" w:cs="Arial"/>
          <w:szCs w:val="24"/>
        </w:rPr>
      </w:pPr>
    </w:p>
    <w:p w14:paraId="095CF4F2" w14:textId="77777777" w:rsidR="005B7046" w:rsidRPr="005B7046" w:rsidRDefault="005B7046" w:rsidP="005B7046">
      <w:pPr>
        <w:rPr>
          <w:rFonts w:ascii="Arial" w:hAnsi="Arial" w:cs="Arial"/>
          <w:szCs w:val="24"/>
        </w:rPr>
      </w:pPr>
    </w:p>
    <w:p w14:paraId="44C672FC" w14:textId="77777777" w:rsidR="005B7046" w:rsidRPr="005B7046" w:rsidRDefault="005B7046" w:rsidP="005B7046">
      <w:pPr>
        <w:rPr>
          <w:rFonts w:ascii="Arial" w:hAnsi="Arial" w:cs="Arial"/>
          <w:szCs w:val="24"/>
        </w:rPr>
      </w:pPr>
    </w:p>
    <w:p w14:paraId="11362216" w14:textId="77777777" w:rsidR="005B7046" w:rsidRPr="005B7046" w:rsidRDefault="005B7046" w:rsidP="005B7046">
      <w:pPr>
        <w:rPr>
          <w:rFonts w:ascii="Arial" w:hAnsi="Arial" w:cs="Arial"/>
          <w:szCs w:val="24"/>
        </w:rPr>
      </w:pPr>
    </w:p>
    <w:p w14:paraId="29C1D27D" w14:textId="77777777" w:rsidR="005B7046" w:rsidRPr="005B7046" w:rsidRDefault="005B7046" w:rsidP="005B7046">
      <w:pPr>
        <w:rPr>
          <w:rFonts w:ascii="Arial" w:hAnsi="Arial" w:cs="Arial"/>
          <w:szCs w:val="24"/>
        </w:rPr>
      </w:pPr>
    </w:p>
    <w:p w14:paraId="3438F3AF" w14:textId="77777777" w:rsidR="005B7046" w:rsidRPr="005B7046" w:rsidRDefault="005B7046" w:rsidP="005B7046">
      <w:pPr>
        <w:rPr>
          <w:rFonts w:ascii="Arial" w:hAnsi="Arial" w:cs="Arial"/>
          <w:szCs w:val="24"/>
        </w:rPr>
      </w:pPr>
    </w:p>
    <w:p w14:paraId="1AFCCBB0" w14:textId="77777777" w:rsidR="005B7046" w:rsidRPr="005B7046" w:rsidRDefault="005B7046" w:rsidP="005B7046">
      <w:pPr>
        <w:rPr>
          <w:rFonts w:ascii="Arial" w:hAnsi="Arial" w:cs="Arial"/>
          <w:szCs w:val="24"/>
        </w:rPr>
      </w:pPr>
    </w:p>
    <w:p w14:paraId="0D49F4DF" w14:textId="77777777" w:rsidR="005B7046" w:rsidRPr="005B7046" w:rsidRDefault="005B7046" w:rsidP="005B7046">
      <w:pPr>
        <w:rPr>
          <w:rFonts w:ascii="Arial" w:hAnsi="Arial" w:cs="Arial"/>
          <w:szCs w:val="24"/>
        </w:rPr>
      </w:pPr>
    </w:p>
    <w:p w14:paraId="58AD2E37" w14:textId="6943CC60" w:rsidR="005B7046" w:rsidRDefault="005B7046" w:rsidP="005B7046">
      <w:pPr>
        <w:rPr>
          <w:rFonts w:ascii="Arial" w:hAnsi="Arial" w:cs="Arial"/>
          <w:szCs w:val="24"/>
        </w:rPr>
      </w:pPr>
    </w:p>
    <w:p w14:paraId="30D20ACF" w14:textId="77777777" w:rsidR="005B7046" w:rsidRPr="005B7046" w:rsidRDefault="005B7046" w:rsidP="005B7046">
      <w:pPr>
        <w:rPr>
          <w:rFonts w:ascii="Arial" w:hAnsi="Arial" w:cs="Arial"/>
          <w:szCs w:val="24"/>
        </w:rPr>
      </w:pPr>
    </w:p>
    <w:p w14:paraId="69047602" w14:textId="04F56E76" w:rsidR="005B7046" w:rsidRDefault="005B7046" w:rsidP="005B7046">
      <w:pPr>
        <w:rPr>
          <w:rFonts w:ascii="Arial" w:hAnsi="Arial" w:cs="Arial"/>
          <w:szCs w:val="24"/>
        </w:rPr>
      </w:pPr>
    </w:p>
    <w:p w14:paraId="569B4E60" w14:textId="1F1AAAD8" w:rsidR="005B7046" w:rsidRDefault="005B7046" w:rsidP="005B7046">
      <w:pPr>
        <w:rPr>
          <w:rFonts w:ascii="Arial" w:hAnsi="Arial" w:cs="Arial"/>
          <w:szCs w:val="24"/>
        </w:rPr>
      </w:pPr>
    </w:p>
    <w:p w14:paraId="5D18DE82" w14:textId="1E1D0A5A" w:rsidR="005D76E3" w:rsidRPr="005B7046" w:rsidRDefault="005B7046" w:rsidP="005B7046">
      <w:pPr>
        <w:tabs>
          <w:tab w:val="left" w:pos="1413"/>
        </w:tabs>
        <w:rPr>
          <w:rFonts w:ascii="Arial" w:hAnsi="Arial" w:cs="Arial"/>
          <w:szCs w:val="24"/>
        </w:rPr>
      </w:pPr>
      <w:r>
        <w:rPr>
          <w:rFonts w:ascii="Arial" w:hAnsi="Arial" w:cs="Arial"/>
          <w:szCs w:val="24"/>
        </w:rPr>
        <w:tab/>
      </w:r>
    </w:p>
    <w:sectPr w:rsidR="005D76E3" w:rsidRPr="005B7046" w:rsidSect="00400A3F">
      <w:headerReference w:type="even" r:id="rId14"/>
      <w:headerReference w:type="default" r:id="rId15"/>
      <w:footerReference w:type="even" r:id="rId16"/>
      <w:footerReference w:type="default" r:id="rId17"/>
      <w:headerReference w:type="first" r:id="rId18"/>
      <w:footerReference w:type="first" r:id="rId19"/>
      <w:pgSz w:w="12240" w:h="15840" w:code="1"/>
      <w:pgMar w:top="1417" w:right="1701" w:bottom="1417" w:left="1701" w:header="709" w:footer="709" w:gutter="0"/>
      <w:cols w:space="480"/>
      <w:titlePg/>
      <w:docGrid w:linePitch="360"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2DCB0" w14:textId="77777777" w:rsidR="009B3905" w:rsidRDefault="009B3905" w:rsidP="00AA2DC7">
      <w:r>
        <w:separator/>
      </w:r>
    </w:p>
  </w:endnote>
  <w:endnote w:type="continuationSeparator" w:id="0">
    <w:p w14:paraId="0A4F80AE" w14:textId="77777777" w:rsidR="009B3905" w:rsidRDefault="009B3905" w:rsidP="00AA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timum">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FBD69" w14:textId="77777777" w:rsidR="004F6FEA" w:rsidRDefault="004F6FEA">
    <w:pPr>
      <w:pStyle w:val="Footer"/>
      <w:jc w:val="center"/>
    </w:pPr>
    <w:r>
      <w:fldChar w:fldCharType="begin"/>
    </w:r>
    <w:r>
      <w:instrText xml:space="preserve"> PAGE   \* MERGEFORMAT </w:instrText>
    </w:r>
    <w:r>
      <w:fldChar w:fldCharType="separate"/>
    </w:r>
    <w:r w:rsidR="00C33027">
      <w:rPr>
        <w:noProof/>
      </w:rPr>
      <w:t>2</w:t>
    </w:r>
    <w:r>
      <w:rPr>
        <w:noProof/>
      </w:rPr>
      <w:fldChar w:fldCharType="end"/>
    </w:r>
  </w:p>
  <w:p w14:paraId="31F25B02" w14:textId="77777777" w:rsidR="004F6FEA" w:rsidRDefault="004F6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ABFD7" w14:textId="77777777" w:rsidR="004F6FEA" w:rsidRDefault="004F6FEA">
    <w:pPr>
      <w:pStyle w:val="Footer"/>
      <w:jc w:val="center"/>
    </w:pPr>
    <w:r>
      <w:fldChar w:fldCharType="begin"/>
    </w:r>
    <w:r>
      <w:instrText xml:space="preserve"> PAGE   \* MERGEFORMAT </w:instrText>
    </w:r>
    <w:r>
      <w:fldChar w:fldCharType="separate"/>
    </w:r>
    <w:r w:rsidR="00C33027">
      <w:rPr>
        <w:noProof/>
      </w:rPr>
      <w:t>19</w:t>
    </w:r>
    <w:r>
      <w:rPr>
        <w:noProof/>
      </w:rPr>
      <w:fldChar w:fldCharType="end"/>
    </w:r>
  </w:p>
  <w:p w14:paraId="1C4E825C" w14:textId="77777777" w:rsidR="004F6FEA" w:rsidRDefault="004F6F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0762"/>
      <w:docPartObj>
        <w:docPartGallery w:val="Page Numbers (Bottom of Page)"/>
        <w:docPartUnique/>
      </w:docPartObj>
    </w:sdtPr>
    <w:sdtEndPr/>
    <w:sdtContent>
      <w:p w14:paraId="13EB4D23" w14:textId="6CA9DF9A" w:rsidR="004F6FEA" w:rsidRDefault="004F6FEA">
        <w:pPr>
          <w:pStyle w:val="Footer"/>
          <w:jc w:val="right"/>
        </w:pPr>
        <w:r>
          <w:fldChar w:fldCharType="begin"/>
        </w:r>
        <w:r>
          <w:instrText>PAGE   \* MERGEFORMAT</w:instrText>
        </w:r>
        <w:r>
          <w:fldChar w:fldCharType="separate"/>
        </w:r>
        <w:r w:rsidR="00C33027" w:rsidRPr="00C33027">
          <w:rPr>
            <w:noProof/>
            <w:lang w:val="es-ES"/>
          </w:rPr>
          <w:t>1</w:t>
        </w:r>
        <w:r>
          <w:fldChar w:fldCharType="end"/>
        </w:r>
      </w:p>
    </w:sdtContent>
  </w:sdt>
  <w:p w14:paraId="3DDCB94C" w14:textId="77777777" w:rsidR="004F6FEA" w:rsidRDefault="004F6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F3B01" w14:textId="77777777" w:rsidR="009B3905" w:rsidRDefault="009B3905" w:rsidP="00AA2DC7">
      <w:r>
        <w:separator/>
      </w:r>
    </w:p>
  </w:footnote>
  <w:footnote w:type="continuationSeparator" w:id="0">
    <w:p w14:paraId="1099CC55" w14:textId="77777777" w:rsidR="009B3905" w:rsidRDefault="009B3905" w:rsidP="00AA2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C2482" w14:textId="19F3B949" w:rsidR="00400A3F" w:rsidRDefault="009B3905">
    <w:pPr>
      <w:pStyle w:val="Header"/>
    </w:pPr>
    <w:r>
      <w:rPr>
        <w:noProof/>
      </w:rPr>
      <w:pict w14:anchorId="3CDA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92844" o:spid="_x0000_s2050" type="#_x0000_t136" style="position:absolute;left:0;text-align:left;margin-left:0;margin-top:0;width:560.65pt;height:62.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69BBD" w14:textId="7CF91D2D" w:rsidR="00400A3F" w:rsidRDefault="009B3905">
    <w:pPr>
      <w:pStyle w:val="Header"/>
    </w:pPr>
    <w:r>
      <w:rPr>
        <w:noProof/>
      </w:rPr>
      <w:pict w14:anchorId="7C8E5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92845" o:spid="_x0000_s2051" type="#_x0000_t136" style="position:absolute;left:0;text-align:left;margin-left:0;margin-top:0;width:560.65pt;height:62.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CC16" w14:textId="0FC94E35" w:rsidR="00400A3F" w:rsidRDefault="009B3905">
    <w:pPr>
      <w:pStyle w:val="Header"/>
    </w:pPr>
    <w:r>
      <w:rPr>
        <w:noProof/>
      </w:rPr>
      <w:pict w14:anchorId="5842A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92843" o:spid="_x0000_s2049" type="#_x0000_t136" style="position:absolute;left:0;text-align:left;margin-left:0;margin-top:0;width:560.65pt;height:62.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4887"/>
    <w:multiLevelType w:val="multilevel"/>
    <w:tmpl w:val="B39273E2"/>
    <w:lvl w:ilvl="0">
      <w:start w:val="2"/>
      <w:numFmt w:val="decimal"/>
      <w:lvlText w:val="%1.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52102D"/>
    <w:multiLevelType w:val="multilevel"/>
    <w:tmpl w:val="72C42B24"/>
    <w:lvl w:ilvl="0">
      <w:start w:val="3"/>
      <w:numFmt w:val="decimal"/>
      <w:lvlText w:val="%1.1"/>
      <w:lvlJc w:val="left"/>
      <w:pPr>
        <w:ind w:left="851" w:hanging="494"/>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206AA0"/>
    <w:multiLevelType w:val="multilevel"/>
    <w:tmpl w:val="04FCB738"/>
    <w:styleLink w:val="Estilo2"/>
    <w:lvl w:ilvl="0">
      <w:start w:val="3"/>
      <w:numFmt w:val="decimal"/>
      <w:lvlText w:val="%1.1"/>
      <w:lvlJc w:val="left"/>
      <w:pPr>
        <w:ind w:left="851" w:hanging="494"/>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0339CD"/>
    <w:multiLevelType w:val="multilevel"/>
    <w:tmpl w:val="3BBC150C"/>
    <w:lvl w:ilvl="0">
      <w:start w:val="2"/>
      <w:numFmt w:val="decimal"/>
      <w:lvlText w:val="%1.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1E7B86"/>
    <w:multiLevelType w:val="multilevel"/>
    <w:tmpl w:val="3056D87C"/>
    <w:lvl w:ilvl="0">
      <w:start w:val="3"/>
      <w:numFmt w:val="decimal"/>
      <w:lvlText w:val="%1.1"/>
      <w:lvlJc w:val="left"/>
      <w:pPr>
        <w:ind w:left="851" w:hanging="49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C17252E"/>
    <w:multiLevelType w:val="hybridMultilevel"/>
    <w:tmpl w:val="1DFCD3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380626B"/>
    <w:multiLevelType w:val="multilevel"/>
    <w:tmpl w:val="0A76BFDE"/>
    <w:lvl w:ilvl="0">
      <w:start w:val="3"/>
      <w:numFmt w:val="decimal"/>
      <w:lvlText w:val="%1.1"/>
      <w:lvlJc w:val="left"/>
      <w:pPr>
        <w:ind w:left="851" w:hanging="494"/>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15:restartNumberingAfterBreak="0">
    <w:nsid w:val="3C665A9F"/>
    <w:multiLevelType w:val="multilevel"/>
    <w:tmpl w:val="D4FC59A2"/>
    <w:lvl w:ilvl="0">
      <w:start w:val="2"/>
      <w:numFmt w:val="decimal"/>
      <w:lvlText w:val="%1.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CE315F8"/>
    <w:multiLevelType w:val="multilevel"/>
    <w:tmpl w:val="6C3801D4"/>
    <w:lvl w:ilvl="0">
      <w:start w:val="3"/>
      <w:numFmt w:val="decimal"/>
      <w:lvlText w:val="%1.1"/>
      <w:lvlJc w:val="left"/>
      <w:pPr>
        <w:ind w:left="851" w:hanging="494"/>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BDA1E8C"/>
    <w:multiLevelType w:val="hybridMultilevel"/>
    <w:tmpl w:val="EFD43F70"/>
    <w:lvl w:ilvl="0" w:tplc="3BCC8DFE">
      <w:start w:val="1"/>
      <w:numFmt w:val="decimal"/>
      <w:lvlText w:val="%1."/>
      <w:lvlJc w:val="left"/>
      <w:pPr>
        <w:ind w:left="218"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1" w15:restartNumberingAfterBreak="0">
    <w:nsid w:val="571F186A"/>
    <w:multiLevelType w:val="multilevel"/>
    <w:tmpl w:val="7F30DB00"/>
    <w:styleLink w:val="Estilo1"/>
    <w:lvl w:ilvl="0">
      <w:start w:val="4"/>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A693848"/>
    <w:multiLevelType w:val="multilevel"/>
    <w:tmpl w:val="B5F631BC"/>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2325C55"/>
    <w:multiLevelType w:val="multilevel"/>
    <w:tmpl w:val="32184F70"/>
    <w:lvl w:ilvl="0">
      <w:start w:val="2"/>
      <w:numFmt w:val="decimal"/>
      <w:lvlText w:val="%1.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F8513A0"/>
    <w:multiLevelType w:val="hybridMultilevel"/>
    <w:tmpl w:val="3844D88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7"/>
  </w:num>
  <w:num w:numId="2">
    <w:abstractNumId w:val="10"/>
  </w:num>
  <w:num w:numId="3">
    <w:abstractNumId w:val="14"/>
  </w:num>
  <w:num w:numId="4">
    <w:abstractNumId w:val="12"/>
  </w:num>
  <w:num w:numId="5">
    <w:abstractNumId w:val="11"/>
  </w:num>
  <w:num w:numId="6">
    <w:abstractNumId w:val="3"/>
  </w:num>
  <w:num w:numId="7">
    <w:abstractNumId w:val="0"/>
  </w:num>
  <w:num w:numId="8">
    <w:abstractNumId w:val="13"/>
  </w:num>
  <w:num w:numId="9">
    <w:abstractNumId w:val="8"/>
  </w:num>
  <w:num w:numId="10">
    <w:abstractNumId w:val="6"/>
  </w:num>
  <w:num w:numId="11">
    <w:abstractNumId w:val="2"/>
  </w:num>
  <w:num w:numId="12">
    <w:abstractNumId w:val="1"/>
  </w:num>
  <w:num w:numId="13">
    <w:abstractNumId w:val="4"/>
  </w:num>
  <w:num w:numId="14">
    <w:abstractNumId w:val="9"/>
  </w:num>
  <w:num w:numId="1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evenAndOddHeaders/>
  <w:drawingGridHorizontalSpacing w:val="2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DC7"/>
    <w:rsid w:val="0000046A"/>
    <w:rsid w:val="00004F2D"/>
    <w:rsid w:val="00005486"/>
    <w:rsid w:val="0000594D"/>
    <w:rsid w:val="00006DBD"/>
    <w:rsid w:val="0001042D"/>
    <w:rsid w:val="0001105E"/>
    <w:rsid w:val="0001788E"/>
    <w:rsid w:val="00020893"/>
    <w:rsid w:val="00020B00"/>
    <w:rsid w:val="00023655"/>
    <w:rsid w:val="00026AB6"/>
    <w:rsid w:val="00031427"/>
    <w:rsid w:val="00033C14"/>
    <w:rsid w:val="00033CAC"/>
    <w:rsid w:val="00033F52"/>
    <w:rsid w:val="00034C54"/>
    <w:rsid w:val="0003568F"/>
    <w:rsid w:val="00035E50"/>
    <w:rsid w:val="0003639B"/>
    <w:rsid w:val="000372DE"/>
    <w:rsid w:val="00037A8A"/>
    <w:rsid w:val="00042213"/>
    <w:rsid w:val="0004500F"/>
    <w:rsid w:val="00046763"/>
    <w:rsid w:val="00046A62"/>
    <w:rsid w:val="00047000"/>
    <w:rsid w:val="000476B7"/>
    <w:rsid w:val="00050BAE"/>
    <w:rsid w:val="00052D3B"/>
    <w:rsid w:val="000539C6"/>
    <w:rsid w:val="0005496B"/>
    <w:rsid w:val="000563CA"/>
    <w:rsid w:val="000566A8"/>
    <w:rsid w:val="00065581"/>
    <w:rsid w:val="00066123"/>
    <w:rsid w:val="000716CA"/>
    <w:rsid w:val="0007284C"/>
    <w:rsid w:val="00073DE4"/>
    <w:rsid w:val="00075128"/>
    <w:rsid w:val="000753CF"/>
    <w:rsid w:val="00076B74"/>
    <w:rsid w:val="000803DB"/>
    <w:rsid w:val="00082EFC"/>
    <w:rsid w:val="00084464"/>
    <w:rsid w:val="00086F2B"/>
    <w:rsid w:val="000877FA"/>
    <w:rsid w:val="0009153C"/>
    <w:rsid w:val="00091879"/>
    <w:rsid w:val="000937BC"/>
    <w:rsid w:val="00094C46"/>
    <w:rsid w:val="00095704"/>
    <w:rsid w:val="00096D88"/>
    <w:rsid w:val="000A1FAC"/>
    <w:rsid w:val="000A4256"/>
    <w:rsid w:val="000B22B0"/>
    <w:rsid w:val="000B26F1"/>
    <w:rsid w:val="000B4566"/>
    <w:rsid w:val="000B4CF8"/>
    <w:rsid w:val="000B4D67"/>
    <w:rsid w:val="000B4EE9"/>
    <w:rsid w:val="000B51E8"/>
    <w:rsid w:val="000B6283"/>
    <w:rsid w:val="000C077F"/>
    <w:rsid w:val="000C1829"/>
    <w:rsid w:val="000C293A"/>
    <w:rsid w:val="000C2A2E"/>
    <w:rsid w:val="000C48F0"/>
    <w:rsid w:val="000C5329"/>
    <w:rsid w:val="000D19B4"/>
    <w:rsid w:val="000D2AF8"/>
    <w:rsid w:val="000D363D"/>
    <w:rsid w:val="000D6C3B"/>
    <w:rsid w:val="000D755E"/>
    <w:rsid w:val="000E0867"/>
    <w:rsid w:val="000E1C33"/>
    <w:rsid w:val="000E224A"/>
    <w:rsid w:val="000E43D7"/>
    <w:rsid w:val="000E5C76"/>
    <w:rsid w:val="000E68CE"/>
    <w:rsid w:val="000E7E23"/>
    <w:rsid w:val="000F157D"/>
    <w:rsid w:val="000F3BD5"/>
    <w:rsid w:val="000F65D1"/>
    <w:rsid w:val="000F7FB0"/>
    <w:rsid w:val="00100A6E"/>
    <w:rsid w:val="00100EBF"/>
    <w:rsid w:val="001016B3"/>
    <w:rsid w:val="00101F39"/>
    <w:rsid w:val="00101FEE"/>
    <w:rsid w:val="001023E6"/>
    <w:rsid w:val="00103124"/>
    <w:rsid w:val="001038F8"/>
    <w:rsid w:val="001058B2"/>
    <w:rsid w:val="0010630E"/>
    <w:rsid w:val="0011197E"/>
    <w:rsid w:val="00112961"/>
    <w:rsid w:val="00113BAE"/>
    <w:rsid w:val="001150D5"/>
    <w:rsid w:val="00116DB5"/>
    <w:rsid w:val="00116FD3"/>
    <w:rsid w:val="0012192F"/>
    <w:rsid w:val="00121B31"/>
    <w:rsid w:val="001229C2"/>
    <w:rsid w:val="00122C75"/>
    <w:rsid w:val="0012418F"/>
    <w:rsid w:val="001258D7"/>
    <w:rsid w:val="00125F91"/>
    <w:rsid w:val="001265AE"/>
    <w:rsid w:val="001335A4"/>
    <w:rsid w:val="00133F58"/>
    <w:rsid w:val="001342BB"/>
    <w:rsid w:val="0014538C"/>
    <w:rsid w:val="00146503"/>
    <w:rsid w:val="00146A11"/>
    <w:rsid w:val="00147176"/>
    <w:rsid w:val="00147B6D"/>
    <w:rsid w:val="00147FE1"/>
    <w:rsid w:val="001500E7"/>
    <w:rsid w:val="00152292"/>
    <w:rsid w:val="001523E0"/>
    <w:rsid w:val="00154348"/>
    <w:rsid w:val="00161BEF"/>
    <w:rsid w:val="0016582E"/>
    <w:rsid w:val="00166642"/>
    <w:rsid w:val="0016683A"/>
    <w:rsid w:val="00167877"/>
    <w:rsid w:val="00176A4B"/>
    <w:rsid w:val="00176D80"/>
    <w:rsid w:val="00180F69"/>
    <w:rsid w:val="001816A8"/>
    <w:rsid w:val="00182674"/>
    <w:rsid w:val="0018337B"/>
    <w:rsid w:val="00183435"/>
    <w:rsid w:val="00184109"/>
    <w:rsid w:val="0018451F"/>
    <w:rsid w:val="00184E7A"/>
    <w:rsid w:val="001857DE"/>
    <w:rsid w:val="00186CF2"/>
    <w:rsid w:val="0019169A"/>
    <w:rsid w:val="00192610"/>
    <w:rsid w:val="00192A9E"/>
    <w:rsid w:val="00192B7F"/>
    <w:rsid w:val="0019395D"/>
    <w:rsid w:val="00194A43"/>
    <w:rsid w:val="00194AD8"/>
    <w:rsid w:val="00195A35"/>
    <w:rsid w:val="00195CDE"/>
    <w:rsid w:val="00197258"/>
    <w:rsid w:val="001A260A"/>
    <w:rsid w:val="001A77A6"/>
    <w:rsid w:val="001B07A6"/>
    <w:rsid w:val="001B3080"/>
    <w:rsid w:val="001B54F4"/>
    <w:rsid w:val="001B5903"/>
    <w:rsid w:val="001B73ED"/>
    <w:rsid w:val="001C10EC"/>
    <w:rsid w:val="001C1729"/>
    <w:rsid w:val="001C2162"/>
    <w:rsid w:val="001C2C67"/>
    <w:rsid w:val="001C5BF2"/>
    <w:rsid w:val="001C616E"/>
    <w:rsid w:val="001C635D"/>
    <w:rsid w:val="001C6601"/>
    <w:rsid w:val="001D1FE7"/>
    <w:rsid w:val="001D3272"/>
    <w:rsid w:val="001D35BD"/>
    <w:rsid w:val="001D60DB"/>
    <w:rsid w:val="001D63D6"/>
    <w:rsid w:val="001D7378"/>
    <w:rsid w:val="001E3C43"/>
    <w:rsid w:val="001E4264"/>
    <w:rsid w:val="001E77D4"/>
    <w:rsid w:val="001E7CAD"/>
    <w:rsid w:val="001F0957"/>
    <w:rsid w:val="001F0C68"/>
    <w:rsid w:val="001F1297"/>
    <w:rsid w:val="001F780E"/>
    <w:rsid w:val="002014D2"/>
    <w:rsid w:val="00202373"/>
    <w:rsid w:val="00202BDA"/>
    <w:rsid w:val="0020394A"/>
    <w:rsid w:val="002077DF"/>
    <w:rsid w:val="002109AF"/>
    <w:rsid w:val="00210A24"/>
    <w:rsid w:val="002119B8"/>
    <w:rsid w:val="002133B7"/>
    <w:rsid w:val="0021496A"/>
    <w:rsid w:val="00216448"/>
    <w:rsid w:val="00216BDF"/>
    <w:rsid w:val="00220006"/>
    <w:rsid w:val="00223F51"/>
    <w:rsid w:val="00226236"/>
    <w:rsid w:val="00226D06"/>
    <w:rsid w:val="0023247D"/>
    <w:rsid w:val="00233921"/>
    <w:rsid w:val="00233B25"/>
    <w:rsid w:val="0024283F"/>
    <w:rsid w:val="0024343D"/>
    <w:rsid w:val="002449AD"/>
    <w:rsid w:val="00246CC8"/>
    <w:rsid w:val="002478DA"/>
    <w:rsid w:val="00250FF7"/>
    <w:rsid w:val="00251472"/>
    <w:rsid w:val="0025175B"/>
    <w:rsid w:val="00252616"/>
    <w:rsid w:val="00254465"/>
    <w:rsid w:val="00255BE8"/>
    <w:rsid w:val="00255E94"/>
    <w:rsid w:val="0025733D"/>
    <w:rsid w:val="00257516"/>
    <w:rsid w:val="00260856"/>
    <w:rsid w:val="00261E25"/>
    <w:rsid w:val="00263BAB"/>
    <w:rsid w:val="002644FF"/>
    <w:rsid w:val="00266716"/>
    <w:rsid w:val="002671C8"/>
    <w:rsid w:val="002675ED"/>
    <w:rsid w:val="00270BD1"/>
    <w:rsid w:val="00274700"/>
    <w:rsid w:val="0027489D"/>
    <w:rsid w:val="00275223"/>
    <w:rsid w:val="00277235"/>
    <w:rsid w:val="002818BA"/>
    <w:rsid w:val="002840D0"/>
    <w:rsid w:val="0028436A"/>
    <w:rsid w:val="002879AF"/>
    <w:rsid w:val="00287A69"/>
    <w:rsid w:val="00287BA8"/>
    <w:rsid w:val="00290418"/>
    <w:rsid w:val="00291158"/>
    <w:rsid w:val="0029454E"/>
    <w:rsid w:val="00295E3C"/>
    <w:rsid w:val="0029608E"/>
    <w:rsid w:val="00297CE4"/>
    <w:rsid w:val="00297E75"/>
    <w:rsid w:val="002A0254"/>
    <w:rsid w:val="002A05F8"/>
    <w:rsid w:val="002A08CB"/>
    <w:rsid w:val="002A1033"/>
    <w:rsid w:val="002A596B"/>
    <w:rsid w:val="002A5E55"/>
    <w:rsid w:val="002A5E62"/>
    <w:rsid w:val="002B23B1"/>
    <w:rsid w:val="002B251A"/>
    <w:rsid w:val="002B4242"/>
    <w:rsid w:val="002B52E2"/>
    <w:rsid w:val="002B54A8"/>
    <w:rsid w:val="002B5A91"/>
    <w:rsid w:val="002C08A0"/>
    <w:rsid w:val="002C174F"/>
    <w:rsid w:val="002C2DBA"/>
    <w:rsid w:val="002C4A39"/>
    <w:rsid w:val="002C6210"/>
    <w:rsid w:val="002C6830"/>
    <w:rsid w:val="002D009C"/>
    <w:rsid w:val="002D0A74"/>
    <w:rsid w:val="002D107C"/>
    <w:rsid w:val="002D10F0"/>
    <w:rsid w:val="002D113A"/>
    <w:rsid w:val="002D3C67"/>
    <w:rsid w:val="002D5BF7"/>
    <w:rsid w:val="002D71E0"/>
    <w:rsid w:val="002E0160"/>
    <w:rsid w:val="002E02F5"/>
    <w:rsid w:val="002E5841"/>
    <w:rsid w:val="002E5B2B"/>
    <w:rsid w:val="002F52C2"/>
    <w:rsid w:val="002F68BE"/>
    <w:rsid w:val="003011BB"/>
    <w:rsid w:val="00301570"/>
    <w:rsid w:val="003015ED"/>
    <w:rsid w:val="003016E9"/>
    <w:rsid w:val="00304325"/>
    <w:rsid w:val="003044FF"/>
    <w:rsid w:val="00304714"/>
    <w:rsid w:val="00310EAE"/>
    <w:rsid w:val="00311A7B"/>
    <w:rsid w:val="0031236D"/>
    <w:rsid w:val="0031437D"/>
    <w:rsid w:val="00315C5C"/>
    <w:rsid w:val="003201AE"/>
    <w:rsid w:val="00321A3C"/>
    <w:rsid w:val="00324980"/>
    <w:rsid w:val="00326054"/>
    <w:rsid w:val="003269CC"/>
    <w:rsid w:val="00327D22"/>
    <w:rsid w:val="003300BA"/>
    <w:rsid w:val="00331EB6"/>
    <w:rsid w:val="003324D6"/>
    <w:rsid w:val="0033443B"/>
    <w:rsid w:val="003368D4"/>
    <w:rsid w:val="00337186"/>
    <w:rsid w:val="0034075D"/>
    <w:rsid w:val="00340D19"/>
    <w:rsid w:val="00343E44"/>
    <w:rsid w:val="00345326"/>
    <w:rsid w:val="0034586D"/>
    <w:rsid w:val="003460CC"/>
    <w:rsid w:val="003468D4"/>
    <w:rsid w:val="00351381"/>
    <w:rsid w:val="00352AAD"/>
    <w:rsid w:val="00355F60"/>
    <w:rsid w:val="00360851"/>
    <w:rsid w:val="00361150"/>
    <w:rsid w:val="00361687"/>
    <w:rsid w:val="00364653"/>
    <w:rsid w:val="0036614E"/>
    <w:rsid w:val="003663D6"/>
    <w:rsid w:val="00370587"/>
    <w:rsid w:val="00371DF1"/>
    <w:rsid w:val="00372059"/>
    <w:rsid w:val="00372FC5"/>
    <w:rsid w:val="00373B12"/>
    <w:rsid w:val="00377EA0"/>
    <w:rsid w:val="00382984"/>
    <w:rsid w:val="003841D9"/>
    <w:rsid w:val="00385364"/>
    <w:rsid w:val="0038538A"/>
    <w:rsid w:val="00391985"/>
    <w:rsid w:val="00391DA3"/>
    <w:rsid w:val="00392AA7"/>
    <w:rsid w:val="00393241"/>
    <w:rsid w:val="00395A8B"/>
    <w:rsid w:val="003A332F"/>
    <w:rsid w:val="003A3708"/>
    <w:rsid w:val="003A494F"/>
    <w:rsid w:val="003A6ED6"/>
    <w:rsid w:val="003B0704"/>
    <w:rsid w:val="003B07D9"/>
    <w:rsid w:val="003B0F50"/>
    <w:rsid w:val="003B1196"/>
    <w:rsid w:val="003B1DC1"/>
    <w:rsid w:val="003B2D2A"/>
    <w:rsid w:val="003B2F00"/>
    <w:rsid w:val="003B3392"/>
    <w:rsid w:val="003B47CD"/>
    <w:rsid w:val="003B5D76"/>
    <w:rsid w:val="003B5F69"/>
    <w:rsid w:val="003B63A0"/>
    <w:rsid w:val="003B6B3B"/>
    <w:rsid w:val="003B78D2"/>
    <w:rsid w:val="003C196C"/>
    <w:rsid w:val="003C372F"/>
    <w:rsid w:val="003C3C5D"/>
    <w:rsid w:val="003C3F05"/>
    <w:rsid w:val="003D0A36"/>
    <w:rsid w:val="003D148B"/>
    <w:rsid w:val="003D14D0"/>
    <w:rsid w:val="003D15F7"/>
    <w:rsid w:val="003D1EA2"/>
    <w:rsid w:val="003D352F"/>
    <w:rsid w:val="003D444B"/>
    <w:rsid w:val="003D4D61"/>
    <w:rsid w:val="003D7AB1"/>
    <w:rsid w:val="003E391B"/>
    <w:rsid w:val="003E53CD"/>
    <w:rsid w:val="003E6626"/>
    <w:rsid w:val="003F0884"/>
    <w:rsid w:val="003F239D"/>
    <w:rsid w:val="00400A3F"/>
    <w:rsid w:val="00401524"/>
    <w:rsid w:val="004044C7"/>
    <w:rsid w:val="00405AB3"/>
    <w:rsid w:val="00411CBB"/>
    <w:rsid w:val="004157AA"/>
    <w:rsid w:val="004169D4"/>
    <w:rsid w:val="004208D3"/>
    <w:rsid w:val="0042127B"/>
    <w:rsid w:val="004233E7"/>
    <w:rsid w:val="00424895"/>
    <w:rsid w:val="004251AF"/>
    <w:rsid w:val="00425832"/>
    <w:rsid w:val="00426A57"/>
    <w:rsid w:val="00426C54"/>
    <w:rsid w:val="00427463"/>
    <w:rsid w:val="00427D3C"/>
    <w:rsid w:val="004333CB"/>
    <w:rsid w:val="004338D2"/>
    <w:rsid w:val="00437332"/>
    <w:rsid w:val="0043793E"/>
    <w:rsid w:val="0044269B"/>
    <w:rsid w:val="00443F6C"/>
    <w:rsid w:val="00447999"/>
    <w:rsid w:val="004500A8"/>
    <w:rsid w:val="00456B13"/>
    <w:rsid w:val="00456B50"/>
    <w:rsid w:val="00457BB8"/>
    <w:rsid w:val="004605B2"/>
    <w:rsid w:val="00460A41"/>
    <w:rsid w:val="00460E25"/>
    <w:rsid w:val="0046246A"/>
    <w:rsid w:val="004627D6"/>
    <w:rsid w:val="0046335B"/>
    <w:rsid w:val="00464360"/>
    <w:rsid w:val="00465254"/>
    <w:rsid w:val="00465484"/>
    <w:rsid w:val="00465D0B"/>
    <w:rsid w:val="004662F3"/>
    <w:rsid w:val="00476111"/>
    <w:rsid w:val="00477AA8"/>
    <w:rsid w:val="004806BF"/>
    <w:rsid w:val="00481878"/>
    <w:rsid w:val="004834FE"/>
    <w:rsid w:val="00484BB5"/>
    <w:rsid w:val="00486A40"/>
    <w:rsid w:val="00487A53"/>
    <w:rsid w:val="004906A8"/>
    <w:rsid w:val="004920DC"/>
    <w:rsid w:val="00494673"/>
    <w:rsid w:val="004949FA"/>
    <w:rsid w:val="00495279"/>
    <w:rsid w:val="00495870"/>
    <w:rsid w:val="00496735"/>
    <w:rsid w:val="004968CA"/>
    <w:rsid w:val="004A04CC"/>
    <w:rsid w:val="004A1CBD"/>
    <w:rsid w:val="004A4383"/>
    <w:rsid w:val="004A4473"/>
    <w:rsid w:val="004A7027"/>
    <w:rsid w:val="004A771F"/>
    <w:rsid w:val="004B2154"/>
    <w:rsid w:val="004B22D2"/>
    <w:rsid w:val="004B2627"/>
    <w:rsid w:val="004B2B36"/>
    <w:rsid w:val="004B32C2"/>
    <w:rsid w:val="004B47E2"/>
    <w:rsid w:val="004C1A33"/>
    <w:rsid w:val="004C2478"/>
    <w:rsid w:val="004C3583"/>
    <w:rsid w:val="004C3F35"/>
    <w:rsid w:val="004C4DD7"/>
    <w:rsid w:val="004C580D"/>
    <w:rsid w:val="004C58E9"/>
    <w:rsid w:val="004C5B16"/>
    <w:rsid w:val="004C5E75"/>
    <w:rsid w:val="004C5F27"/>
    <w:rsid w:val="004C6CA6"/>
    <w:rsid w:val="004D2B3D"/>
    <w:rsid w:val="004D517B"/>
    <w:rsid w:val="004D5993"/>
    <w:rsid w:val="004D6549"/>
    <w:rsid w:val="004E1049"/>
    <w:rsid w:val="004E1DFD"/>
    <w:rsid w:val="004E2138"/>
    <w:rsid w:val="004E509C"/>
    <w:rsid w:val="004E52FD"/>
    <w:rsid w:val="004E5785"/>
    <w:rsid w:val="004E62EF"/>
    <w:rsid w:val="004E6945"/>
    <w:rsid w:val="004F0F58"/>
    <w:rsid w:val="004F116E"/>
    <w:rsid w:val="004F2034"/>
    <w:rsid w:val="004F43D8"/>
    <w:rsid w:val="004F6A6A"/>
    <w:rsid w:val="004F6FEA"/>
    <w:rsid w:val="004F74DB"/>
    <w:rsid w:val="0050040B"/>
    <w:rsid w:val="00500F1F"/>
    <w:rsid w:val="0050215E"/>
    <w:rsid w:val="0050288D"/>
    <w:rsid w:val="00505BEE"/>
    <w:rsid w:val="0051403A"/>
    <w:rsid w:val="0051530E"/>
    <w:rsid w:val="00520614"/>
    <w:rsid w:val="00526D34"/>
    <w:rsid w:val="005274F6"/>
    <w:rsid w:val="00531123"/>
    <w:rsid w:val="00532A38"/>
    <w:rsid w:val="0053437F"/>
    <w:rsid w:val="00534F34"/>
    <w:rsid w:val="00535857"/>
    <w:rsid w:val="00535B56"/>
    <w:rsid w:val="0054026A"/>
    <w:rsid w:val="005403F3"/>
    <w:rsid w:val="00544973"/>
    <w:rsid w:val="00544A0D"/>
    <w:rsid w:val="00545DEA"/>
    <w:rsid w:val="005470AB"/>
    <w:rsid w:val="005523DD"/>
    <w:rsid w:val="00552A66"/>
    <w:rsid w:val="00552C14"/>
    <w:rsid w:val="00553572"/>
    <w:rsid w:val="0055387F"/>
    <w:rsid w:val="00553FE8"/>
    <w:rsid w:val="00554E21"/>
    <w:rsid w:val="00557CE8"/>
    <w:rsid w:val="0056130C"/>
    <w:rsid w:val="005614E1"/>
    <w:rsid w:val="00561597"/>
    <w:rsid w:val="00562557"/>
    <w:rsid w:val="00563015"/>
    <w:rsid w:val="0056384F"/>
    <w:rsid w:val="00563AC0"/>
    <w:rsid w:val="00563CDA"/>
    <w:rsid w:val="00563CE8"/>
    <w:rsid w:val="005672BB"/>
    <w:rsid w:val="00570CDA"/>
    <w:rsid w:val="005722D1"/>
    <w:rsid w:val="005723F2"/>
    <w:rsid w:val="00573DCC"/>
    <w:rsid w:val="00574E2A"/>
    <w:rsid w:val="0058230B"/>
    <w:rsid w:val="0058289B"/>
    <w:rsid w:val="005845CD"/>
    <w:rsid w:val="0058478C"/>
    <w:rsid w:val="00590679"/>
    <w:rsid w:val="00591406"/>
    <w:rsid w:val="00597260"/>
    <w:rsid w:val="00597AA6"/>
    <w:rsid w:val="005A04C4"/>
    <w:rsid w:val="005A0EB7"/>
    <w:rsid w:val="005A155D"/>
    <w:rsid w:val="005A26ED"/>
    <w:rsid w:val="005A5D87"/>
    <w:rsid w:val="005A6B98"/>
    <w:rsid w:val="005A7262"/>
    <w:rsid w:val="005A7C63"/>
    <w:rsid w:val="005B48DD"/>
    <w:rsid w:val="005B4CDC"/>
    <w:rsid w:val="005B7046"/>
    <w:rsid w:val="005C03B2"/>
    <w:rsid w:val="005C041F"/>
    <w:rsid w:val="005C17BF"/>
    <w:rsid w:val="005C1D05"/>
    <w:rsid w:val="005C2680"/>
    <w:rsid w:val="005C38BE"/>
    <w:rsid w:val="005C3C55"/>
    <w:rsid w:val="005C4A07"/>
    <w:rsid w:val="005C5138"/>
    <w:rsid w:val="005D108C"/>
    <w:rsid w:val="005D1FD4"/>
    <w:rsid w:val="005D7406"/>
    <w:rsid w:val="005D75A2"/>
    <w:rsid w:val="005D76E3"/>
    <w:rsid w:val="005E0A3B"/>
    <w:rsid w:val="005E2063"/>
    <w:rsid w:val="005E3A77"/>
    <w:rsid w:val="005E5BC1"/>
    <w:rsid w:val="005F0601"/>
    <w:rsid w:val="005F0A8D"/>
    <w:rsid w:val="005F6BA0"/>
    <w:rsid w:val="00601BB4"/>
    <w:rsid w:val="0060371A"/>
    <w:rsid w:val="00610172"/>
    <w:rsid w:val="006103CF"/>
    <w:rsid w:val="006113E4"/>
    <w:rsid w:val="00613DCE"/>
    <w:rsid w:val="00614538"/>
    <w:rsid w:val="006206B9"/>
    <w:rsid w:val="00620DDD"/>
    <w:rsid w:val="00620E89"/>
    <w:rsid w:val="00622028"/>
    <w:rsid w:val="00631C7A"/>
    <w:rsid w:val="006331F5"/>
    <w:rsid w:val="00633B38"/>
    <w:rsid w:val="00637710"/>
    <w:rsid w:val="00643B43"/>
    <w:rsid w:val="00645FAD"/>
    <w:rsid w:val="00646580"/>
    <w:rsid w:val="00647121"/>
    <w:rsid w:val="0065167A"/>
    <w:rsid w:val="00652767"/>
    <w:rsid w:val="00652CA7"/>
    <w:rsid w:val="00653C63"/>
    <w:rsid w:val="00656C5E"/>
    <w:rsid w:val="006652BE"/>
    <w:rsid w:val="00665940"/>
    <w:rsid w:val="00667C75"/>
    <w:rsid w:val="00671CBE"/>
    <w:rsid w:val="00673ADB"/>
    <w:rsid w:val="00673EB5"/>
    <w:rsid w:val="00682ABA"/>
    <w:rsid w:val="00690568"/>
    <w:rsid w:val="00691742"/>
    <w:rsid w:val="006934AB"/>
    <w:rsid w:val="00694AF0"/>
    <w:rsid w:val="00694EFF"/>
    <w:rsid w:val="0069530E"/>
    <w:rsid w:val="006A2045"/>
    <w:rsid w:val="006A2185"/>
    <w:rsid w:val="006A2199"/>
    <w:rsid w:val="006A2641"/>
    <w:rsid w:val="006A28D8"/>
    <w:rsid w:val="006A2B9F"/>
    <w:rsid w:val="006A38CB"/>
    <w:rsid w:val="006A47F7"/>
    <w:rsid w:val="006A67BE"/>
    <w:rsid w:val="006A696F"/>
    <w:rsid w:val="006A69DE"/>
    <w:rsid w:val="006B117F"/>
    <w:rsid w:val="006B38F0"/>
    <w:rsid w:val="006B4CF0"/>
    <w:rsid w:val="006B5446"/>
    <w:rsid w:val="006B69A9"/>
    <w:rsid w:val="006B72BB"/>
    <w:rsid w:val="006B775B"/>
    <w:rsid w:val="006C0B04"/>
    <w:rsid w:val="006C2790"/>
    <w:rsid w:val="006C2CDD"/>
    <w:rsid w:val="006C43E3"/>
    <w:rsid w:val="006C59B9"/>
    <w:rsid w:val="006C7825"/>
    <w:rsid w:val="006D21E3"/>
    <w:rsid w:val="006D4231"/>
    <w:rsid w:val="006D453A"/>
    <w:rsid w:val="006D4F12"/>
    <w:rsid w:val="006D5358"/>
    <w:rsid w:val="006D786D"/>
    <w:rsid w:val="006E0AC5"/>
    <w:rsid w:val="006E1398"/>
    <w:rsid w:val="006E292B"/>
    <w:rsid w:val="006E2EC1"/>
    <w:rsid w:val="006E369A"/>
    <w:rsid w:val="006E5B2D"/>
    <w:rsid w:val="006F0427"/>
    <w:rsid w:val="006F07A8"/>
    <w:rsid w:val="006F26DD"/>
    <w:rsid w:val="006F29F7"/>
    <w:rsid w:val="006F38E3"/>
    <w:rsid w:val="006F39D1"/>
    <w:rsid w:val="006F50DF"/>
    <w:rsid w:val="006F5A13"/>
    <w:rsid w:val="006F61F2"/>
    <w:rsid w:val="006F731F"/>
    <w:rsid w:val="006F751E"/>
    <w:rsid w:val="0070028B"/>
    <w:rsid w:val="0070388B"/>
    <w:rsid w:val="0070491B"/>
    <w:rsid w:val="0070631E"/>
    <w:rsid w:val="00706F8E"/>
    <w:rsid w:val="007105AB"/>
    <w:rsid w:val="0071078B"/>
    <w:rsid w:val="00715FA8"/>
    <w:rsid w:val="007165B5"/>
    <w:rsid w:val="007172C1"/>
    <w:rsid w:val="00717943"/>
    <w:rsid w:val="00720367"/>
    <w:rsid w:val="0072314A"/>
    <w:rsid w:val="00723A55"/>
    <w:rsid w:val="007258C8"/>
    <w:rsid w:val="00725F56"/>
    <w:rsid w:val="0072705A"/>
    <w:rsid w:val="00731DC0"/>
    <w:rsid w:val="0073589E"/>
    <w:rsid w:val="00736287"/>
    <w:rsid w:val="007401B1"/>
    <w:rsid w:val="007425DA"/>
    <w:rsid w:val="00742995"/>
    <w:rsid w:val="00743A47"/>
    <w:rsid w:val="00744E8C"/>
    <w:rsid w:val="00745E2E"/>
    <w:rsid w:val="0075074A"/>
    <w:rsid w:val="00750FDD"/>
    <w:rsid w:val="007547B5"/>
    <w:rsid w:val="0075512B"/>
    <w:rsid w:val="00760E5C"/>
    <w:rsid w:val="00763262"/>
    <w:rsid w:val="00763DBC"/>
    <w:rsid w:val="00765517"/>
    <w:rsid w:val="00775816"/>
    <w:rsid w:val="00780B90"/>
    <w:rsid w:val="00780D88"/>
    <w:rsid w:val="00783834"/>
    <w:rsid w:val="00792905"/>
    <w:rsid w:val="007935B6"/>
    <w:rsid w:val="00793BC7"/>
    <w:rsid w:val="00794633"/>
    <w:rsid w:val="007949D7"/>
    <w:rsid w:val="007A05EA"/>
    <w:rsid w:val="007A5355"/>
    <w:rsid w:val="007A573E"/>
    <w:rsid w:val="007A644D"/>
    <w:rsid w:val="007B14EE"/>
    <w:rsid w:val="007B2C68"/>
    <w:rsid w:val="007B3554"/>
    <w:rsid w:val="007B3E03"/>
    <w:rsid w:val="007B4AE3"/>
    <w:rsid w:val="007B6378"/>
    <w:rsid w:val="007C02CB"/>
    <w:rsid w:val="007C0FC0"/>
    <w:rsid w:val="007C4D38"/>
    <w:rsid w:val="007C5638"/>
    <w:rsid w:val="007C79E3"/>
    <w:rsid w:val="007D05F8"/>
    <w:rsid w:val="007D1F3F"/>
    <w:rsid w:val="007D7EE7"/>
    <w:rsid w:val="007E08F8"/>
    <w:rsid w:val="007E2384"/>
    <w:rsid w:val="007E437A"/>
    <w:rsid w:val="007E59C2"/>
    <w:rsid w:val="007E5B2C"/>
    <w:rsid w:val="007E69B5"/>
    <w:rsid w:val="007E72F1"/>
    <w:rsid w:val="007E72F7"/>
    <w:rsid w:val="007E7B35"/>
    <w:rsid w:val="007E7C32"/>
    <w:rsid w:val="007F01DB"/>
    <w:rsid w:val="007F1A61"/>
    <w:rsid w:val="007F37F2"/>
    <w:rsid w:val="007F38DB"/>
    <w:rsid w:val="007F3B00"/>
    <w:rsid w:val="007F49ED"/>
    <w:rsid w:val="007F5320"/>
    <w:rsid w:val="007F670C"/>
    <w:rsid w:val="008003BA"/>
    <w:rsid w:val="008028E2"/>
    <w:rsid w:val="00803686"/>
    <w:rsid w:val="00804643"/>
    <w:rsid w:val="0080484E"/>
    <w:rsid w:val="008053EA"/>
    <w:rsid w:val="00816EAC"/>
    <w:rsid w:val="00821026"/>
    <w:rsid w:val="00823D84"/>
    <w:rsid w:val="00824286"/>
    <w:rsid w:val="00824DAE"/>
    <w:rsid w:val="00825180"/>
    <w:rsid w:val="00827F4C"/>
    <w:rsid w:val="0083092D"/>
    <w:rsid w:val="008309E2"/>
    <w:rsid w:val="00831061"/>
    <w:rsid w:val="008322BF"/>
    <w:rsid w:val="008325DC"/>
    <w:rsid w:val="00832694"/>
    <w:rsid w:val="00832C4A"/>
    <w:rsid w:val="0083397B"/>
    <w:rsid w:val="00833EC6"/>
    <w:rsid w:val="008340B4"/>
    <w:rsid w:val="00835D08"/>
    <w:rsid w:val="00836441"/>
    <w:rsid w:val="00837461"/>
    <w:rsid w:val="008411B3"/>
    <w:rsid w:val="00843318"/>
    <w:rsid w:val="0084406E"/>
    <w:rsid w:val="008453F4"/>
    <w:rsid w:val="0084721F"/>
    <w:rsid w:val="00847B09"/>
    <w:rsid w:val="00847E2C"/>
    <w:rsid w:val="00853C47"/>
    <w:rsid w:val="00855D1B"/>
    <w:rsid w:val="00857698"/>
    <w:rsid w:val="0086385C"/>
    <w:rsid w:val="00864DA9"/>
    <w:rsid w:val="008709ED"/>
    <w:rsid w:val="00870AB3"/>
    <w:rsid w:val="00874243"/>
    <w:rsid w:val="00876206"/>
    <w:rsid w:val="00880688"/>
    <w:rsid w:val="00880AC9"/>
    <w:rsid w:val="00881331"/>
    <w:rsid w:val="00882CDC"/>
    <w:rsid w:val="0088461E"/>
    <w:rsid w:val="00885D40"/>
    <w:rsid w:val="00885D60"/>
    <w:rsid w:val="00886EA1"/>
    <w:rsid w:val="00891679"/>
    <w:rsid w:val="008923FB"/>
    <w:rsid w:val="008932C1"/>
    <w:rsid w:val="008951A8"/>
    <w:rsid w:val="0089634B"/>
    <w:rsid w:val="00896628"/>
    <w:rsid w:val="008A0498"/>
    <w:rsid w:val="008A08A7"/>
    <w:rsid w:val="008A24CD"/>
    <w:rsid w:val="008A5254"/>
    <w:rsid w:val="008A5E10"/>
    <w:rsid w:val="008B4F79"/>
    <w:rsid w:val="008B7138"/>
    <w:rsid w:val="008C3505"/>
    <w:rsid w:val="008C5F36"/>
    <w:rsid w:val="008C70F6"/>
    <w:rsid w:val="008D2339"/>
    <w:rsid w:val="008D2468"/>
    <w:rsid w:val="008D2BB1"/>
    <w:rsid w:val="008D4712"/>
    <w:rsid w:val="008D4C8B"/>
    <w:rsid w:val="008D4F56"/>
    <w:rsid w:val="008D532A"/>
    <w:rsid w:val="008D55C8"/>
    <w:rsid w:val="008D603D"/>
    <w:rsid w:val="008D6245"/>
    <w:rsid w:val="008D6C1A"/>
    <w:rsid w:val="008E1699"/>
    <w:rsid w:val="008E3FF0"/>
    <w:rsid w:val="008E5A37"/>
    <w:rsid w:val="008E7DBC"/>
    <w:rsid w:val="008F00B2"/>
    <w:rsid w:val="008F0118"/>
    <w:rsid w:val="008F072D"/>
    <w:rsid w:val="008F1E22"/>
    <w:rsid w:val="008F23E4"/>
    <w:rsid w:val="008F2E56"/>
    <w:rsid w:val="008F3E58"/>
    <w:rsid w:val="008F4887"/>
    <w:rsid w:val="008F4E6A"/>
    <w:rsid w:val="008F514B"/>
    <w:rsid w:val="008F5EAB"/>
    <w:rsid w:val="008F71B2"/>
    <w:rsid w:val="00900A25"/>
    <w:rsid w:val="00900D43"/>
    <w:rsid w:val="009013DC"/>
    <w:rsid w:val="00905D00"/>
    <w:rsid w:val="009063E9"/>
    <w:rsid w:val="0091010F"/>
    <w:rsid w:val="009119C9"/>
    <w:rsid w:val="0091388A"/>
    <w:rsid w:val="00920974"/>
    <w:rsid w:val="00921A82"/>
    <w:rsid w:val="00922949"/>
    <w:rsid w:val="00922A4E"/>
    <w:rsid w:val="0092349E"/>
    <w:rsid w:val="00924CE9"/>
    <w:rsid w:val="009258C0"/>
    <w:rsid w:val="00927453"/>
    <w:rsid w:val="00927FC1"/>
    <w:rsid w:val="00930A5A"/>
    <w:rsid w:val="00931617"/>
    <w:rsid w:val="009337A6"/>
    <w:rsid w:val="009342F7"/>
    <w:rsid w:val="009357A3"/>
    <w:rsid w:val="00936E4A"/>
    <w:rsid w:val="00940069"/>
    <w:rsid w:val="00942F7D"/>
    <w:rsid w:val="009470C2"/>
    <w:rsid w:val="00947F37"/>
    <w:rsid w:val="00950904"/>
    <w:rsid w:val="0095287A"/>
    <w:rsid w:val="00953BEB"/>
    <w:rsid w:val="00953FA7"/>
    <w:rsid w:val="00957465"/>
    <w:rsid w:val="00957B52"/>
    <w:rsid w:val="00961232"/>
    <w:rsid w:val="00963701"/>
    <w:rsid w:val="0096485B"/>
    <w:rsid w:val="0096541D"/>
    <w:rsid w:val="00965F45"/>
    <w:rsid w:val="00966AA0"/>
    <w:rsid w:val="00967264"/>
    <w:rsid w:val="00967E35"/>
    <w:rsid w:val="0097004E"/>
    <w:rsid w:val="0097048E"/>
    <w:rsid w:val="009732E3"/>
    <w:rsid w:val="00974A17"/>
    <w:rsid w:val="00974DED"/>
    <w:rsid w:val="009754D5"/>
    <w:rsid w:val="009776E3"/>
    <w:rsid w:val="00977F2E"/>
    <w:rsid w:val="009828C7"/>
    <w:rsid w:val="009846DA"/>
    <w:rsid w:val="00985909"/>
    <w:rsid w:val="00986387"/>
    <w:rsid w:val="00990AC3"/>
    <w:rsid w:val="009912B3"/>
    <w:rsid w:val="009914E3"/>
    <w:rsid w:val="00992FBB"/>
    <w:rsid w:val="0099550F"/>
    <w:rsid w:val="009A2AE2"/>
    <w:rsid w:val="009A5229"/>
    <w:rsid w:val="009B026D"/>
    <w:rsid w:val="009B187F"/>
    <w:rsid w:val="009B3905"/>
    <w:rsid w:val="009B6394"/>
    <w:rsid w:val="009B6CC2"/>
    <w:rsid w:val="009C030E"/>
    <w:rsid w:val="009C19DF"/>
    <w:rsid w:val="009C1B9F"/>
    <w:rsid w:val="009C2404"/>
    <w:rsid w:val="009C290E"/>
    <w:rsid w:val="009C2CBE"/>
    <w:rsid w:val="009C3298"/>
    <w:rsid w:val="009C478C"/>
    <w:rsid w:val="009C4B68"/>
    <w:rsid w:val="009C558C"/>
    <w:rsid w:val="009D7376"/>
    <w:rsid w:val="009D7CCB"/>
    <w:rsid w:val="009E026A"/>
    <w:rsid w:val="009E0951"/>
    <w:rsid w:val="009E0BE4"/>
    <w:rsid w:val="009E4347"/>
    <w:rsid w:val="009E4F68"/>
    <w:rsid w:val="009E5121"/>
    <w:rsid w:val="009E7A33"/>
    <w:rsid w:val="009E7FE1"/>
    <w:rsid w:val="009F06CD"/>
    <w:rsid w:val="009F224E"/>
    <w:rsid w:val="009F5660"/>
    <w:rsid w:val="009F5733"/>
    <w:rsid w:val="009F5ADA"/>
    <w:rsid w:val="009F5CCD"/>
    <w:rsid w:val="009F6284"/>
    <w:rsid w:val="009F6656"/>
    <w:rsid w:val="009F71B1"/>
    <w:rsid w:val="009F7753"/>
    <w:rsid w:val="00A01BDB"/>
    <w:rsid w:val="00A02F26"/>
    <w:rsid w:val="00A04131"/>
    <w:rsid w:val="00A04CEF"/>
    <w:rsid w:val="00A04E58"/>
    <w:rsid w:val="00A055A8"/>
    <w:rsid w:val="00A11175"/>
    <w:rsid w:val="00A13D3B"/>
    <w:rsid w:val="00A14435"/>
    <w:rsid w:val="00A14C7A"/>
    <w:rsid w:val="00A15CD8"/>
    <w:rsid w:val="00A201F4"/>
    <w:rsid w:val="00A20439"/>
    <w:rsid w:val="00A209CE"/>
    <w:rsid w:val="00A20B48"/>
    <w:rsid w:val="00A2155D"/>
    <w:rsid w:val="00A265B7"/>
    <w:rsid w:val="00A26F13"/>
    <w:rsid w:val="00A2792B"/>
    <w:rsid w:val="00A3040C"/>
    <w:rsid w:val="00A339BF"/>
    <w:rsid w:val="00A35A44"/>
    <w:rsid w:val="00A361C4"/>
    <w:rsid w:val="00A37081"/>
    <w:rsid w:val="00A3733F"/>
    <w:rsid w:val="00A42696"/>
    <w:rsid w:val="00A43F8D"/>
    <w:rsid w:val="00A449E4"/>
    <w:rsid w:val="00A477E3"/>
    <w:rsid w:val="00A505A6"/>
    <w:rsid w:val="00A5532D"/>
    <w:rsid w:val="00A55808"/>
    <w:rsid w:val="00A57AA0"/>
    <w:rsid w:val="00A65601"/>
    <w:rsid w:val="00A67377"/>
    <w:rsid w:val="00A72550"/>
    <w:rsid w:val="00A73005"/>
    <w:rsid w:val="00A73FC2"/>
    <w:rsid w:val="00A740F4"/>
    <w:rsid w:val="00A74FD6"/>
    <w:rsid w:val="00A8087E"/>
    <w:rsid w:val="00A80CEA"/>
    <w:rsid w:val="00A8263B"/>
    <w:rsid w:val="00A84FC0"/>
    <w:rsid w:val="00A855B6"/>
    <w:rsid w:val="00A85CA3"/>
    <w:rsid w:val="00A86541"/>
    <w:rsid w:val="00A8733E"/>
    <w:rsid w:val="00A87D75"/>
    <w:rsid w:val="00A93860"/>
    <w:rsid w:val="00A93EB6"/>
    <w:rsid w:val="00A946A1"/>
    <w:rsid w:val="00A951DE"/>
    <w:rsid w:val="00A95D15"/>
    <w:rsid w:val="00A96C23"/>
    <w:rsid w:val="00AA07B2"/>
    <w:rsid w:val="00AA2DC7"/>
    <w:rsid w:val="00AA5632"/>
    <w:rsid w:val="00AA6642"/>
    <w:rsid w:val="00AA6674"/>
    <w:rsid w:val="00AB487F"/>
    <w:rsid w:val="00AB73E0"/>
    <w:rsid w:val="00AB7839"/>
    <w:rsid w:val="00AC1159"/>
    <w:rsid w:val="00AC14EF"/>
    <w:rsid w:val="00AC2528"/>
    <w:rsid w:val="00AC289B"/>
    <w:rsid w:val="00AC2AC0"/>
    <w:rsid w:val="00AC2E3F"/>
    <w:rsid w:val="00AC3160"/>
    <w:rsid w:val="00AC46E0"/>
    <w:rsid w:val="00AC5DD0"/>
    <w:rsid w:val="00AC7A53"/>
    <w:rsid w:val="00AD3718"/>
    <w:rsid w:val="00AD3C35"/>
    <w:rsid w:val="00AD47DA"/>
    <w:rsid w:val="00AD6420"/>
    <w:rsid w:val="00AD7C5C"/>
    <w:rsid w:val="00AD7E3F"/>
    <w:rsid w:val="00AE071E"/>
    <w:rsid w:val="00AE2FC1"/>
    <w:rsid w:val="00AE6CBC"/>
    <w:rsid w:val="00AE7308"/>
    <w:rsid w:val="00AF07A7"/>
    <w:rsid w:val="00AF148A"/>
    <w:rsid w:val="00AF26C4"/>
    <w:rsid w:val="00AF3CE3"/>
    <w:rsid w:val="00B00A55"/>
    <w:rsid w:val="00B07888"/>
    <w:rsid w:val="00B11F9B"/>
    <w:rsid w:val="00B126EB"/>
    <w:rsid w:val="00B13AEC"/>
    <w:rsid w:val="00B15A9C"/>
    <w:rsid w:val="00B17551"/>
    <w:rsid w:val="00B20FC0"/>
    <w:rsid w:val="00B23A07"/>
    <w:rsid w:val="00B23BFE"/>
    <w:rsid w:val="00B244EB"/>
    <w:rsid w:val="00B25F9C"/>
    <w:rsid w:val="00B26ECB"/>
    <w:rsid w:val="00B279A8"/>
    <w:rsid w:val="00B30E65"/>
    <w:rsid w:val="00B32976"/>
    <w:rsid w:val="00B33ECE"/>
    <w:rsid w:val="00B36E44"/>
    <w:rsid w:val="00B4648F"/>
    <w:rsid w:val="00B46585"/>
    <w:rsid w:val="00B51FF1"/>
    <w:rsid w:val="00B52F06"/>
    <w:rsid w:val="00B559A0"/>
    <w:rsid w:val="00B579A6"/>
    <w:rsid w:val="00B60BD4"/>
    <w:rsid w:val="00B63A9E"/>
    <w:rsid w:val="00B64220"/>
    <w:rsid w:val="00B64702"/>
    <w:rsid w:val="00B64D1F"/>
    <w:rsid w:val="00B65171"/>
    <w:rsid w:val="00B662FD"/>
    <w:rsid w:val="00B66BBA"/>
    <w:rsid w:val="00B718D1"/>
    <w:rsid w:val="00B737B6"/>
    <w:rsid w:val="00B73B5E"/>
    <w:rsid w:val="00B76B3A"/>
    <w:rsid w:val="00B76D62"/>
    <w:rsid w:val="00B7729E"/>
    <w:rsid w:val="00B80742"/>
    <w:rsid w:val="00B83929"/>
    <w:rsid w:val="00B8454C"/>
    <w:rsid w:val="00B84B4E"/>
    <w:rsid w:val="00B84BA9"/>
    <w:rsid w:val="00B8532E"/>
    <w:rsid w:val="00B85384"/>
    <w:rsid w:val="00B8557F"/>
    <w:rsid w:val="00B86F0E"/>
    <w:rsid w:val="00B90AAF"/>
    <w:rsid w:val="00B90E44"/>
    <w:rsid w:val="00B923FB"/>
    <w:rsid w:val="00B92ECF"/>
    <w:rsid w:val="00B933F2"/>
    <w:rsid w:val="00B967D0"/>
    <w:rsid w:val="00B968B7"/>
    <w:rsid w:val="00B97A1C"/>
    <w:rsid w:val="00BA00B8"/>
    <w:rsid w:val="00BA0959"/>
    <w:rsid w:val="00BA2975"/>
    <w:rsid w:val="00BA531E"/>
    <w:rsid w:val="00BA56EB"/>
    <w:rsid w:val="00BA5947"/>
    <w:rsid w:val="00BA59F1"/>
    <w:rsid w:val="00BB00A8"/>
    <w:rsid w:val="00BB4C5C"/>
    <w:rsid w:val="00BB596C"/>
    <w:rsid w:val="00BB7DFC"/>
    <w:rsid w:val="00BC1C4C"/>
    <w:rsid w:val="00BC499D"/>
    <w:rsid w:val="00BC4E82"/>
    <w:rsid w:val="00BD0D08"/>
    <w:rsid w:val="00BD1A18"/>
    <w:rsid w:val="00BD34FF"/>
    <w:rsid w:val="00BD4821"/>
    <w:rsid w:val="00BD5379"/>
    <w:rsid w:val="00BD74A2"/>
    <w:rsid w:val="00BD76AD"/>
    <w:rsid w:val="00BD7D85"/>
    <w:rsid w:val="00BE2027"/>
    <w:rsid w:val="00BE393C"/>
    <w:rsid w:val="00BE4349"/>
    <w:rsid w:val="00BE4B18"/>
    <w:rsid w:val="00BE50B7"/>
    <w:rsid w:val="00BE6001"/>
    <w:rsid w:val="00BE737E"/>
    <w:rsid w:val="00BE75E4"/>
    <w:rsid w:val="00BF064B"/>
    <w:rsid w:val="00BF31FD"/>
    <w:rsid w:val="00BF3A16"/>
    <w:rsid w:val="00C00FD4"/>
    <w:rsid w:val="00C023D0"/>
    <w:rsid w:val="00C02D57"/>
    <w:rsid w:val="00C103DE"/>
    <w:rsid w:val="00C11D4E"/>
    <w:rsid w:val="00C12B54"/>
    <w:rsid w:val="00C144D6"/>
    <w:rsid w:val="00C1570B"/>
    <w:rsid w:val="00C21561"/>
    <w:rsid w:val="00C21664"/>
    <w:rsid w:val="00C2510F"/>
    <w:rsid w:val="00C25143"/>
    <w:rsid w:val="00C27D37"/>
    <w:rsid w:val="00C31C1F"/>
    <w:rsid w:val="00C33027"/>
    <w:rsid w:val="00C35359"/>
    <w:rsid w:val="00C354DB"/>
    <w:rsid w:val="00C3760C"/>
    <w:rsid w:val="00C40938"/>
    <w:rsid w:val="00C415AC"/>
    <w:rsid w:val="00C41A41"/>
    <w:rsid w:val="00C42CDB"/>
    <w:rsid w:val="00C4394E"/>
    <w:rsid w:val="00C46776"/>
    <w:rsid w:val="00C47491"/>
    <w:rsid w:val="00C47701"/>
    <w:rsid w:val="00C50E68"/>
    <w:rsid w:val="00C51033"/>
    <w:rsid w:val="00C522F7"/>
    <w:rsid w:val="00C541AD"/>
    <w:rsid w:val="00C547C6"/>
    <w:rsid w:val="00C554D5"/>
    <w:rsid w:val="00C6188B"/>
    <w:rsid w:val="00C63F2A"/>
    <w:rsid w:val="00C6514E"/>
    <w:rsid w:val="00C659C8"/>
    <w:rsid w:val="00C71892"/>
    <w:rsid w:val="00C7284B"/>
    <w:rsid w:val="00C74816"/>
    <w:rsid w:val="00C7675C"/>
    <w:rsid w:val="00C85567"/>
    <w:rsid w:val="00C85DA9"/>
    <w:rsid w:val="00C85F68"/>
    <w:rsid w:val="00C867F0"/>
    <w:rsid w:val="00C86E5A"/>
    <w:rsid w:val="00C908F6"/>
    <w:rsid w:val="00C94502"/>
    <w:rsid w:val="00C9460B"/>
    <w:rsid w:val="00C96C95"/>
    <w:rsid w:val="00CA0201"/>
    <w:rsid w:val="00CA43DB"/>
    <w:rsid w:val="00CA492C"/>
    <w:rsid w:val="00CA6472"/>
    <w:rsid w:val="00CB03B4"/>
    <w:rsid w:val="00CB2BED"/>
    <w:rsid w:val="00CB4409"/>
    <w:rsid w:val="00CB5802"/>
    <w:rsid w:val="00CC0201"/>
    <w:rsid w:val="00CC0FF9"/>
    <w:rsid w:val="00CC414F"/>
    <w:rsid w:val="00CC512B"/>
    <w:rsid w:val="00CC5E4B"/>
    <w:rsid w:val="00CC63F2"/>
    <w:rsid w:val="00CC75EE"/>
    <w:rsid w:val="00CC7DB5"/>
    <w:rsid w:val="00CD269D"/>
    <w:rsid w:val="00CD3896"/>
    <w:rsid w:val="00CD3AC4"/>
    <w:rsid w:val="00CD4061"/>
    <w:rsid w:val="00CD568C"/>
    <w:rsid w:val="00CD64D0"/>
    <w:rsid w:val="00CD6523"/>
    <w:rsid w:val="00CD6A31"/>
    <w:rsid w:val="00CD6AF8"/>
    <w:rsid w:val="00CD7D73"/>
    <w:rsid w:val="00CE08D3"/>
    <w:rsid w:val="00CE1C51"/>
    <w:rsid w:val="00CE2DBE"/>
    <w:rsid w:val="00CE375C"/>
    <w:rsid w:val="00CE4E7C"/>
    <w:rsid w:val="00CE520C"/>
    <w:rsid w:val="00CE7015"/>
    <w:rsid w:val="00CF16E1"/>
    <w:rsid w:val="00CF3FC8"/>
    <w:rsid w:val="00CF4356"/>
    <w:rsid w:val="00D013AF"/>
    <w:rsid w:val="00D03BF1"/>
    <w:rsid w:val="00D05701"/>
    <w:rsid w:val="00D06599"/>
    <w:rsid w:val="00D10AA3"/>
    <w:rsid w:val="00D11FEF"/>
    <w:rsid w:val="00D1525D"/>
    <w:rsid w:val="00D159DC"/>
    <w:rsid w:val="00D176DB"/>
    <w:rsid w:val="00D22D7D"/>
    <w:rsid w:val="00D22E96"/>
    <w:rsid w:val="00D24CB7"/>
    <w:rsid w:val="00D2647A"/>
    <w:rsid w:val="00D31F74"/>
    <w:rsid w:val="00D323A4"/>
    <w:rsid w:val="00D32981"/>
    <w:rsid w:val="00D346FC"/>
    <w:rsid w:val="00D35507"/>
    <w:rsid w:val="00D35511"/>
    <w:rsid w:val="00D3605C"/>
    <w:rsid w:val="00D36FCB"/>
    <w:rsid w:val="00D37728"/>
    <w:rsid w:val="00D37F6C"/>
    <w:rsid w:val="00D40FEB"/>
    <w:rsid w:val="00D41B63"/>
    <w:rsid w:val="00D44CA8"/>
    <w:rsid w:val="00D46313"/>
    <w:rsid w:val="00D47BA9"/>
    <w:rsid w:val="00D509A3"/>
    <w:rsid w:val="00D511F9"/>
    <w:rsid w:val="00D516E4"/>
    <w:rsid w:val="00D54F24"/>
    <w:rsid w:val="00D6015F"/>
    <w:rsid w:val="00D61765"/>
    <w:rsid w:val="00D61C4E"/>
    <w:rsid w:val="00D628F9"/>
    <w:rsid w:val="00D632E9"/>
    <w:rsid w:val="00D637F6"/>
    <w:rsid w:val="00D64F10"/>
    <w:rsid w:val="00D650A2"/>
    <w:rsid w:val="00D66759"/>
    <w:rsid w:val="00D70786"/>
    <w:rsid w:val="00D70FB0"/>
    <w:rsid w:val="00D72F89"/>
    <w:rsid w:val="00D73383"/>
    <w:rsid w:val="00D74989"/>
    <w:rsid w:val="00D808A2"/>
    <w:rsid w:val="00D81513"/>
    <w:rsid w:val="00D8288A"/>
    <w:rsid w:val="00D850DC"/>
    <w:rsid w:val="00D8670F"/>
    <w:rsid w:val="00D90CB6"/>
    <w:rsid w:val="00D90D82"/>
    <w:rsid w:val="00D917BF"/>
    <w:rsid w:val="00D936A7"/>
    <w:rsid w:val="00D942CF"/>
    <w:rsid w:val="00D945D4"/>
    <w:rsid w:val="00DA231A"/>
    <w:rsid w:val="00DA2347"/>
    <w:rsid w:val="00DA40C0"/>
    <w:rsid w:val="00DA427C"/>
    <w:rsid w:val="00DA58FE"/>
    <w:rsid w:val="00DA5BB6"/>
    <w:rsid w:val="00DA6420"/>
    <w:rsid w:val="00DB02D1"/>
    <w:rsid w:val="00DB0729"/>
    <w:rsid w:val="00DB3895"/>
    <w:rsid w:val="00DB671B"/>
    <w:rsid w:val="00DB7835"/>
    <w:rsid w:val="00DC0A45"/>
    <w:rsid w:val="00DC13C1"/>
    <w:rsid w:val="00DC2EBF"/>
    <w:rsid w:val="00DC3F7E"/>
    <w:rsid w:val="00DC494C"/>
    <w:rsid w:val="00DC522B"/>
    <w:rsid w:val="00DC6AD2"/>
    <w:rsid w:val="00DD2EA5"/>
    <w:rsid w:val="00DD30E4"/>
    <w:rsid w:val="00DD4426"/>
    <w:rsid w:val="00DD51BD"/>
    <w:rsid w:val="00DD614F"/>
    <w:rsid w:val="00DE2383"/>
    <w:rsid w:val="00DE24C9"/>
    <w:rsid w:val="00DE2F22"/>
    <w:rsid w:val="00DE2F49"/>
    <w:rsid w:val="00DE3BDD"/>
    <w:rsid w:val="00DE48E4"/>
    <w:rsid w:val="00DE7971"/>
    <w:rsid w:val="00DE7984"/>
    <w:rsid w:val="00DE7CC4"/>
    <w:rsid w:val="00DF1414"/>
    <w:rsid w:val="00DF276F"/>
    <w:rsid w:val="00E012FF"/>
    <w:rsid w:val="00E027AF"/>
    <w:rsid w:val="00E039A2"/>
    <w:rsid w:val="00E0441E"/>
    <w:rsid w:val="00E04EF1"/>
    <w:rsid w:val="00E0530C"/>
    <w:rsid w:val="00E06587"/>
    <w:rsid w:val="00E10F76"/>
    <w:rsid w:val="00E11CF0"/>
    <w:rsid w:val="00E13581"/>
    <w:rsid w:val="00E14E55"/>
    <w:rsid w:val="00E21AAB"/>
    <w:rsid w:val="00E22C5A"/>
    <w:rsid w:val="00E23CBF"/>
    <w:rsid w:val="00E30CB1"/>
    <w:rsid w:val="00E318FD"/>
    <w:rsid w:val="00E31B90"/>
    <w:rsid w:val="00E3366A"/>
    <w:rsid w:val="00E3453C"/>
    <w:rsid w:val="00E34584"/>
    <w:rsid w:val="00E354F1"/>
    <w:rsid w:val="00E37172"/>
    <w:rsid w:val="00E429FF"/>
    <w:rsid w:val="00E43CD1"/>
    <w:rsid w:val="00E44436"/>
    <w:rsid w:val="00E46452"/>
    <w:rsid w:val="00E46711"/>
    <w:rsid w:val="00E50158"/>
    <w:rsid w:val="00E52746"/>
    <w:rsid w:val="00E528B7"/>
    <w:rsid w:val="00E5413C"/>
    <w:rsid w:val="00E558CD"/>
    <w:rsid w:val="00E567BD"/>
    <w:rsid w:val="00E61B0C"/>
    <w:rsid w:val="00E6212B"/>
    <w:rsid w:val="00E63E63"/>
    <w:rsid w:val="00E66FA7"/>
    <w:rsid w:val="00E67A59"/>
    <w:rsid w:val="00E70A3A"/>
    <w:rsid w:val="00E713BB"/>
    <w:rsid w:val="00E72CAA"/>
    <w:rsid w:val="00E72CCA"/>
    <w:rsid w:val="00E73DB8"/>
    <w:rsid w:val="00E7403D"/>
    <w:rsid w:val="00E74DB5"/>
    <w:rsid w:val="00E7555F"/>
    <w:rsid w:val="00E75A57"/>
    <w:rsid w:val="00E75F37"/>
    <w:rsid w:val="00E77B33"/>
    <w:rsid w:val="00E83922"/>
    <w:rsid w:val="00E84005"/>
    <w:rsid w:val="00E85B39"/>
    <w:rsid w:val="00E86A7A"/>
    <w:rsid w:val="00E86EAE"/>
    <w:rsid w:val="00E91CF9"/>
    <w:rsid w:val="00E97B34"/>
    <w:rsid w:val="00EA16CB"/>
    <w:rsid w:val="00EA1DE1"/>
    <w:rsid w:val="00EA26BA"/>
    <w:rsid w:val="00EA36DA"/>
    <w:rsid w:val="00EA47A9"/>
    <w:rsid w:val="00EA4D8E"/>
    <w:rsid w:val="00EA56B6"/>
    <w:rsid w:val="00EA6A93"/>
    <w:rsid w:val="00EA6F26"/>
    <w:rsid w:val="00EB1522"/>
    <w:rsid w:val="00EB3B0A"/>
    <w:rsid w:val="00EB41BE"/>
    <w:rsid w:val="00EB7BDD"/>
    <w:rsid w:val="00EC0DEC"/>
    <w:rsid w:val="00EC2C2F"/>
    <w:rsid w:val="00EC70EA"/>
    <w:rsid w:val="00ED1F75"/>
    <w:rsid w:val="00ED2428"/>
    <w:rsid w:val="00ED31A7"/>
    <w:rsid w:val="00ED443B"/>
    <w:rsid w:val="00ED4774"/>
    <w:rsid w:val="00ED4CA6"/>
    <w:rsid w:val="00ED7E5D"/>
    <w:rsid w:val="00EE0AED"/>
    <w:rsid w:val="00EE4471"/>
    <w:rsid w:val="00EE6092"/>
    <w:rsid w:val="00EE62AA"/>
    <w:rsid w:val="00EE6481"/>
    <w:rsid w:val="00EE6C05"/>
    <w:rsid w:val="00EE7BCF"/>
    <w:rsid w:val="00EF1A7C"/>
    <w:rsid w:val="00EF2436"/>
    <w:rsid w:val="00EF2FBF"/>
    <w:rsid w:val="00EF3B98"/>
    <w:rsid w:val="00EF5093"/>
    <w:rsid w:val="00EF634D"/>
    <w:rsid w:val="00EF65E8"/>
    <w:rsid w:val="00EF7CC9"/>
    <w:rsid w:val="00F02BB4"/>
    <w:rsid w:val="00F03CB5"/>
    <w:rsid w:val="00F0645C"/>
    <w:rsid w:val="00F06FBC"/>
    <w:rsid w:val="00F0722F"/>
    <w:rsid w:val="00F10F2F"/>
    <w:rsid w:val="00F111F7"/>
    <w:rsid w:val="00F20D98"/>
    <w:rsid w:val="00F26C28"/>
    <w:rsid w:val="00F318FC"/>
    <w:rsid w:val="00F36FE4"/>
    <w:rsid w:val="00F43A9F"/>
    <w:rsid w:val="00F46C54"/>
    <w:rsid w:val="00F46F18"/>
    <w:rsid w:val="00F47881"/>
    <w:rsid w:val="00F53D90"/>
    <w:rsid w:val="00F54D9B"/>
    <w:rsid w:val="00F54DFA"/>
    <w:rsid w:val="00F57B26"/>
    <w:rsid w:val="00F62956"/>
    <w:rsid w:val="00F62EF4"/>
    <w:rsid w:val="00F63576"/>
    <w:rsid w:val="00F64DA5"/>
    <w:rsid w:val="00F733AE"/>
    <w:rsid w:val="00F73656"/>
    <w:rsid w:val="00F7474A"/>
    <w:rsid w:val="00F74A84"/>
    <w:rsid w:val="00F75744"/>
    <w:rsid w:val="00F768EE"/>
    <w:rsid w:val="00F81D14"/>
    <w:rsid w:val="00F83155"/>
    <w:rsid w:val="00F83605"/>
    <w:rsid w:val="00F83E4B"/>
    <w:rsid w:val="00F850D8"/>
    <w:rsid w:val="00F854D8"/>
    <w:rsid w:val="00F8790D"/>
    <w:rsid w:val="00F90EAA"/>
    <w:rsid w:val="00F92357"/>
    <w:rsid w:val="00F93B2F"/>
    <w:rsid w:val="00F955B4"/>
    <w:rsid w:val="00FA0DEC"/>
    <w:rsid w:val="00FA0F1A"/>
    <w:rsid w:val="00FA3844"/>
    <w:rsid w:val="00FB1D4D"/>
    <w:rsid w:val="00FB28C4"/>
    <w:rsid w:val="00FB3488"/>
    <w:rsid w:val="00FB4164"/>
    <w:rsid w:val="00FB604C"/>
    <w:rsid w:val="00FB6B0C"/>
    <w:rsid w:val="00FC31A5"/>
    <w:rsid w:val="00FC3639"/>
    <w:rsid w:val="00FC3860"/>
    <w:rsid w:val="00FC449F"/>
    <w:rsid w:val="00FC6CE1"/>
    <w:rsid w:val="00FD2B95"/>
    <w:rsid w:val="00FD33D1"/>
    <w:rsid w:val="00FD3657"/>
    <w:rsid w:val="00FD410B"/>
    <w:rsid w:val="00FD4CA2"/>
    <w:rsid w:val="00FD55F4"/>
    <w:rsid w:val="00FD67A1"/>
    <w:rsid w:val="00FE1C69"/>
    <w:rsid w:val="00FE399C"/>
    <w:rsid w:val="00FE4241"/>
    <w:rsid w:val="00FE5098"/>
    <w:rsid w:val="00FE5C88"/>
    <w:rsid w:val="00FE78E9"/>
    <w:rsid w:val="00FF0480"/>
    <w:rsid w:val="00FF0A74"/>
    <w:rsid w:val="00FF15D7"/>
    <w:rsid w:val="00FF22A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A04C4D"/>
  <w15:chartTrackingRefBased/>
  <w15:docId w15:val="{70FCD71C-3EA2-44A3-BDD8-C7877614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C" w:eastAsia="es-EC"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816"/>
    <w:pPr>
      <w:ind w:left="232"/>
    </w:pPr>
    <w:rPr>
      <w:rFonts w:ascii="Times New Roman" w:hAnsi="Times New Roman"/>
      <w:sz w:val="24"/>
      <w:szCs w:val="22"/>
      <w:lang w:val="es-ES_tradnl" w:eastAsia="zh-TW"/>
    </w:rPr>
  </w:style>
  <w:style w:type="paragraph" w:styleId="Heading1">
    <w:name w:val="heading 1"/>
    <w:basedOn w:val="Normal"/>
    <w:next w:val="Normal"/>
    <w:link w:val="Heading1Char"/>
    <w:qFormat/>
    <w:rsid w:val="0060371A"/>
    <w:pPr>
      <w:keepNext/>
      <w:keepLines/>
      <w:spacing w:before="480"/>
      <w:outlineLvl w:val="0"/>
    </w:pPr>
    <w:rPr>
      <w:rFonts w:ascii="Cambria" w:hAnsi="Cambria"/>
      <w:b/>
      <w:bCs/>
      <w:color w:val="365F91"/>
      <w:sz w:val="28"/>
      <w:szCs w:val="28"/>
      <w:lang w:eastAsia="x-none"/>
    </w:rPr>
  </w:style>
  <w:style w:type="paragraph" w:styleId="Heading2">
    <w:name w:val="heading 2"/>
    <w:basedOn w:val="Normal"/>
    <w:next w:val="Normal"/>
    <w:link w:val="Heading2Char"/>
    <w:uiPriority w:val="9"/>
    <w:unhideWhenUsed/>
    <w:qFormat/>
    <w:rsid w:val="0060371A"/>
    <w:pPr>
      <w:keepNext/>
      <w:keepLines/>
      <w:spacing w:before="200"/>
      <w:outlineLvl w:val="1"/>
    </w:pPr>
    <w:rPr>
      <w:rFonts w:ascii="Cambria" w:hAnsi="Cambria"/>
      <w:b/>
      <w:bCs/>
      <w:color w:val="4F81BD"/>
      <w:sz w:val="26"/>
      <w:szCs w:val="26"/>
      <w:lang w:eastAsia="x-none"/>
    </w:rPr>
  </w:style>
  <w:style w:type="paragraph" w:styleId="Heading3">
    <w:name w:val="heading 3"/>
    <w:basedOn w:val="Normal"/>
    <w:next w:val="Normal"/>
    <w:link w:val="Heading3Char"/>
    <w:uiPriority w:val="9"/>
    <w:unhideWhenUsed/>
    <w:qFormat/>
    <w:rsid w:val="00922949"/>
    <w:pPr>
      <w:keepNext/>
      <w:keepLines/>
      <w:spacing w:before="200"/>
      <w:outlineLvl w:val="2"/>
    </w:pPr>
    <w:rPr>
      <w:rFonts w:ascii="Cambria" w:hAnsi="Cambria"/>
      <w:b/>
      <w:bCs/>
      <w:color w:val="4F81BD"/>
      <w:szCs w:val="20"/>
      <w:lang w:eastAsia="x-none"/>
    </w:rPr>
  </w:style>
  <w:style w:type="paragraph" w:styleId="Heading4">
    <w:name w:val="heading 4"/>
    <w:basedOn w:val="Normal"/>
    <w:next w:val="Normal"/>
    <w:link w:val="Heading4Char"/>
    <w:qFormat/>
    <w:rsid w:val="009119C9"/>
    <w:pPr>
      <w:keepNext/>
      <w:autoSpaceDE w:val="0"/>
      <w:autoSpaceDN w:val="0"/>
      <w:spacing w:before="240" w:after="60"/>
      <w:ind w:left="1152" w:hanging="720"/>
      <w:outlineLvl w:val="3"/>
    </w:pPr>
    <w:rPr>
      <w:i/>
      <w:iCs/>
      <w:sz w:val="18"/>
      <w:szCs w:val="18"/>
      <w:lang w:val="en-US" w:eastAsia="en-US"/>
    </w:rPr>
  </w:style>
  <w:style w:type="paragraph" w:styleId="Heading5">
    <w:name w:val="heading 5"/>
    <w:basedOn w:val="Normal"/>
    <w:next w:val="Normal"/>
    <w:link w:val="Heading5Char"/>
    <w:qFormat/>
    <w:rsid w:val="009119C9"/>
    <w:pPr>
      <w:autoSpaceDE w:val="0"/>
      <w:autoSpaceDN w:val="0"/>
      <w:spacing w:before="240" w:after="60"/>
      <w:ind w:left="1872" w:hanging="720"/>
      <w:outlineLvl w:val="4"/>
    </w:pPr>
    <w:rPr>
      <w:sz w:val="18"/>
      <w:szCs w:val="18"/>
      <w:lang w:val="en-US" w:eastAsia="en-US"/>
    </w:rPr>
  </w:style>
  <w:style w:type="paragraph" w:styleId="Heading6">
    <w:name w:val="heading 6"/>
    <w:basedOn w:val="Normal"/>
    <w:next w:val="Normal"/>
    <w:link w:val="Heading6Char"/>
    <w:qFormat/>
    <w:rsid w:val="009119C9"/>
    <w:pPr>
      <w:autoSpaceDE w:val="0"/>
      <w:autoSpaceDN w:val="0"/>
      <w:spacing w:before="240" w:after="60"/>
      <w:ind w:left="2592" w:hanging="720"/>
      <w:outlineLvl w:val="5"/>
    </w:pPr>
    <w:rPr>
      <w:i/>
      <w:iCs/>
      <w:sz w:val="16"/>
      <w:szCs w:val="16"/>
      <w:lang w:val="en-US" w:eastAsia="en-US"/>
    </w:rPr>
  </w:style>
  <w:style w:type="paragraph" w:styleId="Heading7">
    <w:name w:val="heading 7"/>
    <w:basedOn w:val="Normal"/>
    <w:next w:val="Normal"/>
    <w:link w:val="Heading7Char"/>
    <w:qFormat/>
    <w:rsid w:val="009119C9"/>
    <w:pPr>
      <w:autoSpaceDE w:val="0"/>
      <w:autoSpaceDN w:val="0"/>
      <w:spacing w:before="240" w:after="60"/>
      <w:ind w:left="3312" w:hanging="720"/>
      <w:outlineLvl w:val="6"/>
    </w:pPr>
    <w:rPr>
      <w:sz w:val="16"/>
      <w:szCs w:val="16"/>
      <w:lang w:val="en-US" w:eastAsia="en-US"/>
    </w:rPr>
  </w:style>
  <w:style w:type="paragraph" w:styleId="Heading8">
    <w:name w:val="heading 8"/>
    <w:basedOn w:val="Normal"/>
    <w:next w:val="Normal"/>
    <w:link w:val="Heading8Char"/>
    <w:qFormat/>
    <w:rsid w:val="009119C9"/>
    <w:pPr>
      <w:autoSpaceDE w:val="0"/>
      <w:autoSpaceDN w:val="0"/>
      <w:spacing w:before="240" w:after="60"/>
      <w:ind w:left="4032" w:hanging="720"/>
      <w:outlineLvl w:val="7"/>
    </w:pPr>
    <w:rPr>
      <w:i/>
      <w:iCs/>
      <w:sz w:val="16"/>
      <w:szCs w:val="16"/>
      <w:lang w:val="en-US" w:eastAsia="en-US"/>
    </w:rPr>
  </w:style>
  <w:style w:type="paragraph" w:styleId="Heading9">
    <w:name w:val="heading 9"/>
    <w:basedOn w:val="Normal"/>
    <w:next w:val="Normal"/>
    <w:link w:val="Heading9Char"/>
    <w:qFormat/>
    <w:rsid w:val="009119C9"/>
    <w:pPr>
      <w:autoSpaceDE w:val="0"/>
      <w:autoSpaceDN w:val="0"/>
      <w:spacing w:before="240" w:after="60"/>
      <w:ind w:left="4752" w:hanging="720"/>
      <w:outlineLvl w:val="8"/>
    </w:pPr>
    <w:rPr>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
    <w:name w:val="Título1"/>
    <w:basedOn w:val="Normal"/>
    <w:next w:val="author"/>
    <w:link w:val="TtuloCar"/>
    <w:uiPriority w:val="99"/>
    <w:qFormat/>
    <w:rsid w:val="00AA2DC7"/>
    <w:pPr>
      <w:widowControl w:val="0"/>
      <w:autoSpaceDE w:val="0"/>
      <w:autoSpaceDN w:val="0"/>
      <w:adjustRightInd w:val="0"/>
      <w:spacing w:before="240" w:after="240"/>
      <w:ind w:left="0"/>
      <w:jc w:val="center"/>
    </w:pPr>
    <w:rPr>
      <w:b/>
      <w:bCs/>
      <w:noProof/>
      <w:sz w:val="36"/>
      <w:szCs w:val="36"/>
      <w:lang w:val="x-none" w:eastAsia="x-none"/>
    </w:rPr>
  </w:style>
  <w:style w:type="character" w:customStyle="1" w:styleId="TtuloCar">
    <w:name w:val="Título Car"/>
    <w:link w:val="Ttulo1"/>
    <w:uiPriority w:val="99"/>
    <w:rsid w:val="00AA2DC7"/>
    <w:rPr>
      <w:rFonts w:ascii="Times New Roman" w:hAnsi="Times New Roman" w:cs="Times New Roman"/>
      <w:b/>
      <w:bCs/>
      <w:noProof/>
      <w:sz w:val="36"/>
      <w:szCs w:val="36"/>
    </w:rPr>
  </w:style>
  <w:style w:type="paragraph" w:customStyle="1" w:styleId="author">
    <w:name w:val="author"/>
    <w:basedOn w:val="Normal"/>
    <w:next w:val="Normal"/>
    <w:uiPriority w:val="99"/>
    <w:rsid w:val="00AA2DC7"/>
    <w:pPr>
      <w:widowControl w:val="0"/>
      <w:autoSpaceDE w:val="0"/>
      <w:autoSpaceDN w:val="0"/>
      <w:adjustRightInd w:val="0"/>
      <w:spacing w:after="120"/>
      <w:ind w:left="0"/>
      <w:jc w:val="center"/>
    </w:pPr>
    <w:rPr>
      <w:noProof/>
      <w:sz w:val="20"/>
      <w:szCs w:val="20"/>
      <w:lang w:val="es-ES"/>
    </w:rPr>
  </w:style>
  <w:style w:type="paragraph" w:styleId="FootnoteText">
    <w:name w:val="footnote text"/>
    <w:basedOn w:val="Normal"/>
    <w:link w:val="FootnoteTextChar"/>
    <w:uiPriority w:val="99"/>
    <w:semiHidden/>
    <w:unhideWhenUsed/>
    <w:rsid w:val="00AA2DC7"/>
    <w:rPr>
      <w:rFonts w:ascii="Calibri" w:hAnsi="Calibri"/>
      <w:sz w:val="20"/>
      <w:szCs w:val="20"/>
      <w:lang w:eastAsia="x-none"/>
    </w:rPr>
  </w:style>
  <w:style w:type="character" w:customStyle="1" w:styleId="FootnoteTextChar">
    <w:name w:val="Footnote Text Char"/>
    <w:link w:val="FootnoteText"/>
    <w:uiPriority w:val="99"/>
    <w:semiHidden/>
    <w:rsid w:val="00AA2DC7"/>
    <w:rPr>
      <w:sz w:val="20"/>
      <w:szCs w:val="20"/>
      <w:lang w:val="es-ES_tradnl"/>
    </w:rPr>
  </w:style>
  <w:style w:type="character" w:styleId="FootnoteReference">
    <w:name w:val="footnote reference"/>
    <w:uiPriority w:val="99"/>
    <w:semiHidden/>
    <w:unhideWhenUsed/>
    <w:rsid w:val="00AA2DC7"/>
    <w:rPr>
      <w:vertAlign w:val="superscript"/>
    </w:rPr>
  </w:style>
  <w:style w:type="paragraph" w:styleId="Header">
    <w:name w:val="header"/>
    <w:basedOn w:val="Normal"/>
    <w:link w:val="HeaderChar"/>
    <w:uiPriority w:val="99"/>
    <w:unhideWhenUsed/>
    <w:rsid w:val="00AA2DC7"/>
    <w:pPr>
      <w:tabs>
        <w:tab w:val="center" w:pos="4252"/>
        <w:tab w:val="right" w:pos="8504"/>
      </w:tabs>
    </w:pPr>
    <w:rPr>
      <w:rFonts w:ascii="Calibri" w:hAnsi="Calibri"/>
      <w:sz w:val="20"/>
      <w:szCs w:val="20"/>
      <w:lang w:eastAsia="x-none"/>
    </w:rPr>
  </w:style>
  <w:style w:type="character" w:customStyle="1" w:styleId="HeaderChar">
    <w:name w:val="Header Char"/>
    <w:link w:val="Header"/>
    <w:uiPriority w:val="99"/>
    <w:rsid w:val="00AA2DC7"/>
    <w:rPr>
      <w:lang w:val="es-ES_tradnl"/>
    </w:rPr>
  </w:style>
  <w:style w:type="paragraph" w:styleId="Footer">
    <w:name w:val="footer"/>
    <w:basedOn w:val="Normal"/>
    <w:link w:val="FooterChar"/>
    <w:uiPriority w:val="99"/>
    <w:unhideWhenUsed/>
    <w:rsid w:val="00AA2DC7"/>
    <w:pPr>
      <w:tabs>
        <w:tab w:val="center" w:pos="4252"/>
        <w:tab w:val="right" w:pos="8504"/>
      </w:tabs>
    </w:pPr>
    <w:rPr>
      <w:rFonts w:ascii="Calibri" w:hAnsi="Calibri"/>
      <w:sz w:val="20"/>
      <w:szCs w:val="20"/>
      <w:lang w:eastAsia="x-none"/>
    </w:rPr>
  </w:style>
  <w:style w:type="character" w:customStyle="1" w:styleId="FooterChar">
    <w:name w:val="Footer Char"/>
    <w:link w:val="Footer"/>
    <w:uiPriority w:val="99"/>
    <w:rsid w:val="00AA2DC7"/>
    <w:rPr>
      <w:lang w:val="es-ES_tradnl"/>
    </w:rPr>
  </w:style>
  <w:style w:type="character" w:styleId="LineNumber">
    <w:name w:val="line number"/>
    <w:basedOn w:val="DefaultParagraphFont"/>
    <w:uiPriority w:val="99"/>
    <w:semiHidden/>
    <w:unhideWhenUsed/>
    <w:rsid w:val="00775816"/>
  </w:style>
  <w:style w:type="paragraph" w:styleId="PlainText">
    <w:name w:val="Plain Text"/>
    <w:basedOn w:val="Normal"/>
    <w:link w:val="PlainTextChar"/>
    <w:uiPriority w:val="99"/>
    <w:unhideWhenUsed/>
    <w:rsid w:val="002D71E0"/>
    <w:rPr>
      <w:rFonts w:ascii="Consolas" w:hAnsi="Consolas"/>
      <w:sz w:val="21"/>
      <w:szCs w:val="21"/>
      <w:lang w:eastAsia="x-none"/>
    </w:rPr>
  </w:style>
  <w:style w:type="character" w:customStyle="1" w:styleId="PlainTextChar">
    <w:name w:val="Plain Text Char"/>
    <w:link w:val="PlainText"/>
    <w:uiPriority w:val="99"/>
    <w:rsid w:val="002D71E0"/>
    <w:rPr>
      <w:rFonts w:ascii="Consolas" w:hAnsi="Consolas"/>
      <w:sz w:val="21"/>
      <w:szCs w:val="21"/>
      <w:lang w:val="es-ES_tradnl"/>
    </w:rPr>
  </w:style>
  <w:style w:type="paragraph" w:customStyle="1" w:styleId="Bibliografa1">
    <w:name w:val="Bibliografía1"/>
    <w:basedOn w:val="Normal"/>
    <w:link w:val="BibliographyCar"/>
    <w:rsid w:val="002D71E0"/>
    <w:pPr>
      <w:tabs>
        <w:tab w:val="left" w:pos="384"/>
      </w:tabs>
      <w:ind w:left="384" w:hanging="384"/>
    </w:pPr>
    <w:rPr>
      <w:b/>
      <w:szCs w:val="24"/>
      <w:lang w:eastAsia="x-none"/>
    </w:rPr>
  </w:style>
  <w:style w:type="character" w:customStyle="1" w:styleId="BibliographyCar">
    <w:name w:val="Bibliography Car"/>
    <w:link w:val="Bibliografa1"/>
    <w:rsid w:val="002D71E0"/>
    <w:rPr>
      <w:rFonts w:ascii="Times New Roman" w:hAnsi="Times New Roman" w:cs="Times New Roman"/>
      <w:b/>
      <w:sz w:val="24"/>
      <w:szCs w:val="24"/>
      <w:lang w:val="es-ES_tradnl"/>
    </w:rPr>
  </w:style>
  <w:style w:type="paragraph" w:customStyle="1" w:styleId="Epgrafe">
    <w:name w:val="Epígrafe"/>
    <w:basedOn w:val="Normal"/>
    <w:next w:val="Normal"/>
    <w:uiPriority w:val="35"/>
    <w:unhideWhenUsed/>
    <w:qFormat/>
    <w:rsid w:val="004949FA"/>
    <w:pPr>
      <w:spacing w:after="200"/>
    </w:pPr>
    <w:rPr>
      <w:b/>
      <w:bCs/>
      <w:color w:val="4F81BD"/>
      <w:sz w:val="18"/>
      <w:szCs w:val="18"/>
    </w:rPr>
  </w:style>
  <w:style w:type="character" w:customStyle="1" w:styleId="Heading1Char">
    <w:name w:val="Heading 1 Char"/>
    <w:link w:val="Heading1"/>
    <w:rsid w:val="0060371A"/>
    <w:rPr>
      <w:rFonts w:ascii="Cambria" w:eastAsia="Times New Roman" w:hAnsi="Cambria" w:cs="Times New Roman"/>
      <w:b/>
      <w:bCs/>
      <w:color w:val="365F91"/>
      <w:sz w:val="28"/>
      <w:szCs w:val="28"/>
      <w:lang w:val="es-ES_tradnl"/>
    </w:rPr>
  </w:style>
  <w:style w:type="character" w:customStyle="1" w:styleId="Heading2Char">
    <w:name w:val="Heading 2 Char"/>
    <w:link w:val="Heading2"/>
    <w:uiPriority w:val="9"/>
    <w:rsid w:val="0060371A"/>
    <w:rPr>
      <w:rFonts w:ascii="Cambria" w:eastAsia="Times New Roman" w:hAnsi="Cambria" w:cs="Times New Roman"/>
      <w:b/>
      <w:bCs/>
      <w:color w:val="4F81BD"/>
      <w:sz w:val="26"/>
      <w:szCs w:val="26"/>
      <w:lang w:val="es-ES_tradnl"/>
    </w:rPr>
  </w:style>
  <w:style w:type="character" w:customStyle="1" w:styleId="Heading3Char">
    <w:name w:val="Heading 3 Char"/>
    <w:link w:val="Heading3"/>
    <w:uiPriority w:val="9"/>
    <w:rsid w:val="00922949"/>
    <w:rPr>
      <w:rFonts w:ascii="Cambria" w:eastAsia="Times New Roman" w:hAnsi="Cambria" w:cs="Times New Roman"/>
      <w:b/>
      <w:bCs/>
      <w:color w:val="4F81BD"/>
      <w:sz w:val="24"/>
      <w:lang w:val="es-ES_tradnl"/>
    </w:rPr>
  </w:style>
  <w:style w:type="table" w:customStyle="1" w:styleId="Andres">
    <w:name w:val="Andres"/>
    <w:basedOn w:val="TableNormal"/>
    <w:uiPriority w:val="99"/>
    <w:qFormat/>
    <w:rsid w:val="00EF5093"/>
    <w:tblPr/>
  </w:style>
  <w:style w:type="table" w:styleId="TableGrid">
    <w:name w:val="Table Grid"/>
    <w:basedOn w:val="TableNormal"/>
    <w:uiPriority w:val="59"/>
    <w:rsid w:val="00EF50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A28D8"/>
    <w:rPr>
      <w:rFonts w:ascii="Tahoma" w:hAnsi="Tahoma"/>
      <w:sz w:val="16"/>
      <w:szCs w:val="16"/>
      <w:lang w:eastAsia="x-none"/>
    </w:rPr>
  </w:style>
  <w:style w:type="character" w:customStyle="1" w:styleId="BalloonTextChar">
    <w:name w:val="Balloon Text Char"/>
    <w:link w:val="BalloonText"/>
    <w:uiPriority w:val="99"/>
    <w:semiHidden/>
    <w:rsid w:val="006A28D8"/>
    <w:rPr>
      <w:rFonts w:ascii="Tahoma" w:hAnsi="Tahoma" w:cs="Tahoma"/>
      <w:sz w:val="16"/>
      <w:szCs w:val="16"/>
      <w:lang w:val="es-ES_tradnl"/>
    </w:rPr>
  </w:style>
  <w:style w:type="character" w:styleId="Hyperlink">
    <w:name w:val="Hyperlink"/>
    <w:uiPriority w:val="99"/>
    <w:unhideWhenUsed/>
    <w:rsid w:val="006A28D8"/>
    <w:rPr>
      <w:color w:val="0000FF"/>
      <w:u w:val="single"/>
    </w:rPr>
  </w:style>
  <w:style w:type="paragraph" w:styleId="ListParagraph">
    <w:name w:val="List Paragraph"/>
    <w:basedOn w:val="Normal"/>
    <w:uiPriority w:val="34"/>
    <w:qFormat/>
    <w:rsid w:val="00D509A3"/>
    <w:pPr>
      <w:ind w:left="720"/>
      <w:contextualSpacing/>
    </w:pPr>
  </w:style>
  <w:style w:type="character" w:customStyle="1" w:styleId="Heading4Char">
    <w:name w:val="Heading 4 Char"/>
    <w:link w:val="Heading4"/>
    <w:rsid w:val="009119C9"/>
    <w:rPr>
      <w:rFonts w:ascii="Times New Roman" w:eastAsia="Times New Roman" w:hAnsi="Times New Roman" w:cs="Times New Roman"/>
      <w:i/>
      <w:iCs/>
      <w:sz w:val="18"/>
      <w:szCs w:val="18"/>
      <w:lang w:val="en-US" w:eastAsia="en-US"/>
    </w:rPr>
  </w:style>
  <w:style w:type="character" w:customStyle="1" w:styleId="Heading5Char">
    <w:name w:val="Heading 5 Char"/>
    <w:link w:val="Heading5"/>
    <w:rsid w:val="009119C9"/>
    <w:rPr>
      <w:rFonts w:ascii="Times New Roman" w:eastAsia="Times New Roman" w:hAnsi="Times New Roman" w:cs="Times New Roman"/>
      <w:sz w:val="18"/>
      <w:szCs w:val="18"/>
      <w:lang w:val="en-US" w:eastAsia="en-US"/>
    </w:rPr>
  </w:style>
  <w:style w:type="character" w:customStyle="1" w:styleId="Heading6Char">
    <w:name w:val="Heading 6 Char"/>
    <w:link w:val="Heading6"/>
    <w:rsid w:val="009119C9"/>
    <w:rPr>
      <w:rFonts w:ascii="Times New Roman" w:eastAsia="Times New Roman" w:hAnsi="Times New Roman" w:cs="Times New Roman"/>
      <w:i/>
      <w:iCs/>
      <w:sz w:val="16"/>
      <w:szCs w:val="16"/>
      <w:lang w:val="en-US" w:eastAsia="en-US"/>
    </w:rPr>
  </w:style>
  <w:style w:type="character" w:customStyle="1" w:styleId="Heading7Char">
    <w:name w:val="Heading 7 Char"/>
    <w:link w:val="Heading7"/>
    <w:rsid w:val="009119C9"/>
    <w:rPr>
      <w:rFonts w:ascii="Times New Roman" w:eastAsia="Times New Roman" w:hAnsi="Times New Roman" w:cs="Times New Roman"/>
      <w:sz w:val="16"/>
      <w:szCs w:val="16"/>
      <w:lang w:val="en-US" w:eastAsia="en-US"/>
    </w:rPr>
  </w:style>
  <w:style w:type="character" w:customStyle="1" w:styleId="Heading8Char">
    <w:name w:val="Heading 8 Char"/>
    <w:link w:val="Heading8"/>
    <w:rsid w:val="009119C9"/>
    <w:rPr>
      <w:rFonts w:ascii="Times New Roman" w:eastAsia="Times New Roman" w:hAnsi="Times New Roman" w:cs="Times New Roman"/>
      <w:i/>
      <w:iCs/>
      <w:sz w:val="16"/>
      <w:szCs w:val="16"/>
      <w:lang w:val="en-US" w:eastAsia="en-US"/>
    </w:rPr>
  </w:style>
  <w:style w:type="character" w:customStyle="1" w:styleId="Heading9Char">
    <w:name w:val="Heading 9 Char"/>
    <w:link w:val="Heading9"/>
    <w:rsid w:val="009119C9"/>
    <w:rPr>
      <w:rFonts w:ascii="Times New Roman" w:eastAsia="Times New Roman" w:hAnsi="Times New Roman" w:cs="Times New Roman"/>
      <w:sz w:val="16"/>
      <w:szCs w:val="16"/>
      <w:lang w:val="en-US" w:eastAsia="en-US"/>
    </w:rPr>
  </w:style>
  <w:style w:type="paragraph" w:customStyle="1" w:styleId="TableTitle">
    <w:name w:val="Table Title"/>
    <w:basedOn w:val="Normal"/>
    <w:rsid w:val="009119C9"/>
    <w:pPr>
      <w:autoSpaceDE w:val="0"/>
      <w:autoSpaceDN w:val="0"/>
      <w:ind w:left="0"/>
      <w:jc w:val="center"/>
    </w:pPr>
    <w:rPr>
      <w:smallCaps/>
      <w:sz w:val="18"/>
      <w:szCs w:val="16"/>
      <w:lang w:val="es-EC" w:eastAsia="en-US"/>
    </w:rPr>
  </w:style>
  <w:style w:type="paragraph" w:customStyle="1" w:styleId="References">
    <w:name w:val="References"/>
    <w:basedOn w:val="Normal"/>
    <w:rsid w:val="00BD34FF"/>
    <w:pPr>
      <w:numPr>
        <w:numId w:val="1"/>
      </w:numPr>
      <w:autoSpaceDE w:val="0"/>
      <w:autoSpaceDN w:val="0"/>
      <w:jc w:val="both"/>
    </w:pPr>
    <w:rPr>
      <w:sz w:val="16"/>
      <w:szCs w:val="16"/>
      <w:lang w:val="en-US" w:eastAsia="en-US"/>
    </w:rPr>
  </w:style>
  <w:style w:type="paragraph" w:customStyle="1" w:styleId="Text">
    <w:name w:val="Text"/>
    <w:basedOn w:val="Normal"/>
    <w:rsid w:val="00BD34FF"/>
    <w:pPr>
      <w:widowControl w:val="0"/>
      <w:autoSpaceDE w:val="0"/>
      <w:autoSpaceDN w:val="0"/>
      <w:spacing w:line="252" w:lineRule="auto"/>
      <w:ind w:left="0" w:firstLine="202"/>
      <w:jc w:val="both"/>
    </w:pPr>
    <w:rPr>
      <w:sz w:val="20"/>
      <w:szCs w:val="20"/>
      <w:lang w:val="en-US" w:eastAsia="en-US"/>
    </w:rPr>
  </w:style>
  <w:style w:type="paragraph" w:styleId="NoSpacing">
    <w:name w:val="No Spacing"/>
    <w:uiPriority w:val="1"/>
    <w:qFormat/>
    <w:rsid w:val="006652BE"/>
    <w:rPr>
      <w:rFonts w:asciiTheme="minorHAnsi" w:eastAsiaTheme="minorEastAsia" w:hAnsiTheme="minorHAnsi" w:cstheme="minorBidi"/>
      <w:sz w:val="22"/>
      <w:szCs w:val="22"/>
      <w:lang w:val="es-AR" w:eastAsia="es-AR"/>
    </w:rPr>
  </w:style>
  <w:style w:type="paragraph" w:styleId="HTMLPreformatted">
    <w:name w:val="HTML Preformatted"/>
    <w:basedOn w:val="Normal"/>
    <w:link w:val="HTMLPreformattedChar"/>
    <w:uiPriority w:val="99"/>
    <w:unhideWhenUsed/>
    <w:rsid w:val="00ED2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sz w:val="20"/>
      <w:szCs w:val="20"/>
      <w:lang w:val="es-ES" w:eastAsia="es-ES"/>
    </w:rPr>
  </w:style>
  <w:style w:type="character" w:customStyle="1" w:styleId="HTMLPreformattedChar">
    <w:name w:val="HTML Preformatted Char"/>
    <w:basedOn w:val="DefaultParagraphFont"/>
    <w:link w:val="HTMLPreformatted"/>
    <w:uiPriority w:val="99"/>
    <w:rsid w:val="00ED2428"/>
    <w:rPr>
      <w:rFonts w:ascii="Courier New" w:hAnsi="Courier New" w:cs="Courier New"/>
      <w:lang w:val="es-ES" w:eastAsia="es-ES"/>
    </w:rPr>
  </w:style>
  <w:style w:type="character" w:customStyle="1" w:styleId="y2iqfc">
    <w:name w:val="y2iqfc"/>
    <w:basedOn w:val="DefaultParagraphFont"/>
    <w:rsid w:val="00ED2428"/>
  </w:style>
  <w:style w:type="character" w:styleId="CommentReference">
    <w:name w:val="annotation reference"/>
    <w:basedOn w:val="DefaultParagraphFont"/>
    <w:uiPriority w:val="99"/>
    <w:semiHidden/>
    <w:unhideWhenUsed/>
    <w:rsid w:val="00182674"/>
    <w:rPr>
      <w:sz w:val="16"/>
      <w:szCs w:val="16"/>
    </w:rPr>
  </w:style>
  <w:style w:type="paragraph" w:styleId="CommentText">
    <w:name w:val="annotation text"/>
    <w:basedOn w:val="Normal"/>
    <w:link w:val="CommentTextChar"/>
    <w:uiPriority w:val="99"/>
    <w:semiHidden/>
    <w:unhideWhenUsed/>
    <w:rsid w:val="00182674"/>
    <w:rPr>
      <w:sz w:val="20"/>
      <w:szCs w:val="20"/>
    </w:rPr>
  </w:style>
  <w:style w:type="character" w:customStyle="1" w:styleId="CommentTextChar">
    <w:name w:val="Comment Text Char"/>
    <w:basedOn w:val="DefaultParagraphFont"/>
    <w:link w:val="CommentText"/>
    <w:uiPriority w:val="99"/>
    <w:semiHidden/>
    <w:rsid w:val="00182674"/>
    <w:rPr>
      <w:rFonts w:ascii="Times New Roman" w:hAnsi="Times New Roman"/>
      <w:lang w:val="es-ES_tradnl" w:eastAsia="zh-TW"/>
    </w:rPr>
  </w:style>
  <w:style w:type="paragraph" w:styleId="CommentSubject">
    <w:name w:val="annotation subject"/>
    <w:basedOn w:val="CommentText"/>
    <w:next w:val="CommentText"/>
    <w:link w:val="CommentSubjectChar"/>
    <w:uiPriority w:val="99"/>
    <w:semiHidden/>
    <w:unhideWhenUsed/>
    <w:rsid w:val="00182674"/>
    <w:rPr>
      <w:b/>
      <w:bCs/>
    </w:rPr>
  </w:style>
  <w:style w:type="character" w:customStyle="1" w:styleId="CommentSubjectChar">
    <w:name w:val="Comment Subject Char"/>
    <w:basedOn w:val="CommentTextChar"/>
    <w:link w:val="CommentSubject"/>
    <w:uiPriority w:val="99"/>
    <w:semiHidden/>
    <w:rsid w:val="00182674"/>
    <w:rPr>
      <w:rFonts w:ascii="Times New Roman" w:hAnsi="Times New Roman"/>
      <w:b/>
      <w:bCs/>
      <w:lang w:val="es-ES_tradnl" w:eastAsia="zh-TW"/>
    </w:rPr>
  </w:style>
  <w:style w:type="paragraph" w:styleId="Caption">
    <w:name w:val="caption"/>
    <w:basedOn w:val="Normal"/>
    <w:next w:val="Normal"/>
    <w:uiPriority w:val="35"/>
    <w:unhideWhenUsed/>
    <w:qFormat/>
    <w:rsid w:val="008F2E56"/>
    <w:pPr>
      <w:spacing w:after="200"/>
    </w:pPr>
    <w:rPr>
      <w:i/>
      <w:iCs/>
      <w:color w:val="44546A" w:themeColor="text2"/>
      <w:sz w:val="18"/>
      <w:szCs w:val="18"/>
    </w:rPr>
  </w:style>
  <w:style w:type="paragraph" w:styleId="NormalWeb">
    <w:name w:val="Normal (Web)"/>
    <w:basedOn w:val="Normal"/>
    <w:uiPriority w:val="99"/>
    <w:semiHidden/>
    <w:unhideWhenUsed/>
    <w:rsid w:val="0058289B"/>
    <w:pPr>
      <w:spacing w:before="100" w:beforeAutospacing="1" w:after="100" w:afterAutospacing="1"/>
      <w:ind w:left="0"/>
    </w:pPr>
    <w:rPr>
      <w:rFonts w:eastAsiaTheme="minorEastAsia"/>
      <w:szCs w:val="24"/>
      <w:lang w:val="es-AR" w:eastAsia="es-AR"/>
    </w:rPr>
  </w:style>
  <w:style w:type="paragraph" w:customStyle="1" w:styleId="Pa11">
    <w:name w:val="Pa11"/>
    <w:basedOn w:val="Normal"/>
    <w:next w:val="Normal"/>
    <w:uiPriority w:val="99"/>
    <w:rsid w:val="00223F51"/>
    <w:pPr>
      <w:autoSpaceDE w:val="0"/>
      <w:autoSpaceDN w:val="0"/>
      <w:adjustRightInd w:val="0"/>
      <w:spacing w:line="201" w:lineRule="atLeast"/>
      <w:ind w:left="0"/>
    </w:pPr>
    <w:rPr>
      <w:rFonts w:ascii="Optimum" w:hAnsi="Optimum"/>
      <w:szCs w:val="24"/>
      <w:lang w:val="es-AR" w:eastAsia="es-EC"/>
    </w:rPr>
  </w:style>
  <w:style w:type="character" w:styleId="UnresolvedMention">
    <w:name w:val="Unresolved Mention"/>
    <w:basedOn w:val="DefaultParagraphFont"/>
    <w:uiPriority w:val="99"/>
    <w:semiHidden/>
    <w:unhideWhenUsed/>
    <w:rsid w:val="00345326"/>
    <w:rPr>
      <w:color w:val="605E5C"/>
      <w:shd w:val="clear" w:color="auto" w:fill="E1DFDD"/>
    </w:rPr>
  </w:style>
  <w:style w:type="paragraph" w:styleId="EndnoteText">
    <w:name w:val="endnote text"/>
    <w:basedOn w:val="Normal"/>
    <w:link w:val="EndnoteTextChar"/>
    <w:uiPriority w:val="99"/>
    <w:semiHidden/>
    <w:unhideWhenUsed/>
    <w:rsid w:val="0001042D"/>
    <w:rPr>
      <w:sz w:val="20"/>
      <w:szCs w:val="20"/>
    </w:rPr>
  </w:style>
  <w:style w:type="character" w:customStyle="1" w:styleId="EndnoteTextChar">
    <w:name w:val="Endnote Text Char"/>
    <w:basedOn w:val="DefaultParagraphFont"/>
    <w:link w:val="EndnoteText"/>
    <w:uiPriority w:val="99"/>
    <w:semiHidden/>
    <w:rsid w:val="0001042D"/>
    <w:rPr>
      <w:rFonts w:ascii="Times New Roman" w:hAnsi="Times New Roman"/>
      <w:lang w:val="es-ES_tradnl" w:eastAsia="zh-TW"/>
    </w:rPr>
  </w:style>
  <w:style w:type="character" w:styleId="EndnoteReference">
    <w:name w:val="endnote reference"/>
    <w:basedOn w:val="DefaultParagraphFont"/>
    <w:uiPriority w:val="99"/>
    <w:semiHidden/>
    <w:unhideWhenUsed/>
    <w:rsid w:val="0001042D"/>
    <w:rPr>
      <w:vertAlign w:val="superscript"/>
    </w:rPr>
  </w:style>
  <w:style w:type="numbering" w:customStyle="1" w:styleId="Estilo1">
    <w:name w:val="Estilo1"/>
    <w:uiPriority w:val="99"/>
    <w:rsid w:val="007B14EE"/>
    <w:pPr>
      <w:numPr>
        <w:numId w:val="5"/>
      </w:numPr>
    </w:pPr>
  </w:style>
  <w:style w:type="numbering" w:customStyle="1" w:styleId="Estilo2">
    <w:name w:val="Estilo2"/>
    <w:uiPriority w:val="99"/>
    <w:rsid w:val="007E2384"/>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5379">
      <w:bodyDiv w:val="1"/>
      <w:marLeft w:val="0"/>
      <w:marRight w:val="0"/>
      <w:marTop w:val="0"/>
      <w:marBottom w:val="0"/>
      <w:divBdr>
        <w:top w:val="none" w:sz="0" w:space="0" w:color="auto"/>
        <w:left w:val="none" w:sz="0" w:space="0" w:color="auto"/>
        <w:bottom w:val="none" w:sz="0" w:space="0" w:color="auto"/>
        <w:right w:val="none" w:sz="0" w:space="0" w:color="auto"/>
      </w:divBdr>
    </w:div>
    <w:div w:id="22904350">
      <w:bodyDiv w:val="1"/>
      <w:marLeft w:val="0"/>
      <w:marRight w:val="0"/>
      <w:marTop w:val="0"/>
      <w:marBottom w:val="0"/>
      <w:divBdr>
        <w:top w:val="none" w:sz="0" w:space="0" w:color="auto"/>
        <w:left w:val="none" w:sz="0" w:space="0" w:color="auto"/>
        <w:bottom w:val="none" w:sz="0" w:space="0" w:color="auto"/>
        <w:right w:val="none" w:sz="0" w:space="0" w:color="auto"/>
      </w:divBdr>
    </w:div>
    <w:div w:id="52776851">
      <w:bodyDiv w:val="1"/>
      <w:marLeft w:val="0"/>
      <w:marRight w:val="0"/>
      <w:marTop w:val="0"/>
      <w:marBottom w:val="0"/>
      <w:divBdr>
        <w:top w:val="none" w:sz="0" w:space="0" w:color="auto"/>
        <w:left w:val="none" w:sz="0" w:space="0" w:color="auto"/>
        <w:bottom w:val="none" w:sz="0" w:space="0" w:color="auto"/>
        <w:right w:val="none" w:sz="0" w:space="0" w:color="auto"/>
      </w:divBdr>
    </w:div>
    <w:div w:id="59600995">
      <w:bodyDiv w:val="1"/>
      <w:marLeft w:val="0"/>
      <w:marRight w:val="0"/>
      <w:marTop w:val="0"/>
      <w:marBottom w:val="0"/>
      <w:divBdr>
        <w:top w:val="none" w:sz="0" w:space="0" w:color="auto"/>
        <w:left w:val="none" w:sz="0" w:space="0" w:color="auto"/>
        <w:bottom w:val="none" w:sz="0" w:space="0" w:color="auto"/>
        <w:right w:val="none" w:sz="0" w:space="0" w:color="auto"/>
      </w:divBdr>
    </w:div>
    <w:div w:id="59905889">
      <w:bodyDiv w:val="1"/>
      <w:marLeft w:val="0"/>
      <w:marRight w:val="0"/>
      <w:marTop w:val="0"/>
      <w:marBottom w:val="0"/>
      <w:divBdr>
        <w:top w:val="none" w:sz="0" w:space="0" w:color="auto"/>
        <w:left w:val="none" w:sz="0" w:space="0" w:color="auto"/>
        <w:bottom w:val="none" w:sz="0" w:space="0" w:color="auto"/>
        <w:right w:val="none" w:sz="0" w:space="0" w:color="auto"/>
      </w:divBdr>
    </w:div>
    <w:div w:id="101193859">
      <w:bodyDiv w:val="1"/>
      <w:marLeft w:val="0"/>
      <w:marRight w:val="0"/>
      <w:marTop w:val="0"/>
      <w:marBottom w:val="0"/>
      <w:divBdr>
        <w:top w:val="none" w:sz="0" w:space="0" w:color="auto"/>
        <w:left w:val="none" w:sz="0" w:space="0" w:color="auto"/>
        <w:bottom w:val="none" w:sz="0" w:space="0" w:color="auto"/>
        <w:right w:val="none" w:sz="0" w:space="0" w:color="auto"/>
      </w:divBdr>
      <w:divsChild>
        <w:div w:id="1485388090">
          <w:marLeft w:val="0"/>
          <w:marRight w:val="0"/>
          <w:marTop w:val="0"/>
          <w:marBottom w:val="0"/>
          <w:divBdr>
            <w:top w:val="none" w:sz="0" w:space="0" w:color="auto"/>
            <w:left w:val="none" w:sz="0" w:space="0" w:color="auto"/>
            <w:bottom w:val="none" w:sz="0" w:space="0" w:color="auto"/>
            <w:right w:val="none" w:sz="0" w:space="0" w:color="auto"/>
          </w:divBdr>
        </w:div>
      </w:divsChild>
    </w:div>
    <w:div w:id="103043629">
      <w:bodyDiv w:val="1"/>
      <w:marLeft w:val="0"/>
      <w:marRight w:val="0"/>
      <w:marTop w:val="0"/>
      <w:marBottom w:val="0"/>
      <w:divBdr>
        <w:top w:val="none" w:sz="0" w:space="0" w:color="auto"/>
        <w:left w:val="none" w:sz="0" w:space="0" w:color="auto"/>
        <w:bottom w:val="none" w:sz="0" w:space="0" w:color="auto"/>
        <w:right w:val="none" w:sz="0" w:space="0" w:color="auto"/>
      </w:divBdr>
    </w:div>
    <w:div w:id="120150121">
      <w:bodyDiv w:val="1"/>
      <w:marLeft w:val="0"/>
      <w:marRight w:val="0"/>
      <w:marTop w:val="0"/>
      <w:marBottom w:val="0"/>
      <w:divBdr>
        <w:top w:val="none" w:sz="0" w:space="0" w:color="auto"/>
        <w:left w:val="none" w:sz="0" w:space="0" w:color="auto"/>
        <w:bottom w:val="none" w:sz="0" w:space="0" w:color="auto"/>
        <w:right w:val="none" w:sz="0" w:space="0" w:color="auto"/>
      </w:divBdr>
    </w:div>
    <w:div w:id="131870850">
      <w:bodyDiv w:val="1"/>
      <w:marLeft w:val="0"/>
      <w:marRight w:val="0"/>
      <w:marTop w:val="0"/>
      <w:marBottom w:val="0"/>
      <w:divBdr>
        <w:top w:val="none" w:sz="0" w:space="0" w:color="auto"/>
        <w:left w:val="none" w:sz="0" w:space="0" w:color="auto"/>
        <w:bottom w:val="none" w:sz="0" w:space="0" w:color="auto"/>
        <w:right w:val="none" w:sz="0" w:space="0" w:color="auto"/>
      </w:divBdr>
    </w:div>
    <w:div w:id="132648836">
      <w:bodyDiv w:val="1"/>
      <w:marLeft w:val="0"/>
      <w:marRight w:val="0"/>
      <w:marTop w:val="0"/>
      <w:marBottom w:val="0"/>
      <w:divBdr>
        <w:top w:val="none" w:sz="0" w:space="0" w:color="auto"/>
        <w:left w:val="none" w:sz="0" w:space="0" w:color="auto"/>
        <w:bottom w:val="none" w:sz="0" w:space="0" w:color="auto"/>
        <w:right w:val="none" w:sz="0" w:space="0" w:color="auto"/>
      </w:divBdr>
    </w:div>
    <w:div w:id="139077163">
      <w:bodyDiv w:val="1"/>
      <w:marLeft w:val="0"/>
      <w:marRight w:val="0"/>
      <w:marTop w:val="0"/>
      <w:marBottom w:val="0"/>
      <w:divBdr>
        <w:top w:val="none" w:sz="0" w:space="0" w:color="auto"/>
        <w:left w:val="none" w:sz="0" w:space="0" w:color="auto"/>
        <w:bottom w:val="none" w:sz="0" w:space="0" w:color="auto"/>
        <w:right w:val="none" w:sz="0" w:space="0" w:color="auto"/>
      </w:divBdr>
    </w:div>
    <w:div w:id="140078561">
      <w:bodyDiv w:val="1"/>
      <w:marLeft w:val="0"/>
      <w:marRight w:val="0"/>
      <w:marTop w:val="0"/>
      <w:marBottom w:val="0"/>
      <w:divBdr>
        <w:top w:val="none" w:sz="0" w:space="0" w:color="auto"/>
        <w:left w:val="none" w:sz="0" w:space="0" w:color="auto"/>
        <w:bottom w:val="none" w:sz="0" w:space="0" w:color="auto"/>
        <w:right w:val="none" w:sz="0" w:space="0" w:color="auto"/>
      </w:divBdr>
    </w:div>
    <w:div w:id="151793570">
      <w:bodyDiv w:val="1"/>
      <w:marLeft w:val="0"/>
      <w:marRight w:val="0"/>
      <w:marTop w:val="0"/>
      <w:marBottom w:val="0"/>
      <w:divBdr>
        <w:top w:val="none" w:sz="0" w:space="0" w:color="auto"/>
        <w:left w:val="none" w:sz="0" w:space="0" w:color="auto"/>
        <w:bottom w:val="none" w:sz="0" w:space="0" w:color="auto"/>
        <w:right w:val="none" w:sz="0" w:space="0" w:color="auto"/>
      </w:divBdr>
    </w:div>
    <w:div w:id="160119087">
      <w:bodyDiv w:val="1"/>
      <w:marLeft w:val="0"/>
      <w:marRight w:val="0"/>
      <w:marTop w:val="0"/>
      <w:marBottom w:val="0"/>
      <w:divBdr>
        <w:top w:val="none" w:sz="0" w:space="0" w:color="auto"/>
        <w:left w:val="none" w:sz="0" w:space="0" w:color="auto"/>
        <w:bottom w:val="none" w:sz="0" w:space="0" w:color="auto"/>
        <w:right w:val="none" w:sz="0" w:space="0" w:color="auto"/>
      </w:divBdr>
    </w:div>
    <w:div w:id="161972138">
      <w:bodyDiv w:val="1"/>
      <w:marLeft w:val="0"/>
      <w:marRight w:val="0"/>
      <w:marTop w:val="0"/>
      <w:marBottom w:val="0"/>
      <w:divBdr>
        <w:top w:val="none" w:sz="0" w:space="0" w:color="auto"/>
        <w:left w:val="none" w:sz="0" w:space="0" w:color="auto"/>
        <w:bottom w:val="none" w:sz="0" w:space="0" w:color="auto"/>
        <w:right w:val="none" w:sz="0" w:space="0" w:color="auto"/>
      </w:divBdr>
    </w:div>
    <w:div w:id="168957974">
      <w:bodyDiv w:val="1"/>
      <w:marLeft w:val="0"/>
      <w:marRight w:val="0"/>
      <w:marTop w:val="0"/>
      <w:marBottom w:val="0"/>
      <w:divBdr>
        <w:top w:val="none" w:sz="0" w:space="0" w:color="auto"/>
        <w:left w:val="none" w:sz="0" w:space="0" w:color="auto"/>
        <w:bottom w:val="none" w:sz="0" w:space="0" w:color="auto"/>
        <w:right w:val="none" w:sz="0" w:space="0" w:color="auto"/>
      </w:divBdr>
    </w:div>
    <w:div w:id="169493204">
      <w:bodyDiv w:val="1"/>
      <w:marLeft w:val="0"/>
      <w:marRight w:val="0"/>
      <w:marTop w:val="0"/>
      <w:marBottom w:val="0"/>
      <w:divBdr>
        <w:top w:val="none" w:sz="0" w:space="0" w:color="auto"/>
        <w:left w:val="none" w:sz="0" w:space="0" w:color="auto"/>
        <w:bottom w:val="none" w:sz="0" w:space="0" w:color="auto"/>
        <w:right w:val="none" w:sz="0" w:space="0" w:color="auto"/>
      </w:divBdr>
    </w:div>
    <w:div w:id="173496126">
      <w:bodyDiv w:val="1"/>
      <w:marLeft w:val="0"/>
      <w:marRight w:val="0"/>
      <w:marTop w:val="0"/>
      <w:marBottom w:val="0"/>
      <w:divBdr>
        <w:top w:val="none" w:sz="0" w:space="0" w:color="auto"/>
        <w:left w:val="none" w:sz="0" w:space="0" w:color="auto"/>
        <w:bottom w:val="none" w:sz="0" w:space="0" w:color="auto"/>
        <w:right w:val="none" w:sz="0" w:space="0" w:color="auto"/>
      </w:divBdr>
      <w:divsChild>
        <w:div w:id="1885171680">
          <w:marLeft w:val="0"/>
          <w:marRight w:val="0"/>
          <w:marTop w:val="0"/>
          <w:marBottom w:val="0"/>
          <w:divBdr>
            <w:top w:val="none" w:sz="0" w:space="0" w:color="auto"/>
            <w:left w:val="none" w:sz="0" w:space="0" w:color="auto"/>
            <w:bottom w:val="none" w:sz="0" w:space="0" w:color="auto"/>
            <w:right w:val="none" w:sz="0" w:space="0" w:color="auto"/>
          </w:divBdr>
        </w:div>
      </w:divsChild>
    </w:div>
    <w:div w:id="189028718">
      <w:bodyDiv w:val="1"/>
      <w:marLeft w:val="0"/>
      <w:marRight w:val="0"/>
      <w:marTop w:val="0"/>
      <w:marBottom w:val="0"/>
      <w:divBdr>
        <w:top w:val="none" w:sz="0" w:space="0" w:color="auto"/>
        <w:left w:val="none" w:sz="0" w:space="0" w:color="auto"/>
        <w:bottom w:val="none" w:sz="0" w:space="0" w:color="auto"/>
        <w:right w:val="none" w:sz="0" w:space="0" w:color="auto"/>
      </w:divBdr>
    </w:div>
    <w:div w:id="224415422">
      <w:bodyDiv w:val="1"/>
      <w:marLeft w:val="0"/>
      <w:marRight w:val="0"/>
      <w:marTop w:val="0"/>
      <w:marBottom w:val="0"/>
      <w:divBdr>
        <w:top w:val="none" w:sz="0" w:space="0" w:color="auto"/>
        <w:left w:val="none" w:sz="0" w:space="0" w:color="auto"/>
        <w:bottom w:val="none" w:sz="0" w:space="0" w:color="auto"/>
        <w:right w:val="none" w:sz="0" w:space="0" w:color="auto"/>
      </w:divBdr>
    </w:div>
    <w:div w:id="225075014">
      <w:bodyDiv w:val="1"/>
      <w:marLeft w:val="0"/>
      <w:marRight w:val="0"/>
      <w:marTop w:val="0"/>
      <w:marBottom w:val="0"/>
      <w:divBdr>
        <w:top w:val="none" w:sz="0" w:space="0" w:color="auto"/>
        <w:left w:val="none" w:sz="0" w:space="0" w:color="auto"/>
        <w:bottom w:val="none" w:sz="0" w:space="0" w:color="auto"/>
        <w:right w:val="none" w:sz="0" w:space="0" w:color="auto"/>
      </w:divBdr>
    </w:div>
    <w:div w:id="234900027">
      <w:bodyDiv w:val="1"/>
      <w:marLeft w:val="0"/>
      <w:marRight w:val="0"/>
      <w:marTop w:val="0"/>
      <w:marBottom w:val="0"/>
      <w:divBdr>
        <w:top w:val="none" w:sz="0" w:space="0" w:color="auto"/>
        <w:left w:val="none" w:sz="0" w:space="0" w:color="auto"/>
        <w:bottom w:val="none" w:sz="0" w:space="0" w:color="auto"/>
        <w:right w:val="none" w:sz="0" w:space="0" w:color="auto"/>
      </w:divBdr>
    </w:div>
    <w:div w:id="263149837">
      <w:bodyDiv w:val="1"/>
      <w:marLeft w:val="0"/>
      <w:marRight w:val="0"/>
      <w:marTop w:val="0"/>
      <w:marBottom w:val="0"/>
      <w:divBdr>
        <w:top w:val="none" w:sz="0" w:space="0" w:color="auto"/>
        <w:left w:val="none" w:sz="0" w:space="0" w:color="auto"/>
        <w:bottom w:val="none" w:sz="0" w:space="0" w:color="auto"/>
        <w:right w:val="none" w:sz="0" w:space="0" w:color="auto"/>
      </w:divBdr>
    </w:div>
    <w:div w:id="311183398">
      <w:bodyDiv w:val="1"/>
      <w:marLeft w:val="0"/>
      <w:marRight w:val="0"/>
      <w:marTop w:val="0"/>
      <w:marBottom w:val="0"/>
      <w:divBdr>
        <w:top w:val="none" w:sz="0" w:space="0" w:color="auto"/>
        <w:left w:val="none" w:sz="0" w:space="0" w:color="auto"/>
        <w:bottom w:val="none" w:sz="0" w:space="0" w:color="auto"/>
        <w:right w:val="none" w:sz="0" w:space="0" w:color="auto"/>
      </w:divBdr>
    </w:div>
    <w:div w:id="321085899">
      <w:bodyDiv w:val="1"/>
      <w:marLeft w:val="0"/>
      <w:marRight w:val="0"/>
      <w:marTop w:val="0"/>
      <w:marBottom w:val="0"/>
      <w:divBdr>
        <w:top w:val="none" w:sz="0" w:space="0" w:color="auto"/>
        <w:left w:val="none" w:sz="0" w:space="0" w:color="auto"/>
        <w:bottom w:val="none" w:sz="0" w:space="0" w:color="auto"/>
        <w:right w:val="none" w:sz="0" w:space="0" w:color="auto"/>
      </w:divBdr>
    </w:div>
    <w:div w:id="353268900">
      <w:bodyDiv w:val="1"/>
      <w:marLeft w:val="0"/>
      <w:marRight w:val="0"/>
      <w:marTop w:val="0"/>
      <w:marBottom w:val="0"/>
      <w:divBdr>
        <w:top w:val="none" w:sz="0" w:space="0" w:color="auto"/>
        <w:left w:val="none" w:sz="0" w:space="0" w:color="auto"/>
        <w:bottom w:val="none" w:sz="0" w:space="0" w:color="auto"/>
        <w:right w:val="none" w:sz="0" w:space="0" w:color="auto"/>
      </w:divBdr>
      <w:divsChild>
        <w:div w:id="1195267002">
          <w:marLeft w:val="0"/>
          <w:marRight w:val="0"/>
          <w:marTop w:val="0"/>
          <w:marBottom w:val="0"/>
          <w:divBdr>
            <w:top w:val="none" w:sz="0" w:space="0" w:color="auto"/>
            <w:left w:val="none" w:sz="0" w:space="0" w:color="auto"/>
            <w:bottom w:val="none" w:sz="0" w:space="0" w:color="auto"/>
            <w:right w:val="none" w:sz="0" w:space="0" w:color="auto"/>
          </w:divBdr>
          <w:divsChild>
            <w:div w:id="1847472393">
              <w:marLeft w:val="0"/>
              <w:marRight w:val="0"/>
              <w:marTop w:val="0"/>
              <w:marBottom w:val="0"/>
              <w:divBdr>
                <w:top w:val="none" w:sz="0" w:space="0" w:color="auto"/>
                <w:left w:val="none" w:sz="0" w:space="0" w:color="auto"/>
                <w:bottom w:val="none" w:sz="0" w:space="0" w:color="auto"/>
                <w:right w:val="none" w:sz="0" w:space="0" w:color="auto"/>
              </w:divBdr>
              <w:divsChild>
                <w:div w:id="1205096997">
                  <w:marLeft w:val="0"/>
                  <w:marRight w:val="0"/>
                  <w:marTop w:val="0"/>
                  <w:marBottom w:val="0"/>
                  <w:divBdr>
                    <w:top w:val="none" w:sz="0" w:space="0" w:color="auto"/>
                    <w:left w:val="none" w:sz="0" w:space="0" w:color="auto"/>
                    <w:bottom w:val="none" w:sz="0" w:space="0" w:color="auto"/>
                    <w:right w:val="none" w:sz="0" w:space="0" w:color="auto"/>
                  </w:divBdr>
                  <w:divsChild>
                    <w:div w:id="70185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971691">
      <w:bodyDiv w:val="1"/>
      <w:marLeft w:val="0"/>
      <w:marRight w:val="0"/>
      <w:marTop w:val="0"/>
      <w:marBottom w:val="0"/>
      <w:divBdr>
        <w:top w:val="none" w:sz="0" w:space="0" w:color="auto"/>
        <w:left w:val="none" w:sz="0" w:space="0" w:color="auto"/>
        <w:bottom w:val="none" w:sz="0" w:space="0" w:color="auto"/>
        <w:right w:val="none" w:sz="0" w:space="0" w:color="auto"/>
      </w:divBdr>
    </w:div>
    <w:div w:id="363751910">
      <w:bodyDiv w:val="1"/>
      <w:marLeft w:val="0"/>
      <w:marRight w:val="0"/>
      <w:marTop w:val="0"/>
      <w:marBottom w:val="0"/>
      <w:divBdr>
        <w:top w:val="none" w:sz="0" w:space="0" w:color="auto"/>
        <w:left w:val="none" w:sz="0" w:space="0" w:color="auto"/>
        <w:bottom w:val="none" w:sz="0" w:space="0" w:color="auto"/>
        <w:right w:val="none" w:sz="0" w:space="0" w:color="auto"/>
      </w:divBdr>
    </w:div>
    <w:div w:id="365565002">
      <w:bodyDiv w:val="1"/>
      <w:marLeft w:val="0"/>
      <w:marRight w:val="0"/>
      <w:marTop w:val="0"/>
      <w:marBottom w:val="0"/>
      <w:divBdr>
        <w:top w:val="none" w:sz="0" w:space="0" w:color="auto"/>
        <w:left w:val="none" w:sz="0" w:space="0" w:color="auto"/>
        <w:bottom w:val="none" w:sz="0" w:space="0" w:color="auto"/>
        <w:right w:val="none" w:sz="0" w:space="0" w:color="auto"/>
      </w:divBdr>
    </w:div>
    <w:div w:id="375858942">
      <w:bodyDiv w:val="1"/>
      <w:marLeft w:val="0"/>
      <w:marRight w:val="0"/>
      <w:marTop w:val="0"/>
      <w:marBottom w:val="0"/>
      <w:divBdr>
        <w:top w:val="none" w:sz="0" w:space="0" w:color="auto"/>
        <w:left w:val="none" w:sz="0" w:space="0" w:color="auto"/>
        <w:bottom w:val="none" w:sz="0" w:space="0" w:color="auto"/>
        <w:right w:val="none" w:sz="0" w:space="0" w:color="auto"/>
      </w:divBdr>
    </w:div>
    <w:div w:id="390539397">
      <w:bodyDiv w:val="1"/>
      <w:marLeft w:val="0"/>
      <w:marRight w:val="0"/>
      <w:marTop w:val="0"/>
      <w:marBottom w:val="0"/>
      <w:divBdr>
        <w:top w:val="none" w:sz="0" w:space="0" w:color="auto"/>
        <w:left w:val="none" w:sz="0" w:space="0" w:color="auto"/>
        <w:bottom w:val="none" w:sz="0" w:space="0" w:color="auto"/>
        <w:right w:val="none" w:sz="0" w:space="0" w:color="auto"/>
      </w:divBdr>
    </w:div>
    <w:div w:id="391929931">
      <w:bodyDiv w:val="1"/>
      <w:marLeft w:val="0"/>
      <w:marRight w:val="0"/>
      <w:marTop w:val="0"/>
      <w:marBottom w:val="0"/>
      <w:divBdr>
        <w:top w:val="none" w:sz="0" w:space="0" w:color="auto"/>
        <w:left w:val="none" w:sz="0" w:space="0" w:color="auto"/>
        <w:bottom w:val="none" w:sz="0" w:space="0" w:color="auto"/>
        <w:right w:val="none" w:sz="0" w:space="0" w:color="auto"/>
      </w:divBdr>
    </w:div>
    <w:div w:id="396243008">
      <w:bodyDiv w:val="1"/>
      <w:marLeft w:val="0"/>
      <w:marRight w:val="0"/>
      <w:marTop w:val="0"/>
      <w:marBottom w:val="0"/>
      <w:divBdr>
        <w:top w:val="none" w:sz="0" w:space="0" w:color="auto"/>
        <w:left w:val="none" w:sz="0" w:space="0" w:color="auto"/>
        <w:bottom w:val="none" w:sz="0" w:space="0" w:color="auto"/>
        <w:right w:val="none" w:sz="0" w:space="0" w:color="auto"/>
      </w:divBdr>
    </w:div>
    <w:div w:id="406222288">
      <w:bodyDiv w:val="1"/>
      <w:marLeft w:val="0"/>
      <w:marRight w:val="0"/>
      <w:marTop w:val="0"/>
      <w:marBottom w:val="0"/>
      <w:divBdr>
        <w:top w:val="none" w:sz="0" w:space="0" w:color="auto"/>
        <w:left w:val="none" w:sz="0" w:space="0" w:color="auto"/>
        <w:bottom w:val="none" w:sz="0" w:space="0" w:color="auto"/>
        <w:right w:val="none" w:sz="0" w:space="0" w:color="auto"/>
      </w:divBdr>
    </w:div>
    <w:div w:id="420227558">
      <w:bodyDiv w:val="1"/>
      <w:marLeft w:val="0"/>
      <w:marRight w:val="0"/>
      <w:marTop w:val="0"/>
      <w:marBottom w:val="0"/>
      <w:divBdr>
        <w:top w:val="none" w:sz="0" w:space="0" w:color="auto"/>
        <w:left w:val="none" w:sz="0" w:space="0" w:color="auto"/>
        <w:bottom w:val="none" w:sz="0" w:space="0" w:color="auto"/>
        <w:right w:val="none" w:sz="0" w:space="0" w:color="auto"/>
      </w:divBdr>
    </w:div>
    <w:div w:id="422804895">
      <w:bodyDiv w:val="1"/>
      <w:marLeft w:val="0"/>
      <w:marRight w:val="0"/>
      <w:marTop w:val="0"/>
      <w:marBottom w:val="0"/>
      <w:divBdr>
        <w:top w:val="none" w:sz="0" w:space="0" w:color="auto"/>
        <w:left w:val="none" w:sz="0" w:space="0" w:color="auto"/>
        <w:bottom w:val="none" w:sz="0" w:space="0" w:color="auto"/>
        <w:right w:val="none" w:sz="0" w:space="0" w:color="auto"/>
      </w:divBdr>
    </w:div>
    <w:div w:id="430199235">
      <w:bodyDiv w:val="1"/>
      <w:marLeft w:val="0"/>
      <w:marRight w:val="0"/>
      <w:marTop w:val="0"/>
      <w:marBottom w:val="0"/>
      <w:divBdr>
        <w:top w:val="none" w:sz="0" w:space="0" w:color="auto"/>
        <w:left w:val="none" w:sz="0" w:space="0" w:color="auto"/>
        <w:bottom w:val="none" w:sz="0" w:space="0" w:color="auto"/>
        <w:right w:val="none" w:sz="0" w:space="0" w:color="auto"/>
      </w:divBdr>
    </w:div>
    <w:div w:id="437330709">
      <w:bodyDiv w:val="1"/>
      <w:marLeft w:val="0"/>
      <w:marRight w:val="0"/>
      <w:marTop w:val="0"/>
      <w:marBottom w:val="0"/>
      <w:divBdr>
        <w:top w:val="none" w:sz="0" w:space="0" w:color="auto"/>
        <w:left w:val="none" w:sz="0" w:space="0" w:color="auto"/>
        <w:bottom w:val="none" w:sz="0" w:space="0" w:color="auto"/>
        <w:right w:val="none" w:sz="0" w:space="0" w:color="auto"/>
      </w:divBdr>
    </w:div>
    <w:div w:id="470562154">
      <w:bodyDiv w:val="1"/>
      <w:marLeft w:val="0"/>
      <w:marRight w:val="0"/>
      <w:marTop w:val="0"/>
      <w:marBottom w:val="0"/>
      <w:divBdr>
        <w:top w:val="none" w:sz="0" w:space="0" w:color="auto"/>
        <w:left w:val="none" w:sz="0" w:space="0" w:color="auto"/>
        <w:bottom w:val="none" w:sz="0" w:space="0" w:color="auto"/>
        <w:right w:val="none" w:sz="0" w:space="0" w:color="auto"/>
      </w:divBdr>
    </w:div>
    <w:div w:id="476386154">
      <w:bodyDiv w:val="1"/>
      <w:marLeft w:val="0"/>
      <w:marRight w:val="0"/>
      <w:marTop w:val="0"/>
      <w:marBottom w:val="0"/>
      <w:divBdr>
        <w:top w:val="none" w:sz="0" w:space="0" w:color="auto"/>
        <w:left w:val="none" w:sz="0" w:space="0" w:color="auto"/>
        <w:bottom w:val="none" w:sz="0" w:space="0" w:color="auto"/>
        <w:right w:val="none" w:sz="0" w:space="0" w:color="auto"/>
      </w:divBdr>
    </w:div>
    <w:div w:id="476999106">
      <w:bodyDiv w:val="1"/>
      <w:marLeft w:val="0"/>
      <w:marRight w:val="0"/>
      <w:marTop w:val="0"/>
      <w:marBottom w:val="0"/>
      <w:divBdr>
        <w:top w:val="none" w:sz="0" w:space="0" w:color="auto"/>
        <w:left w:val="none" w:sz="0" w:space="0" w:color="auto"/>
        <w:bottom w:val="none" w:sz="0" w:space="0" w:color="auto"/>
        <w:right w:val="none" w:sz="0" w:space="0" w:color="auto"/>
      </w:divBdr>
      <w:divsChild>
        <w:div w:id="399791137">
          <w:marLeft w:val="0"/>
          <w:marRight w:val="0"/>
          <w:marTop w:val="0"/>
          <w:marBottom w:val="0"/>
          <w:divBdr>
            <w:top w:val="none" w:sz="0" w:space="0" w:color="auto"/>
            <w:left w:val="none" w:sz="0" w:space="0" w:color="auto"/>
            <w:bottom w:val="none" w:sz="0" w:space="0" w:color="auto"/>
            <w:right w:val="none" w:sz="0" w:space="0" w:color="auto"/>
          </w:divBdr>
        </w:div>
      </w:divsChild>
    </w:div>
    <w:div w:id="479005472">
      <w:bodyDiv w:val="1"/>
      <w:marLeft w:val="0"/>
      <w:marRight w:val="0"/>
      <w:marTop w:val="0"/>
      <w:marBottom w:val="0"/>
      <w:divBdr>
        <w:top w:val="none" w:sz="0" w:space="0" w:color="auto"/>
        <w:left w:val="none" w:sz="0" w:space="0" w:color="auto"/>
        <w:bottom w:val="none" w:sz="0" w:space="0" w:color="auto"/>
        <w:right w:val="none" w:sz="0" w:space="0" w:color="auto"/>
      </w:divBdr>
    </w:div>
    <w:div w:id="515002760">
      <w:bodyDiv w:val="1"/>
      <w:marLeft w:val="0"/>
      <w:marRight w:val="0"/>
      <w:marTop w:val="0"/>
      <w:marBottom w:val="0"/>
      <w:divBdr>
        <w:top w:val="none" w:sz="0" w:space="0" w:color="auto"/>
        <w:left w:val="none" w:sz="0" w:space="0" w:color="auto"/>
        <w:bottom w:val="none" w:sz="0" w:space="0" w:color="auto"/>
        <w:right w:val="none" w:sz="0" w:space="0" w:color="auto"/>
      </w:divBdr>
    </w:div>
    <w:div w:id="526600941">
      <w:bodyDiv w:val="1"/>
      <w:marLeft w:val="0"/>
      <w:marRight w:val="0"/>
      <w:marTop w:val="0"/>
      <w:marBottom w:val="0"/>
      <w:divBdr>
        <w:top w:val="none" w:sz="0" w:space="0" w:color="auto"/>
        <w:left w:val="none" w:sz="0" w:space="0" w:color="auto"/>
        <w:bottom w:val="none" w:sz="0" w:space="0" w:color="auto"/>
        <w:right w:val="none" w:sz="0" w:space="0" w:color="auto"/>
      </w:divBdr>
    </w:div>
    <w:div w:id="541555165">
      <w:bodyDiv w:val="1"/>
      <w:marLeft w:val="0"/>
      <w:marRight w:val="0"/>
      <w:marTop w:val="0"/>
      <w:marBottom w:val="0"/>
      <w:divBdr>
        <w:top w:val="none" w:sz="0" w:space="0" w:color="auto"/>
        <w:left w:val="none" w:sz="0" w:space="0" w:color="auto"/>
        <w:bottom w:val="none" w:sz="0" w:space="0" w:color="auto"/>
        <w:right w:val="none" w:sz="0" w:space="0" w:color="auto"/>
      </w:divBdr>
    </w:div>
    <w:div w:id="564485785">
      <w:bodyDiv w:val="1"/>
      <w:marLeft w:val="0"/>
      <w:marRight w:val="0"/>
      <w:marTop w:val="0"/>
      <w:marBottom w:val="0"/>
      <w:divBdr>
        <w:top w:val="none" w:sz="0" w:space="0" w:color="auto"/>
        <w:left w:val="none" w:sz="0" w:space="0" w:color="auto"/>
        <w:bottom w:val="none" w:sz="0" w:space="0" w:color="auto"/>
        <w:right w:val="none" w:sz="0" w:space="0" w:color="auto"/>
      </w:divBdr>
    </w:div>
    <w:div w:id="572742894">
      <w:bodyDiv w:val="1"/>
      <w:marLeft w:val="0"/>
      <w:marRight w:val="0"/>
      <w:marTop w:val="0"/>
      <w:marBottom w:val="0"/>
      <w:divBdr>
        <w:top w:val="none" w:sz="0" w:space="0" w:color="auto"/>
        <w:left w:val="none" w:sz="0" w:space="0" w:color="auto"/>
        <w:bottom w:val="none" w:sz="0" w:space="0" w:color="auto"/>
        <w:right w:val="none" w:sz="0" w:space="0" w:color="auto"/>
      </w:divBdr>
    </w:div>
    <w:div w:id="576134311">
      <w:bodyDiv w:val="1"/>
      <w:marLeft w:val="0"/>
      <w:marRight w:val="0"/>
      <w:marTop w:val="0"/>
      <w:marBottom w:val="0"/>
      <w:divBdr>
        <w:top w:val="none" w:sz="0" w:space="0" w:color="auto"/>
        <w:left w:val="none" w:sz="0" w:space="0" w:color="auto"/>
        <w:bottom w:val="none" w:sz="0" w:space="0" w:color="auto"/>
        <w:right w:val="none" w:sz="0" w:space="0" w:color="auto"/>
      </w:divBdr>
    </w:div>
    <w:div w:id="586039746">
      <w:bodyDiv w:val="1"/>
      <w:marLeft w:val="0"/>
      <w:marRight w:val="0"/>
      <w:marTop w:val="0"/>
      <w:marBottom w:val="0"/>
      <w:divBdr>
        <w:top w:val="none" w:sz="0" w:space="0" w:color="auto"/>
        <w:left w:val="none" w:sz="0" w:space="0" w:color="auto"/>
        <w:bottom w:val="none" w:sz="0" w:space="0" w:color="auto"/>
        <w:right w:val="none" w:sz="0" w:space="0" w:color="auto"/>
      </w:divBdr>
      <w:divsChild>
        <w:div w:id="309135251">
          <w:marLeft w:val="0"/>
          <w:marRight w:val="0"/>
          <w:marTop w:val="0"/>
          <w:marBottom w:val="0"/>
          <w:divBdr>
            <w:top w:val="none" w:sz="0" w:space="0" w:color="auto"/>
            <w:left w:val="none" w:sz="0" w:space="0" w:color="auto"/>
            <w:bottom w:val="none" w:sz="0" w:space="0" w:color="auto"/>
            <w:right w:val="none" w:sz="0" w:space="0" w:color="auto"/>
          </w:divBdr>
        </w:div>
      </w:divsChild>
    </w:div>
    <w:div w:id="612635357">
      <w:bodyDiv w:val="1"/>
      <w:marLeft w:val="0"/>
      <w:marRight w:val="0"/>
      <w:marTop w:val="0"/>
      <w:marBottom w:val="0"/>
      <w:divBdr>
        <w:top w:val="none" w:sz="0" w:space="0" w:color="auto"/>
        <w:left w:val="none" w:sz="0" w:space="0" w:color="auto"/>
        <w:bottom w:val="none" w:sz="0" w:space="0" w:color="auto"/>
        <w:right w:val="none" w:sz="0" w:space="0" w:color="auto"/>
      </w:divBdr>
      <w:divsChild>
        <w:div w:id="1005550945">
          <w:marLeft w:val="0"/>
          <w:marRight w:val="0"/>
          <w:marTop w:val="0"/>
          <w:marBottom w:val="0"/>
          <w:divBdr>
            <w:top w:val="none" w:sz="0" w:space="0" w:color="auto"/>
            <w:left w:val="none" w:sz="0" w:space="0" w:color="auto"/>
            <w:bottom w:val="none" w:sz="0" w:space="0" w:color="auto"/>
            <w:right w:val="none" w:sz="0" w:space="0" w:color="auto"/>
          </w:divBdr>
          <w:divsChild>
            <w:div w:id="848838422">
              <w:marLeft w:val="0"/>
              <w:marRight w:val="0"/>
              <w:marTop w:val="0"/>
              <w:marBottom w:val="0"/>
              <w:divBdr>
                <w:top w:val="none" w:sz="0" w:space="0" w:color="auto"/>
                <w:left w:val="none" w:sz="0" w:space="0" w:color="auto"/>
                <w:bottom w:val="none" w:sz="0" w:space="0" w:color="auto"/>
                <w:right w:val="none" w:sz="0" w:space="0" w:color="auto"/>
              </w:divBdr>
              <w:divsChild>
                <w:div w:id="1088236361">
                  <w:marLeft w:val="0"/>
                  <w:marRight w:val="0"/>
                  <w:marTop w:val="0"/>
                  <w:marBottom w:val="0"/>
                  <w:divBdr>
                    <w:top w:val="none" w:sz="0" w:space="0" w:color="auto"/>
                    <w:left w:val="none" w:sz="0" w:space="0" w:color="auto"/>
                    <w:bottom w:val="none" w:sz="0" w:space="0" w:color="auto"/>
                    <w:right w:val="none" w:sz="0" w:space="0" w:color="auto"/>
                  </w:divBdr>
                  <w:divsChild>
                    <w:div w:id="10127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480847">
      <w:bodyDiv w:val="1"/>
      <w:marLeft w:val="0"/>
      <w:marRight w:val="0"/>
      <w:marTop w:val="0"/>
      <w:marBottom w:val="0"/>
      <w:divBdr>
        <w:top w:val="none" w:sz="0" w:space="0" w:color="auto"/>
        <w:left w:val="none" w:sz="0" w:space="0" w:color="auto"/>
        <w:bottom w:val="none" w:sz="0" w:space="0" w:color="auto"/>
        <w:right w:val="none" w:sz="0" w:space="0" w:color="auto"/>
      </w:divBdr>
    </w:div>
    <w:div w:id="630939631">
      <w:bodyDiv w:val="1"/>
      <w:marLeft w:val="0"/>
      <w:marRight w:val="0"/>
      <w:marTop w:val="0"/>
      <w:marBottom w:val="0"/>
      <w:divBdr>
        <w:top w:val="none" w:sz="0" w:space="0" w:color="auto"/>
        <w:left w:val="none" w:sz="0" w:space="0" w:color="auto"/>
        <w:bottom w:val="none" w:sz="0" w:space="0" w:color="auto"/>
        <w:right w:val="none" w:sz="0" w:space="0" w:color="auto"/>
      </w:divBdr>
    </w:div>
    <w:div w:id="632754564">
      <w:bodyDiv w:val="1"/>
      <w:marLeft w:val="0"/>
      <w:marRight w:val="0"/>
      <w:marTop w:val="0"/>
      <w:marBottom w:val="0"/>
      <w:divBdr>
        <w:top w:val="none" w:sz="0" w:space="0" w:color="auto"/>
        <w:left w:val="none" w:sz="0" w:space="0" w:color="auto"/>
        <w:bottom w:val="none" w:sz="0" w:space="0" w:color="auto"/>
        <w:right w:val="none" w:sz="0" w:space="0" w:color="auto"/>
      </w:divBdr>
    </w:div>
    <w:div w:id="633564256">
      <w:bodyDiv w:val="1"/>
      <w:marLeft w:val="0"/>
      <w:marRight w:val="0"/>
      <w:marTop w:val="0"/>
      <w:marBottom w:val="0"/>
      <w:divBdr>
        <w:top w:val="none" w:sz="0" w:space="0" w:color="auto"/>
        <w:left w:val="none" w:sz="0" w:space="0" w:color="auto"/>
        <w:bottom w:val="none" w:sz="0" w:space="0" w:color="auto"/>
        <w:right w:val="none" w:sz="0" w:space="0" w:color="auto"/>
      </w:divBdr>
    </w:div>
    <w:div w:id="641468884">
      <w:bodyDiv w:val="1"/>
      <w:marLeft w:val="0"/>
      <w:marRight w:val="0"/>
      <w:marTop w:val="0"/>
      <w:marBottom w:val="0"/>
      <w:divBdr>
        <w:top w:val="none" w:sz="0" w:space="0" w:color="auto"/>
        <w:left w:val="none" w:sz="0" w:space="0" w:color="auto"/>
        <w:bottom w:val="none" w:sz="0" w:space="0" w:color="auto"/>
        <w:right w:val="none" w:sz="0" w:space="0" w:color="auto"/>
      </w:divBdr>
    </w:div>
    <w:div w:id="658269651">
      <w:bodyDiv w:val="1"/>
      <w:marLeft w:val="0"/>
      <w:marRight w:val="0"/>
      <w:marTop w:val="0"/>
      <w:marBottom w:val="0"/>
      <w:divBdr>
        <w:top w:val="none" w:sz="0" w:space="0" w:color="auto"/>
        <w:left w:val="none" w:sz="0" w:space="0" w:color="auto"/>
        <w:bottom w:val="none" w:sz="0" w:space="0" w:color="auto"/>
        <w:right w:val="none" w:sz="0" w:space="0" w:color="auto"/>
      </w:divBdr>
    </w:div>
    <w:div w:id="660088740">
      <w:bodyDiv w:val="1"/>
      <w:marLeft w:val="0"/>
      <w:marRight w:val="0"/>
      <w:marTop w:val="0"/>
      <w:marBottom w:val="0"/>
      <w:divBdr>
        <w:top w:val="none" w:sz="0" w:space="0" w:color="auto"/>
        <w:left w:val="none" w:sz="0" w:space="0" w:color="auto"/>
        <w:bottom w:val="none" w:sz="0" w:space="0" w:color="auto"/>
        <w:right w:val="none" w:sz="0" w:space="0" w:color="auto"/>
      </w:divBdr>
    </w:div>
    <w:div w:id="665129163">
      <w:bodyDiv w:val="1"/>
      <w:marLeft w:val="0"/>
      <w:marRight w:val="0"/>
      <w:marTop w:val="0"/>
      <w:marBottom w:val="0"/>
      <w:divBdr>
        <w:top w:val="none" w:sz="0" w:space="0" w:color="auto"/>
        <w:left w:val="none" w:sz="0" w:space="0" w:color="auto"/>
        <w:bottom w:val="none" w:sz="0" w:space="0" w:color="auto"/>
        <w:right w:val="none" w:sz="0" w:space="0" w:color="auto"/>
      </w:divBdr>
    </w:div>
    <w:div w:id="686490900">
      <w:bodyDiv w:val="1"/>
      <w:marLeft w:val="0"/>
      <w:marRight w:val="0"/>
      <w:marTop w:val="0"/>
      <w:marBottom w:val="0"/>
      <w:divBdr>
        <w:top w:val="none" w:sz="0" w:space="0" w:color="auto"/>
        <w:left w:val="none" w:sz="0" w:space="0" w:color="auto"/>
        <w:bottom w:val="none" w:sz="0" w:space="0" w:color="auto"/>
        <w:right w:val="none" w:sz="0" w:space="0" w:color="auto"/>
      </w:divBdr>
    </w:div>
    <w:div w:id="687366158">
      <w:bodyDiv w:val="1"/>
      <w:marLeft w:val="0"/>
      <w:marRight w:val="0"/>
      <w:marTop w:val="0"/>
      <w:marBottom w:val="0"/>
      <w:divBdr>
        <w:top w:val="none" w:sz="0" w:space="0" w:color="auto"/>
        <w:left w:val="none" w:sz="0" w:space="0" w:color="auto"/>
        <w:bottom w:val="none" w:sz="0" w:space="0" w:color="auto"/>
        <w:right w:val="none" w:sz="0" w:space="0" w:color="auto"/>
      </w:divBdr>
    </w:div>
    <w:div w:id="688458084">
      <w:bodyDiv w:val="1"/>
      <w:marLeft w:val="0"/>
      <w:marRight w:val="0"/>
      <w:marTop w:val="0"/>
      <w:marBottom w:val="0"/>
      <w:divBdr>
        <w:top w:val="none" w:sz="0" w:space="0" w:color="auto"/>
        <w:left w:val="none" w:sz="0" w:space="0" w:color="auto"/>
        <w:bottom w:val="none" w:sz="0" w:space="0" w:color="auto"/>
        <w:right w:val="none" w:sz="0" w:space="0" w:color="auto"/>
      </w:divBdr>
    </w:div>
    <w:div w:id="702559494">
      <w:bodyDiv w:val="1"/>
      <w:marLeft w:val="0"/>
      <w:marRight w:val="0"/>
      <w:marTop w:val="0"/>
      <w:marBottom w:val="0"/>
      <w:divBdr>
        <w:top w:val="none" w:sz="0" w:space="0" w:color="auto"/>
        <w:left w:val="none" w:sz="0" w:space="0" w:color="auto"/>
        <w:bottom w:val="none" w:sz="0" w:space="0" w:color="auto"/>
        <w:right w:val="none" w:sz="0" w:space="0" w:color="auto"/>
      </w:divBdr>
    </w:div>
    <w:div w:id="714037612">
      <w:bodyDiv w:val="1"/>
      <w:marLeft w:val="0"/>
      <w:marRight w:val="0"/>
      <w:marTop w:val="0"/>
      <w:marBottom w:val="0"/>
      <w:divBdr>
        <w:top w:val="none" w:sz="0" w:space="0" w:color="auto"/>
        <w:left w:val="none" w:sz="0" w:space="0" w:color="auto"/>
        <w:bottom w:val="none" w:sz="0" w:space="0" w:color="auto"/>
        <w:right w:val="none" w:sz="0" w:space="0" w:color="auto"/>
      </w:divBdr>
      <w:divsChild>
        <w:div w:id="1489053543">
          <w:marLeft w:val="0"/>
          <w:marRight w:val="0"/>
          <w:marTop w:val="0"/>
          <w:marBottom w:val="0"/>
          <w:divBdr>
            <w:top w:val="none" w:sz="0" w:space="0" w:color="auto"/>
            <w:left w:val="none" w:sz="0" w:space="0" w:color="auto"/>
            <w:bottom w:val="none" w:sz="0" w:space="0" w:color="auto"/>
            <w:right w:val="none" w:sz="0" w:space="0" w:color="auto"/>
          </w:divBdr>
        </w:div>
      </w:divsChild>
    </w:div>
    <w:div w:id="714041320">
      <w:bodyDiv w:val="1"/>
      <w:marLeft w:val="0"/>
      <w:marRight w:val="0"/>
      <w:marTop w:val="0"/>
      <w:marBottom w:val="0"/>
      <w:divBdr>
        <w:top w:val="none" w:sz="0" w:space="0" w:color="auto"/>
        <w:left w:val="none" w:sz="0" w:space="0" w:color="auto"/>
        <w:bottom w:val="none" w:sz="0" w:space="0" w:color="auto"/>
        <w:right w:val="none" w:sz="0" w:space="0" w:color="auto"/>
      </w:divBdr>
    </w:div>
    <w:div w:id="715665972">
      <w:bodyDiv w:val="1"/>
      <w:marLeft w:val="0"/>
      <w:marRight w:val="0"/>
      <w:marTop w:val="0"/>
      <w:marBottom w:val="0"/>
      <w:divBdr>
        <w:top w:val="none" w:sz="0" w:space="0" w:color="auto"/>
        <w:left w:val="none" w:sz="0" w:space="0" w:color="auto"/>
        <w:bottom w:val="none" w:sz="0" w:space="0" w:color="auto"/>
        <w:right w:val="none" w:sz="0" w:space="0" w:color="auto"/>
      </w:divBdr>
      <w:divsChild>
        <w:div w:id="837421191">
          <w:marLeft w:val="0"/>
          <w:marRight w:val="0"/>
          <w:marTop w:val="0"/>
          <w:marBottom w:val="0"/>
          <w:divBdr>
            <w:top w:val="none" w:sz="0" w:space="0" w:color="auto"/>
            <w:left w:val="none" w:sz="0" w:space="0" w:color="auto"/>
            <w:bottom w:val="none" w:sz="0" w:space="0" w:color="auto"/>
            <w:right w:val="none" w:sz="0" w:space="0" w:color="auto"/>
          </w:divBdr>
        </w:div>
      </w:divsChild>
    </w:div>
    <w:div w:id="720058303">
      <w:bodyDiv w:val="1"/>
      <w:marLeft w:val="0"/>
      <w:marRight w:val="0"/>
      <w:marTop w:val="0"/>
      <w:marBottom w:val="0"/>
      <w:divBdr>
        <w:top w:val="none" w:sz="0" w:space="0" w:color="auto"/>
        <w:left w:val="none" w:sz="0" w:space="0" w:color="auto"/>
        <w:bottom w:val="none" w:sz="0" w:space="0" w:color="auto"/>
        <w:right w:val="none" w:sz="0" w:space="0" w:color="auto"/>
      </w:divBdr>
    </w:div>
    <w:div w:id="749349450">
      <w:bodyDiv w:val="1"/>
      <w:marLeft w:val="0"/>
      <w:marRight w:val="0"/>
      <w:marTop w:val="0"/>
      <w:marBottom w:val="0"/>
      <w:divBdr>
        <w:top w:val="none" w:sz="0" w:space="0" w:color="auto"/>
        <w:left w:val="none" w:sz="0" w:space="0" w:color="auto"/>
        <w:bottom w:val="none" w:sz="0" w:space="0" w:color="auto"/>
        <w:right w:val="none" w:sz="0" w:space="0" w:color="auto"/>
      </w:divBdr>
    </w:div>
    <w:div w:id="750661117">
      <w:bodyDiv w:val="1"/>
      <w:marLeft w:val="0"/>
      <w:marRight w:val="0"/>
      <w:marTop w:val="0"/>
      <w:marBottom w:val="0"/>
      <w:divBdr>
        <w:top w:val="none" w:sz="0" w:space="0" w:color="auto"/>
        <w:left w:val="none" w:sz="0" w:space="0" w:color="auto"/>
        <w:bottom w:val="none" w:sz="0" w:space="0" w:color="auto"/>
        <w:right w:val="none" w:sz="0" w:space="0" w:color="auto"/>
      </w:divBdr>
    </w:div>
    <w:div w:id="751464960">
      <w:bodyDiv w:val="1"/>
      <w:marLeft w:val="0"/>
      <w:marRight w:val="0"/>
      <w:marTop w:val="0"/>
      <w:marBottom w:val="0"/>
      <w:divBdr>
        <w:top w:val="none" w:sz="0" w:space="0" w:color="auto"/>
        <w:left w:val="none" w:sz="0" w:space="0" w:color="auto"/>
        <w:bottom w:val="none" w:sz="0" w:space="0" w:color="auto"/>
        <w:right w:val="none" w:sz="0" w:space="0" w:color="auto"/>
      </w:divBdr>
      <w:divsChild>
        <w:div w:id="563564124">
          <w:marLeft w:val="0"/>
          <w:marRight w:val="0"/>
          <w:marTop w:val="0"/>
          <w:marBottom w:val="0"/>
          <w:divBdr>
            <w:top w:val="none" w:sz="0" w:space="0" w:color="auto"/>
            <w:left w:val="none" w:sz="0" w:space="0" w:color="auto"/>
            <w:bottom w:val="none" w:sz="0" w:space="0" w:color="auto"/>
            <w:right w:val="none" w:sz="0" w:space="0" w:color="auto"/>
          </w:divBdr>
        </w:div>
      </w:divsChild>
    </w:div>
    <w:div w:id="765347184">
      <w:bodyDiv w:val="1"/>
      <w:marLeft w:val="0"/>
      <w:marRight w:val="0"/>
      <w:marTop w:val="0"/>
      <w:marBottom w:val="0"/>
      <w:divBdr>
        <w:top w:val="none" w:sz="0" w:space="0" w:color="auto"/>
        <w:left w:val="none" w:sz="0" w:space="0" w:color="auto"/>
        <w:bottom w:val="none" w:sz="0" w:space="0" w:color="auto"/>
        <w:right w:val="none" w:sz="0" w:space="0" w:color="auto"/>
      </w:divBdr>
      <w:divsChild>
        <w:div w:id="1865244910">
          <w:marLeft w:val="0"/>
          <w:marRight w:val="0"/>
          <w:marTop w:val="0"/>
          <w:marBottom w:val="0"/>
          <w:divBdr>
            <w:top w:val="none" w:sz="0" w:space="0" w:color="auto"/>
            <w:left w:val="none" w:sz="0" w:space="0" w:color="auto"/>
            <w:bottom w:val="none" w:sz="0" w:space="0" w:color="auto"/>
            <w:right w:val="none" w:sz="0" w:space="0" w:color="auto"/>
          </w:divBdr>
        </w:div>
      </w:divsChild>
    </w:div>
    <w:div w:id="766854640">
      <w:bodyDiv w:val="1"/>
      <w:marLeft w:val="0"/>
      <w:marRight w:val="0"/>
      <w:marTop w:val="0"/>
      <w:marBottom w:val="0"/>
      <w:divBdr>
        <w:top w:val="none" w:sz="0" w:space="0" w:color="auto"/>
        <w:left w:val="none" w:sz="0" w:space="0" w:color="auto"/>
        <w:bottom w:val="none" w:sz="0" w:space="0" w:color="auto"/>
        <w:right w:val="none" w:sz="0" w:space="0" w:color="auto"/>
      </w:divBdr>
    </w:div>
    <w:div w:id="768813107">
      <w:bodyDiv w:val="1"/>
      <w:marLeft w:val="0"/>
      <w:marRight w:val="0"/>
      <w:marTop w:val="0"/>
      <w:marBottom w:val="0"/>
      <w:divBdr>
        <w:top w:val="none" w:sz="0" w:space="0" w:color="auto"/>
        <w:left w:val="none" w:sz="0" w:space="0" w:color="auto"/>
        <w:bottom w:val="none" w:sz="0" w:space="0" w:color="auto"/>
        <w:right w:val="none" w:sz="0" w:space="0" w:color="auto"/>
      </w:divBdr>
    </w:div>
    <w:div w:id="799148765">
      <w:bodyDiv w:val="1"/>
      <w:marLeft w:val="0"/>
      <w:marRight w:val="0"/>
      <w:marTop w:val="0"/>
      <w:marBottom w:val="0"/>
      <w:divBdr>
        <w:top w:val="none" w:sz="0" w:space="0" w:color="auto"/>
        <w:left w:val="none" w:sz="0" w:space="0" w:color="auto"/>
        <w:bottom w:val="none" w:sz="0" w:space="0" w:color="auto"/>
        <w:right w:val="none" w:sz="0" w:space="0" w:color="auto"/>
      </w:divBdr>
    </w:div>
    <w:div w:id="801776339">
      <w:bodyDiv w:val="1"/>
      <w:marLeft w:val="0"/>
      <w:marRight w:val="0"/>
      <w:marTop w:val="0"/>
      <w:marBottom w:val="0"/>
      <w:divBdr>
        <w:top w:val="none" w:sz="0" w:space="0" w:color="auto"/>
        <w:left w:val="none" w:sz="0" w:space="0" w:color="auto"/>
        <w:bottom w:val="none" w:sz="0" w:space="0" w:color="auto"/>
        <w:right w:val="none" w:sz="0" w:space="0" w:color="auto"/>
      </w:divBdr>
    </w:div>
    <w:div w:id="808519076">
      <w:bodyDiv w:val="1"/>
      <w:marLeft w:val="0"/>
      <w:marRight w:val="0"/>
      <w:marTop w:val="0"/>
      <w:marBottom w:val="0"/>
      <w:divBdr>
        <w:top w:val="none" w:sz="0" w:space="0" w:color="auto"/>
        <w:left w:val="none" w:sz="0" w:space="0" w:color="auto"/>
        <w:bottom w:val="none" w:sz="0" w:space="0" w:color="auto"/>
        <w:right w:val="none" w:sz="0" w:space="0" w:color="auto"/>
      </w:divBdr>
    </w:div>
    <w:div w:id="814953078">
      <w:bodyDiv w:val="1"/>
      <w:marLeft w:val="0"/>
      <w:marRight w:val="0"/>
      <w:marTop w:val="0"/>
      <w:marBottom w:val="0"/>
      <w:divBdr>
        <w:top w:val="none" w:sz="0" w:space="0" w:color="auto"/>
        <w:left w:val="none" w:sz="0" w:space="0" w:color="auto"/>
        <w:bottom w:val="none" w:sz="0" w:space="0" w:color="auto"/>
        <w:right w:val="none" w:sz="0" w:space="0" w:color="auto"/>
      </w:divBdr>
      <w:divsChild>
        <w:div w:id="12846615">
          <w:marLeft w:val="0"/>
          <w:marRight w:val="0"/>
          <w:marTop w:val="0"/>
          <w:marBottom w:val="0"/>
          <w:divBdr>
            <w:top w:val="none" w:sz="0" w:space="0" w:color="auto"/>
            <w:left w:val="none" w:sz="0" w:space="0" w:color="auto"/>
            <w:bottom w:val="none" w:sz="0" w:space="0" w:color="auto"/>
            <w:right w:val="none" w:sz="0" w:space="0" w:color="auto"/>
          </w:divBdr>
        </w:div>
      </w:divsChild>
    </w:div>
    <w:div w:id="819420694">
      <w:bodyDiv w:val="1"/>
      <w:marLeft w:val="0"/>
      <w:marRight w:val="0"/>
      <w:marTop w:val="0"/>
      <w:marBottom w:val="0"/>
      <w:divBdr>
        <w:top w:val="none" w:sz="0" w:space="0" w:color="auto"/>
        <w:left w:val="none" w:sz="0" w:space="0" w:color="auto"/>
        <w:bottom w:val="none" w:sz="0" w:space="0" w:color="auto"/>
        <w:right w:val="none" w:sz="0" w:space="0" w:color="auto"/>
      </w:divBdr>
    </w:div>
    <w:div w:id="834999817">
      <w:bodyDiv w:val="1"/>
      <w:marLeft w:val="0"/>
      <w:marRight w:val="0"/>
      <w:marTop w:val="0"/>
      <w:marBottom w:val="0"/>
      <w:divBdr>
        <w:top w:val="none" w:sz="0" w:space="0" w:color="auto"/>
        <w:left w:val="none" w:sz="0" w:space="0" w:color="auto"/>
        <w:bottom w:val="none" w:sz="0" w:space="0" w:color="auto"/>
        <w:right w:val="none" w:sz="0" w:space="0" w:color="auto"/>
      </w:divBdr>
    </w:div>
    <w:div w:id="874467298">
      <w:bodyDiv w:val="1"/>
      <w:marLeft w:val="0"/>
      <w:marRight w:val="0"/>
      <w:marTop w:val="0"/>
      <w:marBottom w:val="0"/>
      <w:divBdr>
        <w:top w:val="none" w:sz="0" w:space="0" w:color="auto"/>
        <w:left w:val="none" w:sz="0" w:space="0" w:color="auto"/>
        <w:bottom w:val="none" w:sz="0" w:space="0" w:color="auto"/>
        <w:right w:val="none" w:sz="0" w:space="0" w:color="auto"/>
      </w:divBdr>
    </w:div>
    <w:div w:id="888539041">
      <w:bodyDiv w:val="1"/>
      <w:marLeft w:val="0"/>
      <w:marRight w:val="0"/>
      <w:marTop w:val="0"/>
      <w:marBottom w:val="0"/>
      <w:divBdr>
        <w:top w:val="none" w:sz="0" w:space="0" w:color="auto"/>
        <w:left w:val="none" w:sz="0" w:space="0" w:color="auto"/>
        <w:bottom w:val="none" w:sz="0" w:space="0" w:color="auto"/>
        <w:right w:val="none" w:sz="0" w:space="0" w:color="auto"/>
      </w:divBdr>
    </w:div>
    <w:div w:id="902715326">
      <w:bodyDiv w:val="1"/>
      <w:marLeft w:val="0"/>
      <w:marRight w:val="0"/>
      <w:marTop w:val="0"/>
      <w:marBottom w:val="0"/>
      <w:divBdr>
        <w:top w:val="none" w:sz="0" w:space="0" w:color="auto"/>
        <w:left w:val="none" w:sz="0" w:space="0" w:color="auto"/>
        <w:bottom w:val="none" w:sz="0" w:space="0" w:color="auto"/>
        <w:right w:val="none" w:sz="0" w:space="0" w:color="auto"/>
      </w:divBdr>
    </w:div>
    <w:div w:id="938827619">
      <w:bodyDiv w:val="1"/>
      <w:marLeft w:val="0"/>
      <w:marRight w:val="0"/>
      <w:marTop w:val="0"/>
      <w:marBottom w:val="0"/>
      <w:divBdr>
        <w:top w:val="none" w:sz="0" w:space="0" w:color="auto"/>
        <w:left w:val="none" w:sz="0" w:space="0" w:color="auto"/>
        <w:bottom w:val="none" w:sz="0" w:space="0" w:color="auto"/>
        <w:right w:val="none" w:sz="0" w:space="0" w:color="auto"/>
      </w:divBdr>
    </w:div>
    <w:div w:id="951325876">
      <w:bodyDiv w:val="1"/>
      <w:marLeft w:val="0"/>
      <w:marRight w:val="0"/>
      <w:marTop w:val="0"/>
      <w:marBottom w:val="0"/>
      <w:divBdr>
        <w:top w:val="none" w:sz="0" w:space="0" w:color="auto"/>
        <w:left w:val="none" w:sz="0" w:space="0" w:color="auto"/>
        <w:bottom w:val="none" w:sz="0" w:space="0" w:color="auto"/>
        <w:right w:val="none" w:sz="0" w:space="0" w:color="auto"/>
      </w:divBdr>
    </w:div>
    <w:div w:id="980303780">
      <w:bodyDiv w:val="1"/>
      <w:marLeft w:val="0"/>
      <w:marRight w:val="0"/>
      <w:marTop w:val="0"/>
      <w:marBottom w:val="0"/>
      <w:divBdr>
        <w:top w:val="none" w:sz="0" w:space="0" w:color="auto"/>
        <w:left w:val="none" w:sz="0" w:space="0" w:color="auto"/>
        <w:bottom w:val="none" w:sz="0" w:space="0" w:color="auto"/>
        <w:right w:val="none" w:sz="0" w:space="0" w:color="auto"/>
      </w:divBdr>
    </w:div>
    <w:div w:id="1001398259">
      <w:bodyDiv w:val="1"/>
      <w:marLeft w:val="0"/>
      <w:marRight w:val="0"/>
      <w:marTop w:val="0"/>
      <w:marBottom w:val="0"/>
      <w:divBdr>
        <w:top w:val="none" w:sz="0" w:space="0" w:color="auto"/>
        <w:left w:val="none" w:sz="0" w:space="0" w:color="auto"/>
        <w:bottom w:val="none" w:sz="0" w:space="0" w:color="auto"/>
        <w:right w:val="none" w:sz="0" w:space="0" w:color="auto"/>
      </w:divBdr>
    </w:div>
    <w:div w:id="1003514271">
      <w:bodyDiv w:val="1"/>
      <w:marLeft w:val="0"/>
      <w:marRight w:val="0"/>
      <w:marTop w:val="0"/>
      <w:marBottom w:val="0"/>
      <w:divBdr>
        <w:top w:val="none" w:sz="0" w:space="0" w:color="auto"/>
        <w:left w:val="none" w:sz="0" w:space="0" w:color="auto"/>
        <w:bottom w:val="none" w:sz="0" w:space="0" w:color="auto"/>
        <w:right w:val="none" w:sz="0" w:space="0" w:color="auto"/>
      </w:divBdr>
    </w:div>
    <w:div w:id="103955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46249">
          <w:marLeft w:val="0"/>
          <w:marRight w:val="0"/>
          <w:marTop w:val="0"/>
          <w:marBottom w:val="0"/>
          <w:divBdr>
            <w:top w:val="none" w:sz="0" w:space="0" w:color="auto"/>
            <w:left w:val="none" w:sz="0" w:space="0" w:color="auto"/>
            <w:bottom w:val="none" w:sz="0" w:space="0" w:color="auto"/>
            <w:right w:val="none" w:sz="0" w:space="0" w:color="auto"/>
          </w:divBdr>
          <w:divsChild>
            <w:div w:id="1548494272">
              <w:marLeft w:val="0"/>
              <w:marRight w:val="0"/>
              <w:marTop w:val="0"/>
              <w:marBottom w:val="0"/>
              <w:divBdr>
                <w:top w:val="none" w:sz="0" w:space="0" w:color="auto"/>
                <w:left w:val="none" w:sz="0" w:space="0" w:color="auto"/>
                <w:bottom w:val="none" w:sz="0" w:space="0" w:color="auto"/>
                <w:right w:val="none" w:sz="0" w:space="0" w:color="auto"/>
              </w:divBdr>
              <w:divsChild>
                <w:div w:id="597056788">
                  <w:marLeft w:val="0"/>
                  <w:marRight w:val="0"/>
                  <w:marTop w:val="0"/>
                  <w:marBottom w:val="0"/>
                  <w:divBdr>
                    <w:top w:val="none" w:sz="0" w:space="0" w:color="auto"/>
                    <w:left w:val="none" w:sz="0" w:space="0" w:color="auto"/>
                    <w:bottom w:val="none" w:sz="0" w:space="0" w:color="auto"/>
                    <w:right w:val="none" w:sz="0" w:space="0" w:color="auto"/>
                  </w:divBdr>
                  <w:divsChild>
                    <w:div w:id="7561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94582">
      <w:bodyDiv w:val="1"/>
      <w:marLeft w:val="0"/>
      <w:marRight w:val="0"/>
      <w:marTop w:val="0"/>
      <w:marBottom w:val="0"/>
      <w:divBdr>
        <w:top w:val="none" w:sz="0" w:space="0" w:color="auto"/>
        <w:left w:val="none" w:sz="0" w:space="0" w:color="auto"/>
        <w:bottom w:val="none" w:sz="0" w:space="0" w:color="auto"/>
        <w:right w:val="none" w:sz="0" w:space="0" w:color="auto"/>
      </w:divBdr>
    </w:div>
    <w:div w:id="1042943591">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1005646">
      <w:bodyDiv w:val="1"/>
      <w:marLeft w:val="0"/>
      <w:marRight w:val="0"/>
      <w:marTop w:val="0"/>
      <w:marBottom w:val="0"/>
      <w:divBdr>
        <w:top w:val="none" w:sz="0" w:space="0" w:color="auto"/>
        <w:left w:val="none" w:sz="0" w:space="0" w:color="auto"/>
        <w:bottom w:val="none" w:sz="0" w:space="0" w:color="auto"/>
        <w:right w:val="none" w:sz="0" w:space="0" w:color="auto"/>
      </w:divBdr>
    </w:div>
    <w:div w:id="1056244410">
      <w:bodyDiv w:val="1"/>
      <w:marLeft w:val="0"/>
      <w:marRight w:val="0"/>
      <w:marTop w:val="0"/>
      <w:marBottom w:val="0"/>
      <w:divBdr>
        <w:top w:val="none" w:sz="0" w:space="0" w:color="auto"/>
        <w:left w:val="none" w:sz="0" w:space="0" w:color="auto"/>
        <w:bottom w:val="none" w:sz="0" w:space="0" w:color="auto"/>
        <w:right w:val="none" w:sz="0" w:space="0" w:color="auto"/>
      </w:divBdr>
    </w:div>
    <w:div w:id="1084254469">
      <w:bodyDiv w:val="1"/>
      <w:marLeft w:val="0"/>
      <w:marRight w:val="0"/>
      <w:marTop w:val="0"/>
      <w:marBottom w:val="0"/>
      <w:divBdr>
        <w:top w:val="none" w:sz="0" w:space="0" w:color="auto"/>
        <w:left w:val="none" w:sz="0" w:space="0" w:color="auto"/>
        <w:bottom w:val="none" w:sz="0" w:space="0" w:color="auto"/>
        <w:right w:val="none" w:sz="0" w:space="0" w:color="auto"/>
      </w:divBdr>
    </w:div>
    <w:div w:id="1100949229">
      <w:bodyDiv w:val="1"/>
      <w:marLeft w:val="0"/>
      <w:marRight w:val="0"/>
      <w:marTop w:val="0"/>
      <w:marBottom w:val="0"/>
      <w:divBdr>
        <w:top w:val="none" w:sz="0" w:space="0" w:color="auto"/>
        <w:left w:val="none" w:sz="0" w:space="0" w:color="auto"/>
        <w:bottom w:val="none" w:sz="0" w:space="0" w:color="auto"/>
        <w:right w:val="none" w:sz="0" w:space="0" w:color="auto"/>
      </w:divBdr>
    </w:div>
    <w:div w:id="1109666423">
      <w:bodyDiv w:val="1"/>
      <w:marLeft w:val="0"/>
      <w:marRight w:val="0"/>
      <w:marTop w:val="0"/>
      <w:marBottom w:val="0"/>
      <w:divBdr>
        <w:top w:val="none" w:sz="0" w:space="0" w:color="auto"/>
        <w:left w:val="none" w:sz="0" w:space="0" w:color="auto"/>
        <w:bottom w:val="none" w:sz="0" w:space="0" w:color="auto"/>
        <w:right w:val="none" w:sz="0" w:space="0" w:color="auto"/>
      </w:divBdr>
    </w:div>
    <w:div w:id="1112671842">
      <w:bodyDiv w:val="1"/>
      <w:marLeft w:val="0"/>
      <w:marRight w:val="0"/>
      <w:marTop w:val="0"/>
      <w:marBottom w:val="0"/>
      <w:divBdr>
        <w:top w:val="none" w:sz="0" w:space="0" w:color="auto"/>
        <w:left w:val="none" w:sz="0" w:space="0" w:color="auto"/>
        <w:bottom w:val="none" w:sz="0" w:space="0" w:color="auto"/>
        <w:right w:val="none" w:sz="0" w:space="0" w:color="auto"/>
      </w:divBdr>
    </w:div>
    <w:div w:id="1128400890">
      <w:bodyDiv w:val="1"/>
      <w:marLeft w:val="0"/>
      <w:marRight w:val="0"/>
      <w:marTop w:val="0"/>
      <w:marBottom w:val="0"/>
      <w:divBdr>
        <w:top w:val="none" w:sz="0" w:space="0" w:color="auto"/>
        <w:left w:val="none" w:sz="0" w:space="0" w:color="auto"/>
        <w:bottom w:val="none" w:sz="0" w:space="0" w:color="auto"/>
        <w:right w:val="none" w:sz="0" w:space="0" w:color="auto"/>
      </w:divBdr>
    </w:div>
    <w:div w:id="1131677248">
      <w:bodyDiv w:val="1"/>
      <w:marLeft w:val="0"/>
      <w:marRight w:val="0"/>
      <w:marTop w:val="0"/>
      <w:marBottom w:val="0"/>
      <w:divBdr>
        <w:top w:val="none" w:sz="0" w:space="0" w:color="auto"/>
        <w:left w:val="none" w:sz="0" w:space="0" w:color="auto"/>
        <w:bottom w:val="none" w:sz="0" w:space="0" w:color="auto"/>
        <w:right w:val="none" w:sz="0" w:space="0" w:color="auto"/>
      </w:divBdr>
    </w:div>
    <w:div w:id="1132361796">
      <w:bodyDiv w:val="1"/>
      <w:marLeft w:val="0"/>
      <w:marRight w:val="0"/>
      <w:marTop w:val="0"/>
      <w:marBottom w:val="0"/>
      <w:divBdr>
        <w:top w:val="none" w:sz="0" w:space="0" w:color="auto"/>
        <w:left w:val="none" w:sz="0" w:space="0" w:color="auto"/>
        <w:bottom w:val="none" w:sz="0" w:space="0" w:color="auto"/>
        <w:right w:val="none" w:sz="0" w:space="0" w:color="auto"/>
      </w:divBdr>
    </w:div>
    <w:div w:id="1139692491">
      <w:bodyDiv w:val="1"/>
      <w:marLeft w:val="0"/>
      <w:marRight w:val="0"/>
      <w:marTop w:val="0"/>
      <w:marBottom w:val="0"/>
      <w:divBdr>
        <w:top w:val="none" w:sz="0" w:space="0" w:color="auto"/>
        <w:left w:val="none" w:sz="0" w:space="0" w:color="auto"/>
        <w:bottom w:val="none" w:sz="0" w:space="0" w:color="auto"/>
        <w:right w:val="none" w:sz="0" w:space="0" w:color="auto"/>
      </w:divBdr>
    </w:div>
    <w:div w:id="1144542686">
      <w:bodyDiv w:val="1"/>
      <w:marLeft w:val="0"/>
      <w:marRight w:val="0"/>
      <w:marTop w:val="0"/>
      <w:marBottom w:val="0"/>
      <w:divBdr>
        <w:top w:val="none" w:sz="0" w:space="0" w:color="auto"/>
        <w:left w:val="none" w:sz="0" w:space="0" w:color="auto"/>
        <w:bottom w:val="none" w:sz="0" w:space="0" w:color="auto"/>
        <w:right w:val="none" w:sz="0" w:space="0" w:color="auto"/>
      </w:divBdr>
      <w:divsChild>
        <w:div w:id="1545940700">
          <w:marLeft w:val="0"/>
          <w:marRight w:val="0"/>
          <w:marTop w:val="0"/>
          <w:marBottom w:val="0"/>
          <w:divBdr>
            <w:top w:val="none" w:sz="0" w:space="0" w:color="auto"/>
            <w:left w:val="none" w:sz="0" w:space="0" w:color="auto"/>
            <w:bottom w:val="none" w:sz="0" w:space="0" w:color="auto"/>
            <w:right w:val="none" w:sz="0" w:space="0" w:color="auto"/>
          </w:divBdr>
        </w:div>
      </w:divsChild>
    </w:div>
    <w:div w:id="1155417593">
      <w:bodyDiv w:val="1"/>
      <w:marLeft w:val="0"/>
      <w:marRight w:val="0"/>
      <w:marTop w:val="0"/>
      <w:marBottom w:val="0"/>
      <w:divBdr>
        <w:top w:val="none" w:sz="0" w:space="0" w:color="auto"/>
        <w:left w:val="none" w:sz="0" w:space="0" w:color="auto"/>
        <w:bottom w:val="none" w:sz="0" w:space="0" w:color="auto"/>
        <w:right w:val="none" w:sz="0" w:space="0" w:color="auto"/>
      </w:divBdr>
    </w:div>
    <w:div w:id="1183088167">
      <w:bodyDiv w:val="1"/>
      <w:marLeft w:val="0"/>
      <w:marRight w:val="0"/>
      <w:marTop w:val="0"/>
      <w:marBottom w:val="0"/>
      <w:divBdr>
        <w:top w:val="none" w:sz="0" w:space="0" w:color="auto"/>
        <w:left w:val="none" w:sz="0" w:space="0" w:color="auto"/>
        <w:bottom w:val="none" w:sz="0" w:space="0" w:color="auto"/>
        <w:right w:val="none" w:sz="0" w:space="0" w:color="auto"/>
      </w:divBdr>
    </w:div>
    <w:div w:id="1185947673">
      <w:bodyDiv w:val="1"/>
      <w:marLeft w:val="0"/>
      <w:marRight w:val="0"/>
      <w:marTop w:val="0"/>
      <w:marBottom w:val="0"/>
      <w:divBdr>
        <w:top w:val="none" w:sz="0" w:space="0" w:color="auto"/>
        <w:left w:val="none" w:sz="0" w:space="0" w:color="auto"/>
        <w:bottom w:val="none" w:sz="0" w:space="0" w:color="auto"/>
        <w:right w:val="none" w:sz="0" w:space="0" w:color="auto"/>
      </w:divBdr>
    </w:div>
    <w:div w:id="1192110228">
      <w:bodyDiv w:val="1"/>
      <w:marLeft w:val="0"/>
      <w:marRight w:val="0"/>
      <w:marTop w:val="0"/>
      <w:marBottom w:val="0"/>
      <w:divBdr>
        <w:top w:val="none" w:sz="0" w:space="0" w:color="auto"/>
        <w:left w:val="none" w:sz="0" w:space="0" w:color="auto"/>
        <w:bottom w:val="none" w:sz="0" w:space="0" w:color="auto"/>
        <w:right w:val="none" w:sz="0" w:space="0" w:color="auto"/>
      </w:divBdr>
    </w:div>
    <w:div w:id="1205025369">
      <w:bodyDiv w:val="1"/>
      <w:marLeft w:val="0"/>
      <w:marRight w:val="0"/>
      <w:marTop w:val="0"/>
      <w:marBottom w:val="0"/>
      <w:divBdr>
        <w:top w:val="none" w:sz="0" w:space="0" w:color="auto"/>
        <w:left w:val="none" w:sz="0" w:space="0" w:color="auto"/>
        <w:bottom w:val="none" w:sz="0" w:space="0" w:color="auto"/>
        <w:right w:val="none" w:sz="0" w:space="0" w:color="auto"/>
      </w:divBdr>
    </w:div>
    <w:div w:id="1209680453">
      <w:bodyDiv w:val="1"/>
      <w:marLeft w:val="0"/>
      <w:marRight w:val="0"/>
      <w:marTop w:val="0"/>
      <w:marBottom w:val="0"/>
      <w:divBdr>
        <w:top w:val="none" w:sz="0" w:space="0" w:color="auto"/>
        <w:left w:val="none" w:sz="0" w:space="0" w:color="auto"/>
        <w:bottom w:val="none" w:sz="0" w:space="0" w:color="auto"/>
        <w:right w:val="none" w:sz="0" w:space="0" w:color="auto"/>
      </w:divBdr>
      <w:divsChild>
        <w:div w:id="19161607">
          <w:marLeft w:val="0"/>
          <w:marRight w:val="0"/>
          <w:marTop w:val="0"/>
          <w:marBottom w:val="0"/>
          <w:divBdr>
            <w:top w:val="none" w:sz="0" w:space="0" w:color="auto"/>
            <w:left w:val="none" w:sz="0" w:space="0" w:color="auto"/>
            <w:bottom w:val="none" w:sz="0" w:space="0" w:color="auto"/>
            <w:right w:val="none" w:sz="0" w:space="0" w:color="auto"/>
          </w:divBdr>
          <w:divsChild>
            <w:div w:id="197360238">
              <w:marLeft w:val="0"/>
              <w:marRight w:val="0"/>
              <w:marTop w:val="0"/>
              <w:marBottom w:val="0"/>
              <w:divBdr>
                <w:top w:val="none" w:sz="0" w:space="0" w:color="auto"/>
                <w:left w:val="none" w:sz="0" w:space="0" w:color="auto"/>
                <w:bottom w:val="none" w:sz="0" w:space="0" w:color="auto"/>
                <w:right w:val="none" w:sz="0" w:space="0" w:color="auto"/>
              </w:divBdr>
              <w:divsChild>
                <w:div w:id="1834954378">
                  <w:marLeft w:val="0"/>
                  <w:marRight w:val="0"/>
                  <w:marTop w:val="0"/>
                  <w:marBottom w:val="0"/>
                  <w:divBdr>
                    <w:top w:val="none" w:sz="0" w:space="0" w:color="auto"/>
                    <w:left w:val="none" w:sz="0" w:space="0" w:color="auto"/>
                    <w:bottom w:val="none" w:sz="0" w:space="0" w:color="auto"/>
                    <w:right w:val="none" w:sz="0" w:space="0" w:color="auto"/>
                  </w:divBdr>
                  <w:divsChild>
                    <w:div w:id="20517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733177">
      <w:bodyDiv w:val="1"/>
      <w:marLeft w:val="0"/>
      <w:marRight w:val="0"/>
      <w:marTop w:val="0"/>
      <w:marBottom w:val="0"/>
      <w:divBdr>
        <w:top w:val="none" w:sz="0" w:space="0" w:color="auto"/>
        <w:left w:val="none" w:sz="0" w:space="0" w:color="auto"/>
        <w:bottom w:val="none" w:sz="0" w:space="0" w:color="auto"/>
        <w:right w:val="none" w:sz="0" w:space="0" w:color="auto"/>
      </w:divBdr>
    </w:div>
    <w:div w:id="1249920251">
      <w:bodyDiv w:val="1"/>
      <w:marLeft w:val="0"/>
      <w:marRight w:val="0"/>
      <w:marTop w:val="0"/>
      <w:marBottom w:val="0"/>
      <w:divBdr>
        <w:top w:val="none" w:sz="0" w:space="0" w:color="auto"/>
        <w:left w:val="none" w:sz="0" w:space="0" w:color="auto"/>
        <w:bottom w:val="none" w:sz="0" w:space="0" w:color="auto"/>
        <w:right w:val="none" w:sz="0" w:space="0" w:color="auto"/>
      </w:divBdr>
    </w:div>
    <w:div w:id="1252353462">
      <w:bodyDiv w:val="1"/>
      <w:marLeft w:val="0"/>
      <w:marRight w:val="0"/>
      <w:marTop w:val="0"/>
      <w:marBottom w:val="0"/>
      <w:divBdr>
        <w:top w:val="none" w:sz="0" w:space="0" w:color="auto"/>
        <w:left w:val="none" w:sz="0" w:space="0" w:color="auto"/>
        <w:bottom w:val="none" w:sz="0" w:space="0" w:color="auto"/>
        <w:right w:val="none" w:sz="0" w:space="0" w:color="auto"/>
      </w:divBdr>
    </w:div>
    <w:div w:id="1283465200">
      <w:bodyDiv w:val="1"/>
      <w:marLeft w:val="0"/>
      <w:marRight w:val="0"/>
      <w:marTop w:val="0"/>
      <w:marBottom w:val="0"/>
      <w:divBdr>
        <w:top w:val="none" w:sz="0" w:space="0" w:color="auto"/>
        <w:left w:val="none" w:sz="0" w:space="0" w:color="auto"/>
        <w:bottom w:val="none" w:sz="0" w:space="0" w:color="auto"/>
        <w:right w:val="none" w:sz="0" w:space="0" w:color="auto"/>
      </w:divBdr>
    </w:div>
    <w:div w:id="1287158366">
      <w:bodyDiv w:val="1"/>
      <w:marLeft w:val="0"/>
      <w:marRight w:val="0"/>
      <w:marTop w:val="0"/>
      <w:marBottom w:val="0"/>
      <w:divBdr>
        <w:top w:val="none" w:sz="0" w:space="0" w:color="auto"/>
        <w:left w:val="none" w:sz="0" w:space="0" w:color="auto"/>
        <w:bottom w:val="none" w:sz="0" w:space="0" w:color="auto"/>
        <w:right w:val="none" w:sz="0" w:space="0" w:color="auto"/>
      </w:divBdr>
    </w:div>
    <w:div w:id="1294025212">
      <w:bodyDiv w:val="1"/>
      <w:marLeft w:val="0"/>
      <w:marRight w:val="0"/>
      <w:marTop w:val="0"/>
      <w:marBottom w:val="0"/>
      <w:divBdr>
        <w:top w:val="none" w:sz="0" w:space="0" w:color="auto"/>
        <w:left w:val="none" w:sz="0" w:space="0" w:color="auto"/>
        <w:bottom w:val="none" w:sz="0" w:space="0" w:color="auto"/>
        <w:right w:val="none" w:sz="0" w:space="0" w:color="auto"/>
      </w:divBdr>
    </w:div>
    <w:div w:id="1319844871">
      <w:bodyDiv w:val="1"/>
      <w:marLeft w:val="0"/>
      <w:marRight w:val="0"/>
      <w:marTop w:val="0"/>
      <w:marBottom w:val="0"/>
      <w:divBdr>
        <w:top w:val="none" w:sz="0" w:space="0" w:color="auto"/>
        <w:left w:val="none" w:sz="0" w:space="0" w:color="auto"/>
        <w:bottom w:val="none" w:sz="0" w:space="0" w:color="auto"/>
        <w:right w:val="none" w:sz="0" w:space="0" w:color="auto"/>
      </w:divBdr>
    </w:div>
    <w:div w:id="1328241905">
      <w:bodyDiv w:val="1"/>
      <w:marLeft w:val="0"/>
      <w:marRight w:val="0"/>
      <w:marTop w:val="0"/>
      <w:marBottom w:val="0"/>
      <w:divBdr>
        <w:top w:val="none" w:sz="0" w:space="0" w:color="auto"/>
        <w:left w:val="none" w:sz="0" w:space="0" w:color="auto"/>
        <w:bottom w:val="none" w:sz="0" w:space="0" w:color="auto"/>
        <w:right w:val="none" w:sz="0" w:space="0" w:color="auto"/>
      </w:divBdr>
    </w:div>
    <w:div w:id="1342395153">
      <w:bodyDiv w:val="1"/>
      <w:marLeft w:val="0"/>
      <w:marRight w:val="0"/>
      <w:marTop w:val="0"/>
      <w:marBottom w:val="0"/>
      <w:divBdr>
        <w:top w:val="none" w:sz="0" w:space="0" w:color="auto"/>
        <w:left w:val="none" w:sz="0" w:space="0" w:color="auto"/>
        <w:bottom w:val="none" w:sz="0" w:space="0" w:color="auto"/>
        <w:right w:val="none" w:sz="0" w:space="0" w:color="auto"/>
      </w:divBdr>
    </w:div>
    <w:div w:id="1372803606">
      <w:bodyDiv w:val="1"/>
      <w:marLeft w:val="0"/>
      <w:marRight w:val="0"/>
      <w:marTop w:val="0"/>
      <w:marBottom w:val="0"/>
      <w:divBdr>
        <w:top w:val="none" w:sz="0" w:space="0" w:color="auto"/>
        <w:left w:val="none" w:sz="0" w:space="0" w:color="auto"/>
        <w:bottom w:val="none" w:sz="0" w:space="0" w:color="auto"/>
        <w:right w:val="none" w:sz="0" w:space="0" w:color="auto"/>
      </w:divBdr>
    </w:div>
    <w:div w:id="1377387412">
      <w:bodyDiv w:val="1"/>
      <w:marLeft w:val="0"/>
      <w:marRight w:val="0"/>
      <w:marTop w:val="0"/>
      <w:marBottom w:val="0"/>
      <w:divBdr>
        <w:top w:val="none" w:sz="0" w:space="0" w:color="auto"/>
        <w:left w:val="none" w:sz="0" w:space="0" w:color="auto"/>
        <w:bottom w:val="none" w:sz="0" w:space="0" w:color="auto"/>
        <w:right w:val="none" w:sz="0" w:space="0" w:color="auto"/>
      </w:divBdr>
    </w:div>
    <w:div w:id="1377463091">
      <w:bodyDiv w:val="1"/>
      <w:marLeft w:val="0"/>
      <w:marRight w:val="0"/>
      <w:marTop w:val="0"/>
      <w:marBottom w:val="0"/>
      <w:divBdr>
        <w:top w:val="none" w:sz="0" w:space="0" w:color="auto"/>
        <w:left w:val="none" w:sz="0" w:space="0" w:color="auto"/>
        <w:bottom w:val="none" w:sz="0" w:space="0" w:color="auto"/>
        <w:right w:val="none" w:sz="0" w:space="0" w:color="auto"/>
      </w:divBdr>
    </w:div>
    <w:div w:id="1387725950">
      <w:bodyDiv w:val="1"/>
      <w:marLeft w:val="0"/>
      <w:marRight w:val="0"/>
      <w:marTop w:val="0"/>
      <w:marBottom w:val="0"/>
      <w:divBdr>
        <w:top w:val="none" w:sz="0" w:space="0" w:color="auto"/>
        <w:left w:val="none" w:sz="0" w:space="0" w:color="auto"/>
        <w:bottom w:val="none" w:sz="0" w:space="0" w:color="auto"/>
        <w:right w:val="none" w:sz="0" w:space="0" w:color="auto"/>
      </w:divBdr>
    </w:div>
    <w:div w:id="1395470291">
      <w:bodyDiv w:val="1"/>
      <w:marLeft w:val="0"/>
      <w:marRight w:val="0"/>
      <w:marTop w:val="0"/>
      <w:marBottom w:val="0"/>
      <w:divBdr>
        <w:top w:val="none" w:sz="0" w:space="0" w:color="auto"/>
        <w:left w:val="none" w:sz="0" w:space="0" w:color="auto"/>
        <w:bottom w:val="none" w:sz="0" w:space="0" w:color="auto"/>
        <w:right w:val="none" w:sz="0" w:space="0" w:color="auto"/>
      </w:divBdr>
    </w:div>
    <w:div w:id="1397163879">
      <w:bodyDiv w:val="1"/>
      <w:marLeft w:val="0"/>
      <w:marRight w:val="0"/>
      <w:marTop w:val="0"/>
      <w:marBottom w:val="0"/>
      <w:divBdr>
        <w:top w:val="none" w:sz="0" w:space="0" w:color="auto"/>
        <w:left w:val="none" w:sz="0" w:space="0" w:color="auto"/>
        <w:bottom w:val="none" w:sz="0" w:space="0" w:color="auto"/>
        <w:right w:val="none" w:sz="0" w:space="0" w:color="auto"/>
      </w:divBdr>
    </w:div>
    <w:div w:id="1400515172">
      <w:bodyDiv w:val="1"/>
      <w:marLeft w:val="0"/>
      <w:marRight w:val="0"/>
      <w:marTop w:val="0"/>
      <w:marBottom w:val="0"/>
      <w:divBdr>
        <w:top w:val="none" w:sz="0" w:space="0" w:color="auto"/>
        <w:left w:val="none" w:sz="0" w:space="0" w:color="auto"/>
        <w:bottom w:val="none" w:sz="0" w:space="0" w:color="auto"/>
        <w:right w:val="none" w:sz="0" w:space="0" w:color="auto"/>
      </w:divBdr>
      <w:divsChild>
        <w:div w:id="714429875">
          <w:marLeft w:val="0"/>
          <w:marRight w:val="0"/>
          <w:marTop w:val="0"/>
          <w:marBottom w:val="0"/>
          <w:divBdr>
            <w:top w:val="none" w:sz="0" w:space="0" w:color="auto"/>
            <w:left w:val="none" w:sz="0" w:space="0" w:color="auto"/>
            <w:bottom w:val="none" w:sz="0" w:space="0" w:color="auto"/>
            <w:right w:val="none" w:sz="0" w:space="0" w:color="auto"/>
          </w:divBdr>
        </w:div>
      </w:divsChild>
    </w:div>
    <w:div w:id="1416365475">
      <w:bodyDiv w:val="1"/>
      <w:marLeft w:val="0"/>
      <w:marRight w:val="0"/>
      <w:marTop w:val="0"/>
      <w:marBottom w:val="0"/>
      <w:divBdr>
        <w:top w:val="none" w:sz="0" w:space="0" w:color="auto"/>
        <w:left w:val="none" w:sz="0" w:space="0" w:color="auto"/>
        <w:bottom w:val="none" w:sz="0" w:space="0" w:color="auto"/>
        <w:right w:val="none" w:sz="0" w:space="0" w:color="auto"/>
      </w:divBdr>
    </w:div>
    <w:div w:id="1416895171">
      <w:bodyDiv w:val="1"/>
      <w:marLeft w:val="0"/>
      <w:marRight w:val="0"/>
      <w:marTop w:val="0"/>
      <w:marBottom w:val="0"/>
      <w:divBdr>
        <w:top w:val="none" w:sz="0" w:space="0" w:color="auto"/>
        <w:left w:val="none" w:sz="0" w:space="0" w:color="auto"/>
        <w:bottom w:val="none" w:sz="0" w:space="0" w:color="auto"/>
        <w:right w:val="none" w:sz="0" w:space="0" w:color="auto"/>
      </w:divBdr>
    </w:div>
    <w:div w:id="1416978008">
      <w:bodyDiv w:val="1"/>
      <w:marLeft w:val="0"/>
      <w:marRight w:val="0"/>
      <w:marTop w:val="0"/>
      <w:marBottom w:val="0"/>
      <w:divBdr>
        <w:top w:val="none" w:sz="0" w:space="0" w:color="auto"/>
        <w:left w:val="none" w:sz="0" w:space="0" w:color="auto"/>
        <w:bottom w:val="none" w:sz="0" w:space="0" w:color="auto"/>
        <w:right w:val="none" w:sz="0" w:space="0" w:color="auto"/>
      </w:divBdr>
    </w:div>
    <w:div w:id="1420368334">
      <w:bodyDiv w:val="1"/>
      <w:marLeft w:val="0"/>
      <w:marRight w:val="0"/>
      <w:marTop w:val="0"/>
      <w:marBottom w:val="0"/>
      <w:divBdr>
        <w:top w:val="none" w:sz="0" w:space="0" w:color="auto"/>
        <w:left w:val="none" w:sz="0" w:space="0" w:color="auto"/>
        <w:bottom w:val="none" w:sz="0" w:space="0" w:color="auto"/>
        <w:right w:val="none" w:sz="0" w:space="0" w:color="auto"/>
      </w:divBdr>
    </w:div>
    <w:div w:id="1424884369">
      <w:bodyDiv w:val="1"/>
      <w:marLeft w:val="0"/>
      <w:marRight w:val="0"/>
      <w:marTop w:val="0"/>
      <w:marBottom w:val="0"/>
      <w:divBdr>
        <w:top w:val="none" w:sz="0" w:space="0" w:color="auto"/>
        <w:left w:val="none" w:sz="0" w:space="0" w:color="auto"/>
        <w:bottom w:val="none" w:sz="0" w:space="0" w:color="auto"/>
        <w:right w:val="none" w:sz="0" w:space="0" w:color="auto"/>
      </w:divBdr>
    </w:div>
    <w:div w:id="1429039785">
      <w:bodyDiv w:val="1"/>
      <w:marLeft w:val="0"/>
      <w:marRight w:val="0"/>
      <w:marTop w:val="0"/>
      <w:marBottom w:val="0"/>
      <w:divBdr>
        <w:top w:val="none" w:sz="0" w:space="0" w:color="auto"/>
        <w:left w:val="none" w:sz="0" w:space="0" w:color="auto"/>
        <w:bottom w:val="none" w:sz="0" w:space="0" w:color="auto"/>
        <w:right w:val="none" w:sz="0" w:space="0" w:color="auto"/>
      </w:divBdr>
    </w:div>
    <w:div w:id="1431201855">
      <w:bodyDiv w:val="1"/>
      <w:marLeft w:val="0"/>
      <w:marRight w:val="0"/>
      <w:marTop w:val="0"/>
      <w:marBottom w:val="0"/>
      <w:divBdr>
        <w:top w:val="none" w:sz="0" w:space="0" w:color="auto"/>
        <w:left w:val="none" w:sz="0" w:space="0" w:color="auto"/>
        <w:bottom w:val="none" w:sz="0" w:space="0" w:color="auto"/>
        <w:right w:val="none" w:sz="0" w:space="0" w:color="auto"/>
      </w:divBdr>
    </w:div>
    <w:div w:id="1438283834">
      <w:bodyDiv w:val="1"/>
      <w:marLeft w:val="0"/>
      <w:marRight w:val="0"/>
      <w:marTop w:val="0"/>
      <w:marBottom w:val="0"/>
      <w:divBdr>
        <w:top w:val="none" w:sz="0" w:space="0" w:color="auto"/>
        <w:left w:val="none" w:sz="0" w:space="0" w:color="auto"/>
        <w:bottom w:val="none" w:sz="0" w:space="0" w:color="auto"/>
        <w:right w:val="none" w:sz="0" w:space="0" w:color="auto"/>
      </w:divBdr>
    </w:div>
    <w:div w:id="1443962315">
      <w:bodyDiv w:val="1"/>
      <w:marLeft w:val="0"/>
      <w:marRight w:val="0"/>
      <w:marTop w:val="0"/>
      <w:marBottom w:val="0"/>
      <w:divBdr>
        <w:top w:val="none" w:sz="0" w:space="0" w:color="auto"/>
        <w:left w:val="none" w:sz="0" w:space="0" w:color="auto"/>
        <w:bottom w:val="none" w:sz="0" w:space="0" w:color="auto"/>
        <w:right w:val="none" w:sz="0" w:space="0" w:color="auto"/>
      </w:divBdr>
    </w:div>
    <w:div w:id="1456561782">
      <w:bodyDiv w:val="1"/>
      <w:marLeft w:val="0"/>
      <w:marRight w:val="0"/>
      <w:marTop w:val="0"/>
      <w:marBottom w:val="0"/>
      <w:divBdr>
        <w:top w:val="none" w:sz="0" w:space="0" w:color="auto"/>
        <w:left w:val="none" w:sz="0" w:space="0" w:color="auto"/>
        <w:bottom w:val="none" w:sz="0" w:space="0" w:color="auto"/>
        <w:right w:val="none" w:sz="0" w:space="0" w:color="auto"/>
      </w:divBdr>
    </w:div>
    <w:div w:id="1464039187">
      <w:bodyDiv w:val="1"/>
      <w:marLeft w:val="0"/>
      <w:marRight w:val="0"/>
      <w:marTop w:val="0"/>
      <w:marBottom w:val="0"/>
      <w:divBdr>
        <w:top w:val="none" w:sz="0" w:space="0" w:color="auto"/>
        <w:left w:val="none" w:sz="0" w:space="0" w:color="auto"/>
        <w:bottom w:val="none" w:sz="0" w:space="0" w:color="auto"/>
        <w:right w:val="none" w:sz="0" w:space="0" w:color="auto"/>
      </w:divBdr>
      <w:divsChild>
        <w:div w:id="1024747433">
          <w:marLeft w:val="0"/>
          <w:marRight w:val="0"/>
          <w:marTop w:val="0"/>
          <w:marBottom w:val="0"/>
          <w:divBdr>
            <w:top w:val="none" w:sz="0" w:space="0" w:color="auto"/>
            <w:left w:val="none" w:sz="0" w:space="0" w:color="auto"/>
            <w:bottom w:val="none" w:sz="0" w:space="0" w:color="auto"/>
            <w:right w:val="none" w:sz="0" w:space="0" w:color="auto"/>
          </w:divBdr>
          <w:divsChild>
            <w:div w:id="96875592">
              <w:marLeft w:val="0"/>
              <w:marRight w:val="0"/>
              <w:marTop w:val="0"/>
              <w:marBottom w:val="0"/>
              <w:divBdr>
                <w:top w:val="none" w:sz="0" w:space="0" w:color="auto"/>
                <w:left w:val="none" w:sz="0" w:space="0" w:color="auto"/>
                <w:bottom w:val="none" w:sz="0" w:space="0" w:color="auto"/>
                <w:right w:val="none" w:sz="0" w:space="0" w:color="auto"/>
              </w:divBdr>
              <w:divsChild>
                <w:div w:id="2027903783">
                  <w:marLeft w:val="0"/>
                  <w:marRight w:val="0"/>
                  <w:marTop w:val="0"/>
                  <w:marBottom w:val="0"/>
                  <w:divBdr>
                    <w:top w:val="none" w:sz="0" w:space="0" w:color="auto"/>
                    <w:left w:val="none" w:sz="0" w:space="0" w:color="auto"/>
                    <w:bottom w:val="none" w:sz="0" w:space="0" w:color="auto"/>
                    <w:right w:val="none" w:sz="0" w:space="0" w:color="auto"/>
                  </w:divBdr>
                  <w:divsChild>
                    <w:div w:id="21276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80872">
      <w:bodyDiv w:val="1"/>
      <w:marLeft w:val="0"/>
      <w:marRight w:val="0"/>
      <w:marTop w:val="0"/>
      <w:marBottom w:val="0"/>
      <w:divBdr>
        <w:top w:val="none" w:sz="0" w:space="0" w:color="auto"/>
        <w:left w:val="none" w:sz="0" w:space="0" w:color="auto"/>
        <w:bottom w:val="none" w:sz="0" w:space="0" w:color="auto"/>
        <w:right w:val="none" w:sz="0" w:space="0" w:color="auto"/>
      </w:divBdr>
    </w:div>
    <w:div w:id="1510214727">
      <w:bodyDiv w:val="1"/>
      <w:marLeft w:val="0"/>
      <w:marRight w:val="0"/>
      <w:marTop w:val="0"/>
      <w:marBottom w:val="0"/>
      <w:divBdr>
        <w:top w:val="none" w:sz="0" w:space="0" w:color="auto"/>
        <w:left w:val="none" w:sz="0" w:space="0" w:color="auto"/>
        <w:bottom w:val="none" w:sz="0" w:space="0" w:color="auto"/>
        <w:right w:val="none" w:sz="0" w:space="0" w:color="auto"/>
      </w:divBdr>
    </w:div>
    <w:div w:id="1510758041">
      <w:bodyDiv w:val="1"/>
      <w:marLeft w:val="0"/>
      <w:marRight w:val="0"/>
      <w:marTop w:val="0"/>
      <w:marBottom w:val="0"/>
      <w:divBdr>
        <w:top w:val="none" w:sz="0" w:space="0" w:color="auto"/>
        <w:left w:val="none" w:sz="0" w:space="0" w:color="auto"/>
        <w:bottom w:val="none" w:sz="0" w:space="0" w:color="auto"/>
        <w:right w:val="none" w:sz="0" w:space="0" w:color="auto"/>
      </w:divBdr>
    </w:div>
    <w:div w:id="1511679775">
      <w:bodyDiv w:val="1"/>
      <w:marLeft w:val="0"/>
      <w:marRight w:val="0"/>
      <w:marTop w:val="0"/>
      <w:marBottom w:val="0"/>
      <w:divBdr>
        <w:top w:val="none" w:sz="0" w:space="0" w:color="auto"/>
        <w:left w:val="none" w:sz="0" w:space="0" w:color="auto"/>
        <w:bottom w:val="none" w:sz="0" w:space="0" w:color="auto"/>
        <w:right w:val="none" w:sz="0" w:space="0" w:color="auto"/>
      </w:divBdr>
      <w:divsChild>
        <w:div w:id="357507363">
          <w:marLeft w:val="0"/>
          <w:marRight w:val="0"/>
          <w:marTop w:val="0"/>
          <w:marBottom w:val="0"/>
          <w:divBdr>
            <w:top w:val="none" w:sz="0" w:space="0" w:color="auto"/>
            <w:left w:val="none" w:sz="0" w:space="0" w:color="auto"/>
            <w:bottom w:val="none" w:sz="0" w:space="0" w:color="auto"/>
            <w:right w:val="none" w:sz="0" w:space="0" w:color="auto"/>
          </w:divBdr>
          <w:divsChild>
            <w:div w:id="1219590753">
              <w:marLeft w:val="0"/>
              <w:marRight w:val="0"/>
              <w:marTop w:val="0"/>
              <w:marBottom w:val="0"/>
              <w:divBdr>
                <w:top w:val="none" w:sz="0" w:space="0" w:color="auto"/>
                <w:left w:val="none" w:sz="0" w:space="0" w:color="auto"/>
                <w:bottom w:val="none" w:sz="0" w:space="0" w:color="auto"/>
                <w:right w:val="none" w:sz="0" w:space="0" w:color="auto"/>
              </w:divBdr>
              <w:divsChild>
                <w:div w:id="1430002408">
                  <w:marLeft w:val="0"/>
                  <w:marRight w:val="0"/>
                  <w:marTop w:val="0"/>
                  <w:marBottom w:val="0"/>
                  <w:divBdr>
                    <w:top w:val="none" w:sz="0" w:space="0" w:color="auto"/>
                    <w:left w:val="none" w:sz="0" w:space="0" w:color="auto"/>
                    <w:bottom w:val="none" w:sz="0" w:space="0" w:color="auto"/>
                    <w:right w:val="none" w:sz="0" w:space="0" w:color="auto"/>
                  </w:divBdr>
                  <w:divsChild>
                    <w:div w:id="6752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00314">
      <w:bodyDiv w:val="1"/>
      <w:marLeft w:val="0"/>
      <w:marRight w:val="0"/>
      <w:marTop w:val="0"/>
      <w:marBottom w:val="0"/>
      <w:divBdr>
        <w:top w:val="none" w:sz="0" w:space="0" w:color="auto"/>
        <w:left w:val="none" w:sz="0" w:space="0" w:color="auto"/>
        <w:bottom w:val="none" w:sz="0" w:space="0" w:color="auto"/>
        <w:right w:val="none" w:sz="0" w:space="0" w:color="auto"/>
      </w:divBdr>
    </w:div>
    <w:div w:id="1531992856">
      <w:bodyDiv w:val="1"/>
      <w:marLeft w:val="0"/>
      <w:marRight w:val="0"/>
      <w:marTop w:val="0"/>
      <w:marBottom w:val="0"/>
      <w:divBdr>
        <w:top w:val="none" w:sz="0" w:space="0" w:color="auto"/>
        <w:left w:val="none" w:sz="0" w:space="0" w:color="auto"/>
        <w:bottom w:val="none" w:sz="0" w:space="0" w:color="auto"/>
        <w:right w:val="none" w:sz="0" w:space="0" w:color="auto"/>
      </w:divBdr>
    </w:div>
    <w:div w:id="1548490762">
      <w:bodyDiv w:val="1"/>
      <w:marLeft w:val="0"/>
      <w:marRight w:val="0"/>
      <w:marTop w:val="0"/>
      <w:marBottom w:val="0"/>
      <w:divBdr>
        <w:top w:val="none" w:sz="0" w:space="0" w:color="auto"/>
        <w:left w:val="none" w:sz="0" w:space="0" w:color="auto"/>
        <w:bottom w:val="none" w:sz="0" w:space="0" w:color="auto"/>
        <w:right w:val="none" w:sz="0" w:space="0" w:color="auto"/>
      </w:divBdr>
    </w:div>
    <w:div w:id="1557468006">
      <w:bodyDiv w:val="1"/>
      <w:marLeft w:val="0"/>
      <w:marRight w:val="0"/>
      <w:marTop w:val="0"/>
      <w:marBottom w:val="0"/>
      <w:divBdr>
        <w:top w:val="none" w:sz="0" w:space="0" w:color="auto"/>
        <w:left w:val="none" w:sz="0" w:space="0" w:color="auto"/>
        <w:bottom w:val="none" w:sz="0" w:space="0" w:color="auto"/>
        <w:right w:val="none" w:sz="0" w:space="0" w:color="auto"/>
      </w:divBdr>
    </w:div>
    <w:div w:id="1558515091">
      <w:bodyDiv w:val="1"/>
      <w:marLeft w:val="0"/>
      <w:marRight w:val="0"/>
      <w:marTop w:val="0"/>
      <w:marBottom w:val="0"/>
      <w:divBdr>
        <w:top w:val="none" w:sz="0" w:space="0" w:color="auto"/>
        <w:left w:val="none" w:sz="0" w:space="0" w:color="auto"/>
        <w:bottom w:val="none" w:sz="0" w:space="0" w:color="auto"/>
        <w:right w:val="none" w:sz="0" w:space="0" w:color="auto"/>
      </w:divBdr>
    </w:div>
    <w:div w:id="1558515152">
      <w:bodyDiv w:val="1"/>
      <w:marLeft w:val="0"/>
      <w:marRight w:val="0"/>
      <w:marTop w:val="0"/>
      <w:marBottom w:val="0"/>
      <w:divBdr>
        <w:top w:val="none" w:sz="0" w:space="0" w:color="auto"/>
        <w:left w:val="none" w:sz="0" w:space="0" w:color="auto"/>
        <w:bottom w:val="none" w:sz="0" w:space="0" w:color="auto"/>
        <w:right w:val="none" w:sz="0" w:space="0" w:color="auto"/>
      </w:divBdr>
    </w:div>
    <w:div w:id="1564562581">
      <w:bodyDiv w:val="1"/>
      <w:marLeft w:val="0"/>
      <w:marRight w:val="0"/>
      <w:marTop w:val="0"/>
      <w:marBottom w:val="0"/>
      <w:divBdr>
        <w:top w:val="none" w:sz="0" w:space="0" w:color="auto"/>
        <w:left w:val="none" w:sz="0" w:space="0" w:color="auto"/>
        <w:bottom w:val="none" w:sz="0" w:space="0" w:color="auto"/>
        <w:right w:val="none" w:sz="0" w:space="0" w:color="auto"/>
      </w:divBdr>
    </w:div>
    <w:div w:id="1568151254">
      <w:bodyDiv w:val="1"/>
      <w:marLeft w:val="0"/>
      <w:marRight w:val="0"/>
      <w:marTop w:val="0"/>
      <w:marBottom w:val="0"/>
      <w:divBdr>
        <w:top w:val="none" w:sz="0" w:space="0" w:color="auto"/>
        <w:left w:val="none" w:sz="0" w:space="0" w:color="auto"/>
        <w:bottom w:val="none" w:sz="0" w:space="0" w:color="auto"/>
        <w:right w:val="none" w:sz="0" w:space="0" w:color="auto"/>
      </w:divBdr>
    </w:div>
    <w:div w:id="1582642587">
      <w:bodyDiv w:val="1"/>
      <w:marLeft w:val="0"/>
      <w:marRight w:val="0"/>
      <w:marTop w:val="0"/>
      <w:marBottom w:val="0"/>
      <w:divBdr>
        <w:top w:val="none" w:sz="0" w:space="0" w:color="auto"/>
        <w:left w:val="none" w:sz="0" w:space="0" w:color="auto"/>
        <w:bottom w:val="none" w:sz="0" w:space="0" w:color="auto"/>
        <w:right w:val="none" w:sz="0" w:space="0" w:color="auto"/>
      </w:divBdr>
    </w:div>
    <w:div w:id="1585383821">
      <w:bodyDiv w:val="1"/>
      <w:marLeft w:val="0"/>
      <w:marRight w:val="0"/>
      <w:marTop w:val="0"/>
      <w:marBottom w:val="0"/>
      <w:divBdr>
        <w:top w:val="none" w:sz="0" w:space="0" w:color="auto"/>
        <w:left w:val="none" w:sz="0" w:space="0" w:color="auto"/>
        <w:bottom w:val="none" w:sz="0" w:space="0" w:color="auto"/>
        <w:right w:val="none" w:sz="0" w:space="0" w:color="auto"/>
      </w:divBdr>
    </w:div>
    <w:div w:id="1597788672">
      <w:bodyDiv w:val="1"/>
      <w:marLeft w:val="0"/>
      <w:marRight w:val="0"/>
      <w:marTop w:val="0"/>
      <w:marBottom w:val="0"/>
      <w:divBdr>
        <w:top w:val="none" w:sz="0" w:space="0" w:color="auto"/>
        <w:left w:val="none" w:sz="0" w:space="0" w:color="auto"/>
        <w:bottom w:val="none" w:sz="0" w:space="0" w:color="auto"/>
        <w:right w:val="none" w:sz="0" w:space="0" w:color="auto"/>
      </w:divBdr>
    </w:div>
    <w:div w:id="1620838040">
      <w:bodyDiv w:val="1"/>
      <w:marLeft w:val="0"/>
      <w:marRight w:val="0"/>
      <w:marTop w:val="0"/>
      <w:marBottom w:val="0"/>
      <w:divBdr>
        <w:top w:val="none" w:sz="0" w:space="0" w:color="auto"/>
        <w:left w:val="none" w:sz="0" w:space="0" w:color="auto"/>
        <w:bottom w:val="none" w:sz="0" w:space="0" w:color="auto"/>
        <w:right w:val="none" w:sz="0" w:space="0" w:color="auto"/>
      </w:divBdr>
    </w:div>
    <w:div w:id="1623730341">
      <w:bodyDiv w:val="1"/>
      <w:marLeft w:val="0"/>
      <w:marRight w:val="0"/>
      <w:marTop w:val="0"/>
      <w:marBottom w:val="0"/>
      <w:divBdr>
        <w:top w:val="none" w:sz="0" w:space="0" w:color="auto"/>
        <w:left w:val="none" w:sz="0" w:space="0" w:color="auto"/>
        <w:bottom w:val="none" w:sz="0" w:space="0" w:color="auto"/>
        <w:right w:val="none" w:sz="0" w:space="0" w:color="auto"/>
      </w:divBdr>
    </w:div>
    <w:div w:id="1626040878">
      <w:bodyDiv w:val="1"/>
      <w:marLeft w:val="0"/>
      <w:marRight w:val="0"/>
      <w:marTop w:val="0"/>
      <w:marBottom w:val="0"/>
      <w:divBdr>
        <w:top w:val="none" w:sz="0" w:space="0" w:color="auto"/>
        <w:left w:val="none" w:sz="0" w:space="0" w:color="auto"/>
        <w:bottom w:val="none" w:sz="0" w:space="0" w:color="auto"/>
        <w:right w:val="none" w:sz="0" w:space="0" w:color="auto"/>
      </w:divBdr>
    </w:div>
    <w:div w:id="1645235545">
      <w:bodyDiv w:val="1"/>
      <w:marLeft w:val="0"/>
      <w:marRight w:val="0"/>
      <w:marTop w:val="0"/>
      <w:marBottom w:val="0"/>
      <w:divBdr>
        <w:top w:val="none" w:sz="0" w:space="0" w:color="auto"/>
        <w:left w:val="none" w:sz="0" w:space="0" w:color="auto"/>
        <w:bottom w:val="none" w:sz="0" w:space="0" w:color="auto"/>
        <w:right w:val="none" w:sz="0" w:space="0" w:color="auto"/>
      </w:divBdr>
    </w:div>
    <w:div w:id="1656638462">
      <w:bodyDiv w:val="1"/>
      <w:marLeft w:val="0"/>
      <w:marRight w:val="0"/>
      <w:marTop w:val="0"/>
      <w:marBottom w:val="0"/>
      <w:divBdr>
        <w:top w:val="none" w:sz="0" w:space="0" w:color="auto"/>
        <w:left w:val="none" w:sz="0" w:space="0" w:color="auto"/>
        <w:bottom w:val="none" w:sz="0" w:space="0" w:color="auto"/>
        <w:right w:val="none" w:sz="0" w:space="0" w:color="auto"/>
      </w:divBdr>
    </w:div>
    <w:div w:id="1658412286">
      <w:bodyDiv w:val="1"/>
      <w:marLeft w:val="0"/>
      <w:marRight w:val="0"/>
      <w:marTop w:val="0"/>
      <w:marBottom w:val="0"/>
      <w:divBdr>
        <w:top w:val="none" w:sz="0" w:space="0" w:color="auto"/>
        <w:left w:val="none" w:sz="0" w:space="0" w:color="auto"/>
        <w:bottom w:val="none" w:sz="0" w:space="0" w:color="auto"/>
        <w:right w:val="none" w:sz="0" w:space="0" w:color="auto"/>
      </w:divBdr>
    </w:div>
    <w:div w:id="1662923184">
      <w:bodyDiv w:val="1"/>
      <w:marLeft w:val="0"/>
      <w:marRight w:val="0"/>
      <w:marTop w:val="0"/>
      <w:marBottom w:val="0"/>
      <w:divBdr>
        <w:top w:val="none" w:sz="0" w:space="0" w:color="auto"/>
        <w:left w:val="none" w:sz="0" w:space="0" w:color="auto"/>
        <w:bottom w:val="none" w:sz="0" w:space="0" w:color="auto"/>
        <w:right w:val="none" w:sz="0" w:space="0" w:color="auto"/>
      </w:divBdr>
    </w:div>
    <w:div w:id="1671835984">
      <w:bodyDiv w:val="1"/>
      <w:marLeft w:val="0"/>
      <w:marRight w:val="0"/>
      <w:marTop w:val="0"/>
      <w:marBottom w:val="0"/>
      <w:divBdr>
        <w:top w:val="none" w:sz="0" w:space="0" w:color="auto"/>
        <w:left w:val="none" w:sz="0" w:space="0" w:color="auto"/>
        <w:bottom w:val="none" w:sz="0" w:space="0" w:color="auto"/>
        <w:right w:val="none" w:sz="0" w:space="0" w:color="auto"/>
      </w:divBdr>
    </w:div>
    <w:div w:id="1676418342">
      <w:bodyDiv w:val="1"/>
      <w:marLeft w:val="0"/>
      <w:marRight w:val="0"/>
      <w:marTop w:val="0"/>
      <w:marBottom w:val="0"/>
      <w:divBdr>
        <w:top w:val="none" w:sz="0" w:space="0" w:color="auto"/>
        <w:left w:val="none" w:sz="0" w:space="0" w:color="auto"/>
        <w:bottom w:val="none" w:sz="0" w:space="0" w:color="auto"/>
        <w:right w:val="none" w:sz="0" w:space="0" w:color="auto"/>
      </w:divBdr>
    </w:div>
    <w:div w:id="1678188847">
      <w:bodyDiv w:val="1"/>
      <w:marLeft w:val="0"/>
      <w:marRight w:val="0"/>
      <w:marTop w:val="0"/>
      <w:marBottom w:val="0"/>
      <w:divBdr>
        <w:top w:val="none" w:sz="0" w:space="0" w:color="auto"/>
        <w:left w:val="none" w:sz="0" w:space="0" w:color="auto"/>
        <w:bottom w:val="none" w:sz="0" w:space="0" w:color="auto"/>
        <w:right w:val="none" w:sz="0" w:space="0" w:color="auto"/>
      </w:divBdr>
    </w:div>
    <w:div w:id="1681351952">
      <w:bodyDiv w:val="1"/>
      <w:marLeft w:val="0"/>
      <w:marRight w:val="0"/>
      <w:marTop w:val="0"/>
      <w:marBottom w:val="0"/>
      <w:divBdr>
        <w:top w:val="none" w:sz="0" w:space="0" w:color="auto"/>
        <w:left w:val="none" w:sz="0" w:space="0" w:color="auto"/>
        <w:bottom w:val="none" w:sz="0" w:space="0" w:color="auto"/>
        <w:right w:val="none" w:sz="0" w:space="0" w:color="auto"/>
      </w:divBdr>
    </w:div>
    <w:div w:id="1688827632">
      <w:bodyDiv w:val="1"/>
      <w:marLeft w:val="0"/>
      <w:marRight w:val="0"/>
      <w:marTop w:val="0"/>
      <w:marBottom w:val="0"/>
      <w:divBdr>
        <w:top w:val="none" w:sz="0" w:space="0" w:color="auto"/>
        <w:left w:val="none" w:sz="0" w:space="0" w:color="auto"/>
        <w:bottom w:val="none" w:sz="0" w:space="0" w:color="auto"/>
        <w:right w:val="none" w:sz="0" w:space="0" w:color="auto"/>
      </w:divBdr>
    </w:div>
    <w:div w:id="1692603031">
      <w:bodyDiv w:val="1"/>
      <w:marLeft w:val="0"/>
      <w:marRight w:val="0"/>
      <w:marTop w:val="0"/>
      <w:marBottom w:val="0"/>
      <w:divBdr>
        <w:top w:val="none" w:sz="0" w:space="0" w:color="auto"/>
        <w:left w:val="none" w:sz="0" w:space="0" w:color="auto"/>
        <w:bottom w:val="none" w:sz="0" w:space="0" w:color="auto"/>
        <w:right w:val="none" w:sz="0" w:space="0" w:color="auto"/>
      </w:divBdr>
    </w:div>
    <w:div w:id="1713964500">
      <w:bodyDiv w:val="1"/>
      <w:marLeft w:val="0"/>
      <w:marRight w:val="0"/>
      <w:marTop w:val="0"/>
      <w:marBottom w:val="0"/>
      <w:divBdr>
        <w:top w:val="none" w:sz="0" w:space="0" w:color="auto"/>
        <w:left w:val="none" w:sz="0" w:space="0" w:color="auto"/>
        <w:bottom w:val="none" w:sz="0" w:space="0" w:color="auto"/>
        <w:right w:val="none" w:sz="0" w:space="0" w:color="auto"/>
      </w:divBdr>
    </w:div>
    <w:div w:id="1714309891">
      <w:bodyDiv w:val="1"/>
      <w:marLeft w:val="0"/>
      <w:marRight w:val="0"/>
      <w:marTop w:val="0"/>
      <w:marBottom w:val="0"/>
      <w:divBdr>
        <w:top w:val="none" w:sz="0" w:space="0" w:color="auto"/>
        <w:left w:val="none" w:sz="0" w:space="0" w:color="auto"/>
        <w:bottom w:val="none" w:sz="0" w:space="0" w:color="auto"/>
        <w:right w:val="none" w:sz="0" w:space="0" w:color="auto"/>
      </w:divBdr>
    </w:div>
    <w:div w:id="1737316764">
      <w:bodyDiv w:val="1"/>
      <w:marLeft w:val="0"/>
      <w:marRight w:val="0"/>
      <w:marTop w:val="0"/>
      <w:marBottom w:val="0"/>
      <w:divBdr>
        <w:top w:val="none" w:sz="0" w:space="0" w:color="auto"/>
        <w:left w:val="none" w:sz="0" w:space="0" w:color="auto"/>
        <w:bottom w:val="none" w:sz="0" w:space="0" w:color="auto"/>
        <w:right w:val="none" w:sz="0" w:space="0" w:color="auto"/>
      </w:divBdr>
    </w:div>
    <w:div w:id="1759211909">
      <w:bodyDiv w:val="1"/>
      <w:marLeft w:val="0"/>
      <w:marRight w:val="0"/>
      <w:marTop w:val="0"/>
      <w:marBottom w:val="0"/>
      <w:divBdr>
        <w:top w:val="none" w:sz="0" w:space="0" w:color="auto"/>
        <w:left w:val="none" w:sz="0" w:space="0" w:color="auto"/>
        <w:bottom w:val="none" w:sz="0" w:space="0" w:color="auto"/>
        <w:right w:val="none" w:sz="0" w:space="0" w:color="auto"/>
      </w:divBdr>
      <w:divsChild>
        <w:div w:id="764689445">
          <w:marLeft w:val="0"/>
          <w:marRight w:val="0"/>
          <w:marTop w:val="0"/>
          <w:marBottom w:val="0"/>
          <w:divBdr>
            <w:top w:val="none" w:sz="0" w:space="0" w:color="auto"/>
            <w:left w:val="none" w:sz="0" w:space="0" w:color="auto"/>
            <w:bottom w:val="none" w:sz="0" w:space="0" w:color="auto"/>
            <w:right w:val="none" w:sz="0" w:space="0" w:color="auto"/>
          </w:divBdr>
          <w:divsChild>
            <w:div w:id="61104303">
              <w:marLeft w:val="0"/>
              <w:marRight w:val="0"/>
              <w:marTop w:val="0"/>
              <w:marBottom w:val="0"/>
              <w:divBdr>
                <w:top w:val="none" w:sz="0" w:space="0" w:color="auto"/>
                <w:left w:val="none" w:sz="0" w:space="0" w:color="auto"/>
                <w:bottom w:val="none" w:sz="0" w:space="0" w:color="auto"/>
                <w:right w:val="none" w:sz="0" w:space="0" w:color="auto"/>
              </w:divBdr>
              <w:divsChild>
                <w:div w:id="830371668">
                  <w:marLeft w:val="0"/>
                  <w:marRight w:val="0"/>
                  <w:marTop w:val="0"/>
                  <w:marBottom w:val="0"/>
                  <w:divBdr>
                    <w:top w:val="none" w:sz="0" w:space="0" w:color="auto"/>
                    <w:left w:val="none" w:sz="0" w:space="0" w:color="auto"/>
                    <w:bottom w:val="none" w:sz="0" w:space="0" w:color="auto"/>
                    <w:right w:val="none" w:sz="0" w:space="0" w:color="auto"/>
                  </w:divBdr>
                  <w:divsChild>
                    <w:div w:id="13301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740977">
      <w:bodyDiv w:val="1"/>
      <w:marLeft w:val="0"/>
      <w:marRight w:val="0"/>
      <w:marTop w:val="0"/>
      <w:marBottom w:val="0"/>
      <w:divBdr>
        <w:top w:val="none" w:sz="0" w:space="0" w:color="auto"/>
        <w:left w:val="none" w:sz="0" w:space="0" w:color="auto"/>
        <w:bottom w:val="none" w:sz="0" w:space="0" w:color="auto"/>
        <w:right w:val="none" w:sz="0" w:space="0" w:color="auto"/>
      </w:divBdr>
    </w:div>
    <w:div w:id="1781290497">
      <w:bodyDiv w:val="1"/>
      <w:marLeft w:val="0"/>
      <w:marRight w:val="0"/>
      <w:marTop w:val="0"/>
      <w:marBottom w:val="0"/>
      <w:divBdr>
        <w:top w:val="none" w:sz="0" w:space="0" w:color="auto"/>
        <w:left w:val="none" w:sz="0" w:space="0" w:color="auto"/>
        <w:bottom w:val="none" w:sz="0" w:space="0" w:color="auto"/>
        <w:right w:val="none" w:sz="0" w:space="0" w:color="auto"/>
      </w:divBdr>
    </w:div>
    <w:div w:id="1785466037">
      <w:bodyDiv w:val="1"/>
      <w:marLeft w:val="0"/>
      <w:marRight w:val="0"/>
      <w:marTop w:val="0"/>
      <w:marBottom w:val="0"/>
      <w:divBdr>
        <w:top w:val="none" w:sz="0" w:space="0" w:color="auto"/>
        <w:left w:val="none" w:sz="0" w:space="0" w:color="auto"/>
        <w:bottom w:val="none" w:sz="0" w:space="0" w:color="auto"/>
        <w:right w:val="none" w:sz="0" w:space="0" w:color="auto"/>
      </w:divBdr>
    </w:div>
    <w:div w:id="1803960423">
      <w:bodyDiv w:val="1"/>
      <w:marLeft w:val="0"/>
      <w:marRight w:val="0"/>
      <w:marTop w:val="0"/>
      <w:marBottom w:val="0"/>
      <w:divBdr>
        <w:top w:val="none" w:sz="0" w:space="0" w:color="auto"/>
        <w:left w:val="none" w:sz="0" w:space="0" w:color="auto"/>
        <w:bottom w:val="none" w:sz="0" w:space="0" w:color="auto"/>
        <w:right w:val="none" w:sz="0" w:space="0" w:color="auto"/>
      </w:divBdr>
    </w:div>
    <w:div w:id="1815247840">
      <w:bodyDiv w:val="1"/>
      <w:marLeft w:val="0"/>
      <w:marRight w:val="0"/>
      <w:marTop w:val="0"/>
      <w:marBottom w:val="0"/>
      <w:divBdr>
        <w:top w:val="none" w:sz="0" w:space="0" w:color="auto"/>
        <w:left w:val="none" w:sz="0" w:space="0" w:color="auto"/>
        <w:bottom w:val="none" w:sz="0" w:space="0" w:color="auto"/>
        <w:right w:val="none" w:sz="0" w:space="0" w:color="auto"/>
      </w:divBdr>
    </w:div>
    <w:div w:id="1822193785">
      <w:bodyDiv w:val="1"/>
      <w:marLeft w:val="0"/>
      <w:marRight w:val="0"/>
      <w:marTop w:val="0"/>
      <w:marBottom w:val="0"/>
      <w:divBdr>
        <w:top w:val="none" w:sz="0" w:space="0" w:color="auto"/>
        <w:left w:val="none" w:sz="0" w:space="0" w:color="auto"/>
        <w:bottom w:val="none" w:sz="0" w:space="0" w:color="auto"/>
        <w:right w:val="none" w:sz="0" w:space="0" w:color="auto"/>
      </w:divBdr>
    </w:div>
    <w:div w:id="1825125482">
      <w:bodyDiv w:val="1"/>
      <w:marLeft w:val="0"/>
      <w:marRight w:val="0"/>
      <w:marTop w:val="0"/>
      <w:marBottom w:val="0"/>
      <w:divBdr>
        <w:top w:val="none" w:sz="0" w:space="0" w:color="auto"/>
        <w:left w:val="none" w:sz="0" w:space="0" w:color="auto"/>
        <w:bottom w:val="none" w:sz="0" w:space="0" w:color="auto"/>
        <w:right w:val="none" w:sz="0" w:space="0" w:color="auto"/>
      </w:divBdr>
    </w:div>
    <w:div w:id="1826781210">
      <w:bodyDiv w:val="1"/>
      <w:marLeft w:val="0"/>
      <w:marRight w:val="0"/>
      <w:marTop w:val="0"/>
      <w:marBottom w:val="0"/>
      <w:divBdr>
        <w:top w:val="none" w:sz="0" w:space="0" w:color="auto"/>
        <w:left w:val="none" w:sz="0" w:space="0" w:color="auto"/>
        <w:bottom w:val="none" w:sz="0" w:space="0" w:color="auto"/>
        <w:right w:val="none" w:sz="0" w:space="0" w:color="auto"/>
      </w:divBdr>
    </w:div>
    <w:div w:id="1837568698">
      <w:bodyDiv w:val="1"/>
      <w:marLeft w:val="0"/>
      <w:marRight w:val="0"/>
      <w:marTop w:val="0"/>
      <w:marBottom w:val="0"/>
      <w:divBdr>
        <w:top w:val="none" w:sz="0" w:space="0" w:color="auto"/>
        <w:left w:val="none" w:sz="0" w:space="0" w:color="auto"/>
        <w:bottom w:val="none" w:sz="0" w:space="0" w:color="auto"/>
        <w:right w:val="none" w:sz="0" w:space="0" w:color="auto"/>
      </w:divBdr>
    </w:div>
    <w:div w:id="1841651087">
      <w:bodyDiv w:val="1"/>
      <w:marLeft w:val="0"/>
      <w:marRight w:val="0"/>
      <w:marTop w:val="0"/>
      <w:marBottom w:val="0"/>
      <w:divBdr>
        <w:top w:val="none" w:sz="0" w:space="0" w:color="auto"/>
        <w:left w:val="none" w:sz="0" w:space="0" w:color="auto"/>
        <w:bottom w:val="none" w:sz="0" w:space="0" w:color="auto"/>
        <w:right w:val="none" w:sz="0" w:space="0" w:color="auto"/>
      </w:divBdr>
      <w:divsChild>
        <w:div w:id="2108427127">
          <w:marLeft w:val="0"/>
          <w:marRight w:val="0"/>
          <w:marTop w:val="0"/>
          <w:marBottom w:val="0"/>
          <w:divBdr>
            <w:top w:val="none" w:sz="0" w:space="0" w:color="auto"/>
            <w:left w:val="none" w:sz="0" w:space="0" w:color="auto"/>
            <w:bottom w:val="none" w:sz="0" w:space="0" w:color="auto"/>
            <w:right w:val="none" w:sz="0" w:space="0" w:color="auto"/>
          </w:divBdr>
        </w:div>
      </w:divsChild>
    </w:div>
    <w:div w:id="1861777210">
      <w:bodyDiv w:val="1"/>
      <w:marLeft w:val="0"/>
      <w:marRight w:val="0"/>
      <w:marTop w:val="0"/>
      <w:marBottom w:val="0"/>
      <w:divBdr>
        <w:top w:val="none" w:sz="0" w:space="0" w:color="auto"/>
        <w:left w:val="none" w:sz="0" w:space="0" w:color="auto"/>
        <w:bottom w:val="none" w:sz="0" w:space="0" w:color="auto"/>
        <w:right w:val="none" w:sz="0" w:space="0" w:color="auto"/>
      </w:divBdr>
      <w:divsChild>
        <w:div w:id="2104642875">
          <w:marLeft w:val="0"/>
          <w:marRight w:val="0"/>
          <w:marTop w:val="0"/>
          <w:marBottom w:val="0"/>
          <w:divBdr>
            <w:top w:val="none" w:sz="0" w:space="0" w:color="auto"/>
            <w:left w:val="none" w:sz="0" w:space="0" w:color="auto"/>
            <w:bottom w:val="none" w:sz="0" w:space="0" w:color="auto"/>
            <w:right w:val="none" w:sz="0" w:space="0" w:color="auto"/>
          </w:divBdr>
        </w:div>
      </w:divsChild>
    </w:div>
    <w:div w:id="1877934343">
      <w:bodyDiv w:val="1"/>
      <w:marLeft w:val="0"/>
      <w:marRight w:val="0"/>
      <w:marTop w:val="0"/>
      <w:marBottom w:val="0"/>
      <w:divBdr>
        <w:top w:val="none" w:sz="0" w:space="0" w:color="auto"/>
        <w:left w:val="none" w:sz="0" w:space="0" w:color="auto"/>
        <w:bottom w:val="none" w:sz="0" w:space="0" w:color="auto"/>
        <w:right w:val="none" w:sz="0" w:space="0" w:color="auto"/>
      </w:divBdr>
    </w:div>
    <w:div w:id="1879664010">
      <w:bodyDiv w:val="1"/>
      <w:marLeft w:val="0"/>
      <w:marRight w:val="0"/>
      <w:marTop w:val="0"/>
      <w:marBottom w:val="0"/>
      <w:divBdr>
        <w:top w:val="none" w:sz="0" w:space="0" w:color="auto"/>
        <w:left w:val="none" w:sz="0" w:space="0" w:color="auto"/>
        <w:bottom w:val="none" w:sz="0" w:space="0" w:color="auto"/>
        <w:right w:val="none" w:sz="0" w:space="0" w:color="auto"/>
      </w:divBdr>
      <w:divsChild>
        <w:div w:id="772673932">
          <w:marLeft w:val="0"/>
          <w:marRight w:val="0"/>
          <w:marTop w:val="0"/>
          <w:marBottom w:val="0"/>
          <w:divBdr>
            <w:top w:val="none" w:sz="0" w:space="0" w:color="auto"/>
            <w:left w:val="none" w:sz="0" w:space="0" w:color="auto"/>
            <w:bottom w:val="none" w:sz="0" w:space="0" w:color="auto"/>
            <w:right w:val="none" w:sz="0" w:space="0" w:color="auto"/>
          </w:divBdr>
          <w:divsChild>
            <w:div w:id="1320500494">
              <w:marLeft w:val="0"/>
              <w:marRight w:val="0"/>
              <w:marTop w:val="0"/>
              <w:marBottom w:val="0"/>
              <w:divBdr>
                <w:top w:val="none" w:sz="0" w:space="0" w:color="auto"/>
                <w:left w:val="none" w:sz="0" w:space="0" w:color="auto"/>
                <w:bottom w:val="none" w:sz="0" w:space="0" w:color="auto"/>
                <w:right w:val="none" w:sz="0" w:space="0" w:color="auto"/>
              </w:divBdr>
              <w:divsChild>
                <w:div w:id="585654961">
                  <w:marLeft w:val="0"/>
                  <w:marRight w:val="0"/>
                  <w:marTop w:val="0"/>
                  <w:marBottom w:val="0"/>
                  <w:divBdr>
                    <w:top w:val="none" w:sz="0" w:space="0" w:color="auto"/>
                    <w:left w:val="none" w:sz="0" w:space="0" w:color="auto"/>
                    <w:bottom w:val="none" w:sz="0" w:space="0" w:color="auto"/>
                    <w:right w:val="none" w:sz="0" w:space="0" w:color="auto"/>
                  </w:divBdr>
                </w:div>
              </w:divsChild>
            </w:div>
            <w:div w:id="1684937067">
              <w:marLeft w:val="0"/>
              <w:marRight w:val="0"/>
              <w:marTop w:val="0"/>
              <w:marBottom w:val="0"/>
              <w:divBdr>
                <w:top w:val="none" w:sz="0" w:space="0" w:color="auto"/>
                <w:left w:val="none" w:sz="0" w:space="0" w:color="auto"/>
                <w:bottom w:val="none" w:sz="0" w:space="0" w:color="auto"/>
                <w:right w:val="none" w:sz="0" w:space="0" w:color="auto"/>
              </w:divBdr>
            </w:div>
          </w:divsChild>
        </w:div>
        <w:div w:id="791436070">
          <w:marLeft w:val="0"/>
          <w:marRight w:val="0"/>
          <w:marTop w:val="0"/>
          <w:marBottom w:val="0"/>
          <w:divBdr>
            <w:top w:val="none" w:sz="0" w:space="0" w:color="auto"/>
            <w:left w:val="none" w:sz="0" w:space="0" w:color="auto"/>
            <w:bottom w:val="none" w:sz="0" w:space="0" w:color="auto"/>
            <w:right w:val="none" w:sz="0" w:space="0" w:color="auto"/>
          </w:divBdr>
          <w:divsChild>
            <w:div w:id="1079904906">
              <w:marLeft w:val="0"/>
              <w:marRight w:val="0"/>
              <w:marTop w:val="0"/>
              <w:marBottom w:val="0"/>
              <w:divBdr>
                <w:top w:val="none" w:sz="0" w:space="0" w:color="auto"/>
                <w:left w:val="none" w:sz="0" w:space="0" w:color="auto"/>
                <w:bottom w:val="none" w:sz="0" w:space="0" w:color="auto"/>
                <w:right w:val="none" w:sz="0" w:space="0" w:color="auto"/>
              </w:divBdr>
            </w:div>
            <w:div w:id="1493831999">
              <w:marLeft w:val="0"/>
              <w:marRight w:val="0"/>
              <w:marTop w:val="0"/>
              <w:marBottom w:val="0"/>
              <w:divBdr>
                <w:top w:val="none" w:sz="0" w:space="0" w:color="auto"/>
                <w:left w:val="none" w:sz="0" w:space="0" w:color="auto"/>
                <w:bottom w:val="none" w:sz="0" w:space="0" w:color="auto"/>
                <w:right w:val="none" w:sz="0" w:space="0" w:color="auto"/>
              </w:divBdr>
              <w:divsChild>
                <w:div w:id="1296788282">
                  <w:marLeft w:val="0"/>
                  <w:marRight w:val="0"/>
                  <w:marTop w:val="0"/>
                  <w:marBottom w:val="0"/>
                  <w:divBdr>
                    <w:top w:val="none" w:sz="0" w:space="0" w:color="auto"/>
                    <w:left w:val="none" w:sz="0" w:space="0" w:color="auto"/>
                    <w:bottom w:val="none" w:sz="0" w:space="0" w:color="auto"/>
                    <w:right w:val="none" w:sz="0" w:space="0" w:color="auto"/>
                  </w:divBdr>
                </w:div>
                <w:div w:id="134027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2034">
      <w:bodyDiv w:val="1"/>
      <w:marLeft w:val="0"/>
      <w:marRight w:val="0"/>
      <w:marTop w:val="0"/>
      <w:marBottom w:val="0"/>
      <w:divBdr>
        <w:top w:val="none" w:sz="0" w:space="0" w:color="auto"/>
        <w:left w:val="none" w:sz="0" w:space="0" w:color="auto"/>
        <w:bottom w:val="none" w:sz="0" w:space="0" w:color="auto"/>
        <w:right w:val="none" w:sz="0" w:space="0" w:color="auto"/>
      </w:divBdr>
    </w:div>
    <w:div w:id="1941376038">
      <w:bodyDiv w:val="1"/>
      <w:marLeft w:val="0"/>
      <w:marRight w:val="0"/>
      <w:marTop w:val="0"/>
      <w:marBottom w:val="0"/>
      <w:divBdr>
        <w:top w:val="none" w:sz="0" w:space="0" w:color="auto"/>
        <w:left w:val="none" w:sz="0" w:space="0" w:color="auto"/>
        <w:bottom w:val="none" w:sz="0" w:space="0" w:color="auto"/>
        <w:right w:val="none" w:sz="0" w:space="0" w:color="auto"/>
      </w:divBdr>
    </w:div>
    <w:div w:id="1959339656">
      <w:bodyDiv w:val="1"/>
      <w:marLeft w:val="0"/>
      <w:marRight w:val="0"/>
      <w:marTop w:val="0"/>
      <w:marBottom w:val="0"/>
      <w:divBdr>
        <w:top w:val="none" w:sz="0" w:space="0" w:color="auto"/>
        <w:left w:val="none" w:sz="0" w:space="0" w:color="auto"/>
        <w:bottom w:val="none" w:sz="0" w:space="0" w:color="auto"/>
        <w:right w:val="none" w:sz="0" w:space="0" w:color="auto"/>
      </w:divBdr>
    </w:div>
    <w:div w:id="1964382426">
      <w:bodyDiv w:val="1"/>
      <w:marLeft w:val="0"/>
      <w:marRight w:val="0"/>
      <w:marTop w:val="0"/>
      <w:marBottom w:val="0"/>
      <w:divBdr>
        <w:top w:val="none" w:sz="0" w:space="0" w:color="auto"/>
        <w:left w:val="none" w:sz="0" w:space="0" w:color="auto"/>
        <w:bottom w:val="none" w:sz="0" w:space="0" w:color="auto"/>
        <w:right w:val="none" w:sz="0" w:space="0" w:color="auto"/>
      </w:divBdr>
    </w:div>
    <w:div w:id="1972051073">
      <w:bodyDiv w:val="1"/>
      <w:marLeft w:val="0"/>
      <w:marRight w:val="0"/>
      <w:marTop w:val="0"/>
      <w:marBottom w:val="0"/>
      <w:divBdr>
        <w:top w:val="none" w:sz="0" w:space="0" w:color="auto"/>
        <w:left w:val="none" w:sz="0" w:space="0" w:color="auto"/>
        <w:bottom w:val="none" w:sz="0" w:space="0" w:color="auto"/>
        <w:right w:val="none" w:sz="0" w:space="0" w:color="auto"/>
      </w:divBdr>
    </w:div>
    <w:div w:id="1972200417">
      <w:bodyDiv w:val="1"/>
      <w:marLeft w:val="0"/>
      <w:marRight w:val="0"/>
      <w:marTop w:val="0"/>
      <w:marBottom w:val="0"/>
      <w:divBdr>
        <w:top w:val="none" w:sz="0" w:space="0" w:color="auto"/>
        <w:left w:val="none" w:sz="0" w:space="0" w:color="auto"/>
        <w:bottom w:val="none" w:sz="0" w:space="0" w:color="auto"/>
        <w:right w:val="none" w:sz="0" w:space="0" w:color="auto"/>
      </w:divBdr>
      <w:divsChild>
        <w:div w:id="2032295515">
          <w:marLeft w:val="0"/>
          <w:marRight w:val="0"/>
          <w:marTop w:val="0"/>
          <w:marBottom w:val="0"/>
          <w:divBdr>
            <w:top w:val="none" w:sz="0" w:space="0" w:color="auto"/>
            <w:left w:val="none" w:sz="0" w:space="0" w:color="auto"/>
            <w:bottom w:val="none" w:sz="0" w:space="0" w:color="auto"/>
            <w:right w:val="none" w:sz="0" w:space="0" w:color="auto"/>
          </w:divBdr>
        </w:div>
      </w:divsChild>
    </w:div>
    <w:div w:id="1987783591">
      <w:bodyDiv w:val="1"/>
      <w:marLeft w:val="0"/>
      <w:marRight w:val="0"/>
      <w:marTop w:val="0"/>
      <w:marBottom w:val="0"/>
      <w:divBdr>
        <w:top w:val="none" w:sz="0" w:space="0" w:color="auto"/>
        <w:left w:val="none" w:sz="0" w:space="0" w:color="auto"/>
        <w:bottom w:val="none" w:sz="0" w:space="0" w:color="auto"/>
        <w:right w:val="none" w:sz="0" w:space="0" w:color="auto"/>
      </w:divBdr>
      <w:divsChild>
        <w:div w:id="1220703463">
          <w:marLeft w:val="0"/>
          <w:marRight w:val="0"/>
          <w:marTop w:val="0"/>
          <w:marBottom w:val="0"/>
          <w:divBdr>
            <w:top w:val="none" w:sz="0" w:space="0" w:color="auto"/>
            <w:left w:val="none" w:sz="0" w:space="0" w:color="auto"/>
            <w:bottom w:val="none" w:sz="0" w:space="0" w:color="auto"/>
            <w:right w:val="none" w:sz="0" w:space="0" w:color="auto"/>
          </w:divBdr>
        </w:div>
      </w:divsChild>
    </w:div>
    <w:div w:id="1994989792">
      <w:bodyDiv w:val="1"/>
      <w:marLeft w:val="0"/>
      <w:marRight w:val="0"/>
      <w:marTop w:val="0"/>
      <w:marBottom w:val="0"/>
      <w:divBdr>
        <w:top w:val="none" w:sz="0" w:space="0" w:color="auto"/>
        <w:left w:val="none" w:sz="0" w:space="0" w:color="auto"/>
        <w:bottom w:val="none" w:sz="0" w:space="0" w:color="auto"/>
        <w:right w:val="none" w:sz="0" w:space="0" w:color="auto"/>
      </w:divBdr>
    </w:div>
    <w:div w:id="2029331605">
      <w:bodyDiv w:val="1"/>
      <w:marLeft w:val="0"/>
      <w:marRight w:val="0"/>
      <w:marTop w:val="0"/>
      <w:marBottom w:val="0"/>
      <w:divBdr>
        <w:top w:val="none" w:sz="0" w:space="0" w:color="auto"/>
        <w:left w:val="none" w:sz="0" w:space="0" w:color="auto"/>
        <w:bottom w:val="none" w:sz="0" w:space="0" w:color="auto"/>
        <w:right w:val="none" w:sz="0" w:space="0" w:color="auto"/>
      </w:divBdr>
    </w:div>
    <w:div w:id="2036149764">
      <w:bodyDiv w:val="1"/>
      <w:marLeft w:val="0"/>
      <w:marRight w:val="0"/>
      <w:marTop w:val="0"/>
      <w:marBottom w:val="0"/>
      <w:divBdr>
        <w:top w:val="none" w:sz="0" w:space="0" w:color="auto"/>
        <w:left w:val="none" w:sz="0" w:space="0" w:color="auto"/>
        <w:bottom w:val="none" w:sz="0" w:space="0" w:color="auto"/>
        <w:right w:val="none" w:sz="0" w:space="0" w:color="auto"/>
      </w:divBdr>
    </w:div>
    <w:div w:id="2069842624">
      <w:bodyDiv w:val="1"/>
      <w:marLeft w:val="0"/>
      <w:marRight w:val="0"/>
      <w:marTop w:val="0"/>
      <w:marBottom w:val="0"/>
      <w:divBdr>
        <w:top w:val="none" w:sz="0" w:space="0" w:color="auto"/>
        <w:left w:val="none" w:sz="0" w:space="0" w:color="auto"/>
        <w:bottom w:val="none" w:sz="0" w:space="0" w:color="auto"/>
        <w:right w:val="none" w:sz="0" w:space="0" w:color="auto"/>
      </w:divBdr>
    </w:div>
    <w:div w:id="209265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CAB11-3B4B-4ACA-9178-F1140B1BD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12</Pages>
  <Words>5143</Words>
  <Characters>29316</Characters>
  <Application>Microsoft Office Word</Application>
  <DocSecurity>0</DocSecurity>
  <Lines>244</Lines>
  <Paragraphs>68</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34391</CharactersWithSpaces>
  <SharedDoc>false</SharedDoc>
  <HLinks>
    <vt:vector size="18" baseType="variant">
      <vt:variant>
        <vt:i4>3276883</vt:i4>
      </vt:variant>
      <vt:variant>
        <vt:i4>6</vt:i4>
      </vt:variant>
      <vt:variant>
        <vt:i4>0</vt:i4>
      </vt:variant>
      <vt:variant>
        <vt:i4>5</vt:i4>
      </vt:variant>
      <vt:variant>
        <vt:lpwstr>mailto:jcalle@ups.edu.ec</vt:lpwstr>
      </vt:variant>
      <vt:variant>
        <vt:lpwstr/>
      </vt:variant>
      <vt:variant>
        <vt:i4>1441907</vt:i4>
      </vt:variant>
      <vt:variant>
        <vt:i4>3</vt:i4>
      </vt:variant>
      <vt:variant>
        <vt:i4>0</vt:i4>
      </vt:variant>
      <vt:variant>
        <vt:i4>5</vt:i4>
      </vt:variant>
      <vt:variant>
        <vt:lpwstr>mailto:revistaingenius@ups.edu.ec</vt:lpwstr>
      </vt:variant>
      <vt:variant>
        <vt:lpwstr/>
      </vt:variant>
      <vt:variant>
        <vt:i4>4980750</vt:i4>
      </vt:variant>
      <vt:variant>
        <vt:i4>0</vt:i4>
      </vt:variant>
      <vt:variant>
        <vt:i4>0</vt:i4>
      </vt:variant>
      <vt:variant>
        <vt:i4>5</vt:i4>
      </vt:variant>
      <vt:variant>
        <vt:lpwstr>http://ingenius.ups.edu.ec/c/document_library/get_file?uuid=62e6d6a3-4e93-4fc3-b966-bc2e2ac4a885&amp;groupId=2497096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sarmiento</dc:creator>
  <cp:keywords/>
  <cp:lastModifiedBy>SDI 1089</cp:lastModifiedBy>
  <cp:revision>157</cp:revision>
  <cp:lastPrinted>2012-06-20T11:11:00Z</cp:lastPrinted>
  <dcterms:created xsi:type="dcterms:W3CDTF">2025-09-20T18:56:00Z</dcterms:created>
  <dcterms:modified xsi:type="dcterms:W3CDTF">2025-09-26T07:09:00Z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id="a7Q7dsx7"/&gt;&lt;style id="http://www.zotero.org/styles/ieee" hasBibliography="1" bibliographyStyleHasBeenSet="1"/&gt;&lt;prefs&gt;&lt;pref name="fieldType" value="Field"/&gt;&lt;pref name="storeReferences" value="true"</vt:lpwstr>
  </property>
  <property fmtid="{D5CDD505-2E9C-101B-9397-08002B2CF9AE}" pid="3" name="ZOTERO_PREF_2">
    <vt:lpwstr>/&gt;&lt;pref name="noteType" value="0"/&gt;&lt;/prefs&gt;&lt;/data&gt;</vt:lpwstr>
  </property>
</Properties>
</file>