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162D3" w14:textId="703FBE20" w:rsidR="009D6B56" w:rsidRPr="00B03401" w:rsidRDefault="00B03401" w:rsidP="0044318E">
      <w:pPr>
        <w:pBdr>
          <w:bottom w:val="single" w:sz="6" w:space="1" w:color="auto"/>
        </w:pBdr>
        <w:spacing w:before="100" w:beforeAutospacing="1" w:after="100" w:afterAutospacing="1"/>
        <w:contextualSpacing/>
        <w:jc w:val="right"/>
        <w:rPr>
          <w:rFonts w:ascii="Arial" w:eastAsia="Times New Roman" w:hAnsi="Arial" w:cs="Arial"/>
          <w:b/>
          <w:bCs/>
          <w:color w:val="000000" w:themeColor="text1"/>
          <w:sz w:val="25"/>
          <w:szCs w:val="25"/>
          <w:lang w:val="en-IN" w:eastAsia="en-IN" w:bidi="ar-SA"/>
        </w:rPr>
      </w:pPr>
      <w:bookmarkStart w:id="0" w:name="_Hlk179187505"/>
      <w:r w:rsidRPr="00B03401">
        <w:rPr>
          <w:rFonts w:ascii="Arial" w:hAnsi="Arial" w:cs="Arial"/>
          <w:b/>
          <w:bCs/>
          <w:sz w:val="25"/>
          <w:szCs w:val="25"/>
        </w:rPr>
        <w:t>Effects of Long-Term Sugarcane Trash Management Practices on Soil Enzyme Activities in Maharashtra</w:t>
      </w:r>
      <w:r w:rsidR="00014B87">
        <w:rPr>
          <w:rFonts w:ascii="Arial" w:hAnsi="Arial" w:cs="Arial"/>
          <w:b/>
          <w:bCs/>
          <w:sz w:val="25"/>
          <w:szCs w:val="25"/>
        </w:rPr>
        <w:t>, India</w:t>
      </w:r>
    </w:p>
    <w:p w14:paraId="2AD9B867" w14:textId="77777777" w:rsidR="00680F17" w:rsidRPr="00B03401" w:rsidRDefault="00680F17" w:rsidP="0044318E">
      <w:pPr>
        <w:pBdr>
          <w:bottom w:val="single" w:sz="6" w:space="1" w:color="auto"/>
        </w:pBdr>
        <w:spacing w:before="100" w:beforeAutospacing="1" w:after="100" w:afterAutospacing="1"/>
        <w:contextualSpacing/>
        <w:jc w:val="right"/>
        <w:rPr>
          <w:rFonts w:ascii="Arial" w:eastAsia="Times New Roman" w:hAnsi="Arial" w:cs="Arial"/>
          <w:b/>
          <w:bCs/>
          <w:color w:val="000000" w:themeColor="text1"/>
          <w:sz w:val="20"/>
          <w:lang w:val="en-IN" w:eastAsia="en-IN" w:bidi="ar-SA"/>
        </w:rPr>
      </w:pPr>
    </w:p>
    <w:bookmarkEnd w:id="0"/>
    <w:p w14:paraId="26F14E8E" w14:textId="77777777" w:rsidR="0044318E" w:rsidRPr="00AA4A22" w:rsidRDefault="0044318E" w:rsidP="0044318E">
      <w:pPr>
        <w:spacing w:before="100" w:beforeAutospacing="1" w:after="100" w:afterAutospacing="1" w:line="360" w:lineRule="auto"/>
        <w:contextualSpacing/>
        <w:jc w:val="both"/>
        <w:rPr>
          <w:rFonts w:ascii="Arial" w:eastAsia="Times New Roman" w:hAnsi="Arial" w:cs="Arial"/>
          <w:b/>
          <w:bCs/>
          <w:color w:val="000000" w:themeColor="text1"/>
          <w:szCs w:val="22"/>
          <w:lang w:val="en-IN" w:eastAsia="en-IN" w:bidi="ar-SA"/>
        </w:rPr>
      </w:pPr>
    </w:p>
    <w:p w14:paraId="6FB5B664" w14:textId="343D18E8" w:rsidR="0044318E" w:rsidRPr="00AA4A22" w:rsidRDefault="0044318E" w:rsidP="0044318E">
      <w:pPr>
        <w:spacing w:before="100" w:beforeAutospacing="1" w:after="100" w:afterAutospacing="1" w:line="360" w:lineRule="auto"/>
        <w:contextualSpacing/>
        <w:jc w:val="both"/>
        <w:rPr>
          <w:rFonts w:ascii="Arial" w:eastAsia="Times New Roman" w:hAnsi="Arial" w:cs="Arial"/>
          <w:b/>
          <w:bCs/>
          <w:color w:val="000000" w:themeColor="text1"/>
          <w:szCs w:val="22"/>
          <w:lang w:val="en-IN" w:eastAsia="en-IN" w:bidi="ar-SA"/>
        </w:rPr>
      </w:pPr>
      <w:r w:rsidRPr="00AA4A22">
        <w:rPr>
          <w:rFonts w:ascii="Arial" w:eastAsia="Times New Roman" w:hAnsi="Arial" w:cs="Arial"/>
          <w:b/>
          <w:bCs/>
          <w:color w:val="000000" w:themeColor="text1"/>
          <w:szCs w:val="22"/>
          <w:lang w:val="en-IN" w:eastAsia="en-IN" w:bidi="ar-SA"/>
        </w:rPr>
        <w:t>ABSTRACT</w:t>
      </w:r>
    </w:p>
    <w:p w14:paraId="29230E78" w14:textId="139D8340" w:rsidR="0044318E" w:rsidRPr="00AA4A22" w:rsidRDefault="00B03401" w:rsidP="00A03D44">
      <w:pPr>
        <w:pBdr>
          <w:top w:val="single" w:sz="4" w:space="1" w:color="auto"/>
          <w:left w:val="single" w:sz="4" w:space="4" w:color="auto"/>
          <w:bottom w:val="single" w:sz="4" w:space="1" w:color="auto"/>
          <w:right w:val="single" w:sz="4" w:space="4" w:color="auto"/>
        </w:pBdr>
        <w:spacing w:after="0"/>
        <w:ind w:firstLine="851"/>
        <w:jc w:val="both"/>
        <w:rPr>
          <w:color w:val="000000" w:themeColor="text1"/>
        </w:rPr>
      </w:pPr>
      <w:r w:rsidRPr="00B03401">
        <w:rPr>
          <w:rFonts w:ascii="Arial" w:hAnsi="Arial" w:cs="Arial"/>
          <w:sz w:val="20"/>
        </w:rPr>
        <w:t>This study aimed to evaluate the</w:t>
      </w:r>
      <w:r w:rsidRPr="00AD0A7D">
        <w:rPr>
          <w:sz w:val="20"/>
        </w:rPr>
        <w:t xml:space="preserve"> </w:t>
      </w:r>
      <w:r w:rsidR="0044318E" w:rsidRPr="00AA4A22">
        <w:rPr>
          <w:rFonts w:ascii="Arial" w:hAnsi="Arial" w:cs="Arial"/>
          <w:color w:val="000000" w:themeColor="text1"/>
          <w:sz w:val="20"/>
        </w:rPr>
        <w:t>“</w:t>
      </w:r>
      <w:r w:rsidRPr="00B03401">
        <w:rPr>
          <w:rFonts w:ascii="Arial" w:hAnsi="Arial" w:cs="Arial"/>
          <w:sz w:val="20"/>
        </w:rPr>
        <w:t>Effects of Long-Term Sugarcane Trash Management</w:t>
      </w:r>
      <w:r>
        <w:rPr>
          <w:rFonts w:ascii="Arial" w:hAnsi="Arial" w:cs="Arial"/>
          <w:sz w:val="20"/>
        </w:rPr>
        <w:t xml:space="preserve"> Practices</w:t>
      </w:r>
      <w:r w:rsidRPr="00B03401">
        <w:rPr>
          <w:rFonts w:ascii="Arial" w:hAnsi="Arial" w:cs="Arial"/>
          <w:sz w:val="20"/>
        </w:rPr>
        <w:t xml:space="preserve"> on Soil Enzyme Activities in Maharashtra</w:t>
      </w:r>
      <w:r w:rsidR="0044318E" w:rsidRPr="00AA4A22">
        <w:rPr>
          <w:rFonts w:ascii="Arial" w:hAnsi="Arial" w:cs="Arial"/>
          <w:color w:val="000000" w:themeColor="text1"/>
          <w:sz w:val="20"/>
        </w:rPr>
        <w:t xml:space="preserve">” was conducted during 2023-2025 at Post Graduate laboratory, College of Agriculture, Pune. The study focused on dominant sugarcane growing districts in Maharashtra state, under different sugar recovery zones </w:t>
      </w:r>
      <w:r w:rsidR="0044318E" w:rsidRPr="00AA4A22">
        <w:rPr>
          <w:rFonts w:ascii="Arial" w:hAnsi="Arial" w:cs="Arial"/>
          <w:i/>
          <w:iCs/>
          <w:color w:val="000000" w:themeColor="text1"/>
          <w:sz w:val="20"/>
        </w:rPr>
        <w:t>viz.,</w:t>
      </w:r>
      <w:r w:rsidR="0044318E" w:rsidRPr="00AA4A22">
        <w:rPr>
          <w:rFonts w:ascii="Arial" w:hAnsi="Arial" w:cs="Arial"/>
          <w:color w:val="000000" w:themeColor="text1"/>
          <w:sz w:val="20"/>
        </w:rPr>
        <w:t xml:space="preserve"> high, medium and low. </w:t>
      </w:r>
    </w:p>
    <w:p w14:paraId="40EEDA0D" w14:textId="77777777" w:rsidR="0044318E" w:rsidRPr="00AA4A22" w:rsidRDefault="0044318E" w:rsidP="0044318E">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color w:val="000000" w:themeColor="text1"/>
          <w:sz w:val="20"/>
        </w:rPr>
      </w:pPr>
      <w:r w:rsidRPr="00AA4A22">
        <w:rPr>
          <w:rFonts w:ascii="Arial" w:hAnsi="Arial" w:cs="Arial"/>
          <w:noProof/>
          <w:color w:val="000000" w:themeColor="text1"/>
          <w:sz w:val="20"/>
        </w:rPr>
        <w:t xml:space="preserve">Furthermore, a correlation analysis was performed to examine the relationships between soil biological properties, ratoon sugarcane yield and commercial cane sugar content. An additional t-test was also employed to compare the mean scores of enzyme activities </w:t>
      </w:r>
      <w:r w:rsidRPr="00AA4A22">
        <w:rPr>
          <w:rFonts w:ascii="Arial" w:hAnsi="Arial" w:cs="Arial"/>
          <w:i/>
          <w:iCs/>
          <w:color w:val="000000" w:themeColor="text1"/>
          <w:sz w:val="20"/>
        </w:rPr>
        <w:t>viz.,</w:t>
      </w:r>
      <w:r w:rsidRPr="00AA4A22">
        <w:rPr>
          <w:rFonts w:ascii="Arial" w:hAnsi="Arial" w:cs="Arial"/>
          <w:color w:val="000000" w:themeColor="text1"/>
          <w:sz w:val="20"/>
        </w:rPr>
        <w:t xml:space="preserve"> </w:t>
      </w:r>
      <w:r w:rsidRPr="00AA4A22">
        <w:rPr>
          <w:rFonts w:ascii="Arial" w:hAnsi="Arial" w:cs="Arial"/>
          <w:noProof/>
          <w:color w:val="000000" w:themeColor="text1"/>
          <w:sz w:val="20"/>
        </w:rPr>
        <w:t xml:space="preserve">dehydrogenase, urease, acid phosphatase, alkaline phosphatase and β-glucosidase between the sugarcane trash management and trash burning practices, providing insights into the effects of these practices on ratoon cane yield and commercial cane sugar (CCS%) in ratoon sugarcane across different sugar recovery zones of Maharashtra. However, trash management (trash and mulching) leads to higher enzyme activities </w:t>
      </w:r>
      <w:r w:rsidRPr="00AA4A22">
        <w:rPr>
          <w:rFonts w:ascii="Arial" w:hAnsi="Arial" w:cs="Arial"/>
          <w:i/>
          <w:iCs/>
          <w:noProof/>
          <w:color w:val="000000" w:themeColor="text1"/>
          <w:sz w:val="20"/>
        </w:rPr>
        <w:t>viz.,</w:t>
      </w:r>
      <w:r w:rsidRPr="00AA4A22">
        <w:rPr>
          <w:rFonts w:ascii="Arial" w:hAnsi="Arial" w:cs="Arial"/>
          <w:noProof/>
          <w:color w:val="000000" w:themeColor="text1"/>
          <w:sz w:val="20"/>
        </w:rPr>
        <w:t xml:space="preserve"> dehydrogenase, urease, acid phosphatase, alkaline phosphatase and β-glucosidase, higher ratoon sugarcane yield and commercial cane sugar (CCS%) as compared to trash burning practices.</w:t>
      </w:r>
    </w:p>
    <w:p w14:paraId="262FF100" w14:textId="77777777" w:rsidR="0044318E" w:rsidRPr="00AA4A22" w:rsidRDefault="0044318E" w:rsidP="0044318E">
      <w:pPr>
        <w:spacing w:after="0"/>
        <w:ind w:firstLine="720"/>
        <w:jc w:val="both"/>
        <w:rPr>
          <w:rFonts w:ascii="Arial" w:hAnsi="Arial" w:cs="Arial"/>
          <w:color w:val="000000" w:themeColor="text1"/>
          <w:sz w:val="20"/>
        </w:rPr>
      </w:pPr>
    </w:p>
    <w:p w14:paraId="183D6365" w14:textId="77777777" w:rsidR="0044318E" w:rsidRPr="00AA4A22" w:rsidRDefault="0044318E" w:rsidP="0044318E">
      <w:pPr>
        <w:spacing w:after="0"/>
        <w:ind w:left="851" w:hanging="993"/>
        <w:jc w:val="both"/>
        <w:rPr>
          <w:rFonts w:ascii="Arial" w:hAnsi="Arial" w:cs="Arial"/>
          <w:i/>
          <w:iCs/>
          <w:color w:val="000000" w:themeColor="text1"/>
          <w:sz w:val="20"/>
        </w:rPr>
      </w:pPr>
      <w:r w:rsidRPr="00AA4A22">
        <w:rPr>
          <w:rFonts w:ascii="Arial" w:hAnsi="Arial" w:cs="Arial"/>
          <w:i/>
          <w:iCs/>
          <w:color w:val="000000" w:themeColor="text1"/>
          <w:sz w:val="20"/>
        </w:rPr>
        <w:t xml:space="preserve"> Keywords: Sugarcane; Trash management; Dehydrogenase; Urease; Acid and alkaline </w:t>
      </w:r>
      <w:proofErr w:type="gramStart"/>
      <w:r w:rsidRPr="00AA4A22">
        <w:rPr>
          <w:rFonts w:ascii="Arial" w:hAnsi="Arial" w:cs="Arial"/>
          <w:i/>
          <w:iCs/>
          <w:color w:val="000000" w:themeColor="text1"/>
          <w:sz w:val="20"/>
        </w:rPr>
        <w:t>phosphatase;</w:t>
      </w:r>
      <w:r w:rsidRPr="00AA4A22">
        <w:rPr>
          <w:rFonts w:ascii="Arial" w:hAnsi="Arial" w:cs="Arial"/>
          <w:color w:val="000000" w:themeColor="text1"/>
          <w:sz w:val="20"/>
        </w:rPr>
        <w:t xml:space="preserve">   </w:t>
      </w:r>
      <w:proofErr w:type="gramEnd"/>
      <w:r w:rsidRPr="00AA4A22">
        <w:rPr>
          <w:rFonts w:ascii="Arial" w:hAnsi="Arial" w:cs="Arial"/>
          <w:i/>
          <w:iCs/>
          <w:color w:val="000000" w:themeColor="text1"/>
          <w:sz w:val="20"/>
        </w:rPr>
        <w:t xml:space="preserve">β-glucosidase  </w:t>
      </w:r>
    </w:p>
    <w:p w14:paraId="061ADDBB" w14:textId="77777777" w:rsidR="0044318E" w:rsidRPr="00AA4A22" w:rsidRDefault="0044318E" w:rsidP="0044318E">
      <w:pPr>
        <w:spacing w:after="0"/>
        <w:jc w:val="both"/>
        <w:rPr>
          <w:rFonts w:ascii="Arial" w:hAnsi="Arial" w:cs="Arial"/>
          <w:color w:val="000000" w:themeColor="text1"/>
          <w:sz w:val="20"/>
        </w:rPr>
      </w:pPr>
      <w:r w:rsidRPr="00AA4A22">
        <w:rPr>
          <w:rFonts w:ascii="Arial" w:hAnsi="Arial" w:cs="Arial"/>
          <w:color w:val="000000" w:themeColor="text1"/>
          <w:sz w:val="20"/>
        </w:rPr>
        <w:t>________________________________________________________________________________</w:t>
      </w:r>
    </w:p>
    <w:p w14:paraId="11593C24" w14:textId="77777777" w:rsidR="0044318E" w:rsidRPr="00AA4A22" w:rsidRDefault="0044318E" w:rsidP="0044318E">
      <w:pPr>
        <w:spacing w:after="0" w:line="360" w:lineRule="auto"/>
        <w:jc w:val="both"/>
        <w:rPr>
          <w:rFonts w:ascii="Arial" w:hAnsi="Arial" w:cs="Arial"/>
          <w:b/>
          <w:bCs/>
          <w:color w:val="000000" w:themeColor="text1"/>
        </w:rPr>
      </w:pPr>
      <w:r w:rsidRPr="00AA4A22">
        <w:rPr>
          <w:rFonts w:ascii="Arial" w:hAnsi="Arial" w:cs="Arial"/>
          <w:b/>
          <w:bCs/>
          <w:color w:val="000000" w:themeColor="text1"/>
        </w:rPr>
        <w:t>1. INTRODUCTION</w:t>
      </w:r>
    </w:p>
    <w:p w14:paraId="647BBF5D" w14:textId="249D6084" w:rsidR="00B03401" w:rsidRDefault="00B03401" w:rsidP="001725D1">
      <w:pPr>
        <w:spacing w:after="0"/>
        <w:ind w:firstLine="851"/>
        <w:jc w:val="both"/>
        <w:rPr>
          <w:rFonts w:ascii="Arial" w:hAnsi="Arial" w:cs="Arial"/>
          <w:color w:val="000000" w:themeColor="text1"/>
          <w:sz w:val="20"/>
        </w:rPr>
      </w:pPr>
      <w:r w:rsidRPr="00B03401">
        <w:rPr>
          <w:rFonts w:ascii="Arial" w:hAnsi="Arial" w:cs="Arial"/>
          <w:color w:val="000000" w:themeColor="text1"/>
          <w:sz w:val="20"/>
        </w:rPr>
        <w:t xml:space="preserve">Sugarcane is a vital global cash crop and in India, its industry plays a key role in rural development by generating employment and boosting farm income. Mechanized harvesting produces sugarcane trash, which can be converted into organic compost on-site to enhance soil properties. To improve cane productivity, soil health and resource efficiency, Mahatma Phule Krishi Vidyapeeth, </w:t>
      </w:r>
      <w:proofErr w:type="spellStart"/>
      <w:r w:rsidRPr="00B03401">
        <w:rPr>
          <w:rFonts w:ascii="Arial" w:hAnsi="Arial" w:cs="Arial"/>
          <w:color w:val="000000" w:themeColor="text1"/>
          <w:sz w:val="20"/>
        </w:rPr>
        <w:t>Rahuri</w:t>
      </w:r>
      <w:proofErr w:type="spellEnd"/>
      <w:r w:rsidRPr="00B03401">
        <w:rPr>
          <w:rFonts w:ascii="Arial" w:hAnsi="Arial" w:cs="Arial"/>
          <w:color w:val="000000" w:themeColor="text1"/>
          <w:sz w:val="20"/>
        </w:rPr>
        <w:t>, introduced climate-resilient ratoon management technology involving zero tillage, trash mulching, integrated nutrient management and fertigation via crow bar. Soil enzymes, secreted by microbes serve as sensitive indicators of land management and aid in organic matter decomposition. Beneficial microbes and their enzymes accelerate the breakdown of sugarcane waste, promoting sustainable agriculture.</w:t>
      </w:r>
    </w:p>
    <w:p w14:paraId="2764E395" w14:textId="710CB250" w:rsidR="0044318E" w:rsidRPr="00AA4A22" w:rsidRDefault="00973992" w:rsidP="00973992">
      <w:pPr>
        <w:spacing w:after="0"/>
        <w:ind w:firstLine="851"/>
        <w:jc w:val="both"/>
        <w:rPr>
          <w:rFonts w:ascii="Arial" w:hAnsi="Arial" w:cs="Arial"/>
          <w:color w:val="000000" w:themeColor="text1"/>
          <w:sz w:val="20"/>
        </w:rPr>
      </w:pPr>
      <w:r w:rsidRPr="00973992">
        <w:rPr>
          <w:rFonts w:ascii="Arial" w:hAnsi="Arial" w:cs="Arial"/>
          <w:color w:val="000000" w:themeColor="text1"/>
          <w:sz w:val="20"/>
        </w:rPr>
        <w:t>A class of enzymes present in soil plays a vital role in maintaining its ecological balance, physical and chemical properties, fertility and overall health.</w:t>
      </w:r>
      <w:r>
        <w:rPr>
          <w:rFonts w:ascii="Arial" w:hAnsi="Arial" w:cs="Arial"/>
          <w:color w:val="000000" w:themeColor="text1"/>
          <w:sz w:val="20"/>
        </w:rPr>
        <w:t xml:space="preserve"> </w:t>
      </w:r>
      <w:r w:rsidRPr="00AA4A22">
        <w:rPr>
          <w:rFonts w:ascii="Arial" w:hAnsi="Arial" w:cs="Arial"/>
          <w:color w:val="000000" w:themeColor="text1"/>
          <w:sz w:val="20"/>
        </w:rPr>
        <w:t>Enzymes are proteins that function as biological catalysts in living things (</w:t>
      </w:r>
      <w:proofErr w:type="spellStart"/>
      <w:r w:rsidRPr="00AA4A22">
        <w:rPr>
          <w:rFonts w:ascii="Arial" w:hAnsi="Arial" w:cs="Arial"/>
          <w:color w:val="000000" w:themeColor="text1"/>
          <w:sz w:val="20"/>
        </w:rPr>
        <w:t>Alef</w:t>
      </w:r>
      <w:proofErr w:type="spellEnd"/>
      <w:r w:rsidRPr="00AA4A22">
        <w:rPr>
          <w:rFonts w:ascii="Arial" w:hAnsi="Arial" w:cs="Arial"/>
          <w:color w:val="000000" w:themeColor="text1"/>
          <w:sz w:val="20"/>
        </w:rPr>
        <w:t xml:space="preserve"> and </w:t>
      </w:r>
      <w:proofErr w:type="spellStart"/>
      <w:r w:rsidRPr="00AA4A22">
        <w:rPr>
          <w:rFonts w:ascii="Arial" w:hAnsi="Arial" w:cs="Arial"/>
          <w:color w:val="000000" w:themeColor="text1"/>
          <w:sz w:val="20"/>
        </w:rPr>
        <w:t>Nannipieri</w:t>
      </w:r>
      <w:proofErr w:type="spellEnd"/>
      <w:r w:rsidRPr="00AA4A22">
        <w:rPr>
          <w:rFonts w:ascii="Arial" w:hAnsi="Arial" w:cs="Arial"/>
          <w:color w:val="000000" w:themeColor="text1"/>
          <w:sz w:val="20"/>
        </w:rPr>
        <w:t xml:space="preserve">, 1995; </w:t>
      </w:r>
      <w:proofErr w:type="spellStart"/>
      <w:r w:rsidRPr="00AA4A22">
        <w:rPr>
          <w:rFonts w:ascii="Arial" w:hAnsi="Arial" w:cs="Arial"/>
          <w:color w:val="000000" w:themeColor="text1"/>
          <w:sz w:val="20"/>
        </w:rPr>
        <w:t>Onal</w:t>
      </w:r>
      <w:proofErr w:type="spellEnd"/>
      <w:r w:rsidRPr="00AA4A22">
        <w:rPr>
          <w:rFonts w:ascii="Arial" w:hAnsi="Arial" w:cs="Arial"/>
          <w:color w:val="000000" w:themeColor="text1"/>
          <w:sz w:val="20"/>
        </w:rPr>
        <w:t xml:space="preserve">, 2010). In the degradation of organic matter, soil enzymes perform crucial biochemical roles (Burns, 1983; Sinsabaugh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1991). </w:t>
      </w:r>
      <w:r w:rsidR="0044318E" w:rsidRPr="00AA4A22">
        <w:rPr>
          <w:rFonts w:ascii="Arial" w:hAnsi="Arial" w:cs="Arial"/>
          <w:color w:val="000000" w:themeColor="text1"/>
          <w:sz w:val="20"/>
        </w:rPr>
        <w:t xml:space="preserve">These enzymes </w:t>
      </w:r>
      <w:proofErr w:type="gramStart"/>
      <w:r w:rsidR="0044318E" w:rsidRPr="00AA4A22">
        <w:rPr>
          <w:rFonts w:ascii="Arial" w:hAnsi="Arial" w:cs="Arial"/>
          <w:color w:val="000000" w:themeColor="text1"/>
          <w:sz w:val="20"/>
        </w:rPr>
        <w:t>contributes</w:t>
      </w:r>
      <w:proofErr w:type="gramEnd"/>
      <w:r w:rsidR="0044318E" w:rsidRPr="00AA4A22">
        <w:rPr>
          <w:rFonts w:ascii="Arial" w:hAnsi="Arial" w:cs="Arial"/>
          <w:color w:val="000000" w:themeColor="text1"/>
          <w:sz w:val="20"/>
        </w:rPr>
        <w:t xml:space="preserve"> to the biochemical breakdown of organic matter in soil system as a whole. Furthermore, these enzymes </w:t>
      </w:r>
      <w:proofErr w:type="spellStart"/>
      <w:r w:rsidR="0044318E" w:rsidRPr="00AA4A22">
        <w:rPr>
          <w:rFonts w:ascii="Arial" w:hAnsi="Arial" w:cs="Arial"/>
          <w:color w:val="000000" w:themeColor="text1"/>
          <w:sz w:val="20"/>
        </w:rPr>
        <w:t>catalyses</w:t>
      </w:r>
      <w:proofErr w:type="spellEnd"/>
      <w:r w:rsidR="0044318E" w:rsidRPr="00AA4A22">
        <w:rPr>
          <w:rFonts w:ascii="Arial" w:hAnsi="Arial" w:cs="Arial"/>
          <w:color w:val="000000" w:themeColor="text1"/>
          <w:sz w:val="20"/>
        </w:rPr>
        <w:t xml:space="preserve"> the reaction required for the degradation of organic wastes, stabilization of soil structure, nutrient cycling and essential functions of soil microbes (Kocak, 2020). By reducing the activation energy levels of various reactions, enzymes are molecules that accelerate them. </w:t>
      </w:r>
    </w:p>
    <w:p w14:paraId="71ECE5FE" w14:textId="3B2912AE" w:rsidR="0044318E" w:rsidRPr="00AA4A22" w:rsidRDefault="0044318E" w:rsidP="00872EC5">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Soil enzymes are a functional factor that is directly tied to microorganisms and can be used to measure the health of soil. </w:t>
      </w:r>
      <w:r w:rsidR="00872EC5" w:rsidRPr="00872EC5">
        <w:rPr>
          <w:rFonts w:ascii="Arial" w:hAnsi="Arial" w:cs="Arial"/>
          <w:color w:val="000000" w:themeColor="text1"/>
          <w:sz w:val="20"/>
        </w:rPr>
        <w:t>Dehydrogenase, β-glucosidase and phosphatase activities are strongly related to nutrient dynamics of soil (</w:t>
      </w:r>
      <w:proofErr w:type="spellStart"/>
      <w:r w:rsidR="00872EC5" w:rsidRPr="00872EC5">
        <w:rPr>
          <w:rFonts w:ascii="Arial" w:hAnsi="Arial" w:cs="Arial"/>
          <w:color w:val="000000" w:themeColor="text1"/>
          <w:sz w:val="20"/>
        </w:rPr>
        <w:t>Tabatabai</w:t>
      </w:r>
      <w:proofErr w:type="spellEnd"/>
      <w:r w:rsidR="00872EC5" w:rsidRPr="00872EC5">
        <w:rPr>
          <w:rFonts w:ascii="Arial" w:hAnsi="Arial" w:cs="Arial"/>
          <w:color w:val="000000" w:themeColor="text1"/>
          <w:sz w:val="20"/>
        </w:rPr>
        <w:t xml:space="preserve"> 1982, </w:t>
      </w:r>
      <w:proofErr w:type="spellStart"/>
      <w:r w:rsidR="00872EC5" w:rsidRPr="00872EC5">
        <w:rPr>
          <w:rFonts w:ascii="Arial" w:hAnsi="Arial" w:cs="Arial"/>
          <w:color w:val="000000" w:themeColor="text1"/>
          <w:sz w:val="20"/>
        </w:rPr>
        <w:t>Bandick</w:t>
      </w:r>
      <w:proofErr w:type="spellEnd"/>
      <w:r w:rsidR="00872EC5" w:rsidRPr="00872EC5">
        <w:rPr>
          <w:rFonts w:ascii="Arial" w:hAnsi="Arial" w:cs="Arial"/>
          <w:color w:val="000000" w:themeColor="text1"/>
          <w:sz w:val="20"/>
        </w:rPr>
        <w:t xml:space="preserve"> and Dick, 1999).</w:t>
      </w:r>
      <w:r w:rsidR="00872EC5">
        <w:rPr>
          <w:rFonts w:ascii="Arial" w:hAnsi="Arial" w:cs="Arial"/>
          <w:color w:val="000000" w:themeColor="text1"/>
          <w:sz w:val="20"/>
        </w:rPr>
        <w:t xml:space="preserve"> </w:t>
      </w:r>
      <w:r w:rsidRPr="00AA4A22">
        <w:rPr>
          <w:rFonts w:ascii="Arial" w:hAnsi="Arial" w:cs="Arial"/>
          <w:color w:val="000000" w:themeColor="text1"/>
          <w:sz w:val="20"/>
        </w:rPr>
        <w:t xml:space="preserve">Soil dehydrogenase is one of the enzymes that directly measures soil microbial activity, revealing the microbial processes occurring in the soil (Kaur and Kaur, 2021). An essential enzyme that is vital to the fertility and health of soil is urease. Its primary function is the breakdown of urea into ammonium and it can be found in both living things and soil organic matter. The term "phosphatase" refers to a large class of enzymes that hydrolyses organic phosphorus molecules into inorganic polyphosphates found in soils. This process is crucial for P cycling in phosphorus-deficient soils. Both acid and alkaline phosphatase were assessed, depending on the soil's pH ranges (pH 4-6 and 9-11). Alkaline phosphatase activity occurs </w:t>
      </w:r>
      <w:r w:rsidRPr="00AA4A22">
        <w:rPr>
          <w:rFonts w:ascii="Arial" w:hAnsi="Arial" w:cs="Arial"/>
          <w:color w:val="000000" w:themeColor="text1"/>
          <w:sz w:val="20"/>
        </w:rPr>
        <w:lastRenderedPageBreak/>
        <w:t>in neutral or alkaline soils, while acid phosphatase activity is primarily seen in acidic soils. The β-glucosidase enzyme is involved in the carbon cycle and cleaves cellobiose into glucose molecules.</w:t>
      </w:r>
      <w:r w:rsidR="00872EC5" w:rsidRPr="00872EC5">
        <w:rPr>
          <w:rFonts w:ascii="Times New Roman" w:hAnsi="Times New Roman" w:cs="Times New Roman"/>
          <w:color w:val="000000" w:themeColor="text1"/>
          <w:sz w:val="25"/>
          <w:szCs w:val="25"/>
        </w:rPr>
        <w:t xml:space="preserve"> </w:t>
      </w:r>
    </w:p>
    <w:p w14:paraId="28402395" w14:textId="77777777" w:rsidR="0044318E" w:rsidRPr="00AA4A22" w:rsidRDefault="0044318E" w:rsidP="0044318E">
      <w:pPr>
        <w:spacing w:after="0" w:line="240" w:lineRule="auto"/>
        <w:jc w:val="both"/>
        <w:rPr>
          <w:rFonts w:ascii="Arial" w:hAnsi="Arial" w:cs="Arial"/>
          <w:color w:val="000000" w:themeColor="text1"/>
          <w:sz w:val="10"/>
          <w:szCs w:val="10"/>
        </w:rPr>
      </w:pPr>
    </w:p>
    <w:p w14:paraId="3FA1CA98" w14:textId="77777777" w:rsidR="0044318E" w:rsidRPr="00AA4A22" w:rsidRDefault="0044318E" w:rsidP="0044318E">
      <w:pPr>
        <w:pStyle w:val="NormalWeb"/>
        <w:tabs>
          <w:tab w:val="left" w:pos="993"/>
        </w:tabs>
        <w:spacing w:before="0" w:beforeAutospacing="0" w:after="0"/>
        <w:rPr>
          <w:rFonts w:ascii="Arial" w:hAnsi="Arial" w:cs="Arial"/>
          <w:b/>
          <w:bCs/>
          <w:color w:val="000000" w:themeColor="text1"/>
          <w:sz w:val="22"/>
          <w:szCs w:val="22"/>
        </w:rPr>
      </w:pPr>
      <w:r w:rsidRPr="00AA4A22">
        <w:rPr>
          <w:rFonts w:ascii="Arial" w:hAnsi="Arial" w:cs="Arial"/>
          <w:b/>
          <w:bCs/>
          <w:color w:val="000000" w:themeColor="text1"/>
          <w:sz w:val="22"/>
          <w:szCs w:val="22"/>
        </w:rPr>
        <w:t>2. MATERIALS AND METHODS</w:t>
      </w:r>
    </w:p>
    <w:p w14:paraId="3CE5FD4A" w14:textId="7F1B6897" w:rsidR="0044318E" w:rsidRPr="00794F85" w:rsidRDefault="0044318E" w:rsidP="00794F85">
      <w:pPr>
        <w:pStyle w:val="ListParagraph"/>
        <w:spacing w:after="0" w:line="360" w:lineRule="auto"/>
        <w:ind w:left="0" w:firstLine="720"/>
        <w:jc w:val="both"/>
        <w:rPr>
          <w:rFonts w:ascii="Arial" w:hAnsi="Arial" w:cs="Arial"/>
          <w:color w:val="000000" w:themeColor="text1"/>
          <w:sz w:val="20"/>
        </w:rPr>
      </w:pPr>
      <w:r w:rsidRPr="00AA4A22">
        <w:rPr>
          <w:rFonts w:ascii="Arial" w:hAnsi="Arial" w:cs="Arial"/>
          <w:color w:val="000000" w:themeColor="text1"/>
          <w:sz w:val="20"/>
        </w:rPr>
        <w:t xml:space="preserve">The experimental field survey was conducted during January, 2023 to April, 2025. The experiment was conducted in major 16 sugarcane growing districts from the three sugar recovery zones </w:t>
      </w:r>
      <w:r w:rsidRPr="00AA4A22">
        <w:rPr>
          <w:rFonts w:ascii="Arial" w:hAnsi="Arial" w:cs="Arial"/>
          <w:i/>
          <w:iCs/>
          <w:color w:val="000000" w:themeColor="text1"/>
          <w:sz w:val="20"/>
        </w:rPr>
        <w:t>viz</w:t>
      </w:r>
      <w:r w:rsidRPr="00AA4A22">
        <w:rPr>
          <w:rFonts w:ascii="Arial" w:hAnsi="Arial" w:cs="Arial"/>
          <w:color w:val="000000" w:themeColor="text1"/>
          <w:sz w:val="20"/>
        </w:rPr>
        <w:t>., high, medium and low sugar recovery zones from Western Maharashtra, North Maharashtra and Marathwada region were selected for the study. From each district 22 farmers were selected among them 11 farmers were following continuous</w:t>
      </w:r>
      <w:r w:rsidRPr="00AA4A22">
        <w:rPr>
          <w:rFonts w:ascii="Arial" w:hAnsi="Arial" w:cs="Arial"/>
          <w:i/>
          <w:iCs/>
          <w:color w:val="000000" w:themeColor="text1"/>
          <w:sz w:val="20"/>
        </w:rPr>
        <w:t xml:space="preserve"> in situ</w:t>
      </w:r>
      <w:r w:rsidRPr="00AA4A22">
        <w:rPr>
          <w:rFonts w:ascii="Arial" w:hAnsi="Arial" w:cs="Arial"/>
          <w:color w:val="000000" w:themeColor="text1"/>
          <w:sz w:val="20"/>
        </w:rPr>
        <w:t xml:space="preserve"> sugarcane trash management system and 11 farmers were following sugarcane trash burning system. They were following these systems since from last ten years. Thus, total 180 farmers were selected and required data was collected by survey method during the year 2023-24 through well-structured schedule. The soil samples were collected from the depth at 0 to 30 cm where the active root zone of sugarcane exist (Smith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2005) for the analysis of biological properties of soil and stored at 4</w:t>
      </w:r>
      <w:r w:rsidRPr="00AA4A22">
        <w:rPr>
          <w:rFonts w:ascii="Arial" w:hAnsi="Arial" w:cs="Arial"/>
          <w:color w:val="000000" w:themeColor="text1"/>
          <w:sz w:val="20"/>
          <w:vertAlign w:val="superscript"/>
        </w:rPr>
        <w:t>0</w:t>
      </w:r>
      <w:r w:rsidRPr="00AA4A22">
        <w:rPr>
          <w:rFonts w:ascii="Arial" w:hAnsi="Arial" w:cs="Arial"/>
          <w:color w:val="000000" w:themeColor="text1"/>
          <w:sz w:val="20"/>
        </w:rPr>
        <w:t xml:space="preserve">C temperature (Dadenko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2009).</w:t>
      </w:r>
      <w:r w:rsidRPr="00AA4A22">
        <w:rPr>
          <w:color w:val="000000" w:themeColor="text1"/>
          <w:sz w:val="25"/>
          <w:szCs w:val="25"/>
        </w:rPr>
        <w:t xml:space="preserve"> </w:t>
      </w:r>
      <w:r w:rsidRPr="00AA4A22">
        <w:rPr>
          <w:rFonts w:ascii="Arial" w:hAnsi="Arial" w:cs="Arial"/>
          <w:color w:val="000000" w:themeColor="text1"/>
          <w:sz w:val="20"/>
        </w:rPr>
        <w:t xml:space="preserve">The soil biological properties were analysed from collected soil samples from different recovery zones of Maharashtra and were utilized for establishing correlation coefficient (‘r’ values) among different ratoon sugarcane yield and CCS%. </w:t>
      </w:r>
      <w:r w:rsidR="00794F85" w:rsidRPr="00794F85">
        <w:rPr>
          <w:rFonts w:ascii="Arial" w:hAnsi="Arial" w:cs="Arial"/>
          <w:color w:val="000000" w:themeColor="text1"/>
          <w:sz w:val="20"/>
        </w:rPr>
        <w:t xml:space="preserve">The dehydrogenase enzyme assay was carried out according to the method described by Casida </w:t>
      </w:r>
      <w:r w:rsidR="00794F85" w:rsidRPr="00794F85">
        <w:rPr>
          <w:rFonts w:ascii="Arial" w:hAnsi="Arial" w:cs="Arial"/>
          <w:i/>
          <w:iCs/>
          <w:color w:val="000000" w:themeColor="text1"/>
          <w:sz w:val="20"/>
        </w:rPr>
        <w:t>et al</w:t>
      </w:r>
      <w:r w:rsidR="00794F85" w:rsidRPr="00794F85">
        <w:rPr>
          <w:rFonts w:ascii="Arial" w:hAnsi="Arial" w:cs="Arial"/>
          <w:color w:val="000000" w:themeColor="text1"/>
          <w:sz w:val="20"/>
        </w:rPr>
        <w:t>. (1964)</w:t>
      </w:r>
      <w:r w:rsidR="00794F85">
        <w:rPr>
          <w:rFonts w:ascii="Arial" w:hAnsi="Arial" w:cs="Arial"/>
          <w:color w:val="000000" w:themeColor="text1"/>
          <w:sz w:val="20"/>
        </w:rPr>
        <w:t>,</w:t>
      </w:r>
      <w:r w:rsidR="00794F85" w:rsidRPr="00794F85">
        <w:rPr>
          <w:rFonts w:ascii="Arial" w:hAnsi="Arial" w:cs="Arial"/>
          <w:color w:val="000000" w:themeColor="text1"/>
          <w:sz w:val="20"/>
        </w:rPr>
        <w:t xml:space="preserve"> urease enzyme assay was carried out according to the method described by </w:t>
      </w:r>
      <w:proofErr w:type="spellStart"/>
      <w:r w:rsidR="00794F85" w:rsidRPr="00794F85">
        <w:rPr>
          <w:rFonts w:ascii="Arial" w:hAnsi="Arial" w:cs="Arial"/>
          <w:color w:val="000000" w:themeColor="text1"/>
          <w:sz w:val="20"/>
        </w:rPr>
        <w:t>Tabatabai</w:t>
      </w:r>
      <w:proofErr w:type="spellEnd"/>
      <w:r w:rsidR="00794F85" w:rsidRPr="00794F85">
        <w:rPr>
          <w:rFonts w:ascii="Arial" w:hAnsi="Arial" w:cs="Arial"/>
          <w:color w:val="000000" w:themeColor="text1"/>
          <w:sz w:val="20"/>
        </w:rPr>
        <w:t xml:space="preserve"> and </w:t>
      </w:r>
      <w:proofErr w:type="spellStart"/>
      <w:r w:rsidR="00794F85" w:rsidRPr="00794F85">
        <w:rPr>
          <w:rFonts w:ascii="Arial" w:hAnsi="Arial" w:cs="Arial"/>
          <w:color w:val="000000" w:themeColor="text1"/>
          <w:sz w:val="20"/>
        </w:rPr>
        <w:t>Bremmner</w:t>
      </w:r>
      <w:proofErr w:type="spellEnd"/>
      <w:r w:rsidR="00794F85" w:rsidRPr="00794F85">
        <w:rPr>
          <w:rFonts w:ascii="Arial" w:hAnsi="Arial" w:cs="Arial"/>
          <w:color w:val="000000" w:themeColor="text1"/>
          <w:sz w:val="20"/>
        </w:rPr>
        <w:t xml:space="preserve"> (1972), acid and alkaline phosphatase enzyme was measured by using the method developed by </w:t>
      </w:r>
      <w:proofErr w:type="spellStart"/>
      <w:r w:rsidR="00794F85" w:rsidRPr="00794F85">
        <w:rPr>
          <w:rFonts w:ascii="Arial" w:hAnsi="Arial" w:cs="Arial"/>
          <w:color w:val="000000" w:themeColor="text1"/>
          <w:sz w:val="20"/>
        </w:rPr>
        <w:t>Eivazi</w:t>
      </w:r>
      <w:proofErr w:type="spellEnd"/>
      <w:r w:rsidR="00794F85" w:rsidRPr="00794F85">
        <w:rPr>
          <w:rFonts w:ascii="Arial" w:hAnsi="Arial" w:cs="Arial"/>
          <w:color w:val="000000" w:themeColor="text1"/>
          <w:sz w:val="20"/>
        </w:rPr>
        <w:t xml:space="preserve"> and </w:t>
      </w:r>
      <w:proofErr w:type="spellStart"/>
      <w:r w:rsidR="00794F85" w:rsidRPr="00794F85">
        <w:rPr>
          <w:rFonts w:ascii="Arial" w:hAnsi="Arial" w:cs="Arial"/>
          <w:color w:val="000000" w:themeColor="text1"/>
          <w:sz w:val="20"/>
        </w:rPr>
        <w:t>Tabatabai</w:t>
      </w:r>
      <w:proofErr w:type="spellEnd"/>
      <w:r w:rsidR="00794F85" w:rsidRPr="00794F85">
        <w:rPr>
          <w:rFonts w:ascii="Arial" w:hAnsi="Arial" w:cs="Arial"/>
          <w:color w:val="000000" w:themeColor="text1"/>
          <w:sz w:val="20"/>
        </w:rPr>
        <w:t xml:space="preserve"> (1977) and </w:t>
      </w:r>
      <w:r w:rsidR="00794F85">
        <w:rPr>
          <w:rFonts w:ascii="Arial" w:hAnsi="Arial" w:cs="Arial"/>
          <w:color w:val="000000" w:themeColor="text1"/>
          <w:sz w:val="20"/>
        </w:rPr>
        <w:t>a</w:t>
      </w:r>
      <w:r w:rsidR="00794F85" w:rsidRPr="00794F85">
        <w:rPr>
          <w:rFonts w:ascii="Arial" w:hAnsi="Arial" w:cs="Arial"/>
          <w:color w:val="000000" w:themeColor="text1"/>
          <w:sz w:val="20"/>
        </w:rPr>
        <w:t xml:space="preserve">ssay of β-glucosidase enzyme was carried out by the method described by </w:t>
      </w:r>
      <w:proofErr w:type="spellStart"/>
      <w:r w:rsidR="00794F85" w:rsidRPr="00794F85">
        <w:rPr>
          <w:rFonts w:ascii="Arial" w:hAnsi="Arial" w:cs="Arial"/>
          <w:color w:val="000000" w:themeColor="text1"/>
          <w:sz w:val="20"/>
        </w:rPr>
        <w:t>Eivazi</w:t>
      </w:r>
      <w:proofErr w:type="spellEnd"/>
      <w:r w:rsidR="00794F85" w:rsidRPr="00794F85">
        <w:rPr>
          <w:rFonts w:ascii="Arial" w:hAnsi="Arial" w:cs="Arial"/>
          <w:color w:val="000000" w:themeColor="text1"/>
          <w:sz w:val="20"/>
        </w:rPr>
        <w:t xml:space="preserve"> and </w:t>
      </w:r>
      <w:proofErr w:type="spellStart"/>
      <w:r w:rsidR="00794F85" w:rsidRPr="00794F85">
        <w:rPr>
          <w:rFonts w:ascii="Arial" w:hAnsi="Arial" w:cs="Arial"/>
          <w:color w:val="000000" w:themeColor="text1"/>
          <w:sz w:val="20"/>
        </w:rPr>
        <w:t>Tabatabai</w:t>
      </w:r>
      <w:proofErr w:type="spellEnd"/>
      <w:r w:rsidR="00794F85" w:rsidRPr="00794F85">
        <w:rPr>
          <w:rFonts w:ascii="Arial" w:hAnsi="Arial" w:cs="Arial"/>
          <w:color w:val="000000" w:themeColor="text1"/>
          <w:sz w:val="20"/>
        </w:rPr>
        <w:t xml:space="preserve"> (1988) with little </w:t>
      </w:r>
      <w:proofErr w:type="spellStart"/>
      <w:r w:rsidR="00794F85" w:rsidRPr="00794F85">
        <w:rPr>
          <w:rFonts w:ascii="Arial" w:hAnsi="Arial" w:cs="Arial"/>
          <w:color w:val="000000" w:themeColor="text1"/>
          <w:sz w:val="20"/>
        </w:rPr>
        <w:t>modification.</w:t>
      </w:r>
      <w:r w:rsidRPr="00794F85">
        <w:rPr>
          <w:rFonts w:ascii="Arial" w:hAnsi="Arial" w:cs="Arial"/>
          <w:color w:val="000000" w:themeColor="text1"/>
          <w:sz w:val="20"/>
        </w:rPr>
        <w:t>The</w:t>
      </w:r>
      <w:proofErr w:type="spellEnd"/>
      <w:r w:rsidRPr="00794F85">
        <w:rPr>
          <w:rFonts w:ascii="Arial" w:hAnsi="Arial" w:cs="Arial"/>
          <w:color w:val="000000" w:themeColor="text1"/>
          <w:sz w:val="20"/>
        </w:rPr>
        <w:t xml:space="preserve"> t test was used for statistical analysis of data (Panse and Sukhatme,1985).</w:t>
      </w:r>
    </w:p>
    <w:p w14:paraId="7C248953" w14:textId="77777777" w:rsidR="0044318E" w:rsidRPr="00AA4A22" w:rsidRDefault="0044318E" w:rsidP="0044318E">
      <w:pPr>
        <w:spacing w:before="120" w:after="0" w:line="240" w:lineRule="auto"/>
        <w:jc w:val="both"/>
        <w:rPr>
          <w:rFonts w:ascii="Arial" w:hAnsi="Arial" w:cs="Arial"/>
          <w:b/>
          <w:bCs/>
          <w:color w:val="000000" w:themeColor="text1"/>
          <w:szCs w:val="22"/>
        </w:rPr>
      </w:pPr>
      <w:r w:rsidRPr="00AA4A22">
        <w:rPr>
          <w:rFonts w:ascii="Arial" w:hAnsi="Arial" w:cs="Arial"/>
          <w:b/>
          <w:bCs/>
          <w:color w:val="000000" w:themeColor="text1"/>
          <w:szCs w:val="22"/>
        </w:rPr>
        <w:t>3. RESULTS AND DISCUSSION</w:t>
      </w:r>
    </w:p>
    <w:p w14:paraId="20B53C66" w14:textId="77777777" w:rsidR="0044318E" w:rsidRPr="00AA4A22" w:rsidRDefault="0044318E" w:rsidP="0044318E">
      <w:pPr>
        <w:spacing w:before="120" w:after="0" w:line="240" w:lineRule="auto"/>
        <w:jc w:val="both"/>
        <w:rPr>
          <w:rFonts w:ascii="Arial" w:hAnsi="Arial" w:cs="Arial"/>
          <w:b/>
          <w:bCs/>
          <w:color w:val="000000" w:themeColor="text1"/>
          <w:sz w:val="2"/>
          <w:szCs w:val="2"/>
        </w:rPr>
      </w:pPr>
    </w:p>
    <w:p w14:paraId="63DAE9A6" w14:textId="472CFFBF" w:rsidR="0044318E" w:rsidRPr="00AA4A22" w:rsidRDefault="0044318E" w:rsidP="0044318E">
      <w:pPr>
        <w:spacing w:after="0" w:line="360" w:lineRule="auto"/>
        <w:jc w:val="both"/>
        <w:rPr>
          <w:rFonts w:ascii="Arial" w:hAnsi="Arial" w:cs="Arial"/>
          <w:b/>
          <w:bCs/>
          <w:color w:val="000000" w:themeColor="text1"/>
          <w:sz w:val="20"/>
        </w:rPr>
      </w:pPr>
      <w:r w:rsidRPr="00AA4A22">
        <w:rPr>
          <w:rFonts w:ascii="Arial" w:hAnsi="Arial" w:cs="Arial"/>
          <w:b/>
          <w:bCs/>
          <w:color w:val="000000" w:themeColor="text1"/>
          <w:sz w:val="20"/>
        </w:rPr>
        <w:t xml:space="preserve">Table.1 Influence of sugarcane trash management practices on dehydrogenase activities after   </w:t>
      </w:r>
    </w:p>
    <w:p w14:paraId="604261EA" w14:textId="77777777" w:rsidR="0044318E" w:rsidRPr="00AA4A22" w:rsidRDefault="0044318E" w:rsidP="0044318E">
      <w:pPr>
        <w:spacing w:after="0" w:line="360" w:lineRule="auto"/>
        <w:jc w:val="both"/>
        <w:rPr>
          <w:rFonts w:ascii="Arial" w:hAnsi="Arial" w:cs="Arial"/>
          <w:b/>
          <w:bCs/>
          <w:color w:val="000000" w:themeColor="text1"/>
          <w:sz w:val="20"/>
        </w:rPr>
      </w:pPr>
      <w:r w:rsidRPr="00AA4A22">
        <w:rPr>
          <w:rFonts w:ascii="Arial" w:hAnsi="Arial" w:cs="Arial"/>
          <w:b/>
          <w:bCs/>
          <w:color w:val="000000" w:themeColor="text1"/>
          <w:sz w:val="20"/>
        </w:rPr>
        <w:t xml:space="preserve">                harvest of ratoon sugarcane</w:t>
      </w:r>
    </w:p>
    <w:tbl>
      <w:tblPr>
        <w:tblStyle w:val="TableGrid"/>
        <w:tblpPr w:leftFromText="180" w:rightFromText="180" w:vertAnchor="text" w:horzAnchor="margin" w:tblpY="74"/>
        <w:tblW w:w="9089" w:type="dxa"/>
        <w:tblInd w:w="0" w:type="dxa"/>
        <w:tblLayout w:type="fixed"/>
        <w:tblCellMar>
          <w:top w:w="50" w:type="dxa"/>
          <w:left w:w="95" w:type="dxa"/>
          <w:right w:w="45" w:type="dxa"/>
        </w:tblCellMar>
        <w:tblLook w:val="04A0" w:firstRow="1" w:lastRow="0" w:firstColumn="1" w:lastColumn="0" w:noHBand="0" w:noVBand="1"/>
      </w:tblPr>
      <w:tblGrid>
        <w:gridCol w:w="1283"/>
        <w:gridCol w:w="1507"/>
        <w:gridCol w:w="1072"/>
        <w:gridCol w:w="1463"/>
        <w:gridCol w:w="1070"/>
        <w:gridCol w:w="1464"/>
        <w:gridCol w:w="1230"/>
      </w:tblGrid>
      <w:tr w:rsidR="00AA4A22" w:rsidRPr="00AA4A22" w14:paraId="0668011A" w14:textId="77777777" w:rsidTr="00EE0BEE">
        <w:trPr>
          <w:trHeight w:val="184"/>
        </w:trPr>
        <w:tc>
          <w:tcPr>
            <w:tcW w:w="9089" w:type="dxa"/>
            <w:gridSpan w:val="7"/>
            <w:tcBorders>
              <w:top w:val="single" w:sz="4" w:space="0" w:color="000000"/>
              <w:left w:val="single" w:sz="3" w:space="0" w:color="000000"/>
              <w:bottom w:val="single" w:sz="4" w:space="0" w:color="000000"/>
              <w:right w:val="single" w:sz="4" w:space="0" w:color="000000"/>
            </w:tcBorders>
            <w:vAlign w:val="center"/>
          </w:tcPr>
          <w:p w14:paraId="21CB116B"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Dehydrogenase activities (µg TPF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soil 24 hr</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750E119C"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5EFF0402" w14:textId="77777777" w:rsidR="0044318E" w:rsidRPr="00AA4A22" w:rsidRDefault="0044318E" w:rsidP="00EE0BEE">
            <w:pPr>
              <w:spacing w:after="0" w:line="259" w:lineRule="auto"/>
              <w:jc w:val="center"/>
              <w:rPr>
                <w:rFonts w:ascii="Arial" w:hAnsi="Arial" w:cs="Arial"/>
                <w:color w:val="000000" w:themeColor="text1"/>
                <w:sz w:val="20"/>
              </w:rPr>
            </w:pP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78499817"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3A5CA29E"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0ED74F68"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420AE78" w14:textId="77777777" w:rsidTr="0044318E">
        <w:trPr>
          <w:trHeight w:val="743"/>
        </w:trPr>
        <w:tc>
          <w:tcPr>
            <w:tcW w:w="1283" w:type="dxa"/>
            <w:tcBorders>
              <w:top w:val="single" w:sz="4" w:space="0" w:color="000000"/>
              <w:left w:val="single" w:sz="3" w:space="0" w:color="000000"/>
              <w:bottom w:val="single" w:sz="4" w:space="0" w:color="000000"/>
              <w:right w:val="single" w:sz="4" w:space="0" w:color="000000"/>
            </w:tcBorders>
            <w:vAlign w:val="center"/>
          </w:tcPr>
          <w:p w14:paraId="37C67CCB" w14:textId="77777777" w:rsidR="0044318E" w:rsidRPr="00AA4A22" w:rsidRDefault="0044318E" w:rsidP="00EE0BEE">
            <w:pPr>
              <w:spacing w:after="0" w:line="259" w:lineRule="auto"/>
              <w:jc w:val="center"/>
              <w:rPr>
                <w:rFonts w:ascii="Arial" w:hAnsi="Arial" w:cs="Arial"/>
                <w:color w:val="000000" w:themeColor="text1"/>
                <w:sz w:val="20"/>
              </w:rPr>
            </w:pPr>
          </w:p>
        </w:tc>
        <w:tc>
          <w:tcPr>
            <w:tcW w:w="1507" w:type="dxa"/>
            <w:tcBorders>
              <w:top w:val="single" w:sz="4" w:space="0" w:color="000000"/>
              <w:left w:val="single" w:sz="4" w:space="0" w:color="000000"/>
              <w:bottom w:val="single" w:sz="4" w:space="0" w:color="000000"/>
              <w:right w:val="single" w:sz="4" w:space="0" w:color="000000"/>
            </w:tcBorders>
            <w:vAlign w:val="center"/>
          </w:tcPr>
          <w:p w14:paraId="54AE399B"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2" w:type="dxa"/>
            <w:tcBorders>
              <w:top w:val="single" w:sz="4" w:space="0" w:color="000000"/>
              <w:left w:val="single" w:sz="4" w:space="0" w:color="000000"/>
              <w:bottom w:val="single" w:sz="4" w:space="0" w:color="000000"/>
              <w:right w:val="single" w:sz="4" w:space="0" w:color="000000"/>
            </w:tcBorders>
            <w:vAlign w:val="center"/>
          </w:tcPr>
          <w:p w14:paraId="3AE4E28D"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3" w:type="dxa"/>
            <w:tcBorders>
              <w:top w:val="single" w:sz="4" w:space="0" w:color="000000"/>
              <w:left w:val="single" w:sz="4" w:space="0" w:color="000000"/>
              <w:bottom w:val="single" w:sz="4" w:space="0" w:color="000000"/>
              <w:right w:val="single" w:sz="4" w:space="0" w:color="000000"/>
            </w:tcBorders>
            <w:vAlign w:val="center"/>
          </w:tcPr>
          <w:p w14:paraId="79D3FCA2"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0" w:type="dxa"/>
            <w:tcBorders>
              <w:top w:val="single" w:sz="4" w:space="0" w:color="000000"/>
              <w:left w:val="single" w:sz="4" w:space="0" w:color="000000"/>
              <w:bottom w:val="single" w:sz="4" w:space="0" w:color="000000"/>
              <w:right w:val="single" w:sz="3" w:space="0" w:color="000000"/>
            </w:tcBorders>
            <w:vAlign w:val="center"/>
          </w:tcPr>
          <w:p w14:paraId="548FC2A5"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4" w:type="dxa"/>
            <w:tcBorders>
              <w:top w:val="single" w:sz="4" w:space="0" w:color="000000"/>
              <w:left w:val="single" w:sz="3" w:space="0" w:color="000000"/>
              <w:bottom w:val="single" w:sz="4" w:space="0" w:color="000000"/>
              <w:right w:val="single" w:sz="4" w:space="0" w:color="000000"/>
            </w:tcBorders>
            <w:vAlign w:val="center"/>
          </w:tcPr>
          <w:p w14:paraId="2A2B0E15"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230" w:type="dxa"/>
            <w:tcBorders>
              <w:top w:val="single" w:sz="4" w:space="0" w:color="000000"/>
              <w:left w:val="single" w:sz="4" w:space="0" w:color="000000"/>
              <w:bottom w:val="single" w:sz="4" w:space="0" w:color="000000"/>
              <w:right w:val="single" w:sz="4" w:space="0" w:color="000000"/>
            </w:tcBorders>
            <w:vAlign w:val="center"/>
          </w:tcPr>
          <w:p w14:paraId="50C802CF" w14:textId="77777777" w:rsidR="0044318E" w:rsidRPr="00AA4A22" w:rsidRDefault="0044318E" w:rsidP="00EE0BEE">
            <w:pPr>
              <w:spacing w:after="0" w:line="259" w:lineRule="auto"/>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49EE2DE4" w14:textId="77777777" w:rsidTr="0044318E">
        <w:trPr>
          <w:trHeight w:val="184"/>
        </w:trPr>
        <w:tc>
          <w:tcPr>
            <w:tcW w:w="1283" w:type="dxa"/>
            <w:tcBorders>
              <w:top w:val="single" w:sz="4" w:space="0" w:color="000000"/>
              <w:left w:val="single" w:sz="3" w:space="0" w:color="000000"/>
              <w:bottom w:val="single" w:sz="3" w:space="0" w:color="000000"/>
              <w:right w:val="single" w:sz="4" w:space="0" w:color="000000"/>
            </w:tcBorders>
            <w:vAlign w:val="center"/>
          </w:tcPr>
          <w:p w14:paraId="14D2015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Mean</w:t>
            </w:r>
          </w:p>
        </w:tc>
        <w:tc>
          <w:tcPr>
            <w:tcW w:w="1507" w:type="dxa"/>
            <w:tcBorders>
              <w:top w:val="single" w:sz="4" w:space="0" w:color="000000"/>
              <w:left w:val="single" w:sz="4" w:space="0" w:color="000000"/>
              <w:bottom w:val="single" w:sz="3" w:space="0" w:color="000000"/>
              <w:right w:val="single" w:sz="4" w:space="0" w:color="000000"/>
            </w:tcBorders>
            <w:vAlign w:val="center"/>
          </w:tcPr>
          <w:p w14:paraId="57896474"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84.73</w:t>
            </w:r>
          </w:p>
        </w:tc>
        <w:tc>
          <w:tcPr>
            <w:tcW w:w="1072" w:type="dxa"/>
            <w:tcBorders>
              <w:top w:val="single" w:sz="4" w:space="0" w:color="000000"/>
              <w:left w:val="single" w:sz="4" w:space="0" w:color="000000"/>
              <w:bottom w:val="single" w:sz="3" w:space="0" w:color="000000"/>
              <w:right w:val="single" w:sz="4" w:space="0" w:color="000000"/>
            </w:tcBorders>
            <w:vAlign w:val="center"/>
          </w:tcPr>
          <w:p w14:paraId="4CDFA2C9"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60.67</w:t>
            </w:r>
          </w:p>
        </w:tc>
        <w:tc>
          <w:tcPr>
            <w:tcW w:w="1463" w:type="dxa"/>
            <w:tcBorders>
              <w:top w:val="single" w:sz="4" w:space="0" w:color="000000"/>
              <w:left w:val="single" w:sz="4" w:space="0" w:color="000000"/>
              <w:bottom w:val="single" w:sz="3" w:space="0" w:color="000000"/>
              <w:right w:val="single" w:sz="4" w:space="0" w:color="000000"/>
            </w:tcBorders>
            <w:vAlign w:val="center"/>
          </w:tcPr>
          <w:p w14:paraId="3A74E165"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77.89</w:t>
            </w:r>
          </w:p>
        </w:tc>
        <w:tc>
          <w:tcPr>
            <w:tcW w:w="1070" w:type="dxa"/>
            <w:tcBorders>
              <w:top w:val="single" w:sz="4" w:space="0" w:color="000000"/>
              <w:left w:val="single" w:sz="4" w:space="0" w:color="000000"/>
              <w:bottom w:val="single" w:sz="3" w:space="0" w:color="000000"/>
              <w:right w:val="single" w:sz="3" w:space="0" w:color="000000"/>
            </w:tcBorders>
            <w:vAlign w:val="center"/>
          </w:tcPr>
          <w:p w14:paraId="30F7BA81"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53.73</w:t>
            </w:r>
          </w:p>
        </w:tc>
        <w:tc>
          <w:tcPr>
            <w:tcW w:w="1464" w:type="dxa"/>
            <w:tcBorders>
              <w:top w:val="single" w:sz="4" w:space="0" w:color="000000"/>
              <w:left w:val="single" w:sz="3" w:space="0" w:color="000000"/>
              <w:bottom w:val="single" w:sz="3" w:space="0" w:color="000000"/>
              <w:right w:val="single" w:sz="4" w:space="0" w:color="000000"/>
            </w:tcBorders>
            <w:vAlign w:val="center"/>
          </w:tcPr>
          <w:p w14:paraId="2ABAC666"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69.16</w:t>
            </w:r>
          </w:p>
        </w:tc>
        <w:tc>
          <w:tcPr>
            <w:tcW w:w="1230" w:type="dxa"/>
            <w:tcBorders>
              <w:top w:val="single" w:sz="4" w:space="0" w:color="000000"/>
              <w:left w:val="single" w:sz="4" w:space="0" w:color="000000"/>
              <w:bottom w:val="single" w:sz="3" w:space="0" w:color="000000"/>
              <w:right w:val="single" w:sz="4" w:space="0" w:color="000000"/>
            </w:tcBorders>
            <w:vAlign w:val="center"/>
          </w:tcPr>
          <w:p w14:paraId="5A5A013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46.11</w:t>
            </w:r>
          </w:p>
        </w:tc>
      </w:tr>
      <w:tr w:rsidR="00AA4A22" w:rsidRPr="00AA4A22" w14:paraId="6F8A2BBD" w14:textId="77777777" w:rsidTr="0044318E">
        <w:trPr>
          <w:trHeight w:val="184"/>
        </w:trPr>
        <w:tc>
          <w:tcPr>
            <w:tcW w:w="1283" w:type="dxa"/>
            <w:tcBorders>
              <w:top w:val="single" w:sz="4" w:space="0" w:color="000000"/>
              <w:left w:val="single" w:sz="3" w:space="0" w:color="000000"/>
              <w:bottom w:val="single" w:sz="3" w:space="0" w:color="000000"/>
              <w:right w:val="single" w:sz="4" w:space="0" w:color="000000"/>
            </w:tcBorders>
            <w:vAlign w:val="center"/>
          </w:tcPr>
          <w:p w14:paraId="51636E86"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Range</w:t>
            </w:r>
          </w:p>
        </w:tc>
        <w:tc>
          <w:tcPr>
            <w:tcW w:w="1507" w:type="dxa"/>
            <w:tcBorders>
              <w:top w:val="single" w:sz="4" w:space="0" w:color="000000"/>
              <w:left w:val="single" w:sz="4" w:space="0" w:color="000000"/>
              <w:bottom w:val="single" w:sz="3" w:space="0" w:color="000000"/>
              <w:right w:val="single" w:sz="4" w:space="0" w:color="000000"/>
            </w:tcBorders>
            <w:vAlign w:val="center"/>
          </w:tcPr>
          <w:p w14:paraId="6E93FDB1"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81-89</w:t>
            </w:r>
          </w:p>
        </w:tc>
        <w:tc>
          <w:tcPr>
            <w:tcW w:w="1072" w:type="dxa"/>
            <w:tcBorders>
              <w:top w:val="single" w:sz="4" w:space="0" w:color="000000"/>
              <w:left w:val="single" w:sz="4" w:space="0" w:color="000000"/>
              <w:bottom w:val="single" w:sz="3" w:space="0" w:color="000000"/>
              <w:right w:val="single" w:sz="4" w:space="0" w:color="000000"/>
            </w:tcBorders>
            <w:vAlign w:val="center"/>
          </w:tcPr>
          <w:p w14:paraId="3E786889"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58-64</w:t>
            </w:r>
          </w:p>
        </w:tc>
        <w:tc>
          <w:tcPr>
            <w:tcW w:w="1463" w:type="dxa"/>
            <w:tcBorders>
              <w:top w:val="single" w:sz="4" w:space="0" w:color="000000"/>
              <w:left w:val="single" w:sz="4" w:space="0" w:color="000000"/>
              <w:bottom w:val="single" w:sz="3" w:space="0" w:color="000000"/>
              <w:right w:val="single" w:sz="4" w:space="0" w:color="000000"/>
            </w:tcBorders>
            <w:vAlign w:val="center"/>
          </w:tcPr>
          <w:p w14:paraId="2C4F25B7"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73-81</w:t>
            </w:r>
          </w:p>
        </w:tc>
        <w:tc>
          <w:tcPr>
            <w:tcW w:w="1070" w:type="dxa"/>
            <w:tcBorders>
              <w:top w:val="single" w:sz="4" w:space="0" w:color="000000"/>
              <w:left w:val="single" w:sz="4" w:space="0" w:color="000000"/>
              <w:bottom w:val="single" w:sz="3" w:space="0" w:color="000000"/>
              <w:right w:val="single" w:sz="3" w:space="0" w:color="000000"/>
            </w:tcBorders>
            <w:vAlign w:val="center"/>
          </w:tcPr>
          <w:p w14:paraId="73669E11"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50-57</w:t>
            </w:r>
          </w:p>
        </w:tc>
        <w:tc>
          <w:tcPr>
            <w:tcW w:w="1464" w:type="dxa"/>
            <w:tcBorders>
              <w:top w:val="single" w:sz="4" w:space="0" w:color="000000"/>
              <w:left w:val="single" w:sz="3" w:space="0" w:color="000000"/>
              <w:bottom w:val="single" w:sz="3" w:space="0" w:color="000000"/>
              <w:right w:val="single" w:sz="4" w:space="0" w:color="000000"/>
            </w:tcBorders>
            <w:vAlign w:val="center"/>
          </w:tcPr>
          <w:p w14:paraId="42CAE20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65-73</w:t>
            </w:r>
          </w:p>
        </w:tc>
        <w:tc>
          <w:tcPr>
            <w:tcW w:w="1230" w:type="dxa"/>
            <w:tcBorders>
              <w:top w:val="single" w:sz="4" w:space="0" w:color="000000"/>
              <w:left w:val="single" w:sz="4" w:space="0" w:color="000000"/>
              <w:bottom w:val="single" w:sz="3" w:space="0" w:color="000000"/>
              <w:right w:val="single" w:sz="4" w:space="0" w:color="000000"/>
            </w:tcBorders>
            <w:vAlign w:val="center"/>
          </w:tcPr>
          <w:p w14:paraId="7C4EA12D"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42-49</w:t>
            </w:r>
          </w:p>
        </w:tc>
      </w:tr>
      <w:tr w:rsidR="00AA4A22" w:rsidRPr="00AA4A22" w14:paraId="670DD91D" w14:textId="77777777" w:rsidTr="0044318E">
        <w:trPr>
          <w:trHeight w:val="184"/>
        </w:trPr>
        <w:tc>
          <w:tcPr>
            <w:tcW w:w="1283" w:type="dxa"/>
            <w:tcBorders>
              <w:top w:val="single" w:sz="3" w:space="0" w:color="000000"/>
              <w:left w:val="single" w:sz="3" w:space="0" w:color="000000"/>
              <w:bottom w:val="single" w:sz="4" w:space="0" w:color="000000"/>
              <w:right w:val="single" w:sz="4" w:space="0" w:color="000000"/>
            </w:tcBorders>
            <w:vAlign w:val="center"/>
          </w:tcPr>
          <w:p w14:paraId="22BCDD2F"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Variance</w:t>
            </w:r>
          </w:p>
        </w:tc>
        <w:tc>
          <w:tcPr>
            <w:tcW w:w="1507" w:type="dxa"/>
            <w:tcBorders>
              <w:top w:val="single" w:sz="3" w:space="0" w:color="000000"/>
              <w:left w:val="single" w:sz="4" w:space="0" w:color="000000"/>
              <w:bottom w:val="single" w:sz="4" w:space="0" w:color="000000"/>
              <w:right w:val="single" w:sz="4" w:space="0" w:color="000000"/>
            </w:tcBorders>
            <w:vAlign w:val="center"/>
          </w:tcPr>
          <w:p w14:paraId="427E20BA"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4.77</w:t>
            </w:r>
          </w:p>
        </w:tc>
        <w:tc>
          <w:tcPr>
            <w:tcW w:w="1072" w:type="dxa"/>
            <w:tcBorders>
              <w:top w:val="single" w:sz="3" w:space="0" w:color="000000"/>
              <w:left w:val="single" w:sz="4" w:space="0" w:color="000000"/>
              <w:bottom w:val="single" w:sz="4" w:space="0" w:color="000000"/>
              <w:right w:val="single" w:sz="4" w:space="0" w:color="000000"/>
            </w:tcBorders>
            <w:vAlign w:val="center"/>
          </w:tcPr>
          <w:p w14:paraId="7BBA5270"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3.28</w:t>
            </w:r>
          </w:p>
        </w:tc>
        <w:tc>
          <w:tcPr>
            <w:tcW w:w="1463" w:type="dxa"/>
            <w:tcBorders>
              <w:top w:val="single" w:sz="3" w:space="0" w:color="000000"/>
              <w:left w:val="single" w:sz="4" w:space="0" w:color="000000"/>
              <w:bottom w:val="single" w:sz="4" w:space="0" w:color="000000"/>
              <w:right w:val="single" w:sz="4" w:space="0" w:color="000000"/>
            </w:tcBorders>
            <w:vAlign w:val="center"/>
          </w:tcPr>
          <w:p w14:paraId="35F98ED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4.49</w:t>
            </w:r>
          </w:p>
        </w:tc>
        <w:tc>
          <w:tcPr>
            <w:tcW w:w="1070" w:type="dxa"/>
            <w:tcBorders>
              <w:top w:val="single" w:sz="3" w:space="0" w:color="000000"/>
              <w:left w:val="single" w:sz="4" w:space="0" w:color="000000"/>
              <w:bottom w:val="single" w:sz="4" w:space="0" w:color="000000"/>
              <w:right w:val="single" w:sz="3" w:space="0" w:color="000000"/>
            </w:tcBorders>
            <w:vAlign w:val="center"/>
          </w:tcPr>
          <w:p w14:paraId="41E9CD8F"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3.91</w:t>
            </w:r>
          </w:p>
        </w:tc>
        <w:tc>
          <w:tcPr>
            <w:tcW w:w="1464" w:type="dxa"/>
            <w:tcBorders>
              <w:top w:val="single" w:sz="3" w:space="0" w:color="000000"/>
              <w:left w:val="single" w:sz="3" w:space="0" w:color="000000"/>
              <w:bottom w:val="single" w:sz="4" w:space="0" w:color="000000"/>
              <w:right w:val="single" w:sz="4" w:space="0" w:color="000000"/>
            </w:tcBorders>
            <w:vAlign w:val="center"/>
          </w:tcPr>
          <w:p w14:paraId="417FBFAA"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8.96</w:t>
            </w:r>
          </w:p>
        </w:tc>
        <w:tc>
          <w:tcPr>
            <w:tcW w:w="1230" w:type="dxa"/>
            <w:tcBorders>
              <w:top w:val="single" w:sz="3" w:space="0" w:color="000000"/>
              <w:left w:val="single" w:sz="4" w:space="0" w:color="000000"/>
              <w:bottom w:val="single" w:sz="4" w:space="0" w:color="000000"/>
              <w:right w:val="single" w:sz="4" w:space="0" w:color="000000"/>
            </w:tcBorders>
            <w:vAlign w:val="center"/>
          </w:tcPr>
          <w:p w14:paraId="5CE8B8F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3.80</w:t>
            </w:r>
          </w:p>
        </w:tc>
      </w:tr>
      <w:tr w:rsidR="00AA4A22" w:rsidRPr="00AA4A22" w14:paraId="7EFE3220"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194F1C82"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0B055B1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46.45**</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6783DC6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45.64**</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48ABB9A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35.33**</w:t>
            </w:r>
          </w:p>
        </w:tc>
      </w:tr>
      <w:tr w:rsidR="00AA4A22" w:rsidRPr="00AA4A22" w14:paraId="1D9B9682"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78D5FC7E"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4446C2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0FF6E4A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0DAF6AA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0C696A52" w14:textId="77777777" w:rsidTr="0044318E">
        <w:trPr>
          <w:trHeight w:val="184"/>
        </w:trPr>
        <w:tc>
          <w:tcPr>
            <w:tcW w:w="1283" w:type="dxa"/>
            <w:tcBorders>
              <w:top w:val="single" w:sz="4" w:space="0" w:color="000000"/>
              <w:left w:val="single" w:sz="3" w:space="0" w:color="000000"/>
              <w:bottom w:val="single" w:sz="4" w:space="0" w:color="000000"/>
              <w:right w:val="single" w:sz="4" w:space="0" w:color="000000"/>
            </w:tcBorders>
            <w:vAlign w:val="center"/>
          </w:tcPr>
          <w:p w14:paraId="74E9CD25"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14:paraId="486FEF1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33" w:type="dxa"/>
            <w:gridSpan w:val="2"/>
            <w:tcBorders>
              <w:top w:val="single" w:sz="4" w:space="0" w:color="000000"/>
              <w:left w:val="single" w:sz="4" w:space="0" w:color="000000"/>
              <w:bottom w:val="single" w:sz="4" w:space="0" w:color="000000"/>
              <w:right w:val="single" w:sz="3" w:space="0" w:color="000000"/>
            </w:tcBorders>
            <w:vAlign w:val="center"/>
          </w:tcPr>
          <w:p w14:paraId="093324F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694" w:type="dxa"/>
            <w:gridSpan w:val="2"/>
            <w:tcBorders>
              <w:top w:val="single" w:sz="4" w:space="0" w:color="000000"/>
              <w:left w:val="single" w:sz="3" w:space="0" w:color="000000"/>
              <w:bottom w:val="single" w:sz="4" w:space="0" w:color="000000"/>
              <w:right w:val="single" w:sz="4" w:space="0" w:color="000000"/>
            </w:tcBorders>
            <w:vAlign w:val="center"/>
          </w:tcPr>
          <w:p w14:paraId="0A1CC2C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7B530F6A" w14:textId="77777777" w:rsidTr="0044318E">
        <w:trPr>
          <w:trHeight w:val="184"/>
        </w:trPr>
        <w:tc>
          <w:tcPr>
            <w:tcW w:w="1283" w:type="dxa"/>
            <w:tcBorders>
              <w:top w:val="single" w:sz="4" w:space="0" w:color="000000"/>
              <w:left w:val="single" w:sz="3" w:space="0" w:color="000000"/>
              <w:bottom w:val="single" w:sz="4" w:space="0" w:color="auto"/>
              <w:right w:val="single" w:sz="4" w:space="0" w:color="000000"/>
            </w:tcBorders>
            <w:vAlign w:val="center"/>
          </w:tcPr>
          <w:p w14:paraId="43208256"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P value</w:t>
            </w:r>
          </w:p>
        </w:tc>
        <w:tc>
          <w:tcPr>
            <w:tcW w:w="2579" w:type="dxa"/>
            <w:gridSpan w:val="2"/>
            <w:tcBorders>
              <w:top w:val="single" w:sz="4" w:space="0" w:color="000000"/>
              <w:left w:val="single" w:sz="4" w:space="0" w:color="000000"/>
              <w:bottom w:val="single" w:sz="4" w:space="0" w:color="auto"/>
              <w:right w:val="single" w:sz="4" w:space="0" w:color="000000"/>
            </w:tcBorders>
            <w:vAlign w:val="center"/>
          </w:tcPr>
          <w:p w14:paraId="5135001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33" w:type="dxa"/>
            <w:gridSpan w:val="2"/>
            <w:tcBorders>
              <w:top w:val="single" w:sz="4" w:space="0" w:color="000000"/>
              <w:left w:val="single" w:sz="4" w:space="0" w:color="000000"/>
              <w:bottom w:val="single" w:sz="4" w:space="0" w:color="auto"/>
              <w:right w:val="single" w:sz="3" w:space="0" w:color="000000"/>
            </w:tcBorders>
            <w:vAlign w:val="center"/>
          </w:tcPr>
          <w:p w14:paraId="7950A2C7"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694" w:type="dxa"/>
            <w:gridSpan w:val="2"/>
            <w:tcBorders>
              <w:top w:val="single" w:sz="4" w:space="0" w:color="000000"/>
              <w:left w:val="single" w:sz="3" w:space="0" w:color="000000"/>
              <w:bottom w:val="single" w:sz="4" w:space="0" w:color="auto"/>
              <w:right w:val="single" w:sz="4" w:space="0" w:color="000000"/>
            </w:tcBorders>
            <w:vAlign w:val="center"/>
          </w:tcPr>
          <w:p w14:paraId="2581B03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5612DB5A" w14:textId="77777777" w:rsidTr="0044318E">
        <w:trPr>
          <w:trHeight w:val="184"/>
        </w:trPr>
        <w:tc>
          <w:tcPr>
            <w:tcW w:w="1283" w:type="dxa"/>
            <w:tcBorders>
              <w:top w:val="single" w:sz="4" w:space="0" w:color="auto"/>
              <w:left w:val="single" w:sz="4" w:space="0" w:color="auto"/>
              <w:bottom w:val="single" w:sz="4" w:space="0" w:color="auto"/>
              <w:right w:val="single" w:sz="4" w:space="0" w:color="auto"/>
            </w:tcBorders>
            <w:vAlign w:val="center"/>
          </w:tcPr>
          <w:p w14:paraId="3C834DF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Result</w:t>
            </w:r>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453E61D"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33" w:type="dxa"/>
            <w:gridSpan w:val="2"/>
            <w:tcBorders>
              <w:top w:val="single" w:sz="4" w:space="0" w:color="auto"/>
              <w:left w:val="single" w:sz="4" w:space="0" w:color="auto"/>
              <w:bottom w:val="single" w:sz="4" w:space="0" w:color="auto"/>
              <w:right w:val="single" w:sz="4" w:space="0" w:color="auto"/>
            </w:tcBorders>
            <w:vAlign w:val="center"/>
          </w:tcPr>
          <w:p w14:paraId="71AF9C0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01D344"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r>
    </w:tbl>
    <w:p w14:paraId="39B1BDCB" w14:textId="77777777" w:rsidR="0044318E" w:rsidRPr="00AA4A22" w:rsidRDefault="0044318E" w:rsidP="0044318E">
      <w:pPr>
        <w:spacing w:after="0"/>
        <w:jc w:val="both"/>
        <w:rPr>
          <w:rFonts w:ascii="Arial" w:hAnsi="Arial" w:cs="Arial"/>
          <w:color w:val="000000" w:themeColor="text1"/>
          <w:sz w:val="20"/>
        </w:rPr>
      </w:pPr>
    </w:p>
    <w:p w14:paraId="0F0F357C" w14:textId="245C0B38"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regarding the influence of sugarcane trash management practices on dehydrogenase activities after harvest of sugarcane ratoon are reported in Table 1. This study showed that among the three sugar recovery zones, the dehydrogenase activities in the high recovery zone ranged from (81-89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was significantly higher in trash management practices than </w:t>
      </w:r>
      <w:r w:rsidRPr="00AA4A22">
        <w:rPr>
          <w:rFonts w:ascii="Arial" w:hAnsi="Arial" w:cs="Arial"/>
          <w:color w:val="000000" w:themeColor="text1"/>
          <w:sz w:val="20"/>
        </w:rPr>
        <w:lastRenderedPageBreak/>
        <w:t>medium recovery zone (73-81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(65-73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dehydrogenase activities in the high recovery zone ranged from (58-64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(50-57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(42-49 µg TPF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soil 24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Phalke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(2016) also observed similar findings in respect of dehydrogenase activities in sugarcane trash management practices. </w:t>
      </w:r>
    </w:p>
    <w:p w14:paraId="55839CA1" w14:textId="088A8D86" w:rsidR="0044318E"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From above investigation, it was observed that the dehydrogenase activities in all sugar recovery zones were significantly higher in trash management practices than trash burning practices. High recovery zone has higher dehydrogenase activities due to environmental factors </w:t>
      </w:r>
      <w:r w:rsidRPr="00AA4A22">
        <w:rPr>
          <w:rFonts w:ascii="Arial" w:hAnsi="Arial" w:cs="Arial"/>
          <w:i/>
          <w:iCs/>
          <w:color w:val="000000" w:themeColor="text1"/>
          <w:sz w:val="20"/>
        </w:rPr>
        <w:t>viz.,</w:t>
      </w:r>
      <w:r w:rsidRPr="00AA4A22">
        <w:rPr>
          <w:rFonts w:ascii="Arial" w:hAnsi="Arial" w:cs="Arial"/>
          <w:color w:val="000000" w:themeColor="text1"/>
          <w:sz w:val="20"/>
        </w:rPr>
        <w:t xml:space="preserve"> soil aeration and moisture content and there might be impact of addition of organic carbon through organic matter like sugarcane trash. </w:t>
      </w:r>
      <w:r w:rsidR="001725D1">
        <w:rPr>
          <w:rFonts w:ascii="Arial" w:hAnsi="Arial" w:cs="Arial"/>
          <w:color w:val="000000" w:themeColor="text1"/>
          <w:sz w:val="20"/>
        </w:rPr>
        <w:t>T</w:t>
      </w:r>
      <w:r w:rsidRPr="00AA4A22">
        <w:rPr>
          <w:rFonts w:ascii="Arial" w:hAnsi="Arial" w:cs="Arial"/>
          <w:color w:val="000000" w:themeColor="text1"/>
          <w:sz w:val="20"/>
        </w:rPr>
        <w:t xml:space="preserve">he </w:t>
      </w:r>
      <w:r w:rsidRPr="00AA4A22">
        <w:rPr>
          <w:rFonts w:ascii="Arial" w:hAnsi="Arial" w:cs="Arial"/>
          <w:i/>
          <w:color w:val="000000" w:themeColor="text1"/>
          <w:sz w:val="20"/>
        </w:rPr>
        <w:t>in situ</w:t>
      </w:r>
      <w:r w:rsidRPr="00AA4A22">
        <w:rPr>
          <w:rFonts w:ascii="Arial" w:hAnsi="Arial" w:cs="Arial"/>
          <w:color w:val="000000" w:themeColor="text1"/>
          <w:sz w:val="20"/>
        </w:rPr>
        <w:t xml:space="preserve"> recycling of sugarcane trash along with its industrial waste significantly increased the soil dehydrogenase activity</w:t>
      </w:r>
      <w:r w:rsidR="001725D1">
        <w:rPr>
          <w:rFonts w:ascii="Arial" w:hAnsi="Arial" w:cs="Arial"/>
          <w:color w:val="000000" w:themeColor="text1"/>
          <w:sz w:val="20"/>
        </w:rPr>
        <w:t xml:space="preserve"> </w:t>
      </w:r>
      <w:r w:rsidR="001725D1" w:rsidRPr="00AA4A22">
        <w:rPr>
          <w:rFonts w:ascii="Arial" w:hAnsi="Arial" w:cs="Arial"/>
          <w:color w:val="000000" w:themeColor="text1"/>
          <w:sz w:val="20"/>
        </w:rPr>
        <w:t xml:space="preserve">reported </w:t>
      </w:r>
      <w:r w:rsidR="001725D1">
        <w:rPr>
          <w:rFonts w:ascii="Arial" w:hAnsi="Arial" w:cs="Arial"/>
          <w:color w:val="000000" w:themeColor="text1"/>
          <w:sz w:val="20"/>
        </w:rPr>
        <w:t xml:space="preserve">by </w:t>
      </w:r>
      <w:proofErr w:type="spellStart"/>
      <w:r w:rsidR="001725D1" w:rsidRPr="00AA4A22">
        <w:rPr>
          <w:rFonts w:ascii="Arial" w:hAnsi="Arial" w:cs="Arial"/>
          <w:color w:val="000000" w:themeColor="text1"/>
          <w:sz w:val="20"/>
        </w:rPr>
        <w:t>Pacharane</w:t>
      </w:r>
      <w:proofErr w:type="spellEnd"/>
      <w:r w:rsidR="001725D1" w:rsidRPr="00AA4A22">
        <w:rPr>
          <w:rFonts w:ascii="Arial" w:hAnsi="Arial" w:cs="Arial"/>
          <w:color w:val="000000" w:themeColor="text1"/>
          <w:sz w:val="20"/>
        </w:rPr>
        <w:t xml:space="preserve"> </w:t>
      </w:r>
      <w:r w:rsidR="001725D1" w:rsidRPr="00AA4A22">
        <w:rPr>
          <w:rFonts w:ascii="Arial" w:hAnsi="Arial" w:cs="Arial"/>
          <w:i/>
          <w:iCs/>
          <w:color w:val="000000" w:themeColor="text1"/>
          <w:sz w:val="20"/>
        </w:rPr>
        <w:t>et al</w:t>
      </w:r>
      <w:r w:rsidR="001725D1" w:rsidRPr="00AA4A22">
        <w:rPr>
          <w:rFonts w:ascii="Arial" w:hAnsi="Arial" w:cs="Arial"/>
          <w:color w:val="000000" w:themeColor="text1"/>
          <w:sz w:val="20"/>
        </w:rPr>
        <w:t>. (2021)</w:t>
      </w:r>
      <w:r w:rsidRPr="00AA4A22">
        <w:rPr>
          <w:rFonts w:ascii="Arial" w:hAnsi="Arial" w:cs="Arial"/>
          <w:color w:val="000000" w:themeColor="text1"/>
          <w:sz w:val="20"/>
        </w:rPr>
        <w:t xml:space="preserve">. </w:t>
      </w:r>
    </w:p>
    <w:p w14:paraId="41019DD2" w14:textId="77777777" w:rsidR="00680F17" w:rsidRPr="00AA4A22" w:rsidRDefault="00680F17" w:rsidP="006F0987">
      <w:pPr>
        <w:spacing w:after="0"/>
        <w:jc w:val="both"/>
        <w:rPr>
          <w:rFonts w:ascii="Arial" w:hAnsi="Arial" w:cs="Arial"/>
          <w:color w:val="000000" w:themeColor="text1"/>
          <w:sz w:val="20"/>
        </w:rPr>
      </w:pPr>
    </w:p>
    <w:p w14:paraId="6E32A208" w14:textId="7A272C19" w:rsidR="0044318E" w:rsidRPr="00AA4A22" w:rsidRDefault="0044318E" w:rsidP="0044318E">
      <w:pPr>
        <w:spacing w:after="0" w:line="360" w:lineRule="auto"/>
        <w:ind w:left="1134" w:hanging="1134"/>
        <w:jc w:val="both"/>
        <w:rPr>
          <w:rFonts w:ascii="Arial" w:hAnsi="Arial" w:cs="Arial"/>
          <w:b/>
          <w:bCs/>
          <w:color w:val="000000" w:themeColor="text1"/>
          <w:sz w:val="20"/>
        </w:rPr>
      </w:pPr>
      <w:r w:rsidRPr="00AA4A22">
        <w:rPr>
          <w:rFonts w:ascii="Arial" w:hAnsi="Arial" w:cs="Arial"/>
          <w:b/>
          <w:bCs/>
          <w:color w:val="000000" w:themeColor="text1"/>
          <w:sz w:val="20"/>
        </w:rPr>
        <w:t>Table 2 Influence of sugarcane trash management practices on urease activities after harvest of ratoon sugarcane</w:t>
      </w:r>
    </w:p>
    <w:tbl>
      <w:tblPr>
        <w:tblStyle w:val="TableGrid"/>
        <w:tblpPr w:leftFromText="180" w:rightFromText="180" w:vertAnchor="text" w:horzAnchor="margin" w:tblpY="287"/>
        <w:tblW w:w="9033" w:type="dxa"/>
        <w:tblInd w:w="0" w:type="dxa"/>
        <w:tblLayout w:type="fixed"/>
        <w:tblCellMar>
          <w:top w:w="50" w:type="dxa"/>
          <w:left w:w="95" w:type="dxa"/>
          <w:right w:w="45" w:type="dxa"/>
        </w:tblCellMar>
        <w:tblLook w:val="04A0" w:firstRow="1" w:lastRow="0" w:firstColumn="1" w:lastColumn="0" w:noHBand="0" w:noVBand="1"/>
      </w:tblPr>
      <w:tblGrid>
        <w:gridCol w:w="1275"/>
        <w:gridCol w:w="1542"/>
        <w:gridCol w:w="1079"/>
        <w:gridCol w:w="1477"/>
        <w:gridCol w:w="1079"/>
        <w:gridCol w:w="1478"/>
        <w:gridCol w:w="1103"/>
      </w:tblGrid>
      <w:tr w:rsidR="00AA4A22" w:rsidRPr="00AA4A22" w14:paraId="639D92CB" w14:textId="77777777" w:rsidTr="00EE0BEE">
        <w:trPr>
          <w:trHeight w:val="295"/>
        </w:trPr>
        <w:tc>
          <w:tcPr>
            <w:tcW w:w="9033" w:type="dxa"/>
            <w:gridSpan w:val="7"/>
            <w:tcBorders>
              <w:top w:val="single" w:sz="4" w:space="0" w:color="000000"/>
              <w:left w:val="single" w:sz="3" w:space="0" w:color="000000"/>
              <w:bottom w:val="single" w:sz="4" w:space="0" w:color="000000"/>
              <w:right w:val="single" w:sz="4" w:space="0" w:color="000000"/>
            </w:tcBorders>
            <w:vAlign w:val="center"/>
          </w:tcPr>
          <w:p w14:paraId="33DA9547"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Urease activities (µg NH</w:t>
            </w:r>
            <w:r w:rsidRPr="00AA4A22">
              <w:rPr>
                <w:rFonts w:ascii="Arial" w:hAnsi="Arial" w:cs="Arial"/>
                <w:b/>
                <w:bCs/>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b/>
                <w:bCs/>
                <w:color w:val="000000" w:themeColor="text1"/>
                <w:sz w:val="20"/>
              </w:rPr>
              <w:t>-N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day</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1BC57DC4"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2F1552F5" w14:textId="77777777" w:rsidR="0044318E" w:rsidRPr="00AA4A22" w:rsidRDefault="0044318E" w:rsidP="00EE0BEE">
            <w:pPr>
              <w:spacing w:after="0" w:line="259" w:lineRule="auto"/>
              <w:jc w:val="center"/>
              <w:rPr>
                <w:rFonts w:ascii="Arial" w:hAnsi="Arial" w:cs="Arial"/>
                <w:color w:val="000000" w:themeColor="text1"/>
                <w:sz w:val="20"/>
              </w:rPr>
            </w:pP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601C5958"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3A9C64BA"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1CD112A8"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4676882" w14:textId="77777777" w:rsidTr="00EE0BEE">
        <w:trPr>
          <w:trHeight w:val="585"/>
        </w:trPr>
        <w:tc>
          <w:tcPr>
            <w:tcW w:w="1275" w:type="dxa"/>
            <w:tcBorders>
              <w:top w:val="single" w:sz="4" w:space="0" w:color="000000"/>
              <w:left w:val="single" w:sz="3" w:space="0" w:color="000000"/>
              <w:bottom w:val="single" w:sz="4" w:space="0" w:color="000000"/>
              <w:right w:val="single" w:sz="4" w:space="0" w:color="000000"/>
            </w:tcBorders>
            <w:vAlign w:val="center"/>
          </w:tcPr>
          <w:p w14:paraId="02768DAA" w14:textId="77777777" w:rsidR="0044318E" w:rsidRPr="00AA4A22" w:rsidRDefault="0044318E" w:rsidP="00EE0BEE">
            <w:pPr>
              <w:spacing w:after="0" w:line="259" w:lineRule="auto"/>
              <w:jc w:val="center"/>
              <w:rPr>
                <w:rFonts w:ascii="Arial" w:hAnsi="Arial" w:cs="Arial"/>
                <w:color w:val="000000" w:themeColor="text1"/>
                <w:sz w:val="20"/>
              </w:rPr>
            </w:pPr>
          </w:p>
        </w:tc>
        <w:tc>
          <w:tcPr>
            <w:tcW w:w="1542" w:type="dxa"/>
            <w:tcBorders>
              <w:top w:val="single" w:sz="4" w:space="0" w:color="000000"/>
              <w:left w:val="single" w:sz="4" w:space="0" w:color="000000"/>
              <w:bottom w:val="single" w:sz="4" w:space="0" w:color="000000"/>
              <w:right w:val="single" w:sz="4" w:space="0" w:color="000000"/>
            </w:tcBorders>
            <w:vAlign w:val="center"/>
          </w:tcPr>
          <w:p w14:paraId="192574D9"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8" w:type="dxa"/>
            <w:tcBorders>
              <w:top w:val="single" w:sz="4" w:space="0" w:color="000000"/>
              <w:left w:val="single" w:sz="4" w:space="0" w:color="000000"/>
              <w:bottom w:val="single" w:sz="4" w:space="0" w:color="000000"/>
              <w:right w:val="single" w:sz="4" w:space="0" w:color="000000"/>
            </w:tcBorders>
            <w:vAlign w:val="center"/>
          </w:tcPr>
          <w:p w14:paraId="4D006441"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77" w:type="dxa"/>
            <w:tcBorders>
              <w:top w:val="single" w:sz="4" w:space="0" w:color="000000"/>
              <w:left w:val="single" w:sz="4" w:space="0" w:color="000000"/>
              <w:bottom w:val="single" w:sz="4" w:space="0" w:color="000000"/>
              <w:right w:val="single" w:sz="4" w:space="0" w:color="000000"/>
            </w:tcBorders>
            <w:vAlign w:val="center"/>
          </w:tcPr>
          <w:p w14:paraId="2312DDAB"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8" w:type="dxa"/>
            <w:tcBorders>
              <w:top w:val="single" w:sz="4" w:space="0" w:color="000000"/>
              <w:left w:val="single" w:sz="4" w:space="0" w:color="000000"/>
              <w:bottom w:val="single" w:sz="4" w:space="0" w:color="000000"/>
              <w:right w:val="single" w:sz="3" w:space="0" w:color="000000"/>
            </w:tcBorders>
            <w:vAlign w:val="center"/>
          </w:tcPr>
          <w:p w14:paraId="25CEAA9C"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78" w:type="dxa"/>
            <w:tcBorders>
              <w:top w:val="single" w:sz="4" w:space="0" w:color="000000"/>
              <w:left w:val="single" w:sz="3" w:space="0" w:color="000000"/>
              <w:bottom w:val="single" w:sz="4" w:space="0" w:color="000000"/>
              <w:right w:val="single" w:sz="4" w:space="0" w:color="000000"/>
            </w:tcBorders>
            <w:vAlign w:val="center"/>
          </w:tcPr>
          <w:p w14:paraId="0473F313" w14:textId="77777777" w:rsidR="0044318E" w:rsidRPr="00AA4A22" w:rsidRDefault="0044318E" w:rsidP="00EE0BE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101" w:type="dxa"/>
            <w:tcBorders>
              <w:top w:val="single" w:sz="4" w:space="0" w:color="000000"/>
              <w:left w:val="single" w:sz="4" w:space="0" w:color="000000"/>
              <w:bottom w:val="single" w:sz="4" w:space="0" w:color="000000"/>
              <w:right w:val="single" w:sz="4" w:space="0" w:color="000000"/>
            </w:tcBorders>
            <w:vAlign w:val="center"/>
          </w:tcPr>
          <w:p w14:paraId="6F40CF8E" w14:textId="77777777" w:rsidR="0044318E" w:rsidRPr="00AA4A22" w:rsidRDefault="0044318E" w:rsidP="00EE0BEE">
            <w:pPr>
              <w:spacing w:after="0" w:line="259" w:lineRule="auto"/>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5B7813B7" w14:textId="77777777" w:rsidTr="00EE0BEE">
        <w:trPr>
          <w:trHeight w:val="292"/>
        </w:trPr>
        <w:tc>
          <w:tcPr>
            <w:tcW w:w="1275" w:type="dxa"/>
            <w:tcBorders>
              <w:top w:val="single" w:sz="4" w:space="0" w:color="000000"/>
              <w:left w:val="single" w:sz="3" w:space="0" w:color="000000"/>
              <w:bottom w:val="single" w:sz="3" w:space="0" w:color="000000"/>
              <w:right w:val="single" w:sz="4" w:space="0" w:color="000000"/>
            </w:tcBorders>
            <w:vAlign w:val="center"/>
          </w:tcPr>
          <w:p w14:paraId="2E2108B0"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Mean</w:t>
            </w:r>
          </w:p>
        </w:tc>
        <w:tc>
          <w:tcPr>
            <w:tcW w:w="1542" w:type="dxa"/>
            <w:tcBorders>
              <w:top w:val="single" w:sz="4" w:space="0" w:color="000000"/>
              <w:left w:val="single" w:sz="4" w:space="0" w:color="000000"/>
              <w:bottom w:val="single" w:sz="3" w:space="0" w:color="000000"/>
              <w:right w:val="single" w:sz="4" w:space="0" w:color="000000"/>
            </w:tcBorders>
            <w:vAlign w:val="center"/>
          </w:tcPr>
          <w:p w14:paraId="44570A0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11.78</w:t>
            </w:r>
          </w:p>
        </w:tc>
        <w:tc>
          <w:tcPr>
            <w:tcW w:w="1078" w:type="dxa"/>
            <w:tcBorders>
              <w:top w:val="single" w:sz="4" w:space="0" w:color="000000"/>
              <w:left w:val="single" w:sz="4" w:space="0" w:color="000000"/>
              <w:bottom w:val="single" w:sz="3" w:space="0" w:color="000000"/>
              <w:right w:val="single" w:sz="4" w:space="0" w:color="000000"/>
            </w:tcBorders>
            <w:vAlign w:val="center"/>
          </w:tcPr>
          <w:p w14:paraId="5A2869F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7.47</w:t>
            </w:r>
          </w:p>
        </w:tc>
        <w:tc>
          <w:tcPr>
            <w:tcW w:w="1477" w:type="dxa"/>
            <w:tcBorders>
              <w:top w:val="single" w:sz="4" w:space="0" w:color="000000"/>
              <w:left w:val="single" w:sz="4" w:space="0" w:color="000000"/>
              <w:bottom w:val="single" w:sz="3" w:space="0" w:color="000000"/>
              <w:right w:val="single" w:sz="4" w:space="0" w:color="000000"/>
            </w:tcBorders>
            <w:vAlign w:val="center"/>
          </w:tcPr>
          <w:p w14:paraId="5B75DDC7"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10.51</w:t>
            </w:r>
          </w:p>
        </w:tc>
        <w:tc>
          <w:tcPr>
            <w:tcW w:w="1078" w:type="dxa"/>
            <w:tcBorders>
              <w:top w:val="single" w:sz="4" w:space="0" w:color="000000"/>
              <w:left w:val="single" w:sz="4" w:space="0" w:color="000000"/>
              <w:bottom w:val="single" w:sz="3" w:space="0" w:color="000000"/>
              <w:right w:val="single" w:sz="3" w:space="0" w:color="000000"/>
            </w:tcBorders>
            <w:vAlign w:val="center"/>
          </w:tcPr>
          <w:p w14:paraId="53CA0C3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6.71</w:t>
            </w:r>
          </w:p>
        </w:tc>
        <w:tc>
          <w:tcPr>
            <w:tcW w:w="1478" w:type="dxa"/>
            <w:tcBorders>
              <w:top w:val="single" w:sz="4" w:space="0" w:color="000000"/>
              <w:left w:val="single" w:sz="3" w:space="0" w:color="000000"/>
              <w:bottom w:val="single" w:sz="3" w:space="0" w:color="000000"/>
              <w:right w:val="single" w:sz="4" w:space="0" w:color="000000"/>
            </w:tcBorders>
            <w:vAlign w:val="center"/>
          </w:tcPr>
          <w:p w14:paraId="0943433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9.68</w:t>
            </w:r>
          </w:p>
        </w:tc>
        <w:tc>
          <w:tcPr>
            <w:tcW w:w="1101" w:type="dxa"/>
            <w:tcBorders>
              <w:top w:val="single" w:sz="4" w:space="0" w:color="000000"/>
              <w:left w:val="single" w:sz="4" w:space="0" w:color="000000"/>
              <w:bottom w:val="single" w:sz="3" w:space="0" w:color="000000"/>
              <w:right w:val="single" w:sz="4" w:space="0" w:color="000000"/>
            </w:tcBorders>
            <w:vAlign w:val="center"/>
          </w:tcPr>
          <w:p w14:paraId="747584E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5.58</w:t>
            </w:r>
          </w:p>
        </w:tc>
      </w:tr>
      <w:tr w:rsidR="00AA4A22" w:rsidRPr="00AA4A22" w14:paraId="31C17CFC" w14:textId="77777777" w:rsidTr="00EE0BEE">
        <w:trPr>
          <w:trHeight w:val="292"/>
        </w:trPr>
        <w:tc>
          <w:tcPr>
            <w:tcW w:w="1275" w:type="dxa"/>
            <w:tcBorders>
              <w:top w:val="single" w:sz="4" w:space="0" w:color="000000"/>
              <w:left w:val="single" w:sz="3" w:space="0" w:color="000000"/>
              <w:bottom w:val="single" w:sz="3" w:space="0" w:color="000000"/>
              <w:right w:val="single" w:sz="4" w:space="0" w:color="000000"/>
            </w:tcBorders>
            <w:vAlign w:val="center"/>
          </w:tcPr>
          <w:p w14:paraId="28993B1C"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Range</w:t>
            </w:r>
          </w:p>
        </w:tc>
        <w:tc>
          <w:tcPr>
            <w:tcW w:w="1542" w:type="dxa"/>
            <w:tcBorders>
              <w:top w:val="single" w:sz="4" w:space="0" w:color="000000"/>
              <w:left w:val="single" w:sz="4" w:space="0" w:color="000000"/>
              <w:bottom w:val="single" w:sz="3" w:space="0" w:color="000000"/>
              <w:right w:val="single" w:sz="4" w:space="0" w:color="000000"/>
            </w:tcBorders>
            <w:vAlign w:val="center"/>
          </w:tcPr>
          <w:p w14:paraId="197D5CA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11-12</w:t>
            </w:r>
          </w:p>
        </w:tc>
        <w:tc>
          <w:tcPr>
            <w:tcW w:w="1078" w:type="dxa"/>
            <w:tcBorders>
              <w:top w:val="single" w:sz="4" w:space="0" w:color="000000"/>
              <w:left w:val="single" w:sz="4" w:space="0" w:color="000000"/>
              <w:bottom w:val="single" w:sz="3" w:space="0" w:color="000000"/>
              <w:right w:val="single" w:sz="4" w:space="0" w:color="000000"/>
            </w:tcBorders>
            <w:vAlign w:val="center"/>
          </w:tcPr>
          <w:p w14:paraId="7958C82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7-8</w:t>
            </w:r>
          </w:p>
        </w:tc>
        <w:tc>
          <w:tcPr>
            <w:tcW w:w="1477" w:type="dxa"/>
            <w:tcBorders>
              <w:top w:val="single" w:sz="4" w:space="0" w:color="000000"/>
              <w:left w:val="single" w:sz="4" w:space="0" w:color="000000"/>
              <w:bottom w:val="single" w:sz="3" w:space="0" w:color="000000"/>
              <w:right w:val="single" w:sz="4" w:space="0" w:color="000000"/>
            </w:tcBorders>
            <w:vAlign w:val="center"/>
          </w:tcPr>
          <w:p w14:paraId="5E02D38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10-11</w:t>
            </w:r>
          </w:p>
        </w:tc>
        <w:tc>
          <w:tcPr>
            <w:tcW w:w="1078" w:type="dxa"/>
            <w:tcBorders>
              <w:top w:val="single" w:sz="4" w:space="0" w:color="000000"/>
              <w:left w:val="single" w:sz="4" w:space="0" w:color="000000"/>
              <w:bottom w:val="single" w:sz="3" w:space="0" w:color="000000"/>
              <w:right w:val="single" w:sz="3" w:space="0" w:color="000000"/>
            </w:tcBorders>
            <w:vAlign w:val="center"/>
          </w:tcPr>
          <w:p w14:paraId="2D79188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6-7</w:t>
            </w:r>
          </w:p>
        </w:tc>
        <w:tc>
          <w:tcPr>
            <w:tcW w:w="1478" w:type="dxa"/>
            <w:tcBorders>
              <w:top w:val="single" w:sz="4" w:space="0" w:color="000000"/>
              <w:left w:val="single" w:sz="3" w:space="0" w:color="000000"/>
              <w:bottom w:val="single" w:sz="3" w:space="0" w:color="000000"/>
              <w:right w:val="single" w:sz="4" w:space="0" w:color="000000"/>
            </w:tcBorders>
            <w:vAlign w:val="center"/>
          </w:tcPr>
          <w:p w14:paraId="19AF38B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9-10</w:t>
            </w:r>
          </w:p>
        </w:tc>
        <w:tc>
          <w:tcPr>
            <w:tcW w:w="1101" w:type="dxa"/>
            <w:tcBorders>
              <w:top w:val="single" w:sz="4" w:space="0" w:color="000000"/>
              <w:left w:val="single" w:sz="4" w:space="0" w:color="000000"/>
              <w:bottom w:val="single" w:sz="3" w:space="0" w:color="000000"/>
              <w:right w:val="single" w:sz="4" w:space="0" w:color="000000"/>
            </w:tcBorders>
            <w:vAlign w:val="center"/>
          </w:tcPr>
          <w:p w14:paraId="721F31A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5-6</w:t>
            </w:r>
          </w:p>
        </w:tc>
      </w:tr>
      <w:tr w:rsidR="00AA4A22" w:rsidRPr="00AA4A22" w14:paraId="6644E09B" w14:textId="77777777" w:rsidTr="00EE0BEE">
        <w:trPr>
          <w:trHeight w:val="295"/>
        </w:trPr>
        <w:tc>
          <w:tcPr>
            <w:tcW w:w="1275" w:type="dxa"/>
            <w:tcBorders>
              <w:top w:val="single" w:sz="3" w:space="0" w:color="000000"/>
              <w:left w:val="single" w:sz="3" w:space="0" w:color="000000"/>
              <w:bottom w:val="single" w:sz="4" w:space="0" w:color="000000"/>
              <w:right w:val="single" w:sz="4" w:space="0" w:color="000000"/>
            </w:tcBorders>
            <w:vAlign w:val="center"/>
          </w:tcPr>
          <w:p w14:paraId="66E49FC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Variance</w:t>
            </w:r>
          </w:p>
        </w:tc>
        <w:tc>
          <w:tcPr>
            <w:tcW w:w="1542" w:type="dxa"/>
            <w:tcBorders>
              <w:top w:val="single" w:sz="3" w:space="0" w:color="000000"/>
              <w:left w:val="single" w:sz="4" w:space="0" w:color="000000"/>
              <w:bottom w:val="single" w:sz="4" w:space="0" w:color="000000"/>
              <w:right w:val="single" w:sz="4" w:space="0" w:color="000000"/>
            </w:tcBorders>
            <w:vAlign w:val="center"/>
          </w:tcPr>
          <w:p w14:paraId="6BD31D3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0.01</w:t>
            </w:r>
          </w:p>
        </w:tc>
        <w:tc>
          <w:tcPr>
            <w:tcW w:w="1078" w:type="dxa"/>
            <w:tcBorders>
              <w:top w:val="single" w:sz="3" w:space="0" w:color="000000"/>
              <w:left w:val="single" w:sz="4" w:space="0" w:color="000000"/>
              <w:bottom w:val="single" w:sz="4" w:space="0" w:color="000000"/>
              <w:right w:val="single" w:sz="4" w:space="0" w:color="000000"/>
            </w:tcBorders>
            <w:vAlign w:val="center"/>
          </w:tcPr>
          <w:p w14:paraId="1D13B09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c>
          <w:tcPr>
            <w:tcW w:w="1477" w:type="dxa"/>
            <w:tcBorders>
              <w:top w:val="single" w:sz="3" w:space="0" w:color="000000"/>
              <w:left w:val="single" w:sz="4" w:space="0" w:color="000000"/>
              <w:bottom w:val="single" w:sz="4" w:space="0" w:color="000000"/>
              <w:right w:val="single" w:sz="4" w:space="0" w:color="000000"/>
            </w:tcBorders>
            <w:vAlign w:val="center"/>
          </w:tcPr>
          <w:p w14:paraId="176AC8A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c>
          <w:tcPr>
            <w:tcW w:w="1078" w:type="dxa"/>
            <w:tcBorders>
              <w:top w:val="single" w:sz="3" w:space="0" w:color="000000"/>
              <w:left w:val="single" w:sz="4" w:space="0" w:color="000000"/>
              <w:bottom w:val="single" w:sz="4" w:space="0" w:color="000000"/>
              <w:right w:val="single" w:sz="3" w:space="0" w:color="000000"/>
            </w:tcBorders>
            <w:vAlign w:val="center"/>
          </w:tcPr>
          <w:p w14:paraId="76A09E2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478" w:type="dxa"/>
            <w:tcBorders>
              <w:top w:val="single" w:sz="3" w:space="0" w:color="000000"/>
              <w:left w:val="single" w:sz="3" w:space="0" w:color="000000"/>
              <w:bottom w:val="single" w:sz="4" w:space="0" w:color="000000"/>
              <w:right w:val="single" w:sz="4" w:space="0" w:color="000000"/>
            </w:tcBorders>
            <w:vAlign w:val="center"/>
          </w:tcPr>
          <w:p w14:paraId="0AE06F87"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101" w:type="dxa"/>
            <w:tcBorders>
              <w:top w:val="single" w:sz="3" w:space="0" w:color="000000"/>
              <w:left w:val="single" w:sz="4" w:space="0" w:color="000000"/>
              <w:bottom w:val="single" w:sz="4" w:space="0" w:color="000000"/>
              <w:right w:val="single" w:sz="4" w:space="0" w:color="000000"/>
            </w:tcBorders>
            <w:vAlign w:val="center"/>
          </w:tcPr>
          <w:p w14:paraId="5F233F6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0.10</w:t>
            </w:r>
          </w:p>
        </w:tc>
      </w:tr>
      <w:tr w:rsidR="00AA4A22" w:rsidRPr="00AA4A22" w14:paraId="2B5479E9"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7B699A5C"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1D53A5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86.07**</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2D01C0F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62.68**</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3753F7C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58.61**</w:t>
            </w:r>
          </w:p>
        </w:tc>
      </w:tr>
      <w:tr w:rsidR="00AA4A22" w:rsidRPr="00AA4A22" w14:paraId="0D95F5B1"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62D5AE78"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3A930EB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36A8ED4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09A4AD3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70BBFC35" w14:textId="77777777" w:rsidTr="00EE0BEE">
        <w:trPr>
          <w:trHeight w:val="293"/>
        </w:trPr>
        <w:tc>
          <w:tcPr>
            <w:tcW w:w="1275" w:type="dxa"/>
            <w:tcBorders>
              <w:top w:val="single" w:sz="4" w:space="0" w:color="000000"/>
              <w:left w:val="single" w:sz="3" w:space="0" w:color="000000"/>
              <w:bottom w:val="single" w:sz="4" w:space="0" w:color="000000"/>
              <w:right w:val="single" w:sz="4" w:space="0" w:color="000000"/>
            </w:tcBorders>
            <w:vAlign w:val="center"/>
          </w:tcPr>
          <w:p w14:paraId="4CFF518E" w14:textId="77777777" w:rsidR="0044318E" w:rsidRPr="00AA4A22" w:rsidRDefault="0044318E" w:rsidP="00EE0BE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621" w:type="dxa"/>
            <w:gridSpan w:val="2"/>
            <w:tcBorders>
              <w:top w:val="single" w:sz="4" w:space="0" w:color="000000"/>
              <w:left w:val="single" w:sz="4" w:space="0" w:color="000000"/>
              <w:bottom w:val="single" w:sz="4" w:space="0" w:color="000000"/>
              <w:right w:val="single" w:sz="4" w:space="0" w:color="000000"/>
            </w:tcBorders>
            <w:vAlign w:val="center"/>
          </w:tcPr>
          <w:p w14:paraId="79E88EA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56" w:type="dxa"/>
            <w:gridSpan w:val="2"/>
            <w:tcBorders>
              <w:top w:val="single" w:sz="4" w:space="0" w:color="000000"/>
              <w:left w:val="single" w:sz="4" w:space="0" w:color="000000"/>
              <w:bottom w:val="single" w:sz="4" w:space="0" w:color="000000"/>
              <w:right w:val="single" w:sz="3" w:space="0" w:color="000000"/>
            </w:tcBorders>
            <w:vAlign w:val="center"/>
          </w:tcPr>
          <w:p w14:paraId="69B55CE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80" w:type="dxa"/>
            <w:gridSpan w:val="2"/>
            <w:tcBorders>
              <w:top w:val="single" w:sz="4" w:space="0" w:color="000000"/>
              <w:left w:val="single" w:sz="3" w:space="0" w:color="000000"/>
              <w:bottom w:val="single" w:sz="4" w:space="0" w:color="000000"/>
              <w:right w:val="single" w:sz="4" w:space="0" w:color="000000"/>
            </w:tcBorders>
            <w:vAlign w:val="center"/>
          </w:tcPr>
          <w:p w14:paraId="6DB9173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3E1B7A9E" w14:textId="77777777" w:rsidTr="00EE0BEE">
        <w:trPr>
          <w:trHeight w:val="293"/>
        </w:trPr>
        <w:tc>
          <w:tcPr>
            <w:tcW w:w="1275" w:type="dxa"/>
            <w:tcBorders>
              <w:top w:val="single" w:sz="4" w:space="0" w:color="000000"/>
              <w:left w:val="single" w:sz="3" w:space="0" w:color="000000"/>
              <w:bottom w:val="single" w:sz="4" w:space="0" w:color="auto"/>
              <w:right w:val="single" w:sz="4" w:space="0" w:color="000000"/>
            </w:tcBorders>
            <w:vAlign w:val="center"/>
          </w:tcPr>
          <w:p w14:paraId="76C760AE"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P value</w:t>
            </w:r>
          </w:p>
        </w:tc>
        <w:tc>
          <w:tcPr>
            <w:tcW w:w="2621" w:type="dxa"/>
            <w:gridSpan w:val="2"/>
            <w:tcBorders>
              <w:top w:val="single" w:sz="4" w:space="0" w:color="000000"/>
              <w:left w:val="single" w:sz="4" w:space="0" w:color="000000"/>
              <w:bottom w:val="single" w:sz="4" w:space="0" w:color="auto"/>
              <w:right w:val="single" w:sz="4" w:space="0" w:color="000000"/>
            </w:tcBorders>
            <w:vAlign w:val="center"/>
          </w:tcPr>
          <w:p w14:paraId="59D4F4E9"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56" w:type="dxa"/>
            <w:gridSpan w:val="2"/>
            <w:tcBorders>
              <w:top w:val="single" w:sz="4" w:space="0" w:color="000000"/>
              <w:left w:val="single" w:sz="4" w:space="0" w:color="000000"/>
              <w:bottom w:val="single" w:sz="4" w:space="0" w:color="auto"/>
              <w:right w:val="single" w:sz="3" w:space="0" w:color="000000"/>
            </w:tcBorders>
            <w:vAlign w:val="center"/>
          </w:tcPr>
          <w:p w14:paraId="59C478AB"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80" w:type="dxa"/>
            <w:gridSpan w:val="2"/>
            <w:tcBorders>
              <w:top w:val="single" w:sz="4" w:space="0" w:color="000000"/>
              <w:left w:val="single" w:sz="3" w:space="0" w:color="000000"/>
              <w:bottom w:val="single" w:sz="4" w:space="0" w:color="auto"/>
              <w:right w:val="single" w:sz="4" w:space="0" w:color="000000"/>
            </w:tcBorders>
            <w:vAlign w:val="center"/>
          </w:tcPr>
          <w:p w14:paraId="615612C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0.02</w:t>
            </w:r>
          </w:p>
        </w:tc>
      </w:tr>
      <w:tr w:rsidR="00AA4A22" w:rsidRPr="00AA4A22" w14:paraId="428AAAB6" w14:textId="77777777" w:rsidTr="00EE0BEE">
        <w:trPr>
          <w:trHeight w:val="293"/>
        </w:trPr>
        <w:tc>
          <w:tcPr>
            <w:tcW w:w="1275" w:type="dxa"/>
            <w:tcBorders>
              <w:top w:val="single" w:sz="4" w:space="0" w:color="auto"/>
              <w:left w:val="single" w:sz="4" w:space="0" w:color="auto"/>
              <w:bottom w:val="single" w:sz="4" w:space="0" w:color="auto"/>
              <w:right w:val="single" w:sz="4" w:space="0" w:color="auto"/>
            </w:tcBorders>
            <w:vAlign w:val="center"/>
          </w:tcPr>
          <w:p w14:paraId="3F3BD1D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Result</w:t>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74ED37A2"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4B7C3398"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80" w:type="dxa"/>
            <w:gridSpan w:val="2"/>
            <w:tcBorders>
              <w:top w:val="single" w:sz="4" w:space="0" w:color="auto"/>
              <w:left w:val="single" w:sz="4" w:space="0" w:color="auto"/>
              <w:bottom w:val="single" w:sz="4" w:space="0" w:color="auto"/>
              <w:right w:val="single" w:sz="4" w:space="0" w:color="auto"/>
            </w:tcBorders>
            <w:vAlign w:val="center"/>
          </w:tcPr>
          <w:p w14:paraId="76D41DDD" w14:textId="77777777" w:rsidR="0044318E" w:rsidRPr="00AA4A22" w:rsidRDefault="0044318E" w:rsidP="00EE0BE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r>
    </w:tbl>
    <w:p w14:paraId="20356607" w14:textId="77777777" w:rsidR="0044318E" w:rsidRPr="00AA4A22" w:rsidRDefault="0044318E" w:rsidP="0044318E">
      <w:pPr>
        <w:spacing w:after="0"/>
        <w:jc w:val="both"/>
        <w:rPr>
          <w:rFonts w:ascii="Arial" w:hAnsi="Arial" w:cs="Arial"/>
          <w:color w:val="000000" w:themeColor="text1"/>
          <w:sz w:val="20"/>
        </w:rPr>
      </w:pPr>
    </w:p>
    <w:p w14:paraId="4BA49205" w14:textId="77777777" w:rsidR="0044318E" w:rsidRPr="00AA4A22" w:rsidRDefault="0044318E" w:rsidP="0044318E">
      <w:pPr>
        <w:spacing w:after="0"/>
        <w:jc w:val="both"/>
        <w:rPr>
          <w:rFonts w:ascii="Arial" w:hAnsi="Arial" w:cs="Arial"/>
          <w:color w:val="000000" w:themeColor="text1"/>
          <w:sz w:val="20"/>
        </w:rPr>
      </w:pPr>
    </w:p>
    <w:p w14:paraId="27C0EF35" w14:textId="4BD3A33B"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on the influence of sugarcane trash management practices on urease activities after harvest of sugarcane ratoon are reported in Table 2. The perusal of data revealed that the urease activities of soil was significantly increased due to sugarcane trash management practices. This study showed that among the three sugar recovery zones, the urease activities in the high recovery zone ranged from (11-12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in trash management practices than medium recovery zone (10-11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(9-10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urease activities in the high recovery zone ranged from (7-8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(6-7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(5-6 µg NH</w:t>
      </w:r>
      <w:r w:rsidRPr="00AA4A22">
        <w:rPr>
          <w:rFonts w:ascii="Arial" w:hAnsi="Arial" w:cs="Arial"/>
          <w:color w:val="000000" w:themeColor="text1"/>
          <w:sz w:val="20"/>
          <w:vertAlign w:val="subscript"/>
        </w:rPr>
        <w:t>4</w:t>
      </w:r>
      <w:r w:rsidRPr="00AA4A22">
        <w:rPr>
          <w:rFonts w:ascii="Arial" w:hAnsi="Arial" w:cs="Arial"/>
          <w:b/>
          <w:bCs/>
          <w:color w:val="000000" w:themeColor="text1"/>
          <w:sz w:val="20"/>
          <w:vertAlign w:val="superscript"/>
        </w:rPr>
        <w:t>+</w:t>
      </w:r>
      <w:r w:rsidRPr="00AA4A22">
        <w:rPr>
          <w:rFonts w:ascii="Arial" w:hAnsi="Arial" w:cs="Arial"/>
          <w:color w:val="000000" w:themeColor="text1"/>
          <w:sz w:val="20"/>
        </w:rPr>
        <w:t>-N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Phalke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(2016) also observed similar findings in respect of urease activities in sugarcane trash management practices. </w:t>
      </w:r>
    </w:p>
    <w:p w14:paraId="6E4B09A9" w14:textId="0A339D5C"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From above investigation, it was observed that the urease activities in all sugar recovery zones were significantly higher in trash management practices than trash burning practices. High recovery zone has higher urease activity due to environmental factors </w:t>
      </w:r>
      <w:r w:rsidRPr="00AA4A22">
        <w:rPr>
          <w:rFonts w:ascii="Arial" w:hAnsi="Arial" w:cs="Arial"/>
          <w:i/>
          <w:iCs/>
          <w:color w:val="000000" w:themeColor="text1"/>
          <w:sz w:val="20"/>
        </w:rPr>
        <w:t xml:space="preserve">viz., </w:t>
      </w:r>
      <w:r w:rsidRPr="00AA4A22">
        <w:rPr>
          <w:rFonts w:ascii="Arial" w:hAnsi="Arial" w:cs="Arial"/>
          <w:color w:val="000000" w:themeColor="text1"/>
          <w:sz w:val="20"/>
        </w:rPr>
        <w:t>rainfall, temperature and increased from 20 to 70</w:t>
      </w:r>
      <w:r w:rsidRPr="00AA4A22">
        <w:rPr>
          <w:rFonts w:ascii="Arial" w:hAnsi="Arial" w:cs="Arial"/>
          <w:color w:val="000000" w:themeColor="text1"/>
          <w:sz w:val="20"/>
          <w:vertAlign w:val="superscript"/>
        </w:rPr>
        <w:t>o</w:t>
      </w:r>
      <w:r w:rsidRPr="00AA4A22">
        <w:rPr>
          <w:rFonts w:ascii="Arial" w:hAnsi="Arial" w:cs="Arial"/>
          <w:color w:val="000000" w:themeColor="text1"/>
          <w:sz w:val="20"/>
        </w:rPr>
        <w:t xml:space="preserve">C and with further increase in temperature, the activity decreased rapidly (Kumari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2017). </w:t>
      </w:r>
      <w:r w:rsidR="001725D1">
        <w:rPr>
          <w:rFonts w:ascii="Arial" w:hAnsi="Arial" w:cs="Arial"/>
          <w:color w:val="000000" w:themeColor="text1"/>
          <w:sz w:val="20"/>
        </w:rPr>
        <w:t>T</w:t>
      </w:r>
      <w:r w:rsidRPr="00AA4A22">
        <w:rPr>
          <w:rFonts w:ascii="Arial" w:hAnsi="Arial" w:cs="Arial"/>
          <w:color w:val="000000" w:themeColor="text1"/>
          <w:sz w:val="20"/>
        </w:rPr>
        <w:t>he positive relationship between urease activity and temperature. When soil temperature was high, organic matter</w:t>
      </w:r>
      <w:r w:rsidRPr="00AA4A22">
        <w:rPr>
          <w:rFonts w:ascii="Arial" w:eastAsia="Times New Roman" w:hAnsi="Arial" w:cs="Arial"/>
          <w:b/>
          <w:color w:val="000000" w:themeColor="text1"/>
          <w:sz w:val="20"/>
        </w:rPr>
        <w:t xml:space="preserve"> </w:t>
      </w:r>
      <w:r w:rsidRPr="00AA4A22">
        <w:rPr>
          <w:rFonts w:ascii="Arial" w:eastAsia="Times New Roman" w:hAnsi="Arial" w:cs="Arial"/>
          <w:bCs/>
          <w:color w:val="000000" w:themeColor="text1"/>
          <w:sz w:val="20"/>
        </w:rPr>
        <w:t>d</w:t>
      </w:r>
      <w:r w:rsidRPr="00AA4A22">
        <w:rPr>
          <w:rFonts w:ascii="Arial" w:hAnsi="Arial" w:cs="Arial"/>
          <w:bCs/>
          <w:color w:val="000000" w:themeColor="text1"/>
          <w:sz w:val="20"/>
        </w:rPr>
        <w:t>ecomposed</w:t>
      </w:r>
      <w:r w:rsidRPr="00AA4A22">
        <w:rPr>
          <w:rFonts w:ascii="Arial" w:hAnsi="Arial" w:cs="Arial"/>
          <w:color w:val="000000" w:themeColor="text1"/>
          <w:sz w:val="20"/>
        </w:rPr>
        <w:t xml:space="preserve"> easily in soil and using organic fertilizers like compost, straw mulch and sewage sludge increases the activity of urease</w:t>
      </w:r>
      <w:r w:rsidR="001725D1">
        <w:rPr>
          <w:rFonts w:ascii="Arial" w:hAnsi="Arial" w:cs="Arial"/>
          <w:color w:val="000000" w:themeColor="text1"/>
          <w:sz w:val="20"/>
        </w:rPr>
        <w:t xml:space="preserve"> </w:t>
      </w:r>
      <w:r w:rsidR="00DF1E1C">
        <w:rPr>
          <w:rFonts w:ascii="Arial" w:hAnsi="Arial" w:cs="Arial"/>
          <w:color w:val="000000" w:themeColor="text1"/>
          <w:sz w:val="20"/>
        </w:rPr>
        <w:t>(</w:t>
      </w:r>
      <w:r w:rsidR="001725D1" w:rsidRPr="00AA4A22">
        <w:rPr>
          <w:rFonts w:ascii="Arial" w:hAnsi="Arial" w:cs="Arial"/>
          <w:color w:val="000000" w:themeColor="text1"/>
          <w:sz w:val="20"/>
        </w:rPr>
        <w:t>Kang and Andreas</w:t>
      </w:r>
      <w:r w:rsidR="00DF1E1C">
        <w:rPr>
          <w:rFonts w:ascii="Arial" w:hAnsi="Arial" w:cs="Arial"/>
          <w:color w:val="000000" w:themeColor="text1"/>
          <w:sz w:val="20"/>
        </w:rPr>
        <w:t xml:space="preserve">, </w:t>
      </w:r>
      <w:r w:rsidR="001725D1" w:rsidRPr="00AA4A22">
        <w:rPr>
          <w:rFonts w:ascii="Arial" w:hAnsi="Arial" w:cs="Arial"/>
          <w:color w:val="000000" w:themeColor="text1"/>
          <w:sz w:val="20"/>
        </w:rPr>
        <w:t>2022)</w:t>
      </w:r>
      <w:r w:rsidRPr="00AA4A22">
        <w:rPr>
          <w:rFonts w:ascii="Arial" w:hAnsi="Arial" w:cs="Arial"/>
          <w:color w:val="000000" w:themeColor="text1"/>
          <w:sz w:val="20"/>
        </w:rPr>
        <w:t xml:space="preserve">. The results showed that higher enzymatic activity of urease in dry straw and its relationship with the </w:t>
      </w:r>
      <w:r w:rsidRPr="00AA4A22">
        <w:rPr>
          <w:rFonts w:ascii="Arial" w:hAnsi="Arial" w:cs="Arial"/>
          <w:color w:val="000000" w:themeColor="text1"/>
          <w:sz w:val="20"/>
        </w:rPr>
        <w:lastRenderedPageBreak/>
        <w:t>greater amount of SOC and CO</w:t>
      </w:r>
      <w:r w:rsidRPr="00AA4A22">
        <w:rPr>
          <w:rFonts w:ascii="Arial" w:hAnsi="Arial" w:cs="Arial"/>
          <w:color w:val="000000" w:themeColor="text1"/>
          <w:sz w:val="20"/>
          <w:vertAlign w:val="subscript"/>
        </w:rPr>
        <w:t>2</w:t>
      </w:r>
      <w:r w:rsidRPr="00AA4A22">
        <w:rPr>
          <w:rFonts w:ascii="Arial" w:hAnsi="Arial" w:cs="Arial"/>
          <w:color w:val="000000" w:themeColor="text1"/>
          <w:sz w:val="20"/>
        </w:rPr>
        <w:t xml:space="preserve">, agrees with the results reported by Beri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(1978) for sugarcane straw. </w:t>
      </w:r>
    </w:p>
    <w:p w14:paraId="6A3844C2" w14:textId="77777777" w:rsidR="00DD4B7A" w:rsidRDefault="00DD4B7A" w:rsidP="001725D1">
      <w:pPr>
        <w:spacing w:after="0"/>
        <w:ind w:firstLine="851"/>
        <w:jc w:val="both"/>
        <w:rPr>
          <w:rFonts w:ascii="Arial" w:hAnsi="Arial" w:cs="Arial"/>
          <w:color w:val="000000" w:themeColor="text1"/>
          <w:sz w:val="20"/>
        </w:rPr>
      </w:pPr>
    </w:p>
    <w:p w14:paraId="1DDBFA82" w14:textId="12897708" w:rsidR="00DD4B7A" w:rsidRPr="00DD4B7A" w:rsidRDefault="00DD4B7A" w:rsidP="00DD4B7A">
      <w:pPr>
        <w:spacing w:after="0"/>
        <w:jc w:val="both"/>
        <w:rPr>
          <w:rFonts w:ascii="Arial" w:hAnsi="Arial" w:cs="Arial"/>
          <w:b/>
          <w:bCs/>
          <w:color w:val="000000" w:themeColor="text1"/>
          <w:sz w:val="20"/>
        </w:rPr>
      </w:pPr>
      <w:r w:rsidRPr="00DD4B7A">
        <w:rPr>
          <w:rFonts w:ascii="Arial" w:hAnsi="Arial" w:cs="Arial"/>
          <w:b/>
          <w:bCs/>
          <w:color w:val="000000" w:themeColor="text1"/>
          <w:sz w:val="20"/>
        </w:rPr>
        <w:t>Table 3 Influence of sugarcane trash management practices on acid phosphatase activities after harvest of ratoon sugarcane</w:t>
      </w:r>
    </w:p>
    <w:p w14:paraId="5CEE34E5" w14:textId="1605B93F" w:rsidR="0044318E" w:rsidRPr="00AA4A22" w:rsidRDefault="0044318E" w:rsidP="0044318E">
      <w:pPr>
        <w:spacing w:after="0"/>
        <w:ind w:hanging="720"/>
        <w:jc w:val="both"/>
        <w:rPr>
          <w:rFonts w:ascii="Arial" w:hAnsi="Arial" w:cs="Arial"/>
          <w:color w:val="000000" w:themeColor="text1"/>
          <w:sz w:val="20"/>
        </w:rPr>
      </w:pPr>
      <w:r w:rsidRPr="00AA4A22">
        <w:rPr>
          <w:rFonts w:ascii="Arial" w:hAnsi="Arial" w:cs="Arial"/>
          <w:color w:val="000000" w:themeColor="text1"/>
          <w:sz w:val="20"/>
        </w:rPr>
        <w:t xml:space="preserve"> </w:t>
      </w:r>
    </w:p>
    <w:tbl>
      <w:tblPr>
        <w:tblStyle w:val="TableGrid"/>
        <w:tblW w:w="9062" w:type="dxa"/>
        <w:tblInd w:w="-4" w:type="dxa"/>
        <w:tblCellMar>
          <w:top w:w="50" w:type="dxa"/>
          <w:left w:w="95" w:type="dxa"/>
          <w:right w:w="45" w:type="dxa"/>
        </w:tblCellMar>
        <w:tblLook w:val="04A0" w:firstRow="1" w:lastRow="0" w:firstColumn="1" w:lastColumn="0" w:noHBand="0" w:noVBand="1"/>
      </w:tblPr>
      <w:tblGrid>
        <w:gridCol w:w="1259"/>
        <w:gridCol w:w="1492"/>
        <w:gridCol w:w="1072"/>
        <w:gridCol w:w="1492"/>
        <w:gridCol w:w="1149"/>
        <w:gridCol w:w="1492"/>
        <w:gridCol w:w="1106"/>
      </w:tblGrid>
      <w:tr w:rsidR="00AA4A22" w:rsidRPr="00AA4A22" w14:paraId="7769950A" w14:textId="77777777" w:rsidTr="00EE0BEE">
        <w:trPr>
          <w:trHeight w:val="314"/>
        </w:trPr>
        <w:tc>
          <w:tcPr>
            <w:tcW w:w="9062" w:type="dxa"/>
            <w:gridSpan w:val="7"/>
            <w:tcBorders>
              <w:top w:val="single" w:sz="4" w:space="0" w:color="000000"/>
              <w:left w:val="single" w:sz="3" w:space="0" w:color="000000"/>
              <w:bottom w:val="single" w:sz="4" w:space="0" w:color="000000"/>
              <w:right w:val="single" w:sz="4" w:space="0" w:color="000000"/>
            </w:tcBorders>
            <w:vAlign w:val="center"/>
          </w:tcPr>
          <w:p w14:paraId="73149373"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Acid phosphatase activities (µg PNP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2 hr</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6F12B659"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2887A0FD" w14:textId="77777777" w:rsidR="0044318E" w:rsidRPr="00AA4A22" w:rsidRDefault="0044318E" w:rsidP="00EE0BEE">
            <w:pPr>
              <w:spacing w:after="0"/>
              <w:jc w:val="center"/>
              <w:rPr>
                <w:rFonts w:ascii="Arial" w:hAnsi="Arial" w:cs="Arial"/>
                <w:color w:val="000000" w:themeColor="text1"/>
                <w:sz w:val="20"/>
              </w:rPr>
            </w:pP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7637C33A"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5449868C"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23BB9A14"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42E6290" w14:textId="77777777" w:rsidTr="00EE0BEE">
        <w:trPr>
          <w:trHeight w:val="624"/>
        </w:trPr>
        <w:tc>
          <w:tcPr>
            <w:tcW w:w="1259" w:type="dxa"/>
            <w:tcBorders>
              <w:top w:val="single" w:sz="4" w:space="0" w:color="000000"/>
              <w:left w:val="single" w:sz="3" w:space="0" w:color="000000"/>
              <w:bottom w:val="single" w:sz="4" w:space="0" w:color="000000"/>
              <w:right w:val="single" w:sz="4" w:space="0" w:color="000000"/>
            </w:tcBorders>
            <w:vAlign w:val="center"/>
          </w:tcPr>
          <w:p w14:paraId="3BEA604E" w14:textId="77777777" w:rsidR="0044318E" w:rsidRPr="00AA4A22" w:rsidRDefault="0044318E" w:rsidP="00EE0BEE">
            <w:pPr>
              <w:spacing w:after="0"/>
              <w:jc w:val="center"/>
              <w:rPr>
                <w:rFonts w:ascii="Arial" w:hAnsi="Arial" w:cs="Arial"/>
                <w:color w:val="000000" w:themeColor="text1"/>
                <w:sz w:val="20"/>
              </w:rPr>
            </w:pPr>
          </w:p>
        </w:tc>
        <w:tc>
          <w:tcPr>
            <w:tcW w:w="1492" w:type="dxa"/>
            <w:tcBorders>
              <w:top w:val="single" w:sz="4" w:space="0" w:color="000000"/>
              <w:left w:val="single" w:sz="4" w:space="0" w:color="000000"/>
              <w:bottom w:val="single" w:sz="4" w:space="0" w:color="000000"/>
              <w:right w:val="single" w:sz="4" w:space="0" w:color="000000"/>
            </w:tcBorders>
            <w:vAlign w:val="center"/>
          </w:tcPr>
          <w:p w14:paraId="297D6070"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71" w:type="dxa"/>
            <w:tcBorders>
              <w:top w:val="single" w:sz="4" w:space="0" w:color="000000"/>
              <w:left w:val="single" w:sz="4" w:space="0" w:color="000000"/>
              <w:bottom w:val="single" w:sz="4" w:space="0" w:color="000000"/>
              <w:right w:val="single" w:sz="4" w:space="0" w:color="000000"/>
            </w:tcBorders>
            <w:vAlign w:val="center"/>
          </w:tcPr>
          <w:p w14:paraId="49E962D5"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2" w:type="dxa"/>
            <w:tcBorders>
              <w:top w:val="single" w:sz="4" w:space="0" w:color="000000"/>
              <w:left w:val="single" w:sz="4" w:space="0" w:color="000000"/>
              <w:bottom w:val="single" w:sz="4" w:space="0" w:color="000000"/>
              <w:right w:val="single" w:sz="4" w:space="0" w:color="000000"/>
            </w:tcBorders>
            <w:vAlign w:val="center"/>
          </w:tcPr>
          <w:p w14:paraId="19815D6C"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149" w:type="dxa"/>
            <w:tcBorders>
              <w:top w:val="single" w:sz="4" w:space="0" w:color="000000"/>
              <w:left w:val="single" w:sz="4" w:space="0" w:color="000000"/>
              <w:bottom w:val="single" w:sz="4" w:space="0" w:color="000000"/>
              <w:right w:val="single" w:sz="3" w:space="0" w:color="000000"/>
            </w:tcBorders>
            <w:vAlign w:val="center"/>
          </w:tcPr>
          <w:p w14:paraId="12E9BC1F"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2" w:type="dxa"/>
            <w:tcBorders>
              <w:top w:val="single" w:sz="4" w:space="0" w:color="000000"/>
              <w:left w:val="single" w:sz="3" w:space="0" w:color="000000"/>
              <w:bottom w:val="single" w:sz="4" w:space="0" w:color="000000"/>
              <w:right w:val="single" w:sz="4" w:space="0" w:color="000000"/>
            </w:tcBorders>
            <w:vAlign w:val="center"/>
          </w:tcPr>
          <w:p w14:paraId="2BE2BA78"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105" w:type="dxa"/>
            <w:tcBorders>
              <w:top w:val="single" w:sz="4" w:space="0" w:color="000000"/>
              <w:left w:val="single" w:sz="4" w:space="0" w:color="000000"/>
              <w:bottom w:val="single" w:sz="4" w:space="0" w:color="000000"/>
              <w:right w:val="single" w:sz="4" w:space="0" w:color="000000"/>
            </w:tcBorders>
            <w:vAlign w:val="center"/>
          </w:tcPr>
          <w:p w14:paraId="341852D4" w14:textId="77777777" w:rsidR="0044318E" w:rsidRPr="00AA4A22" w:rsidRDefault="0044318E" w:rsidP="00EE0BEE">
            <w:pPr>
              <w:spacing w:after="0"/>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525B1723" w14:textId="77777777" w:rsidTr="00EE0BEE">
        <w:trPr>
          <w:trHeight w:val="311"/>
        </w:trPr>
        <w:tc>
          <w:tcPr>
            <w:tcW w:w="1259" w:type="dxa"/>
            <w:tcBorders>
              <w:top w:val="single" w:sz="4" w:space="0" w:color="000000"/>
              <w:left w:val="single" w:sz="3" w:space="0" w:color="000000"/>
              <w:bottom w:val="single" w:sz="3" w:space="0" w:color="000000"/>
              <w:right w:val="single" w:sz="4" w:space="0" w:color="000000"/>
            </w:tcBorders>
            <w:vAlign w:val="center"/>
          </w:tcPr>
          <w:p w14:paraId="2287F61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Mean</w:t>
            </w:r>
          </w:p>
        </w:tc>
        <w:tc>
          <w:tcPr>
            <w:tcW w:w="1492" w:type="dxa"/>
            <w:tcBorders>
              <w:top w:val="single" w:sz="4" w:space="0" w:color="000000"/>
              <w:left w:val="single" w:sz="4" w:space="0" w:color="000000"/>
              <w:bottom w:val="single" w:sz="3" w:space="0" w:color="000000"/>
              <w:right w:val="single" w:sz="4" w:space="0" w:color="000000"/>
            </w:tcBorders>
            <w:vAlign w:val="center"/>
          </w:tcPr>
          <w:p w14:paraId="54F8D10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423.33</w:t>
            </w:r>
          </w:p>
        </w:tc>
        <w:tc>
          <w:tcPr>
            <w:tcW w:w="1071" w:type="dxa"/>
            <w:tcBorders>
              <w:top w:val="single" w:sz="4" w:space="0" w:color="000000"/>
              <w:left w:val="single" w:sz="4" w:space="0" w:color="000000"/>
              <w:bottom w:val="single" w:sz="3" w:space="0" w:color="000000"/>
              <w:right w:val="single" w:sz="4" w:space="0" w:color="000000"/>
            </w:tcBorders>
            <w:vAlign w:val="center"/>
          </w:tcPr>
          <w:p w14:paraId="68770ED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299.6</w:t>
            </w:r>
          </w:p>
        </w:tc>
        <w:tc>
          <w:tcPr>
            <w:tcW w:w="1492" w:type="dxa"/>
            <w:tcBorders>
              <w:top w:val="single" w:sz="4" w:space="0" w:color="000000"/>
              <w:left w:val="single" w:sz="4" w:space="0" w:color="000000"/>
              <w:bottom w:val="single" w:sz="3" w:space="0" w:color="000000"/>
              <w:right w:val="single" w:sz="4" w:space="0" w:color="000000"/>
            </w:tcBorders>
            <w:vAlign w:val="center"/>
          </w:tcPr>
          <w:p w14:paraId="3A815B7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379.53</w:t>
            </w:r>
          </w:p>
        </w:tc>
        <w:tc>
          <w:tcPr>
            <w:tcW w:w="1149" w:type="dxa"/>
            <w:tcBorders>
              <w:top w:val="single" w:sz="4" w:space="0" w:color="000000"/>
              <w:left w:val="single" w:sz="4" w:space="0" w:color="000000"/>
              <w:bottom w:val="single" w:sz="3" w:space="0" w:color="000000"/>
              <w:right w:val="single" w:sz="3" w:space="0" w:color="000000"/>
            </w:tcBorders>
            <w:vAlign w:val="center"/>
          </w:tcPr>
          <w:p w14:paraId="0F9FE79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258.8</w:t>
            </w:r>
          </w:p>
        </w:tc>
        <w:tc>
          <w:tcPr>
            <w:tcW w:w="1492" w:type="dxa"/>
            <w:tcBorders>
              <w:top w:val="single" w:sz="4" w:space="0" w:color="000000"/>
              <w:left w:val="single" w:sz="3" w:space="0" w:color="000000"/>
              <w:bottom w:val="single" w:sz="3" w:space="0" w:color="000000"/>
              <w:right w:val="single" w:sz="4" w:space="0" w:color="000000"/>
            </w:tcBorders>
            <w:vAlign w:val="center"/>
          </w:tcPr>
          <w:p w14:paraId="048528A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340.7</w:t>
            </w:r>
          </w:p>
        </w:tc>
        <w:tc>
          <w:tcPr>
            <w:tcW w:w="1105" w:type="dxa"/>
            <w:tcBorders>
              <w:top w:val="single" w:sz="4" w:space="0" w:color="000000"/>
              <w:left w:val="single" w:sz="4" w:space="0" w:color="000000"/>
              <w:bottom w:val="single" w:sz="3" w:space="0" w:color="000000"/>
              <w:right w:val="single" w:sz="4" w:space="0" w:color="000000"/>
            </w:tcBorders>
            <w:vAlign w:val="center"/>
          </w:tcPr>
          <w:p w14:paraId="03759ED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223.9</w:t>
            </w:r>
          </w:p>
        </w:tc>
      </w:tr>
      <w:tr w:rsidR="00AA4A22" w:rsidRPr="00AA4A22" w14:paraId="765BF106" w14:textId="77777777" w:rsidTr="00EE0BEE">
        <w:trPr>
          <w:trHeight w:val="311"/>
        </w:trPr>
        <w:tc>
          <w:tcPr>
            <w:tcW w:w="1259" w:type="dxa"/>
            <w:tcBorders>
              <w:top w:val="single" w:sz="4" w:space="0" w:color="000000"/>
              <w:left w:val="single" w:sz="3" w:space="0" w:color="000000"/>
              <w:bottom w:val="single" w:sz="3" w:space="0" w:color="000000"/>
              <w:right w:val="single" w:sz="4" w:space="0" w:color="000000"/>
            </w:tcBorders>
            <w:vAlign w:val="center"/>
          </w:tcPr>
          <w:p w14:paraId="0B9377A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Range</w:t>
            </w:r>
          </w:p>
        </w:tc>
        <w:tc>
          <w:tcPr>
            <w:tcW w:w="1492" w:type="dxa"/>
            <w:tcBorders>
              <w:top w:val="single" w:sz="4" w:space="0" w:color="000000"/>
              <w:left w:val="single" w:sz="4" w:space="0" w:color="000000"/>
              <w:bottom w:val="single" w:sz="3" w:space="0" w:color="000000"/>
              <w:right w:val="single" w:sz="4" w:space="0" w:color="000000"/>
            </w:tcBorders>
            <w:vAlign w:val="center"/>
          </w:tcPr>
          <w:p w14:paraId="3362F92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400-440</w:t>
            </w:r>
          </w:p>
        </w:tc>
        <w:tc>
          <w:tcPr>
            <w:tcW w:w="1071" w:type="dxa"/>
            <w:tcBorders>
              <w:top w:val="single" w:sz="4" w:space="0" w:color="000000"/>
              <w:left w:val="single" w:sz="4" w:space="0" w:color="000000"/>
              <w:bottom w:val="single" w:sz="3" w:space="0" w:color="000000"/>
              <w:right w:val="single" w:sz="4" w:space="0" w:color="000000"/>
            </w:tcBorders>
            <w:vAlign w:val="center"/>
          </w:tcPr>
          <w:p w14:paraId="76FCDD5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280-320</w:t>
            </w:r>
          </w:p>
        </w:tc>
        <w:tc>
          <w:tcPr>
            <w:tcW w:w="1492" w:type="dxa"/>
            <w:tcBorders>
              <w:top w:val="single" w:sz="4" w:space="0" w:color="000000"/>
              <w:left w:val="single" w:sz="4" w:space="0" w:color="000000"/>
              <w:bottom w:val="single" w:sz="3" w:space="0" w:color="000000"/>
              <w:right w:val="single" w:sz="4" w:space="0" w:color="000000"/>
            </w:tcBorders>
            <w:vAlign w:val="center"/>
          </w:tcPr>
          <w:p w14:paraId="5DC4A8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360-400</w:t>
            </w:r>
          </w:p>
        </w:tc>
        <w:tc>
          <w:tcPr>
            <w:tcW w:w="1149" w:type="dxa"/>
            <w:tcBorders>
              <w:top w:val="single" w:sz="4" w:space="0" w:color="000000"/>
              <w:left w:val="single" w:sz="4" w:space="0" w:color="000000"/>
              <w:bottom w:val="single" w:sz="3" w:space="0" w:color="000000"/>
              <w:right w:val="single" w:sz="3" w:space="0" w:color="000000"/>
            </w:tcBorders>
            <w:vAlign w:val="center"/>
          </w:tcPr>
          <w:p w14:paraId="5C820CF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240-280</w:t>
            </w:r>
          </w:p>
        </w:tc>
        <w:tc>
          <w:tcPr>
            <w:tcW w:w="1492" w:type="dxa"/>
            <w:tcBorders>
              <w:top w:val="single" w:sz="4" w:space="0" w:color="000000"/>
              <w:left w:val="single" w:sz="3" w:space="0" w:color="000000"/>
              <w:bottom w:val="single" w:sz="3" w:space="0" w:color="000000"/>
              <w:right w:val="single" w:sz="4" w:space="0" w:color="000000"/>
            </w:tcBorders>
            <w:vAlign w:val="center"/>
          </w:tcPr>
          <w:p w14:paraId="0439773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320-360</w:t>
            </w:r>
          </w:p>
        </w:tc>
        <w:tc>
          <w:tcPr>
            <w:tcW w:w="1105" w:type="dxa"/>
            <w:tcBorders>
              <w:top w:val="single" w:sz="4" w:space="0" w:color="000000"/>
              <w:left w:val="single" w:sz="4" w:space="0" w:color="000000"/>
              <w:bottom w:val="single" w:sz="3" w:space="0" w:color="000000"/>
              <w:right w:val="single" w:sz="4" w:space="0" w:color="000000"/>
            </w:tcBorders>
            <w:vAlign w:val="center"/>
          </w:tcPr>
          <w:p w14:paraId="2B9E638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200-240</w:t>
            </w:r>
          </w:p>
        </w:tc>
      </w:tr>
      <w:tr w:rsidR="00AA4A22" w:rsidRPr="00AA4A22" w14:paraId="195C0EE9" w14:textId="77777777" w:rsidTr="00EE0BEE">
        <w:trPr>
          <w:trHeight w:val="314"/>
        </w:trPr>
        <w:tc>
          <w:tcPr>
            <w:tcW w:w="1259" w:type="dxa"/>
            <w:tcBorders>
              <w:top w:val="single" w:sz="3" w:space="0" w:color="000000"/>
              <w:left w:val="single" w:sz="3" w:space="0" w:color="000000"/>
              <w:bottom w:val="single" w:sz="4" w:space="0" w:color="000000"/>
              <w:right w:val="single" w:sz="4" w:space="0" w:color="000000"/>
            </w:tcBorders>
            <w:vAlign w:val="center"/>
          </w:tcPr>
          <w:p w14:paraId="403A76F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Variance</w:t>
            </w:r>
          </w:p>
        </w:tc>
        <w:tc>
          <w:tcPr>
            <w:tcW w:w="1492" w:type="dxa"/>
            <w:tcBorders>
              <w:top w:val="single" w:sz="3" w:space="0" w:color="000000"/>
              <w:left w:val="single" w:sz="4" w:space="0" w:color="000000"/>
              <w:bottom w:val="single" w:sz="4" w:space="0" w:color="000000"/>
              <w:right w:val="single" w:sz="4" w:space="0" w:color="000000"/>
            </w:tcBorders>
            <w:vAlign w:val="center"/>
          </w:tcPr>
          <w:p w14:paraId="1DF3422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90.39</w:t>
            </w:r>
          </w:p>
        </w:tc>
        <w:tc>
          <w:tcPr>
            <w:tcW w:w="1071" w:type="dxa"/>
            <w:tcBorders>
              <w:top w:val="single" w:sz="3" w:space="0" w:color="000000"/>
              <w:left w:val="single" w:sz="4" w:space="0" w:color="000000"/>
              <w:bottom w:val="single" w:sz="4" w:space="0" w:color="000000"/>
              <w:right w:val="single" w:sz="4" w:space="0" w:color="000000"/>
            </w:tcBorders>
            <w:vAlign w:val="center"/>
          </w:tcPr>
          <w:p w14:paraId="183D397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138.66</w:t>
            </w:r>
          </w:p>
        </w:tc>
        <w:tc>
          <w:tcPr>
            <w:tcW w:w="1492" w:type="dxa"/>
            <w:tcBorders>
              <w:top w:val="single" w:sz="3" w:space="0" w:color="000000"/>
              <w:left w:val="single" w:sz="4" w:space="0" w:color="000000"/>
              <w:bottom w:val="single" w:sz="4" w:space="0" w:color="000000"/>
              <w:right w:val="single" w:sz="4" w:space="0" w:color="000000"/>
            </w:tcBorders>
            <w:vAlign w:val="center"/>
          </w:tcPr>
          <w:p w14:paraId="7FD1802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128.05</w:t>
            </w:r>
          </w:p>
        </w:tc>
        <w:tc>
          <w:tcPr>
            <w:tcW w:w="1149" w:type="dxa"/>
            <w:tcBorders>
              <w:top w:val="single" w:sz="3" w:space="0" w:color="000000"/>
              <w:left w:val="single" w:sz="4" w:space="0" w:color="000000"/>
              <w:bottom w:val="single" w:sz="4" w:space="0" w:color="000000"/>
              <w:right w:val="single" w:sz="3" w:space="0" w:color="000000"/>
            </w:tcBorders>
            <w:vAlign w:val="center"/>
          </w:tcPr>
          <w:p w14:paraId="232DA19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118.09</w:t>
            </w:r>
          </w:p>
        </w:tc>
        <w:tc>
          <w:tcPr>
            <w:tcW w:w="1492" w:type="dxa"/>
            <w:tcBorders>
              <w:top w:val="single" w:sz="3" w:space="0" w:color="000000"/>
              <w:left w:val="single" w:sz="3" w:space="0" w:color="000000"/>
              <w:bottom w:val="single" w:sz="4" w:space="0" w:color="000000"/>
              <w:right w:val="single" w:sz="4" w:space="0" w:color="000000"/>
            </w:tcBorders>
            <w:vAlign w:val="center"/>
          </w:tcPr>
          <w:p w14:paraId="289E219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150.90</w:t>
            </w:r>
          </w:p>
        </w:tc>
        <w:tc>
          <w:tcPr>
            <w:tcW w:w="1105" w:type="dxa"/>
            <w:tcBorders>
              <w:top w:val="single" w:sz="3" w:space="0" w:color="000000"/>
              <w:left w:val="single" w:sz="4" w:space="0" w:color="000000"/>
              <w:bottom w:val="single" w:sz="4" w:space="0" w:color="000000"/>
              <w:right w:val="single" w:sz="4" w:space="0" w:color="000000"/>
            </w:tcBorders>
            <w:vAlign w:val="center"/>
          </w:tcPr>
          <w:p w14:paraId="557C372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107.54</w:t>
            </w:r>
          </w:p>
        </w:tc>
      </w:tr>
      <w:tr w:rsidR="00AA4A22" w:rsidRPr="00AA4A22" w14:paraId="33FC8D28"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7BB4C846" w14:textId="77777777" w:rsidR="0044318E" w:rsidRPr="00AA4A22" w:rsidRDefault="0044318E" w:rsidP="00EE0BEE">
            <w:pPr>
              <w:spacing w:after="0"/>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6174182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44.74**</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3DCF20E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42.14**</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4E2D1E9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39.79**</w:t>
            </w:r>
          </w:p>
        </w:tc>
      </w:tr>
      <w:tr w:rsidR="00AA4A22" w:rsidRPr="00AA4A22" w14:paraId="032DA2AA"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7AC017BC" w14:textId="77777777" w:rsidR="0044318E" w:rsidRPr="00AA4A22" w:rsidRDefault="0044318E" w:rsidP="00EE0BEE">
            <w:pPr>
              <w:spacing w:after="0"/>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365B903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71B77C3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27264B9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0A0BDA6E"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08C614F3" w14:textId="77777777" w:rsidR="0044318E" w:rsidRPr="00AA4A22" w:rsidRDefault="0044318E" w:rsidP="00EE0BEE">
            <w:pPr>
              <w:spacing w:after="0"/>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321E62C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52C14FF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5D25B13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43CECB39"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03C76CD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P value</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14A6C3B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5CAE9D3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31D1419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54EE1A63" w14:textId="77777777" w:rsidTr="00EE0BEE">
        <w:trPr>
          <w:trHeight w:val="312"/>
        </w:trPr>
        <w:tc>
          <w:tcPr>
            <w:tcW w:w="1259" w:type="dxa"/>
            <w:tcBorders>
              <w:top w:val="single" w:sz="4" w:space="0" w:color="000000"/>
              <w:left w:val="single" w:sz="3" w:space="0" w:color="000000"/>
              <w:bottom w:val="single" w:sz="4" w:space="0" w:color="000000"/>
              <w:right w:val="single" w:sz="4" w:space="0" w:color="000000"/>
            </w:tcBorders>
            <w:vAlign w:val="center"/>
          </w:tcPr>
          <w:p w14:paraId="6F57237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Result</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7CF8A3A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641" w:type="dxa"/>
            <w:gridSpan w:val="2"/>
            <w:tcBorders>
              <w:top w:val="single" w:sz="4" w:space="0" w:color="000000"/>
              <w:left w:val="single" w:sz="4" w:space="0" w:color="000000"/>
              <w:bottom w:val="single" w:sz="4" w:space="0" w:color="000000"/>
              <w:right w:val="single" w:sz="3" w:space="0" w:color="000000"/>
            </w:tcBorders>
            <w:vAlign w:val="center"/>
          </w:tcPr>
          <w:p w14:paraId="69AB67F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598" w:type="dxa"/>
            <w:gridSpan w:val="2"/>
            <w:tcBorders>
              <w:top w:val="single" w:sz="4" w:space="0" w:color="000000"/>
              <w:left w:val="single" w:sz="3" w:space="0" w:color="000000"/>
              <w:bottom w:val="single" w:sz="4" w:space="0" w:color="000000"/>
              <w:right w:val="single" w:sz="4" w:space="0" w:color="000000"/>
            </w:tcBorders>
            <w:vAlign w:val="center"/>
          </w:tcPr>
          <w:p w14:paraId="6FC0DD1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r>
    </w:tbl>
    <w:p w14:paraId="4624DBC0" w14:textId="77777777" w:rsidR="0044318E" w:rsidRPr="006F0987" w:rsidRDefault="0044318E" w:rsidP="0044318E">
      <w:pPr>
        <w:rPr>
          <w:color w:val="000000" w:themeColor="text1"/>
          <w:sz w:val="2"/>
          <w:szCs w:val="2"/>
        </w:rPr>
      </w:pPr>
    </w:p>
    <w:p w14:paraId="62152D0F" w14:textId="77777777" w:rsidR="006F0987" w:rsidRDefault="006F0987" w:rsidP="006F0987">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regarding the influence of sugarcane trash management practices on acid phosphatase activities after harvest of sugarcane ratoon are reported in Table.3. This study showed that among the three sugar recovery zones, the acid phosphatase activities in the high</w:t>
      </w:r>
      <w:r w:rsidRPr="00AA4A22">
        <w:rPr>
          <w:rFonts w:ascii="Arial" w:hAnsi="Arial" w:cs="Arial"/>
          <w:b/>
          <w:bCs/>
          <w:color w:val="000000" w:themeColor="text1"/>
          <w:sz w:val="20"/>
        </w:rPr>
        <w:t xml:space="preserve"> </w:t>
      </w:r>
      <w:r w:rsidRPr="00AA4A22">
        <w:rPr>
          <w:rFonts w:ascii="Arial" w:hAnsi="Arial" w:cs="Arial"/>
          <w:color w:val="000000" w:themeColor="text1"/>
          <w:sz w:val="20"/>
        </w:rPr>
        <w:t>recovery zone ranged from (400-440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in trash management practices than medium recovery zone (360-400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(320-360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acid phosphatase activities in the high recovery zone ranged from (280-320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(240-280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(200-240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Chang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(2007) also observed similar findings in respect of acid phosphatase activities in sugarcane trash management practices.</w:t>
      </w:r>
    </w:p>
    <w:p w14:paraId="1E38619A" w14:textId="3EAFF8D3" w:rsidR="0044318E" w:rsidRDefault="00DF1E1C" w:rsidP="001725D1">
      <w:pPr>
        <w:spacing w:after="0"/>
        <w:ind w:firstLine="851"/>
        <w:jc w:val="both"/>
        <w:rPr>
          <w:rFonts w:ascii="Arial" w:hAnsi="Arial" w:cs="Arial"/>
          <w:color w:val="000000" w:themeColor="text1"/>
          <w:sz w:val="20"/>
        </w:rPr>
      </w:pPr>
      <w:r>
        <w:rPr>
          <w:rFonts w:ascii="Arial" w:hAnsi="Arial" w:cs="Arial"/>
          <w:color w:val="000000" w:themeColor="text1"/>
          <w:sz w:val="20"/>
        </w:rPr>
        <w:t>Further</w:t>
      </w:r>
      <w:r w:rsidR="0044318E" w:rsidRPr="00AA4A22">
        <w:rPr>
          <w:rFonts w:ascii="Arial" w:hAnsi="Arial" w:cs="Arial"/>
          <w:color w:val="000000" w:themeColor="text1"/>
          <w:sz w:val="20"/>
        </w:rPr>
        <w:t xml:space="preserve">, it was observed that the acid phosphatase activities in all sugar recovery zones are significantly higher in trash management practices than trash burning practices. High recovery zone has higher acid phosphatase activity due to environmental factors </w:t>
      </w:r>
      <w:r w:rsidR="0044318E" w:rsidRPr="00AA4A22">
        <w:rPr>
          <w:rFonts w:ascii="Arial" w:hAnsi="Arial" w:cs="Arial"/>
          <w:i/>
          <w:iCs/>
          <w:color w:val="000000" w:themeColor="text1"/>
          <w:sz w:val="20"/>
        </w:rPr>
        <w:t>viz.,</w:t>
      </w:r>
      <w:r w:rsidR="0044318E" w:rsidRPr="00AA4A22">
        <w:rPr>
          <w:rFonts w:ascii="Arial" w:hAnsi="Arial" w:cs="Arial"/>
          <w:color w:val="000000" w:themeColor="text1"/>
          <w:sz w:val="20"/>
        </w:rPr>
        <w:t xml:space="preserve"> temperature, moisture content and acid phosphatase activity of soils increased with temperature from 20</w:t>
      </w:r>
      <w:r w:rsidR="0044318E" w:rsidRPr="00AA4A22">
        <w:rPr>
          <w:rFonts w:ascii="Arial" w:hAnsi="Arial" w:cs="Arial"/>
          <w:color w:val="000000" w:themeColor="text1"/>
          <w:sz w:val="20"/>
          <w:vertAlign w:val="superscript"/>
        </w:rPr>
        <w:t>o</w:t>
      </w:r>
      <w:r w:rsidR="0044318E" w:rsidRPr="00AA4A22">
        <w:rPr>
          <w:rFonts w:ascii="Arial" w:hAnsi="Arial" w:cs="Arial"/>
          <w:color w:val="000000" w:themeColor="text1"/>
          <w:sz w:val="20"/>
        </w:rPr>
        <w:t>C to 70</w:t>
      </w:r>
      <w:r w:rsidR="0044318E" w:rsidRPr="00AA4A22">
        <w:rPr>
          <w:rFonts w:ascii="Arial" w:hAnsi="Arial" w:cs="Arial"/>
          <w:color w:val="000000" w:themeColor="text1"/>
          <w:sz w:val="20"/>
          <w:vertAlign w:val="superscript"/>
        </w:rPr>
        <w:t>o</w:t>
      </w:r>
      <w:r w:rsidR="0044318E" w:rsidRPr="00AA4A22">
        <w:rPr>
          <w:rFonts w:ascii="Arial" w:hAnsi="Arial" w:cs="Arial"/>
          <w:color w:val="000000" w:themeColor="text1"/>
          <w:sz w:val="20"/>
        </w:rPr>
        <w:t>C and decreased constantly with further increase in temperature to 90</w:t>
      </w:r>
      <w:r w:rsidR="0044318E" w:rsidRPr="00AA4A22">
        <w:rPr>
          <w:rFonts w:ascii="Arial" w:hAnsi="Arial" w:cs="Arial"/>
          <w:color w:val="000000" w:themeColor="text1"/>
          <w:sz w:val="20"/>
          <w:vertAlign w:val="superscript"/>
        </w:rPr>
        <w:t>o</w:t>
      </w:r>
      <w:r w:rsidR="0044318E" w:rsidRPr="00AA4A22">
        <w:rPr>
          <w:rFonts w:ascii="Arial" w:hAnsi="Arial" w:cs="Arial"/>
          <w:color w:val="000000" w:themeColor="text1"/>
          <w:sz w:val="20"/>
        </w:rPr>
        <w:t xml:space="preserve">C (Rao, 1989). On the other hand, the micro-climate aspect has a positive effect on the biological properties, which is due to the positive effect of the available moisture, which increases the microbial activity of the soil and leads to an increase in the production of phosphatase in the soil. Juma and Tabatabai (1978) </w:t>
      </w:r>
      <w:r>
        <w:rPr>
          <w:rFonts w:ascii="Arial" w:hAnsi="Arial" w:cs="Arial"/>
          <w:color w:val="000000" w:themeColor="text1"/>
          <w:sz w:val="20"/>
        </w:rPr>
        <w:t xml:space="preserve">also </w:t>
      </w:r>
      <w:r w:rsidR="0044318E" w:rsidRPr="00AA4A22">
        <w:rPr>
          <w:rFonts w:ascii="Arial" w:hAnsi="Arial" w:cs="Arial"/>
          <w:color w:val="000000" w:themeColor="text1"/>
          <w:sz w:val="20"/>
        </w:rPr>
        <w:t xml:space="preserve">showed that phosphatase activity was related to soil organic matter, organic P, inorganic P and N availability in soil. </w:t>
      </w:r>
    </w:p>
    <w:p w14:paraId="60C1837A" w14:textId="77777777" w:rsidR="006F0987" w:rsidRDefault="006F0987" w:rsidP="001725D1">
      <w:pPr>
        <w:spacing w:after="0"/>
        <w:ind w:firstLine="851"/>
        <w:jc w:val="both"/>
        <w:rPr>
          <w:rFonts w:ascii="Arial" w:hAnsi="Arial" w:cs="Arial"/>
          <w:color w:val="000000" w:themeColor="text1"/>
          <w:sz w:val="20"/>
        </w:rPr>
      </w:pPr>
    </w:p>
    <w:p w14:paraId="287F5B46" w14:textId="77777777" w:rsidR="006F0987" w:rsidRDefault="006F0987" w:rsidP="001725D1">
      <w:pPr>
        <w:spacing w:after="0"/>
        <w:ind w:firstLine="851"/>
        <w:jc w:val="both"/>
        <w:rPr>
          <w:rFonts w:ascii="Arial" w:hAnsi="Arial" w:cs="Arial"/>
          <w:color w:val="000000" w:themeColor="text1"/>
          <w:sz w:val="20"/>
        </w:rPr>
      </w:pPr>
    </w:p>
    <w:p w14:paraId="1D845AF4" w14:textId="77777777" w:rsidR="006F0987" w:rsidRDefault="006F0987" w:rsidP="001725D1">
      <w:pPr>
        <w:spacing w:after="0"/>
        <w:ind w:firstLine="851"/>
        <w:jc w:val="both"/>
        <w:rPr>
          <w:rFonts w:ascii="Arial" w:hAnsi="Arial" w:cs="Arial"/>
          <w:color w:val="000000" w:themeColor="text1"/>
          <w:sz w:val="20"/>
        </w:rPr>
      </w:pPr>
    </w:p>
    <w:p w14:paraId="55CD6A2C" w14:textId="77777777" w:rsidR="006F0987" w:rsidRDefault="006F0987" w:rsidP="001725D1">
      <w:pPr>
        <w:spacing w:after="0"/>
        <w:ind w:firstLine="851"/>
        <w:jc w:val="both"/>
        <w:rPr>
          <w:rFonts w:ascii="Arial" w:hAnsi="Arial" w:cs="Arial"/>
          <w:color w:val="000000" w:themeColor="text1"/>
          <w:sz w:val="20"/>
        </w:rPr>
      </w:pPr>
    </w:p>
    <w:p w14:paraId="717B2114" w14:textId="77777777" w:rsidR="006F0987" w:rsidRDefault="006F0987" w:rsidP="001725D1">
      <w:pPr>
        <w:spacing w:after="0"/>
        <w:ind w:firstLine="851"/>
        <w:jc w:val="both"/>
        <w:rPr>
          <w:rFonts w:ascii="Arial" w:hAnsi="Arial" w:cs="Arial"/>
          <w:color w:val="000000" w:themeColor="text1"/>
          <w:sz w:val="20"/>
        </w:rPr>
      </w:pPr>
    </w:p>
    <w:p w14:paraId="6D03B9AB" w14:textId="77777777" w:rsidR="006F0987" w:rsidRDefault="006F0987" w:rsidP="001725D1">
      <w:pPr>
        <w:spacing w:after="0"/>
        <w:ind w:firstLine="851"/>
        <w:jc w:val="both"/>
        <w:rPr>
          <w:rFonts w:ascii="Arial" w:hAnsi="Arial" w:cs="Arial"/>
          <w:color w:val="000000" w:themeColor="text1"/>
          <w:sz w:val="20"/>
        </w:rPr>
      </w:pPr>
    </w:p>
    <w:p w14:paraId="12880125" w14:textId="77777777" w:rsidR="006F0987" w:rsidRDefault="006F0987" w:rsidP="001725D1">
      <w:pPr>
        <w:spacing w:after="0"/>
        <w:ind w:firstLine="851"/>
        <w:jc w:val="both"/>
        <w:rPr>
          <w:rFonts w:ascii="Arial" w:hAnsi="Arial" w:cs="Arial"/>
          <w:color w:val="000000" w:themeColor="text1"/>
          <w:sz w:val="20"/>
        </w:rPr>
      </w:pPr>
    </w:p>
    <w:p w14:paraId="5DF150DB" w14:textId="77777777" w:rsidR="006F0987" w:rsidRDefault="006F0987" w:rsidP="001725D1">
      <w:pPr>
        <w:spacing w:after="0"/>
        <w:ind w:firstLine="851"/>
        <w:jc w:val="both"/>
        <w:rPr>
          <w:rFonts w:ascii="Arial" w:hAnsi="Arial" w:cs="Arial"/>
          <w:color w:val="000000" w:themeColor="text1"/>
          <w:sz w:val="20"/>
        </w:rPr>
      </w:pPr>
    </w:p>
    <w:p w14:paraId="5F23CCA0" w14:textId="77777777" w:rsidR="006F0987" w:rsidRDefault="006F0987" w:rsidP="001725D1">
      <w:pPr>
        <w:spacing w:after="0"/>
        <w:ind w:firstLine="851"/>
        <w:jc w:val="both"/>
        <w:rPr>
          <w:rFonts w:ascii="Arial" w:hAnsi="Arial" w:cs="Arial"/>
          <w:color w:val="000000" w:themeColor="text1"/>
          <w:sz w:val="20"/>
        </w:rPr>
      </w:pPr>
    </w:p>
    <w:p w14:paraId="48501237" w14:textId="77777777" w:rsidR="006F0987" w:rsidRPr="00AA4A22" w:rsidRDefault="006F0987" w:rsidP="001725D1">
      <w:pPr>
        <w:spacing w:after="0"/>
        <w:ind w:firstLine="851"/>
        <w:jc w:val="both"/>
        <w:rPr>
          <w:rFonts w:ascii="Arial" w:hAnsi="Arial" w:cs="Arial"/>
          <w:color w:val="000000" w:themeColor="text1"/>
          <w:sz w:val="20"/>
        </w:rPr>
      </w:pPr>
    </w:p>
    <w:p w14:paraId="27FFBB97" w14:textId="77777777" w:rsidR="00DD4B7A" w:rsidRDefault="00DD4B7A" w:rsidP="001725D1">
      <w:pPr>
        <w:spacing w:after="0"/>
        <w:ind w:firstLine="851"/>
        <w:jc w:val="both"/>
        <w:rPr>
          <w:rFonts w:ascii="Arial" w:hAnsi="Arial" w:cs="Arial"/>
          <w:color w:val="000000" w:themeColor="text1"/>
          <w:sz w:val="20"/>
        </w:rPr>
      </w:pPr>
    </w:p>
    <w:p w14:paraId="70AB5D70" w14:textId="278FBD5C" w:rsidR="00DD4B7A" w:rsidRPr="00DD4B7A" w:rsidRDefault="00DD4B7A" w:rsidP="00DD4B7A">
      <w:pPr>
        <w:spacing w:after="0"/>
        <w:jc w:val="both"/>
        <w:rPr>
          <w:rFonts w:ascii="Arial" w:hAnsi="Arial" w:cs="Arial"/>
          <w:b/>
          <w:bCs/>
          <w:color w:val="000000" w:themeColor="text1"/>
          <w:sz w:val="20"/>
        </w:rPr>
      </w:pPr>
      <w:r w:rsidRPr="00DD4B7A">
        <w:rPr>
          <w:rFonts w:ascii="Arial" w:hAnsi="Arial" w:cs="Arial"/>
          <w:b/>
          <w:bCs/>
          <w:color w:val="000000" w:themeColor="text1"/>
          <w:sz w:val="20"/>
        </w:rPr>
        <w:lastRenderedPageBreak/>
        <w:t>Table 4 Influence of sugarcane trash management practices on alkaline phosphatase activities after harvest of ratoon sugarcane</w:t>
      </w:r>
    </w:p>
    <w:tbl>
      <w:tblPr>
        <w:tblStyle w:val="TableGrid"/>
        <w:tblpPr w:leftFromText="180" w:rightFromText="180" w:vertAnchor="text" w:horzAnchor="margin" w:tblpY="361"/>
        <w:tblW w:w="9073" w:type="dxa"/>
        <w:tblInd w:w="0" w:type="dxa"/>
        <w:tblLayout w:type="fixed"/>
        <w:tblCellMar>
          <w:top w:w="50" w:type="dxa"/>
          <w:left w:w="95" w:type="dxa"/>
          <w:right w:w="45" w:type="dxa"/>
        </w:tblCellMar>
        <w:tblLook w:val="04A0" w:firstRow="1" w:lastRow="0" w:firstColumn="1" w:lastColumn="0" w:noHBand="0" w:noVBand="1"/>
      </w:tblPr>
      <w:tblGrid>
        <w:gridCol w:w="1354"/>
        <w:gridCol w:w="1493"/>
        <w:gridCol w:w="1091"/>
        <w:gridCol w:w="1495"/>
        <w:gridCol w:w="1091"/>
        <w:gridCol w:w="1496"/>
        <w:gridCol w:w="1053"/>
      </w:tblGrid>
      <w:tr w:rsidR="00AA4A22" w:rsidRPr="00AA4A22" w14:paraId="3970D648" w14:textId="77777777" w:rsidTr="0044318E">
        <w:trPr>
          <w:trHeight w:val="320"/>
        </w:trPr>
        <w:tc>
          <w:tcPr>
            <w:tcW w:w="9073" w:type="dxa"/>
            <w:gridSpan w:val="7"/>
            <w:tcBorders>
              <w:top w:val="single" w:sz="4" w:space="0" w:color="000000"/>
              <w:left w:val="single" w:sz="3" w:space="0" w:color="000000"/>
              <w:bottom w:val="single" w:sz="4" w:space="0" w:color="000000"/>
              <w:right w:val="single" w:sz="4" w:space="0" w:color="000000"/>
            </w:tcBorders>
            <w:vAlign w:val="center"/>
          </w:tcPr>
          <w:p w14:paraId="3621601C" w14:textId="77777777" w:rsidR="0044318E" w:rsidRPr="00AA4A22" w:rsidRDefault="0044318E" w:rsidP="0044318E">
            <w:pPr>
              <w:spacing w:after="0" w:line="259" w:lineRule="auto"/>
              <w:jc w:val="center"/>
              <w:rPr>
                <w:rFonts w:ascii="Arial" w:hAnsi="Arial" w:cs="Arial"/>
                <w:b/>
                <w:bCs/>
                <w:color w:val="000000" w:themeColor="text1"/>
                <w:sz w:val="20"/>
              </w:rPr>
            </w:pPr>
            <w:bookmarkStart w:id="1" w:name="_Hlk207617282"/>
            <w:r w:rsidRPr="00AA4A22">
              <w:rPr>
                <w:rFonts w:ascii="Arial" w:hAnsi="Arial" w:cs="Arial"/>
                <w:b/>
                <w:bCs/>
                <w:color w:val="000000" w:themeColor="text1"/>
                <w:sz w:val="20"/>
              </w:rPr>
              <w:t>Alkaline phosphatase activities (µg PNP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2 hr</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216ADCEB"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38D96644" w14:textId="77777777" w:rsidR="0044318E" w:rsidRPr="00AA4A22" w:rsidRDefault="0044318E" w:rsidP="0044318E">
            <w:pPr>
              <w:spacing w:after="0" w:line="259" w:lineRule="auto"/>
              <w:jc w:val="center"/>
              <w:rPr>
                <w:rFonts w:ascii="Arial" w:hAnsi="Arial" w:cs="Arial"/>
                <w:color w:val="000000" w:themeColor="text1"/>
                <w:sz w:val="20"/>
              </w:rPr>
            </w:pP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07351DF1"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1BCA54DC"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3C263924"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28B1290C" w14:textId="77777777" w:rsidTr="0044318E">
        <w:trPr>
          <w:trHeight w:val="632"/>
        </w:trPr>
        <w:tc>
          <w:tcPr>
            <w:tcW w:w="1354" w:type="dxa"/>
            <w:tcBorders>
              <w:top w:val="single" w:sz="4" w:space="0" w:color="000000"/>
              <w:left w:val="single" w:sz="3" w:space="0" w:color="000000"/>
              <w:bottom w:val="single" w:sz="4" w:space="0" w:color="000000"/>
              <w:right w:val="single" w:sz="4" w:space="0" w:color="000000"/>
            </w:tcBorders>
            <w:vAlign w:val="center"/>
          </w:tcPr>
          <w:p w14:paraId="1BA9D7C0" w14:textId="77777777" w:rsidR="0044318E" w:rsidRPr="00AA4A22" w:rsidRDefault="0044318E" w:rsidP="0044318E">
            <w:pPr>
              <w:spacing w:after="0" w:line="259" w:lineRule="auto"/>
              <w:jc w:val="center"/>
              <w:rPr>
                <w:rFonts w:ascii="Arial" w:hAnsi="Arial" w:cs="Arial"/>
                <w:color w:val="000000" w:themeColor="text1"/>
                <w:sz w:val="20"/>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5DC692F3"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91" w:type="dxa"/>
            <w:tcBorders>
              <w:top w:val="single" w:sz="4" w:space="0" w:color="000000"/>
              <w:left w:val="single" w:sz="4" w:space="0" w:color="000000"/>
              <w:bottom w:val="single" w:sz="4" w:space="0" w:color="000000"/>
              <w:right w:val="single" w:sz="4" w:space="0" w:color="000000"/>
            </w:tcBorders>
            <w:vAlign w:val="center"/>
          </w:tcPr>
          <w:p w14:paraId="260068F1"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5" w:type="dxa"/>
            <w:tcBorders>
              <w:top w:val="single" w:sz="4" w:space="0" w:color="000000"/>
              <w:left w:val="single" w:sz="4" w:space="0" w:color="000000"/>
              <w:bottom w:val="single" w:sz="4" w:space="0" w:color="000000"/>
              <w:right w:val="single" w:sz="4" w:space="0" w:color="000000"/>
            </w:tcBorders>
            <w:vAlign w:val="center"/>
          </w:tcPr>
          <w:p w14:paraId="78C6B845"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91" w:type="dxa"/>
            <w:tcBorders>
              <w:top w:val="single" w:sz="4" w:space="0" w:color="000000"/>
              <w:left w:val="single" w:sz="4" w:space="0" w:color="000000"/>
              <w:bottom w:val="single" w:sz="4" w:space="0" w:color="000000"/>
              <w:right w:val="single" w:sz="3" w:space="0" w:color="000000"/>
            </w:tcBorders>
            <w:vAlign w:val="center"/>
          </w:tcPr>
          <w:p w14:paraId="7A981D48"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96" w:type="dxa"/>
            <w:tcBorders>
              <w:top w:val="single" w:sz="4" w:space="0" w:color="000000"/>
              <w:left w:val="single" w:sz="3" w:space="0" w:color="000000"/>
              <w:bottom w:val="single" w:sz="4" w:space="0" w:color="000000"/>
              <w:right w:val="single" w:sz="4" w:space="0" w:color="000000"/>
            </w:tcBorders>
            <w:vAlign w:val="center"/>
          </w:tcPr>
          <w:p w14:paraId="38A85ADA" w14:textId="77777777" w:rsidR="0044318E" w:rsidRPr="00AA4A22" w:rsidRDefault="0044318E" w:rsidP="0044318E">
            <w:pPr>
              <w:spacing w:after="0" w:line="259" w:lineRule="auto"/>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53" w:type="dxa"/>
            <w:tcBorders>
              <w:top w:val="single" w:sz="4" w:space="0" w:color="000000"/>
              <w:left w:val="single" w:sz="4" w:space="0" w:color="000000"/>
              <w:bottom w:val="single" w:sz="4" w:space="0" w:color="000000"/>
              <w:right w:val="single" w:sz="4" w:space="0" w:color="000000"/>
            </w:tcBorders>
            <w:vAlign w:val="center"/>
          </w:tcPr>
          <w:p w14:paraId="2DB2353D" w14:textId="77777777" w:rsidR="0044318E" w:rsidRPr="00AA4A22" w:rsidRDefault="0044318E" w:rsidP="0044318E">
            <w:pPr>
              <w:spacing w:after="0" w:line="259" w:lineRule="auto"/>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7A860BF5" w14:textId="77777777" w:rsidTr="0044318E">
        <w:trPr>
          <w:trHeight w:val="318"/>
        </w:trPr>
        <w:tc>
          <w:tcPr>
            <w:tcW w:w="1354" w:type="dxa"/>
            <w:tcBorders>
              <w:top w:val="single" w:sz="4" w:space="0" w:color="000000"/>
              <w:left w:val="single" w:sz="3" w:space="0" w:color="000000"/>
              <w:bottom w:val="single" w:sz="3" w:space="0" w:color="000000"/>
              <w:right w:val="single" w:sz="4" w:space="0" w:color="000000"/>
            </w:tcBorders>
            <w:vAlign w:val="center"/>
          </w:tcPr>
          <w:p w14:paraId="2F807A91"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Mean</w:t>
            </w:r>
          </w:p>
        </w:tc>
        <w:tc>
          <w:tcPr>
            <w:tcW w:w="1493" w:type="dxa"/>
            <w:tcBorders>
              <w:top w:val="single" w:sz="4" w:space="0" w:color="000000"/>
              <w:left w:val="single" w:sz="4" w:space="0" w:color="000000"/>
              <w:bottom w:val="single" w:sz="3" w:space="0" w:color="000000"/>
              <w:right w:val="single" w:sz="4" w:space="0" w:color="000000"/>
            </w:tcBorders>
            <w:vAlign w:val="center"/>
          </w:tcPr>
          <w:p w14:paraId="6EEAD1E8"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733.2</w:t>
            </w:r>
          </w:p>
        </w:tc>
        <w:tc>
          <w:tcPr>
            <w:tcW w:w="1091" w:type="dxa"/>
            <w:tcBorders>
              <w:top w:val="single" w:sz="4" w:space="0" w:color="000000"/>
              <w:left w:val="single" w:sz="4" w:space="0" w:color="000000"/>
              <w:bottom w:val="single" w:sz="3" w:space="0" w:color="000000"/>
              <w:right w:val="single" w:sz="4" w:space="0" w:color="000000"/>
            </w:tcBorders>
            <w:vAlign w:val="center"/>
          </w:tcPr>
          <w:p w14:paraId="4183AB31"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554</w:t>
            </w:r>
          </w:p>
        </w:tc>
        <w:tc>
          <w:tcPr>
            <w:tcW w:w="1495" w:type="dxa"/>
            <w:tcBorders>
              <w:top w:val="single" w:sz="4" w:space="0" w:color="000000"/>
              <w:left w:val="single" w:sz="4" w:space="0" w:color="000000"/>
              <w:bottom w:val="single" w:sz="3" w:space="0" w:color="000000"/>
              <w:right w:val="single" w:sz="4" w:space="0" w:color="000000"/>
            </w:tcBorders>
            <w:vAlign w:val="center"/>
          </w:tcPr>
          <w:p w14:paraId="734B3EA7"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665.7</w:t>
            </w:r>
          </w:p>
        </w:tc>
        <w:tc>
          <w:tcPr>
            <w:tcW w:w="1091" w:type="dxa"/>
            <w:tcBorders>
              <w:top w:val="single" w:sz="4" w:space="0" w:color="000000"/>
              <w:left w:val="single" w:sz="4" w:space="0" w:color="000000"/>
              <w:bottom w:val="single" w:sz="3" w:space="0" w:color="000000"/>
              <w:right w:val="single" w:sz="3" w:space="0" w:color="000000"/>
            </w:tcBorders>
            <w:vAlign w:val="center"/>
          </w:tcPr>
          <w:p w14:paraId="28AF944A"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488.53</w:t>
            </w:r>
          </w:p>
        </w:tc>
        <w:tc>
          <w:tcPr>
            <w:tcW w:w="1496" w:type="dxa"/>
            <w:tcBorders>
              <w:top w:val="single" w:sz="4" w:space="0" w:color="000000"/>
              <w:left w:val="single" w:sz="3" w:space="0" w:color="000000"/>
              <w:bottom w:val="single" w:sz="3" w:space="0" w:color="000000"/>
              <w:right w:val="single" w:sz="4" w:space="0" w:color="000000"/>
            </w:tcBorders>
            <w:vAlign w:val="center"/>
          </w:tcPr>
          <w:p w14:paraId="72D8AC07"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610.2</w:t>
            </w:r>
          </w:p>
        </w:tc>
        <w:tc>
          <w:tcPr>
            <w:tcW w:w="1053" w:type="dxa"/>
            <w:tcBorders>
              <w:top w:val="single" w:sz="4" w:space="0" w:color="000000"/>
              <w:left w:val="single" w:sz="4" w:space="0" w:color="000000"/>
              <w:bottom w:val="single" w:sz="3" w:space="0" w:color="000000"/>
              <w:right w:val="single" w:sz="4" w:space="0" w:color="000000"/>
            </w:tcBorders>
            <w:vAlign w:val="center"/>
          </w:tcPr>
          <w:p w14:paraId="7D4C7DE1"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434.93</w:t>
            </w:r>
          </w:p>
        </w:tc>
      </w:tr>
      <w:tr w:rsidR="00AA4A22" w:rsidRPr="00AA4A22" w14:paraId="6B82E9D3" w14:textId="77777777" w:rsidTr="0044318E">
        <w:trPr>
          <w:trHeight w:val="318"/>
        </w:trPr>
        <w:tc>
          <w:tcPr>
            <w:tcW w:w="1354" w:type="dxa"/>
            <w:tcBorders>
              <w:top w:val="single" w:sz="4" w:space="0" w:color="000000"/>
              <w:left w:val="single" w:sz="3" w:space="0" w:color="000000"/>
              <w:bottom w:val="single" w:sz="3" w:space="0" w:color="000000"/>
              <w:right w:val="single" w:sz="4" w:space="0" w:color="000000"/>
            </w:tcBorders>
            <w:vAlign w:val="center"/>
          </w:tcPr>
          <w:p w14:paraId="0385B383"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Range</w:t>
            </w:r>
          </w:p>
        </w:tc>
        <w:tc>
          <w:tcPr>
            <w:tcW w:w="1493" w:type="dxa"/>
            <w:tcBorders>
              <w:top w:val="single" w:sz="4" w:space="0" w:color="000000"/>
              <w:left w:val="single" w:sz="4" w:space="0" w:color="000000"/>
              <w:bottom w:val="single" w:sz="3" w:space="0" w:color="000000"/>
              <w:right w:val="single" w:sz="4" w:space="0" w:color="000000"/>
            </w:tcBorders>
            <w:vAlign w:val="center"/>
          </w:tcPr>
          <w:p w14:paraId="3B4465A8"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700-760</w:t>
            </w:r>
          </w:p>
        </w:tc>
        <w:tc>
          <w:tcPr>
            <w:tcW w:w="1091" w:type="dxa"/>
            <w:tcBorders>
              <w:top w:val="single" w:sz="4" w:space="0" w:color="000000"/>
              <w:left w:val="single" w:sz="4" w:space="0" w:color="000000"/>
              <w:bottom w:val="single" w:sz="3" w:space="0" w:color="000000"/>
              <w:right w:val="single" w:sz="4" w:space="0" w:color="000000"/>
            </w:tcBorders>
            <w:vAlign w:val="center"/>
          </w:tcPr>
          <w:p w14:paraId="49FCB94B"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520-580</w:t>
            </w:r>
          </w:p>
        </w:tc>
        <w:tc>
          <w:tcPr>
            <w:tcW w:w="1495" w:type="dxa"/>
            <w:tcBorders>
              <w:top w:val="single" w:sz="4" w:space="0" w:color="000000"/>
              <w:left w:val="single" w:sz="4" w:space="0" w:color="000000"/>
              <w:bottom w:val="single" w:sz="3" w:space="0" w:color="000000"/>
              <w:right w:val="single" w:sz="4" w:space="0" w:color="000000"/>
            </w:tcBorders>
            <w:vAlign w:val="center"/>
          </w:tcPr>
          <w:p w14:paraId="7F5D5539"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640-700</w:t>
            </w:r>
          </w:p>
        </w:tc>
        <w:tc>
          <w:tcPr>
            <w:tcW w:w="1091" w:type="dxa"/>
            <w:tcBorders>
              <w:top w:val="single" w:sz="4" w:space="0" w:color="000000"/>
              <w:left w:val="single" w:sz="4" w:space="0" w:color="000000"/>
              <w:bottom w:val="single" w:sz="3" w:space="0" w:color="000000"/>
              <w:right w:val="single" w:sz="3" w:space="0" w:color="000000"/>
            </w:tcBorders>
            <w:vAlign w:val="center"/>
          </w:tcPr>
          <w:p w14:paraId="3A9B69E3"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460-520</w:t>
            </w:r>
          </w:p>
        </w:tc>
        <w:tc>
          <w:tcPr>
            <w:tcW w:w="1496" w:type="dxa"/>
            <w:tcBorders>
              <w:top w:val="single" w:sz="4" w:space="0" w:color="000000"/>
              <w:left w:val="single" w:sz="3" w:space="0" w:color="000000"/>
              <w:bottom w:val="single" w:sz="3" w:space="0" w:color="000000"/>
              <w:right w:val="single" w:sz="4" w:space="0" w:color="000000"/>
            </w:tcBorders>
            <w:vAlign w:val="center"/>
          </w:tcPr>
          <w:p w14:paraId="7739FECE"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580-640</w:t>
            </w:r>
          </w:p>
        </w:tc>
        <w:tc>
          <w:tcPr>
            <w:tcW w:w="1053" w:type="dxa"/>
            <w:tcBorders>
              <w:top w:val="single" w:sz="4" w:space="0" w:color="000000"/>
              <w:left w:val="single" w:sz="4" w:space="0" w:color="000000"/>
              <w:bottom w:val="single" w:sz="3" w:space="0" w:color="000000"/>
              <w:right w:val="single" w:sz="4" w:space="0" w:color="000000"/>
            </w:tcBorders>
            <w:vAlign w:val="center"/>
          </w:tcPr>
          <w:p w14:paraId="06F120C5"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400-460</w:t>
            </w:r>
          </w:p>
        </w:tc>
      </w:tr>
      <w:tr w:rsidR="00AA4A22" w:rsidRPr="00AA4A22" w14:paraId="144A1E4F" w14:textId="77777777" w:rsidTr="0044318E">
        <w:trPr>
          <w:trHeight w:val="320"/>
        </w:trPr>
        <w:tc>
          <w:tcPr>
            <w:tcW w:w="1354" w:type="dxa"/>
            <w:tcBorders>
              <w:top w:val="single" w:sz="3" w:space="0" w:color="000000"/>
              <w:left w:val="single" w:sz="3" w:space="0" w:color="000000"/>
              <w:bottom w:val="single" w:sz="4" w:space="0" w:color="000000"/>
              <w:right w:val="single" w:sz="4" w:space="0" w:color="000000"/>
            </w:tcBorders>
            <w:vAlign w:val="center"/>
          </w:tcPr>
          <w:p w14:paraId="18512FB4"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Variance</w:t>
            </w:r>
          </w:p>
        </w:tc>
        <w:tc>
          <w:tcPr>
            <w:tcW w:w="1493" w:type="dxa"/>
            <w:tcBorders>
              <w:top w:val="single" w:sz="3" w:space="0" w:color="000000"/>
              <w:left w:val="single" w:sz="4" w:space="0" w:color="000000"/>
              <w:bottom w:val="single" w:sz="4" w:space="0" w:color="000000"/>
              <w:right w:val="single" w:sz="4" w:space="0" w:color="000000"/>
            </w:tcBorders>
            <w:vAlign w:val="center"/>
          </w:tcPr>
          <w:p w14:paraId="7D9FBD2A"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238.23</w:t>
            </w:r>
          </w:p>
        </w:tc>
        <w:tc>
          <w:tcPr>
            <w:tcW w:w="1091" w:type="dxa"/>
            <w:tcBorders>
              <w:top w:val="single" w:sz="3" w:space="0" w:color="000000"/>
              <w:left w:val="single" w:sz="4" w:space="0" w:color="000000"/>
              <w:bottom w:val="single" w:sz="4" w:space="0" w:color="000000"/>
              <w:right w:val="single" w:sz="4" w:space="0" w:color="000000"/>
            </w:tcBorders>
            <w:vAlign w:val="center"/>
          </w:tcPr>
          <w:p w14:paraId="7428FDF9"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254.48</w:t>
            </w:r>
          </w:p>
        </w:tc>
        <w:tc>
          <w:tcPr>
            <w:tcW w:w="1495" w:type="dxa"/>
            <w:tcBorders>
              <w:top w:val="single" w:sz="3" w:space="0" w:color="000000"/>
              <w:left w:val="single" w:sz="4" w:space="0" w:color="000000"/>
              <w:bottom w:val="single" w:sz="4" w:space="0" w:color="000000"/>
              <w:right w:val="single" w:sz="4" w:space="0" w:color="000000"/>
            </w:tcBorders>
            <w:vAlign w:val="center"/>
          </w:tcPr>
          <w:p w14:paraId="63A43443"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276.01</w:t>
            </w:r>
          </w:p>
        </w:tc>
        <w:tc>
          <w:tcPr>
            <w:tcW w:w="1091" w:type="dxa"/>
            <w:tcBorders>
              <w:top w:val="single" w:sz="3" w:space="0" w:color="000000"/>
              <w:left w:val="single" w:sz="4" w:space="0" w:color="000000"/>
              <w:bottom w:val="single" w:sz="4" w:space="0" w:color="000000"/>
              <w:right w:val="single" w:sz="3" w:space="0" w:color="000000"/>
            </w:tcBorders>
            <w:vAlign w:val="center"/>
          </w:tcPr>
          <w:p w14:paraId="2D75E374"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298.53</w:t>
            </w:r>
          </w:p>
        </w:tc>
        <w:tc>
          <w:tcPr>
            <w:tcW w:w="1496" w:type="dxa"/>
            <w:tcBorders>
              <w:top w:val="single" w:sz="3" w:space="0" w:color="000000"/>
              <w:left w:val="single" w:sz="3" w:space="0" w:color="000000"/>
              <w:bottom w:val="single" w:sz="4" w:space="0" w:color="000000"/>
              <w:right w:val="single" w:sz="4" w:space="0" w:color="000000"/>
            </w:tcBorders>
            <w:vAlign w:val="center"/>
          </w:tcPr>
          <w:p w14:paraId="1EA3AF4F"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340.79</w:t>
            </w:r>
          </w:p>
        </w:tc>
        <w:tc>
          <w:tcPr>
            <w:tcW w:w="1053" w:type="dxa"/>
            <w:tcBorders>
              <w:top w:val="single" w:sz="3" w:space="0" w:color="000000"/>
              <w:left w:val="single" w:sz="4" w:space="0" w:color="000000"/>
              <w:bottom w:val="single" w:sz="4" w:space="0" w:color="000000"/>
              <w:right w:val="single" w:sz="4" w:space="0" w:color="000000"/>
            </w:tcBorders>
            <w:vAlign w:val="center"/>
          </w:tcPr>
          <w:p w14:paraId="08893F32"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207.44</w:t>
            </w:r>
          </w:p>
        </w:tc>
      </w:tr>
      <w:tr w:rsidR="00AA4A22" w:rsidRPr="00AA4A22" w14:paraId="10A60BB3"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7A797890" w14:textId="77777777" w:rsidR="0044318E" w:rsidRPr="00AA4A22" w:rsidRDefault="0044318E" w:rsidP="0044318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2113318A"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44.22**</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78602D1B"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40.48**</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1CAF6AEF" w14:textId="77777777" w:rsidR="0044318E" w:rsidRPr="00AA4A22" w:rsidRDefault="0044318E" w:rsidP="0044318E">
            <w:pPr>
              <w:spacing w:after="0"/>
              <w:jc w:val="center"/>
              <w:rPr>
                <w:rFonts w:ascii="Arial" w:hAnsi="Arial" w:cs="Arial"/>
                <w:color w:val="000000" w:themeColor="text1"/>
                <w:sz w:val="20"/>
              </w:rPr>
            </w:pPr>
            <w:r w:rsidRPr="00AA4A22">
              <w:rPr>
                <w:rFonts w:ascii="Arial" w:hAnsi="Arial" w:cs="Arial"/>
                <w:color w:val="000000" w:themeColor="text1"/>
                <w:sz w:val="20"/>
              </w:rPr>
              <w:t>40.10**</w:t>
            </w:r>
          </w:p>
        </w:tc>
      </w:tr>
      <w:tr w:rsidR="00AA4A22" w:rsidRPr="00AA4A22" w14:paraId="65C9278D"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4D1B8055" w14:textId="77777777" w:rsidR="0044318E" w:rsidRPr="00AA4A22" w:rsidRDefault="0044318E" w:rsidP="0044318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33172076"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2.00</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194511B5"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2.00</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09C50122"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17DFFFDD"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70FF40E2" w14:textId="77777777" w:rsidR="0044318E" w:rsidRPr="00AA4A22" w:rsidRDefault="0044318E" w:rsidP="0044318E">
            <w:pPr>
              <w:spacing w:after="0" w:line="259" w:lineRule="auto"/>
              <w:jc w:val="center"/>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0B691730"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2.39</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59AB544B"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2.39</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1CCDA281"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3D5D5CC3"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07678254"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P value</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28FF771B"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6B890F30"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0418901D"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5D6AB496" w14:textId="77777777" w:rsidTr="0044318E">
        <w:trPr>
          <w:trHeight w:val="318"/>
        </w:trPr>
        <w:tc>
          <w:tcPr>
            <w:tcW w:w="1354" w:type="dxa"/>
            <w:tcBorders>
              <w:top w:val="single" w:sz="4" w:space="0" w:color="000000"/>
              <w:left w:val="single" w:sz="3" w:space="0" w:color="000000"/>
              <w:bottom w:val="single" w:sz="4" w:space="0" w:color="000000"/>
              <w:right w:val="single" w:sz="4" w:space="0" w:color="000000"/>
            </w:tcBorders>
            <w:vAlign w:val="center"/>
          </w:tcPr>
          <w:p w14:paraId="41BC6F78"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Result</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14:paraId="750D2522"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86" w:type="dxa"/>
            <w:gridSpan w:val="2"/>
            <w:tcBorders>
              <w:top w:val="single" w:sz="4" w:space="0" w:color="000000"/>
              <w:left w:val="single" w:sz="4" w:space="0" w:color="000000"/>
              <w:bottom w:val="single" w:sz="4" w:space="0" w:color="000000"/>
              <w:right w:val="single" w:sz="3" w:space="0" w:color="000000"/>
            </w:tcBorders>
            <w:vAlign w:val="center"/>
          </w:tcPr>
          <w:p w14:paraId="145681B0"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c>
          <w:tcPr>
            <w:tcW w:w="2549" w:type="dxa"/>
            <w:gridSpan w:val="2"/>
            <w:tcBorders>
              <w:top w:val="single" w:sz="4" w:space="0" w:color="000000"/>
              <w:left w:val="single" w:sz="3" w:space="0" w:color="000000"/>
              <w:bottom w:val="single" w:sz="4" w:space="0" w:color="000000"/>
              <w:right w:val="single" w:sz="4" w:space="0" w:color="000000"/>
            </w:tcBorders>
            <w:vAlign w:val="center"/>
          </w:tcPr>
          <w:p w14:paraId="55BA0BFC" w14:textId="77777777" w:rsidR="0044318E" w:rsidRPr="00AA4A22" w:rsidRDefault="0044318E" w:rsidP="0044318E">
            <w:pPr>
              <w:spacing w:after="0" w:line="259" w:lineRule="auto"/>
              <w:jc w:val="center"/>
              <w:rPr>
                <w:rFonts w:ascii="Arial" w:hAnsi="Arial" w:cs="Arial"/>
                <w:color w:val="000000" w:themeColor="text1"/>
                <w:sz w:val="20"/>
              </w:rPr>
            </w:pPr>
            <w:r w:rsidRPr="00AA4A22">
              <w:rPr>
                <w:rFonts w:ascii="Arial" w:hAnsi="Arial" w:cs="Arial"/>
                <w:color w:val="000000" w:themeColor="text1"/>
                <w:sz w:val="20"/>
              </w:rPr>
              <w:t>Sign.</w:t>
            </w:r>
          </w:p>
        </w:tc>
      </w:tr>
      <w:bookmarkEnd w:id="1"/>
    </w:tbl>
    <w:p w14:paraId="02EAFC1A" w14:textId="77777777" w:rsidR="0006526B" w:rsidRDefault="0006526B" w:rsidP="006F0987">
      <w:pPr>
        <w:spacing w:after="0"/>
        <w:ind w:firstLine="851"/>
        <w:jc w:val="both"/>
        <w:rPr>
          <w:rFonts w:ascii="Arial" w:hAnsi="Arial" w:cs="Arial"/>
          <w:color w:val="000000" w:themeColor="text1"/>
          <w:sz w:val="20"/>
        </w:rPr>
      </w:pPr>
    </w:p>
    <w:p w14:paraId="3352EC64" w14:textId="77777777" w:rsidR="0006526B" w:rsidRDefault="0006526B" w:rsidP="006F0987">
      <w:pPr>
        <w:spacing w:after="0"/>
        <w:ind w:firstLine="851"/>
        <w:jc w:val="both"/>
        <w:rPr>
          <w:rFonts w:ascii="Arial" w:hAnsi="Arial" w:cs="Arial"/>
          <w:color w:val="000000" w:themeColor="text1"/>
          <w:sz w:val="20"/>
        </w:rPr>
      </w:pPr>
    </w:p>
    <w:p w14:paraId="6F658233" w14:textId="0BD63243" w:rsidR="006F0987" w:rsidRPr="00AA4A22" w:rsidRDefault="006F0987" w:rsidP="006F0987">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on the influence of sugarcane trash management practices on alkaline phosphatase activities after harvest of sugarcane ratoon was reported in Table 4. The perusal of data revealed that the alkaline phosphatase activities of soil was significantly increased due to sugarcane trash management practices. This study showed that among the three sugar recovery zones, the alkaline phosphatase activities in the high recovery zone ranged from (700-760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higher in trash management practices than medium recovery zone (640-700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(580-640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alkaline phosphatase activities in the high recovery zone ranged from (520-580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(460-520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(400-460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2 hr</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Chang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(2007) also observed similar findings in respect of alkaline phosphatase activities in sugarcane trash management practices.</w:t>
      </w:r>
    </w:p>
    <w:p w14:paraId="2440CD93" w14:textId="77777777" w:rsidR="006F0987" w:rsidRDefault="006F0987" w:rsidP="006F0987">
      <w:pPr>
        <w:spacing w:after="0"/>
        <w:ind w:firstLine="851"/>
        <w:jc w:val="both"/>
        <w:rPr>
          <w:rFonts w:ascii="Arial" w:hAnsi="Arial" w:cs="Arial"/>
          <w:color w:val="000000" w:themeColor="text1"/>
          <w:sz w:val="20"/>
        </w:rPr>
      </w:pPr>
      <w:r w:rsidRPr="00AA4A22">
        <w:rPr>
          <w:rFonts w:ascii="Arial" w:hAnsi="Arial" w:cs="Arial"/>
          <w:color w:val="000000" w:themeColor="text1"/>
          <w:sz w:val="20"/>
        </w:rPr>
        <w:t xml:space="preserve">From above investigation, it was observed that the alkaline phosphatase activities in all sugar recovery zones were significantly higher in trash management practices than trash burning practices. High recovery zone has higher alkaline phosphatase activity due to environmental factors like temperature. </w:t>
      </w:r>
      <w:r w:rsidRPr="00AA4A22">
        <w:rPr>
          <w:rFonts w:ascii="Arial" w:eastAsia="Cambria" w:hAnsi="Arial" w:cs="Arial"/>
          <w:bCs/>
          <w:color w:val="000000" w:themeColor="text1"/>
          <w:sz w:val="20"/>
        </w:rPr>
        <w:t>Kumari</w:t>
      </w:r>
      <w:r w:rsidRPr="00AA4A22">
        <w:rPr>
          <w:rFonts w:ascii="Arial" w:hAnsi="Arial" w:cs="Arial"/>
          <w:color w:val="000000" w:themeColor="text1"/>
          <w:sz w:val="20"/>
        </w:rPr>
        <w:t xml:space="preserve"> </w:t>
      </w:r>
      <w:r w:rsidRPr="00AA4A22">
        <w:rPr>
          <w:rFonts w:ascii="Arial" w:hAnsi="Arial" w:cs="Arial"/>
          <w:i/>
          <w:iCs/>
          <w:color w:val="000000" w:themeColor="text1"/>
          <w:sz w:val="20"/>
        </w:rPr>
        <w:t>et al</w:t>
      </w:r>
      <w:r w:rsidRPr="00AA4A22">
        <w:rPr>
          <w:rFonts w:ascii="Arial" w:hAnsi="Arial" w:cs="Arial"/>
          <w:color w:val="000000" w:themeColor="text1"/>
          <w:sz w:val="20"/>
        </w:rPr>
        <w:t>. (2017) reported that alkaline phosphatases activity of soils increased with increase in temperature from 20-70</w:t>
      </w:r>
      <w:r w:rsidRPr="00AA4A22">
        <w:rPr>
          <w:rFonts w:ascii="Arial" w:hAnsi="Arial" w:cs="Arial"/>
          <w:color w:val="000000" w:themeColor="text1"/>
          <w:sz w:val="20"/>
          <w:vertAlign w:val="superscript"/>
        </w:rPr>
        <w:t>o</w:t>
      </w:r>
      <w:r w:rsidRPr="00AA4A22">
        <w:rPr>
          <w:rFonts w:ascii="Arial" w:hAnsi="Arial" w:cs="Arial"/>
          <w:color w:val="000000" w:themeColor="text1"/>
          <w:sz w:val="20"/>
        </w:rPr>
        <w:t>C and then activity decreased slowly till 90</w:t>
      </w:r>
      <w:r w:rsidRPr="00AA4A22">
        <w:rPr>
          <w:rFonts w:ascii="Arial" w:hAnsi="Arial" w:cs="Arial"/>
          <w:color w:val="000000" w:themeColor="text1"/>
          <w:sz w:val="20"/>
          <w:vertAlign w:val="superscript"/>
        </w:rPr>
        <w:t>o</w:t>
      </w:r>
      <w:r w:rsidRPr="00AA4A22">
        <w:rPr>
          <w:rFonts w:ascii="Arial" w:hAnsi="Arial" w:cs="Arial"/>
          <w:color w:val="000000" w:themeColor="text1"/>
          <w:sz w:val="20"/>
        </w:rPr>
        <w:t>C and rapidly decreased with further increase in temperature to 90</w:t>
      </w:r>
      <w:r w:rsidRPr="00AA4A22">
        <w:rPr>
          <w:rFonts w:ascii="Arial" w:hAnsi="Arial" w:cs="Arial"/>
          <w:color w:val="000000" w:themeColor="text1"/>
          <w:sz w:val="20"/>
          <w:vertAlign w:val="superscript"/>
        </w:rPr>
        <w:t>o</w:t>
      </w:r>
      <w:r w:rsidRPr="00AA4A22">
        <w:rPr>
          <w:rFonts w:ascii="Arial" w:hAnsi="Arial" w:cs="Arial"/>
          <w:color w:val="000000" w:themeColor="text1"/>
          <w:sz w:val="20"/>
        </w:rPr>
        <w:t xml:space="preserve">C. As soil enzymes are the main drivers of soil organic matter (SOM), degradation and litter decomposition, the dependence of these enzymes on global changes including warming, precipitation, drought and associated soil moisture will assist in understanding the relationships among SOM stock, carbon cycle and microbial nutrient demand. Increase in soil moisture increases the phosphatase activity; however, alkaline phosphatase activity was better correlated with soil water content. Highest activity was found during the winter and monsoon season (Kumar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2015). </w:t>
      </w:r>
    </w:p>
    <w:p w14:paraId="78A960C0" w14:textId="4C5EBBBD" w:rsidR="0044318E" w:rsidRPr="00AA4A22" w:rsidRDefault="0044318E" w:rsidP="0044318E">
      <w:pPr>
        <w:rPr>
          <w:color w:val="000000" w:themeColor="text1"/>
        </w:rPr>
      </w:pPr>
    </w:p>
    <w:p w14:paraId="6358830E" w14:textId="77777777" w:rsidR="0044318E" w:rsidRDefault="0044318E" w:rsidP="0044318E">
      <w:pPr>
        <w:rPr>
          <w:color w:val="000000" w:themeColor="text1"/>
        </w:rPr>
      </w:pPr>
    </w:p>
    <w:p w14:paraId="2B3A34A0" w14:textId="77777777" w:rsidR="0006526B" w:rsidRDefault="0006526B" w:rsidP="0044318E">
      <w:pPr>
        <w:rPr>
          <w:color w:val="000000" w:themeColor="text1"/>
        </w:rPr>
      </w:pPr>
    </w:p>
    <w:p w14:paraId="653743D9" w14:textId="77777777" w:rsidR="0006526B" w:rsidRPr="00AA4A22" w:rsidRDefault="0006526B" w:rsidP="0044318E">
      <w:pPr>
        <w:rPr>
          <w:color w:val="000000" w:themeColor="text1"/>
        </w:rPr>
      </w:pPr>
    </w:p>
    <w:p w14:paraId="60C5621F" w14:textId="161BBD64" w:rsidR="0044318E" w:rsidRPr="00AA4A22" w:rsidRDefault="0044318E" w:rsidP="0044318E">
      <w:pPr>
        <w:spacing w:after="0" w:line="360" w:lineRule="auto"/>
        <w:ind w:left="1134" w:hanging="1134"/>
        <w:jc w:val="both"/>
        <w:rPr>
          <w:rFonts w:ascii="Arial" w:hAnsi="Arial" w:cs="Arial"/>
          <w:b/>
          <w:bCs/>
          <w:color w:val="000000" w:themeColor="text1"/>
          <w:sz w:val="20"/>
        </w:rPr>
      </w:pPr>
      <w:r w:rsidRPr="00AA4A22">
        <w:rPr>
          <w:rFonts w:ascii="Arial" w:hAnsi="Arial" w:cs="Arial"/>
          <w:b/>
          <w:bCs/>
          <w:color w:val="000000" w:themeColor="text1"/>
          <w:sz w:val="20"/>
        </w:rPr>
        <w:lastRenderedPageBreak/>
        <w:t>Table</w:t>
      </w:r>
      <w:r w:rsidR="00D4518C">
        <w:rPr>
          <w:rFonts w:ascii="Arial" w:hAnsi="Arial" w:cs="Arial"/>
          <w:b/>
          <w:bCs/>
          <w:color w:val="000000" w:themeColor="text1"/>
          <w:sz w:val="20"/>
        </w:rPr>
        <w:t xml:space="preserve"> </w:t>
      </w:r>
      <w:r w:rsidRPr="00AA4A22">
        <w:rPr>
          <w:rFonts w:ascii="Arial" w:hAnsi="Arial" w:cs="Arial"/>
          <w:b/>
          <w:bCs/>
          <w:color w:val="000000" w:themeColor="text1"/>
          <w:sz w:val="20"/>
        </w:rPr>
        <w:t>.5 Influence of sugarcane trash management practices on β-glucosidase activities after harvest of ratoon sugarcane</w:t>
      </w:r>
    </w:p>
    <w:tbl>
      <w:tblPr>
        <w:tblStyle w:val="TableGrid"/>
        <w:tblpPr w:leftFromText="180" w:rightFromText="180" w:vertAnchor="text" w:horzAnchor="margin" w:tblpY="-59"/>
        <w:tblW w:w="8958" w:type="dxa"/>
        <w:tblInd w:w="0" w:type="dxa"/>
        <w:tblCellMar>
          <w:top w:w="50" w:type="dxa"/>
          <w:left w:w="95" w:type="dxa"/>
          <w:right w:w="45" w:type="dxa"/>
        </w:tblCellMar>
        <w:tblLook w:val="04A0" w:firstRow="1" w:lastRow="0" w:firstColumn="1" w:lastColumn="0" w:noHBand="0" w:noVBand="1"/>
      </w:tblPr>
      <w:tblGrid>
        <w:gridCol w:w="1279"/>
        <w:gridCol w:w="1461"/>
        <w:gridCol w:w="1036"/>
        <w:gridCol w:w="1461"/>
        <w:gridCol w:w="1216"/>
        <w:gridCol w:w="1461"/>
        <w:gridCol w:w="1044"/>
      </w:tblGrid>
      <w:tr w:rsidR="00AA4A22" w:rsidRPr="00AA4A22" w14:paraId="6E756289" w14:textId="77777777" w:rsidTr="00EE0BEE">
        <w:trPr>
          <w:trHeight w:val="326"/>
        </w:trPr>
        <w:tc>
          <w:tcPr>
            <w:tcW w:w="8958" w:type="dxa"/>
            <w:gridSpan w:val="7"/>
            <w:tcBorders>
              <w:top w:val="single" w:sz="4" w:space="0" w:color="000000"/>
              <w:left w:val="single" w:sz="3" w:space="0" w:color="000000"/>
              <w:bottom w:val="single" w:sz="4" w:space="0" w:color="000000"/>
              <w:right w:val="single" w:sz="4" w:space="0" w:color="000000"/>
            </w:tcBorders>
          </w:tcPr>
          <w:p w14:paraId="20A4D468"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β-glucosidase activities (µg PNP g</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 xml:space="preserve"> day</w:t>
            </w:r>
            <w:r w:rsidRPr="00AA4A22">
              <w:rPr>
                <w:rFonts w:ascii="Arial" w:hAnsi="Arial" w:cs="Arial"/>
                <w:b/>
                <w:bCs/>
                <w:color w:val="000000" w:themeColor="text1"/>
                <w:sz w:val="20"/>
                <w:vertAlign w:val="superscript"/>
              </w:rPr>
              <w:t>-1</w:t>
            </w:r>
            <w:r w:rsidRPr="00AA4A22">
              <w:rPr>
                <w:rFonts w:ascii="Arial" w:hAnsi="Arial" w:cs="Arial"/>
                <w:b/>
                <w:bCs/>
                <w:color w:val="000000" w:themeColor="text1"/>
                <w:sz w:val="20"/>
              </w:rPr>
              <w:t>)</w:t>
            </w:r>
          </w:p>
        </w:tc>
      </w:tr>
      <w:tr w:rsidR="00AA4A22" w:rsidRPr="00AA4A22" w14:paraId="619D8CAE"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285209EC"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tcPr>
          <w:p w14:paraId="6E5368CA"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High recovery zone</w:t>
            </w:r>
          </w:p>
        </w:tc>
        <w:tc>
          <w:tcPr>
            <w:tcW w:w="2677" w:type="dxa"/>
            <w:gridSpan w:val="2"/>
            <w:tcBorders>
              <w:top w:val="single" w:sz="4" w:space="0" w:color="000000"/>
              <w:left w:val="single" w:sz="4" w:space="0" w:color="000000"/>
              <w:bottom w:val="single" w:sz="4" w:space="0" w:color="000000"/>
              <w:right w:val="single" w:sz="3" w:space="0" w:color="000000"/>
            </w:tcBorders>
          </w:tcPr>
          <w:p w14:paraId="10E80738"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Medium recovery zone</w:t>
            </w:r>
          </w:p>
        </w:tc>
        <w:tc>
          <w:tcPr>
            <w:tcW w:w="2504" w:type="dxa"/>
            <w:gridSpan w:val="2"/>
            <w:tcBorders>
              <w:top w:val="single" w:sz="4" w:space="0" w:color="000000"/>
              <w:left w:val="single" w:sz="3" w:space="0" w:color="000000"/>
              <w:bottom w:val="single" w:sz="4" w:space="0" w:color="000000"/>
              <w:right w:val="single" w:sz="4" w:space="0" w:color="000000"/>
            </w:tcBorders>
          </w:tcPr>
          <w:p w14:paraId="3069B04F"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Low recovery zone</w:t>
            </w:r>
          </w:p>
        </w:tc>
      </w:tr>
      <w:tr w:rsidR="00AA4A22" w:rsidRPr="00AA4A22" w14:paraId="1F714ACB" w14:textId="77777777" w:rsidTr="00EE0BEE">
        <w:trPr>
          <w:trHeight w:val="644"/>
        </w:trPr>
        <w:tc>
          <w:tcPr>
            <w:tcW w:w="1279" w:type="dxa"/>
            <w:tcBorders>
              <w:top w:val="single" w:sz="4" w:space="0" w:color="000000"/>
              <w:left w:val="single" w:sz="3" w:space="0" w:color="000000"/>
              <w:bottom w:val="single" w:sz="4" w:space="0" w:color="000000"/>
              <w:right w:val="single" w:sz="4" w:space="0" w:color="000000"/>
            </w:tcBorders>
          </w:tcPr>
          <w:p w14:paraId="742AE213"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14:paraId="2C2FDE34"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36" w:type="dxa"/>
            <w:tcBorders>
              <w:top w:val="single" w:sz="4" w:space="0" w:color="000000"/>
              <w:left w:val="single" w:sz="4" w:space="0" w:color="000000"/>
              <w:bottom w:val="single" w:sz="4" w:space="0" w:color="000000"/>
              <w:right w:val="single" w:sz="4" w:space="0" w:color="000000"/>
            </w:tcBorders>
          </w:tcPr>
          <w:p w14:paraId="436C2890"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1" w:type="dxa"/>
            <w:tcBorders>
              <w:top w:val="single" w:sz="4" w:space="0" w:color="000000"/>
              <w:left w:val="single" w:sz="4" w:space="0" w:color="000000"/>
              <w:bottom w:val="single" w:sz="4" w:space="0" w:color="000000"/>
              <w:right w:val="single" w:sz="4" w:space="0" w:color="000000"/>
            </w:tcBorders>
          </w:tcPr>
          <w:p w14:paraId="275CF494"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216" w:type="dxa"/>
            <w:tcBorders>
              <w:top w:val="single" w:sz="4" w:space="0" w:color="000000"/>
              <w:left w:val="single" w:sz="4" w:space="0" w:color="000000"/>
              <w:bottom w:val="single" w:sz="4" w:space="0" w:color="000000"/>
              <w:right w:val="single" w:sz="3" w:space="0" w:color="000000"/>
            </w:tcBorders>
          </w:tcPr>
          <w:p w14:paraId="341FAA8F"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c>
          <w:tcPr>
            <w:tcW w:w="1461" w:type="dxa"/>
            <w:tcBorders>
              <w:top w:val="single" w:sz="4" w:space="0" w:color="000000"/>
              <w:left w:val="single" w:sz="3" w:space="0" w:color="000000"/>
              <w:bottom w:val="single" w:sz="4" w:space="0" w:color="000000"/>
              <w:right w:val="single" w:sz="4" w:space="0" w:color="000000"/>
            </w:tcBorders>
          </w:tcPr>
          <w:p w14:paraId="3DDEECCB" w14:textId="77777777" w:rsidR="0044318E" w:rsidRPr="00AA4A22" w:rsidRDefault="0044318E" w:rsidP="00EE0BEE">
            <w:pPr>
              <w:spacing w:after="0"/>
              <w:jc w:val="center"/>
              <w:rPr>
                <w:rFonts w:ascii="Arial" w:hAnsi="Arial" w:cs="Arial"/>
                <w:b/>
                <w:bCs/>
                <w:color w:val="000000" w:themeColor="text1"/>
                <w:sz w:val="20"/>
              </w:rPr>
            </w:pPr>
            <w:r w:rsidRPr="00AA4A22">
              <w:rPr>
                <w:rFonts w:ascii="Arial" w:hAnsi="Arial" w:cs="Arial"/>
                <w:b/>
                <w:bCs/>
                <w:color w:val="000000" w:themeColor="text1"/>
                <w:sz w:val="20"/>
              </w:rPr>
              <w:t>Trash management</w:t>
            </w:r>
          </w:p>
        </w:tc>
        <w:tc>
          <w:tcPr>
            <w:tcW w:w="1043" w:type="dxa"/>
            <w:tcBorders>
              <w:top w:val="single" w:sz="4" w:space="0" w:color="000000"/>
              <w:left w:val="single" w:sz="4" w:space="0" w:color="000000"/>
              <w:bottom w:val="single" w:sz="4" w:space="0" w:color="000000"/>
              <w:right w:val="single" w:sz="4" w:space="0" w:color="000000"/>
            </w:tcBorders>
          </w:tcPr>
          <w:p w14:paraId="2C2EEE1B" w14:textId="77777777" w:rsidR="0044318E" w:rsidRPr="00AA4A22" w:rsidRDefault="0044318E" w:rsidP="00EE0BEE">
            <w:pPr>
              <w:spacing w:after="0"/>
              <w:ind w:firstLine="101"/>
              <w:jc w:val="center"/>
              <w:rPr>
                <w:rFonts w:ascii="Arial" w:hAnsi="Arial" w:cs="Arial"/>
                <w:b/>
                <w:bCs/>
                <w:color w:val="000000" w:themeColor="text1"/>
                <w:sz w:val="20"/>
              </w:rPr>
            </w:pPr>
            <w:r w:rsidRPr="00AA4A22">
              <w:rPr>
                <w:rFonts w:ascii="Arial" w:hAnsi="Arial" w:cs="Arial"/>
                <w:b/>
                <w:bCs/>
                <w:color w:val="000000" w:themeColor="text1"/>
                <w:sz w:val="20"/>
              </w:rPr>
              <w:t>Trash burning</w:t>
            </w:r>
          </w:p>
        </w:tc>
      </w:tr>
      <w:tr w:rsidR="00AA4A22" w:rsidRPr="00AA4A22" w14:paraId="5B98899B" w14:textId="77777777" w:rsidTr="00EE0BEE">
        <w:trPr>
          <w:trHeight w:val="324"/>
        </w:trPr>
        <w:tc>
          <w:tcPr>
            <w:tcW w:w="1279" w:type="dxa"/>
            <w:tcBorders>
              <w:top w:val="single" w:sz="4" w:space="0" w:color="000000"/>
              <w:left w:val="single" w:sz="3" w:space="0" w:color="000000"/>
              <w:bottom w:val="single" w:sz="3" w:space="0" w:color="000000"/>
              <w:right w:val="single" w:sz="4" w:space="0" w:color="000000"/>
            </w:tcBorders>
          </w:tcPr>
          <w:p w14:paraId="584EFE13"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Mean </w:t>
            </w:r>
          </w:p>
        </w:tc>
        <w:tc>
          <w:tcPr>
            <w:tcW w:w="1461" w:type="dxa"/>
            <w:tcBorders>
              <w:top w:val="single" w:sz="4" w:space="0" w:color="000000"/>
              <w:left w:val="single" w:sz="4" w:space="0" w:color="000000"/>
              <w:bottom w:val="single" w:sz="3" w:space="0" w:color="000000"/>
              <w:right w:val="single" w:sz="4" w:space="0" w:color="000000"/>
            </w:tcBorders>
          </w:tcPr>
          <w:p w14:paraId="6975FEC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17.63</w:t>
            </w:r>
          </w:p>
        </w:tc>
        <w:tc>
          <w:tcPr>
            <w:tcW w:w="1036" w:type="dxa"/>
            <w:tcBorders>
              <w:top w:val="single" w:sz="4" w:space="0" w:color="000000"/>
              <w:left w:val="single" w:sz="4" w:space="0" w:color="000000"/>
              <w:bottom w:val="single" w:sz="3" w:space="0" w:color="000000"/>
              <w:right w:val="single" w:sz="4" w:space="0" w:color="000000"/>
            </w:tcBorders>
          </w:tcPr>
          <w:p w14:paraId="6EBD383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13.64</w:t>
            </w:r>
          </w:p>
        </w:tc>
        <w:tc>
          <w:tcPr>
            <w:tcW w:w="1461" w:type="dxa"/>
            <w:tcBorders>
              <w:top w:val="single" w:sz="4" w:space="0" w:color="000000"/>
              <w:left w:val="single" w:sz="4" w:space="0" w:color="000000"/>
              <w:bottom w:val="single" w:sz="3" w:space="0" w:color="000000"/>
              <w:right w:val="single" w:sz="4" w:space="0" w:color="000000"/>
            </w:tcBorders>
          </w:tcPr>
          <w:p w14:paraId="6C22A132"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16.61</w:t>
            </w:r>
          </w:p>
        </w:tc>
        <w:tc>
          <w:tcPr>
            <w:tcW w:w="1216" w:type="dxa"/>
            <w:tcBorders>
              <w:top w:val="single" w:sz="4" w:space="0" w:color="000000"/>
              <w:left w:val="single" w:sz="4" w:space="0" w:color="000000"/>
              <w:bottom w:val="single" w:sz="3" w:space="0" w:color="000000"/>
              <w:right w:val="single" w:sz="3" w:space="0" w:color="000000"/>
            </w:tcBorders>
          </w:tcPr>
          <w:p w14:paraId="078EE7E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12.70</w:t>
            </w:r>
          </w:p>
        </w:tc>
        <w:tc>
          <w:tcPr>
            <w:tcW w:w="1461" w:type="dxa"/>
            <w:tcBorders>
              <w:top w:val="single" w:sz="4" w:space="0" w:color="000000"/>
              <w:left w:val="single" w:sz="3" w:space="0" w:color="000000"/>
              <w:bottom w:val="single" w:sz="3" w:space="0" w:color="000000"/>
              <w:right w:val="single" w:sz="4" w:space="0" w:color="000000"/>
            </w:tcBorders>
          </w:tcPr>
          <w:p w14:paraId="1062B8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15.64</w:t>
            </w:r>
          </w:p>
        </w:tc>
        <w:tc>
          <w:tcPr>
            <w:tcW w:w="1043" w:type="dxa"/>
            <w:tcBorders>
              <w:top w:val="single" w:sz="4" w:space="0" w:color="000000"/>
              <w:left w:val="single" w:sz="4" w:space="0" w:color="000000"/>
              <w:bottom w:val="single" w:sz="3" w:space="0" w:color="000000"/>
              <w:right w:val="single" w:sz="4" w:space="0" w:color="000000"/>
            </w:tcBorders>
          </w:tcPr>
          <w:p w14:paraId="364DA3F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11.61</w:t>
            </w:r>
          </w:p>
        </w:tc>
      </w:tr>
      <w:tr w:rsidR="00AA4A22" w:rsidRPr="00AA4A22" w14:paraId="559F0474" w14:textId="77777777" w:rsidTr="00EE0BEE">
        <w:trPr>
          <w:trHeight w:val="324"/>
        </w:trPr>
        <w:tc>
          <w:tcPr>
            <w:tcW w:w="1279" w:type="dxa"/>
            <w:tcBorders>
              <w:top w:val="single" w:sz="4" w:space="0" w:color="000000"/>
              <w:left w:val="single" w:sz="3" w:space="0" w:color="000000"/>
              <w:bottom w:val="single" w:sz="3" w:space="0" w:color="000000"/>
              <w:right w:val="single" w:sz="4" w:space="0" w:color="000000"/>
            </w:tcBorders>
          </w:tcPr>
          <w:p w14:paraId="05E3ECB5"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Range</w:t>
            </w:r>
          </w:p>
        </w:tc>
        <w:tc>
          <w:tcPr>
            <w:tcW w:w="1461" w:type="dxa"/>
            <w:tcBorders>
              <w:top w:val="single" w:sz="4" w:space="0" w:color="000000"/>
              <w:left w:val="single" w:sz="4" w:space="0" w:color="000000"/>
              <w:bottom w:val="single" w:sz="3" w:space="0" w:color="000000"/>
              <w:right w:val="single" w:sz="4" w:space="0" w:color="000000"/>
            </w:tcBorders>
          </w:tcPr>
          <w:p w14:paraId="13FC96B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17-18</w:t>
            </w:r>
          </w:p>
        </w:tc>
        <w:tc>
          <w:tcPr>
            <w:tcW w:w="1036" w:type="dxa"/>
            <w:tcBorders>
              <w:top w:val="single" w:sz="4" w:space="0" w:color="000000"/>
              <w:left w:val="single" w:sz="4" w:space="0" w:color="000000"/>
              <w:bottom w:val="single" w:sz="3" w:space="0" w:color="000000"/>
              <w:right w:val="single" w:sz="4" w:space="0" w:color="000000"/>
            </w:tcBorders>
          </w:tcPr>
          <w:p w14:paraId="5C2F0F2C"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13-14</w:t>
            </w:r>
          </w:p>
        </w:tc>
        <w:tc>
          <w:tcPr>
            <w:tcW w:w="1461" w:type="dxa"/>
            <w:tcBorders>
              <w:top w:val="single" w:sz="4" w:space="0" w:color="000000"/>
              <w:left w:val="single" w:sz="4" w:space="0" w:color="000000"/>
              <w:bottom w:val="single" w:sz="3" w:space="0" w:color="000000"/>
              <w:right w:val="single" w:sz="4" w:space="0" w:color="000000"/>
            </w:tcBorders>
          </w:tcPr>
          <w:p w14:paraId="1465EE4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16-17</w:t>
            </w:r>
          </w:p>
        </w:tc>
        <w:tc>
          <w:tcPr>
            <w:tcW w:w="1216" w:type="dxa"/>
            <w:tcBorders>
              <w:top w:val="single" w:sz="4" w:space="0" w:color="000000"/>
              <w:left w:val="single" w:sz="4" w:space="0" w:color="000000"/>
              <w:bottom w:val="single" w:sz="3" w:space="0" w:color="000000"/>
              <w:right w:val="single" w:sz="3" w:space="0" w:color="000000"/>
            </w:tcBorders>
          </w:tcPr>
          <w:p w14:paraId="2572740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12-13</w:t>
            </w:r>
          </w:p>
        </w:tc>
        <w:tc>
          <w:tcPr>
            <w:tcW w:w="1461" w:type="dxa"/>
            <w:tcBorders>
              <w:top w:val="single" w:sz="4" w:space="0" w:color="000000"/>
              <w:left w:val="single" w:sz="3" w:space="0" w:color="000000"/>
              <w:bottom w:val="single" w:sz="3" w:space="0" w:color="000000"/>
              <w:right w:val="single" w:sz="4" w:space="0" w:color="000000"/>
            </w:tcBorders>
          </w:tcPr>
          <w:p w14:paraId="32DA1BC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15-16</w:t>
            </w:r>
          </w:p>
        </w:tc>
        <w:tc>
          <w:tcPr>
            <w:tcW w:w="1043" w:type="dxa"/>
            <w:tcBorders>
              <w:top w:val="single" w:sz="4" w:space="0" w:color="000000"/>
              <w:left w:val="single" w:sz="4" w:space="0" w:color="000000"/>
              <w:bottom w:val="single" w:sz="3" w:space="0" w:color="000000"/>
              <w:right w:val="single" w:sz="4" w:space="0" w:color="000000"/>
            </w:tcBorders>
          </w:tcPr>
          <w:p w14:paraId="7468054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11-12</w:t>
            </w:r>
          </w:p>
        </w:tc>
      </w:tr>
      <w:tr w:rsidR="00AA4A22" w:rsidRPr="00AA4A22" w14:paraId="39B4E961" w14:textId="77777777" w:rsidTr="00EE0BEE">
        <w:trPr>
          <w:trHeight w:val="326"/>
        </w:trPr>
        <w:tc>
          <w:tcPr>
            <w:tcW w:w="1279" w:type="dxa"/>
            <w:tcBorders>
              <w:top w:val="single" w:sz="3" w:space="0" w:color="000000"/>
              <w:left w:val="single" w:sz="3" w:space="0" w:color="000000"/>
              <w:bottom w:val="single" w:sz="4" w:space="0" w:color="000000"/>
              <w:right w:val="single" w:sz="4" w:space="0" w:color="000000"/>
            </w:tcBorders>
          </w:tcPr>
          <w:p w14:paraId="507AAEA1"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Variance </w:t>
            </w:r>
          </w:p>
        </w:tc>
        <w:tc>
          <w:tcPr>
            <w:tcW w:w="1461" w:type="dxa"/>
            <w:tcBorders>
              <w:top w:val="single" w:sz="3" w:space="0" w:color="000000"/>
              <w:left w:val="single" w:sz="4" w:space="0" w:color="000000"/>
              <w:bottom w:val="single" w:sz="4" w:space="0" w:color="000000"/>
              <w:right w:val="single" w:sz="4" w:space="0" w:color="000000"/>
            </w:tcBorders>
          </w:tcPr>
          <w:p w14:paraId="0D8A443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c>
          <w:tcPr>
            <w:tcW w:w="1036" w:type="dxa"/>
            <w:tcBorders>
              <w:top w:val="single" w:sz="3" w:space="0" w:color="000000"/>
              <w:left w:val="single" w:sz="4" w:space="0" w:color="000000"/>
              <w:bottom w:val="single" w:sz="4" w:space="0" w:color="000000"/>
              <w:right w:val="single" w:sz="4" w:space="0" w:color="000000"/>
            </w:tcBorders>
          </w:tcPr>
          <w:p w14:paraId="0C6695E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0.07</w:t>
            </w:r>
          </w:p>
        </w:tc>
        <w:tc>
          <w:tcPr>
            <w:tcW w:w="1461" w:type="dxa"/>
            <w:tcBorders>
              <w:top w:val="single" w:sz="3" w:space="0" w:color="000000"/>
              <w:left w:val="single" w:sz="4" w:space="0" w:color="000000"/>
              <w:bottom w:val="single" w:sz="4" w:space="0" w:color="000000"/>
              <w:right w:val="single" w:sz="4" w:space="0" w:color="000000"/>
            </w:tcBorders>
          </w:tcPr>
          <w:p w14:paraId="56921FDA"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216" w:type="dxa"/>
            <w:tcBorders>
              <w:top w:val="single" w:sz="3" w:space="0" w:color="000000"/>
              <w:left w:val="single" w:sz="4" w:space="0" w:color="000000"/>
              <w:bottom w:val="single" w:sz="4" w:space="0" w:color="000000"/>
              <w:right w:val="single" w:sz="3" w:space="0" w:color="000000"/>
            </w:tcBorders>
          </w:tcPr>
          <w:p w14:paraId="3EDCD2F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0.04</w:t>
            </w:r>
          </w:p>
        </w:tc>
        <w:tc>
          <w:tcPr>
            <w:tcW w:w="1461" w:type="dxa"/>
            <w:tcBorders>
              <w:top w:val="single" w:sz="3" w:space="0" w:color="000000"/>
              <w:left w:val="single" w:sz="3" w:space="0" w:color="000000"/>
              <w:bottom w:val="single" w:sz="4" w:space="0" w:color="000000"/>
              <w:right w:val="single" w:sz="4" w:space="0" w:color="000000"/>
            </w:tcBorders>
          </w:tcPr>
          <w:p w14:paraId="38968010"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0.05</w:t>
            </w:r>
          </w:p>
        </w:tc>
        <w:tc>
          <w:tcPr>
            <w:tcW w:w="1043" w:type="dxa"/>
            <w:tcBorders>
              <w:top w:val="single" w:sz="3" w:space="0" w:color="000000"/>
              <w:left w:val="single" w:sz="4" w:space="0" w:color="000000"/>
              <w:bottom w:val="single" w:sz="4" w:space="0" w:color="000000"/>
              <w:right w:val="single" w:sz="4" w:space="0" w:color="000000"/>
            </w:tcBorders>
          </w:tcPr>
          <w:p w14:paraId="00BBA4F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0.06</w:t>
            </w:r>
          </w:p>
        </w:tc>
      </w:tr>
      <w:tr w:rsidR="00AA4A22" w:rsidRPr="00AA4A22" w14:paraId="2DAA917C"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6C6A10EB" w14:textId="77777777" w:rsidR="0044318E" w:rsidRPr="00AA4A22" w:rsidRDefault="0044318E" w:rsidP="00EE0BEE">
            <w:pPr>
              <w:spacing w:after="0"/>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cal</w:t>
            </w:r>
            <w:proofErr w:type="spellEnd"/>
          </w:p>
        </w:tc>
        <w:tc>
          <w:tcPr>
            <w:tcW w:w="2497" w:type="dxa"/>
            <w:gridSpan w:val="2"/>
            <w:tcBorders>
              <w:top w:val="single" w:sz="4" w:space="0" w:color="000000"/>
              <w:left w:val="single" w:sz="4" w:space="0" w:color="000000"/>
              <w:bottom w:val="single" w:sz="4" w:space="0" w:color="000000"/>
              <w:right w:val="single" w:sz="4" w:space="0" w:color="000000"/>
            </w:tcBorders>
          </w:tcPr>
          <w:p w14:paraId="3C17F52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59.99**</w:t>
            </w:r>
          </w:p>
        </w:tc>
        <w:tc>
          <w:tcPr>
            <w:tcW w:w="2677" w:type="dxa"/>
            <w:gridSpan w:val="2"/>
            <w:tcBorders>
              <w:top w:val="single" w:sz="4" w:space="0" w:color="000000"/>
              <w:left w:val="single" w:sz="4" w:space="0" w:color="000000"/>
              <w:bottom w:val="single" w:sz="4" w:space="0" w:color="000000"/>
              <w:right w:val="single" w:sz="3" w:space="0" w:color="000000"/>
            </w:tcBorders>
          </w:tcPr>
          <w:p w14:paraId="7E2443F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69.53**</w:t>
            </w:r>
          </w:p>
        </w:tc>
        <w:tc>
          <w:tcPr>
            <w:tcW w:w="2504" w:type="dxa"/>
            <w:gridSpan w:val="2"/>
            <w:tcBorders>
              <w:top w:val="single" w:sz="4" w:space="0" w:color="000000"/>
              <w:left w:val="single" w:sz="3" w:space="0" w:color="000000"/>
              <w:bottom w:val="single" w:sz="4" w:space="0" w:color="000000"/>
              <w:right w:val="single" w:sz="4" w:space="0" w:color="000000"/>
            </w:tcBorders>
          </w:tcPr>
          <w:p w14:paraId="5050250F"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65.47**</w:t>
            </w:r>
          </w:p>
        </w:tc>
      </w:tr>
      <w:tr w:rsidR="00AA4A22" w:rsidRPr="00AA4A22" w14:paraId="50716A88"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039BFE25" w14:textId="77777777" w:rsidR="0044318E" w:rsidRPr="00AA4A22" w:rsidRDefault="0044318E" w:rsidP="00EE0BEE">
            <w:pPr>
              <w:spacing w:after="0"/>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5%)</w:t>
            </w:r>
          </w:p>
        </w:tc>
        <w:tc>
          <w:tcPr>
            <w:tcW w:w="2497" w:type="dxa"/>
            <w:gridSpan w:val="2"/>
            <w:tcBorders>
              <w:top w:val="single" w:sz="4" w:space="0" w:color="000000"/>
              <w:left w:val="single" w:sz="4" w:space="0" w:color="000000"/>
              <w:bottom w:val="single" w:sz="4" w:space="0" w:color="000000"/>
              <w:right w:val="single" w:sz="4" w:space="0" w:color="000000"/>
            </w:tcBorders>
          </w:tcPr>
          <w:p w14:paraId="1271787B"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677" w:type="dxa"/>
            <w:gridSpan w:val="2"/>
            <w:tcBorders>
              <w:top w:val="single" w:sz="4" w:space="0" w:color="000000"/>
              <w:left w:val="single" w:sz="4" w:space="0" w:color="000000"/>
              <w:bottom w:val="single" w:sz="4" w:space="0" w:color="000000"/>
              <w:right w:val="single" w:sz="3" w:space="0" w:color="000000"/>
            </w:tcBorders>
          </w:tcPr>
          <w:p w14:paraId="2627D28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c>
          <w:tcPr>
            <w:tcW w:w="2504" w:type="dxa"/>
            <w:gridSpan w:val="2"/>
            <w:tcBorders>
              <w:top w:val="single" w:sz="4" w:space="0" w:color="000000"/>
              <w:left w:val="single" w:sz="3" w:space="0" w:color="000000"/>
              <w:bottom w:val="single" w:sz="4" w:space="0" w:color="000000"/>
              <w:right w:val="single" w:sz="4" w:space="0" w:color="000000"/>
            </w:tcBorders>
          </w:tcPr>
          <w:p w14:paraId="60C3BE89"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2.00</w:t>
            </w:r>
          </w:p>
        </w:tc>
      </w:tr>
      <w:tr w:rsidR="00AA4A22" w:rsidRPr="00AA4A22" w14:paraId="2E0BA1C7"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2A10B84D" w14:textId="77777777" w:rsidR="0044318E" w:rsidRPr="00AA4A22" w:rsidRDefault="0044318E" w:rsidP="00EE0BEE">
            <w:pPr>
              <w:spacing w:after="0"/>
              <w:rPr>
                <w:rFonts w:ascii="Arial" w:hAnsi="Arial" w:cs="Arial"/>
                <w:color w:val="000000" w:themeColor="text1"/>
                <w:sz w:val="20"/>
              </w:rPr>
            </w:pPr>
            <w:proofErr w:type="spellStart"/>
            <w:r w:rsidRPr="00AA4A22">
              <w:rPr>
                <w:rFonts w:ascii="Arial" w:hAnsi="Arial" w:cs="Arial"/>
                <w:color w:val="000000" w:themeColor="text1"/>
                <w:sz w:val="20"/>
              </w:rPr>
              <w:t>t</w:t>
            </w:r>
            <w:r w:rsidRPr="00AA4A22">
              <w:rPr>
                <w:rFonts w:ascii="Arial" w:hAnsi="Arial" w:cs="Arial"/>
                <w:color w:val="000000" w:themeColor="text1"/>
                <w:sz w:val="20"/>
                <w:vertAlign w:val="subscript"/>
              </w:rPr>
              <w:t>tab</w:t>
            </w:r>
            <w:proofErr w:type="spellEnd"/>
            <w:r w:rsidRPr="00AA4A22">
              <w:rPr>
                <w:rFonts w:ascii="Arial" w:hAnsi="Arial" w:cs="Arial"/>
                <w:color w:val="000000" w:themeColor="text1"/>
                <w:sz w:val="20"/>
              </w:rPr>
              <w:t xml:space="preserve"> (@ 1%)</w:t>
            </w:r>
          </w:p>
        </w:tc>
        <w:tc>
          <w:tcPr>
            <w:tcW w:w="2497" w:type="dxa"/>
            <w:gridSpan w:val="2"/>
            <w:tcBorders>
              <w:top w:val="single" w:sz="4" w:space="0" w:color="000000"/>
              <w:left w:val="single" w:sz="4" w:space="0" w:color="000000"/>
              <w:bottom w:val="single" w:sz="4" w:space="0" w:color="000000"/>
              <w:right w:val="single" w:sz="4" w:space="0" w:color="000000"/>
            </w:tcBorders>
          </w:tcPr>
          <w:p w14:paraId="5E7B3418"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677" w:type="dxa"/>
            <w:gridSpan w:val="2"/>
            <w:tcBorders>
              <w:top w:val="single" w:sz="4" w:space="0" w:color="000000"/>
              <w:left w:val="single" w:sz="4" w:space="0" w:color="000000"/>
              <w:bottom w:val="single" w:sz="4" w:space="0" w:color="000000"/>
              <w:right w:val="single" w:sz="3" w:space="0" w:color="000000"/>
            </w:tcBorders>
          </w:tcPr>
          <w:p w14:paraId="378A598E"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c>
          <w:tcPr>
            <w:tcW w:w="2504" w:type="dxa"/>
            <w:gridSpan w:val="2"/>
            <w:tcBorders>
              <w:top w:val="single" w:sz="4" w:space="0" w:color="000000"/>
              <w:left w:val="single" w:sz="3" w:space="0" w:color="000000"/>
              <w:bottom w:val="single" w:sz="4" w:space="0" w:color="000000"/>
              <w:right w:val="single" w:sz="4" w:space="0" w:color="000000"/>
            </w:tcBorders>
          </w:tcPr>
          <w:p w14:paraId="519A7873"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2.39</w:t>
            </w:r>
          </w:p>
        </w:tc>
      </w:tr>
      <w:tr w:rsidR="00AA4A22" w:rsidRPr="00AA4A22" w14:paraId="01F26D11"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0F4A2C82"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P value</w:t>
            </w:r>
          </w:p>
        </w:tc>
        <w:tc>
          <w:tcPr>
            <w:tcW w:w="2497" w:type="dxa"/>
            <w:gridSpan w:val="2"/>
            <w:tcBorders>
              <w:top w:val="single" w:sz="4" w:space="0" w:color="000000"/>
              <w:left w:val="single" w:sz="4" w:space="0" w:color="000000"/>
              <w:bottom w:val="single" w:sz="4" w:space="0" w:color="000000"/>
              <w:right w:val="single" w:sz="4" w:space="0" w:color="000000"/>
            </w:tcBorders>
          </w:tcPr>
          <w:p w14:paraId="2B9A2935"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677" w:type="dxa"/>
            <w:gridSpan w:val="2"/>
            <w:tcBorders>
              <w:top w:val="single" w:sz="4" w:space="0" w:color="000000"/>
              <w:left w:val="single" w:sz="4" w:space="0" w:color="000000"/>
              <w:bottom w:val="single" w:sz="4" w:space="0" w:color="000000"/>
              <w:right w:val="single" w:sz="3" w:space="0" w:color="000000"/>
            </w:tcBorders>
          </w:tcPr>
          <w:p w14:paraId="542B8FA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c>
          <w:tcPr>
            <w:tcW w:w="2504" w:type="dxa"/>
            <w:gridSpan w:val="2"/>
            <w:tcBorders>
              <w:top w:val="single" w:sz="4" w:space="0" w:color="000000"/>
              <w:left w:val="single" w:sz="3" w:space="0" w:color="000000"/>
              <w:bottom w:val="single" w:sz="4" w:space="0" w:color="000000"/>
              <w:right w:val="single" w:sz="4" w:space="0" w:color="000000"/>
            </w:tcBorders>
          </w:tcPr>
          <w:p w14:paraId="2632B264"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0.00</w:t>
            </w:r>
          </w:p>
        </w:tc>
      </w:tr>
      <w:tr w:rsidR="00AA4A22" w:rsidRPr="00AA4A22" w14:paraId="69CA881A" w14:textId="77777777" w:rsidTr="00EE0BEE">
        <w:trPr>
          <w:trHeight w:val="324"/>
        </w:trPr>
        <w:tc>
          <w:tcPr>
            <w:tcW w:w="1279" w:type="dxa"/>
            <w:tcBorders>
              <w:top w:val="single" w:sz="4" w:space="0" w:color="000000"/>
              <w:left w:val="single" w:sz="3" w:space="0" w:color="000000"/>
              <w:bottom w:val="single" w:sz="4" w:space="0" w:color="000000"/>
              <w:right w:val="single" w:sz="4" w:space="0" w:color="000000"/>
            </w:tcBorders>
          </w:tcPr>
          <w:p w14:paraId="4C4EC445" w14:textId="77777777" w:rsidR="0044318E" w:rsidRPr="00AA4A22" w:rsidRDefault="0044318E" w:rsidP="00EE0BEE">
            <w:pPr>
              <w:spacing w:after="0"/>
              <w:rPr>
                <w:rFonts w:ascii="Arial" w:hAnsi="Arial" w:cs="Arial"/>
                <w:color w:val="000000" w:themeColor="text1"/>
                <w:sz w:val="20"/>
              </w:rPr>
            </w:pPr>
            <w:r w:rsidRPr="00AA4A22">
              <w:rPr>
                <w:rFonts w:ascii="Arial" w:hAnsi="Arial" w:cs="Arial"/>
                <w:color w:val="000000" w:themeColor="text1"/>
                <w:sz w:val="20"/>
              </w:rPr>
              <w:t xml:space="preserve">Result </w:t>
            </w:r>
          </w:p>
        </w:tc>
        <w:tc>
          <w:tcPr>
            <w:tcW w:w="2497" w:type="dxa"/>
            <w:gridSpan w:val="2"/>
            <w:tcBorders>
              <w:top w:val="single" w:sz="4" w:space="0" w:color="000000"/>
              <w:left w:val="single" w:sz="4" w:space="0" w:color="000000"/>
              <w:bottom w:val="single" w:sz="4" w:space="0" w:color="000000"/>
              <w:right w:val="single" w:sz="4" w:space="0" w:color="000000"/>
            </w:tcBorders>
          </w:tcPr>
          <w:p w14:paraId="04CC7386"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677" w:type="dxa"/>
            <w:gridSpan w:val="2"/>
            <w:tcBorders>
              <w:top w:val="single" w:sz="4" w:space="0" w:color="000000"/>
              <w:left w:val="single" w:sz="4" w:space="0" w:color="000000"/>
              <w:bottom w:val="single" w:sz="4" w:space="0" w:color="000000"/>
              <w:right w:val="single" w:sz="3" w:space="0" w:color="000000"/>
            </w:tcBorders>
          </w:tcPr>
          <w:p w14:paraId="327887BD"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c>
          <w:tcPr>
            <w:tcW w:w="2504" w:type="dxa"/>
            <w:gridSpan w:val="2"/>
            <w:tcBorders>
              <w:top w:val="single" w:sz="4" w:space="0" w:color="000000"/>
              <w:left w:val="single" w:sz="3" w:space="0" w:color="000000"/>
              <w:bottom w:val="single" w:sz="4" w:space="0" w:color="000000"/>
              <w:right w:val="single" w:sz="4" w:space="0" w:color="000000"/>
            </w:tcBorders>
          </w:tcPr>
          <w:p w14:paraId="54FC3001" w14:textId="77777777" w:rsidR="0044318E" w:rsidRPr="00AA4A22" w:rsidRDefault="0044318E" w:rsidP="00EE0BEE">
            <w:pPr>
              <w:spacing w:after="0"/>
              <w:jc w:val="center"/>
              <w:rPr>
                <w:rFonts w:ascii="Arial" w:hAnsi="Arial" w:cs="Arial"/>
                <w:color w:val="000000" w:themeColor="text1"/>
                <w:sz w:val="20"/>
              </w:rPr>
            </w:pPr>
            <w:r w:rsidRPr="00AA4A22">
              <w:rPr>
                <w:rFonts w:ascii="Arial" w:hAnsi="Arial" w:cs="Arial"/>
                <w:color w:val="000000" w:themeColor="text1"/>
                <w:sz w:val="20"/>
              </w:rPr>
              <w:t>Sign.</w:t>
            </w:r>
          </w:p>
        </w:tc>
      </w:tr>
    </w:tbl>
    <w:p w14:paraId="57E25D94" w14:textId="77777777" w:rsidR="0044318E" w:rsidRPr="00AA4A22" w:rsidRDefault="0044318E" w:rsidP="0044318E">
      <w:pPr>
        <w:spacing w:after="0" w:line="360" w:lineRule="auto"/>
        <w:ind w:left="1134" w:hanging="1134"/>
        <w:jc w:val="both"/>
        <w:rPr>
          <w:rFonts w:ascii="Arial" w:hAnsi="Arial" w:cs="Arial"/>
          <w:b/>
          <w:bCs/>
          <w:color w:val="000000" w:themeColor="text1"/>
          <w:sz w:val="20"/>
        </w:rPr>
      </w:pPr>
    </w:p>
    <w:p w14:paraId="7A003857" w14:textId="413D5A14" w:rsidR="0044318E" w:rsidRPr="00AA4A22" w:rsidRDefault="0044318E" w:rsidP="001725D1">
      <w:pPr>
        <w:spacing w:after="0"/>
        <w:ind w:firstLine="851"/>
        <w:jc w:val="both"/>
        <w:rPr>
          <w:rFonts w:ascii="Arial" w:hAnsi="Arial" w:cs="Arial"/>
          <w:color w:val="000000" w:themeColor="text1"/>
          <w:sz w:val="20"/>
        </w:rPr>
      </w:pPr>
      <w:r w:rsidRPr="00AA4A22">
        <w:rPr>
          <w:rFonts w:ascii="Arial" w:hAnsi="Arial" w:cs="Arial"/>
          <w:color w:val="000000" w:themeColor="text1"/>
          <w:sz w:val="20"/>
        </w:rPr>
        <w:t>The data revealed that the influence of sugarcane trash management practices on soil β-glucosidase activities after harvest of sugarcane ratoon are reported in Table 5. The perusal of data revealed that the β-glucosidase activities of soil was significantly increased due to sugarcane trash management practices. This study showed that among the three sugar recovery zones, the β-glucosidase activities in the high recovery zone ranged from (17-18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in trash management practices than medium recovery zone (16-17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(15-16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In case of trash burning practices also the β-glucosidase activities in the high recovery zone ranged from (13-14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was significantly higher than medium recovery zone (12-13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and low recovery zone (11-12 µg PNP g</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day</w:t>
      </w:r>
      <w:r w:rsidRPr="00AA4A22">
        <w:rPr>
          <w:rFonts w:ascii="Arial" w:hAnsi="Arial" w:cs="Arial"/>
          <w:color w:val="000000" w:themeColor="text1"/>
          <w:sz w:val="20"/>
          <w:vertAlign w:val="superscript"/>
        </w:rPr>
        <w:t>-1</w:t>
      </w:r>
      <w:r w:rsidRPr="00AA4A22">
        <w:rPr>
          <w:rFonts w:ascii="Arial" w:hAnsi="Arial" w:cs="Arial"/>
          <w:color w:val="000000" w:themeColor="text1"/>
          <w:sz w:val="20"/>
        </w:rPr>
        <w:t xml:space="preserve">). Phalke </w:t>
      </w:r>
      <w:r w:rsidRPr="00AA4A22">
        <w:rPr>
          <w:rFonts w:ascii="Arial" w:hAnsi="Arial" w:cs="Arial"/>
          <w:i/>
          <w:iCs/>
          <w:color w:val="000000" w:themeColor="text1"/>
          <w:sz w:val="20"/>
        </w:rPr>
        <w:t>et al.</w:t>
      </w:r>
      <w:r w:rsidRPr="00AA4A22">
        <w:rPr>
          <w:rFonts w:ascii="Arial" w:hAnsi="Arial" w:cs="Arial"/>
          <w:color w:val="000000" w:themeColor="text1"/>
          <w:sz w:val="20"/>
        </w:rPr>
        <w:t xml:space="preserve"> (2016) also observed similar findings in respect of β-glucosidase activities in sugarcane trash management practices. </w:t>
      </w:r>
    </w:p>
    <w:p w14:paraId="757E6600" w14:textId="40728B43" w:rsidR="0044318E" w:rsidRDefault="00DF1E1C" w:rsidP="001725D1">
      <w:pPr>
        <w:spacing w:after="0"/>
        <w:ind w:firstLine="851"/>
        <w:jc w:val="both"/>
        <w:rPr>
          <w:rFonts w:ascii="Arial" w:hAnsi="Arial" w:cs="Arial"/>
          <w:color w:val="000000" w:themeColor="text1"/>
          <w:sz w:val="20"/>
        </w:rPr>
      </w:pPr>
      <w:r>
        <w:rPr>
          <w:rFonts w:ascii="Arial" w:hAnsi="Arial" w:cs="Arial"/>
          <w:color w:val="000000" w:themeColor="text1"/>
          <w:sz w:val="20"/>
        </w:rPr>
        <w:t>T</w:t>
      </w:r>
      <w:r w:rsidR="0044318E" w:rsidRPr="00AA4A22">
        <w:rPr>
          <w:rFonts w:ascii="Arial" w:hAnsi="Arial" w:cs="Arial"/>
          <w:color w:val="000000" w:themeColor="text1"/>
          <w:sz w:val="20"/>
        </w:rPr>
        <w:t xml:space="preserve">he β-glucosidase activities in all sugar recovery zones were significantly higher in trash management practices than trash burning practices. This might be due to impact of addition of organic carbon through organic matter like sugarcane trash. The β-glucosidase enzymes are considered soil quality indicators and are widely distributed in nature and associated with the carbon cycle (C), demonstrating sensitivity to soil management and different soil types. Deng and Tabatabai (1996, 1997) reported that the activities of glucosidase were highly correlated with soil organic C content and suggested that organic matter plays an important role in protecting soil enzymes. </w:t>
      </w:r>
    </w:p>
    <w:p w14:paraId="7905D26E" w14:textId="77777777" w:rsidR="0006526B" w:rsidRPr="00AA4A22" w:rsidRDefault="0006526B" w:rsidP="001725D1">
      <w:pPr>
        <w:spacing w:after="0"/>
        <w:ind w:firstLine="851"/>
        <w:jc w:val="both"/>
        <w:rPr>
          <w:rFonts w:ascii="Arial" w:hAnsi="Arial" w:cs="Arial"/>
          <w:color w:val="000000" w:themeColor="text1"/>
          <w:sz w:val="20"/>
        </w:rPr>
      </w:pPr>
    </w:p>
    <w:p w14:paraId="29CD245B" w14:textId="77777777" w:rsidR="0044318E" w:rsidRPr="00AA4A22" w:rsidRDefault="0044318E" w:rsidP="0044318E">
      <w:pPr>
        <w:spacing w:after="0"/>
        <w:jc w:val="both"/>
        <w:rPr>
          <w:rFonts w:ascii="Arial" w:hAnsi="Arial" w:cs="Arial"/>
          <w:b/>
          <w:bCs/>
          <w:color w:val="000000" w:themeColor="text1"/>
          <w:szCs w:val="22"/>
        </w:rPr>
      </w:pPr>
      <w:r w:rsidRPr="00AA4A22">
        <w:rPr>
          <w:rFonts w:ascii="Arial" w:hAnsi="Arial" w:cs="Arial"/>
          <w:b/>
          <w:bCs/>
          <w:color w:val="000000" w:themeColor="text1"/>
          <w:szCs w:val="22"/>
        </w:rPr>
        <w:t>4. CONCLUSION</w:t>
      </w:r>
    </w:p>
    <w:p w14:paraId="3DF86DE8" w14:textId="77777777" w:rsidR="0044318E" w:rsidRPr="00AA4A22" w:rsidRDefault="0044318E" w:rsidP="0044318E">
      <w:pPr>
        <w:spacing w:after="0"/>
        <w:jc w:val="both"/>
        <w:rPr>
          <w:rFonts w:ascii="Arial" w:hAnsi="Arial" w:cs="Arial"/>
          <w:color w:val="000000" w:themeColor="text1"/>
          <w:sz w:val="6"/>
          <w:szCs w:val="6"/>
        </w:rPr>
      </w:pPr>
    </w:p>
    <w:p w14:paraId="048D7FCA" w14:textId="77777777" w:rsidR="0006526B" w:rsidRDefault="00DF1E1C" w:rsidP="0006526B">
      <w:pPr>
        <w:pStyle w:val="ListParagraph"/>
        <w:numPr>
          <w:ilvl w:val="0"/>
          <w:numId w:val="2"/>
        </w:numPr>
        <w:tabs>
          <w:tab w:val="left" w:pos="0"/>
        </w:tabs>
        <w:spacing w:after="0"/>
        <w:jc w:val="both"/>
        <w:rPr>
          <w:rFonts w:ascii="Arial" w:hAnsi="Arial" w:cs="Arial"/>
          <w:color w:val="000000" w:themeColor="text1"/>
          <w:sz w:val="20"/>
        </w:rPr>
      </w:pPr>
      <w:r>
        <w:rPr>
          <w:rFonts w:ascii="Arial" w:hAnsi="Arial" w:cs="Arial"/>
          <w:color w:val="000000" w:themeColor="text1"/>
          <w:sz w:val="20"/>
        </w:rPr>
        <w:t>A</w:t>
      </w:r>
      <w:r w:rsidR="0044318E" w:rsidRPr="00AA4A22">
        <w:rPr>
          <w:rFonts w:ascii="Arial" w:hAnsi="Arial" w:cs="Arial"/>
          <w:color w:val="000000" w:themeColor="text1"/>
          <w:sz w:val="20"/>
        </w:rPr>
        <w:t>ll enzyme activities including dehydrogenase, urease, acid phosphatase, alkaline phosphatase and β-glucosidase were significantly higher in trash management practices over trash burning practices of sugarcane ratoon.</w:t>
      </w:r>
    </w:p>
    <w:p w14:paraId="255E99A1" w14:textId="5F47B2B6" w:rsidR="0006526B" w:rsidRDefault="0044318E" w:rsidP="0006526B">
      <w:pPr>
        <w:pStyle w:val="ListParagraph"/>
        <w:numPr>
          <w:ilvl w:val="0"/>
          <w:numId w:val="2"/>
        </w:numPr>
        <w:tabs>
          <w:tab w:val="left" w:pos="0"/>
        </w:tabs>
        <w:spacing w:after="0"/>
        <w:jc w:val="both"/>
        <w:rPr>
          <w:rFonts w:ascii="Arial" w:hAnsi="Arial" w:cs="Arial"/>
          <w:color w:val="000000" w:themeColor="text1"/>
          <w:sz w:val="20"/>
        </w:rPr>
      </w:pPr>
      <w:r w:rsidRPr="00AA4A22">
        <w:rPr>
          <w:rFonts w:ascii="Arial" w:hAnsi="Arial" w:cs="Arial"/>
          <w:color w:val="000000" w:themeColor="text1"/>
          <w:sz w:val="20"/>
        </w:rPr>
        <w:t xml:space="preserve">High recovery zone showed higher enzyme activities </w:t>
      </w:r>
      <w:r w:rsidRPr="00AA4A22">
        <w:rPr>
          <w:rFonts w:ascii="Arial" w:hAnsi="Arial" w:cs="Arial"/>
          <w:i/>
          <w:iCs/>
          <w:color w:val="000000" w:themeColor="text1"/>
          <w:sz w:val="20"/>
        </w:rPr>
        <w:t xml:space="preserve">viz., </w:t>
      </w:r>
      <w:r w:rsidRPr="00AA4A22">
        <w:rPr>
          <w:rFonts w:ascii="Arial" w:hAnsi="Arial" w:cs="Arial"/>
          <w:color w:val="000000" w:themeColor="text1"/>
          <w:sz w:val="20"/>
        </w:rPr>
        <w:t xml:space="preserve">dehydrogenase, urease, acid phosphatase, alkaline phosphatase and β-glucosidase in comparison with medium and low recovery zones in trash management as well as trash burning practices of sugarcane ratoon. </w:t>
      </w:r>
    </w:p>
    <w:p w14:paraId="7E9D359E" w14:textId="436C1B42" w:rsidR="0044318E" w:rsidRDefault="0044318E" w:rsidP="0006526B">
      <w:pPr>
        <w:pStyle w:val="ListParagraph"/>
        <w:numPr>
          <w:ilvl w:val="0"/>
          <w:numId w:val="2"/>
        </w:numPr>
        <w:tabs>
          <w:tab w:val="left" w:pos="0"/>
        </w:tabs>
        <w:spacing w:after="0"/>
        <w:jc w:val="both"/>
        <w:rPr>
          <w:rFonts w:ascii="Arial" w:hAnsi="Arial" w:cs="Arial"/>
          <w:color w:val="000000" w:themeColor="text1"/>
          <w:sz w:val="20"/>
        </w:rPr>
      </w:pPr>
      <w:r w:rsidRPr="00AA4A22">
        <w:rPr>
          <w:rFonts w:ascii="Arial" w:hAnsi="Arial" w:cs="Arial"/>
          <w:color w:val="000000" w:themeColor="text1"/>
          <w:sz w:val="20"/>
        </w:rPr>
        <w:t xml:space="preserve">These findings confirmed the importance of trash management in sugarcane for better improvement in soil health, sugarcane yield and sugar recovery of sugarcane growing areas of Maharashtra and a viable option from the farmer's perspective.  </w:t>
      </w:r>
    </w:p>
    <w:p w14:paraId="17AF5623" w14:textId="77777777" w:rsidR="0006526B" w:rsidRDefault="0006526B" w:rsidP="0006526B">
      <w:pPr>
        <w:tabs>
          <w:tab w:val="left" w:pos="0"/>
        </w:tabs>
        <w:spacing w:after="0"/>
        <w:jc w:val="both"/>
        <w:rPr>
          <w:rFonts w:ascii="Arial" w:hAnsi="Arial" w:cs="Arial"/>
          <w:color w:val="000000" w:themeColor="text1"/>
          <w:sz w:val="20"/>
        </w:rPr>
      </w:pPr>
    </w:p>
    <w:p w14:paraId="48D45B77" w14:textId="77777777" w:rsidR="0006526B" w:rsidRPr="0006526B" w:rsidRDefault="0006526B" w:rsidP="0006526B">
      <w:pPr>
        <w:tabs>
          <w:tab w:val="left" w:pos="0"/>
        </w:tabs>
        <w:spacing w:after="0"/>
        <w:jc w:val="both"/>
        <w:rPr>
          <w:rFonts w:ascii="Arial" w:hAnsi="Arial" w:cs="Arial"/>
          <w:color w:val="000000" w:themeColor="text1"/>
          <w:sz w:val="20"/>
        </w:rPr>
      </w:pPr>
    </w:p>
    <w:p w14:paraId="7E152464" w14:textId="77777777" w:rsidR="00DD4B7A" w:rsidRPr="00DD4B7A" w:rsidRDefault="00DD4B7A" w:rsidP="00DD4B7A">
      <w:pPr>
        <w:jc w:val="both"/>
        <w:outlineLvl w:val="0"/>
        <w:rPr>
          <w:rFonts w:ascii="Arial" w:eastAsia="Times New Roman" w:hAnsi="Arial" w:cs="Arial"/>
          <w:szCs w:val="22"/>
          <w:lang w:val="en-GB" w:eastAsia="en-GB" w:bidi="ar-SA"/>
        </w:rPr>
      </w:pPr>
      <w:r w:rsidRPr="00DD4B7A">
        <w:rPr>
          <w:rFonts w:ascii="Arial" w:eastAsia="Times New Roman" w:hAnsi="Arial" w:cs="Arial"/>
          <w:b/>
          <w:bCs/>
          <w:szCs w:val="22"/>
          <w:lang w:val="en-GB" w:eastAsia="en-GB" w:bidi="ar-SA"/>
        </w:rPr>
        <w:lastRenderedPageBreak/>
        <w:t>COMPETING INTERESTS DISCLAIMER:</w:t>
      </w:r>
    </w:p>
    <w:p w14:paraId="0C221EC5" w14:textId="579769E9" w:rsidR="00DD4B7A" w:rsidRDefault="00DD4B7A" w:rsidP="00DD4B7A">
      <w:pPr>
        <w:rPr>
          <w:rFonts w:ascii="Calibri" w:eastAsia="Times New Roman" w:hAnsi="Calibri" w:cs="Times New Roman"/>
          <w:szCs w:val="22"/>
          <w:lang w:val="en-GB" w:eastAsia="en-GB" w:bidi="ar-SA"/>
        </w:rPr>
      </w:pPr>
      <w:r w:rsidRPr="00DD4B7A">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r w:rsidR="000D387E">
        <w:rPr>
          <w:rFonts w:ascii="Calibri" w:eastAsia="Times New Roman" w:hAnsi="Calibri" w:cs="Times New Roman"/>
          <w:szCs w:val="22"/>
          <w:lang w:val="en-GB" w:eastAsia="en-GB" w:bidi="ar-SA"/>
        </w:rPr>
        <w:br/>
      </w:r>
    </w:p>
    <w:p w14:paraId="66C6F59F" w14:textId="79C9B6C4" w:rsidR="000D387E" w:rsidRDefault="000D387E" w:rsidP="00DD4B7A">
      <w:pPr>
        <w:rPr>
          <w:rFonts w:ascii="Calibri" w:eastAsia="Times New Roman" w:hAnsi="Calibri" w:cs="Times New Roman"/>
          <w:szCs w:val="22"/>
          <w:lang w:val="en-GB" w:eastAsia="en-GB" w:bidi="ar-SA"/>
        </w:rPr>
      </w:pPr>
    </w:p>
    <w:p w14:paraId="15F76BF3" w14:textId="77777777" w:rsidR="000D387E" w:rsidRDefault="000D387E" w:rsidP="000D387E">
      <w:pPr>
        <w:tabs>
          <w:tab w:val="left" w:pos="2696"/>
        </w:tabs>
        <w:rPr>
          <w:rFonts w:ascii="Arial" w:hAnsi="Arial" w:cs="Arial"/>
          <w:sz w:val="20"/>
        </w:rPr>
      </w:pPr>
      <w:bookmarkStart w:id="2" w:name="_Hlk183685723"/>
      <w:bookmarkStart w:id="3" w:name="_Hlk198899984"/>
      <w:bookmarkStart w:id="4" w:name="_Hlk200024137"/>
    </w:p>
    <w:p w14:paraId="4FF4FA94" w14:textId="77777777" w:rsidR="000D387E" w:rsidRPr="001A1604" w:rsidRDefault="000D387E" w:rsidP="000D387E">
      <w:pPr>
        <w:rPr>
          <w:rFonts w:ascii="Calibri" w:eastAsia="Calibri" w:hAnsi="Calibri" w:cs="Times New Roman"/>
          <w:kern w:val="2"/>
        </w:rPr>
      </w:pPr>
      <w:bookmarkStart w:id="5" w:name="_Hlk201835975"/>
      <w:bookmarkStart w:id="6" w:name="_Hlk193540946"/>
      <w:bookmarkStart w:id="7" w:name="_Hlk180402183"/>
      <w:bookmarkStart w:id="8" w:name="_Hlk183680988"/>
      <w:bookmarkStart w:id="9" w:name="_Hlk197173371"/>
      <w:bookmarkEnd w:id="2"/>
      <w:r w:rsidRPr="001A1604">
        <w:rPr>
          <w:rFonts w:ascii="Calibri" w:eastAsia="Calibri" w:hAnsi="Calibri" w:cs="Times New Roman"/>
          <w:kern w:val="2"/>
        </w:rPr>
        <w:t>Disclaimer (Artificial intelligence)</w:t>
      </w:r>
    </w:p>
    <w:p w14:paraId="043DED8A" w14:textId="77777777" w:rsidR="000D387E" w:rsidRPr="001A1604" w:rsidRDefault="000D387E" w:rsidP="000D387E">
      <w:pPr>
        <w:rPr>
          <w:rFonts w:ascii="Calibri" w:eastAsia="Calibri" w:hAnsi="Calibri" w:cs="Times New Roman"/>
          <w:kern w:val="2"/>
        </w:rPr>
      </w:pPr>
      <w:r w:rsidRPr="001A1604">
        <w:rPr>
          <w:rFonts w:ascii="Calibri" w:eastAsia="Calibri" w:hAnsi="Calibri" w:cs="Times New Roman"/>
          <w:kern w:val="2"/>
        </w:rPr>
        <w:t xml:space="preserve">Option 1: </w:t>
      </w:r>
    </w:p>
    <w:bookmarkEnd w:id="3"/>
    <w:bookmarkEnd w:id="4"/>
    <w:bookmarkEnd w:id="5"/>
    <w:bookmarkEnd w:id="6"/>
    <w:bookmarkEnd w:id="7"/>
    <w:bookmarkEnd w:id="8"/>
    <w:bookmarkEnd w:id="9"/>
    <w:p w14:paraId="7DFDE737" w14:textId="7D21EDC3" w:rsidR="0006526B" w:rsidRDefault="005E2E5A" w:rsidP="0006526B">
      <w:pPr>
        <w:rPr>
          <w:rFonts w:ascii="Calibri" w:eastAsia="Calibri" w:hAnsi="Calibri" w:cs="Times New Roman"/>
          <w:kern w:val="2"/>
        </w:rPr>
      </w:pPr>
      <w:r w:rsidRPr="005E2E5A">
        <w:rPr>
          <w:rFonts w:ascii="Calibri" w:eastAsia="Calibri" w:hAnsi="Calibri" w:cs="Times New Roman"/>
          <w:kern w:val="2"/>
        </w:rPr>
        <w:t>Author(s) hereby declare that NO generative AI technologies such as Large Language Models (</w:t>
      </w:r>
      <w:proofErr w:type="spellStart"/>
      <w:r w:rsidRPr="005E2E5A">
        <w:rPr>
          <w:rFonts w:ascii="Calibri" w:eastAsia="Calibri" w:hAnsi="Calibri" w:cs="Times New Roman"/>
          <w:kern w:val="2"/>
        </w:rPr>
        <w:t>ChatGPT</w:t>
      </w:r>
      <w:proofErr w:type="spellEnd"/>
      <w:r w:rsidRPr="005E2E5A">
        <w:rPr>
          <w:rFonts w:ascii="Calibri" w:eastAsia="Calibri" w:hAnsi="Calibri" w:cs="Times New Roman"/>
          <w:kern w:val="2"/>
        </w:rPr>
        <w:t>, COPILOT, etc.) and text-to-image generators have been used during the writing or editing of this manuscript.</w:t>
      </w:r>
      <w:bookmarkStart w:id="10" w:name="_GoBack"/>
      <w:bookmarkEnd w:id="10"/>
    </w:p>
    <w:p w14:paraId="5169274E" w14:textId="77777777" w:rsidR="0006526B" w:rsidRDefault="0006526B" w:rsidP="0006526B">
      <w:pPr>
        <w:rPr>
          <w:rFonts w:ascii="Calibri" w:eastAsia="Calibri" w:hAnsi="Calibri" w:cs="Times New Roman"/>
          <w:kern w:val="2"/>
        </w:rPr>
      </w:pPr>
    </w:p>
    <w:p w14:paraId="415248CD" w14:textId="77777777" w:rsidR="0006526B" w:rsidRPr="0006526B" w:rsidRDefault="0006526B" w:rsidP="0006526B">
      <w:pPr>
        <w:rPr>
          <w:rFonts w:ascii="Calibri" w:eastAsia="Calibri" w:hAnsi="Calibri" w:cs="Times New Roman"/>
          <w:kern w:val="2"/>
        </w:rPr>
      </w:pPr>
    </w:p>
    <w:p w14:paraId="701EF484" w14:textId="77777777" w:rsidR="0044318E" w:rsidRPr="00AA4A22" w:rsidRDefault="0044318E" w:rsidP="0044318E">
      <w:pPr>
        <w:pStyle w:val="ListParagraph"/>
        <w:tabs>
          <w:tab w:val="left" w:pos="0"/>
        </w:tabs>
        <w:spacing w:after="0"/>
        <w:ind w:left="0"/>
        <w:jc w:val="both"/>
        <w:rPr>
          <w:rFonts w:ascii="Arial" w:hAnsi="Arial" w:cs="Arial"/>
          <w:b/>
          <w:bCs/>
          <w:color w:val="000000" w:themeColor="text1"/>
          <w:sz w:val="10"/>
          <w:szCs w:val="10"/>
        </w:rPr>
      </w:pPr>
    </w:p>
    <w:p w14:paraId="6E97718C" w14:textId="77777777" w:rsidR="0044318E" w:rsidRPr="00AA4A22" w:rsidRDefault="0044318E" w:rsidP="0044318E">
      <w:pPr>
        <w:jc w:val="both"/>
        <w:rPr>
          <w:rFonts w:ascii="Arial" w:hAnsi="Arial" w:cs="Arial"/>
          <w:b/>
          <w:bCs/>
          <w:color w:val="000000" w:themeColor="text1"/>
        </w:rPr>
      </w:pPr>
      <w:r w:rsidRPr="00AA4A22">
        <w:rPr>
          <w:rFonts w:ascii="Arial" w:hAnsi="Arial" w:cs="Arial"/>
          <w:b/>
          <w:bCs/>
          <w:color w:val="000000" w:themeColor="text1"/>
        </w:rPr>
        <w:t>REFERENCES</w:t>
      </w:r>
    </w:p>
    <w:p w14:paraId="42EC02F7"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Alef</w:t>
      </w:r>
      <w:proofErr w:type="spellEnd"/>
      <w:r w:rsidRPr="00AA4A22">
        <w:rPr>
          <w:rFonts w:ascii="Arial" w:hAnsi="Arial" w:cs="Arial"/>
          <w:color w:val="000000" w:themeColor="text1"/>
          <w:sz w:val="20"/>
        </w:rPr>
        <w:t xml:space="preserve"> K and </w:t>
      </w:r>
      <w:proofErr w:type="spellStart"/>
      <w:r w:rsidRPr="00AA4A22">
        <w:rPr>
          <w:rFonts w:ascii="Arial" w:hAnsi="Arial" w:cs="Arial"/>
          <w:color w:val="000000" w:themeColor="text1"/>
          <w:sz w:val="20"/>
        </w:rPr>
        <w:t>Nannipieri</w:t>
      </w:r>
      <w:proofErr w:type="spellEnd"/>
      <w:r w:rsidRPr="00AA4A22">
        <w:rPr>
          <w:rFonts w:ascii="Arial" w:hAnsi="Arial" w:cs="Arial"/>
          <w:color w:val="000000" w:themeColor="text1"/>
          <w:sz w:val="20"/>
        </w:rPr>
        <w:t xml:space="preserve"> P. (1995) Enzyme activities. In K. Alef and P. </w:t>
      </w:r>
      <w:proofErr w:type="spellStart"/>
      <w:r w:rsidRPr="00AA4A22">
        <w:rPr>
          <w:rFonts w:ascii="Arial" w:hAnsi="Arial" w:cs="Arial"/>
          <w:color w:val="000000" w:themeColor="text1"/>
          <w:sz w:val="20"/>
        </w:rPr>
        <w:t>Nannipieri</w:t>
      </w:r>
      <w:proofErr w:type="spellEnd"/>
      <w:r w:rsidRPr="00AA4A22">
        <w:rPr>
          <w:rFonts w:ascii="Arial" w:hAnsi="Arial" w:cs="Arial"/>
          <w:color w:val="000000" w:themeColor="text1"/>
          <w:sz w:val="20"/>
        </w:rPr>
        <w:t xml:space="preserve"> (Eds.). </w:t>
      </w:r>
      <w:r w:rsidRPr="00AA4A22">
        <w:rPr>
          <w:rFonts w:ascii="Arial" w:eastAsia="Times New Roman" w:hAnsi="Arial" w:cs="Arial"/>
          <w:color w:val="000000" w:themeColor="text1"/>
          <w:sz w:val="20"/>
        </w:rPr>
        <w:t>Methods in Applied Soil Microbiology and Biochemistry</w:t>
      </w:r>
      <w:r w:rsidRPr="00AA4A22">
        <w:rPr>
          <w:rFonts w:ascii="Arial" w:hAnsi="Arial" w:cs="Arial"/>
          <w:color w:val="000000" w:themeColor="text1"/>
          <w:sz w:val="20"/>
        </w:rPr>
        <w:t xml:space="preserve"> (pp. 311-373) London: Academic Press. </w:t>
      </w:r>
    </w:p>
    <w:p w14:paraId="733AA85A"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Beri V, Goswami KP and Brar SA. (1978) Urease activity and its </w:t>
      </w:r>
      <w:proofErr w:type="spellStart"/>
      <w:r w:rsidRPr="00AA4A22">
        <w:rPr>
          <w:rFonts w:ascii="Arial" w:hAnsi="Arial" w:cs="Arial"/>
          <w:color w:val="000000" w:themeColor="text1"/>
          <w:sz w:val="20"/>
        </w:rPr>
        <w:t>Michhaelis</w:t>
      </w:r>
      <w:proofErr w:type="spellEnd"/>
      <w:r w:rsidRPr="00AA4A22">
        <w:rPr>
          <w:rFonts w:ascii="Arial" w:hAnsi="Arial" w:cs="Arial"/>
          <w:color w:val="000000" w:themeColor="text1"/>
          <w:sz w:val="20"/>
        </w:rPr>
        <w:t xml:space="preserve"> constant for soil systems. Plant Soil 49, 105</w:t>
      </w:r>
      <w:r w:rsidRPr="00AA4A22">
        <w:rPr>
          <w:rFonts w:ascii="Arial" w:eastAsia="Calibri" w:hAnsi="Arial" w:cs="Arial"/>
          <w:color w:val="000000" w:themeColor="text1"/>
          <w:sz w:val="20"/>
        </w:rPr>
        <w:t>-</w:t>
      </w:r>
      <w:r w:rsidRPr="00AA4A22">
        <w:rPr>
          <w:rFonts w:ascii="Arial" w:hAnsi="Arial" w:cs="Arial"/>
          <w:color w:val="000000" w:themeColor="text1"/>
          <w:sz w:val="20"/>
        </w:rPr>
        <w:t>115.</w:t>
      </w:r>
    </w:p>
    <w:p w14:paraId="269EBD4D" w14:textId="77777777" w:rsidR="00872EC5" w:rsidRDefault="0044318E" w:rsidP="00872EC5">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Burns RG. (1983) Extracellular enzyme-substrate interactions in soil. In J. H. Slater, R. </w:t>
      </w:r>
      <w:proofErr w:type="spellStart"/>
      <w:r w:rsidRPr="00AA4A22">
        <w:rPr>
          <w:rFonts w:ascii="Arial" w:hAnsi="Arial" w:cs="Arial"/>
          <w:color w:val="000000" w:themeColor="text1"/>
          <w:sz w:val="20"/>
        </w:rPr>
        <w:t>Wittenbury</w:t>
      </w:r>
      <w:proofErr w:type="spellEnd"/>
      <w:r w:rsidRPr="00AA4A22">
        <w:rPr>
          <w:rFonts w:ascii="Arial" w:hAnsi="Arial" w:cs="Arial"/>
          <w:color w:val="000000" w:themeColor="text1"/>
          <w:sz w:val="20"/>
        </w:rPr>
        <w:t xml:space="preserve"> and J. W. T. Wimpenny (Eds.).  </w:t>
      </w:r>
      <w:r w:rsidRPr="00AA4A22">
        <w:rPr>
          <w:rFonts w:ascii="Arial" w:eastAsia="Times New Roman" w:hAnsi="Arial" w:cs="Arial"/>
          <w:color w:val="000000" w:themeColor="text1"/>
          <w:sz w:val="20"/>
        </w:rPr>
        <w:t>Microbes in their natural environments</w:t>
      </w:r>
      <w:r w:rsidRPr="00AA4A22">
        <w:rPr>
          <w:rFonts w:ascii="Arial" w:hAnsi="Arial" w:cs="Arial"/>
          <w:color w:val="000000" w:themeColor="text1"/>
          <w:sz w:val="20"/>
        </w:rPr>
        <w:t xml:space="preserve"> (pp. 249-298) London: Cambridge University Press.</w:t>
      </w:r>
    </w:p>
    <w:p w14:paraId="37CBA5D9" w14:textId="3363905F" w:rsidR="00794F85" w:rsidRPr="00872EC5" w:rsidRDefault="00872EC5" w:rsidP="00872EC5">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872EC5">
        <w:rPr>
          <w:rFonts w:ascii="Arial" w:hAnsi="Arial" w:cs="Arial"/>
          <w:color w:val="000000" w:themeColor="text1"/>
          <w:sz w:val="20"/>
        </w:rPr>
        <w:t>Bandick</w:t>
      </w:r>
      <w:proofErr w:type="spellEnd"/>
      <w:r w:rsidRPr="00872EC5">
        <w:rPr>
          <w:rFonts w:ascii="Arial" w:hAnsi="Arial" w:cs="Arial"/>
          <w:color w:val="000000" w:themeColor="text1"/>
          <w:sz w:val="20"/>
        </w:rPr>
        <w:t xml:space="preserve">, A. K. and Dick, R. P. (1999) Field management effects on soil enzyme activities. </w:t>
      </w:r>
      <w:r w:rsidRPr="00872EC5">
        <w:rPr>
          <w:rFonts w:ascii="Arial" w:hAnsi="Arial" w:cs="Arial"/>
          <w:i/>
          <w:color w:val="000000" w:themeColor="text1"/>
          <w:sz w:val="20"/>
        </w:rPr>
        <w:t>Soil Biology</w:t>
      </w:r>
      <w:r w:rsidRPr="00872EC5">
        <w:rPr>
          <w:rFonts w:ascii="Arial" w:hAnsi="Arial" w:cs="Arial"/>
          <w:color w:val="000000" w:themeColor="text1"/>
          <w:sz w:val="20"/>
        </w:rPr>
        <w:t xml:space="preserve"> </w:t>
      </w:r>
      <w:r w:rsidRPr="00872EC5">
        <w:rPr>
          <w:rFonts w:ascii="Arial" w:hAnsi="Arial" w:cs="Arial"/>
          <w:i/>
          <w:color w:val="000000" w:themeColor="text1"/>
          <w:sz w:val="20"/>
        </w:rPr>
        <w:t>and Biochemistry</w:t>
      </w:r>
      <w:r w:rsidRPr="00872EC5">
        <w:rPr>
          <w:rFonts w:ascii="Arial" w:hAnsi="Arial" w:cs="Arial"/>
          <w:color w:val="000000" w:themeColor="text1"/>
          <w:sz w:val="20"/>
        </w:rPr>
        <w:t xml:space="preserve"> </w:t>
      </w:r>
      <w:r w:rsidRPr="00872EC5">
        <w:rPr>
          <w:rFonts w:ascii="Arial" w:hAnsi="Arial" w:cs="Arial"/>
          <w:b/>
          <w:color w:val="000000" w:themeColor="text1"/>
          <w:sz w:val="20"/>
        </w:rPr>
        <w:t>31</w:t>
      </w:r>
      <w:r w:rsidRPr="00872EC5">
        <w:rPr>
          <w:rFonts w:ascii="Arial" w:hAnsi="Arial" w:cs="Arial"/>
          <w:color w:val="000000" w:themeColor="text1"/>
          <w:sz w:val="20"/>
        </w:rPr>
        <w:t xml:space="preserve">, 1471-1479. </w:t>
      </w:r>
    </w:p>
    <w:p w14:paraId="3FC8D7A6" w14:textId="7F45E769" w:rsidR="00794F85" w:rsidRPr="00794F85" w:rsidRDefault="00794F85" w:rsidP="00794F85">
      <w:pPr>
        <w:pStyle w:val="ListParagraph"/>
        <w:numPr>
          <w:ilvl w:val="0"/>
          <w:numId w:val="1"/>
        </w:numPr>
        <w:tabs>
          <w:tab w:val="left" w:pos="567"/>
        </w:tabs>
        <w:spacing w:after="0"/>
        <w:ind w:left="426" w:hanging="426"/>
        <w:jc w:val="both"/>
        <w:rPr>
          <w:rFonts w:ascii="Arial" w:hAnsi="Arial" w:cs="Arial"/>
          <w:color w:val="000000" w:themeColor="text1"/>
          <w:sz w:val="20"/>
        </w:rPr>
      </w:pPr>
      <w:r w:rsidRPr="00794F85">
        <w:rPr>
          <w:rFonts w:ascii="Arial" w:hAnsi="Arial" w:cs="Arial"/>
          <w:color w:val="000000" w:themeColor="text1"/>
          <w:sz w:val="20"/>
        </w:rPr>
        <w:t xml:space="preserve">Casida, LE., Klein, DA. and Santoro, T. (1964) Soil dehydrogenase activity. </w:t>
      </w:r>
      <w:r w:rsidRPr="00794F85">
        <w:rPr>
          <w:rFonts w:ascii="Arial" w:hAnsi="Arial" w:cs="Arial"/>
          <w:i/>
          <w:color w:val="000000" w:themeColor="text1"/>
          <w:sz w:val="20"/>
        </w:rPr>
        <w:t xml:space="preserve">Soil Science </w:t>
      </w:r>
      <w:r w:rsidRPr="00794F85">
        <w:rPr>
          <w:rFonts w:ascii="Arial" w:hAnsi="Arial" w:cs="Arial"/>
          <w:b/>
          <w:color w:val="000000" w:themeColor="text1"/>
          <w:sz w:val="20"/>
        </w:rPr>
        <w:t>98</w:t>
      </w:r>
      <w:r w:rsidRPr="00794F85">
        <w:rPr>
          <w:rFonts w:ascii="Arial" w:hAnsi="Arial" w:cs="Arial"/>
          <w:color w:val="000000" w:themeColor="text1"/>
          <w:sz w:val="20"/>
        </w:rPr>
        <w:t xml:space="preserve">, 371-376. </w:t>
      </w:r>
    </w:p>
    <w:p w14:paraId="093E6A5D" w14:textId="3DE2C5BE"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Chang E, Chung R and Tsai Y. (2007) Effect of different application rates of organic fertilizer on soil enzyme activity and microbial population. Soil Science and Plant Nutrition 53, 132–140.</w:t>
      </w:r>
    </w:p>
    <w:p w14:paraId="52A11F60"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Deng SP and Tabatabai MA. (1996) Effect of tillage and residue management on enzyme activities in soils: II. Glycosidase. Biology and Fertility of Soils 22, 208-213.</w:t>
      </w:r>
    </w:p>
    <w:p w14:paraId="0A3D8902"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Deng SP and Tabatabai MA. (1997) Effect of tillage and residue management on enzyme activities in soils: III. Phosphatases and </w:t>
      </w:r>
      <w:proofErr w:type="spellStart"/>
      <w:r w:rsidRPr="00AA4A22">
        <w:rPr>
          <w:rFonts w:ascii="Arial" w:hAnsi="Arial" w:cs="Arial"/>
          <w:color w:val="000000" w:themeColor="text1"/>
          <w:sz w:val="20"/>
        </w:rPr>
        <w:t>acrylsulfatase</w:t>
      </w:r>
      <w:proofErr w:type="spellEnd"/>
      <w:r w:rsidRPr="00AA4A22">
        <w:rPr>
          <w:rFonts w:ascii="Arial" w:hAnsi="Arial" w:cs="Arial"/>
          <w:color w:val="000000" w:themeColor="text1"/>
          <w:sz w:val="20"/>
        </w:rPr>
        <w:t>. Biology and Fertility of Soils 24, 141-146.</w:t>
      </w:r>
    </w:p>
    <w:p w14:paraId="2807A92D" w14:textId="77777777" w:rsidR="006F0987" w:rsidRDefault="0044318E" w:rsidP="006F0987">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Dadenko</w:t>
      </w:r>
      <w:proofErr w:type="spellEnd"/>
      <w:r w:rsidRPr="00AA4A22">
        <w:rPr>
          <w:rFonts w:ascii="Arial" w:hAnsi="Arial" w:cs="Arial"/>
          <w:color w:val="000000" w:themeColor="text1"/>
          <w:sz w:val="20"/>
        </w:rPr>
        <w:t xml:space="preserve"> EV, </w:t>
      </w:r>
      <w:proofErr w:type="spellStart"/>
      <w:r w:rsidRPr="00AA4A22">
        <w:rPr>
          <w:rFonts w:ascii="Arial" w:hAnsi="Arial" w:cs="Arial"/>
          <w:color w:val="000000" w:themeColor="text1"/>
          <w:sz w:val="20"/>
        </w:rPr>
        <w:t>Kazeev</w:t>
      </w:r>
      <w:proofErr w:type="spellEnd"/>
      <w:r w:rsidRPr="00AA4A22">
        <w:rPr>
          <w:rFonts w:ascii="Arial" w:hAnsi="Arial" w:cs="Arial"/>
          <w:color w:val="000000" w:themeColor="text1"/>
          <w:sz w:val="20"/>
        </w:rPr>
        <w:t xml:space="preserve"> KS, Kolesnikov SI and Valkov VF.  (2009) Changes in the enzymatic activity of soil samples upon their storage. Eurasian Soil Science 42 (12),1380-1385.</w:t>
      </w:r>
    </w:p>
    <w:p w14:paraId="4103FC00" w14:textId="77777777" w:rsidR="006F0987" w:rsidRDefault="006F0987" w:rsidP="006F0987">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6F0987">
        <w:rPr>
          <w:rFonts w:ascii="Arial" w:hAnsi="Arial" w:cs="Arial"/>
          <w:color w:val="000000" w:themeColor="text1"/>
          <w:sz w:val="20"/>
        </w:rPr>
        <w:t>Eivazi</w:t>
      </w:r>
      <w:proofErr w:type="spellEnd"/>
      <w:r w:rsidRPr="006F0987">
        <w:rPr>
          <w:rFonts w:ascii="Arial" w:hAnsi="Arial" w:cs="Arial"/>
          <w:color w:val="000000" w:themeColor="text1"/>
          <w:sz w:val="20"/>
        </w:rPr>
        <w:t xml:space="preserve">, F. and Tabatabai, MA. (1977) Phosphatase in soil. </w:t>
      </w:r>
      <w:r w:rsidRPr="006F0987">
        <w:rPr>
          <w:rFonts w:ascii="Arial" w:hAnsi="Arial" w:cs="Arial"/>
          <w:i/>
          <w:color w:val="000000" w:themeColor="text1"/>
          <w:sz w:val="20"/>
        </w:rPr>
        <w:t>Soil Biology and Biochemistry</w:t>
      </w:r>
      <w:r w:rsidRPr="006F0987">
        <w:rPr>
          <w:rFonts w:ascii="Arial" w:hAnsi="Arial" w:cs="Arial"/>
          <w:color w:val="000000" w:themeColor="text1"/>
          <w:sz w:val="20"/>
        </w:rPr>
        <w:t xml:space="preserve"> </w:t>
      </w:r>
      <w:r w:rsidRPr="006F0987">
        <w:rPr>
          <w:rFonts w:ascii="Arial" w:hAnsi="Arial" w:cs="Arial"/>
          <w:b/>
          <w:color w:val="000000" w:themeColor="text1"/>
          <w:sz w:val="20"/>
        </w:rPr>
        <w:t>9</w:t>
      </w:r>
      <w:r w:rsidRPr="006F0987">
        <w:rPr>
          <w:rFonts w:ascii="Arial" w:hAnsi="Arial" w:cs="Arial"/>
          <w:color w:val="000000" w:themeColor="text1"/>
          <w:sz w:val="20"/>
        </w:rPr>
        <w:t>, 3.</w:t>
      </w:r>
    </w:p>
    <w:p w14:paraId="53F65778" w14:textId="57CF267A" w:rsidR="006F0987" w:rsidRPr="006F0987" w:rsidRDefault="006F0987" w:rsidP="006F0987">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6F0987">
        <w:rPr>
          <w:rFonts w:ascii="Arial" w:hAnsi="Arial" w:cs="Arial"/>
          <w:color w:val="000000" w:themeColor="text1"/>
          <w:sz w:val="20"/>
        </w:rPr>
        <w:t>Eivazi</w:t>
      </w:r>
      <w:proofErr w:type="spellEnd"/>
      <w:r w:rsidRPr="006F0987">
        <w:rPr>
          <w:rFonts w:ascii="Arial" w:hAnsi="Arial" w:cs="Arial"/>
          <w:color w:val="000000" w:themeColor="text1"/>
          <w:sz w:val="20"/>
        </w:rPr>
        <w:t xml:space="preserve">, F. and Tabatabai, MA. (1988) Glucosidases and galactosidases in soils. </w:t>
      </w:r>
      <w:r w:rsidRPr="006F0987">
        <w:rPr>
          <w:rFonts w:ascii="Arial" w:hAnsi="Arial" w:cs="Arial"/>
          <w:i/>
          <w:color w:val="000000" w:themeColor="text1"/>
          <w:sz w:val="20"/>
        </w:rPr>
        <w:t>Soil Biology and Biochemistry</w:t>
      </w:r>
      <w:r w:rsidRPr="006F0987">
        <w:rPr>
          <w:rFonts w:ascii="Arial" w:hAnsi="Arial" w:cs="Arial"/>
          <w:color w:val="000000" w:themeColor="text1"/>
          <w:sz w:val="20"/>
        </w:rPr>
        <w:t xml:space="preserve"> </w:t>
      </w:r>
      <w:r w:rsidRPr="006F0987">
        <w:rPr>
          <w:rFonts w:ascii="Arial" w:hAnsi="Arial" w:cs="Arial"/>
          <w:b/>
          <w:color w:val="000000" w:themeColor="text1"/>
          <w:sz w:val="20"/>
        </w:rPr>
        <w:t>20</w:t>
      </w:r>
      <w:r w:rsidRPr="006F0987">
        <w:rPr>
          <w:rFonts w:ascii="Arial" w:hAnsi="Arial" w:cs="Arial"/>
          <w:color w:val="000000" w:themeColor="text1"/>
          <w:sz w:val="20"/>
        </w:rPr>
        <w:t xml:space="preserve">, 601-606. </w:t>
      </w:r>
    </w:p>
    <w:p w14:paraId="0E0C3901"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Juma NG and Tabatabai MA. (1978) Distribution of phosphomonoesterases in soils. Soil Science 126, 101-108.</w:t>
      </w:r>
    </w:p>
    <w:p w14:paraId="05F38B65"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Calibri" w:hAnsi="Arial" w:cs="Arial"/>
          <w:color w:val="000000" w:themeColor="text1"/>
          <w:sz w:val="20"/>
        </w:rPr>
      </w:pPr>
      <w:r w:rsidRPr="00AA4A22">
        <w:rPr>
          <w:rFonts w:ascii="Arial" w:eastAsia="Times New Roman" w:hAnsi="Arial" w:cs="Arial"/>
          <w:color w:val="000000" w:themeColor="text1"/>
          <w:sz w:val="20"/>
        </w:rPr>
        <w:t xml:space="preserve">Kumar S, Chaudhuri S and Maiti SK. (2015) </w:t>
      </w:r>
      <w:r w:rsidRPr="00AA4A22">
        <w:rPr>
          <w:rFonts w:ascii="Arial" w:hAnsi="Arial" w:cs="Arial"/>
          <w:color w:val="000000" w:themeColor="text1"/>
          <w:sz w:val="20"/>
        </w:rPr>
        <w:t>Soil phosphatase activity in natural and mined soil –a review.</w:t>
      </w:r>
      <w:r w:rsidRPr="00AA4A22">
        <w:rPr>
          <w:rFonts w:ascii="Arial" w:eastAsia="Calibri" w:hAnsi="Arial" w:cs="Arial"/>
          <w:color w:val="000000" w:themeColor="text1"/>
          <w:sz w:val="20"/>
        </w:rPr>
        <w:t xml:space="preserve"> Indian Journal of Environmental Protection. </w:t>
      </w:r>
    </w:p>
    <w:p w14:paraId="6B3765B9" w14:textId="77777777" w:rsidR="0044318E" w:rsidRPr="00AA4A22" w:rsidRDefault="0044318E" w:rsidP="0044318E">
      <w:pPr>
        <w:pStyle w:val="ListParagraph"/>
        <w:numPr>
          <w:ilvl w:val="0"/>
          <w:numId w:val="1"/>
        </w:numPr>
        <w:tabs>
          <w:tab w:val="left" w:pos="567"/>
          <w:tab w:val="left" w:pos="4253"/>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lastRenderedPageBreak/>
        <w:t xml:space="preserve">Kumari JA, Rao PC, Padmasri A and Kumar BA. (2017) Effect of temperature on soil enzyme alkaline phosphatase. </w:t>
      </w:r>
      <w:r w:rsidRPr="00AA4A22">
        <w:rPr>
          <w:rFonts w:ascii="Arial" w:eastAsia="Cambria" w:hAnsi="Arial" w:cs="Arial"/>
          <w:color w:val="000000" w:themeColor="text1"/>
          <w:sz w:val="20"/>
        </w:rPr>
        <w:t>Bulletin of Environment, Pharmacology and Life Sciences</w:t>
      </w:r>
      <w:r w:rsidRPr="00AA4A22">
        <w:rPr>
          <w:rFonts w:ascii="Arial" w:hAnsi="Arial" w:cs="Arial"/>
          <w:color w:val="000000" w:themeColor="text1"/>
          <w:sz w:val="20"/>
        </w:rPr>
        <w:t xml:space="preserve"> 6 (3), 282-286.</w:t>
      </w:r>
    </w:p>
    <w:p w14:paraId="474667B6"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Times New Roman" w:hAnsi="Arial" w:cs="Arial"/>
          <w:color w:val="000000" w:themeColor="text1"/>
          <w:sz w:val="20"/>
        </w:rPr>
      </w:pPr>
      <w:r w:rsidRPr="00AA4A22">
        <w:rPr>
          <w:rFonts w:ascii="Arial" w:eastAsia="Calibri" w:hAnsi="Arial" w:cs="Arial"/>
          <w:color w:val="000000" w:themeColor="text1"/>
          <w:w w:val="107"/>
          <w:sz w:val="20"/>
        </w:rPr>
        <w:t xml:space="preserve">Kocak B. (2020) </w:t>
      </w:r>
      <w:hyperlink r:id="rId7">
        <w:r w:rsidRPr="00AA4A22">
          <w:rPr>
            <w:rFonts w:ascii="Arial" w:eastAsia="Calibri" w:hAnsi="Arial" w:cs="Arial"/>
            <w:color w:val="000000" w:themeColor="text1"/>
            <w:sz w:val="20"/>
          </w:rPr>
          <w:t>Importance of urease activity in soil</w:t>
        </w:r>
      </w:hyperlink>
      <w:r w:rsidRPr="00AA4A22">
        <w:rPr>
          <w:rFonts w:ascii="Arial" w:hAnsi="Arial" w:cs="Arial"/>
          <w:color w:val="000000" w:themeColor="text1"/>
          <w:sz w:val="20"/>
        </w:rPr>
        <w:t xml:space="preserve">. </w:t>
      </w:r>
      <w:proofErr w:type="spellStart"/>
      <w:r w:rsidRPr="00AA4A22">
        <w:rPr>
          <w:rFonts w:ascii="Arial" w:eastAsia="Times New Roman" w:hAnsi="Arial" w:cs="Arial"/>
          <w:color w:val="000000" w:themeColor="text1"/>
          <w:sz w:val="20"/>
        </w:rPr>
        <w:t>Cukurova</w:t>
      </w:r>
      <w:proofErr w:type="spellEnd"/>
      <w:r w:rsidRPr="00AA4A22">
        <w:rPr>
          <w:rFonts w:ascii="Arial" w:eastAsia="Times New Roman" w:hAnsi="Arial" w:cs="Arial"/>
          <w:color w:val="000000" w:themeColor="text1"/>
          <w:sz w:val="20"/>
        </w:rPr>
        <w:t xml:space="preserve"> University, Faculty of Arts and Sciences, Department of Biology. </w:t>
      </w:r>
    </w:p>
    <w:p w14:paraId="7305948B"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Calibri" w:hAnsi="Arial" w:cs="Arial"/>
          <w:color w:val="000000" w:themeColor="text1"/>
          <w:w w:val="107"/>
          <w:sz w:val="20"/>
        </w:rPr>
      </w:pPr>
      <w:r w:rsidRPr="00AA4A22">
        <w:rPr>
          <w:rFonts w:ascii="Arial" w:hAnsi="Arial" w:cs="Arial"/>
          <w:color w:val="000000" w:themeColor="text1"/>
          <w:sz w:val="20"/>
        </w:rPr>
        <w:t>Kaur J and Kaur G. (2021) Dehydrogenase activity as a biological indicator of soil health. Chemical science review and letters 10, 326-329.</w:t>
      </w:r>
      <w:r w:rsidRPr="00AA4A22">
        <w:rPr>
          <w:rFonts w:ascii="Arial" w:eastAsia="Times New Roman" w:hAnsi="Arial" w:cs="Arial"/>
          <w:color w:val="000000" w:themeColor="text1"/>
          <w:sz w:val="20"/>
        </w:rPr>
        <w:t xml:space="preserve"> </w:t>
      </w:r>
    </w:p>
    <w:p w14:paraId="38209A1F"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Kang N and Andreas SP. (2022) </w:t>
      </w:r>
      <w:r w:rsidRPr="00AA4A22">
        <w:rPr>
          <w:rFonts w:ascii="Arial" w:eastAsia="Calibri" w:hAnsi="Arial" w:cs="Arial"/>
          <w:color w:val="000000" w:themeColor="text1"/>
          <w:sz w:val="20"/>
        </w:rPr>
        <w:t>Soil moisture and temperature effects on granule dissolution and urease activity of urea with and without inhibitors-An incubation study. Agriculture</w:t>
      </w:r>
      <w:r w:rsidRPr="00AA4A22">
        <w:rPr>
          <w:rFonts w:ascii="Arial" w:hAnsi="Arial" w:cs="Arial"/>
          <w:color w:val="000000" w:themeColor="text1"/>
          <w:sz w:val="20"/>
        </w:rPr>
        <w:t xml:space="preserve"> </w:t>
      </w:r>
      <w:r w:rsidRPr="00AA4A22">
        <w:rPr>
          <w:rFonts w:ascii="Arial" w:hAnsi="Arial" w:cs="Arial"/>
          <w:color w:val="000000" w:themeColor="text1"/>
          <w:sz w:val="20"/>
        </w:rPr>
        <w:fldChar w:fldCharType="begin"/>
      </w:r>
      <w:r w:rsidRPr="00AA4A22">
        <w:rPr>
          <w:rFonts w:ascii="Arial" w:hAnsi="Arial" w:cs="Arial"/>
          <w:color w:val="000000" w:themeColor="text1"/>
          <w:sz w:val="20"/>
        </w:rPr>
        <w:instrText xml:space="preserve"> NUMPAGES   \* MERGEFORMAT </w:instrText>
      </w:r>
      <w:r w:rsidRPr="00AA4A22">
        <w:rPr>
          <w:rFonts w:ascii="Arial" w:hAnsi="Arial" w:cs="Arial"/>
          <w:color w:val="000000" w:themeColor="text1"/>
          <w:sz w:val="20"/>
        </w:rPr>
        <w:fldChar w:fldCharType="separate"/>
      </w:r>
      <w:r w:rsidRPr="00AA4A22">
        <w:rPr>
          <w:rFonts w:ascii="Arial" w:hAnsi="Arial" w:cs="Arial"/>
          <w:noProof/>
          <w:color w:val="000000" w:themeColor="text1"/>
          <w:sz w:val="20"/>
        </w:rPr>
        <w:t>117</w:t>
      </w:r>
      <w:r w:rsidRPr="00AA4A22">
        <w:rPr>
          <w:rFonts w:ascii="Arial" w:hAnsi="Arial" w:cs="Arial"/>
          <w:color w:val="000000" w:themeColor="text1"/>
          <w:sz w:val="20"/>
        </w:rPr>
        <w:fldChar w:fldCharType="end"/>
      </w:r>
      <w:r w:rsidRPr="00AA4A22">
        <w:rPr>
          <w:rFonts w:ascii="Arial" w:hAnsi="Arial" w:cs="Arial"/>
          <w:color w:val="000000" w:themeColor="text1"/>
          <w:sz w:val="20"/>
        </w:rPr>
        <w:t>, 2037.</w:t>
      </w:r>
    </w:p>
    <w:p w14:paraId="13F53415"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Times New Roman" w:hAnsi="Arial" w:cs="Arial"/>
          <w:color w:val="000000" w:themeColor="text1"/>
          <w:sz w:val="20"/>
        </w:rPr>
      </w:pPr>
      <w:r w:rsidRPr="00AA4A22">
        <w:rPr>
          <w:rFonts w:ascii="Arial" w:eastAsia="Times New Roman" w:hAnsi="Arial" w:cs="Arial"/>
          <w:color w:val="000000" w:themeColor="text1"/>
          <w:sz w:val="20"/>
        </w:rPr>
        <w:t xml:space="preserve">Onal S. (2010) </w:t>
      </w:r>
      <w:proofErr w:type="spellStart"/>
      <w:r w:rsidRPr="00AA4A22">
        <w:rPr>
          <w:rFonts w:ascii="Arial" w:eastAsia="Times New Roman" w:hAnsi="Arial" w:cs="Arial"/>
          <w:color w:val="000000" w:themeColor="text1"/>
          <w:sz w:val="20"/>
        </w:rPr>
        <w:t>Enzimler</w:t>
      </w:r>
      <w:proofErr w:type="spellEnd"/>
      <w:r w:rsidRPr="00AA4A22">
        <w:rPr>
          <w:rFonts w:ascii="Arial" w:eastAsia="Times New Roman" w:hAnsi="Arial" w:cs="Arial"/>
          <w:color w:val="000000" w:themeColor="text1"/>
          <w:sz w:val="20"/>
        </w:rPr>
        <w:t xml:space="preserve">. In A. Yildirim, F. </w:t>
      </w:r>
      <w:proofErr w:type="spellStart"/>
      <w:r w:rsidRPr="00AA4A22">
        <w:rPr>
          <w:rFonts w:ascii="Arial" w:eastAsia="Times New Roman" w:hAnsi="Arial" w:cs="Arial"/>
          <w:color w:val="000000" w:themeColor="text1"/>
          <w:sz w:val="20"/>
        </w:rPr>
        <w:t>Bardakci</w:t>
      </w:r>
      <w:proofErr w:type="spellEnd"/>
      <w:r w:rsidRPr="00AA4A22">
        <w:rPr>
          <w:rFonts w:ascii="Arial" w:eastAsia="Times New Roman" w:hAnsi="Arial" w:cs="Arial"/>
          <w:color w:val="000000" w:themeColor="text1"/>
          <w:sz w:val="20"/>
        </w:rPr>
        <w:t xml:space="preserve">, M. Karatas and B. </w:t>
      </w:r>
      <w:proofErr w:type="spellStart"/>
      <w:r w:rsidRPr="00AA4A22">
        <w:rPr>
          <w:rFonts w:ascii="Arial" w:eastAsia="Times New Roman" w:hAnsi="Arial" w:cs="Arial"/>
          <w:color w:val="000000" w:themeColor="text1"/>
          <w:sz w:val="20"/>
        </w:rPr>
        <w:t>Tanyolaç</w:t>
      </w:r>
      <w:proofErr w:type="spellEnd"/>
      <w:r w:rsidRPr="00AA4A22">
        <w:rPr>
          <w:rFonts w:ascii="Arial" w:eastAsia="Times New Roman" w:hAnsi="Arial" w:cs="Arial"/>
          <w:color w:val="000000" w:themeColor="text1"/>
          <w:sz w:val="20"/>
        </w:rPr>
        <w:t xml:space="preserve"> (Eds.), </w:t>
      </w:r>
      <w:proofErr w:type="spellStart"/>
      <w:r w:rsidRPr="00AA4A22">
        <w:rPr>
          <w:rFonts w:ascii="Arial" w:eastAsia="Times New Roman" w:hAnsi="Arial" w:cs="Arial"/>
          <w:color w:val="000000" w:themeColor="text1"/>
          <w:sz w:val="20"/>
        </w:rPr>
        <w:t>Molekuler</w:t>
      </w:r>
      <w:proofErr w:type="spellEnd"/>
      <w:r w:rsidRPr="00AA4A22">
        <w:rPr>
          <w:rFonts w:ascii="Arial" w:eastAsia="Times New Roman" w:hAnsi="Arial" w:cs="Arial"/>
          <w:color w:val="000000" w:themeColor="text1"/>
          <w:sz w:val="20"/>
        </w:rPr>
        <w:t xml:space="preserve"> </w:t>
      </w:r>
      <w:proofErr w:type="spellStart"/>
      <w:r w:rsidRPr="00AA4A22">
        <w:rPr>
          <w:rFonts w:ascii="Arial" w:eastAsia="Times New Roman" w:hAnsi="Arial" w:cs="Arial"/>
          <w:color w:val="000000" w:themeColor="text1"/>
          <w:sz w:val="20"/>
        </w:rPr>
        <w:t>Biyoloji</w:t>
      </w:r>
      <w:proofErr w:type="spellEnd"/>
      <w:r w:rsidRPr="00AA4A22">
        <w:rPr>
          <w:rFonts w:ascii="Arial" w:hAnsi="Arial" w:cs="Arial"/>
          <w:color w:val="000000" w:themeColor="text1"/>
          <w:sz w:val="20"/>
        </w:rPr>
        <w:t xml:space="preserve"> (pp. 249</w:t>
      </w:r>
      <w:r w:rsidRPr="00AA4A22">
        <w:rPr>
          <w:rFonts w:ascii="Arial" w:eastAsia="Times New Roman" w:hAnsi="Arial" w:cs="Arial"/>
          <w:color w:val="000000" w:themeColor="text1"/>
          <w:sz w:val="20"/>
        </w:rPr>
        <w:t xml:space="preserve">–296). Ankara, </w:t>
      </w:r>
      <w:proofErr w:type="spellStart"/>
      <w:r w:rsidRPr="00AA4A22">
        <w:rPr>
          <w:rFonts w:ascii="Arial" w:eastAsia="Times New Roman" w:hAnsi="Arial" w:cs="Arial"/>
          <w:color w:val="000000" w:themeColor="text1"/>
          <w:sz w:val="20"/>
        </w:rPr>
        <w:t>Turkiye</w:t>
      </w:r>
      <w:proofErr w:type="spellEnd"/>
      <w:r w:rsidRPr="00AA4A22">
        <w:rPr>
          <w:rFonts w:ascii="Arial" w:eastAsia="Times New Roman" w:hAnsi="Arial" w:cs="Arial"/>
          <w:color w:val="000000" w:themeColor="text1"/>
          <w:sz w:val="20"/>
        </w:rPr>
        <w:t xml:space="preserve">: Nobel </w:t>
      </w:r>
      <w:proofErr w:type="spellStart"/>
      <w:r w:rsidRPr="00AA4A22">
        <w:rPr>
          <w:rFonts w:ascii="Arial" w:eastAsia="Times New Roman" w:hAnsi="Arial" w:cs="Arial"/>
          <w:color w:val="000000" w:themeColor="text1"/>
          <w:sz w:val="20"/>
        </w:rPr>
        <w:t>Yayin</w:t>
      </w:r>
      <w:proofErr w:type="spellEnd"/>
      <w:r w:rsidRPr="00AA4A22">
        <w:rPr>
          <w:rFonts w:ascii="Arial" w:eastAsia="Times New Roman" w:hAnsi="Arial" w:cs="Arial"/>
          <w:color w:val="000000" w:themeColor="text1"/>
          <w:sz w:val="20"/>
        </w:rPr>
        <w:t xml:space="preserve"> </w:t>
      </w:r>
      <w:proofErr w:type="spellStart"/>
      <w:r w:rsidRPr="00AA4A22">
        <w:rPr>
          <w:rFonts w:ascii="Arial" w:eastAsia="Times New Roman" w:hAnsi="Arial" w:cs="Arial"/>
          <w:color w:val="000000" w:themeColor="text1"/>
          <w:sz w:val="20"/>
        </w:rPr>
        <w:t>Dagitim</w:t>
      </w:r>
      <w:proofErr w:type="spellEnd"/>
      <w:r w:rsidRPr="00AA4A22">
        <w:rPr>
          <w:rFonts w:ascii="Arial" w:eastAsia="Times New Roman" w:hAnsi="Arial" w:cs="Arial"/>
          <w:color w:val="000000" w:themeColor="text1"/>
          <w:sz w:val="20"/>
        </w:rPr>
        <w:t>.</w:t>
      </w:r>
    </w:p>
    <w:p w14:paraId="40DBD6BB"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Panse</w:t>
      </w:r>
      <w:proofErr w:type="spellEnd"/>
      <w:r w:rsidRPr="00AA4A22">
        <w:rPr>
          <w:rFonts w:ascii="Arial" w:hAnsi="Arial" w:cs="Arial"/>
          <w:color w:val="000000" w:themeColor="text1"/>
          <w:sz w:val="20"/>
        </w:rPr>
        <w:t xml:space="preserve"> VG and </w:t>
      </w:r>
      <w:proofErr w:type="spellStart"/>
      <w:r w:rsidRPr="00AA4A22">
        <w:rPr>
          <w:rFonts w:ascii="Arial" w:hAnsi="Arial" w:cs="Arial"/>
          <w:color w:val="000000" w:themeColor="text1"/>
          <w:sz w:val="20"/>
        </w:rPr>
        <w:t>Sukhatme</w:t>
      </w:r>
      <w:proofErr w:type="spellEnd"/>
      <w:r w:rsidRPr="00AA4A22">
        <w:rPr>
          <w:rFonts w:ascii="Arial" w:hAnsi="Arial" w:cs="Arial"/>
          <w:color w:val="000000" w:themeColor="text1"/>
          <w:sz w:val="20"/>
        </w:rPr>
        <w:t xml:space="preserve"> PV. (1985) Statistical methods for Agriculture Workers. Indian Council of Agriculture Research, New Delhi pp.347.</w:t>
      </w:r>
    </w:p>
    <w:p w14:paraId="4CC99A40"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Phalke DH, Patil SR, </w:t>
      </w:r>
      <w:proofErr w:type="spellStart"/>
      <w:r w:rsidRPr="00AA4A22">
        <w:rPr>
          <w:rFonts w:ascii="Arial" w:hAnsi="Arial" w:cs="Arial"/>
          <w:color w:val="000000" w:themeColor="text1"/>
          <w:sz w:val="20"/>
        </w:rPr>
        <w:t>Pharande</w:t>
      </w:r>
      <w:proofErr w:type="spellEnd"/>
      <w:r w:rsidRPr="00AA4A22">
        <w:rPr>
          <w:rFonts w:ascii="Arial" w:hAnsi="Arial" w:cs="Arial"/>
          <w:color w:val="000000" w:themeColor="text1"/>
          <w:sz w:val="20"/>
        </w:rPr>
        <w:t xml:space="preserve"> AL, Manna MC, Sahu A and Kaur S. (2016) Effect of in situ Recycling of Sugarcane Crop Residues on Soil Enzyme Activities Under Soybean–Maize System. Proceedings of the National Academy of Sciences, India Section B: Biological Sciences 86, 299–307. </w:t>
      </w:r>
    </w:p>
    <w:p w14:paraId="6D2F6CAD" w14:textId="77777777" w:rsidR="0044318E" w:rsidRPr="00AA4A22" w:rsidRDefault="0044318E" w:rsidP="0044318E">
      <w:pPr>
        <w:pStyle w:val="ListParagraph"/>
        <w:numPr>
          <w:ilvl w:val="0"/>
          <w:numId w:val="1"/>
        </w:numPr>
        <w:tabs>
          <w:tab w:val="left" w:pos="567"/>
        </w:tabs>
        <w:spacing w:after="0"/>
        <w:ind w:left="426" w:hanging="426"/>
        <w:jc w:val="both"/>
        <w:rPr>
          <w:rFonts w:ascii="Arial" w:eastAsia="Monotype Corsiva" w:hAnsi="Arial" w:cs="Arial"/>
          <w:color w:val="000000" w:themeColor="text1"/>
          <w:sz w:val="20"/>
        </w:rPr>
      </w:pPr>
      <w:proofErr w:type="spellStart"/>
      <w:r w:rsidRPr="00AA4A22">
        <w:rPr>
          <w:rFonts w:ascii="Arial" w:hAnsi="Arial" w:cs="Arial"/>
          <w:color w:val="000000" w:themeColor="text1"/>
          <w:sz w:val="20"/>
        </w:rPr>
        <w:t>Pacharane</w:t>
      </w:r>
      <w:proofErr w:type="spellEnd"/>
      <w:r w:rsidRPr="00AA4A22">
        <w:rPr>
          <w:rFonts w:ascii="Arial" w:hAnsi="Arial" w:cs="Arial"/>
          <w:color w:val="000000" w:themeColor="text1"/>
          <w:sz w:val="20"/>
        </w:rPr>
        <w:t xml:space="preserve"> S, Patil S, </w:t>
      </w:r>
      <w:proofErr w:type="spellStart"/>
      <w:r w:rsidRPr="00AA4A22">
        <w:rPr>
          <w:rFonts w:ascii="Arial" w:hAnsi="Arial" w:cs="Arial"/>
          <w:color w:val="000000" w:themeColor="text1"/>
          <w:sz w:val="20"/>
        </w:rPr>
        <w:t>Durgude</w:t>
      </w:r>
      <w:proofErr w:type="spellEnd"/>
      <w:r w:rsidRPr="00AA4A22">
        <w:rPr>
          <w:rFonts w:ascii="Arial" w:hAnsi="Arial" w:cs="Arial"/>
          <w:color w:val="000000" w:themeColor="text1"/>
          <w:sz w:val="20"/>
        </w:rPr>
        <w:t xml:space="preserve"> SA, Ram S and Yadav K. (2021) Effect of long term in situ recycling of sugarcane trash and industrial waste on soil health under sugarcane land use system in an </w:t>
      </w:r>
      <w:proofErr w:type="spellStart"/>
      <w:r w:rsidRPr="00AA4A22">
        <w:rPr>
          <w:rFonts w:ascii="Arial" w:hAnsi="Arial" w:cs="Arial"/>
          <w:color w:val="000000" w:themeColor="text1"/>
          <w:sz w:val="20"/>
        </w:rPr>
        <w:t>Inceptisol</w:t>
      </w:r>
      <w:proofErr w:type="spellEnd"/>
      <w:r w:rsidRPr="00AA4A22">
        <w:rPr>
          <w:rFonts w:ascii="Arial" w:hAnsi="Arial" w:cs="Arial"/>
          <w:color w:val="000000" w:themeColor="text1"/>
          <w:sz w:val="20"/>
        </w:rPr>
        <w:t xml:space="preserve">. </w:t>
      </w:r>
      <w:r w:rsidRPr="00AA4A22">
        <w:rPr>
          <w:rFonts w:ascii="Arial" w:eastAsia="Monotype Corsiva" w:hAnsi="Arial" w:cs="Arial"/>
          <w:color w:val="000000" w:themeColor="text1"/>
          <w:sz w:val="20"/>
        </w:rPr>
        <w:t>International Journal of Current Microbiology and Applied Sciences 10 (03).</w:t>
      </w:r>
    </w:p>
    <w:p w14:paraId="4F692A79"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Rao SV. (1989) Distribution, kinetics and some interactions of urease and phosphatases in soils. Ph.D. Thesis Acharya N G Ranga Agricultural University, Hyderabad.</w:t>
      </w:r>
    </w:p>
    <w:p w14:paraId="63A6FCBE" w14:textId="77777777" w:rsidR="0044318E" w:rsidRPr="00AA4A22" w:rsidRDefault="0044318E" w:rsidP="0044318E">
      <w:pPr>
        <w:pStyle w:val="ListParagraph"/>
        <w:numPr>
          <w:ilvl w:val="0"/>
          <w:numId w:val="1"/>
        </w:numPr>
        <w:tabs>
          <w:tab w:val="left" w:pos="567"/>
        </w:tabs>
        <w:spacing w:after="0"/>
        <w:ind w:left="426" w:hanging="426"/>
        <w:jc w:val="both"/>
        <w:rPr>
          <w:rFonts w:ascii="Arial" w:hAnsi="Arial" w:cs="Arial"/>
          <w:color w:val="000000" w:themeColor="text1"/>
          <w:sz w:val="20"/>
        </w:rPr>
      </w:pPr>
      <w:proofErr w:type="spellStart"/>
      <w:r w:rsidRPr="00AA4A22">
        <w:rPr>
          <w:rFonts w:ascii="Arial" w:hAnsi="Arial" w:cs="Arial"/>
          <w:color w:val="000000" w:themeColor="text1"/>
          <w:sz w:val="20"/>
        </w:rPr>
        <w:t>Sinsabaugh</w:t>
      </w:r>
      <w:proofErr w:type="spellEnd"/>
      <w:r w:rsidRPr="00AA4A22">
        <w:rPr>
          <w:rFonts w:ascii="Arial" w:hAnsi="Arial" w:cs="Arial"/>
          <w:color w:val="000000" w:themeColor="text1"/>
          <w:sz w:val="20"/>
        </w:rPr>
        <w:t xml:space="preserve"> RL, </w:t>
      </w:r>
      <w:proofErr w:type="spellStart"/>
      <w:r w:rsidRPr="00AA4A22">
        <w:rPr>
          <w:rFonts w:ascii="Arial" w:hAnsi="Arial" w:cs="Arial"/>
          <w:color w:val="000000" w:themeColor="text1"/>
          <w:sz w:val="20"/>
        </w:rPr>
        <w:t>Antibus</w:t>
      </w:r>
      <w:proofErr w:type="spellEnd"/>
      <w:r w:rsidRPr="00AA4A22">
        <w:rPr>
          <w:rFonts w:ascii="Arial" w:hAnsi="Arial" w:cs="Arial"/>
          <w:color w:val="000000" w:themeColor="text1"/>
          <w:sz w:val="20"/>
        </w:rPr>
        <w:t xml:space="preserve"> RK and </w:t>
      </w:r>
      <w:proofErr w:type="spellStart"/>
      <w:r w:rsidRPr="00AA4A22">
        <w:rPr>
          <w:rFonts w:ascii="Arial" w:hAnsi="Arial" w:cs="Arial"/>
          <w:color w:val="000000" w:themeColor="text1"/>
          <w:sz w:val="20"/>
        </w:rPr>
        <w:t>Linkins</w:t>
      </w:r>
      <w:proofErr w:type="spellEnd"/>
      <w:r w:rsidRPr="00AA4A22">
        <w:rPr>
          <w:rFonts w:ascii="Arial" w:hAnsi="Arial" w:cs="Arial"/>
          <w:color w:val="000000" w:themeColor="text1"/>
          <w:sz w:val="20"/>
        </w:rPr>
        <w:t xml:space="preserve"> AE. (1991) An enzymic approach to the analysis of microbial activity during plant litter decomposition. </w:t>
      </w:r>
      <w:r w:rsidRPr="00AA4A22">
        <w:rPr>
          <w:rFonts w:ascii="Arial" w:eastAsia="Times New Roman" w:hAnsi="Arial" w:cs="Arial"/>
          <w:color w:val="000000" w:themeColor="text1"/>
          <w:sz w:val="20"/>
        </w:rPr>
        <w:t>Agriculture, Ecosystems and Environment 34</w:t>
      </w:r>
      <w:r w:rsidRPr="00AA4A22">
        <w:rPr>
          <w:rFonts w:ascii="Arial" w:hAnsi="Arial" w:cs="Arial"/>
          <w:color w:val="000000" w:themeColor="text1"/>
          <w:sz w:val="20"/>
        </w:rPr>
        <w:t xml:space="preserve">, 43-54.  </w:t>
      </w:r>
    </w:p>
    <w:p w14:paraId="3D120D39" w14:textId="77777777" w:rsidR="006F0987" w:rsidRDefault="0044318E" w:rsidP="006F0987">
      <w:pPr>
        <w:pStyle w:val="ListParagraph"/>
        <w:numPr>
          <w:ilvl w:val="0"/>
          <w:numId w:val="1"/>
        </w:numPr>
        <w:tabs>
          <w:tab w:val="left" w:pos="567"/>
        </w:tabs>
        <w:spacing w:after="0"/>
        <w:ind w:left="426" w:hanging="426"/>
        <w:jc w:val="both"/>
        <w:rPr>
          <w:rFonts w:ascii="Arial" w:hAnsi="Arial" w:cs="Arial"/>
          <w:color w:val="000000" w:themeColor="text1"/>
          <w:sz w:val="20"/>
        </w:rPr>
      </w:pPr>
      <w:r w:rsidRPr="00AA4A22">
        <w:rPr>
          <w:rFonts w:ascii="Arial" w:hAnsi="Arial" w:cs="Arial"/>
          <w:color w:val="000000" w:themeColor="text1"/>
          <w:sz w:val="20"/>
        </w:rPr>
        <w:t xml:space="preserve">Smith DM, Bamber NGI and Thorburn PJ. (2005) Growth and function of the sugarcane root system. Field Crops Research 92,169-183. </w:t>
      </w:r>
    </w:p>
    <w:p w14:paraId="7D2E13DC" w14:textId="540E20ED" w:rsidR="00794F85" w:rsidRPr="006F0987" w:rsidRDefault="00794F85" w:rsidP="006F0987">
      <w:pPr>
        <w:pStyle w:val="ListParagraph"/>
        <w:numPr>
          <w:ilvl w:val="0"/>
          <w:numId w:val="1"/>
        </w:numPr>
        <w:tabs>
          <w:tab w:val="left" w:pos="567"/>
        </w:tabs>
        <w:spacing w:after="0"/>
        <w:ind w:left="426" w:hanging="426"/>
        <w:jc w:val="both"/>
        <w:rPr>
          <w:rFonts w:ascii="Arial" w:hAnsi="Arial" w:cs="Arial"/>
          <w:color w:val="000000" w:themeColor="text1"/>
          <w:sz w:val="20"/>
        </w:rPr>
      </w:pPr>
      <w:r w:rsidRPr="006F0987">
        <w:rPr>
          <w:rFonts w:ascii="Arial" w:hAnsi="Arial" w:cs="Arial"/>
          <w:color w:val="000000" w:themeColor="text1"/>
          <w:sz w:val="20"/>
        </w:rPr>
        <w:t>Tabatabai, MA. and Bremner, JM. (1972) Assay of urease activity in soils</w:t>
      </w:r>
      <w:r w:rsidRPr="006F0987">
        <w:rPr>
          <w:rFonts w:ascii="Arial" w:hAnsi="Arial" w:cs="Arial"/>
          <w:i/>
          <w:color w:val="000000" w:themeColor="text1"/>
          <w:sz w:val="20"/>
        </w:rPr>
        <w:t>. Soil Biology and</w:t>
      </w:r>
      <w:r w:rsidRPr="006F0987">
        <w:rPr>
          <w:rFonts w:ascii="Arial" w:hAnsi="Arial" w:cs="Arial"/>
          <w:color w:val="000000" w:themeColor="text1"/>
          <w:sz w:val="20"/>
        </w:rPr>
        <w:t xml:space="preserve"> </w:t>
      </w:r>
      <w:r w:rsidRPr="006F0987">
        <w:rPr>
          <w:rFonts w:ascii="Arial" w:hAnsi="Arial" w:cs="Arial"/>
          <w:i/>
          <w:color w:val="000000" w:themeColor="text1"/>
          <w:sz w:val="20"/>
        </w:rPr>
        <w:t>Biochemistry</w:t>
      </w:r>
      <w:r w:rsidRPr="006F0987">
        <w:rPr>
          <w:rFonts w:ascii="Arial" w:hAnsi="Arial" w:cs="Arial"/>
          <w:color w:val="000000" w:themeColor="text1"/>
          <w:sz w:val="20"/>
        </w:rPr>
        <w:t xml:space="preserve"> </w:t>
      </w:r>
      <w:r w:rsidRPr="006F0987">
        <w:rPr>
          <w:rFonts w:ascii="Arial" w:hAnsi="Arial" w:cs="Arial"/>
          <w:b/>
          <w:color w:val="000000" w:themeColor="text1"/>
          <w:sz w:val="20"/>
        </w:rPr>
        <w:t>4</w:t>
      </w:r>
      <w:r w:rsidRPr="006F0987">
        <w:rPr>
          <w:rFonts w:ascii="Arial" w:hAnsi="Arial" w:cs="Arial"/>
          <w:color w:val="000000" w:themeColor="text1"/>
          <w:sz w:val="20"/>
        </w:rPr>
        <w:t xml:space="preserve">, 479-487. </w:t>
      </w:r>
    </w:p>
    <w:p w14:paraId="27A19717" w14:textId="77777777" w:rsidR="00794F85" w:rsidRPr="00AA4A22" w:rsidRDefault="00794F85" w:rsidP="006F0987">
      <w:pPr>
        <w:pStyle w:val="ListParagraph"/>
        <w:tabs>
          <w:tab w:val="left" w:pos="567"/>
        </w:tabs>
        <w:spacing w:after="0"/>
        <w:ind w:left="426"/>
        <w:jc w:val="both"/>
        <w:rPr>
          <w:rFonts w:ascii="Arial" w:hAnsi="Arial" w:cs="Arial"/>
          <w:color w:val="000000" w:themeColor="text1"/>
          <w:sz w:val="20"/>
        </w:rPr>
      </w:pPr>
    </w:p>
    <w:p w14:paraId="34AB33F0" w14:textId="77777777" w:rsidR="0044318E" w:rsidRPr="00AA4A22" w:rsidRDefault="0044318E" w:rsidP="0044318E">
      <w:pPr>
        <w:spacing w:after="0" w:line="360" w:lineRule="auto"/>
        <w:ind w:left="1134" w:hanging="1134"/>
        <w:jc w:val="both"/>
        <w:rPr>
          <w:rFonts w:ascii="Arial" w:hAnsi="Arial" w:cs="Arial"/>
          <w:b/>
          <w:bCs/>
          <w:color w:val="000000" w:themeColor="text1"/>
          <w:sz w:val="20"/>
        </w:rPr>
      </w:pPr>
    </w:p>
    <w:p w14:paraId="6746BF00" w14:textId="0F5221DF" w:rsidR="0044318E" w:rsidRPr="00AA4A22" w:rsidRDefault="0044318E" w:rsidP="0044318E">
      <w:pPr>
        <w:tabs>
          <w:tab w:val="left" w:pos="1097"/>
        </w:tabs>
        <w:rPr>
          <w:color w:val="000000" w:themeColor="text1"/>
        </w:rPr>
      </w:pPr>
    </w:p>
    <w:p w14:paraId="2EA77BB6" w14:textId="77777777" w:rsidR="0044318E" w:rsidRPr="00AA4A22" w:rsidRDefault="0044318E" w:rsidP="0044318E">
      <w:pPr>
        <w:rPr>
          <w:color w:val="000000" w:themeColor="text1"/>
        </w:rPr>
      </w:pPr>
    </w:p>
    <w:p w14:paraId="78460ED7" w14:textId="77777777" w:rsidR="0044318E" w:rsidRPr="00AA4A22" w:rsidRDefault="0044318E" w:rsidP="0044318E">
      <w:pPr>
        <w:rPr>
          <w:color w:val="000000" w:themeColor="text1"/>
        </w:rPr>
      </w:pPr>
    </w:p>
    <w:p w14:paraId="46D1850A" w14:textId="77777777" w:rsidR="0044318E" w:rsidRPr="00AA4A22" w:rsidRDefault="0044318E" w:rsidP="0044318E">
      <w:pPr>
        <w:rPr>
          <w:color w:val="000000" w:themeColor="text1"/>
        </w:rPr>
      </w:pPr>
    </w:p>
    <w:p w14:paraId="15DBCE85" w14:textId="77777777" w:rsidR="0044318E" w:rsidRPr="00AA4A22" w:rsidRDefault="0044318E" w:rsidP="0044318E">
      <w:pPr>
        <w:rPr>
          <w:color w:val="000000" w:themeColor="text1"/>
        </w:rPr>
      </w:pPr>
    </w:p>
    <w:p w14:paraId="710F32FC" w14:textId="77777777" w:rsidR="0044318E" w:rsidRPr="00AA4A22" w:rsidRDefault="0044318E" w:rsidP="0044318E">
      <w:pPr>
        <w:rPr>
          <w:color w:val="000000" w:themeColor="text1"/>
        </w:rPr>
      </w:pPr>
    </w:p>
    <w:p w14:paraId="4D625328" w14:textId="77777777" w:rsidR="0044318E" w:rsidRPr="00AA4A22" w:rsidRDefault="0044318E" w:rsidP="0044318E">
      <w:pPr>
        <w:rPr>
          <w:color w:val="000000" w:themeColor="text1"/>
        </w:rPr>
      </w:pPr>
    </w:p>
    <w:p w14:paraId="034433C6" w14:textId="77777777" w:rsidR="0044318E" w:rsidRPr="00AA4A22" w:rsidRDefault="0044318E" w:rsidP="0044318E">
      <w:pPr>
        <w:rPr>
          <w:color w:val="000000" w:themeColor="text1"/>
        </w:rPr>
      </w:pPr>
    </w:p>
    <w:p w14:paraId="3B972C67" w14:textId="77777777" w:rsidR="0044318E" w:rsidRPr="00AA4A22" w:rsidRDefault="0044318E" w:rsidP="0044318E">
      <w:pPr>
        <w:rPr>
          <w:color w:val="000000" w:themeColor="text1"/>
        </w:rPr>
      </w:pPr>
    </w:p>
    <w:sectPr w:rsidR="0044318E" w:rsidRPr="00AA4A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A2EB1" w14:textId="77777777" w:rsidR="00DA3CF2" w:rsidRDefault="00DA3CF2" w:rsidP="00680F17">
      <w:pPr>
        <w:spacing w:after="0" w:line="240" w:lineRule="auto"/>
      </w:pPr>
      <w:r>
        <w:separator/>
      </w:r>
    </w:p>
  </w:endnote>
  <w:endnote w:type="continuationSeparator" w:id="0">
    <w:p w14:paraId="6C7139EC" w14:textId="77777777" w:rsidR="00DA3CF2" w:rsidRDefault="00DA3CF2" w:rsidP="0068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307B" w14:textId="77777777" w:rsidR="00680F17" w:rsidRDefault="00680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B605" w14:textId="77777777" w:rsidR="00680F17" w:rsidRDefault="00680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3D0E" w14:textId="77777777" w:rsidR="00680F17" w:rsidRDefault="0068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AACB" w14:textId="77777777" w:rsidR="00DA3CF2" w:rsidRDefault="00DA3CF2" w:rsidP="00680F17">
      <w:pPr>
        <w:spacing w:after="0" w:line="240" w:lineRule="auto"/>
      </w:pPr>
      <w:r>
        <w:separator/>
      </w:r>
    </w:p>
  </w:footnote>
  <w:footnote w:type="continuationSeparator" w:id="0">
    <w:p w14:paraId="4C0198F9" w14:textId="77777777" w:rsidR="00DA3CF2" w:rsidRDefault="00DA3CF2" w:rsidP="0068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8299" w14:textId="226FAF87" w:rsidR="00680F17" w:rsidRDefault="00DA3CF2">
    <w:pPr>
      <w:pStyle w:val="Header"/>
    </w:pPr>
    <w:r>
      <w:rPr>
        <w:noProof/>
      </w:rPr>
      <w:pict w14:anchorId="12D8C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28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BF54" w14:textId="3A2BD4A1" w:rsidR="00680F17" w:rsidRDefault="00DA3CF2">
    <w:pPr>
      <w:pStyle w:val="Header"/>
    </w:pPr>
    <w:r>
      <w:rPr>
        <w:noProof/>
      </w:rPr>
      <w:pict w14:anchorId="59194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28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311D" w14:textId="47A5EA7F" w:rsidR="00680F17" w:rsidRDefault="00DA3CF2">
    <w:pPr>
      <w:pStyle w:val="Header"/>
    </w:pPr>
    <w:r>
      <w:rPr>
        <w:noProof/>
      </w:rPr>
      <w:pict w14:anchorId="4D40B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928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097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82302EA"/>
    <w:multiLevelType w:val="hybridMultilevel"/>
    <w:tmpl w:val="9D428F4E"/>
    <w:lvl w:ilvl="0" w:tplc="4DFC2E54">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8E"/>
    <w:rsid w:val="00014B87"/>
    <w:rsid w:val="0006526B"/>
    <w:rsid w:val="000D387E"/>
    <w:rsid w:val="001725D1"/>
    <w:rsid w:val="001900C5"/>
    <w:rsid w:val="001A1604"/>
    <w:rsid w:val="002808D1"/>
    <w:rsid w:val="00316D65"/>
    <w:rsid w:val="00403E6B"/>
    <w:rsid w:val="0044318E"/>
    <w:rsid w:val="00467801"/>
    <w:rsid w:val="005E2E5A"/>
    <w:rsid w:val="005F56DF"/>
    <w:rsid w:val="00680F17"/>
    <w:rsid w:val="006F0987"/>
    <w:rsid w:val="00702355"/>
    <w:rsid w:val="00794F85"/>
    <w:rsid w:val="00832748"/>
    <w:rsid w:val="00872EC5"/>
    <w:rsid w:val="00921236"/>
    <w:rsid w:val="00973992"/>
    <w:rsid w:val="00994245"/>
    <w:rsid w:val="009D6B56"/>
    <w:rsid w:val="009E09C1"/>
    <w:rsid w:val="00A03D44"/>
    <w:rsid w:val="00AA3E03"/>
    <w:rsid w:val="00AA4A22"/>
    <w:rsid w:val="00B03401"/>
    <w:rsid w:val="00BF2518"/>
    <w:rsid w:val="00CB5F65"/>
    <w:rsid w:val="00D4518C"/>
    <w:rsid w:val="00DA3CF2"/>
    <w:rsid w:val="00DD4B7A"/>
    <w:rsid w:val="00DF1E1C"/>
    <w:rsid w:val="00E47342"/>
    <w:rsid w:val="00F12B5E"/>
    <w:rsid w:val="00F32756"/>
    <w:rsid w:val="00F854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CF94E"/>
  <w15:chartTrackingRefBased/>
  <w15:docId w15:val="{DCE931A7-32D6-41F7-8914-185CD042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18E"/>
    <w:pPr>
      <w:spacing w:after="200" w:line="276" w:lineRule="auto"/>
    </w:pPr>
    <w:rPr>
      <w:rFonts w:eastAsiaTheme="minorEastAsia"/>
      <w:kern w:val="0"/>
      <w:sz w:val="22"/>
      <w:szCs w:val="20"/>
      <w:lang w:val="en-US" w:bidi="mr-IN"/>
      <w14:ligatures w14:val="none"/>
    </w:rPr>
  </w:style>
  <w:style w:type="paragraph" w:styleId="Heading1">
    <w:name w:val="heading 1"/>
    <w:basedOn w:val="Normal"/>
    <w:next w:val="Normal"/>
    <w:link w:val="Heading1Char"/>
    <w:uiPriority w:val="9"/>
    <w:qFormat/>
    <w:rsid w:val="00443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18E"/>
    <w:rPr>
      <w:rFonts w:eastAsiaTheme="majorEastAsia" w:cstheme="majorBidi"/>
      <w:color w:val="272727" w:themeColor="text1" w:themeTint="D8"/>
    </w:rPr>
  </w:style>
  <w:style w:type="paragraph" w:styleId="Title">
    <w:name w:val="Title"/>
    <w:basedOn w:val="Normal"/>
    <w:next w:val="Normal"/>
    <w:link w:val="TitleChar"/>
    <w:uiPriority w:val="10"/>
    <w:qFormat/>
    <w:rsid w:val="0044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18E"/>
    <w:pPr>
      <w:spacing w:before="160"/>
      <w:jc w:val="center"/>
    </w:pPr>
    <w:rPr>
      <w:i/>
      <w:iCs/>
      <w:color w:val="404040" w:themeColor="text1" w:themeTint="BF"/>
    </w:rPr>
  </w:style>
  <w:style w:type="character" w:customStyle="1" w:styleId="QuoteChar">
    <w:name w:val="Quote Char"/>
    <w:basedOn w:val="DefaultParagraphFont"/>
    <w:link w:val="Quote"/>
    <w:uiPriority w:val="29"/>
    <w:rsid w:val="0044318E"/>
    <w:rPr>
      <w:i/>
      <w:iCs/>
      <w:color w:val="404040" w:themeColor="text1" w:themeTint="BF"/>
    </w:rPr>
  </w:style>
  <w:style w:type="paragraph" w:styleId="ListParagraph">
    <w:name w:val="List Paragraph"/>
    <w:basedOn w:val="Normal"/>
    <w:uiPriority w:val="34"/>
    <w:qFormat/>
    <w:rsid w:val="0044318E"/>
    <w:pPr>
      <w:ind w:left="720"/>
      <w:contextualSpacing/>
    </w:pPr>
  </w:style>
  <w:style w:type="character" w:styleId="IntenseEmphasis">
    <w:name w:val="Intense Emphasis"/>
    <w:basedOn w:val="DefaultParagraphFont"/>
    <w:uiPriority w:val="21"/>
    <w:qFormat/>
    <w:rsid w:val="0044318E"/>
    <w:rPr>
      <w:i/>
      <w:iCs/>
      <w:color w:val="2F5496" w:themeColor="accent1" w:themeShade="BF"/>
    </w:rPr>
  </w:style>
  <w:style w:type="paragraph" w:styleId="IntenseQuote">
    <w:name w:val="Intense Quote"/>
    <w:basedOn w:val="Normal"/>
    <w:next w:val="Normal"/>
    <w:link w:val="IntenseQuoteChar"/>
    <w:uiPriority w:val="30"/>
    <w:qFormat/>
    <w:rsid w:val="00443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18E"/>
    <w:rPr>
      <w:i/>
      <w:iCs/>
      <w:color w:val="2F5496" w:themeColor="accent1" w:themeShade="BF"/>
    </w:rPr>
  </w:style>
  <w:style w:type="character" w:styleId="IntenseReference">
    <w:name w:val="Intense Reference"/>
    <w:basedOn w:val="DefaultParagraphFont"/>
    <w:uiPriority w:val="32"/>
    <w:qFormat/>
    <w:rsid w:val="0044318E"/>
    <w:rPr>
      <w:b/>
      <w:bCs/>
      <w:smallCaps/>
      <w:color w:val="2F5496" w:themeColor="accent1" w:themeShade="BF"/>
      <w:spacing w:val="5"/>
    </w:rPr>
  </w:style>
  <w:style w:type="paragraph" w:styleId="NormalWeb">
    <w:name w:val="Normal (Web)"/>
    <w:basedOn w:val="Normal"/>
    <w:uiPriority w:val="99"/>
    <w:unhideWhenUsed/>
    <w:rsid w:val="0044318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table" w:customStyle="1" w:styleId="TableGrid">
    <w:name w:val="TableGrid"/>
    <w:rsid w:val="0044318E"/>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F32756"/>
    <w:rPr>
      <w:color w:val="0563C1" w:themeColor="hyperlink"/>
      <w:u w:val="single"/>
    </w:rPr>
  </w:style>
  <w:style w:type="character" w:styleId="UnresolvedMention">
    <w:name w:val="Unresolved Mention"/>
    <w:basedOn w:val="DefaultParagraphFont"/>
    <w:uiPriority w:val="99"/>
    <w:semiHidden/>
    <w:unhideWhenUsed/>
    <w:rsid w:val="00F32756"/>
    <w:rPr>
      <w:color w:val="605E5C"/>
      <w:shd w:val="clear" w:color="auto" w:fill="E1DFDD"/>
    </w:rPr>
  </w:style>
  <w:style w:type="paragraph" w:styleId="Header">
    <w:name w:val="header"/>
    <w:basedOn w:val="Normal"/>
    <w:link w:val="HeaderChar"/>
    <w:uiPriority w:val="99"/>
    <w:unhideWhenUsed/>
    <w:rsid w:val="0068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17"/>
    <w:rPr>
      <w:rFonts w:eastAsiaTheme="minorEastAsia"/>
      <w:kern w:val="0"/>
      <w:sz w:val="22"/>
      <w:szCs w:val="20"/>
      <w:lang w:val="en-US" w:bidi="mr-IN"/>
      <w14:ligatures w14:val="none"/>
    </w:rPr>
  </w:style>
  <w:style w:type="paragraph" w:styleId="Footer">
    <w:name w:val="footer"/>
    <w:basedOn w:val="Normal"/>
    <w:link w:val="FooterChar"/>
    <w:uiPriority w:val="99"/>
    <w:unhideWhenUsed/>
    <w:rsid w:val="0068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17"/>
    <w:rPr>
      <w:rFonts w:eastAsiaTheme="minorEastAsia"/>
      <w:kern w:val="0"/>
      <w:sz w:val="22"/>
      <w:szCs w:val="20"/>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47946590_IMPORTANCE_OF_UREASE_ACTIVITY_IN_SOIL?enrichId=rgreq-58c9214bbcc0b3b50d552aa15d7b6b9f-XXX&amp;enrichSource=Y292ZXJQYWdlOzM0Nzk0NjU5MDtBUzo5NzM2MzM3ODY3NjUzMTJAMTYwOTE0Mzc5MjI5NQ%3D%3D&amp;el=1_x_3&amp;_esc=publicationCov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Memane</dc:creator>
  <cp:keywords/>
  <dc:description/>
  <cp:lastModifiedBy>SDI 1089</cp:lastModifiedBy>
  <cp:revision>23</cp:revision>
  <dcterms:created xsi:type="dcterms:W3CDTF">2025-09-01T05:31:00Z</dcterms:created>
  <dcterms:modified xsi:type="dcterms:W3CDTF">2025-09-10T05:33:00Z</dcterms:modified>
</cp:coreProperties>
</file>