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A3E4D" w14:textId="3F50446F" w:rsidR="00A70C15" w:rsidRPr="00A70C15" w:rsidRDefault="00A70C15" w:rsidP="00A70C15">
      <w:pPr>
        <w:rPr>
          <w:rFonts w:ascii="Times New Roman" w:hAnsi="Times New Roman" w:cs="Times New Roman"/>
          <w:b/>
          <w:sz w:val="24"/>
          <w:szCs w:val="24"/>
          <w:u w:val="single"/>
        </w:rPr>
      </w:pPr>
      <w:bookmarkStart w:id="0" w:name="_GoBack"/>
      <w:bookmarkEnd w:id="0"/>
      <w:r w:rsidRPr="00A70C15">
        <w:rPr>
          <w:rFonts w:ascii="Times New Roman" w:hAnsi="Times New Roman" w:cs="Times New Roman"/>
          <w:b/>
          <w:sz w:val="24"/>
          <w:szCs w:val="24"/>
          <w:u w:val="single"/>
        </w:rPr>
        <w:t>Review Article</w:t>
      </w:r>
    </w:p>
    <w:p w14:paraId="41D1567B" w14:textId="77777777" w:rsidR="00A70C15" w:rsidRDefault="00A70C15" w:rsidP="007C6D57">
      <w:pPr>
        <w:jc w:val="center"/>
        <w:rPr>
          <w:rFonts w:ascii="Times New Roman" w:hAnsi="Times New Roman" w:cs="Times New Roman"/>
          <w:b/>
          <w:sz w:val="24"/>
          <w:szCs w:val="24"/>
        </w:rPr>
      </w:pPr>
    </w:p>
    <w:p w14:paraId="107320C9" w14:textId="1D14CB8B" w:rsidR="007C6D57" w:rsidRDefault="007C6D57" w:rsidP="007C6D57">
      <w:pPr>
        <w:jc w:val="center"/>
        <w:rPr>
          <w:rFonts w:ascii="Times New Roman" w:hAnsi="Times New Roman" w:cs="Times New Roman"/>
          <w:b/>
          <w:sz w:val="24"/>
          <w:szCs w:val="24"/>
        </w:rPr>
      </w:pPr>
      <w:r w:rsidRPr="001F3298">
        <w:rPr>
          <w:rFonts w:ascii="Times New Roman" w:hAnsi="Times New Roman" w:cs="Times New Roman"/>
          <w:b/>
          <w:sz w:val="24"/>
          <w:szCs w:val="24"/>
        </w:rPr>
        <w:t>Carbon–Nitrogen Coupling in Agroecosystems under Elevated CO₂ Scenarios: A Review</w:t>
      </w:r>
    </w:p>
    <w:p w14:paraId="44D1AB3F" w14:textId="77777777" w:rsidR="00A70C15" w:rsidRDefault="00A70C15" w:rsidP="007C6D57">
      <w:pPr>
        <w:jc w:val="center"/>
        <w:rPr>
          <w:rFonts w:ascii="Times New Roman" w:hAnsi="Times New Roman" w:cs="Times New Roman"/>
          <w:b/>
          <w:sz w:val="24"/>
          <w:szCs w:val="24"/>
        </w:rPr>
      </w:pPr>
    </w:p>
    <w:p w14:paraId="2BFEC084" w14:textId="77777777" w:rsidR="00A70C15" w:rsidRPr="001F3298" w:rsidRDefault="00A70C15" w:rsidP="007C6D57">
      <w:pPr>
        <w:jc w:val="center"/>
        <w:rPr>
          <w:rFonts w:ascii="Times New Roman" w:hAnsi="Times New Roman" w:cs="Times New Roman"/>
          <w:b/>
          <w:sz w:val="24"/>
          <w:szCs w:val="24"/>
        </w:rPr>
      </w:pPr>
    </w:p>
    <w:p w14:paraId="1103E9A7" w14:textId="77777777" w:rsidR="006A1D09" w:rsidRPr="001F3298" w:rsidRDefault="006A1D09" w:rsidP="006A1D09">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Abstract</w:t>
      </w:r>
    </w:p>
    <w:p w14:paraId="5E27582D" w14:textId="6E326A8A" w:rsidR="006A1D09" w:rsidRDefault="00666E59" w:rsidP="006A1D09">
      <w:pPr>
        <w:spacing w:line="360" w:lineRule="auto"/>
        <w:jc w:val="both"/>
        <w:rPr>
          <w:rFonts w:ascii="Times New Roman" w:hAnsi="Times New Roman" w:cs="Times New Roman"/>
          <w:sz w:val="24"/>
          <w:szCs w:val="24"/>
        </w:rPr>
      </w:pPr>
      <w:r w:rsidRPr="00E87918">
        <w:rPr>
          <w:rFonts w:ascii="Times New Roman" w:hAnsi="Times New Roman" w:cs="Times New Roman"/>
          <w:sz w:val="24"/>
          <w:szCs w:val="24"/>
          <w:highlight w:val="yellow"/>
        </w:rPr>
        <w:t>Plants assimilate carbon mostly by the process of photosynthesis, fixing atmospheric CO₂ into organic materials like carbohydrates. These materials not only form the structural components of plant biomass but also substrates that energize soil microbial populations.</w:t>
      </w:r>
      <w:r w:rsidRPr="00666E59">
        <w:rPr>
          <w:rFonts w:ascii="Times New Roman" w:hAnsi="Times New Roman" w:cs="Times New Roman"/>
          <w:sz w:val="24"/>
          <w:szCs w:val="24"/>
        </w:rPr>
        <w:t xml:space="preserve"> </w:t>
      </w:r>
      <w:r w:rsidR="006A1D09" w:rsidRPr="001F3298">
        <w:rPr>
          <w:rFonts w:ascii="Times New Roman" w:hAnsi="Times New Roman" w:cs="Times New Roman"/>
          <w:sz w:val="24"/>
          <w:szCs w:val="24"/>
        </w:rPr>
        <w:t>Carbon–nitrogen (C–N) coupling is a key element controlling agroecosystem productivity, soil fertility, and the earth's climate. Elevated atmospheric CO₂ levels (</w:t>
      </w:r>
      <w:proofErr w:type="spellStart"/>
      <w:r w:rsidR="006A1D09" w:rsidRPr="001F3298">
        <w:rPr>
          <w:rFonts w:ascii="Times New Roman" w:hAnsi="Times New Roman" w:cs="Times New Roman"/>
          <w:sz w:val="24"/>
          <w:szCs w:val="24"/>
        </w:rPr>
        <w:t>eCO</w:t>
      </w:r>
      <w:proofErr w:type="spellEnd"/>
      <w:r w:rsidR="006A1D09" w:rsidRPr="001F3298">
        <w:rPr>
          <w:rFonts w:ascii="Times New Roman" w:hAnsi="Times New Roman" w:cs="Times New Roman"/>
          <w:sz w:val="24"/>
          <w:szCs w:val="24"/>
        </w:rPr>
        <w:t xml:space="preserve">₂) promote photosynthesis and biomass production, while augmenting nitrogen (N) requirement in a way that tends to trigger nutrient dilution effects and decreased nutritional quality of crops. This review compiles conceptual foundations, empirical reactions, management practices, and issues underpinning C–N coupling under </w:t>
      </w:r>
      <w:proofErr w:type="spellStart"/>
      <w:r w:rsidR="006A1D09" w:rsidRPr="001F3298">
        <w:rPr>
          <w:rFonts w:ascii="Times New Roman" w:hAnsi="Times New Roman" w:cs="Times New Roman"/>
          <w:sz w:val="24"/>
          <w:szCs w:val="24"/>
        </w:rPr>
        <w:t>eCO</w:t>
      </w:r>
      <w:proofErr w:type="spellEnd"/>
      <w:r w:rsidR="006A1D09" w:rsidRPr="001F3298">
        <w:rPr>
          <w:rFonts w:ascii="Times New Roman" w:hAnsi="Times New Roman" w:cs="Times New Roman"/>
          <w:sz w:val="24"/>
          <w:szCs w:val="24"/>
        </w:rPr>
        <w:t xml:space="preserve">₂. It emphasizes the dual function of </w:t>
      </w:r>
      <w:proofErr w:type="spellStart"/>
      <w:r w:rsidR="006A1D09" w:rsidRPr="001F3298">
        <w:rPr>
          <w:rFonts w:ascii="Times New Roman" w:hAnsi="Times New Roman" w:cs="Times New Roman"/>
          <w:sz w:val="24"/>
          <w:szCs w:val="24"/>
        </w:rPr>
        <w:t>eCO</w:t>
      </w:r>
      <w:proofErr w:type="spellEnd"/>
      <w:r w:rsidR="006A1D09" w:rsidRPr="001F3298">
        <w:rPr>
          <w:rFonts w:ascii="Times New Roman" w:hAnsi="Times New Roman" w:cs="Times New Roman"/>
          <w:sz w:val="24"/>
          <w:szCs w:val="24"/>
        </w:rPr>
        <w:t xml:space="preserve">₂ to stimulate plant growth while amplifying N limitation, modifying belowground processes, and impacting greenhouse gas (GHG) processes. Management practices like integrated nutrient management, conservation tillage, legume integration, and microbial interventions hold potential for augmenting C–N balance. Yet, there are uncertainties arising from soil heterogeneity, climate interactions, and limitations of existing models. Future work should focus on long-term multifactor experiments, advanced modeling structures, and innovations in breeding to balance productivity, nutritional value, and environmental stability. Enhancing C–N coupling in </w:t>
      </w:r>
      <w:proofErr w:type="spellStart"/>
      <w:r w:rsidR="006A1D09" w:rsidRPr="001F3298">
        <w:rPr>
          <w:rFonts w:ascii="Times New Roman" w:hAnsi="Times New Roman" w:cs="Times New Roman"/>
          <w:sz w:val="24"/>
          <w:szCs w:val="24"/>
        </w:rPr>
        <w:t>eCO</w:t>
      </w:r>
      <w:proofErr w:type="spellEnd"/>
      <w:r w:rsidR="006A1D09" w:rsidRPr="001F3298">
        <w:rPr>
          <w:rFonts w:ascii="Times New Roman" w:hAnsi="Times New Roman" w:cs="Times New Roman"/>
          <w:sz w:val="24"/>
          <w:szCs w:val="24"/>
        </w:rPr>
        <w:t>₂ is critical for sustainable agriculture, mitigation of climate change, and food security at the global level.</w:t>
      </w:r>
      <w:r>
        <w:rPr>
          <w:rFonts w:ascii="Times New Roman" w:hAnsi="Times New Roman" w:cs="Times New Roman"/>
          <w:sz w:val="24"/>
          <w:szCs w:val="24"/>
        </w:rPr>
        <w:t xml:space="preserve"> </w:t>
      </w:r>
      <w:r w:rsidRPr="00E87918">
        <w:rPr>
          <w:rFonts w:ascii="Times New Roman" w:hAnsi="Times New Roman" w:cs="Times New Roman"/>
          <w:sz w:val="24"/>
          <w:szCs w:val="24"/>
          <w:highlight w:val="yellow"/>
        </w:rPr>
        <w:t>Weak coupling of carbon and nitrogen cycles can contribute to nutrient dilution in crops, loss of soil fertility, and enhanced nitrous oxide (N₂O) emissions, which could reduce otherwise expected climate change mitigation.</w:t>
      </w:r>
    </w:p>
    <w:p w14:paraId="3A4650F1" w14:textId="5B2BCFC8" w:rsidR="00054611" w:rsidRPr="001F3298" w:rsidRDefault="00054611" w:rsidP="006A1D09">
      <w:pPr>
        <w:spacing w:line="360" w:lineRule="auto"/>
        <w:jc w:val="both"/>
        <w:rPr>
          <w:rFonts w:ascii="Times New Roman" w:hAnsi="Times New Roman" w:cs="Times New Roman"/>
          <w:sz w:val="24"/>
          <w:szCs w:val="24"/>
        </w:rPr>
      </w:pPr>
      <w:r w:rsidRPr="00E87918">
        <w:rPr>
          <w:rFonts w:ascii="Times New Roman" w:hAnsi="Times New Roman" w:cs="Times New Roman"/>
          <w:sz w:val="24"/>
          <w:szCs w:val="24"/>
          <w:highlight w:val="yellow"/>
        </w:rPr>
        <w:t>Keywords: Food security, climate change, Carbon–nitrogen (C–N) coupling, metabolism</w:t>
      </w:r>
    </w:p>
    <w:p w14:paraId="266E8C24" w14:textId="77777777" w:rsidR="00862AF1" w:rsidRPr="001F3298" w:rsidRDefault="00862AF1"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1. Introduction</w:t>
      </w:r>
    </w:p>
    <w:p w14:paraId="7A031A17" w14:textId="17C764F3" w:rsidR="00862AF1" w:rsidRPr="001F3298" w:rsidRDefault="00666E59" w:rsidP="00845625">
      <w:pPr>
        <w:spacing w:line="360" w:lineRule="auto"/>
        <w:jc w:val="both"/>
        <w:rPr>
          <w:rFonts w:ascii="Times New Roman" w:hAnsi="Times New Roman" w:cs="Times New Roman"/>
          <w:sz w:val="24"/>
          <w:szCs w:val="24"/>
        </w:rPr>
      </w:pPr>
      <w:r w:rsidRPr="00E87918">
        <w:rPr>
          <w:rFonts w:ascii="Times New Roman" w:hAnsi="Times New Roman" w:cs="Times New Roman"/>
          <w:sz w:val="24"/>
          <w:szCs w:val="24"/>
          <w:highlight w:val="yellow"/>
        </w:rPr>
        <w:lastRenderedPageBreak/>
        <w:t>Elevated carbon dioxide (eCO2) affects the translocation of photosynthesized carbon (C) from plants to soil, which is predominantly executed by soil microorganisms. However, the response strategy and mediation of the bacterial community on photosynthesized C allocation belowground remains elusive under eCO2 coupled with nitrogen (N) availability.</w:t>
      </w:r>
      <w:r>
        <w:rPr>
          <w:rFonts w:ascii="Times New Roman" w:hAnsi="Times New Roman" w:cs="Times New Roman"/>
          <w:sz w:val="24"/>
          <w:szCs w:val="24"/>
          <w:highlight w:val="yellow"/>
        </w:rPr>
        <w:t xml:space="preserve"> </w:t>
      </w:r>
      <w:r w:rsidRPr="00E87918">
        <w:rPr>
          <w:rFonts w:ascii="Times New Roman" w:hAnsi="Times New Roman" w:cs="Times New Roman"/>
          <w:sz w:val="24"/>
          <w:szCs w:val="24"/>
          <w:highlight w:val="yellow"/>
        </w:rPr>
        <w:t>The interaction of eCO2 and N availability affects photosynthesized C sequestration in soil through the microbial response is still an open question, although this question has ramifications for the fertilization strategy and sustainability of agroecosystems under the scenario of global change</w:t>
      </w:r>
      <w:r w:rsidR="001F3AC1">
        <w:rPr>
          <w:rFonts w:ascii="Times New Roman" w:hAnsi="Times New Roman" w:cs="Times New Roman"/>
          <w:sz w:val="24"/>
          <w:szCs w:val="24"/>
          <w:highlight w:val="yellow"/>
        </w:rPr>
        <w:t xml:space="preserve"> (</w:t>
      </w:r>
      <w:r w:rsidR="001F3AC1" w:rsidRPr="00E87918">
        <w:rPr>
          <w:rFonts w:ascii="Times New Roman" w:hAnsi="Times New Roman" w:cs="Times New Roman"/>
          <w:sz w:val="24"/>
          <w:szCs w:val="24"/>
          <w:highlight w:val="yellow"/>
        </w:rPr>
        <w:t>Jia et al., 2023</w:t>
      </w:r>
      <w:r w:rsidR="001F3AC1" w:rsidRPr="00C9529C">
        <w:rPr>
          <w:rFonts w:ascii="Times New Roman" w:hAnsi="Times New Roman" w:cs="Times New Roman"/>
          <w:sz w:val="24"/>
          <w:szCs w:val="24"/>
          <w:highlight w:val="yellow"/>
        </w:rPr>
        <w:t>)</w:t>
      </w:r>
      <w:r w:rsidRPr="00E87918">
        <w:rPr>
          <w:rFonts w:ascii="Times New Roman" w:hAnsi="Times New Roman" w:cs="Times New Roman"/>
          <w:sz w:val="24"/>
          <w:szCs w:val="24"/>
          <w:highlight w:val="yellow"/>
        </w:rPr>
        <w:t>.</w:t>
      </w:r>
      <w:r w:rsidRPr="00666E59">
        <w:rPr>
          <w:rFonts w:ascii="Times New Roman" w:hAnsi="Times New Roman" w:cs="Times New Roman"/>
          <w:sz w:val="24"/>
          <w:szCs w:val="24"/>
        </w:rPr>
        <w:t xml:space="preserve"> </w:t>
      </w:r>
      <w:r w:rsidR="00862AF1" w:rsidRPr="001F3298">
        <w:rPr>
          <w:rFonts w:ascii="Times New Roman" w:hAnsi="Times New Roman" w:cs="Times New Roman"/>
          <w:sz w:val="24"/>
          <w:szCs w:val="24"/>
        </w:rPr>
        <w:t>The highly interdependent carbon (C) and nitrogen (N) cycles</w:t>
      </w:r>
      <w:r w:rsidR="00E87918">
        <w:rPr>
          <w:rFonts w:ascii="Times New Roman" w:hAnsi="Times New Roman" w:cs="Times New Roman"/>
          <w:sz w:val="24"/>
          <w:szCs w:val="24"/>
        </w:rPr>
        <w:t>,</w:t>
      </w:r>
      <w:r w:rsidR="00862AF1" w:rsidRPr="001F3298">
        <w:rPr>
          <w:rFonts w:ascii="Times New Roman" w:hAnsi="Times New Roman" w:cs="Times New Roman"/>
          <w:sz w:val="24"/>
          <w:szCs w:val="24"/>
        </w:rPr>
        <w:t xml:space="preserve"> tightly coupled </w:t>
      </w:r>
      <w:r w:rsidR="00862AF1" w:rsidRPr="00E87918">
        <w:rPr>
          <w:rFonts w:ascii="Times New Roman" w:hAnsi="Times New Roman" w:cs="Times New Roman"/>
          <w:sz w:val="24"/>
          <w:szCs w:val="24"/>
          <w:highlight w:val="yellow"/>
        </w:rPr>
        <w:t>together</w:t>
      </w:r>
      <w:r w:rsidR="00E87918" w:rsidRPr="00E87918">
        <w:rPr>
          <w:rFonts w:ascii="Times New Roman" w:hAnsi="Times New Roman" w:cs="Times New Roman"/>
          <w:sz w:val="24"/>
          <w:szCs w:val="24"/>
          <w:highlight w:val="yellow"/>
        </w:rPr>
        <w:t>,</w:t>
      </w:r>
      <w:r w:rsidR="00862AF1" w:rsidRPr="00E87918">
        <w:rPr>
          <w:rFonts w:ascii="Times New Roman" w:hAnsi="Times New Roman" w:cs="Times New Roman"/>
          <w:sz w:val="24"/>
          <w:szCs w:val="24"/>
          <w:highlight w:val="yellow"/>
        </w:rPr>
        <w:t xml:space="preserve"> pro</w:t>
      </w:r>
      <w:r w:rsidR="00862AF1" w:rsidRPr="001F3298">
        <w:rPr>
          <w:rFonts w:ascii="Times New Roman" w:hAnsi="Times New Roman" w:cs="Times New Roman"/>
          <w:sz w:val="24"/>
          <w:szCs w:val="24"/>
        </w:rPr>
        <w:t>vide the basis for agroecosystems that underpin world food production</w:t>
      </w:r>
      <w:r w:rsidR="004742E9" w:rsidRPr="001F3298">
        <w:rPr>
          <w:rFonts w:ascii="Times New Roman" w:hAnsi="Times New Roman" w:cs="Times New Roman"/>
          <w:sz w:val="24"/>
          <w:szCs w:val="24"/>
        </w:rPr>
        <w:t xml:space="preserve"> (</w:t>
      </w:r>
      <w:r w:rsidR="004742E9" w:rsidRPr="001F3298">
        <w:rPr>
          <w:rFonts w:ascii="Times New Roman" w:hAnsi="Times New Roman" w:cs="Times New Roman"/>
          <w:color w:val="222222"/>
          <w:sz w:val="24"/>
          <w:szCs w:val="24"/>
          <w:shd w:val="clear" w:color="auto" w:fill="FFFFFF"/>
        </w:rPr>
        <w:t>Shah, et al., 2019)</w:t>
      </w:r>
      <w:r w:rsidR="00862AF1" w:rsidRPr="001F3298">
        <w:rPr>
          <w:rFonts w:ascii="Times New Roman" w:hAnsi="Times New Roman" w:cs="Times New Roman"/>
          <w:sz w:val="24"/>
          <w:szCs w:val="24"/>
        </w:rPr>
        <w:t xml:space="preserve">. Carbon supplies the framework as </w:t>
      </w:r>
      <w:r w:rsidR="00862AF1" w:rsidRPr="00E87918">
        <w:rPr>
          <w:rFonts w:ascii="Times New Roman" w:hAnsi="Times New Roman" w:cs="Times New Roman"/>
          <w:sz w:val="24"/>
          <w:szCs w:val="24"/>
          <w:highlight w:val="yellow"/>
        </w:rPr>
        <w:t xml:space="preserve">well as </w:t>
      </w:r>
      <w:r w:rsidR="00E87918" w:rsidRPr="00E87918">
        <w:rPr>
          <w:rFonts w:ascii="Times New Roman" w:hAnsi="Times New Roman" w:cs="Times New Roman"/>
          <w:sz w:val="24"/>
          <w:szCs w:val="24"/>
          <w:highlight w:val="yellow"/>
        </w:rPr>
        <w:t xml:space="preserve">a </w:t>
      </w:r>
      <w:r w:rsidR="00862AF1" w:rsidRPr="00E87918">
        <w:rPr>
          <w:rFonts w:ascii="Times New Roman" w:hAnsi="Times New Roman" w:cs="Times New Roman"/>
          <w:sz w:val="24"/>
          <w:szCs w:val="24"/>
          <w:highlight w:val="yellow"/>
        </w:rPr>
        <w:t>source</w:t>
      </w:r>
      <w:r w:rsidR="00862AF1" w:rsidRPr="001F3298">
        <w:rPr>
          <w:rFonts w:ascii="Times New Roman" w:hAnsi="Times New Roman" w:cs="Times New Roman"/>
          <w:sz w:val="24"/>
          <w:szCs w:val="24"/>
        </w:rPr>
        <w:t xml:space="preserve"> of energy for plant development, whereas nitrogen is a central component in the synthesis of amino acids, proteins, nucleic acids, chlorophyll, and enzymes necessary in plant productivity and metabolism</w:t>
      </w:r>
      <w:r w:rsidR="00143BAA" w:rsidRPr="001F3298">
        <w:rPr>
          <w:rFonts w:ascii="Times New Roman" w:hAnsi="Times New Roman" w:cs="Times New Roman"/>
          <w:sz w:val="24"/>
          <w:szCs w:val="24"/>
        </w:rPr>
        <w:t xml:space="preserve"> (</w:t>
      </w:r>
      <w:r w:rsidR="00143BAA" w:rsidRPr="001F3298">
        <w:rPr>
          <w:rFonts w:ascii="Times New Roman" w:hAnsi="Times New Roman" w:cs="Times New Roman"/>
          <w:color w:val="222222"/>
          <w:sz w:val="24"/>
          <w:szCs w:val="24"/>
          <w:shd w:val="clear" w:color="auto" w:fill="FFFFFF"/>
        </w:rPr>
        <w:t>Nunes-</w:t>
      </w:r>
      <w:proofErr w:type="gramStart"/>
      <w:r w:rsidR="00143BAA" w:rsidRPr="001F3298">
        <w:rPr>
          <w:rFonts w:ascii="Times New Roman" w:hAnsi="Times New Roman" w:cs="Times New Roman"/>
          <w:color w:val="222222"/>
          <w:sz w:val="24"/>
          <w:szCs w:val="24"/>
          <w:shd w:val="clear" w:color="auto" w:fill="FFFFFF"/>
        </w:rPr>
        <w:t>Nesi,</w:t>
      </w:r>
      <w:r w:rsidR="00862AF1" w:rsidRPr="001F3298">
        <w:rPr>
          <w:rFonts w:ascii="Times New Roman" w:hAnsi="Times New Roman" w:cs="Times New Roman"/>
          <w:sz w:val="24"/>
          <w:szCs w:val="24"/>
        </w:rPr>
        <w:t>.</w:t>
      </w:r>
      <w:proofErr w:type="gramEnd"/>
      <w:r w:rsidR="00143BAA" w:rsidRPr="001F3298">
        <w:rPr>
          <w:rFonts w:ascii="Times New Roman" w:hAnsi="Times New Roman" w:cs="Times New Roman"/>
          <w:sz w:val="24"/>
          <w:szCs w:val="24"/>
        </w:rPr>
        <w:t xml:space="preserve"> </w:t>
      </w:r>
      <w:r w:rsidR="00C47162" w:rsidRPr="001F3298">
        <w:rPr>
          <w:rFonts w:ascii="Times New Roman" w:hAnsi="Times New Roman" w:cs="Times New Roman"/>
          <w:sz w:val="24"/>
          <w:szCs w:val="24"/>
        </w:rPr>
        <w:t>e</w:t>
      </w:r>
      <w:r w:rsidR="00143BAA" w:rsidRPr="001F3298">
        <w:rPr>
          <w:rFonts w:ascii="Times New Roman" w:hAnsi="Times New Roman" w:cs="Times New Roman"/>
          <w:sz w:val="24"/>
          <w:szCs w:val="24"/>
        </w:rPr>
        <w:t>t al., 2010)</w:t>
      </w:r>
      <w:r w:rsidR="00C47162" w:rsidRPr="001F3298">
        <w:rPr>
          <w:rFonts w:ascii="Times New Roman" w:hAnsi="Times New Roman" w:cs="Times New Roman"/>
          <w:sz w:val="24"/>
          <w:szCs w:val="24"/>
        </w:rPr>
        <w:t>.</w:t>
      </w:r>
      <w:r w:rsidR="00862AF1" w:rsidRPr="001F3298">
        <w:rPr>
          <w:rFonts w:ascii="Times New Roman" w:hAnsi="Times New Roman" w:cs="Times New Roman"/>
          <w:sz w:val="24"/>
          <w:szCs w:val="24"/>
        </w:rPr>
        <w:t xml:space="preserve"> The equilibrium between these two cycles guarantees not only maximum crop production but also soil health, microbial metabolism, and ecosystem stability in the long run.</w:t>
      </w:r>
      <w:r w:rsidR="00C9529C">
        <w:rPr>
          <w:rFonts w:ascii="Times New Roman" w:hAnsi="Times New Roman" w:cs="Times New Roman"/>
          <w:sz w:val="24"/>
          <w:szCs w:val="24"/>
        </w:rPr>
        <w:t xml:space="preserve"> </w:t>
      </w:r>
      <w:r w:rsidR="00C9529C" w:rsidRPr="00E87918">
        <w:rPr>
          <w:rFonts w:ascii="Times New Roman" w:hAnsi="Times New Roman" w:cs="Times New Roman"/>
          <w:sz w:val="24"/>
          <w:szCs w:val="24"/>
          <w:highlight w:val="yellow"/>
        </w:rPr>
        <w:t>Soil microorganisms play a crucial role in facilitating nutrient cycling, enhancing plant nutrient absorption, and maintaining soil health through the decomposition of organic matter. An inoculation with N</w:t>
      </w:r>
      <w:r w:rsidR="00C9529C" w:rsidRPr="00E87918">
        <w:rPr>
          <w:rFonts w:ascii="Times New Roman" w:hAnsi="Times New Roman" w:cs="Times New Roman"/>
          <w:sz w:val="24"/>
          <w:szCs w:val="24"/>
          <w:highlight w:val="yellow"/>
          <w:vertAlign w:val="subscript"/>
        </w:rPr>
        <w:t>2</w:t>
      </w:r>
      <w:r w:rsidR="00C9529C" w:rsidRPr="00E87918">
        <w:rPr>
          <w:rFonts w:ascii="Times New Roman" w:hAnsi="Times New Roman" w:cs="Times New Roman"/>
          <w:sz w:val="24"/>
          <w:szCs w:val="24"/>
          <w:highlight w:val="yellow"/>
        </w:rPr>
        <w:t xml:space="preserve">-fixing bacteria can consequently improve N uptake and </w:t>
      </w:r>
      <w:proofErr w:type="spellStart"/>
      <w:r w:rsidR="00C9529C" w:rsidRPr="00E87918">
        <w:rPr>
          <w:rFonts w:ascii="Times New Roman" w:hAnsi="Times New Roman" w:cs="Times New Roman"/>
          <w:sz w:val="24"/>
          <w:szCs w:val="24"/>
          <w:highlight w:val="yellow"/>
        </w:rPr>
        <w:t>faba</w:t>
      </w:r>
      <w:proofErr w:type="spellEnd"/>
      <w:r w:rsidR="00C9529C" w:rsidRPr="00E87918">
        <w:rPr>
          <w:rFonts w:ascii="Times New Roman" w:hAnsi="Times New Roman" w:cs="Times New Roman"/>
          <w:sz w:val="24"/>
          <w:szCs w:val="24"/>
          <w:highlight w:val="yellow"/>
        </w:rPr>
        <w:t xml:space="preserve"> bean growth. In response to environmental changes such as increasing CO</w:t>
      </w:r>
      <w:r w:rsidR="00C9529C" w:rsidRPr="00E87918">
        <w:rPr>
          <w:rFonts w:ascii="Times New Roman" w:hAnsi="Times New Roman" w:cs="Times New Roman"/>
          <w:sz w:val="24"/>
          <w:szCs w:val="24"/>
          <w:highlight w:val="yellow"/>
          <w:vertAlign w:val="subscript"/>
        </w:rPr>
        <w:t>2</w:t>
      </w:r>
      <w:r w:rsidR="00C9529C" w:rsidRPr="00E87918">
        <w:rPr>
          <w:rFonts w:ascii="Times New Roman" w:hAnsi="Times New Roman" w:cs="Times New Roman"/>
          <w:sz w:val="24"/>
          <w:szCs w:val="24"/>
          <w:highlight w:val="yellow"/>
        </w:rPr>
        <w:t xml:space="preserve"> concentrations, soil microorganisms may adapt by modifying their metabolic pathways and community structures, thereby influencing plant growth and soil fertility. It has been observed that eCO2 can lead to a significant reduction in soil NO</w:t>
      </w:r>
      <w:r w:rsidR="00C9529C" w:rsidRPr="00E87918">
        <w:rPr>
          <w:rFonts w:ascii="Times New Roman" w:hAnsi="Times New Roman" w:cs="Times New Roman"/>
          <w:sz w:val="24"/>
          <w:szCs w:val="24"/>
          <w:highlight w:val="yellow"/>
          <w:vertAlign w:val="subscript"/>
        </w:rPr>
        <w:t>3</w:t>
      </w:r>
      <w:r w:rsidR="00C9529C" w:rsidRPr="00E87918">
        <w:rPr>
          <w:rFonts w:ascii="Times New Roman" w:hAnsi="Times New Roman" w:cs="Times New Roman"/>
          <w:sz w:val="24"/>
          <w:szCs w:val="24"/>
          <w:highlight w:val="yellow"/>
        </w:rPr>
        <w:t>−-N, possibly due to increased plant uptake or losses to groundwater and the atmosphere</w:t>
      </w:r>
      <w:r w:rsidR="00C9529C" w:rsidRPr="00445007">
        <w:rPr>
          <w:rFonts w:ascii="Times New Roman" w:hAnsi="Times New Roman" w:cs="Times New Roman"/>
          <w:sz w:val="24"/>
          <w:szCs w:val="24"/>
          <w:highlight w:val="yellow"/>
        </w:rPr>
        <w:t xml:space="preserve"> (</w:t>
      </w:r>
      <w:r w:rsidR="00C9529C" w:rsidRPr="00E87918">
        <w:rPr>
          <w:rFonts w:ascii="Times New Roman" w:hAnsi="Times New Roman" w:cs="Times New Roman"/>
          <w:sz w:val="24"/>
          <w:szCs w:val="24"/>
          <w:highlight w:val="yellow"/>
        </w:rPr>
        <w:t>Dong et al., 2024</w:t>
      </w:r>
      <w:r w:rsidR="00C9529C">
        <w:rPr>
          <w:rFonts w:ascii="Times New Roman" w:hAnsi="Times New Roman" w:cs="Times New Roman"/>
          <w:sz w:val="24"/>
          <w:szCs w:val="24"/>
          <w:highlight w:val="yellow"/>
        </w:rPr>
        <w:t>)</w:t>
      </w:r>
      <w:r w:rsidR="00C9529C" w:rsidRPr="00E87918">
        <w:rPr>
          <w:rFonts w:ascii="Times New Roman" w:hAnsi="Times New Roman" w:cs="Times New Roman"/>
          <w:sz w:val="24"/>
          <w:szCs w:val="24"/>
          <w:highlight w:val="yellow"/>
        </w:rPr>
        <w:t>.</w:t>
      </w:r>
    </w:p>
    <w:p w14:paraId="640CDC77" w14:textId="77777777" w:rsidR="00862AF1" w:rsidRPr="001F3298" w:rsidRDefault="00862AF1"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Plants assimilate carbon mostly by the process of photosynthesis, fixing atmospheric CO₂ into organic materials like carbohydrates</w:t>
      </w:r>
      <w:r w:rsidR="00C47162" w:rsidRPr="001F3298">
        <w:rPr>
          <w:rFonts w:ascii="Times New Roman" w:hAnsi="Times New Roman" w:cs="Times New Roman"/>
          <w:sz w:val="24"/>
          <w:szCs w:val="24"/>
        </w:rPr>
        <w:t xml:space="preserve"> (</w:t>
      </w:r>
      <w:r w:rsidR="00C47162" w:rsidRPr="001F3298">
        <w:rPr>
          <w:rFonts w:ascii="Times New Roman" w:hAnsi="Times New Roman" w:cs="Times New Roman"/>
          <w:color w:val="222222"/>
          <w:sz w:val="24"/>
          <w:szCs w:val="24"/>
          <w:shd w:val="clear" w:color="auto" w:fill="FFFFFF"/>
        </w:rPr>
        <w:t>Raines, 2011)</w:t>
      </w:r>
      <w:r w:rsidRPr="001F3298">
        <w:rPr>
          <w:rFonts w:ascii="Times New Roman" w:hAnsi="Times New Roman" w:cs="Times New Roman"/>
          <w:sz w:val="24"/>
          <w:szCs w:val="24"/>
        </w:rPr>
        <w:t>. These materials not only form the structural components of plant biomass but also substrates that energize soil microbial populations. Concurrently, nitrogen is obtained primarily from the soil in mineral forms like ammonium (NH₄⁺) and nitrate (NO₃⁻), which become part of organic molecules to fuel plant physiol</w:t>
      </w:r>
      <w:r w:rsidR="001C107E" w:rsidRPr="001F3298">
        <w:rPr>
          <w:rFonts w:ascii="Times New Roman" w:hAnsi="Times New Roman" w:cs="Times New Roman"/>
          <w:sz w:val="24"/>
          <w:szCs w:val="24"/>
        </w:rPr>
        <w:t>ogical processes</w:t>
      </w:r>
      <w:r w:rsidR="00C47162" w:rsidRPr="001F3298">
        <w:rPr>
          <w:rFonts w:ascii="Times New Roman" w:hAnsi="Times New Roman" w:cs="Times New Roman"/>
          <w:sz w:val="24"/>
          <w:szCs w:val="24"/>
        </w:rPr>
        <w:t xml:space="preserve"> (</w:t>
      </w:r>
      <w:r w:rsidR="00C47162" w:rsidRPr="001F3298">
        <w:rPr>
          <w:rFonts w:ascii="Times New Roman" w:hAnsi="Times New Roman" w:cs="Times New Roman"/>
          <w:color w:val="222222"/>
          <w:sz w:val="24"/>
          <w:szCs w:val="24"/>
          <w:shd w:val="clear" w:color="auto" w:fill="FFFFFF"/>
        </w:rPr>
        <w:t>Shukla et al., 2021)</w:t>
      </w:r>
      <w:r w:rsidR="001C107E" w:rsidRPr="001F3298">
        <w:rPr>
          <w:rFonts w:ascii="Times New Roman" w:hAnsi="Times New Roman" w:cs="Times New Roman"/>
          <w:sz w:val="24"/>
          <w:szCs w:val="24"/>
        </w:rPr>
        <w:t xml:space="preserve">. Soil microbes </w:t>
      </w:r>
      <w:r w:rsidRPr="001F3298">
        <w:rPr>
          <w:rFonts w:ascii="Times New Roman" w:hAnsi="Times New Roman" w:cs="Times New Roman"/>
          <w:sz w:val="24"/>
          <w:szCs w:val="24"/>
        </w:rPr>
        <w:t>via processes like mineralization, nit</w:t>
      </w:r>
      <w:r w:rsidR="001C107E" w:rsidRPr="001F3298">
        <w:rPr>
          <w:rFonts w:ascii="Times New Roman" w:hAnsi="Times New Roman" w:cs="Times New Roman"/>
          <w:sz w:val="24"/>
          <w:szCs w:val="24"/>
        </w:rPr>
        <w:t xml:space="preserve">rification, and denitrification </w:t>
      </w:r>
      <w:r w:rsidRPr="001F3298">
        <w:rPr>
          <w:rFonts w:ascii="Times New Roman" w:hAnsi="Times New Roman" w:cs="Times New Roman"/>
          <w:sz w:val="24"/>
          <w:szCs w:val="24"/>
        </w:rPr>
        <w:t>also control nitrogen availability, thus connecting soil nutrient cycling with plant development.</w:t>
      </w:r>
    </w:p>
    <w:p w14:paraId="5C72A1A9" w14:textId="77777777" w:rsidR="000B20BF" w:rsidRPr="001F3298" w:rsidRDefault="000B20BF" w:rsidP="00845625">
      <w:pPr>
        <w:spacing w:line="360" w:lineRule="auto"/>
        <w:jc w:val="both"/>
        <w:rPr>
          <w:rFonts w:ascii="Times New Roman" w:hAnsi="Times New Roman" w:cs="Times New Roman"/>
          <w:sz w:val="24"/>
          <w:szCs w:val="24"/>
        </w:rPr>
      </w:pPr>
      <w:r w:rsidRPr="001F3298">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3BC772FE" wp14:editId="6D933D2F">
            <wp:simplePos x="0" y="0"/>
            <wp:positionH relativeFrom="column">
              <wp:posOffset>609600</wp:posOffset>
            </wp:positionH>
            <wp:positionV relativeFrom="paragraph">
              <wp:posOffset>0</wp:posOffset>
            </wp:positionV>
            <wp:extent cx="5095875" cy="5055870"/>
            <wp:effectExtent l="0" t="0" r="9525" b="0"/>
            <wp:wrapTight wrapText="bothSides">
              <wp:wrapPolygon edited="0">
                <wp:start x="0" y="0"/>
                <wp:lineTo x="0" y="21486"/>
                <wp:lineTo x="21560" y="21486"/>
                <wp:lineTo x="21560" y="0"/>
                <wp:lineTo x="0" y="0"/>
              </wp:wrapPolygon>
            </wp:wrapTight>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095875" cy="5055870"/>
                    </a:xfrm>
                    <a:prstGeom prst="rect">
                      <a:avLst/>
                    </a:prstGeom>
                  </pic:spPr>
                </pic:pic>
              </a:graphicData>
            </a:graphic>
            <wp14:sizeRelH relativeFrom="margin">
              <wp14:pctWidth>0</wp14:pctWidth>
            </wp14:sizeRelH>
          </wp:anchor>
        </w:drawing>
      </w:r>
    </w:p>
    <w:p w14:paraId="34B0C7D5" w14:textId="77777777" w:rsidR="000B20BF" w:rsidRPr="001F3298" w:rsidRDefault="000B20BF" w:rsidP="00845625">
      <w:pPr>
        <w:spacing w:line="360" w:lineRule="auto"/>
        <w:jc w:val="both"/>
        <w:rPr>
          <w:rFonts w:ascii="Times New Roman" w:hAnsi="Times New Roman" w:cs="Times New Roman"/>
          <w:sz w:val="24"/>
          <w:szCs w:val="24"/>
        </w:rPr>
      </w:pPr>
    </w:p>
    <w:p w14:paraId="7CEEFE62" w14:textId="77777777" w:rsidR="000B20BF" w:rsidRPr="001F3298" w:rsidRDefault="000B20BF" w:rsidP="00845625">
      <w:pPr>
        <w:spacing w:line="360" w:lineRule="auto"/>
        <w:jc w:val="both"/>
        <w:rPr>
          <w:rFonts w:ascii="Times New Roman" w:hAnsi="Times New Roman" w:cs="Times New Roman"/>
          <w:sz w:val="24"/>
          <w:szCs w:val="24"/>
        </w:rPr>
      </w:pPr>
    </w:p>
    <w:p w14:paraId="77A1E4CB" w14:textId="77777777" w:rsidR="000B20BF" w:rsidRPr="001F3298" w:rsidRDefault="000B20BF" w:rsidP="00845625">
      <w:pPr>
        <w:spacing w:line="360" w:lineRule="auto"/>
        <w:jc w:val="both"/>
        <w:rPr>
          <w:rFonts w:ascii="Times New Roman" w:hAnsi="Times New Roman" w:cs="Times New Roman"/>
          <w:sz w:val="24"/>
          <w:szCs w:val="24"/>
        </w:rPr>
      </w:pPr>
    </w:p>
    <w:p w14:paraId="18D32EDE" w14:textId="77777777" w:rsidR="000B20BF" w:rsidRPr="001F3298" w:rsidRDefault="000B20BF" w:rsidP="00845625">
      <w:pPr>
        <w:spacing w:line="360" w:lineRule="auto"/>
        <w:jc w:val="both"/>
        <w:rPr>
          <w:rFonts w:ascii="Times New Roman" w:hAnsi="Times New Roman" w:cs="Times New Roman"/>
          <w:sz w:val="24"/>
          <w:szCs w:val="24"/>
        </w:rPr>
      </w:pPr>
    </w:p>
    <w:p w14:paraId="78B9BC82" w14:textId="77777777" w:rsidR="000B20BF" w:rsidRPr="001F3298" w:rsidRDefault="000B20BF" w:rsidP="00845625">
      <w:pPr>
        <w:spacing w:line="360" w:lineRule="auto"/>
        <w:jc w:val="both"/>
        <w:rPr>
          <w:rFonts w:ascii="Times New Roman" w:hAnsi="Times New Roman" w:cs="Times New Roman"/>
          <w:sz w:val="24"/>
          <w:szCs w:val="24"/>
        </w:rPr>
      </w:pPr>
    </w:p>
    <w:p w14:paraId="0881BA78" w14:textId="77777777" w:rsidR="000B20BF" w:rsidRPr="001F3298" w:rsidRDefault="000B20BF" w:rsidP="00845625">
      <w:pPr>
        <w:spacing w:line="360" w:lineRule="auto"/>
        <w:jc w:val="both"/>
        <w:rPr>
          <w:rFonts w:ascii="Times New Roman" w:hAnsi="Times New Roman" w:cs="Times New Roman"/>
          <w:sz w:val="24"/>
          <w:szCs w:val="24"/>
        </w:rPr>
      </w:pPr>
    </w:p>
    <w:p w14:paraId="73DB4F27" w14:textId="77777777" w:rsidR="000B20BF" w:rsidRPr="001F3298" w:rsidRDefault="000B20BF" w:rsidP="00845625">
      <w:pPr>
        <w:spacing w:line="360" w:lineRule="auto"/>
        <w:jc w:val="both"/>
        <w:rPr>
          <w:rFonts w:ascii="Times New Roman" w:hAnsi="Times New Roman" w:cs="Times New Roman"/>
          <w:sz w:val="24"/>
          <w:szCs w:val="24"/>
        </w:rPr>
      </w:pPr>
    </w:p>
    <w:p w14:paraId="3F7888E6" w14:textId="77777777" w:rsidR="000B20BF" w:rsidRPr="001F3298" w:rsidRDefault="000B20BF" w:rsidP="00845625">
      <w:pPr>
        <w:spacing w:line="360" w:lineRule="auto"/>
        <w:jc w:val="both"/>
        <w:rPr>
          <w:rFonts w:ascii="Times New Roman" w:hAnsi="Times New Roman" w:cs="Times New Roman"/>
          <w:sz w:val="24"/>
          <w:szCs w:val="24"/>
        </w:rPr>
      </w:pPr>
    </w:p>
    <w:p w14:paraId="0E28B19B" w14:textId="77777777" w:rsidR="000B20BF" w:rsidRPr="001F3298" w:rsidRDefault="000B20BF" w:rsidP="00845625">
      <w:pPr>
        <w:spacing w:line="360" w:lineRule="auto"/>
        <w:jc w:val="both"/>
        <w:rPr>
          <w:rFonts w:ascii="Times New Roman" w:hAnsi="Times New Roman" w:cs="Times New Roman"/>
          <w:sz w:val="24"/>
          <w:szCs w:val="24"/>
        </w:rPr>
      </w:pPr>
    </w:p>
    <w:p w14:paraId="4A3236D0" w14:textId="77777777" w:rsidR="000B20BF" w:rsidRPr="001F3298" w:rsidRDefault="000B20BF" w:rsidP="00845625">
      <w:pPr>
        <w:spacing w:line="360" w:lineRule="auto"/>
        <w:jc w:val="both"/>
        <w:rPr>
          <w:rFonts w:ascii="Times New Roman" w:hAnsi="Times New Roman" w:cs="Times New Roman"/>
          <w:sz w:val="24"/>
          <w:szCs w:val="24"/>
        </w:rPr>
      </w:pPr>
    </w:p>
    <w:p w14:paraId="036DA98D" w14:textId="77777777" w:rsidR="000B20BF" w:rsidRPr="001F3298" w:rsidRDefault="000B20BF" w:rsidP="00845625">
      <w:pPr>
        <w:spacing w:line="360" w:lineRule="auto"/>
        <w:jc w:val="both"/>
        <w:rPr>
          <w:rFonts w:ascii="Times New Roman" w:hAnsi="Times New Roman" w:cs="Times New Roman"/>
          <w:sz w:val="24"/>
          <w:szCs w:val="24"/>
        </w:rPr>
      </w:pPr>
    </w:p>
    <w:p w14:paraId="210E2D7D" w14:textId="77777777" w:rsidR="000B20BF" w:rsidRPr="001F3298" w:rsidRDefault="000B20BF" w:rsidP="00845625">
      <w:pPr>
        <w:spacing w:line="360" w:lineRule="auto"/>
        <w:jc w:val="both"/>
        <w:rPr>
          <w:rFonts w:ascii="Times New Roman" w:hAnsi="Times New Roman" w:cs="Times New Roman"/>
          <w:sz w:val="24"/>
          <w:szCs w:val="24"/>
        </w:rPr>
      </w:pPr>
    </w:p>
    <w:p w14:paraId="37F3CEC8" w14:textId="77777777" w:rsidR="000B20BF" w:rsidRPr="001F3298" w:rsidRDefault="000B20BF" w:rsidP="00845625">
      <w:pPr>
        <w:spacing w:line="360" w:lineRule="auto"/>
        <w:jc w:val="both"/>
        <w:rPr>
          <w:rFonts w:ascii="Times New Roman" w:hAnsi="Times New Roman" w:cs="Times New Roman"/>
          <w:sz w:val="24"/>
          <w:szCs w:val="24"/>
        </w:rPr>
      </w:pPr>
    </w:p>
    <w:p w14:paraId="1F50953E" w14:textId="77777777" w:rsidR="00341395" w:rsidRPr="001F3298" w:rsidRDefault="00341395" w:rsidP="00845625">
      <w:pPr>
        <w:spacing w:line="360" w:lineRule="auto"/>
        <w:jc w:val="both"/>
        <w:rPr>
          <w:rFonts w:ascii="Times New Roman" w:hAnsi="Times New Roman" w:cs="Times New Roman"/>
          <w:color w:val="222222"/>
          <w:sz w:val="24"/>
          <w:szCs w:val="24"/>
          <w:shd w:val="clear" w:color="auto" w:fill="FFFFFF"/>
        </w:rPr>
      </w:pPr>
    </w:p>
    <w:p w14:paraId="717A230B" w14:textId="77777777" w:rsidR="00341395" w:rsidRPr="001F3298" w:rsidRDefault="00341395" w:rsidP="00845625">
      <w:pPr>
        <w:spacing w:line="360" w:lineRule="auto"/>
        <w:jc w:val="both"/>
        <w:rPr>
          <w:rFonts w:ascii="Times New Roman" w:hAnsi="Times New Roman" w:cs="Times New Roman"/>
          <w:color w:val="222222"/>
          <w:sz w:val="24"/>
          <w:szCs w:val="24"/>
          <w:shd w:val="clear" w:color="auto" w:fill="FFFFFF"/>
        </w:rPr>
      </w:pPr>
      <w:r w:rsidRPr="001F3298">
        <w:rPr>
          <w:rFonts w:ascii="Times New Roman" w:hAnsi="Times New Roman" w:cs="Times New Roman"/>
          <w:color w:val="222222"/>
          <w:sz w:val="24"/>
          <w:szCs w:val="24"/>
          <w:shd w:val="clear" w:color="auto" w:fill="FFFFFF"/>
        </w:rPr>
        <w:t>(Source, Palit, et al., 2020)</w:t>
      </w:r>
    </w:p>
    <w:p w14:paraId="759F4DAF" w14:textId="77777777" w:rsidR="000B541B" w:rsidRPr="001F3298" w:rsidRDefault="000B541B" w:rsidP="000B541B">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Fig. 1. Key physiological characteristics affected by increased CO₂ and temperature.</w:t>
      </w:r>
    </w:p>
    <w:p w14:paraId="7B7439F7" w14:textId="77777777" w:rsidR="000B20BF" w:rsidRPr="001F3298" w:rsidRDefault="000B541B"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Biochemical and phenotypic changes in legumes exposed to high CO₂ (left) and to the combined effect of high CO₂ and temperature (right). The major biochemical and phenotypic parameters are discussed in Section 1 of this review</w:t>
      </w:r>
      <w:r w:rsidR="00BA7AE1" w:rsidRPr="001F3298">
        <w:rPr>
          <w:rFonts w:ascii="Times New Roman" w:hAnsi="Times New Roman" w:cs="Times New Roman"/>
          <w:sz w:val="24"/>
          <w:szCs w:val="24"/>
        </w:rPr>
        <w:t xml:space="preserve"> (</w:t>
      </w:r>
      <w:proofErr w:type="spellStart"/>
      <w:r w:rsidR="00BA7AE1" w:rsidRPr="001F3298">
        <w:rPr>
          <w:rFonts w:ascii="Times New Roman" w:hAnsi="Times New Roman" w:cs="Times New Roman"/>
          <w:color w:val="222222"/>
          <w:sz w:val="24"/>
          <w:szCs w:val="24"/>
          <w:shd w:val="clear" w:color="auto" w:fill="FFFFFF"/>
        </w:rPr>
        <w:t>Adireddy</w:t>
      </w:r>
      <w:proofErr w:type="spellEnd"/>
      <w:r w:rsidR="00BA7AE1" w:rsidRPr="001F3298">
        <w:rPr>
          <w:rFonts w:ascii="Times New Roman" w:hAnsi="Times New Roman" w:cs="Times New Roman"/>
          <w:color w:val="222222"/>
          <w:sz w:val="24"/>
          <w:szCs w:val="24"/>
          <w:shd w:val="clear" w:color="auto" w:fill="FFFFFF"/>
        </w:rPr>
        <w:t>,</w:t>
      </w:r>
      <w:r w:rsidR="00BA7AE1" w:rsidRPr="001F3298">
        <w:rPr>
          <w:rFonts w:ascii="Times New Roman" w:hAnsi="Times New Roman" w:cs="Times New Roman"/>
          <w:sz w:val="24"/>
          <w:szCs w:val="24"/>
        </w:rPr>
        <w:t xml:space="preserve"> et al., 2024).</w:t>
      </w:r>
      <w:r w:rsidRPr="001F3298">
        <w:rPr>
          <w:rFonts w:ascii="Times New Roman" w:hAnsi="Times New Roman" w:cs="Times New Roman"/>
          <w:sz w:val="24"/>
          <w:szCs w:val="24"/>
        </w:rPr>
        <w:t xml:space="preserve"> The lower panel shows sequential changes occurring in the rhizosphere, where high CO₂ increases carbon availability, thus impacting biological nitrogen fixation (BNF) and subsequently affecting root nodulation</w:t>
      </w:r>
      <w:r w:rsidR="00BA7AE1" w:rsidRPr="001F3298">
        <w:rPr>
          <w:rFonts w:ascii="Times New Roman" w:hAnsi="Times New Roman" w:cs="Times New Roman"/>
          <w:sz w:val="24"/>
          <w:szCs w:val="24"/>
        </w:rPr>
        <w:t xml:space="preserve"> (</w:t>
      </w:r>
      <w:r w:rsidR="00BA7AE1" w:rsidRPr="001F3298">
        <w:rPr>
          <w:rFonts w:ascii="Times New Roman" w:hAnsi="Times New Roman" w:cs="Times New Roman"/>
          <w:color w:val="222222"/>
          <w:sz w:val="24"/>
          <w:szCs w:val="24"/>
          <w:shd w:val="clear" w:color="auto" w:fill="FFFFFF"/>
        </w:rPr>
        <w:t>Schaedel, et al., 2023)</w:t>
      </w:r>
      <w:r w:rsidRPr="001F3298">
        <w:rPr>
          <w:rFonts w:ascii="Times New Roman" w:hAnsi="Times New Roman" w:cs="Times New Roman"/>
          <w:sz w:val="24"/>
          <w:szCs w:val="24"/>
        </w:rPr>
        <w:t>.</w:t>
      </w:r>
    </w:p>
    <w:p w14:paraId="34E0C1A0" w14:textId="77777777" w:rsidR="00862AF1" w:rsidRPr="001F3298" w:rsidRDefault="00862AF1"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lastRenderedPageBreak/>
        <w:t>The continued increase in atmospheric concentrations of CO₂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which is largely anthropogenically driven, has significant ramifications for both carbon and nitrogen cycling within agroecosystems</w:t>
      </w:r>
      <w:r w:rsidR="009500D4" w:rsidRPr="001F3298">
        <w:rPr>
          <w:rFonts w:ascii="Times New Roman" w:hAnsi="Times New Roman" w:cs="Times New Roman"/>
          <w:sz w:val="24"/>
          <w:szCs w:val="24"/>
        </w:rPr>
        <w:t xml:space="preserve"> (</w:t>
      </w:r>
      <w:r w:rsidR="009500D4" w:rsidRPr="001F3298">
        <w:rPr>
          <w:rFonts w:ascii="Times New Roman" w:hAnsi="Times New Roman" w:cs="Times New Roman"/>
          <w:color w:val="222222"/>
          <w:sz w:val="24"/>
          <w:szCs w:val="24"/>
          <w:shd w:val="clear" w:color="auto" w:fill="FFFFFF"/>
        </w:rPr>
        <w:t>Shah, et al., 2019)</w:t>
      </w:r>
      <w:r w:rsidRPr="001F3298">
        <w:rPr>
          <w:rFonts w:ascii="Times New Roman" w:hAnsi="Times New Roman" w:cs="Times New Roman"/>
          <w:sz w:val="24"/>
          <w:szCs w:val="24"/>
        </w:rPr>
        <w:t>. Increased CO₂ generally increases plant photosynthesis (the so-called "CO₂ fertilization effect"), with increased assimilation of carbon and biomass production. Yet, this additional carbon input comes at the price of increased nitrogen demand, as additional proteins, enzymes, and metabolic compounds are necessary to maintain elevated growth rates</w:t>
      </w:r>
      <w:r w:rsidR="006A59A6" w:rsidRPr="001F3298">
        <w:rPr>
          <w:rFonts w:ascii="Times New Roman" w:hAnsi="Times New Roman" w:cs="Times New Roman"/>
          <w:sz w:val="24"/>
          <w:szCs w:val="24"/>
        </w:rPr>
        <w:t xml:space="preserve"> (</w:t>
      </w:r>
      <w:r w:rsidR="006A59A6" w:rsidRPr="001F3298">
        <w:rPr>
          <w:rFonts w:ascii="Times New Roman" w:hAnsi="Times New Roman" w:cs="Times New Roman"/>
          <w:color w:val="222222"/>
          <w:sz w:val="24"/>
          <w:szCs w:val="24"/>
          <w:shd w:val="clear" w:color="auto" w:fill="FFFFFF"/>
        </w:rPr>
        <w:t>Erickson, 1993)</w:t>
      </w:r>
      <w:r w:rsidRPr="001F3298">
        <w:rPr>
          <w:rFonts w:ascii="Times New Roman" w:hAnsi="Times New Roman" w:cs="Times New Roman"/>
          <w:sz w:val="24"/>
          <w:szCs w:val="24"/>
        </w:rPr>
        <w:t xml:space="preserve">. This discrepancy can lead to an effect referred to as the dilution effect, where elevated plant biomass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can have comparatively lower nitrogen content, lowering crop nutritional value in general.</w:t>
      </w:r>
    </w:p>
    <w:p w14:paraId="642303EA" w14:textId="77777777" w:rsidR="00D34D9E" w:rsidRDefault="00862AF1"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Additionally,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modifies soil-microbe-plant interactions, affecting root exudation, microbial decomposition, and processes of nitrogen mineralization. Carbon addition to the soil can drive microbial activity, but it may hasten or retard nitrogen availability depending on soil status, quality of organic matter, and microbial community structure</w:t>
      </w:r>
      <w:r w:rsidR="006A59A6" w:rsidRPr="001F3298">
        <w:rPr>
          <w:rFonts w:ascii="Times New Roman" w:hAnsi="Times New Roman" w:cs="Times New Roman"/>
          <w:sz w:val="24"/>
          <w:szCs w:val="24"/>
        </w:rPr>
        <w:t xml:space="preserve"> (</w:t>
      </w:r>
      <w:r w:rsidR="006A59A6" w:rsidRPr="001F3298">
        <w:rPr>
          <w:rFonts w:ascii="Times New Roman" w:hAnsi="Times New Roman" w:cs="Times New Roman"/>
          <w:color w:val="222222"/>
          <w:sz w:val="24"/>
          <w:szCs w:val="24"/>
          <w:shd w:val="clear" w:color="auto" w:fill="FFFFFF"/>
        </w:rPr>
        <w:t>Wang, et al., 2019)</w:t>
      </w:r>
      <w:r w:rsidRPr="001F3298">
        <w:rPr>
          <w:rFonts w:ascii="Times New Roman" w:hAnsi="Times New Roman" w:cs="Times New Roman"/>
          <w:sz w:val="24"/>
          <w:szCs w:val="24"/>
        </w:rPr>
        <w:t xml:space="preserve">. Nitrogen limitation in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could limit the beneficial effects of increased photosynthesis, resulting in a disconnection of the carbon and nitrogen cycles in some instances.</w:t>
      </w:r>
    </w:p>
    <w:p w14:paraId="618DB8D0" w14:textId="2E5A1362" w:rsidR="00D34D9E" w:rsidRPr="001F3298" w:rsidRDefault="00D34D9E" w:rsidP="00D34D9E">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w:t>
      </w:r>
    </w:p>
    <w:p w14:paraId="600A0EB6" w14:textId="77777777" w:rsidR="0047782C" w:rsidRPr="001F3298" w:rsidRDefault="0047782C" w:rsidP="00845625">
      <w:pPr>
        <w:spacing w:line="360" w:lineRule="auto"/>
        <w:jc w:val="both"/>
        <w:rPr>
          <w:rFonts w:ascii="Times New Roman" w:hAnsi="Times New Roman" w:cs="Times New Roman"/>
          <w:sz w:val="24"/>
          <w:szCs w:val="24"/>
        </w:rPr>
      </w:pPr>
      <w:r w:rsidRPr="001F3298">
        <w:rPr>
          <w:rFonts w:ascii="Times New Roman" w:hAnsi="Times New Roman" w:cs="Times New Roman"/>
          <w:noProof/>
          <w:sz w:val="24"/>
          <w:szCs w:val="24"/>
        </w:rPr>
        <w:drawing>
          <wp:anchor distT="0" distB="0" distL="114300" distR="114300" simplePos="0" relativeHeight="251659264" behindDoc="1" locked="0" layoutInCell="1" allowOverlap="1" wp14:anchorId="449F15C8" wp14:editId="1D6117B0">
            <wp:simplePos x="0" y="0"/>
            <wp:positionH relativeFrom="margin">
              <wp:align>left</wp:align>
            </wp:positionH>
            <wp:positionV relativeFrom="paragraph">
              <wp:posOffset>287655</wp:posOffset>
            </wp:positionV>
            <wp:extent cx="5071110" cy="3234690"/>
            <wp:effectExtent l="0" t="0" r="0" b="3810"/>
            <wp:wrapTight wrapText="bothSides">
              <wp:wrapPolygon edited="0">
                <wp:start x="0" y="0"/>
                <wp:lineTo x="0" y="21498"/>
                <wp:lineTo x="21503" y="21498"/>
                <wp:lineTo x="21503" y="0"/>
                <wp:lineTo x="0" y="0"/>
              </wp:wrapPolygon>
            </wp:wrapTight>
            <wp:docPr id="1" name="Picture 1" descr="C:\Users\Admin\Desktop\64a96112-a09e-47cc-96e8-b0045afebb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4a96112-a09e-47cc-96e8-b0045afebb9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936"/>
                    <a:stretch/>
                  </pic:blipFill>
                  <pic:spPr bwMode="auto">
                    <a:xfrm>
                      <a:off x="0" y="0"/>
                      <a:ext cx="5071110" cy="3234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E351AD" w14:textId="77777777" w:rsidR="00862AF1" w:rsidRPr="001F3298" w:rsidRDefault="00862AF1" w:rsidP="00845625">
      <w:pPr>
        <w:spacing w:line="360" w:lineRule="auto"/>
        <w:jc w:val="both"/>
        <w:rPr>
          <w:rFonts w:ascii="Times New Roman" w:hAnsi="Times New Roman" w:cs="Times New Roman"/>
          <w:sz w:val="24"/>
          <w:szCs w:val="24"/>
        </w:rPr>
      </w:pPr>
    </w:p>
    <w:p w14:paraId="37C159D3" w14:textId="77777777" w:rsidR="001F3298" w:rsidRPr="001F3298" w:rsidRDefault="00862AF1"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lastRenderedPageBreak/>
        <w:t xml:space="preserve">Characterizing these intricate interactions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conditions is of profound significance in the framework of global food security, climate change mitigation, and sustainable agriculture</w:t>
      </w:r>
      <w:r w:rsidR="006A59A6" w:rsidRPr="001F3298">
        <w:rPr>
          <w:rFonts w:ascii="Times New Roman" w:hAnsi="Times New Roman" w:cs="Times New Roman"/>
          <w:sz w:val="24"/>
          <w:szCs w:val="24"/>
        </w:rPr>
        <w:t xml:space="preserve"> (</w:t>
      </w:r>
      <w:r w:rsidR="006A59A6" w:rsidRPr="001F3298">
        <w:rPr>
          <w:rFonts w:ascii="Times New Roman" w:hAnsi="Times New Roman" w:cs="Times New Roman"/>
          <w:color w:val="222222"/>
          <w:sz w:val="24"/>
          <w:szCs w:val="24"/>
          <w:shd w:val="clear" w:color="auto" w:fill="FFFFFF"/>
        </w:rPr>
        <w:t>Thakur,</w:t>
      </w:r>
      <w:r w:rsidR="006A59A6" w:rsidRPr="001F3298">
        <w:rPr>
          <w:rFonts w:ascii="Times New Roman" w:hAnsi="Times New Roman" w:cs="Times New Roman"/>
          <w:sz w:val="24"/>
          <w:szCs w:val="24"/>
        </w:rPr>
        <w:t xml:space="preserve"> et al., 2024).</w:t>
      </w:r>
      <w:r w:rsidRPr="001F3298">
        <w:rPr>
          <w:rFonts w:ascii="Times New Roman" w:hAnsi="Times New Roman" w:cs="Times New Roman"/>
          <w:sz w:val="24"/>
          <w:szCs w:val="24"/>
        </w:rPr>
        <w:t xml:space="preserve"> With a growing world population posed to face uncertain climatic conditions, information on carbon–nitrogen coupling gives useful direction to devise adaptive measures like integrated nutrient management, crop breeding to enhance nitrogen-use efficiency, and managed soil microbial engineering. It will be critical to this knowledge to provide resilient and productive agroecosystems in the future</w:t>
      </w:r>
      <w:r w:rsidR="001F3298" w:rsidRPr="001F3298">
        <w:rPr>
          <w:rFonts w:ascii="Times New Roman" w:hAnsi="Times New Roman" w:cs="Times New Roman"/>
          <w:sz w:val="24"/>
          <w:szCs w:val="24"/>
        </w:rPr>
        <w:t xml:space="preserve"> (</w:t>
      </w:r>
      <w:r w:rsidR="001F3298" w:rsidRPr="001F3298">
        <w:rPr>
          <w:rFonts w:ascii="Times New Roman" w:hAnsi="Times New Roman" w:cs="Times New Roman"/>
          <w:color w:val="222222"/>
          <w:sz w:val="24"/>
          <w:szCs w:val="24"/>
          <w:shd w:val="clear" w:color="auto" w:fill="FFFFFF"/>
        </w:rPr>
        <w:t>Walker, et al., 2021)</w:t>
      </w:r>
      <w:r w:rsidRPr="001F3298">
        <w:rPr>
          <w:rFonts w:ascii="Times New Roman" w:hAnsi="Times New Roman" w:cs="Times New Roman"/>
          <w:sz w:val="24"/>
          <w:szCs w:val="24"/>
        </w:rPr>
        <w:t>.</w:t>
      </w:r>
    </w:p>
    <w:p w14:paraId="0F9FD6C9" w14:textId="4E94F7E9" w:rsidR="00180D48" w:rsidRPr="001F3298" w:rsidRDefault="00180D48"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Nutrient cycling is an important factor in controlling the terrestrial biosphere's carbon uptake and considerably affects how the carbon cycle reacts to temperature and precipitation changes</w:t>
      </w:r>
      <w:r w:rsidR="0062327B" w:rsidRPr="001F3298">
        <w:rPr>
          <w:rFonts w:ascii="Times New Roman" w:hAnsi="Times New Roman" w:cs="Times New Roman"/>
          <w:sz w:val="24"/>
          <w:szCs w:val="24"/>
        </w:rPr>
        <w:t xml:space="preserve"> (</w:t>
      </w:r>
      <w:r w:rsidR="0062327B" w:rsidRPr="001F3298">
        <w:rPr>
          <w:rFonts w:ascii="Times New Roman" w:hAnsi="Times New Roman" w:cs="Times New Roman"/>
          <w:color w:val="222222"/>
          <w:sz w:val="24"/>
          <w:szCs w:val="24"/>
          <w:shd w:val="clear" w:color="auto" w:fill="FFFFFF"/>
        </w:rPr>
        <w:t>Luo,</w:t>
      </w:r>
      <w:r w:rsidR="0062327B" w:rsidRPr="001F3298">
        <w:rPr>
          <w:rFonts w:ascii="Times New Roman" w:hAnsi="Times New Roman" w:cs="Times New Roman"/>
          <w:sz w:val="24"/>
          <w:szCs w:val="24"/>
        </w:rPr>
        <w:t xml:space="preserve"> 2007).</w:t>
      </w:r>
      <w:r w:rsidRPr="001F3298">
        <w:rPr>
          <w:rFonts w:ascii="Times New Roman" w:hAnsi="Times New Roman" w:cs="Times New Roman"/>
          <w:sz w:val="24"/>
          <w:szCs w:val="24"/>
        </w:rPr>
        <w:t xml:space="preserve"> Yet, global coupled carbon–climate models mostly ignore nutrient dynamics. Our research </w:t>
      </w:r>
      <w:r w:rsidRPr="00E87918">
        <w:rPr>
          <w:rFonts w:ascii="Times New Roman" w:hAnsi="Times New Roman" w:cs="Times New Roman"/>
          <w:sz w:val="24"/>
          <w:szCs w:val="24"/>
          <w:highlight w:val="yellow"/>
        </w:rPr>
        <w:t>indicates that</w:t>
      </w:r>
      <w:r w:rsidR="00E87918" w:rsidRPr="00E87918">
        <w:rPr>
          <w:rFonts w:ascii="Times New Roman" w:hAnsi="Times New Roman" w:cs="Times New Roman"/>
          <w:sz w:val="24"/>
          <w:szCs w:val="24"/>
          <w:highlight w:val="yellow"/>
        </w:rPr>
        <w:t>,</w:t>
      </w:r>
      <w:r w:rsidRPr="00E87918">
        <w:rPr>
          <w:rFonts w:ascii="Times New Roman" w:hAnsi="Times New Roman" w:cs="Times New Roman"/>
          <w:sz w:val="24"/>
          <w:szCs w:val="24"/>
          <w:highlight w:val="yellow"/>
        </w:rPr>
        <w:t xml:space="preserve"> including</w:t>
      </w:r>
      <w:r w:rsidRPr="001F3298">
        <w:rPr>
          <w:rFonts w:ascii="Times New Roman" w:hAnsi="Times New Roman" w:cs="Times New Roman"/>
          <w:sz w:val="24"/>
          <w:szCs w:val="24"/>
        </w:rPr>
        <w:t xml:space="preserve"> nutrie</w:t>
      </w:r>
      <w:r w:rsidR="00EE5E01" w:rsidRPr="001F3298">
        <w:rPr>
          <w:rFonts w:ascii="Times New Roman" w:hAnsi="Times New Roman" w:cs="Times New Roman"/>
          <w:sz w:val="24"/>
          <w:szCs w:val="24"/>
        </w:rPr>
        <w:t xml:space="preserve">nt cycling </w:t>
      </w:r>
      <w:r w:rsidRPr="001F3298">
        <w:rPr>
          <w:rFonts w:ascii="Times New Roman" w:hAnsi="Times New Roman" w:cs="Times New Roman"/>
          <w:sz w:val="24"/>
          <w:szCs w:val="24"/>
        </w:rPr>
        <w:t>specifically, the tight coupl</w:t>
      </w:r>
      <w:r w:rsidR="00EE5E01" w:rsidRPr="001F3298">
        <w:rPr>
          <w:rFonts w:ascii="Times New Roman" w:hAnsi="Times New Roman" w:cs="Times New Roman"/>
          <w:sz w:val="24"/>
          <w:szCs w:val="24"/>
        </w:rPr>
        <w:t xml:space="preserve">ing between carbon and nitrogen </w:t>
      </w:r>
      <w:r w:rsidRPr="001F3298">
        <w:rPr>
          <w:rFonts w:ascii="Times New Roman" w:hAnsi="Times New Roman" w:cs="Times New Roman"/>
          <w:sz w:val="24"/>
          <w:szCs w:val="24"/>
        </w:rPr>
        <w:t>within the terrestrial biogeochemistry module of a coupled climate system model radically alters the behavior of a number of important feedback mechanisms connecting terrestrial ecosystems to the global climate</w:t>
      </w:r>
      <w:r w:rsidR="00773EC9" w:rsidRPr="001F3298">
        <w:rPr>
          <w:rFonts w:ascii="Times New Roman" w:hAnsi="Times New Roman" w:cs="Times New Roman"/>
          <w:sz w:val="24"/>
          <w:szCs w:val="24"/>
        </w:rPr>
        <w:t xml:space="preserve"> (</w:t>
      </w:r>
      <w:proofErr w:type="spellStart"/>
      <w:r w:rsidR="00773EC9" w:rsidRPr="001F3298">
        <w:rPr>
          <w:rFonts w:ascii="Times New Roman" w:hAnsi="Times New Roman" w:cs="Times New Roman"/>
          <w:color w:val="222222"/>
          <w:sz w:val="24"/>
          <w:szCs w:val="24"/>
          <w:shd w:val="clear" w:color="auto" w:fill="FFFFFF"/>
        </w:rPr>
        <w:t>Zaehle</w:t>
      </w:r>
      <w:proofErr w:type="spellEnd"/>
      <w:r w:rsidR="00773EC9" w:rsidRPr="001F3298">
        <w:rPr>
          <w:rFonts w:ascii="Times New Roman" w:hAnsi="Times New Roman" w:cs="Times New Roman"/>
          <w:color w:val="222222"/>
          <w:sz w:val="24"/>
          <w:szCs w:val="24"/>
          <w:shd w:val="clear" w:color="auto" w:fill="FFFFFF"/>
        </w:rPr>
        <w:t xml:space="preserve"> and </w:t>
      </w:r>
      <w:proofErr w:type="spellStart"/>
      <w:r w:rsidR="00773EC9" w:rsidRPr="001F3298">
        <w:rPr>
          <w:rFonts w:ascii="Times New Roman" w:hAnsi="Times New Roman" w:cs="Times New Roman"/>
          <w:color w:val="222222"/>
          <w:sz w:val="24"/>
          <w:szCs w:val="24"/>
          <w:shd w:val="clear" w:color="auto" w:fill="FFFFFF"/>
        </w:rPr>
        <w:t>Dalmonech</w:t>
      </w:r>
      <w:proofErr w:type="spellEnd"/>
      <w:r w:rsidR="00773EC9" w:rsidRPr="001F3298">
        <w:rPr>
          <w:rFonts w:ascii="Times New Roman" w:hAnsi="Times New Roman" w:cs="Times New Roman"/>
          <w:color w:val="222222"/>
          <w:sz w:val="24"/>
          <w:szCs w:val="24"/>
          <w:shd w:val="clear" w:color="auto" w:fill="FFFFFF"/>
        </w:rPr>
        <w:t>, 2011)</w:t>
      </w:r>
      <w:r w:rsidRPr="001F3298">
        <w:rPr>
          <w:rFonts w:ascii="Times New Roman" w:hAnsi="Times New Roman" w:cs="Times New Roman"/>
          <w:sz w:val="24"/>
          <w:szCs w:val="24"/>
        </w:rPr>
        <w:t>. When interactions between carbon and nitrogen are accounted for, the globally averaged terrestrial carbon uptake response to increasing atmospheric CO₂ is decreased by 74% relative to a carbon-only model. Furthermore, net land carbon exchange sensitivity to temperature and precipitation changes is greatly reduced by carbon–nitrogen coupling</w:t>
      </w:r>
      <w:r w:rsidR="000E23A1" w:rsidRPr="001F3298">
        <w:rPr>
          <w:rFonts w:ascii="Times New Roman" w:hAnsi="Times New Roman" w:cs="Times New Roman"/>
          <w:sz w:val="24"/>
          <w:szCs w:val="24"/>
        </w:rPr>
        <w:t xml:space="preserve"> (</w:t>
      </w:r>
      <w:r w:rsidR="000E23A1" w:rsidRPr="001F3298">
        <w:rPr>
          <w:rFonts w:ascii="Times New Roman" w:hAnsi="Times New Roman" w:cs="Times New Roman"/>
          <w:color w:val="222222"/>
          <w:sz w:val="24"/>
          <w:szCs w:val="24"/>
          <w:shd w:val="clear" w:color="auto" w:fill="FFFFFF"/>
        </w:rPr>
        <w:t>Jain, et al., 2019)</w:t>
      </w:r>
      <w:r w:rsidRPr="001F3298">
        <w:rPr>
          <w:rFonts w:ascii="Times New Roman" w:hAnsi="Times New Roman" w:cs="Times New Roman"/>
          <w:sz w:val="24"/>
          <w:szCs w:val="24"/>
        </w:rPr>
        <w:t xml:space="preserve">. At increasing atmospheric CO₂, carbon cycle responses to temperature and precipitation are weaker in the coupled model, but stronger in the carbon-only model. These results imply that previous carbon-only models most probably exaggerated the terrestrial ecosystems' ability to reduce </w:t>
      </w:r>
      <w:r w:rsidRPr="00E87918">
        <w:rPr>
          <w:rFonts w:ascii="Times New Roman" w:hAnsi="Times New Roman" w:cs="Times New Roman"/>
          <w:sz w:val="24"/>
          <w:szCs w:val="24"/>
          <w:highlight w:val="yellow"/>
        </w:rPr>
        <w:t xml:space="preserve">atmospheric CO₂ </w:t>
      </w:r>
      <w:r w:rsidRPr="001F3298">
        <w:rPr>
          <w:rFonts w:ascii="Times New Roman" w:hAnsi="Times New Roman" w:cs="Times New Roman"/>
          <w:sz w:val="24"/>
          <w:szCs w:val="24"/>
        </w:rPr>
        <w:t>through direct fertilization effects. So, the next generations of coupled climate–biogeochemistry models ought to represent explicitly and dynamically terrestrial carbon–nitrogen interactions in order to enhance projections of atmospheric CO₂ concentration and climate change</w:t>
      </w:r>
      <w:r w:rsidR="00C4627A" w:rsidRPr="001F3298">
        <w:rPr>
          <w:rFonts w:ascii="Times New Roman" w:hAnsi="Times New Roman" w:cs="Times New Roman"/>
          <w:sz w:val="24"/>
          <w:szCs w:val="24"/>
        </w:rPr>
        <w:t xml:space="preserve"> (</w:t>
      </w:r>
      <w:r w:rsidR="00C4627A" w:rsidRPr="001F3298">
        <w:rPr>
          <w:rFonts w:ascii="Times New Roman" w:hAnsi="Times New Roman" w:cs="Times New Roman"/>
          <w:color w:val="222222"/>
          <w:sz w:val="24"/>
          <w:szCs w:val="24"/>
          <w:shd w:val="clear" w:color="auto" w:fill="FFFFFF"/>
        </w:rPr>
        <w:t>Ciais, et al., 2014)</w:t>
      </w:r>
      <w:r w:rsidRPr="001F3298">
        <w:rPr>
          <w:rFonts w:ascii="Times New Roman" w:hAnsi="Times New Roman" w:cs="Times New Roman"/>
          <w:sz w:val="24"/>
          <w:szCs w:val="24"/>
        </w:rPr>
        <w:t>.</w:t>
      </w:r>
    </w:p>
    <w:p w14:paraId="01FF9C6A" w14:textId="77777777" w:rsidR="00EE5E01" w:rsidRPr="001F3298" w:rsidRDefault="00EE5E01" w:rsidP="00845625">
      <w:pPr>
        <w:spacing w:line="360" w:lineRule="auto"/>
        <w:jc w:val="both"/>
        <w:rPr>
          <w:rFonts w:ascii="Times New Roman" w:hAnsi="Times New Roman" w:cs="Times New Roman"/>
          <w:sz w:val="24"/>
          <w:szCs w:val="24"/>
        </w:rPr>
      </w:pPr>
      <w:r w:rsidRPr="001F3298">
        <w:rPr>
          <w:rFonts w:ascii="Times New Roman" w:hAnsi="Times New Roman" w:cs="Times New Roman"/>
          <w:noProof/>
          <w:sz w:val="24"/>
          <w:szCs w:val="24"/>
        </w:rPr>
        <w:lastRenderedPageBreak/>
        <w:drawing>
          <wp:anchor distT="0" distB="0" distL="0" distR="0" simplePos="0" relativeHeight="251662336" behindDoc="1" locked="0" layoutInCell="1" allowOverlap="1" wp14:anchorId="5273AA1F" wp14:editId="3A523676">
            <wp:simplePos x="0" y="0"/>
            <wp:positionH relativeFrom="page">
              <wp:posOffset>1600200</wp:posOffset>
            </wp:positionH>
            <wp:positionV relativeFrom="paragraph">
              <wp:posOffset>-5080</wp:posOffset>
            </wp:positionV>
            <wp:extent cx="4571974" cy="3915435"/>
            <wp:effectExtent l="0" t="0" r="635" b="8890"/>
            <wp:wrapTight wrapText="bothSides">
              <wp:wrapPolygon edited="0">
                <wp:start x="0" y="0"/>
                <wp:lineTo x="0" y="21544"/>
                <wp:lineTo x="21513" y="21544"/>
                <wp:lineTo x="21513" y="0"/>
                <wp:lineTo x="0" y="0"/>
              </wp:wrapPolygon>
            </wp:wrapTight>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0" cstate="print"/>
                    <a:stretch>
                      <a:fillRect/>
                    </a:stretch>
                  </pic:blipFill>
                  <pic:spPr>
                    <a:xfrm>
                      <a:off x="0" y="0"/>
                      <a:ext cx="4571974" cy="3915435"/>
                    </a:xfrm>
                    <a:prstGeom prst="rect">
                      <a:avLst/>
                    </a:prstGeom>
                  </pic:spPr>
                </pic:pic>
              </a:graphicData>
            </a:graphic>
          </wp:anchor>
        </w:drawing>
      </w:r>
    </w:p>
    <w:p w14:paraId="4620353F" w14:textId="77777777" w:rsidR="00FC6500" w:rsidRPr="001F3298" w:rsidRDefault="00FC6500" w:rsidP="00845625">
      <w:pPr>
        <w:spacing w:line="360" w:lineRule="auto"/>
        <w:jc w:val="both"/>
        <w:rPr>
          <w:rFonts w:ascii="Times New Roman" w:hAnsi="Times New Roman" w:cs="Times New Roman"/>
          <w:sz w:val="24"/>
          <w:szCs w:val="24"/>
        </w:rPr>
      </w:pPr>
    </w:p>
    <w:p w14:paraId="5CA78834" w14:textId="77777777" w:rsidR="00FC6500" w:rsidRPr="001F3298" w:rsidRDefault="00FC6500" w:rsidP="00845625">
      <w:pPr>
        <w:spacing w:line="360" w:lineRule="auto"/>
        <w:jc w:val="both"/>
        <w:rPr>
          <w:rFonts w:ascii="Times New Roman" w:hAnsi="Times New Roman" w:cs="Times New Roman"/>
          <w:sz w:val="24"/>
          <w:szCs w:val="24"/>
        </w:rPr>
      </w:pPr>
    </w:p>
    <w:p w14:paraId="22212D53" w14:textId="77777777" w:rsidR="00FC6500" w:rsidRPr="001F3298" w:rsidRDefault="00FC6500" w:rsidP="00845625">
      <w:pPr>
        <w:spacing w:line="360" w:lineRule="auto"/>
        <w:jc w:val="both"/>
        <w:rPr>
          <w:rFonts w:ascii="Times New Roman" w:hAnsi="Times New Roman" w:cs="Times New Roman"/>
          <w:sz w:val="24"/>
          <w:szCs w:val="24"/>
        </w:rPr>
      </w:pPr>
    </w:p>
    <w:p w14:paraId="6DD49B59" w14:textId="77777777" w:rsidR="00FC6500" w:rsidRPr="001F3298" w:rsidRDefault="00FC6500" w:rsidP="00845625">
      <w:pPr>
        <w:spacing w:line="360" w:lineRule="auto"/>
        <w:jc w:val="both"/>
        <w:rPr>
          <w:rFonts w:ascii="Times New Roman" w:hAnsi="Times New Roman" w:cs="Times New Roman"/>
          <w:sz w:val="24"/>
          <w:szCs w:val="24"/>
        </w:rPr>
      </w:pPr>
    </w:p>
    <w:p w14:paraId="10588924" w14:textId="77777777" w:rsidR="00FC6500" w:rsidRPr="001F3298" w:rsidRDefault="00FC6500" w:rsidP="00845625">
      <w:pPr>
        <w:spacing w:line="360" w:lineRule="auto"/>
        <w:jc w:val="both"/>
        <w:rPr>
          <w:rFonts w:ascii="Times New Roman" w:hAnsi="Times New Roman" w:cs="Times New Roman"/>
          <w:sz w:val="24"/>
          <w:szCs w:val="24"/>
        </w:rPr>
      </w:pPr>
    </w:p>
    <w:p w14:paraId="2F91DB75" w14:textId="77777777" w:rsidR="00FC6500" w:rsidRPr="001F3298" w:rsidRDefault="00FC6500" w:rsidP="00845625">
      <w:pPr>
        <w:spacing w:line="360" w:lineRule="auto"/>
        <w:jc w:val="both"/>
        <w:rPr>
          <w:rFonts w:ascii="Times New Roman" w:hAnsi="Times New Roman" w:cs="Times New Roman"/>
          <w:sz w:val="24"/>
          <w:szCs w:val="24"/>
        </w:rPr>
      </w:pPr>
    </w:p>
    <w:p w14:paraId="099CE5E2" w14:textId="77777777" w:rsidR="00FC6500" w:rsidRPr="001F3298" w:rsidRDefault="00FC6500" w:rsidP="00845625">
      <w:pPr>
        <w:spacing w:line="360" w:lineRule="auto"/>
        <w:jc w:val="both"/>
        <w:rPr>
          <w:rFonts w:ascii="Times New Roman" w:hAnsi="Times New Roman" w:cs="Times New Roman"/>
          <w:sz w:val="24"/>
          <w:szCs w:val="24"/>
        </w:rPr>
      </w:pPr>
    </w:p>
    <w:p w14:paraId="632BC26D" w14:textId="77777777" w:rsidR="00FC6500" w:rsidRPr="001F3298" w:rsidRDefault="00FC6500" w:rsidP="00845625">
      <w:pPr>
        <w:spacing w:line="360" w:lineRule="auto"/>
        <w:jc w:val="both"/>
        <w:rPr>
          <w:rFonts w:ascii="Times New Roman" w:hAnsi="Times New Roman" w:cs="Times New Roman"/>
          <w:sz w:val="24"/>
          <w:szCs w:val="24"/>
        </w:rPr>
      </w:pPr>
    </w:p>
    <w:p w14:paraId="20CEB9B3" w14:textId="77777777" w:rsidR="00FC6500" w:rsidRPr="001F3298" w:rsidRDefault="00FC6500" w:rsidP="00845625">
      <w:pPr>
        <w:spacing w:line="360" w:lineRule="auto"/>
        <w:jc w:val="both"/>
        <w:rPr>
          <w:rFonts w:ascii="Times New Roman" w:hAnsi="Times New Roman" w:cs="Times New Roman"/>
          <w:sz w:val="24"/>
          <w:szCs w:val="24"/>
        </w:rPr>
      </w:pPr>
    </w:p>
    <w:p w14:paraId="35B6C34C" w14:textId="77777777" w:rsidR="00FC6500" w:rsidRPr="001F3298" w:rsidRDefault="00FC6500" w:rsidP="00845625">
      <w:pPr>
        <w:spacing w:line="360" w:lineRule="auto"/>
        <w:jc w:val="both"/>
        <w:rPr>
          <w:rFonts w:ascii="Times New Roman" w:hAnsi="Times New Roman" w:cs="Times New Roman"/>
          <w:sz w:val="24"/>
          <w:szCs w:val="24"/>
        </w:rPr>
      </w:pPr>
    </w:p>
    <w:p w14:paraId="3F6F0816" w14:textId="77777777" w:rsidR="00912A1D" w:rsidRPr="001F3298" w:rsidRDefault="00912A1D" w:rsidP="00FC6500">
      <w:pPr>
        <w:spacing w:line="360" w:lineRule="auto"/>
        <w:jc w:val="both"/>
        <w:rPr>
          <w:rFonts w:ascii="Times New Roman" w:hAnsi="Times New Roman" w:cs="Times New Roman"/>
          <w:color w:val="222222"/>
          <w:sz w:val="24"/>
          <w:szCs w:val="24"/>
          <w:shd w:val="clear" w:color="auto" w:fill="FFFFFF"/>
        </w:rPr>
      </w:pPr>
      <w:r w:rsidRPr="001F3298">
        <w:rPr>
          <w:rFonts w:ascii="Times New Roman" w:hAnsi="Times New Roman" w:cs="Times New Roman"/>
          <w:color w:val="222222"/>
          <w:sz w:val="24"/>
          <w:szCs w:val="24"/>
          <w:shd w:val="clear" w:color="auto" w:fill="FFFFFF"/>
        </w:rPr>
        <w:t>(Source, Palit, et al., 2020)</w:t>
      </w:r>
    </w:p>
    <w:p w14:paraId="219606CA" w14:textId="1820FFAC" w:rsidR="00FC6500" w:rsidRPr="001F3298" w:rsidRDefault="00FC6500" w:rsidP="00FC6500">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Fig. </w:t>
      </w:r>
      <w:r w:rsidR="00D34D9E">
        <w:rPr>
          <w:rFonts w:ascii="Times New Roman" w:hAnsi="Times New Roman" w:cs="Times New Roman"/>
          <w:sz w:val="24"/>
          <w:szCs w:val="24"/>
        </w:rPr>
        <w:t>3</w:t>
      </w:r>
      <w:r w:rsidRPr="001F3298">
        <w:rPr>
          <w:rFonts w:ascii="Times New Roman" w:hAnsi="Times New Roman" w:cs="Times New Roman"/>
          <w:sz w:val="24"/>
          <w:szCs w:val="24"/>
        </w:rPr>
        <w:t>. Cumulative effects of elevated CO₂ and drought on stomatal behavior.</w:t>
      </w:r>
    </w:p>
    <w:p w14:paraId="138F4236" w14:textId="77777777" w:rsidR="00FC6500" w:rsidRPr="001F3298" w:rsidRDefault="00FC6500" w:rsidP="00FC6500">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Increased CO₂ controls OPEN STOMATA1 (OST1) by both ABA-dependent and ABA-independent mechanisms with increased NOX activity, production of reactive oxygen species (ROS), and regulation of the activities of ion channels. These modulate osmotic balance, pH, protein phosphorylation, and turgor pressure in guard cells. Besides, increased photosynthetic rate and ATP production additively affect leaf growth </w:t>
      </w:r>
      <w:r w:rsidR="008C59F2" w:rsidRPr="001F3298">
        <w:rPr>
          <w:rFonts w:ascii="Times New Roman" w:hAnsi="Times New Roman" w:cs="Times New Roman"/>
          <w:sz w:val="24"/>
          <w:szCs w:val="24"/>
        </w:rPr>
        <w:t>and canopy temperature control.</w:t>
      </w:r>
    </w:p>
    <w:p w14:paraId="79EBC863" w14:textId="77777777" w:rsidR="00FC6500" w:rsidRPr="001F3298" w:rsidRDefault="00FC6500"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At the molecular level, high CO₂ causes stomatal closure and diminishes stomatal density mainly through the generation of ROS. The </w:t>
      </w:r>
      <w:proofErr w:type="spellStart"/>
      <w:r w:rsidRPr="001F3298">
        <w:rPr>
          <w:rFonts w:ascii="Times New Roman" w:hAnsi="Times New Roman" w:cs="Times New Roman"/>
          <w:sz w:val="24"/>
          <w:szCs w:val="24"/>
        </w:rPr>
        <w:t>signala</w:t>
      </w:r>
      <w:proofErr w:type="spellEnd"/>
      <w:r w:rsidRPr="001F3298">
        <w:rPr>
          <w:rFonts w:ascii="Times New Roman" w:hAnsi="Times New Roman" w:cs="Times New Roman"/>
          <w:sz w:val="24"/>
          <w:szCs w:val="24"/>
        </w:rPr>
        <w:t xml:space="preserve"> pathway branches through ABA and the PYR/RCAR family of ABA receptors in the guard cell ABA signal network. The mechanism is mediated by the loop involving CO₂-induced ABA accretion, which in turn increases sensitivity to CO₂ by the system. The ABA–OST1/SnRK2.6 signaling cascade illustrating basal ABA signaling and OST1/SnRK2.6 activity is required for CO₂ responsiveness in stomata clearly shows that the CO₂-specific response, in particular, requires PYL4 and PYL5, despite ABA and high CO₂ stimulating PYR/PYL/RCAR receptors independently.</w:t>
      </w:r>
    </w:p>
    <w:p w14:paraId="657375B3" w14:textId="77777777" w:rsidR="006A188D" w:rsidRPr="001F3298" w:rsidRDefault="006A188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lastRenderedPageBreak/>
        <w:t xml:space="preserve">2. Conceptual Underpinnings of C–N Coupling under </w:t>
      </w:r>
      <w:proofErr w:type="spellStart"/>
      <w:r w:rsidRPr="001F3298">
        <w:rPr>
          <w:rFonts w:ascii="Times New Roman" w:hAnsi="Times New Roman" w:cs="Times New Roman"/>
          <w:b/>
          <w:sz w:val="24"/>
          <w:szCs w:val="24"/>
        </w:rPr>
        <w:t>eCO</w:t>
      </w:r>
      <w:proofErr w:type="spellEnd"/>
      <w:r w:rsidRPr="001F3298">
        <w:rPr>
          <w:rFonts w:ascii="Times New Roman" w:hAnsi="Times New Roman" w:cs="Times New Roman"/>
          <w:b/>
          <w:sz w:val="24"/>
          <w:szCs w:val="24"/>
        </w:rPr>
        <w:t>₂</w:t>
      </w:r>
    </w:p>
    <w:p w14:paraId="1977380F" w14:textId="77777777" w:rsidR="006A188D" w:rsidRPr="001F3298" w:rsidRDefault="006A188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Carbon (C) and nitrogen (N) cycle coupling is the backbone of ecosystem functioning, especially in agroecosystems where plant productivity and soil fertility are strongly interconnected. Increased atmospheric CO₂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alters the carbon and nitrogen pathways, reorganizing plant–soil–microbe interactions and regulating nutrient processes. A mechanistic understanding of these conceptual underpinnings offers a basis to anticipate ecosystem responses and develop adaptive management approaches</w:t>
      </w:r>
      <w:r w:rsidR="00DC1023" w:rsidRPr="001F3298">
        <w:rPr>
          <w:rFonts w:ascii="Times New Roman" w:hAnsi="Times New Roman" w:cs="Times New Roman"/>
          <w:sz w:val="24"/>
          <w:szCs w:val="24"/>
        </w:rPr>
        <w:t xml:space="preserve"> (</w:t>
      </w:r>
      <w:r w:rsidR="00DC1023" w:rsidRPr="001F3298">
        <w:rPr>
          <w:rFonts w:ascii="Times New Roman" w:hAnsi="Times New Roman" w:cs="Times New Roman"/>
          <w:color w:val="222222"/>
          <w:sz w:val="24"/>
          <w:szCs w:val="24"/>
          <w:shd w:val="clear" w:color="auto" w:fill="FFFFFF"/>
        </w:rPr>
        <w:t>Peng, et al., 2023)</w:t>
      </w:r>
      <w:r w:rsidRPr="001F3298">
        <w:rPr>
          <w:rFonts w:ascii="Times New Roman" w:hAnsi="Times New Roman" w:cs="Times New Roman"/>
          <w:sz w:val="24"/>
          <w:szCs w:val="24"/>
        </w:rPr>
        <w:t>.</w:t>
      </w:r>
    </w:p>
    <w:p w14:paraId="0DAE5DBC" w14:textId="77777777" w:rsidR="009A505A" w:rsidRPr="001F3298" w:rsidRDefault="009A505A" w:rsidP="00845625">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Table 1. Comparative responses of cropping systems to elevated CO₂ (</w:t>
      </w:r>
      <w:proofErr w:type="spellStart"/>
      <w:r w:rsidRPr="001F3298">
        <w:rPr>
          <w:rFonts w:ascii="Times New Roman" w:eastAsia="Times New Roman" w:hAnsi="Times New Roman" w:cs="Times New Roman"/>
          <w:b/>
          <w:bCs/>
          <w:sz w:val="24"/>
          <w:szCs w:val="24"/>
        </w:rPr>
        <w:t>eCO</w:t>
      </w:r>
      <w:proofErr w:type="spellEnd"/>
      <w:r w:rsidRPr="001F3298">
        <w:rPr>
          <w:rFonts w:ascii="Times New Roman" w:eastAsia="Times New Roman" w:hAnsi="Times New Roman" w:cs="Times New Roman"/>
          <w:b/>
          <w:bCs/>
          <w:sz w:val="24"/>
          <w:szCs w:val="24"/>
        </w:rPr>
        <w:t>₂)</w:t>
      </w:r>
    </w:p>
    <w:tbl>
      <w:tblPr>
        <w:tblStyle w:val="TableGrid"/>
        <w:tblW w:w="0" w:type="auto"/>
        <w:tblLook w:val="04A0" w:firstRow="1" w:lastRow="0" w:firstColumn="1" w:lastColumn="0" w:noHBand="0" w:noVBand="1"/>
      </w:tblPr>
      <w:tblGrid>
        <w:gridCol w:w="1833"/>
        <w:gridCol w:w="2778"/>
        <w:gridCol w:w="2581"/>
        <w:gridCol w:w="2384"/>
      </w:tblGrid>
      <w:tr w:rsidR="00A849EC" w:rsidRPr="001F3298" w14:paraId="1D16F7EF" w14:textId="77777777" w:rsidTr="001C107E">
        <w:tc>
          <w:tcPr>
            <w:tcW w:w="0" w:type="auto"/>
            <w:hideMark/>
          </w:tcPr>
          <w:p w14:paraId="754EB74E" w14:textId="77777777" w:rsidR="00A849EC" w:rsidRPr="001F3298" w:rsidRDefault="00A849EC" w:rsidP="00845625">
            <w:pPr>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Level / Process</w:t>
            </w:r>
          </w:p>
        </w:tc>
        <w:tc>
          <w:tcPr>
            <w:tcW w:w="0" w:type="auto"/>
            <w:hideMark/>
          </w:tcPr>
          <w:p w14:paraId="67DB2C83" w14:textId="77777777" w:rsidR="00A849EC" w:rsidRPr="001F3298" w:rsidRDefault="00A849EC" w:rsidP="00845625">
            <w:pPr>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Positive Outcomes</w:t>
            </w:r>
          </w:p>
        </w:tc>
        <w:tc>
          <w:tcPr>
            <w:tcW w:w="0" w:type="auto"/>
            <w:hideMark/>
          </w:tcPr>
          <w:p w14:paraId="5E477D1F" w14:textId="77777777" w:rsidR="00A849EC" w:rsidRPr="001F3298" w:rsidRDefault="00A849EC" w:rsidP="00845625">
            <w:pPr>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Negative Outcomes</w:t>
            </w:r>
          </w:p>
        </w:tc>
        <w:tc>
          <w:tcPr>
            <w:tcW w:w="0" w:type="auto"/>
            <w:hideMark/>
          </w:tcPr>
          <w:p w14:paraId="7797FECD" w14:textId="77777777" w:rsidR="00A849EC" w:rsidRPr="001F3298" w:rsidRDefault="00A849EC" w:rsidP="00845625">
            <w:pPr>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Conditional / Context-dependent Outcomes</w:t>
            </w:r>
          </w:p>
        </w:tc>
      </w:tr>
      <w:tr w:rsidR="00A849EC" w:rsidRPr="001F3298" w14:paraId="47F018F4" w14:textId="77777777" w:rsidTr="001C107E">
        <w:tc>
          <w:tcPr>
            <w:tcW w:w="0" w:type="auto"/>
            <w:hideMark/>
          </w:tcPr>
          <w:p w14:paraId="1532503D"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Plant Growth, Yield &amp; Quality</w:t>
            </w:r>
          </w:p>
        </w:tc>
        <w:tc>
          <w:tcPr>
            <w:tcW w:w="0" w:type="auto"/>
            <w:hideMark/>
          </w:tcPr>
          <w:p w14:paraId="463CE16B"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Biomass accumulation and photosynthesis in C₃ crops; yield gains under adequate N supply</w:t>
            </w:r>
          </w:p>
        </w:tc>
        <w:tc>
          <w:tcPr>
            <w:tcW w:w="0" w:type="auto"/>
            <w:hideMark/>
          </w:tcPr>
          <w:p w14:paraId="28A0949F"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Grain protein, Fe, Zn → nutritional dilution in cereals</w:t>
            </w:r>
          </w:p>
        </w:tc>
        <w:tc>
          <w:tcPr>
            <w:tcW w:w="0" w:type="auto"/>
            <w:hideMark/>
          </w:tcPr>
          <w:p w14:paraId="33726DEE"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xml:space="preserve">Yield response highly dependent on N availability; C₄ crops less responsive to </w:t>
            </w:r>
            <w:proofErr w:type="spellStart"/>
            <w:r w:rsidRPr="001F3298">
              <w:rPr>
                <w:rFonts w:ascii="Times New Roman" w:eastAsia="Times New Roman" w:hAnsi="Times New Roman" w:cs="Times New Roman"/>
                <w:sz w:val="24"/>
                <w:szCs w:val="24"/>
              </w:rPr>
              <w:t>eCO</w:t>
            </w:r>
            <w:proofErr w:type="spellEnd"/>
            <w:r w:rsidRPr="001F3298">
              <w:rPr>
                <w:rFonts w:ascii="Times New Roman" w:eastAsia="Times New Roman" w:hAnsi="Times New Roman" w:cs="Times New Roman"/>
                <w:sz w:val="24"/>
                <w:szCs w:val="24"/>
              </w:rPr>
              <w:t>₂</w:t>
            </w:r>
          </w:p>
        </w:tc>
      </w:tr>
      <w:tr w:rsidR="00A849EC" w:rsidRPr="001F3298" w14:paraId="5C5C3875" w14:textId="77777777" w:rsidTr="001C107E">
        <w:tc>
          <w:tcPr>
            <w:tcW w:w="0" w:type="auto"/>
            <w:hideMark/>
          </w:tcPr>
          <w:p w14:paraId="60FA2C25"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Belowground C Inputs &amp; SOC</w:t>
            </w:r>
          </w:p>
        </w:tc>
        <w:tc>
          <w:tcPr>
            <w:tcW w:w="0" w:type="auto"/>
            <w:hideMark/>
          </w:tcPr>
          <w:p w14:paraId="787C69AB"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xml:space="preserve">↑ Root growth, rhizodeposition, and soil C inputs under </w:t>
            </w:r>
            <w:proofErr w:type="spellStart"/>
            <w:r w:rsidRPr="001F3298">
              <w:rPr>
                <w:rFonts w:ascii="Times New Roman" w:eastAsia="Times New Roman" w:hAnsi="Times New Roman" w:cs="Times New Roman"/>
                <w:sz w:val="24"/>
                <w:szCs w:val="24"/>
              </w:rPr>
              <w:t>eCO</w:t>
            </w:r>
            <w:proofErr w:type="spellEnd"/>
            <w:r w:rsidRPr="001F3298">
              <w:rPr>
                <w:rFonts w:ascii="Times New Roman" w:eastAsia="Times New Roman" w:hAnsi="Times New Roman" w:cs="Times New Roman"/>
                <w:sz w:val="24"/>
                <w:szCs w:val="24"/>
              </w:rPr>
              <w:t>₂</w:t>
            </w:r>
          </w:p>
        </w:tc>
        <w:tc>
          <w:tcPr>
            <w:tcW w:w="0" w:type="auto"/>
            <w:hideMark/>
          </w:tcPr>
          <w:p w14:paraId="57EECA58"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In low-N soils, microbial immobilization &amp; priming dominate → SOC gains limited</w:t>
            </w:r>
          </w:p>
        </w:tc>
        <w:tc>
          <w:tcPr>
            <w:tcW w:w="0" w:type="auto"/>
            <w:hideMark/>
          </w:tcPr>
          <w:p w14:paraId="7ED56A4E"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In high-N soils, greater SOC stabilization through organo-mineral associations</w:t>
            </w:r>
          </w:p>
        </w:tc>
      </w:tr>
      <w:tr w:rsidR="00A849EC" w:rsidRPr="001F3298" w14:paraId="5C706B1C" w14:textId="77777777" w:rsidTr="001C107E">
        <w:tc>
          <w:tcPr>
            <w:tcW w:w="0" w:type="auto"/>
            <w:hideMark/>
          </w:tcPr>
          <w:p w14:paraId="58EEBFBD"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Nitrogen Cycling</w:t>
            </w:r>
          </w:p>
        </w:tc>
        <w:tc>
          <w:tcPr>
            <w:tcW w:w="0" w:type="auto"/>
            <w:hideMark/>
          </w:tcPr>
          <w:p w14:paraId="5A3E8A54"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xml:space="preserve">In legumes with N supply: ↑ BNF and </w:t>
            </w:r>
            <w:proofErr w:type="spellStart"/>
            <w:r w:rsidRPr="001F3298">
              <w:rPr>
                <w:rFonts w:ascii="Times New Roman" w:eastAsia="Times New Roman" w:hAnsi="Times New Roman" w:cs="Times New Roman"/>
                <w:sz w:val="24"/>
                <w:szCs w:val="24"/>
              </w:rPr>
              <w:t>nifH</w:t>
            </w:r>
            <w:proofErr w:type="spellEnd"/>
            <w:r w:rsidRPr="001F3298">
              <w:rPr>
                <w:rFonts w:ascii="Times New Roman" w:eastAsia="Times New Roman" w:hAnsi="Times New Roman" w:cs="Times New Roman"/>
                <w:sz w:val="24"/>
                <w:szCs w:val="24"/>
              </w:rPr>
              <w:t xml:space="preserve"> gene abundance (up to 2×)</w:t>
            </w:r>
          </w:p>
        </w:tc>
        <w:tc>
          <w:tcPr>
            <w:tcW w:w="0" w:type="auto"/>
            <w:hideMark/>
          </w:tcPr>
          <w:p w14:paraId="2C4D9C19" w14:textId="77777777" w:rsidR="00A849EC" w:rsidRPr="001F3298" w:rsidRDefault="00A849EC" w:rsidP="00845625">
            <w:pPr>
              <w:jc w:val="both"/>
              <w:rPr>
                <w:rFonts w:ascii="Times New Roman" w:eastAsia="Times New Roman" w:hAnsi="Times New Roman" w:cs="Times New Roman"/>
                <w:sz w:val="24"/>
                <w:szCs w:val="24"/>
              </w:rPr>
            </w:pPr>
            <w:proofErr w:type="spellStart"/>
            <w:r w:rsidRPr="001F3298">
              <w:rPr>
                <w:rFonts w:ascii="Times New Roman" w:eastAsia="Times New Roman" w:hAnsi="Times New Roman" w:cs="Times New Roman"/>
                <w:sz w:val="24"/>
                <w:szCs w:val="24"/>
              </w:rPr>
              <w:t>eCO</w:t>
            </w:r>
            <w:proofErr w:type="spellEnd"/>
            <w:r w:rsidRPr="001F3298">
              <w:rPr>
                <w:rFonts w:ascii="Times New Roman" w:eastAsia="Times New Roman" w:hAnsi="Times New Roman" w:cs="Times New Roman"/>
                <w:sz w:val="24"/>
                <w:szCs w:val="24"/>
              </w:rPr>
              <w:t>₂ alone does not consistently enhance BNF across systems</w:t>
            </w:r>
          </w:p>
        </w:tc>
        <w:tc>
          <w:tcPr>
            <w:tcW w:w="0" w:type="auto"/>
            <w:hideMark/>
          </w:tcPr>
          <w:p w14:paraId="386A2DEB"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N fertilization boosts plant growth but can also ↑ N₂O emissions, offsetting C benefits</w:t>
            </w:r>
          </w:p>
        </w:tc>
      </w:tr>
    </w:tbl>
    <w:p w14:paraId="5FC9E9BC" w14:textId="77777777" w:rsidR="006A188D" w:rsidRPr="001F3298" w:rsidRDefault="006A188D" w:rsidP="00845625">
      <w:pPr>
        <w:spacing w:line="360" w:lineRule="auto"/>
        <w:jc w:val="both"/>
        <w:rPr>
          <w:rFonts w:ascii="Times New Roman" w:hAnsi="Times New Roman" w:cs="Times New Roman"/>
          <w:sz w:val="24"/>
          <w:szCs w:val="24"/>
        </w:rPr>
      </w:pPr>
    </w:p>
    <w:p w14:paraId="6018C5F5" w14:textId="77777777" w:rsidR="006A188D" w:rsidRPr="001F3298" w:rsidRDefault="006A188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2.1 CO₂ Fertilization and Nitrogen Constraints</w:t>
      </w:r>
    </w:p>
    <w:p w14:paraId="316F4117" w14:textId="77777777" w:rsidR="006A188D" w:rsidRPr="001F3298" w:rsidRDefault="006A188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The CO₂ fertilization effect is a highly documented fact in which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 xml:space="preserve">₂ promotes photosynthetic carbon fixation through enhanced carboxylation efficiency and diminished photorespiration losses in C₃ plants. It usually results in increased biomass accumulation and yield potential. Yet, the magnitude of yield improvement is highly modulated by nitrogen availability. When nitrogen is in short supply, stimulation of photosynthesis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cannot be maximized, resulting in decreasing returns in crop yields</w:t>
      </w:r>
      <w:r w:rsidR="00846EEF" w:rsidRPr="001F3298">
        <w:rPr>
          <w:rFonts w:ascii="Times New Roman" w:hAnsi="Times New Roman" w:cs="Times New Roman"/>
          <w:sz w:val="24"/>
          <w:szCs w:val="24"/>
        </w:rPr>
        <w:t xml:space="preserve"> (</w:t>
      </w:r>
      <w:r w:rsidR="00846EEF" w:rsidRPr="001F3298">
        <w:rPr>
          <w:rFonts w:ascii="Times New Roman" w:hAnsi="Times New Roman" w:cs="Times New Roman"/>
          <w:color w:val="222222"/>
          <w:sz w:val="24"/>
          <w:szCs w:val="24"/>
          <w:shd w:val="clear" w:color="auto" w:fill="FFFFFF"/>
        </w:rPr>
        <w:t>Kant,</w:t>
      </w:r>
      <w:r w:rsidR="00846EEF" w:rsidRPr="001F3298">
        <w:rPr>
          <w:rFonts w:ascii="Times New Roman" w:hAnsi="Times New Roman" w:cs="Times New Roman"/>
          <w:sz w:val="24"/>
          <w:szCs w:val="24"/>
        </w:rPr>
        <w:t xml:space="preserve"> et al., 2012).</w:t>
      </w:r>
      <w:r w:rsidRPr="001F3298">
        <w:rPr>
          <w:rFonts w:ascii="Times New Roman" w:hAnsi="Times New Roman" w:cs="Times New Roman"/>
          <w:sz w:val="24"/>
          <w:szCs w:val="24"/>
        </w:rPr>
        <w:t xml:space="preserve"> Additionally, promoted growth is often accompanied by a nutrient dilution effect, such that plant tissues have more carbon per unit nitrogen, lowering protein content and, by extension, nutritional value of the crops. This </w:t>
      </w:r>
      <w:r w:rsidRPr="001F3298">
        <w:rPr>
          <w:rFonts w:ascii="Times New Roman" w:hAnsi="Times New Roman" w:cs="Times New Roman"/>
          <w:sz w:val="24"/>
          <w:szCs w:val="24"/>
        </w:rPr>
        <w:lastRenderedPageBreak/>
        <w:t>disparity highlights the key function of nitrogen to modulate the size of the CO₂ fertilization response</w:t>
      </w:r>
      <w:r w:rsidR="00D577C3" w:rsidRPr="001F3298">
        <w:rPr>
          <w:rFonts w:ascii="Times New Roman" w:hAnsi="Times New Roman" w:cs="Times New Roman"/>
          <w:sz w:val="24"/>
          <w:szCs w:val="24"/>
        </w:rPr>
        <w:t xml:space="preserve"> (</w:t>
      </w:r>
      <w:r w:rsidR="00D577C3" w:rsidRPr="001F3298">
        <w:rPr>
          <w:rFonts w:ascii="Times New Roman" w:hAnsi="Times New Roman" w:cs="Times New Roman"/>
          <w:color w:val="222222"/>
          <w:sz w:val="24"/>
          <w:szCs w:val="24"/>
          <w:shd w:val="clear" w:color="auto" w:fill="FFFFFF"/>
        </w:rPr>
        <w:t>Reich, and Hobbie, 2013)</w:t>
      </w:r>
      <w:r w:rsidRPr="001F3298">
        <w:rPr>
          <w:rFonts w:ascii="Times New Roman" w:hAnsi="Times New Roman" w:cs="Times New Roman"/>
          <w:sz w:val="24"/>
          <w:szCs w:val="24"/>
        </w:rPr>
        <w:t>.</w:t>
      </w:r>
    </w:p>
    <w:p w14:paraId="1420D737" w14:textId="77777777" w:rsidR="006A188D" w:rsidRPr="001F3298" w:rsidRDefault="006A188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2.2 Shifts in Allocation and Rhizosphere Processes</w:t>
      </w:r>
    </w:p>
    <w:p w14:paraId="4AED13E0" w14:textId="77777777" w:rsidR="00BF016A" w:rsidRPr="001F3298" w:rsidRDefault="006A188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In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conditions, plants tend to have changed patterns of carbon allocation, with a higher fraction of assimilated carbon directed below ground. This is reflected in elevated root growth, rhizodeposition, and exudation of organic compounds like phenolics, amino acids, and organic acids. These additions serve as energy substrates for soil microbial populations, thus activating microbial activity and altering nutrient turnover</w:t>
      </w:r>
      <w:r w:rsidR="00A53CC7" w:rsidRPr="001F3298">
        <w:rPr>
          <w:rFonts w:ascii="Times New Roman" w:hAnsi="Times New Roman" w:cs="Times New Roman"/>
          <w:sz w:val="24"/>
          <w:szCs w:val="24"/>
        </w:rPr>
        <w:t xml:space="preserve"> (</w:t>
      </w:r>
      <w:r w:rsidR="00A53CC7" w:rsidRPr="001F3298">
        <w:rPr>
          <w:rFonts w:ascii="Times New Roman" w:hAnsi="Times New Roman" w:cs="Times New Roman"/>
          <w:color w:val="222222"/>
          <w:sz w:val="24"/>
          <w:szCs w:val="24"/>
          <w:shd w:val="clear" w:color="auto" w:fill="FFFFFF"/>
        </w:rPr>
        <w:t xml:space="preserve">Goswami, and </w:t>
      </w:r>
      <w:proofErr w:type="gramStart"/>
      <w:r w:rsidR="00A53CC7" w:rsidRPr="001F3298">
        <w:rPr>
          <w:rFonts w:ascii="Times New Roman" w:hAnsi="Times New Roman" w:cs="Times New Roman"/>
          <w:color w:val="222222"/>
          <w:sz w:val="24"/>
          <w:szCs w:val="24"/>
          <w:shd w:val="clear" w:color="auto" w:fill="FFFFFF"/>
        </w:rPr>
        <w:t>Deka,  2022</w:t>
      </w:r>
      <w:proofErr w:type="gramEnd"/>
      <w:r w:rsidR="00A53CC7" w:rsidRPr="001F3298">
        <w:rPr>
          <w:rFonts w:ascii="Times New Roman" w:hAnsi="Times New Roman" w:cs="Times New Roman"/>
          <w:color w:val="222222"/>
          <w:sz w:val="24"/>
          <w:szCs w:val="24"/>
          <w:shd w:val="clear" w:color="auto" w:fill="FFFFFF"/>
        </w:rPr>
        <w:t>)</w:t>
      </w:r>
      <w:r w:rsidRPr="001F3298">
        <w:rPr>
          <w:rFonts w:ascii="Times New Roman" w:hAnsi="Times New Roman" w:cs="Times New Roman"/>
          <w:sz w:val="24"/>
          <w:szCs w:val="24"/>
        </w:rPr>
        <w:t>. Notably, the impact of boosted root exudation on nitrogen cycling is situation-specific: whereas it can increase nitrogen mineralization and make nutrients more accessible, it can also enhance microbial nitrogen immobilization, resulting in temporary conflict between microbes and plants. The overall result is thus largely contingent on both the quality of root-derived carbon inputs and the init</w:t>
      </w:r>
      <w:r w:rsidR="00956312" w:rsidRPr="001F3298">
        <w:rPr>
          <w:rFonts w:ascii="Times New Roman" w:hAnsi="Times New Roman" w:cs="Times New Roman"/>
          <w:sz w:val="24"/>
          <w:szCs w:val="24"/>
        </w:rPr>
        <w:t>ial nitrogen status of the soil</w:t>
      </w:r>
      <w:r w:rsidR="00A53CC7" w:rsidRPr="001F3298">
        <w:rPr>
          <w:rFonts w:ascii="Times New Roman" w:hAnsi="Times New Roman" w:cs="Times New Roman"/>
          <w:sz w:val="24"/>
          <w:szCs w:val="24"/>
        </w:rPr>
        <w:t xml:space="preserve"> (</w:t>
      </w:r>
      <w:r w:rsidR="00A53CC7" w:rsidRPr="001F3298">
        <w:rPr>
          <w:rFonts w:ascii="Times New Roman" w:hAnsi="Times New Roman" w:cs="Times New Roman"/>
          <w:color w:val="222222"/>
          <w:sz w:val="24"/>
          <w:szCs w:val="24"/>
          <w:shd w:val="clear" w:color="auto" w:fill="FFFFFF"/>
        </w:rPr>
        <w:t>Deb, et al., 2023)</w:t>
      </w:r>
      <w:r w:rsidR="00A53CC7" w:rsidRPr="001F3298">
        <w:rPr>
          <w:rFonts w:ascii="Times New Roman" w:hAnsi="Times New Roman" w:cs="Times New Roman"/>
          <w:sz w:val="24"/>
          <w:szCs w:val="24"/>
        </w:rPr>
        <w:t>.</w:t>
      </w:r>
    </w:p>
    <w:p w14:paraId="04204960" w14:textId="77777777" w:rsidR="00BF016A" w:rsidRPr="001F3298" w:rsidRDefault="00BF016A" w:rsidP="00845625">
      <w:pPr>
        <w:spacing w:line="360" w:lineRule="auto"/>
        <w:jc w:val="both"/>
        <w:rPr>
          <w:rFonts w:ascii="Times New Roman" w:hAnsi="Times New Roman" w:cs="Times New Roman"/>
          <w:sz w:val="24"/>
          <w:szCs w:val="24"/>
        </w:rPr>
      </w:pPr>
      <w:r w:rsidRPr="001F3298">
        <w:rPr>
          <w:rFonts w:ascii="Times New Roman" w:hAnsi="Times New Roman" w:cs="Times New Roman"/>
          <w:noProof/>
          <w:sz w:val="24"/>
          <w:szCs w:val="24"/>
        </w:rPr>
        <w:drawing>
          <wp:anchor distT="0" distB="0" distL="0" distR="0" simplePos="0" relativeHeight="251664384" behindDoc="1" locked="0" layoutInCell="1" allowOverlap="1" wp14:anchorId="7F00267A" wp14:editId="43D11FD0">
            <wp:simplePos x="0" y="0"/>
            <wp:positionH relativeFrom="page">
              <wp:posOffset>1514475</wp:posOffset>
            </wp:positionH>
            <wp:positionV relativeFrom="paragraph">
              <wp:posOffset>0</wp:posOffset>
            </wp:positionV>
            <wp:extent cx="4574540" cy="3194050"/>
            <wp:effectExtent l="0" t="0" r="0" b="6350"/>
            <wp:wrapTight wrapText="bothSides">
              <wp:wrapPolygon edited="0">
                <wp:start x="0" y="0"/>
                <wp:lineTo x="0" y="21514"/>
                <wp:lineTo x="21498" y="21514"/>
                <wp:lineTo x="21498" y="0"/>
                <wp:lineTo x="0" y="0"/>
              </wp:wrapPolygon>
            </wp:wrapTight>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4574540" cy="3194050"/>
                    </a:xfrm>
                    <a:prstGeom prst="rect">
                      <a:avLst/>
                    </a:prstGeom>
                  </pic:spPr>
                </pic:pic>
              </a:graphicData>
            </a:graphic>
            <wp14:sizeRelV relativeFrom="margin">
              <wp14:pctHeight>0</wp14:pctHeight>
            </wp14:sizeRelV>
          </wp:anchor>
        </w:drawing>
      </w:r>
    </w:p>
    <w:p w14:paraId="65ABA8E9" w14:textId="77777777" w:rsidR="00BF016A" w:rsidRPr="001F3298" w:rsidRDefault="00BF016A" w:rsidP="00845625">
      <w:pPr>
        <w:spacing w:line="360" w:lineRule="auto"/>
        <w:jc w:val="both"/>
        <w:rPr>
          <w:rFonts w:ascii="Times New Roman" w:hAnsi="Times New Roman" w:cs="Times New Roman"/>
          <w:sz w:val="24"/>
          <w:szCs w:val="24"/>
        </w:rPr>
      </w:pPr>
    </w:p>
    <w:p w14:paraId="057BE5F7" w14:textId="77777777" w:rsidR="00BF016A" w:rsidRPr="001F3298" w:rsidRDefault="00BF016A" w:rsidP="00845625">
      <w:pPr>
        <w:spacing w:line="360" w:lineRule="auto"/>
        <w:jc w:val="both"/>
        <w:rPr>
          <w:rFonts w:ascii="Times New Roman" w:hAnsi="Times New Roman" w:cs="Times New Roman"/>
          <w:sz w:val="24"/>
          <w:szCs w:val="24"/>
        </w:rPr>
      </w:pPr>
    </w:p>
    <w:p w14:paraId="7D31D6BF" w14:textId="77777777" w:rsidR="00BF016A" w:rsidRPr="001F3298" w:rsidRDefault="00BF016A" w:rsidP="00845625">
      <w:pPr>
        <w:spacing w:line="360" w:lineRule="auto"/>
        <w:jc w:val="both"/>
        <w:rPr>
          <w:rFonts w:ascii="Times New Roman" w:hAnsi="Times New Roman" w:cs="Times New Roman"/>
          <w:sz w:val="24"/>
          <w:szCs w:val="24"/>
        </w:rPr>
      </w:pPr>
    </w:p>
    <w:p w14:paraId="7C08490E" w14:textId="77777777" w:rsidR="00BF016A" w:rsidRPr="001F3298" w:rsidRDefault="00BF016A" w:rsidP="00845625">
      <w:pPr>
        <w:spacing w:line="360" w:lineRule="auto"/>
        <w:jc w:val="both"/>
        <w:rPr>
          <w:rFonts w:ascii="Times New Roman" w:hAnsi="Times New Roman" w:cs="Times New Roman"/>
          <w:sz w:val="24"/>
          <w:szCs w:val="24"/>
        </w:rPr>
      </w:pPr>
    </w:p>
    <w:p w14:paraId="64E79F09" w14:textId="77777777" w:rsidR="00BF016A" w:rsidRPr="001F3298" w:rsidRDefault="00BF016A" w:rsidP="00845625">
      <w:pPr>
        <w:spacing w:line="360" w:lineRule="auto"/>
        <w:jc w:val="both"/>
        <w:rPr>
          <w:rFonts w:ascii="Times New Roman" w:hAnsi="Times New Roman" w:cs="Times New Roman"/>
          <w:sz w:val="24"/>
          <w:szCs w:val="24"/>
        </w:rPr>
      </w:pPr>
    </w:p>
    <w:p w14:paraId="24CD0D57" w14:textId="77777777" w:rsidR="00BF016A" w:rsidRPr="001F3298" w:rsidRDefault="00BF016A" w:rsidP="00845625">
      <w:pPr>
        <w:spacing w:line="360" w:lineRule="auto"/>
        <w:jc w:val="both"/>
        <w:rPr>
          <w:rFonts w:ascii="Times New Roman" w:hAnsi="Times New Roman" w:cs="Times New Roman"/>
          <w:sz w:val="24"/>
          <w:szCs w:val="24"/>
        </w:rPr>
      </w:pPr>
    </w:p>
    <w:p w14:paraId="698579C0" w14:textId="77777777" w:rsidR="00BF016A" w:rsidRPr="001F3298" w:rsidRDefault="00BF016A" w:rsidP="00845625">
      <w:pPr>
        <w:spacing w:line="360" w:lineRule="auto"/>
        <w:jc w:val="both"/>
        <w:rPr>
          <w:rFonts w:ascii="Times New Roman" w:hAnsi="Times New Roman" w:cs="Times New Roman"/>
          <w:sz w:val="24"/>
          <w:szCs w:val="24"/>
        </w:rPr>
      </w:pPr>
    </w:p>
    <w:p w14:paraId="409CAEF7" w14:textId="77777777" w:rsidR="00BF016A" w:rsidRPr="001F3298" w:rsidRDefault="00BF016A" w:rsidP="00845625">
      <w:pPr>
        <w:spacing w:line="360" w:lineRule="auto"/>
        <w:jc w:val="both"/>
        <w:rPr>
          <w:rFonts w:ascii="Times New Roman" w:hAnsi="Times New Roman" w:cs="Times New Roman"/>
          <w:sz w:val="24"/>
          <w:szCs w:val="24"/>
        </w:rPr>
      </w:pPr>
    </w:p>
    <w:p w14:paraId="55F10901" w14:textId="77777777" w:rsidR="00912A1D" w:rsidRPr="001F3298" w:rsidRDefault="00912A1D" w:rsidP="00845625">
      <w:pPr>
        <w:spacing w:line="360" w:lineRule="auto"/>
        <w:jc w:val="both"/>
        <w:rPr>
          <w:rFonts w:ascii="Times New Roman" w:hAnsi="Times New Roman" w:cs="Times New Roman"/>
          <w:color w:val="222222"/>
          <w:sz w:val="24"/>
          <w:szCs w:val="24"/>
          <w:shd w:val="clear" w:color="auto" w:fill="FFFFFF"/>
        </w:rPr>
      </w:pPr>
      <w:r w:rsidRPr="001F3298">
        <w:rPr>
          <w:rFonts w:ascii="Times New Roman" w:hAnsi="Times New Roman" w:cs="Times New Roman"/>
          <w:color w:val="222222"/>
          <w:sz w:val="24"/>
          <w:szCs w:val="24"/>
          <w:shd w:val="clear" w:color="auto" w:fill="FFFFFF"/>
        </w:rPr>
        <w:t>(Source, Palit, et al., 2020)</w:t>
      </w:r>
    </w:p>
    <w:p w14:paraId="1AF34BF3" w14:textId="3D32FC34" w:rsidR="00C5066E" w:rsidRPr="001F3298" w:rsidRDefault="00D421D2"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Fig. </w:t>
      </w:r>
      <w:r w:rsidR="00D34D9E">
        <w:rPr>
          <w:rFonts w:ascii="Times New Roman" w:hAnsi="Times New Roman" w:cs="Times New Roman"/>
          <w:sz w:val="24"/>
          <w:szCs w:val="24"/>
        </w:rPr>
        <w:t>4</w:t>
      </w:r>
      <w:r w:rsidRPr="001F3298">
        <w:rPr>
          <w:rFonts w:ascii="Times New Roman" w:hAnsi="Times New Roman" w:cs="Times New Roman"/>
          <w:sz w:val="24"/>
          <w:szCs w:val="24"/>
        </w:rPr>
        <w:t>. Probable model on elevated CO2-mediated response in sugar signaling crosstalk.</w:t>
      </w:r>
    </w:p>
    <w:p w14:paraId="02B561ED" w14:textId="77777777" w:rsidR="00956312" w:rsidRPr="001F3298" w:rsidRDefault="00956312"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The graph illustrates how high CO₂ raises sucrose and glucose, which are energy sources and also signaling molecules. These sugars interact with nutrient assimilation, stress signaling, </w:t>
      </w:r>
      <w:r w:rsidRPr="001F3298">
        <w:rPr>
          <w:rFonts w:ascii="Times New Roman" w:hAnsi="Times New Roman" w:cs="Times New Roman"/>
          <w:sz w:val="24"/>
          <w:szCs w:val="24"/>
        </w:rPr>
        <w:lastRenderedPageBreak/>
        <w:t>phytohormones, and microRNAs in controlling biomass buildup, root development, and responses to nutritional deficiencies in plants.</w:t>
      </w:r>
    </w:p>
    <w:p w14:paraId="037A80DE" w14:textId="77777777" w:rsidR="00BF016A" w:rsidRPr="001F3298" w:rsidRDefault="006A188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2.3 Soil Moderators</w:t>
      </w:r>
    </w:p>
    <w:p w14:paraId="0DAE67DF" w14:textId="77777777" w:rsidR="005A1CF0" w:rsidRPr="001F3298" w:rsidRDefault="006A188D" w:rsidP="005A1CF0">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The reaction of the carbon–nitrogen coupling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is not consistent but strongly moderated by soil characteristics and climatic conditions. Soil texture, organic matter content, and mineral composition determine SOC stabilization, whereas moisture and temperature regimes influence microbial process activity and nutrient conversion</w:t>
      </w:r>
      <w:r w:rsidR="008411D9" w:rsidRPr="001F3298">
        <w:rPr>
          <w:rFonts w:ascii="Times New Roman" w:hAnsi="Times New Roman" w:cs="Times New Roman"/>
          <w:sz w:val="24"/>
          <w:szCs w:val="24"/>
        </w:rPr>
        <w:t xml:space="preserve"> (</w:t>
      </w:r>
      <w:r w:rsidR="008411D9" w:rsidRPr="001F3298">
        <w:rPr>
          <w:rFonts w:ascii="Times New Roman" w:hAnsi="Times New Roman" w:cs="Times New Roman"/>
          <w:color w:val="222222"/>
          <w:sz w:val="24"/>
          <w:szCs w:val="24"/>
          <w:shd w:val="clear" w:color="auto" w:fill="FFFFFF"/>
        </w:rPr>
        <w:t>Harrison-Kirk,</w:t>
      </w:r>
      <w:r w:rsidR="008411D9" w:rsidRPr="001F3298">
        <w:rPr>
          <w:rFonts w:ascii="Times New Roman" w:hAnsi="Times New Roman" w:cs="Times New Roman"/>
          <w:sz w:val="24"/>
          <w:szCs w:val="24"/>
        </w:rPr>
        <w:t xml:space="preserve"> et al., 2014).</w:t>
      </w:r>
      <w:r w:rsidRPr="001F3298">
        <w:rPr>
          <w:rFonts w:ascii="Times New Roman" w:hAnsi="Times New Roman" w:cs="Times New Roman"/>
          <w:sz w:val="24"/>
          <w:szCs w:val="24"/>
        </w:rPr>
        <w:t xml:space="preserve"> For example, finer-textured soils with elevated clay contents have a tendency to favor SOC stabilization by organo-mineral associations, while sandy soils tend to have reduced stabilization capacity. Furthermore,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 xml:space="preserve">₂-induced alterations in aeration of the soil and microbial activity can affect nitrous oxide (N₂O) emissions, an important greenhouse gas. Even though studies on these moderators are still less extensive, available evidence suggests that the interactions among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soil properties, and climate actually decide whether or not carbon gains are maintained or balanced out by nitrogen limitation and loss of greenhouse gases</w:t>
      </w:r>
      <w:r w:rsidR="005A1CF0" w:rsidRPr="001F3298">
        <w:rPr>
          <w:rFonts w:ascii="Times New Roman" w:hAnsi="Times New Roman" w:cs="Times New Roman"/>
          <w:sz w:val="24"/>
          <w:szCs w:val="24"/>
        </w:rPr>
        <w:t xml:space="preserve"> (</w:t>
      </w:r>
      <w:r w:rsidR="005A1CF0" w:rsidRPr="001F3298">
        <w:rPr>
          <w:rFonts w:ascii="Times New Roman" w:hAnsi="Times New Roman" w:cs="Times New Roman"/>
          <w:color w:val="222222"/>
          <w:sz w:val="24"/>
          <w:szCs w:val="24"/>
          <w:shd w:val="clear" w:color="auto" w:fill="FFFFFF"/>
        </w:rPr>
        <w:t>Reich et al., 2014).</w:t>
      </w:r>
    </w:p>
    <w:p w14:paraId="76D3885A" w14:textId="77777777" w:rsidR="006A7A5F" w:rsidRPr="001F3298" w:rsidRDefault="006A7A5F"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3. Empirical Responses in Cropping Systems</w:t>
      </w:r>
    </w:p>
    <w:p w14:paraId="2C22D80D" w14:textId="77777777" w:rsidR="006A7A5F" w:rsidRPr="001F3298" w:rsidRDefault="006A7A5F"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Experiments conducted in the field and in controlled environments offer key information on the response of agroecosystems to rising CO₂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Although a general stimulation of plant growth is noted, the responses of yield, soil organic carbon (SOC), and nitrogen cycling are more complex and vary with crop type, nitrogen management, and soil properties</w:t>
      </w:r>
      <w:r w:rsidR="00920D89" w:rsidRPr="001F3298">
        <w:rPr>
          <w:rFonts w:ascii="Times New Roman" w:hAnsi="Times New Roman" w:cs="Times New Roman"/>
          <w:sz w:val="24"/>
          <w:szCs w:val="24"/>
        </w:rPr>
        <w:t xml:space="preserve"> (</w:t>
      </w:r>
      <w:proofErr w:type="spellStart"/>
      <w:r w:rsidR="00920D89" w:rsidRPr="001F3298">
        <w:rPr>
          <w:rFonts w:ascii="Times New Roman" w:hAnsi="Times New Roman" w:cs="Times New Roman"/>
          <w:color w:val="222222"/>
          <w:sz w:val="24"/>
          <w:szCs w:val="24"/>
          <w:shd w:val="clear" w:color="auto" w:fill="FFFFFF"/>
        </w:rPr>
        <w:t>Kahiluoto</w:t>
      </w:r>
      <w:proofErr w:type="spellEnd"/>
      <w:r w:rsidR="00920D89" w:rsidRPr="001F3298">
        <w:rPr>
          <w:rFonts w:ascii="Times New Roman" w:hAnsi="Times New Roman" w:cs="Times New Roman"/>
          <w:color w:val="222222"/>
          <w:sz w:val="24"/>
          <w:szCs w:val="24"/>
          <w:shd w:val="clear" w:color="auto" w:fill="FFFFFF"/>
        </w:rPr>
        <w:t xml:space="preserve"> et al., 2014)</w:t>
      </w:r>
      <w:r w:rsidRPr="001F3298">
        <w:rPr>
          <w:rFonts w:ascii="Times New Roman" w:hAnsi="Times New Roman" w:cs="Times New Roman"/>
          <w:sz w:val="24"/>
          <w:szCs w:val="24"/>
        </w:rPr>
        <w:t>.</w:t>
      </w:r>
    </w:p>
    <w:p w14:paraId="4FC72371" w14:textId="77777777" w:rsidR="006A7A5F" w:rsidRPr="001F3298" w:rsidRDefault="006A7A5F"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3.1 Growth, Yield, and Quality</w:t>
      </w:r>
    </w:p>
    <w:p w14:paraId="25A79326" w14:textId="77777777" w:rsidR="006A7A5F" w:rsidRPr="001F3298" w:rsidRDefault="006A7A5F"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In various cropping systems,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increases vegetative growth and biomass production, especially in C₃ cereals like rice, wheat, and soybean. Yield responses depend on nitrogen status. In conditions of high nitrogen, crops exhibit substantial increases in grain yield, whereas under conditions of nitrogen stress, improvements in yield are usually small or non-existent even when biomass is increased</w:t>
      </w:r>
      <w:r w:rsidR="00AD258E" w:rsidRPr="001F3298">
        <w:rPr>
          <w:rFonts w:ascii="Times New Roman" w:hAnsi="Times New Roman" w:cs="Times New Roman"/>
          <w:sz w:val="24"/>
          <w:szCs w:val="24"/>
        </w:rPr>
        <w:t xml:space="preserve"> (</w:t>
      </w:r>
      <w:proofErr w:type="spellStart"/>
      <w:r w:rsidR="00AD258E" w:rsidRPr="001F3298">
        <w:rPr>
          <w:rFonts w:ascii="Times New Roman" w:hAnsi="Times New Roman" w:cs="Times New Roman"/>
          <w:color w:val="222222"/>
          <w:sz w:val="24"/>
          <w:szCs w:val="24"/>
          <w:shd w:val="clear" w:color="auto" w:fill="FFFFFF"/>
        </w:rPr>
        <w:t>Ekele</w:t>
      </w:r>
      <w:proofErr w:type="spellEnd"/>
      <w:r w:rsidR="00AD258E" w:rsidRPr="001F3298">
        <w:rPr>
          <w:rFonts w:ascii="Times New Roman" w:hAnsi="Times New Roman" w:cs="Times New Roman"/>
          <w:color w:val="222222"/>
          <w:sz w:val="24"/>
          <w:szCs w:val="24"/>
          <w:shd w:val="clear" w:color="auto" w:fill="FFFFFF"/>
        </w:rPr>
        <w:t>,</w:t>
      </w:r>
      <w:r w:rsidR="00AD258E" w:rsidRPr="001F3298">
        <w:rPr>
          <w:rFonts w:ascii="Times New Roman" w:hAnsi="Times New Roman" w:cs="Times New Roman"/>
          <w:sz w:val="24"/>
          <w:szCs w:val="24"/>
        </w:rPr>
        <w:t xml:space="preserve"> et al., 2025).</w:t>
      </w:r>
      <w:r w:rsidRPr="001F3298">
        <w:rPr>
          <w:rFonts w:ascii="Times New Roman" w:hAnsi="Times New Roman" w:cs="Times New Roman"/>
          <w:sz w:val="24"/>
          <w:szCs w:val="24"/>
        </w:rPr>
        <w:t xml:space="preserve"> Of major concern is the quality of the harvestable product. Many studies report a reduction in protein, iron, and zinc content in grains produced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 xml:space="preserve">₂. Nutrient dilution through this effect threatens human nutrition, especially in areas </w:t>
      </w:r>
      <w:r w:rsidRPr="001F3298">
        <w:rPr>
          <w:rFonts w:ascii="Times New Roman" w:hAnsi="Times New Roman" w:cs="Times New Roman"/>
          <w:sz w:val="24"/>
          <w:szCs w:val="24"/>
        </w:rPr>
        <w:lastRenderedPageBreak/>
        <w:t xml:space="preserve">that rely on cereals as staples. Therefore, although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will promote plant growth, it also presents food-quality and nutritional-security issues.</w:t>
      </w:r>
    </w:p>
    <w:p w14:paraId="28C4DE44" w14:textId="77777777" w:rsidR="006A7A5F" w:rsidRPr="001F3298" w:rsidRDefault="006A7A5F"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3.2 Belowground Carbon Inputs and SOC</w:t>
      </w:r>
    </w:p>
    <w:p w14:paraId="238F98CB" w14:textId="77777777" w:rsidR="006A7A5F" w:rsidRPr="001F3298" w:rsidRDefault="006A7A5F" w:rsidP="00845625">
      <w:pPr>
        <w:spacing w:line="360" w:lineRule="auto"/>
        <w:jc w:val="both"/>
        <w:rPr>
          <w:rFonts w:ascii="Times New Roman" w:hAnsi="Times New Roman" w:cs="Times New Roman"/>
          <w:sz w:val="24"/>
          <w:szCs w:val="24"/>
        </w:rPr>
      </w:pP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tends to enhance root biomass and rhizodeposition, adding more carbon to the ground. But these additions don't always equate to increased SOC stocks. The impact is heavily influenced by nitrogen status:</w:t>
      </w:r>
    </w:p>
    <w:p w14:paraId="56E55F2A" w14:textId="77777777" w:rsidR="006A7A5F" w:rsidRPr="001F3298" w:rsidRDefault="006A7A5F"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Low-N systems: More root-derived carbon tends to increase microbial activity, resulting in increased nitrogen immobilization and priming of soil organic matter decomposition. This can counteract SOC gains and even enhance carbon loss</w:t>
      </w:r>
      <w:r w:rsidR="00892589" w:rsidRPr="001F3298">
        <w:rPr>
          <w:rFonts w:ascii="Times New Roman" w:hAnsi="Times New Roman" w:cs="Times New Roman"/>
          <w:sz w:val="24"/>
          <w:szCs w:val="24"/>
        </w:rPr>
        <w:t xml:space="preserve"> (</w:t>
      </w:r>
      <w:r w:rsidR="00892589" w:rsidRPr="001F3298">
        <w:rPr>
          <w:rFonts w:ascii="Times New Roman" w:hAnsi="Times New Roman" w:cs="Times New Roman"/>
          <w:color w:val="222222"/>
          <w:sz w:val="24"/>
          <w:szCs w:val="24"/>
          <w:shd w:val="clear" w:color="auto" w:fill="FFFFFF"/>
        </w:rPr>
        <w:t xml:space="preserve">Cheng, </w:t>
      </w:r>
      <w:proofErr w:type="gramStart"/>
      <w:r w:rsidR="00892589" w:rsidRPr="001F3298">
        <w:rPr>
          <w:rFonts w:ascii="Times New Roman" w:hAnsi="Times New Roman" w:cs="Times New Roman"/>
          <w:color w:val="222222"/>
          <w:sz w:val="24"/>
          <w:szCs w:val="24"/>
          <w:shd w:val="clear" w:color="auto" w:fill="FFFFFF"/>
        </w:rPr>
        <w:t xml:space="preserve">and  </w:t>
      </w:r>
      <w:proofErr w:type="spellStart"/>
      <w:r w:rsidR="00892589" w:rsidRPr="001F3298">
        <w:rPr>
          <w:rFonts w:ascii="Times New Roman" w:hAnsi="Times New Roman" w:cs="Times New Roman"/>
          <w:color w:val="222222"/>
          <w:sz w:val="24"/>
          <w:szCs w:val="24"/>
          <w:shd w:val="clear" w:color="auto" w:fill="FFFFFF"/>
        </w:rPr>
        <w:t>Kuzyakov</w:t>
      </w:r>
      <w:proofErr w:type="spellEnd"/>
      <w:proofErr w:type="gramEnd"/>
      <w:r w:rsidR="00892589" w:rsidRPr="001F3298">
        <w:rPr>
          <w:rFonts w:ascii="Times New Roman" w:hAnsi="Times New Roman" w:cs="Times New Roman"/>
          <w:color w:val="222222"/>
          <w:sz w:val="24"/>
          <w:szCs w:val="24"/>
          <w:shd w:val="clear" w:color="auto" w:fill="FFFFFF"/>
        </w:rPr>
        <w:t>, 2005)</w:t>
      </w:r>
      <w:r w:rsidRPr="001F3298">
        <w:rPr>
          <w:rFonts w:ascii="Times New Roman" w:hAnsi="Times New Roman" w:cs="Times New Roman"/>
          <w:sz w:val="24"/>
          <w:szCs w:val="24"/>
        </w:rPr>
        <w:t>.</w:t>
      </w:r>
    </w:p>
    <w:p w14:paraId="3880A9AC" w14:textId="77777777" w:rsidR="006A7A5F" w:rsidRPr="001F3298" w:rsidRDefault="006A7A5F"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In high-N systems, microbial nitrogen demand is satisfied, enabling root-derived carbon to more effectively stabilize SOC, thus increasing soil carbon sequestration</w:t>
      </w:r>
      <w:r w:rsidR="00865B0D" w:rsidRPr="001F3298">
        <w:rPr>
          <w:rFonts w:ascii="Times New Roman" w:hAnsi="Times New Roman" w:cs="Times New Roman"/>
          <w:sz w:val="24"/>
          <w:szCs w:val="24"/>
        </w:rPr>
        <w:t xml:space="preserve"> (</w:t>
      </w:r>
      <w:r w:rsidR="00865B0D" w:rsidRPr="001F3298">
        <w:rPr>
          <w:rFonts w:ascii="Times New Roman" w:hAnsi="Times New Roman" w:cs="Times New Roman"/>
          <w:color w:val="222222"/>
          <w:sz w:val="24"/>
          <w:szCs w:val="24"/>
          <w:shd w:val="clear" w:color="auto" w:fill="FFFFFF"/>
        </w:rPr>
        <w:t>Fitch,</w:t>
      </w:r>
      <w:r w:rsidR="00865B0D" w:rsidRPr="001F3298">
        <w:rPr>
          <w:rFonts w:ascii="Times New Roman" w:hAnsi="Times New Roman" w:cs="Times New Roman"/>
          <w:sz w:val="24"/>
          <w:szCs w:val="24"/>
        </w:rPr>
        <w:t xml:space="preserve"> et al., 2024). </w:t>
      </w:r>
    </w:p>
    <w:p w14:paraId="3AF9F60A" w14:textId="77777777" w:rsidR="006A7A5F" w:rsidRPr="001F3298" w:rsidRDefault="006A7A5F"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These divergent effects emphasize the necessity of integrated nutrient management to achieve the potential of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₂-driven belowground carbon inputs in long-term soil fertility and climate mitigation.</w:t>
      </w:r>
    </w:p>
    <w:p w14:paraId="2260AD35" w14:textId="77777777" w:rsidR="006A7A5F" w:rsidRPr="001F3298" w:rsidRDefault="006A7A5F"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3.3 Nitrogen Cycling</w:t>
      </w:r>
    </w:p>
    <w:p w14:paraId="71E1A058" w14:textId="43F77FB5" w:rsidR="00223A8F" w:rsidRPr="001F3298" w:rsidRDefault="006A7A5F"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The influence of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 xml:space="preserve">₂ on nitrogen cycling is </w:t>
      </w:r>
      <w:r w:rsidR="00E87918" w:rsidRPr="00E87918">
        <w:rPr>
          <w:rFonts w:ascii="Times New Roman" w:hAnsi="Times New Roman" w:cs="Times New Roman"/>
          <w:sz w:val="24"/>
          <w:szCs w:val="24"/>
          <w:highlight w:val="yellow"/>
        </w:rPr>
        <w:t>vari</w:t>
      </w:r>
      <w:r w:rsidR="00E87918" w:rsidRPr="00E87918">
        <w:rPr>
          <w:rFonts w:ascii="Times New Roman" w:hAnsi="Times New Roman" w:cs="Times New Roman"/>
          <w:sz w:val="24"/>
          <w:szCs w:val="24"/>
          <w:highlight w:val="yellow"/>
        </w:rPr>
        <w:t>able</w:t>
      </w:r>
      <w:r w:rsidRPr="00E87918">
        <w:rPr>
          <w:rFonts w:ascii="Times New Roman" w:hAnsi="Times New Roman" w:cs="Times New Roman"/>
          <w:sz w:val="24"/>
          <w:szCs w:val="24"/>
          <w:highlight w:val="yellow"/>
        </w:rPr>
        <w:t>. The range of</w:t>
      </w:r>
      <w:r w:rsidRPr="001F3298">
        <w:rPr>
          <w:rFonts w:ascii="Times New Roman" w:hAnsi="Times New Roman" w:cs="Times New Roman"/>
          <w:sz w:val="24"/>
          <w:szCs w:val="24"/>
        </w:rPr>
        <w:t xml:space="preserve"> CO₂ by itself does not always promote biological nitrogen fixation (BNF) in all cropping systems. In legumes with adequate soil nitrogen, however,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 xml:space="preserve">₂ stimulates BNF, doubling </w:t>
      </w:r>
      <w:proofErr w:type="spellStart"/>
      <w:r w:rsidRPr="001F3298">
        <w:rPr>
          <w:rFonts w:ascii="Times New Roman" w:hAnsi="Times New Roman" w:cs="Times New Roman"/>
          <w:sz w:val="24"/>
          <w:szCs w:val="24"/>
        </w:rPr>
        <w:t>nifH</w:t>
      </w:r>
      <w:proofErr w:type="spellEnd"/>
      <w:r w:rsidRPr="001F3298">
        <w:rPr>
          <w:rFonts w:ascii="Times New Roman" w:hAnsi="Times New Roman" w:cs="Times New Roman"/>
          <w:sz w:val="24"/>
          <w:szCs w:val="24"/>
        </w:rPr>
        <w:t xml:space="preserve"> gene abun</w:t>
      </w:r>
      <w:r w:rsidR="001C107E" w:rsidRPr="001F3298">
        <w:rPr>
          <w:rFonts w:ascii="Times New Roman" w:hAnsi="Times New Roman" w:cs="Times New Roman"/>
          <w:sz w:val="24"/>
          <w:szCs w:val="24"/>
        </w:rPr>
        <w:t xml:space="preserve">dance </w:t>
      </w:r>
      <w:r w:rsidRPr="001F3298">
        <w:rPr>
          <w:rFonts w:ascii="Times New Roman" w:hAnsi="Times New Roman" w:cs="Times New Roman"/>
          <w:sz w:val="24"/>
          <w:szCs w:val="24"/>
        </w:rPr>
        <w:t>a molecular marker for nitrogen-fixing microorganisms</w:t>
      </w:r>
      <w:r w:rsidR="00223A8F" w:rsidRPr="001F3298">
        <w:rPr>
          <w:rFonts w:ascii="Times New Roman" w:hAnsi="Times New Roman" w:cs="Times New Roman"/>
          <w:sz w:val="24"/>
          <w:szCs w:val="24"/>
        </w:rPr>
        <w:t xml:space="preserve"> (</w:t>
      </w:r>
      <w:r w:rsidR="00223A8F" w:rsidRPr="001F3298">
        <w:rPr>
          <w:rFonts w:ascii="Times New Roman" w:hAnsi="Times New Roman" w:cs="Times New Roman"/>
          <w:color w:val="222222"/>
          <w:sz w:val="24"/>
          <w:szCs w:val="24"/>
          <w:shd w:val="clear" w:color="auto" w:fill="FFFFFF"/>
        </w:rPr>
        <w:t>Nag, et al., 2020).</w:t>
      </w:r>
      <w:r w:rsidRPr="001F3298">
        <w:rPr>
          <w:rFonts w:ascii="Times New Roman" w:hAnsi="Times New Roman" w:cs="Times New Roman"/>
          <w:sz w:val="24"/>
          <w:szCs w:val="24"/>
        </w:rPr>
        <w:t xml:space="preserve"> This demonstrates synergistic action of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and added nitrogen in enhancing plant nitrogen uptake.</w:t>
      </w:r>
    </w:p>
    <w:p w14:paraId="77D144DB" w14:textId="77777777" w:rsidR="006A7A5F" w:rsidRPr="001F3298" w:rsidRDefault="006A7A5F"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At the system level, nitrogen addition increases plant productivity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but has mixed effects on soil carbon capture and greenhouse gas (GHG) emissions</w:t>
      </w:r>
      <w:r w:rsidR="00E43CF8" w:rsidRPr="001F3298">
        <w:rPr>
          <w:rFonts w:ascii="Times New Roman" w:hAnsi="Times New Roman" w:cs="Times New Roman"/>
          <w:sz w:val="24"/>
          <w:szCs w:val="24"/>
        </w:rPr>
        <w:t xml:space="preserve"> (</w:t>
      </w:r>
      <w:r w:rsidR="00E43CF8" w:rsidRPr="001F3298">
        <w:rPr>
          <w:rFonts w:ascii="Times New Roman" w:hAnsi="Times New Roman" w:cs="Times New Roman"/>
          <w:color w:val="222222"/>
          <w:sz w:val="24"/>
          <w:szCs w:val="24"/>
          <w:shd w:val="clear" w:color="auto" w:fill="FFFFFF"/>
        </w:rPr>
        <w:t>Yang, et al., 2022)</w:t>
      </w:r>
      <w:r w:rsidRPr="001F3298">
        <w:rPr>
          <w:rFonts w:ascii="Times New Roman" w:hAnsi="Times New Roman" w:cs="Times New Roman"/>
          <w:sz w:val="24"/>
          <w:szCs w:val="24"/>
        </w:rPr>
        <w:t xml:space="preserve">. For instance, nitrogen fertilization can increase crop yields while also promoting N₂O emission, a powerful greenhouse gas, thus making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climate benefits more complicated. These discrepancies reflect the intricacy of C–N coupling in managed systems, where the interaction between management regime, crop species, and microbial reaction is context-dependent.</w:t>
      </w:r>
    </w:p>
    <w:p w14:paraId="324B6D30" w14:textId="77777777" w:rsidR="00241A27" w:rsidRPr="001F3298" w:rsidRDefault="00241A27" w:rsidP="00845625">
      <w:pPr>
        <w:spacing w:line="360" w:lineRule="auto"/>
        <w:jc w:val="both"/>
        <w:rPr>
          <w:rFonts w:ascii="Times New Roman" w:hAnsi="Times New Roman" w:cs="Times New Roman"/>
          <w:b/>
          <w:sz w:val="24"/>
          <w:szCs w:val="24"/>
        </w:rPr>
      </w:pPr>
      <w:r w:rsidRPr="001F3298">
        <w:rPr>
          <w:rFonts w:ascii="Times New Roman" w:hAnsi="Times New Roman" w:cs="Times New Roman"/>
          <w:noProof/>
          <w:sz w:val="24"/>
          <w:szCs w:val="24"/>
        </w:rPr>
        <w:lastRenderedPageBreak/>
        <w:drawing>
          <wp:anchor distT="0" distB="0" distL="114300" distR="114300" simplePos="0" relativeHeight="251665408" behindDoc="1" locked="0" layoutInCell="1" allowOverlap="1" wp14:anchorId="48BE5464" wp14:editId="48B85466">
            <wp:simplePos x="0" y="0"/>
            <wp:positionH relativeFrom="column">
              <wp:posOffset>971550</wp:posOffset>
            </wp:positionH>
            <wp:positionV relativeFrom="paragraph">
              <wp:posOffset>4060</wp:posOffset>
            </wp:positionV>
            <wp:extent cx="4571902" cy="3212592"/>
            <wp:effectExtent l="0" t="0" r="635" b="6985"/>
            <wp:wrapTight wrapText="bothSides">
              <wp:wrapPolygon edited="0">
                <wp:start x="0" y="0"/>
                <wp:lineTo x="0" y="21519"/>
                <wp:lineTo x="21513" y="21519"/>
                <wp:lineTo x="21513" y="0"/>
                <wp:lineTo x="0" y="0"/>
              </wp:wrapPolygon>
            </wp:wrapTight>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1902" cy="3212592"/>
                    </a:xfrm>
                    <a:prstGeom prst="rect">
                      <a:avLst/>
                    </a:prstGeom>
                  </pic:spPr>
                </pic:pic>
              </a:graphicData>
            </a:graphic>
          </wp:anchor>
        </w:drawing>
      </w:r>
    </w:p>
    <w:p w14:paraId="12A88602" w14:textId="77777777" w:rsidR="00241A27" w:rsidRPr="001F3298" w:rsidRDefault="00241A27" w:rsidP="00845625">
      <w:pPr>
        <w:spacing w:line="360" w:lineRule="auto"/>
        <w:jc w:val="both"/>
        <w:rPr>
          <w:rFonts w:ascii="Times New Roman" w:hAnsi="Times New Roman" w:cs="Times New Roman"/>
          <w:sz w:val="24"/>
          <w:szCs w:val="24"/>
        </w:rPr>
      </w:pPr>
    </w:p>
    <w:p w14:paraId="6629BDB6" w14:textId="77777777" w:rsidR="00241A27" w:rsidRPr="001F3298" w:rsidRDefault="00241A27" w:rsidP="00845625">
      <w:pPr>
        <w:spacing w:line="360" w:lineRule="auto"/>
        <w:jc w:val="both"/>
        <w:rPr>
          <w:rFonts w:ascii="Times New Roman" w:hAnsi="Times New Roman" w:cs="Times New Roman"/>
          <w:sz w:val="24"/>
          <w:szCs w:val="24"/>
        </w:rPr>
      </w:pPr>
    </w:p>
    <w:p w14:paraId="6A5FD7CA" w14:textId="77777777" w:rsidR="00241A27" w:rsidRPr="001F3298" w:rsidRDefault="00241A27" w:rsidP="00845625">
      <w:pPr>
        <w:spacing w:line="360" w:lineRule="auto"/>
        <w:jc w:val="both"/>
        <w:rPr>
          <w:rFonts w:ascii="Times New Roman" w:hAnsi="Times New Roman" w:cs="Times New Roman"/>
          <w:sz w:val="24"/>
          <w:szCs w:val="24"/>
        </w:rPr>
      </w:pPr>
    </w:p>
    <w:p w14:paraId="79E65711" w14:textId="77777777" w:rsidR="00241A27" w:rsidRPr="001F3298" w:rsidRDefault="00241A27" w:rsidP="00845625">
      <w:pPr>
        <w:spacing w:line="360" w:lineRule="auto"/>
        <w:jc w:val="both"/>
        <w:rPr>
          <w:rFonts w:ascii="Times New Roman" w:hAnsi="Times New Roman" w:cs="Times New Roman"/>
          <w:sz w:val="24"/>
          <w:szCs w:val="24"/>
        </w:rPr>
      </w:pPr>
    </w:p>
    <w:p w14:paraId="14A71C97" w14:textId="77777777" w:rsidR="00241A27" w:rsidRPr="001F3298" w:rsidRDefault="00241A27" w:rsidP="00845625">
      <w:pPr>
        <w:spacing w:line="360" w:lineRule="auto"/>
        <w:jc w:val="both"/>
        <w:rPr>
          <w:rFonts w:ascii="Times New Roman" w:hAnsi="Times New Roman" w:cs="Times New Roman"/>
          <w:sz w:val="24"/>
          <w:szCs w:val="24"/>
        </w:rPr>
      </w:pPr>
    </w:p>
    <w:p w14:paraId="6A00989B" w14:textId="77777777" w:rsidR="00241A27" w:rsidRPr="001F3298" w:rsidRDefault="00241A27" w:rsidP="00845625">
      <w:pPr>
        <w:spacing w:line="360" w:lineRule="auto"/>
        <w:jc w:val="both"/>
        <w:rPr>
          <w:rFonts w:ascii="Times New Roman" w:hAnsi="Times New Roman" w:cs="Times New Roman"/>
          <w:sz w:val="24"/>
          <w:szCs w:val="24"/>
        </w:rPr>
      </w:pPr>
    </w:p>
    <w:p w14:paraId="33EB64A6" w14:textId="77777777" w:rsidR="00241A27" w:rsidRPr="001F3298" w:rsidRDefault="00241A27" w:rsidP="00845625">
      <w:pPr>
        <w:spacing w:line="360" w:lineRule="auto"/>
        <w:jc w:val="both"/>
        <w:rPr>
          <w:rFonts w:ascii="Times New Roman" w:hAnsi="Times New Roman" w:cs="Times New Roman"/>
          <w:sz w:val="24"/>
          <w:szCs w:val="24"/>
        </w:rPr>
      </w:pPr>
    </w:p>
    <w:p w14:paraId="6881152F" w14:textId="77777777" w:rsidR="00241A27" w:rsidRPr="001F3298" w:rsidRDefault="00241A27" w:rsidP="00845625">
      <w:pPr>
        <w:spacing w:line="360" w:lineRule="auto"/>
        <w:jc w:val="both"/>
        <w:rPr>
          <w:rFonts w:ascii="Times New Roman" w:hAnsi="Times New Roman" w:cs="Times New Roman"/>
          <w:sz w:val="24"/>
          <w:szCs w:val="24"/>
        </w:rPr>
      </w:pPr>
    </w:p>
    <w:p w14:paraId="3B16A6F5" w14:textId="77777777" w:rsidR="00912A1D" w:rsidRPr="001F3298" w:rsidRDefault="00912A1D" w:rsidP="00845625">
      <w:pPr>
        <w:spacing w:line="360" w:lineRule="auto"/>
        <w:jc w:val="both"/>
        <w:rPr>
          <w:rFonts w:ascii="Times New Roman" w:hAnsi="Times New Roman" w:cs="Times New Roman"/>
          <w:color w:val="222222"/>
          <w:sz w:val="24"/>
          <w:szCs w:val="24"/>
          <w:shd w:val="clear" w:color="auto" w:fill="FFFFFF"/>
        </w:rPr>
      </w:pPr>
      <w:r w:rsidRPr="001F3298">
        <w:rPr>
          <w:rFonts w:ascii="Times New Roman" w:hAnsi="Times New Roman" w:cs="Times New Roman"/>
          <w:color w:val="222222"/>
          <w:sz w:val="24"/>
          <w:szCs w:val="24"/>
          <w:shd w:val="clear" w:color="auto" w:fill="FFFFFF"/>
        </w:rPr>
        <w:t>(Source, Palit, et al., 2020)</w:t>
      </w:r>
    </w:p>
    <w:p w14:paraId="6F0FDAA5" w14:textId="37B85B37" w:rsidR="00627688" w:rsidRPr="001F3298" w:rsidRDefault="00503E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Fig. </w:t>
      </w:r>
      <w:r w:rsidR="00D34D9E">
        <w:rPr>
          <w:rFonts w:ascii="Times New Roman" w:hAnsi="Times New Roman" w:cs="Times New Roman"/>
          <w:sz w:val="24"/>
          <w:szCs w:val="24"/>
        </w:rPr>
        <w:t>5.</w:t>
      </w:r>
      <w:r w:rsidRPr="001F3298">
        <w:rPr>
          <w:rFonts w:ascii="Times New Roman" w:hAnsi="Times New Roman" w:cs="Times New Roman"/>
          <w:sz w:val="24"/>
          <w:szCs w:val="24"/>
        </w:rPr>
        <w:t xml:space="preserve"> Prospective strategy for climate change research in legumes.</w:t>
      </w:r>
    </w:p>
    <w:p w14:paraId="4E43DD62" w14:textId="77777777" w:rsidR="001879D8" w:rsidRPr="001F3298" w:rsidRDefault="001879D8"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The diagram shows a funnel framework where climate stress challenges like higher CO₂ and climate change constitute the initiating point at the top. These challenges are tackled in the middle using multi-scale tools like high-throughput phenotyping, molecular breeding, omics technologies, big data, and crop modeling. At the bottom, these combined methods find expression as usable outputs for farmers, which result in precision farming, improvement of better crop varieties, and increased resilience to climate change</w:t>
      </w:r>
      <w:r w:rsidR="005A1CF0" w:rsidRPr="001F3298">
        <w:rPr>
          <w:rFonts w:ascii="Times New Roman" w:hAnsi="Times New Roman" w:cs="Times New Roman"/>
          <w:sz w:val="24"/>
          <w:szCs w:val="24"/>
        </w:rPr>
        <w:t xml:space="preserve"> (Lobell, </w:t>
      </w:r>
      <w:proofErr w:type="gramStart"/>
      <w:r w:rsidR="005A1CF0" w:rsidRPr="001F3298">
        <w:rPr>
          <w:rFonts w:ascii="Times New Roman" w:hAnsi="Times New Roman" w:cs="Times New Roman"/>
          <w:sz w:val="24"/>
          <w:szCs w:val="24"/>
        </w:rPr>
        <w:t xml:space="preserve">and  </w:t>
      </w:r>
      <w:proofErr w:type="spellStart"/>
      <w:r w:rsidR="005A1CF0" w:rsidRPr="001F3298">
        <w:rPr>
          <w:rFonts w:ascii="Times New Roman" w:hAnsi="Times New Roman" w:cs="Times New Roman"/>
          <w:sz w:val="24"/>
          <w:szCs w:val="24"/>
        </w:rPr>
        <w:t>Gourdji</w:t>
      </w:r>
      <w:proofErr w:type="spellEnd"/>
      <w:proofErr w:type="gramEnd"/>
      <w:r w:rsidR="005A1CF0" w:rsidRPr="001F3298">
        <w:rPr>
          <w:rFonts w:ascii="Times New Roman" w:hAnsi="Times New Roman" w:cs="Times New Roman"/>
          <w:sz w:val="24"/>
          <w:szCs w:val="24"/>
        </w:rPr>
        <w:t>, 2012)</w:t>
      </w:r>
      <w:r w:rsidRPr="001F3298">
        <w:rPr>
          <w:rFonts w:ascii="Times New Roman" w:hAnsi="Times New Roman" w:cs="Times New Roman"/>
          <w:sz w:val="24"/>
          <w:szCs w:val="24"/>
        </w:rPr>
        <w:t>.</w:t>
      </w:r>
    </w:p>
    <w:p w14:paraId="1C90D2BE" w14:textId="012CA02A" w:rsidR="00241A27" w:rsidRPr="001F3298" w:rsidRDefault="00C64DF8"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The figure illustrates a funnel approach in which climate stress challenges, such as elevated CO₂ and climate change, form the starting point at the top. These challenges are addressed in the middle through multi-scale </w:t>
      </w:r>
      <w:r w:rsidRPr="00E87918">
        <w:rPr>
          <w:rFonts w:ascii="Times New Roman" w:hAnsi="Times New Roman" w:cs="Times New Roman"/>
          <w:sz w:val="24"/>
          <w:szCs w:val="24"/>
          <w:highlight w:val="yellow"/>
        </w:rPr>
        <w:t>tools</w:t>
      </w:r>
      <w:r w:rsidR="00E87918" w:rsidRPr="00E87918">
        <w:rPr>
          <w:rFonts w:ascii="Times New Roman" w:hAnsi="Times New Roman" w:cs="Times New Roman"/>
          <w:sz w:val="24"/>
          <w:szCs w:val="24"/>
          <w:highlight w:val="yellow"/>
        </w:rPr>
        <w:t>,</w:t>
      </w:r>
      <w:r w:rsidRPr="00E87918">
        <w:rPr>
          <w:rFonts w:ascii="Times New Roman" w:hAnsi="Times New Roman" w:cs="Times New Roman"/>
          <w:sz w:val="24"/>
          <w:szCs w:val="24"/>
          <w:highlight w:val="yellow"/>
        </w:rPr>
        <w:t xml:space="preserve"> </w:t>
      </w:r>
      <w:proofErr w:type="spellStart"/>
      <w:r w:rsidRPr="00E87918">
        <w:rPr>
          <w:rFonts w:ascii="Times New Roman" w:hAnsi="Times New Roman" w:cs="Times New Roman"/>
          <w:sz w:val="24"/>
          <w:szCs w:val="24"/>
          <w:highlight w:val="yellow"/>
        </w:rPr>
        <w:t>including</w:t>
      </w:r>
      <w:r w:rsidR="00E87918">
        <w:rPr>
          <w:rFonts w:ascii="Times New Roman" w:hAnsi="Times New Roman" w:cs="Times New Roman"/>
          <w:color w:val="FF0000"/>
          <w:sz w:val="24"/>
          <w:szCs w:val="24"/>
          <w:highlight w:val="yellow"/>
        </w:rPr>
        <w:t>s</w:t>
      </w:r>
      <w:proofErr w:type="spellEnd"/>
      <w:r w:rsidRPr="001F3298">
        <w:rPr>
          <w:rFonts w:ascii="Times New Roman" w:hAnsi="Times New Roman" w:cs="Times New Roman"/>
          <w:sz w:val="24"/>
          <w:szCs w:val="24"/>
        </w:rPr>
        <w:t xml:space="preserve"> high-throughput phenotyping, molecular breeding, omics technologies, big data, and crop modeling. At the bottom, these integrated approaches translate into actionable outputs for farmers, leading to precision </w:t>
      </w:r>
      <w:r w:rsidRPr="00E87918">
        <w:rPr>
          <w:rFonts w:ascii="Times New Roman" w:hAnsi="Times New Roman" w:cs="Times New Roman"/>
          <w:sz w:val="24"/>
          <w:szCs w:val="24"/>
          <w:highlight w:val="yellow"/>
        </w:rPr>
        <w:t xml:space="preserve">farming, </w:t>
      </w:r>
      <w:r w:rsidR="00E87918" w:rsidRPr="00E87918">
        <w:rPr>
          <w:rFonts w:ascii="Times New Roman" w:hAnsi="Times New Roman" w:cs="Times New Roman"/>
          <w:sz w:val="24"/>
          <w:szCs w:val="24"/>
          <w:highlight w:val="yellow"/>
        </w:rPr>
        <w:t xml:space="preserve">the </w:t>
      </w:r>
      <w:r w:rsidRPr="00E87918">
        <w:rPr>
          <w:rFonts w:ascii="Times New Roman" w:hAnsi="Times New Roman" w:cs="Times New Roman"/>
          <w:sz w:val="24"/>
          <w:szCs w:val="24"/>
          <w:highlight w:val="yellow"/>
        </w:rPr>
        <w:t>devel</w:t>
      </w:r>
      <w:r w:rsidRPr="001F3298">
        <w:rPr>
          <w:rFonts w:ascii="Times New Roman" w:hAnsi="Times New Roman" w:cs="Times New Roman"/>
          <w:sz w:val="24"/>
          <w:szCs w:val="24"/>
        </w:rPr>
        <w:t>opment of improved crop varieties, and enhanced resilience to climate change.</w:t>
      </w:r>
    </w:p>
    <w:p w14:paraId="7AF18A34"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4. Management Strategies</w:t>
      </w:r>
    </w:p>
    <w:p w14:paraId="1F4FDC29"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lastRenderedPageBreak/>
        <w:t>The challenges of maintaining carbon–nitrogen (C–N) balance under elevated CO₂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necessitate adaptive management practices that optimize productivity while minimizing environmental trade-offs</w:t>
      </w:r>
      <w:r w:rsidR="00E43CF8" w:rsidRPr="001F3298">
        <w:rPr>
          <w:rFonts w:ascii="Times New Roman" w:hAnsi="Times New Roman" w:cs="Times New Roman"/>
          <w:sz w:val="24"/>
          <w:szCs w:val="24"/>
        </w:rPr>
        <w:t xml:space="preserve"> (</w:t>
      </w:r>
      <w:r w:rsidR="00E43CF8" w:rsidRPr="001F3298">
        <w:rPr>
          <w:rFonts w:ascii="Times New Roman" w:hAnsi="Times New Roman" w:cs="Times New Roman"/>
          <w:color w:val="222222"/>
          <w:sz w:val="24"/>
          <w:szCs w:val="24"/>
          <w:shd w:val="clear" w:color="auto" w:fill="FFFFFF"/>
        </w:rPr>
        <w:t>Shi,</w:t>
      </w:r>
      <w:r w:rsidR="00E43CF8" w:rsidRPr="001F3298">
        <w:rPr>
          <w:rFonts w:ascii="Times New Roman" w:hAnsi="Times New Roman" w:cs="Times New Roman"/>
          <w:sz w:val="24"/>
          <w:szCs w:val="24"/>
        </w:rPr>
        <w:t xml:space="preserve"> et al., 2025).</w:t>
      </w:r>
      <w:r w:rsidRPr="001F3298">
        <w:rPr>
          <w:rFonts w:ascii="Times New Roman" w:hAnsi="Times New Roman" w:cs="Times New Roman"/>
          <w:sz w:val="24"/>
          <w:szCs w:val="24"/>
        </w:rPr>
        <w:t xml:space="preserve"> Several evidence-based strategies are promising:</w:t>
      </w:r>
    </w:p>
    <w:p w14:paraId="55BDE0B1"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4.1 4R Nutrient Stewardship</w:t>
      </w:r>
    </w:p>
    <w:p w14:paraId="7061D14C" w14:textId="28092122"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The system of "4R Nutrient </w:t>
      </w:r>
      <w:r w:rsidRPr="00E87918">
        <w:rPr>
          <w:rFonts w:ascii="Times New Roman" w:hAnsi="Times New Roman" w:cs="Times New Roman"/>
          <w:sz w:val="24"/>
          <w:szCs w:val="24"/>
          <w:highlight w:val="yellow"/>
        </w:rPr>
        <w:t>Stewardship</w:t>
      </w:r>
      <w:r w:rsidR="001C107E" w:rsidRPr="00E87918">
        <w:rPr>
          <w:rFonts w:ascii="Times New Roman" w:hAnsi="Times New Roman" w:cs="Times New Roman"/>
          <w:sz w:val="24"/>
          <w:szCs w:val="24"/>
          <w:highlight w:val="yellow"/>
        </w:rPr>
        <w:t xml:space="preserve">" </w:t>
      </w:r>
      <w:r w:rsidRPr="00E87918">
        <w:rPr>
          <w:rFonts w:ascii="Times New Roman" w:hAnsi="Times New Roman" w:cs="Times New Roman"/>
          <w:sz w:val="24"/>
          <w:szCs w:val="24"/>
          <w:highlight w:val="yellow"/>
        </w:rPr>
        <w:t>situating the right nutrient</w:t>
      </w:r>
      <w:r w:rsidRPr="001F3298">
        <w:rPr>
          <w:rFonts w:ascii="Times New Roman" w:hAnsi="Times New Roman" w:cs="Times New Roman"/>
          <w:sz w:val="24"/>
          <w:szCs w:val="24"/>
        </w:rPr>
        <w:t xml:space="preserve"> source, at the right rate, at the right </w:t>
      </w:r>
      <w:r w:rsidR="001C107E" w:rsidRPr="001F3298">
        <w:rPr>
          <w:rFonts w:ascii="Times New Roman" w:hAnsi="Times New Roman" w:cs="Times New Roman"/>
          <w:sz w:val="24"/>
          <w:szCs w:val="24"/>
        </w:rPr>
        <w:t>time, and in the right location</w:t>
      </w:r>
      <w:r w:rsidR="00E87918">
        <w:rPr>
          <w:rFonts w:ascii="Times New Roman" w:hAnsi="Times New Roman" w:cs="Times New Roman"/>
          <w:sz w:val="24"/>
          <w:szCs w:val="24"/>
        </w:rPr>
        <w:t>,</w:t>
      </w:r>
      <w:r w:rsidR="001C107E" w:rsidRPr="001F3298">
        <w:rPr>
          <w:rFonts w:ascii="Times New Roman" w:hAnsi="Times New Roman" w:cs="Times New Roman"/>
          <w:sz w:val="24"/>
          <w:szCs w:val="24"/>
        </w:rPr>
        <w:t xml:space="preserve"> </w:t>
      </w:r>
      <w:r w:rsidRPr="001F3298">
        <w:rPr>
          <w:rFonts w:ascii="Times New Roman" w:hAnsi="Times New Roman" w:cs="Times New Roman"/>
          <w:sz w:val="24"/>
          <w:szCs w:val="24"/>
        </w:rPr>
        <w:t>continues to be at the forefront of enhancing nitrogen use efficiency (NUE). Such a method reduces losses of nitrogen by leaching and denitrification and consequently lowers nitrous oxide (N₂O) emissions, a key climate issue under amplified CO₂–N interactions</w:t>
      </w:r>
      <w:r w:rsidR="00E43CF8" w:rsidRPr="001F3298">
        <w:rPr>
          <w:rFonts w:ascii="Times New Roman" w:hAnsi="Times New Roman" w:cs="Times New Roman"/>
          <w:sz w:val="24"/>
          <w:szCs w:val="24"/>
        </w:rPr>
        <w:t xml:space="preserve"> (</w:t>
      </w:r>
      <w:r w:rsidR="00E43CF8" w:rsidRPr="001F3298">
        <w:rPr>
          <w:rFonts w:ascii="Times New Roman" w:hAnsi="Times New Roman" w:cs="Times New Roman"/>
          <w:color w:val="222222"/>
          <w:sz w:val="24"/>
          <w:szCs w:val="24"/>
          <w:shd w:val="clear" w:color="auto" w:fill="FFFFFF"/>
        </w:rPr>
        <w:t>Hassan, et al., 2022)</w:t>
      </w:r>
      <w:r w:rsidRPr="001F3298">
        <w:rPr>
          <w:rFonts w:ascii="Times New Roman" w:hAnsi="Times New Roman" w:cs="Times New Roman"/>
          <w:sz w:val="24"/>
          <w:szCs w:val="24"/>
        </w:rPr>
        <w:t>.</w:t>
      </w:r>
    </w:p>
    <w:p w14:paraId="73A73922"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4.2 Legume and Cover Crop Integration</w:t>
      </w:r>
    </w:p>
    <w:p w14:paraId="7147B62C"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Integration of legumes in crop rotations and cover crops in farming systems augments BNF, hence the use of synthetic fertilizers is minimized. This not only protects cropping systems against nitrogen deficit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but also improves soil fertility, biodiversity, and system resilience</w:t>
      </w:r>
      <w:r w:rsidR="00E43CF8" w:rsidRPr="001F3298">
        <w:rPr>
          <w:rFonts w:ascii="Times New Roman" w:hAnsi="Times New Roman" w:cs="Times New Roman"/>
          <w:sz w:val="24"/>
          <w:szCs w:val="24"/>
        </w:rPr>
        <w:t xml:space="preserve"> (</w:t>
      </w:r>
      <w:r w:rsidR="00E43CF8" w:rsidRPr="001F3298">
        <w:rPr>
          <w:rFonts w:ascii="Times New Roman" w:hAnsi="Times New Roman" w:cs="Times New Roman"/>
          <w:color w:val="222222"/>
          <w:sz w:val="24"/>
          <w:szCs w:val="24"/>
          <w:shd w:val="clear" w:color="auto" w:fill="FFFFFF"/>
        </w:rPr>
        <w:t>Cui,</w:t>
      </w:r>
      <w:r w:rsidR="00E43CF8" w:rsidRPr="001F3298">
        <w:rPr>
          <w:rFonts w:ascii="Times New Roman" w:hAnsi="Times New Roman" w:cs="Times New Roman"/>
          <w:sz w:val="24"/>
          <w:szCs w:val="24"/>
        </w:rPr>
        <w:t xml:space="preserve"> et al., 2023)</w:t>
      </w:r>
      <w:r w:rsidR="00F76F54" w:rsidRPr="001F3298">
        <w:rPr>
          <w:rFonts w:ascii="Times New Roman" w:hAnsi="Times New Roman" w:cs="Times New Roman"/>
          <w:sz w:val="24"/>
          <w:szCs w:val="24"/>
        </w:rPr>
        <w:t>.</w:t>
      </w:r>
      <w:r w:rsidRPr="001F3298">
        <w:rPr>
          <w:rFonts w:ascii="Times New Roman" w:hAnsi="Times New Roman" w:cs="Times New Roman"/>
          <w:sz w:val="24"/>
          <w:szCs w:val="24"/>
        </w:rPr>
        <w:t xml:space="preserve"> </w:t>
      </w:r>
    </w:p>
    <w:p w14:paraId="6724BAAE"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4.3 Residue Retention and Conservation Tillage</w:t>
      </w:r>
    </w:p>
    <w:p w14:paraId="071A996E"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Practices like keeping crop residues, reduced tillage, or conservation tillage maintain soil organic carbon (SOC) pools and stabilize nitrogen cycling. Residue cover supplies substrates for microbial activity, minimizes soil erosion, and maximizes soil moisture storage</w:t>
      </w:r>
      <w:r w:rsidR="00F76F54" w:rsidRPr="001F3298">
        <w:rPr>
          <w:rFonts w:ascii="Times New Roman" w:hAnsi="Times New Roman" w:cs="Times New Roman"/>
          <w:sz w:val="24"/>
          <w:szCs w:val="24"/>
        </w:rPr>
        <w:t xml:space="preserve"> (</w:t>
      </w:r>
      <w:r w:rsidR="00F76F54" w:rsidRPr="001F3298">
        <w:rPr>
          <w:rFonts w:ascii="Times New Roman" w:hAnsi="Times New Roman" w:cs="Times New Roman"/>
          <w:color w:val="222222"/>
          <w:sz w:val="24"/>
          <w:szCs w:val="24"/>
          <w:shd w:val="clear" w:color="auto" w:fill="FFFFFF"/>
        </w:rPr>
        <w:t>Li,</w:t>
      </w:r>
      <w:r w:rsidR="00F76F54" w:rsidRPr="001F3298">
        <w:rPr>
          <w:rFonts w:ascii="Times New Roman" w:hAnsi="Times New Roman" w:cs="Times New Roman"/>
          <w:sz w:val="24"/>
          <w:szCs w:val="24"/>
        </w:rPr>
        <w:t xml:space="preserve"> et al., 2020).</w:t>
      </w:r>
      <w:r w:rsidRPr="001F3298">
        <w:rPr>
          <w:rFonts w:ascii="Times New Roman" w:hAnsi="Times New Roman" w:cs="Times New Roman"/>
          <w:sz w:val="24"/>
          <w:szCs w:val="24"/>
        </w:rPr>
        <w:t xml:space="preserve"> These practices complement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₂-induced increases in root-derived carbon to enhance long-term soil fertility and carbon sequestration.</w:t>
      </w:r>
    </w:p>
    <w:p w14:paraId="227CB9E0"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4.4 Integrated Nutrient–Water–Carbon Management</w:t>
      </w:r>
    </w:p>
    <w:p w14:paraId="25F38099"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With the interconnected nature of water availability and nutrient dynamics, management strategies integrated across fertilization with a balance, optimized irrigation, and enhancement of organic matter in the soil are imperative. These reduce crop dilution risk from nutrients, stabilize yields, and enhance adaptability to climate variability.</w:t>
      </w:r>
    </w:p>
    <w:p w14:paraId="0999263B"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5. Research Gaps and Next Steps</w:t>
      </w:r>
    </w:p>
    <w:p w14:paraId="535C6532"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lastRenderedPageBreak/>
        <w:t xml:space="preserve">A great deal of progress has been made notwithstanding, there are still key knowledge gaps in understanding and managing C–N coupling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A research focus for the future should include the following directions:</w:t>
      </w:r>
    </w:p>
    <w:p w14:paraId="1AA31F1C"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5.1 Long-Term Field Experiments</w:t>
      </w:r>
    </w:p>
    <w:p w14:paraId="7EED36E1"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There are requirements for additional long-term Free-Air CO₂ Enrichment (FACE) experiments on various soil types, climatic regions, and crop systems. These would give sound evidence concerning the persistence and variation of C–N response in field conditions</w:t>
      </w:r>
      <w:r w:rsidR="000B4637" w:rsidRPr="001F3298">
        <w:rPr>
          <w:rFonts w:ascii="Times New Roman" w:hAnsi="Times New Roman" w:cs="Times New Roman"/>
          <w:sz w:val="24"/>
          <w:szCs w:val="24"/>
        </w:rPr>
        <w:t xml:space="preserve"> (Ainsworth and Long 2021</w:t>
      </w:r>
      <w:r w:rsidRPr="001F3298">
        <w:rPr>
          <w:rFonts w:ascii="Times New Roman" w:hAnsi="Times New Roman" w:cs="Times New Roman"/>
          <w:sz w:val="24"/>
          <w:szCs w:val="24"/>
        </w:rPr>
        <w:t>.</w:t>
      </w:r>
    </w:p>
    <w:p w14:paraId="6D5F6167"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5.2 Multifactorial Experiments</w:t>
      </w:r>
    </w:p>
    <w:p w14:paraId="7F289C6F"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In addition to CO₂ enrichment per se, all future experiments should include CO₂ × N × P × water × microbial manipulations to constrain the range of possibilities regarding agroecosystem response complexity. This integrated treatment is necessary since nutrient interactions and water supply frequently co-limit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plant productivity.</w:t>
      </w:r>
    </w:p>
    <w:p w14:paraId="54063D71"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5.3 Advanced C–N Modeling Frameworks</w:t>
      </w:r>
    </w:p>
    <w:p w14:paraId="0E700048"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Current models need to be refined for improved representation of processes like priming effects, microbial nitrogen immobilization, stoichiometric flexibility of microbes and plants, and mycorrhizal pathways of nutrient exchange. These processes would add predictive ability and guide sustainable management strategies.</w:t>
      </w:r>
    </w:p>
    <w:p w14:paraId="79C770AB"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5.4 Productivity–Quality Trade-offs</w:t>
      </w:r>
    </w:p>
    <w:p w14:paraId="733A37E5"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An important research area is the balance between greater productivity and reduced nutritional value of crops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Experiments that bridge crop physiology, nutrient biochemistry, and human nutrition consequences are essential to evaluate long-term effects on food security and public health.</w:t>
      </w:r>
    </w:p>
    <w:p w14:paraId="1B7F3C10"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5.5 Socioeconomic and Policy Dimensions</w:t>
      </w:r>
    </w:p>
    <w:p w14:paraId="7B2FECA1"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In addition to biophysical studies, there must be consideration of the socioeconomic effects and policy structures that guide nutrient management across shifting CO₂ regimes. These involve </w:t>
      </w:r>
      <w:r w:rsidRPr="001F3298">
        <w:rPr>
          <w:rFonts w:ascii="Times New Roman" w:hAnsi="Times New Roman" w:cs="Times New Roman"/>
          <w:sz w:val="24"/>
          <w:szCs w:val="24"/>
        </w:rPr>
        <w:lastRenderedPageBreak/>
        <w:t>farmer adoption options, costs of interventions, and coordination with climate-smart agriculture policy.</w:t>
      </w:r>
    </w:p>
    <w:p w14:paraId="7895CCE1" w14:textId="77777777" w:rsidR="00E6575A" w:rsidRPr="001F3298" w:rsidRDefault="00E6575A"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 xml:space="preserve">Challenges under </w:t>
      </w:r>
      <w:proofErr w:type="spellStart"/>
      <w:r w:rsidRPr="001F3298">
        <w:rPr>
          <w:rFonts w:ascii="Times New Roman" w:hAnsi="Times New Roman" w:cs="Times New Roman"/>
          <w:b/>
          <w:sz w:val="24"/>
          <w:szCs w:val="24"/>
        </w:rPr>
        <w:t>eCO</w:t>
      </w:r>
      <w:proofErr w:type="spellEnd"/>
      <w:r w:rsidRPr="001F3298">
        <w:rPr>
          <w:rFonts w:ascii="Times New Roman" w:hAnsi="Times New Roman" w:cs="Times New Roman"/>
          <w:b/>
          <w:sz w:val="24"/>
          <w:szCs w:val="24"/>
        </w:rPr>
        <w:t>₂ Scenarios</w:t>
      </w:r>
    </w:p>
    <w:p w14:paraId="25E1BF43" w14:textId="77777777" w:rsidR="00E6575A" w:rsidRPr="001F3298" w:rsidRDefault="00E6575A"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Even though the potential of higher CO₂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to enhance plant growth and sequester carbon exists, several challenges limit the long-term feasibility of such advantages. Carbon–nitrogen (C–N) coupling interactions add uncertainties that need to be overcome for efficient management.</w:t>
      </w:r>
    </w:p>
    <w:p w14:paraId="607339FD" w14:textId="77777777" w:rsidR="00E6575A" w:rsidRPr="001F3298" w:rsidRDefault="00E6575A"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Nitrogen Limitation</w:t>
      </w:r>
    </w:p>
    <w:p w14:paraId="3F849825" w14:textId="77777777" w:rsidR="00E6575A" w:rsidRPr="001F3298" w:rsidRDefault="00E6575A"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The CO₂ fertilization effect is also highly sensitive to sufficient nitrogen supply. Nitrogen supply in most cropping systems is already a limiting factor, and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increases plant nitrogen requirement. Without added inputs or biological nitrogen fixation, the long-term sustainability of yield increases is doubtful. This poses a major challenge in resource-poor farming systems in which fertilizer availability is restricted.</w:t>
      </w:r>
    </w:p>
    <w:p w14:paraId="5CCD993C" w14:textId="77777777" w:rsidR="00E6575A" w:rsidRPr="001F3298" w:rsidRDefault="00E6575A"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Soil Organic Matter Dynamics</w:t>
      </w:r>
    </w:p>
    <w:p w14:paraId="567C6BD0" w14:textId="0148DFD6" w:rsidR="00E6575A" w:rsidRPr="001F3298" w:rsidRDefault="00E6575A"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Whereas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 xml:space="preserve">₂ boosts belowground carbon inputs, it also initiates microbial breakdown of SOM. This tends to speed up nitrogen mineralization but at the same time </w:t>
      </w:r>
      <w:r w:rsidRPr="00E87918">
        <w:rPr>
          <w:rFonts w:ascii="Times New Roman" w:hAnsi="Times New Roman" w:cs="Times New Roman"/>
          <w:sz w:val="24"/>
          <w:szCs w:val="24"/>
          <w:highlight w:val="yellow"/>
        </w:rPr>
        <w:t>enhance</w:t>
      </w:r>
      <w:r w:rsidR="00E87918" w:rsidRPr="00E87918">
        <w:rPr>
          <w:rFonts w:ascii="Times New Roman" w:hAnsi="Times New Roman" w:cs="Times New Roman"/>
          <w:sz w:val="24"/>
          <w:szCs w:val="24"/>
          <w:highlight w:val="yellow"/>
        </w:rPr>
        <w:t>s</w:t>
      </w:r>
      <w:r w:rsidRPr="00E87918">
        <w:rPr>
          <w:rFonts w:ascii="Times New Roman" w:hAnsi="Times New Roman" w:cs="Times New Roman"/>
          <w:sz w:val="24"/>
          <w:szCs w:val="24"/>
          <w:highlight w:val="yellow"/>
        </w:rPr>
        <w:t xml:space="preserve"> nitrogen</w:t>
      </w:r>
      <w:r w:rsidRPr="001F3298">
        <w:rPr>
          <w:rFonts w:ascii="Times New Roman" w:hAnsi="Times New Roman" w:cs="Times New Roman"/>
          <w:sz w:val="24"/>
          <w:szCs w:val="24"/>
        </w:rPr>
        <w:t xml:space="preserve"> losses by leaching and denitrification. Consequently, short-term gains in productivity may be at the expense of long-term soil fertility and ecosystem stability.</w:t>
      </w:r>
    </w:p>
    <w:p w14:paraId="7E40DC4E" w14:textId="77777777" w:rsidR="00E6575A" w:rsidRPr="001F3298" w:rsidRDefault="00E6575A"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Greenhouse Gas Trade-offs</w:t>
      </w:r>
    </w:p>
    <w:p w14:paraId="1950A30F" w14:textId="77777777" w:rsidR="00E6575A" w:rsidRPr="001F3298" w:rsidRDefault="00E6575A"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One of the most important issues at hand is the risk of enhanced nitrous oxide (N₂O) emissions, which is a greenhouse gas with approximately 300 times the global warming potential of CO₂. High nitrogen cycling in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may inadvertently increase N₂O fluxes, which could counteract the climate change mitigation potential of increased carbon sequestration. This trade-off makes it more challenging for agroecosystems to play a positive role in climate change mitigation efforts.</w:t>
      </w:r>
    </w:p>
    <w:p w14:paraId="458C40B4" w14:textId="77777777" w:rsidR="00E6575A" w:rsidRPr="001F3298" w:rsidRDefault="00E6575A"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Management Gaps</w:t>
      </w:r>
    </w:p>
    <w:p w14:paraId="309B1375" w14:textId="77777777" w:rsidR="00E6575A" w:rsidRPr="001F3298" w:rsidRDefault="00E6575A"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Traditional fertilizer application regimes do not completely resonate with the changed nutrient dynamics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 xml:space="preserve">₂. Over-reliance on blanket nitrogen recommendations can cause either </w:t>
      </w:r>
      <w:r w:rsidRPr="001F3298">
        <w:rPr>
          <w:rFonts w:ascii="Times New Roman" w:hAnsi="Times New Roman" w:cs="Times New Roman"/>
          <w:sz w:val="24"/>
          <w:szCs w:val="24"/>
        </w:rPr>
        <w:lastRenderedPageBreak/>
        <w:t>deficiency or excess, both of which disempower productivity and environmental benefits. Improved nutrient strategies, such as site-specific and adaptive management, are yet to be properly developed in most areas.</w:t>
      </w:r>
    </w:p>
    <w:p w14:paraId="48462FB8" w14:textId="77777777" w:rsidR="00E6575A" w:rsidRPr="001F3298" w:rsidRDefault="00E6575A"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Model Uncertainty</w:t>
      </w:r>
    </w:p>
    <w:p w14:paraId="47A172DF" w14:textId="77777777" w:rsidR="001A4D1D" w:rsidRPr="001F3298" w:rsidRDefault="00E6575A"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Existing crop and ecosystem models have a tendency to oversimplify C–N coupling, tending to omit processes like microbial nitrogen immobilization, priming effects, and plant–microbe competition. These omissions decrease the validity of long-term predictions, making it challenging to accurately determine the resilience of agroecosystems to future CO₂ scenarios.</w:t>
      </w:r>
    </w:p>
    <w:p w14:paraId="17C0A45D" w14:textId="77777777" w:rsidR="004D05F6" w:rsidRPr="001F3298" w:rsidRDefault="004D05F6"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These problems demand a multifaceted approach:</w:t>
      </w:r>
    </w:p>
    <w:p w14:paraId="546E44F9" w14:textId="77777777" w:rsidR="004D05F6" w:rsidRPr="001F3298" w:rsidRDefault="004D05F6" w:rsidP="00845625">
      <w:pPr>
        <w:spacing w:line="360" w:lineRule="auto"/>
        <w:jc w:val="both"/>
        <w:rPr>
          <w:rFonts w:ascii="Times New Roman" w:hAnsi="Times New Roman" w:cs="Times New Roman"/>
          <w:sz w:val="24"/>
          <w:szCs w:val="24"/>
        </w:rPr>
      </w:pPr>
      <w:r w:rsidRPr="001F3298">
        <w:rPr>
          <w:rFonts w:ascii="Times New Roman" w:hAnsi="Times New Roman" w:cs="Times New Roman"/>
          <w:b/>
          <w:sz w:val="24"/>
          <w:szCs w:val="24"/>
        </w:rPr>
        <w:t>Integrated Nutrient Management (INM):</w:t>
      </w:r>
      <w:r w:rsidRPr="001F3298">
        <w:rPr>
          <w:rFonts w:ascii="Times New Roman" w:hAnsi="Times New Roman" w:cs="Times New Roman"/>
          <w:sz w:val="24"/>
          <w:szCs w:val="24"/>
        </w:rPr>
        <w:t xml:space="preserve"> The integration of organic and inorganic sources of nutrients can improve nitrogen use efficiency while preserving soil health.</w:t>
      </w:r>
    </w:p>
    <w:p w14:paraId="2558DF59" w14:textId="77777777" w:rsidR="004D05F6" w:rsidRPr="001F3298" w:rsidRDefault="004D05F6" w:rsidP="00845625">
      <w:pPr>
        <w:spacing w:line="360" w:lineRule="auto"/>
        <w:jc w:val="both"/>
        <w:rPr>
          <w:rFonts w:ascii="Times New Roman" w:hAnsi="Times New Roman" w:cs="Times New Roman"/>
          <w:sz w:val="24"/>
          <w:szCs w:val="24"/>
        </w:rPr>
      </w:pPr>
      <w:r w:rsidRPr="001F3298">
        <w:rPr>
          <w:rFonts w:ascii="Times New Roman" w:hAnsi="Times New Roman" w:cs="Times New Roman"/>
          <w:b/>
          <w:sz w:val="24"/>
          <w:szCs w:val="24"/>
        </w:rPr>
        <w:t>Breeding and Biotechnology:</w:t>
      </w:r>
      <w:r w:rsidRPr="001F3298">
        <w:rPr>
          <w:rFonts w:ascii="Times New Roman" w:hAnsi="Times New Roman" w:cs="Times New Roman"/>
          <w:sz w:val="24"/>
          <w:szCs w:val="24"/>
        </w:rPr>
        <w:t xml:space="preserve"> breeding crop plants for enhanced nitrogen-use efficiency, root structure, and symbiotic relationships with beneficial microbes can optimize C–N coupling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w:t>
      </w:r>
    </w:p>
    <w:p w14:paraId="5D7D1978" w14:textId="77777777" w:rsidR="004D05F6" w:rsidRPr="001F3298" w:rsidRDefault="004D05F6" w:rsidP="00845625">
      <w:pPr>
        <w:spacing w:line="360" w:lineRule="auto"/>
        <w:jc w:val="both"/>
        <w:rPr>
          <w:rFonts w:ascii="Times New Roman" w:hAnsi="Times New Roman" w:cs="Times New Roman"/>
          <w:sz w:val="24"/>
          <w:szCs w:val="24"/>
        </w:rPr>
      </w:pPr>
      <w:r w:rsidRPr="001F3298">
        <w:rPr>
          <w:rFonts w:ascii="Times New Roman" w:hAnsi="Times New Roman" w:cs="Times New Roman"/>
          <w:b/>
          <w:sz w:val="24"/>
          <w:szCs w:val="24"/>
        </w:rPr>
        <w:t>Microbial Interventions:</w:t>
      </w:r>
      <w:r w:rsidRPr="001F3298">
        <w:rPr>
          <w:rFonts w:ascii="Times New Roman" w:hAnsi="Times New Roman" w:cs="Times New Roman"/>
          <w:sz w:val="24"/>
          <w:szCs w:val="24"/>
        </w:rPr>
        <w:t xml:space="preserve"> applications of plant growth-promoting rhizobacteria (PGPR), mycorrhizal fungi, and constructed microbial consortia can enhance soil–plant interactions and SOM stabilization.</w:t>
      </w:r>
    </w:p>
    <w:p w14:paraId="2346FD04" w14:textId="77777777" w:rsidR="004D05F6" w:rsidRPr="001F3298" w:rsidRDefault="004D05F6" w:rsidP="00845625">
      <w:pPr>
        <w:spacing w:line="360" w:lineRule="auto"/>
        <w:jc w:val="both"/>
        <w:rPr>
          <w:rFonts w:ascii="Times New Roman" w:hAnsi="Times New Roman" w:cs="Times New Roman"/>
          <w:sz w:val="24"/>
          <w:szCs w:val="24"/>
        </w:rPr>
      </w:pPr>
      <w:r w:rsidRPr="001F3298">
        <w:rPr>
          <w:rFonts w:ascii="Times New Roman" w:hAnsi="Times New Roman" w:cs="Times New Roman"/>
          <w:b/>
          <w:sz w:val="24"/>
          <w:szCs w:val="24"/>
        </w:rPr>
        <w:t>Advanced Modeling and Monitoring:</w:t>
      </w:r>
      <w:r w:rsidRPr="001F3298">
        <w:rPr>
          <w:rFonts w:ascii="Times New Roman" w:hAnsi="Times New Roman" w:cs="Times New Roman"/>
          <w:sz w:val="24"/>
          <w:szCs w:val="24"/>
        </w:rPr>
        <w:t xml:space="preserve"> Coupled carbon–nitrogen models, integrated with remote sensing and big data analytics, are essential to forecast system-level responses under future climate conditions and inform adaptive management practices.</w:t>
      </w:r>
    </w:p>
    <w:p w14:paraId="756555EC" w14:textId="77777777" w:rsidR="004D05F6" w:rsidRPr="001F3298" w:rsidRDefault="004D05F6"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In the long term, enhancing C–N coupling at high CO₂ is not only a technical but also a policy and governance problem. Interdisciplinary collaboration between soil scientists, plant breeders, ecologists, and climate scientists, as well as farmer-focused researchers extension approaches, is necessary to overcome knowledge-to-practice gaps.</w:t>
      </w:r>
    </w:p>
    <w:p w14:paraId="4B9E25E9" w14:textId="77777777" w:rsidR="004D05F6" w:rsidRPr="001F3298" w:rsidRDefault="004D05F6"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Finally, stabilizing carbon–nitrogen bonds is central to maintaining sustainable intensification of agriculture, reducing the impact of climate change, preserving ecosystem services, and promoting global food and nutritional security. In the direction where the world is heading </w:t>
      </w:r>
      <w:r w:rsidRPr="001F3298">
        <w:rPr>
          <w:rFonts w:ascii="Times New Roman" w:hAnsi="Times New Roman" w:cs="Times New Roman"/>
          <w:sz w:val="24"/>
          <w:szCs w:val="24"/>
        </w:rPr>
        <w:lastRenderedPageBreak/>
        <w:t>toward net-zero emission commitments, C–N coupling science and its real-world application will be instrumental in reconciling agricultural productivity and environmental sustainability.</w:t>
      </w:r>
    </w:p>
    <w:p w14:paraId="0D213A22" w14:textId="35795BD1" w:rsidR="008327DE" w:rsidRPr="001F3298" w:rsidRDefault="008327DE" w:rsidP="00845625">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 xml:space="preserve">Table </w:t>
      </w:r>
      <w:r w:rsidR="00450CD2">
        <w:rPr>
          <w:rFonts w:ascii="Times New Roman" w:eastAsia="Times New Roman" w:hAnsi="Times New Roman" w:cs="Times New Roman"/>
          <w:b/>
          <w:bCs/>
          <w:sz w:val="24"/>
          <w:szCs w:val="24"/>
        </w:rPr>
        <w:t>2</w:t>
      </w:r>
      <w:r w:rsidRPr="001F3298">
        <w:rPr>
          <w:rFonts w:ascii="Times New Roman" w:eastAsia="Times New Roman" w:hAnsi="Times New Roman" w:cs="Times New Roman"/>
          <w:b/>
          <w:bCs/>
          <w:sz w:val="24"/>
          <w:szCs w:val="24"/>
        </w:rPr>
        <w:t>. Effects of elevated CO₂ on carbon and nitrogen processes in agroecosystems</w:t>
      </w:r>
    </w:p>
    <w:tbl>
      <w:tblPr>
        <w:tblStyle w:val="TableGrid"/>
        <w:tblW w:w="0" w:type="auto"/>
        <w:tblLook w:val="04A0" w:firstRow="1" w:lastRow="0" w:firstColumn="1" w:lastColumn="0" w:noHBand="0" w:noVBand="1"/>
      </w:tblPr>
      <w:tblGrid>
        <w:gridCol w:w="1231"/>
        <w:gridCol w:w="2865"/>
        <w:gridCol w:w="3207"/>
        <w:gridCol w:w="2273"/>
      </w:tblGrid>
      <w:tr w:rsidR="00A849EC" w:rsidRPr="001F3298" w14:paraId="476DBD00" w14:textId="77777777" w:rsidTr="001C107E">
        <w:tc>
          <w:tcPr>
            <w:tcW w:w="0" w:type="auto"/>
            <w:hideMark/>
          </w:tcPr>
          <w:p w14:paraId="4EBFDFB3" w14:textId="77777777" w:rsidR="00A849EC" w:rsidRPr="001F3298" w:rsidRDefault="00A849EC" w:rsidP="00845625">
            <w:pPr>
              <w:spacing w:line="360" w:lineRule="auto"/>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Level</w:t>
            </w:r>
          </w:p>
        </w:tc>
        <w:tc>
          <w:tcPr>
            <w:tcW w:w="0" w:type="auto"/>
            <w:hideMark/>
          </w:tcPr>
          <w:p w14:paraId="31F5BC75" w14:textId="77777777" w:rsidR="00A849EC" w:rsidRPr="001F3298" w:rsidRDefault="00A849EC" w:rsidP="00845625">
            <w:pPr>
              <w:spacing w:line="360" w:lineRule="auto"/>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Positive Outcomes</w:t>
            </w:r>
          </w:p>
        </w:tc>
        <w:tc>
          <w:tcPr>
            <w:tcW w:w="0" w:type="auto"/>
            <w:hideMark/>
          </w:tcPr>
          <w:p w14:paraId="3B4B9398" w14:textId="77777777" w:rsidR="00A849EC" w:rsidRPr="001F3298" w:rsidRDefault="00A849EC" w:rsidP="00845625">
            <w:pPr>
              <w:spacing w:line="360" w:lineRule="auto"/>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Negative Outcomes</w:t>
            </w:r>
          </w:p>
        </w:tc>
        <w:tc>
          <w:tcPr>
            <w:tcW w:w="0" w:type="auto"/>
            <w:hideMark/>
          </w:tcPr>
          <w:p w14:paraId="5D6A05CF" w14:textId="77777777" w:rsidR="00A849EC" w:rsidRPr="001F3298" w:rsidRDefault="00A849EC" w:rsidP="00845625">
            <w:pPr>
              <w:spacing w:line="360" w:lineRule="auto"/>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Conditional Outcomes</w:t>
            </w:r>
          </w:p>
        </w:tc>
      </w:tr>
      <w:tr w:rsidR="00A849EC" w:rsidRPr="001F3298" w14:paraId="29195CF3" w14:textId="77777777" w:rsidTr="001C107E">
        <w:tc>
          <w:tcPr>
            <w:tcW w:w="0" w:type="auto"/>
            <w:hideMark/>
          </w:tcPr>
          <w:p w14:paraId="57F88AEE"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Plant</w:t>
            </w:r>
          </w:p>
        </w:tc>
        <w:tc>
          <w:tcPr>
            <w:tcW w:w="0" w:type="auto"/>
            <w:hideMark/>
          </w:tcPr>
          <w:p w14:paraId="74F6B5CF"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Biomass, ↑ photosynthesis, ↑ water-use efficiency</w:t>
            </w:r>
          </w:p>
        </w:tc>
        <w:tc>
          <w:tcPr>
            <w:tcW w:w="0" w:type="auto"/>
            <w:hideMark/>
          </w:tcPr>
          <w:p w14:paraId="37A9AEE0"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Grain protein, ↓ micronutrients</w:t>
            </w:r>
          </w:p>
        </w:tc>
        <w:tc>
          <w:tcPr>
            <w:tcW w:w="0" w:type="auto"/>
            <w:hideMark/>
          </w:tcPr>
          <w:p w14:paraId="03A697C7"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Yield response depends on N availability</w:t>
            </w:r>
          </w:p>
        </w:tc>
      </w:tr>
      <w:tr w:rsidR="00A849EC" w:rsidRPr="001F3298" w14:paraId="6B74C306" w14:textId="77777777" w:rsidTr="001C107E">
        <w:tc>
          <w:tcPr>
            <w:tcW w:w="0" w:type="auto"/>
            <w:hideMark/>
          </w:tcPr>
          <w:p w14:paraId="4D0F9DD5"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Soil</w:t>
            </w:r>
          </w:p>
        </w:tc>
        <w:tc>
          <w:tcPr>
            <w:tcW w:w="0" w:type="auto"/>
            <w:hideMark/>
          </w:tcPr>
          <w:p w14:paraId="6B26E020"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Root exudates and rhizodeposition, potential SOC storage</w:t>
            </w:r>
          </w:p>
        </w:tc>
        <w:tc>
          <w:tcPr>
            <w:tcW w:w="0" w:type="auto"/>
            <w:hideMark/>
          </w:tcPr>
          <w:p w14:paraId="4D710D1B"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Enhanced SOM decomposition, ↑ N losses via leaching/denitrification</w:t>
            </w:r>
          </w:p>
        </w:tc>
        <w:tc>
          <w:tcPr>
            <w:tcW w:w="0" w:type="auto"/>
            <w:hideMark/>
          </w:tcPr>
          <w:p w14:paraId="0510AACA"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SOC stabilization occurs mainly under high-N systems</w:t>
            </w:r>
          </w:p>
        </w:tc>
      </w:tr>
      <w:tr w:rsidR="00A849EC" w:rsidRPr="001F3298" w14:paraId="344BB993" w14:textId="77777777" w:rsidTr="001C107E">
        <w:tc>
          <w:tcPr>
            <w:tcW w:w="0" w:type="auto"/>
            <w:hideMark/>
          </w:tcPr>
          <w:p w14:paraId="796AAD7E"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Microbial</w:t>
            </w:r>
          </w:p>
        </w:tc>
        <w:tc>
          <w:tcPr>
            <w:tcW w:w="0" w:type="auto"/>
            <w:hideMark/>
          </w:tcPr>
          <w:p w14:paraId="0C8EC5C5"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xml:space="preserve">↑ Rhizosphere activity, stimulation of </w:t>
            </w:r>
            <w:proofErr w:type="spellStart"/>
            <w:r w:rsidRPr="001F3298">
              <w:rPr>
                <w:rFonts w:ascii="Times New Roman" w:eastAsia="Times New Roman" w:hAnsi="Times New Roman" w:cs="Times New Roman"/>
                <w:sz w:val="24"/>
                <w:szCs w:val="24"/>
              </w:rPr>
              <w:t>nifH</w:t>
            </w:r>
            <w:proofErr w:type="spellEnd"/>
            <w:r w:rsidRPr="001F3298">
              <w:rPr>
                <w:rFonts w:ascii="Times New Roman" w:eastAsia="Times New Roman" w:hAnsi="Times New Roman" w:cs="Times New Roman"/>
                <w:sz w:val="24"/>
                <w:szCs w:val="24"/>
              </w:rPr>
              <w:t xml:space="preserve"> genes in legumes under </w:t>
            </w:r>
            <w:proofErr w:type="spellStart"/>
            <w:r w:rsidRPr="001F3298">
              <w:rPr>
                <w:rFonts w:ascii="Times New Roman" w:eastAsia="Times New Roman" w:hAnsi="Times New Roman" w:cs="Times New Roman"/>
                <w:sz w:val="24"/>
                <w:szCs w:val="24"/>
              </w:rPr>
              <w:t>eCO</w:t>
            </w:r>
            <w:proofErr w:type="spellEnd"/>
            <w:r w:rsidRPr="001F3298">
              <w:rPr>
                <w:rFonts w:ascii="Times New Roman" w:eastAsia="Times New Roman" w:hAnsi="Times New Roman" w:cs="Times New Roman"/>
                <w:sz w:val="24"/>
                <w:szCs w:val="24"/>
              </w:rPr>
              <w:t>₂ + N supply</w:t>
            </w:r>
          </w:p>
        </w:tc>
        <w:tc>
          <w:tcPr>
            <w:tcW w:w="0" w:type="auto"/>
            <w:hideMark/>
          </w:tcPr>
          <w:p w14:paraId="5C45C7F1"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Potential priming effect, N immobilization reduces plant uptake</w:t>
            </w:r>
          </w:p>
        </w:tc>
        <w:tc>
          <w:tcPr>
            <w:tcW w:w="0" w:type="auto"/>
            <w:hideMark/>
          </w:tcPr>
          <w:p w14:paraId="7C145D49"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N fixation response depends on legume presence and soil fertility</w:t>
            </w:r>
          </w:p>
        </w:tc>
      </w:tr>
    </w:tbl>
    <w:p w14:paraId="581B0036" w14:textId="77777777" w:rsidR="008327DE" w:rsidRPr="001F3298" w:rsidRDefault="008327DE" w:rsidP="00845625">
      <w:pPr>
        <w:spacing w:after="0" w:line="360" w:lineRule="auto"/>
        <w:jc w:val="both"/>
        <w:rPr>
          <w:rFonts w:ascii="Times New Roman" w:eastAsia="Times New Roman" w:hAnsi="Times New Roman" w:cs="Times New Roman"/>
          <w:sz w:val="24"/>
          <w:szCs w:val="24"/>
        </w:rPr>
      </w:pPr>
    </w:p>
    <w:p w14:paraId="1EE40038" w14:textId="01688A61" w:rsidR="008327DE" w:rsidRPr="001F3298" w:rsidRDefault="008327DE" w:rsidP="00845625">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 xml:space="preserve">Table </w:t>
      </w:r>
      <w:r w:rsidR="00450CD2">
        <w:rPr>
          <w:rFonts w:ascii="Times New Roman" w:eastAsia="Times New Roman" w:hAnsi="Times New Roman" w:cs="Times New Roman"/>
          <w:b/>
          <w:bCs/>
          <w:sz w:val="24"/>
          <w:szCs w:val="24"/>
        </w:rPr>
        <w:t>3</w:t>
      </w:r>
      <w:r w:rsidRPr="001F3298">
        <w:rPr>
          <w:rFonts w:ascii="Times New Roman" w:eastAsia="Times New Roman" w:hAnsi="Times New Roman" w:cs="Times New Roman"/>
          <w:b/>
          <w:bCs/>
          <w:sz w:val="24"/>
          <w:szCs w:val="24"/>
        </w:rPr>
        <w:t xml:space="preserve">. Challenges and opportunities for managing C–N coupling under </w:t>
      </w:r>
      <w:proofErr w:type="spellStart"/>
      <w:r w:rsidRPr="001F3298">
        <w:rPr>
          <w:rFonts w:ascii="Times New Roman" w:eastAsia="Times New Roman" w:hAnsi="Times New Roman" w:cs="Times New Roman"/>
          <w:b/>
          <w:bCs/>
          <w:sz w:val="24"/>
          <w:szCs w:val="24"/>
        </w:rPr>
        <w:t>eCO</w:t>
      </w:r>
      <w:proofErr w:type="spellEnd"/>
      <w:r w:rsidRPr="001F3298">
        <w:rPr>
          <w:rFonts w:ascii="Times New Roman" w:eastAsia="Times New Roman" w:hAnsi="Times New Roman" w:cs="Times New Roman"/>
          <w:b/>
          <w:bCs/>
          <w:sz w:val="24"/>
          <w:szCs w:val="24"/>
        </w:rPr>
        <w:t>₂ scenarios</w:t>
      </w:r>
    </w:p>
    <w:tbl>
      <w:tblPr>
        <w:tblStyle w:val="TableGrid"/>
        <w:tblW w:w="0" w:type="auto"/>
        <w:tblLook w:val="04A0" w:firstRow="1" w:lastRow="0" w:firstColumn="1" w:lastColumn="0" w:noHBand="0" w:noVBand="1"/>
      </w:tblPr>
      <w:tblGrid>
        <w:gridCol w:w="2124"/>
        <w:gridCol w:w="3749"/>
        <w:gridCol w:w="3703"/>
      </w:tblGrid>
      <w:tr w:rsidR="00A849EC" w:rsidRPr="001F3298" w14:paraId="09783DEA" w14:textId="77777777" w:rsidTr="001C107E">
        <w:tc>
          <w:tcPr>
            <w:tcW w:w="0" w:type="auto"/>
            <w:hideMark/>
          </w:tcPr>
          <w:p w14:paraId="2BE92DB3" w14:textId="77777777" w:rsidR="00A849EC" w:rsidRPr="001F3298" w:rsidRDefault="00A849EC" w:rsidP="00845625">
            <w:pPr>
              <w:spacing w:line="360" w:lineRule="auto"/>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Aspect</w:t>
            </w:r>
          </w:p>
        </w:tc>
        <w:tc>
          <w:tcPr>
            <w:tcW w:w="0" w:type="auto"/>
            <w:hideMark/>
          </w:tcPr>
          <w:p w14:paraId="2B8AFF33" w14:textId="77777777" w:rsidR="00A849EC" w:rsidRPr="001F3298" w:rsidRDefault="00A849EC" w:rsidP="00845625">
            <w:pPr>
              <w:spacing w:line="360" w:lineRule="auto"/>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Challenges</w:t>
            </w:r>
          </w:p>
        </w:tc>
        <w:tc>
          <w:tcPr>
            <w:tcW w:w="0" w:type="auto"/>
            <w:hideMark/>
          </w:tcPr>
          <w:p w14:paraId="0E6D12D5" w14:textId="77777777" w:rsidR="00A849EC" w:rsidRPr="001F3298" w:rsidRDefault="00A849EC" w:rsidP="00845625">
            <w:pPr>
              <w:spacing w:line="360" w:lineRule="auto"/>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Opportunities</w:t>
            </w:r>
          </w:p>
        </w:tc>
      </w:tr>
      <w:tr w:rsidR="00A849EC" w:rsidRPr="001F3298" w14:paraId="0B4A2D2F" w14:textId="77777777" w:rsidTr="001C107E">
        <w:tc>
          <w:tcPr>
            <w:tcW w:w="0" w:type="auto"/>
            <w:hideMark/>
          </w:tcPr>
          <w:p w14:paraId="64EBE6E3"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Nitrogen availability</w:t>
            </w:r>
          </w:p>
        </w:tc>
        <w:tc>
          <w:tcPr>
            <w:tcW w:w="0" w:type="auto"/>
            <w:hideMark/>
          </w:tcPr>
          <w:p w14:paraId="49058B19"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N limitation constrains CO₂ fertilization effect</w:t>
            </w:r>
          </w:p>
        </w:tc>
        <w:tc>
          <w:tcPr>
            <w:tcW w:w="0" w:type="auto"/>
            <w:hideMark/>
          </w:tcPr>
          <w:p w14:paraId="74B628DA"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Integrated Nutrient Management (INM), balanced organic–inorganic fertilization</w:t>
            </w:r>
          </w:p>
        </w:tc>
      </w:tr>
      <w:tr w:rsidR="00A849EC" w:rsidRPr="001F3298" w14:paraId="3C307B58" w14:textId="77777777" w:rsidTr="001C107E">
        <w:tc>
          <w:tcPr>
            <w:tcW w:w="0" w:type="auto"/>
            <w:hideMark/>
          </w:tcPr>
          <w:p w14:paraId="37B40C76"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Soil Organic Matter (SOM)</w:t>
            </w:r>
          </w:p>
        </w:tc>
        <w:tc>
          <w:tcPr>
            <w:tcW w:w="0" w:type="auto"/>
            <w:hideMark/>
          </w:tcPr>
          <w:p w14:paraId="114EE10A"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Enhanced decomposition, N loss through leaching/denitrification</w:t>
            </w:r>
          </w:p>
        </w:tc>
        <w:tc>
          <w:tcPr>
            <w:tcW w:w="0" w:type="auto"/>
            <w:hideMark/>
          </w:tcPr>
          <w:p w14:paraId="1A1BEBC4"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Residue retention, conservation tillage, SOC stabilization</w:t>
            </w:r>
          </w:p>
        </w:tc>
      </w:tr>
      <w:tr w:rsidR="00A849EC" w:rsidRPr="001F3298" w14:paraId="756AA65A" w14:textId="77777777" w:rsidTr="001C107E">
        <w:tc>
          <w:tcPr>
            <w:tcW w:w="0" w:type="auto"/>
            <w:hideMark/>
          </w:tcPr>
          <w:p w14:paraId="2AF8C134"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Greenhouse gases (GHG)</w:t>
            </w:r>
          </w:p>
        </w:tc>
        <w:tc>
          <w:tcPr>
            <w:tcW w:w="0" w:type="auto"/>
            <w:hideMark/>
          </w:tcPr>
          <w:p w14:paraId="2418A063"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N₂O emissions may offset C gains</w:t>
            </w:r>
          </w:p>
        </w:tc>
        <w:tc>
          <w:tcPr>
            <w:tcW w:w="0" w:type="auto"/>
            <w:hideMark/>
          </w:tcPr>
          <w:p w14:paraId="5FCDCE27"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Climate-smart practices (agroforestry, cover crops) reduce net GHG footprint</w:t>
            </w:r>
          </w:p>
        </w:tc>
      </w:tr>
      <w:tr w:rsidR="00A849EC" w:rsidRPr="001F3298" w14:paraId="750148A9" w14:textId="77777777" w:rsidTr="001C107E">
        <w:tc>
          <w:tcPr>
            <w:tcW w:w="0" w:type="auto"/>
            <w:hideMark/>
          </w:tcPr>
          <w:p w14:paraId="177CB206"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 xml:space="preserve">Genetic &amp; microbial </w:t>
            </w:r>
            <w:r w:rsidRPr="001F3298">
              <w:rPr>
                <w:rFonts w:ascii="Times New Roman" w:eastAsia="Times New Roman" w:hAnsi="Times New Roman" w:cs="Times New Roman"/>
                <w:b/>
                <w:bCs/>
                <w:sz w:val="24"/>
                <w:szCs w:val="24"/>
              </w:rPr>
              <w:lastRenderedPageBreak/>
              <w:t>innovations</w:t>
            </w:r>
          </w:p>
        </w:tc>
        <w:tc>
          <w:tcPr>
            <w:tcW w:w="0" w:type="auto"/>
            <w:hideMark/>
          </w:tcPr>
          <w:p w14:paraId="25C6563D"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lastRenderedPageBreak/>
              <w:t xml:space="preserve">Lack of varieties adapted to </w:t>
            </w:r>
            <w:proofErr w:type="spellStart"/>
            <w:r w:rsidRPr="001F3298">
              <w:rPr>
                <w:rFonts w:ascii="Times New Roman" w:eastAsia="Times New Roman" w:hAnsi="Times New Roman" w:cs="Times New Roman"/>
                <w:sz w:val="24"/>
                <w:szCs w:val="24"/>
              </w:rPr>
              <w:t>eCO</w:t>
            </w:r>
            <w:proofErr w:type="spellEnd"/>
            <w:r w:rsidRPr="001F3298">
              <w:rPr>
                <w:rFonts w:ascii="Times New Roman" w:eastAsia="Times New Roman" w:hAnsi="Times New Roman" w:cs="Times New Roman"/>
                <w:sz w:val="24"/>
                <w:szCs w:val="24"/>
              </w:rPr>
              <w:t>₂ and low-N conditions</w:t>
            </w:r>
          </w:p>
        </w:tc>
        <w:tc>
          <w:tcPr>
            <w:tcW w:w="0" w:type="auto"/>
            <w:hideMark/>
          </w:tcPr>
          <w:p w14:paraId="44E735A1"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xml:space="preserve">Breeding for NUE, microbial inoculants (mycorrhizae, </w:t>
            </w:r>
            <w:r w:rsidRPr="001F3298">
              <w:rPr>
                <w:rFonts w:ascii="Times New Roman" w:eastAsia="Times New Roman" w:hAnsi="Times New Roman" w:cs="Times New Roman"/>
                <w:sz w:val="24"/>
                <w:szCs w:val="24"/>
              </w:rPr>
              <w:lastRenderedPageBreak/>
              <w:t>diazotrophs)</w:t>
            </w:r>
          </w:p>
        </w:tc>
      </w:tr>
      <w:tr w:rsidR="00A849EC" w:rsidRPr="001F3298" w14:paraId="358A49F5" w14:textId="77777777" w:rsidTr="001C107E">
        <w:tc>
          <w:tcPr>
            <w:tcW w:w="0" w:type="auto"/>
            <w:hideMark/>
          </w:tcPr>
          <w:p w14:paraId="4D4D802B"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lastRenderedPageBreak/>
              <w:t>Modeling &amp; prediction</w:t>
            </w:r>
          </w:p>
        </w:tc>
        <w:tc>
          <w:tcPr>
            <w:tcW w:w="0" w:type="auto"/>
            <w:hideMark/>
          </w:tcPr>
          <w:p w14:paraId="313AC65E"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Crop models oversimplify C–N coupling</w:t>
            </w:r>
          </w:p>
        </w:tc>
        <w:tc>
          <w:tcPr>
            <w:tcW w:w="0" w:type="auto"/>
            <w:hideMark/>
          </w:tcPr>
          <w:p w14:paraId="36D8C856"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Advanced multi-factor models (CO₂ × N × water × microbes)</w:t>
            </w:r>
          </w:p>
        </w:tc>
      </w:tr>
    </w:tbl>
    <w:p w14:paraId="1544171F" w14:textId="77777777" w:rsidR="00E6575A" w:rsidRPr="001F3298" w:rsidRDefault="00E6575A" w:rsidP="00845625">
      <w:pPr>
        <w:spacing w:line="360" w:lineRule="auto"/>
        <w:jc w:val="both"/>
        <w:rPr>
          <w:rFonts w:ascii="Times New Roman" w:hAnsi="Times New Roman" w:cs="Times New Roman"/>
          <w:sz w:val="24"/>
          <w:szCs w:val="24"/>
        </w:rPr>
      </w:pPr>
    </w:p>
    <w:p w14:paraId="7037AEF0" w14:textId="77777777" w:rsidR="001C107E" w:rsidRPr="001F3298" w:rsidRDefault="00C40006"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6. Conclusion</w:t>
      </w:r>
    </w:p>
    <w:p w14:paraId="233F339C" w14:textId="77777777" w:rsidR="001C107E" w:rsidRDefault="001C107E"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Carbon–nitrogen (C–N) coupling is the keystone of functioning agroecosystems, having direct effects on plant productivity, soil fertility, and environmental sustainability. At elevated CO₂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levels, crops tend to show increased photosynthetic performance and biomass production, implying potential for enhanced yields. Yet, these advantages are not assured, as nitrogen (N) availability, SOM dynamics, and greenhouse gas (GHG) emissions represent critical limiting and regulatory factors. Weak coupling of carbon and nitrogen cycles can contribute to nutrient dilution in crops, loss of soil fertility, and enhanced nitrous oxide (N₂O) emissions, which could reduce otherwise expe</w:t>
      </w:r>
      <w:r w:rsidR="004D05F6" w:rsidRPr="001F3298">
        <w:rPr>
          <w:rFonts w:ascii="Times New Roman" w:hAnsi="Times New Roman" w:cs="Times New Roman"/>
          <w:sz w:val="24"/>
          <w:szCs w:val="24"/>
        </w:rPr>
        <w:t>cted climate change mitigation.</w:t>
      </w:r>
    </w:p>
    <w:p w14:paraId="5025FAE1" w14:textId="77777777" w:rsidR="00D34D9E" w:rsidRDefault="00D34D9E" w:rsidP="00845625">
      <w:pPr>
        <w:spacing w:line="360" w:lineRule="auto"/>
        <w:jc w:val="both"/>
        <w:rPr>
          <w:rFonts w:ascii="Times New Roman" w:hAnsi="Times New Roman" w:cs="Times New Roman"/>
          <w:sz w:val="24"/>
          <w:szCs w:val="24"/>
        </w:rPr>
      </w:pPr>
    </w:p>
    <w:p w14:paraId="640EF5C3" w14:textId="77777777" w:rsidR="00D34D9E" w:rsidRPr="00D34D9E" w:rsidRDefault="00D34D9E" w:rsidP="00D34D9E">
      <w:pPr>
        <w:spacing w:line="360" w:lineRule="auto"/>
        <w:jc w:val="both"/>
        <w:rPr>
          <w:rFonts w:ascii="Times New Roman" w:hAnsi="Times New Roman" w:cs="Times New Roman"/>
          <w:sz w:val="24"/>
          <w:szCs w:val="24"/>
        </w:rPr>
      </w:pPr>
      <w:r w:rsidRPr="00D34D9E">
        <w:rPr>
          <w:rFonts w:ascii="Times New Roman" w:hAnsi="Times New Roman" w:cs="Times New Roman"/>
          <w:sz w:val="24"/>
          <w:szCs w:val="24"/>
        </w:rPr>
        <w:t>COMPETING INTERESTS DISCLAIMER:</w:t>
      </w:r>
    </w:p>
    <w:p w14:paraId="61EB76F4" w14:textId="02AD29F2" w:rsidR="00D34D9E" w:rsidRDefault="00D34D9E" w:rsidP="00D34D9E">
      <w:pPr>
        <w:spacing w:line="360" w:lineRule="auto"/>
        <w:jc w:val="both"/>
        <w:rPr>
          <w:rFonts w:ascii="Times New Roman" w:hAnsi="Times New Roman" w:cs="Times New Roman"/>
          <w:sz w:val="24"/>
          <w:szCs w:val="24"/>
        </w:rPr>
      </w:pPr>
      <w:r w:rsidRPr="00D34D9E">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482EDC04" w14:textId="48BB5AA6" w:rsidR="0075623C" w:rsidRDefault="0075623C" w:rsidP="00D34D9E">
      <w:pPr>
        <w:spacing w:line="360" w:lineRule="auto"/>
        <w:jc w:val="both"/>
        <w:rPr>
          <w:rFonts w:ascii="Times New Roman" w:hAnsi="Times New Roman" w:cs="Times New Roman"/>
          <w:sz w:val="24"/>
          <w:szCs w:val="24"/>
        </w:rPr>
      </w:pPr>
    </w:p>
    <w:p w14:paraId="24A690D7" w14:textId="77777777" w:rsidR="0075623C" w:rsidRPr="009C5487" w:rsidRDefault="0075623C" w:rsidP="0075623C">
      <w:pPr>
        <w:rPr>
          <w:rFonts w:ascii="Calibri" w:eastAsia="Calibri" w:hAnsi="Calibri" w:cs="Times New Roman"/>
          <w:kern w:val="2"/>
          <w:highlight w:val="yellow"/>
        </w:rPr>
      </w:pPr>
      <w:bookmarkStart w:id="1" w:name="_Hlk197682619"/>
      <w:bookmarkStart w:id="2" w:name="_Hlk180402183"/>
      <w:bookmarkStart w:id="3" w:name="_Hlk183680988"/>
      <w:bookmarkStart w:id="4" w:name="_Hlk197351200"/>
      <w:r w:rsidRPr="009C5487">
        <w:rPr>
          <w:rFonts w:ascii="Calibri" w:eastAsia="Calibri" w:hAnsi="Calibri" w:cs="Times New Roman"/>
          <w:kern w:val="2"/>
          <w:highlight w:val="yellow"/>
        </w:rPr>
        <w:t>Disclaimer (Artificial intelligence)</w:t>
      </w:r>
    </w:p>
    <w:p w14:paraId="250F3FEE" w14:textId="77777777" w:rsidR="0075623C" w:rsidRPr="009C5487" w:rsidRDefault="0075623C" w:rsidP="0075623C">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55144D4D" w14:textId="77777777" w:rsidR="0075623C" w:rsidRPr="009C5487" w:rsidRDefault="0075623C" w:rsidP="0075623C">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06E65386" w14:textId="77777777" w:rsidR="0075623C" w:rsidRPr="009C5487" w:rsidRDefault="0075623C" w:rsidP="0075623C">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4D1EF945" w14:textId="77777777" w:rsidR="0075623C" w:rsidRPr="009C5487" w:rsidRDefault="0075623C" w:rsidP="0075623C">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84DB1BF" w14:textId="77777777" w:rsidR="0075623C" w:rsidRPr="009C5487" w:rsidRDefault="0075623C" w:rsidP="0075623C">
      <w:pPr>
        <w:rPr>
          <w:rFonts w:ascii="Calibri" w:eastAsia="Calibri" w:hAnsi="Calibri" w:cs="Times New Roman"/>
          <w:kern w:val="2"/>
          <w:highlight w:val="yellow"/>
        </w:rPr>
      </w:pPr>
      <w:r w:rsidRPr="009C5487">
        <w:rPr>
          <w:rFonts w:ascii="Calibri" w:eastAsia="Calibri" w:hAnsi="Calibri" w:cs="Times New Roman"/>
          <w:kern w:val="2"/>
          <w:highlight w:val="yellow"/>
        </w:rPr>
        <w:lastRenderedPageBreak/>
        <w:t>Details of the AI usage are given below:</w:t>
      </w:r>
    </w:p>
    <w:p w14:paraId="17A8B286" w14:textId="6DB32D9C" w:rsidR="0075623C" w:rsidRPr="009C5487" w:rsidRDefault="0075623C" w:rsidP="0075623C">
      <w:pPr>
        <w:rPr>
          <w:rFonts w:ascii="Calibri" w:eastAsia="Calibri" w:hAnsi="Calibri" w:cs="Times New Roman"/>
          <w:kern w:val="2"/>
          <w:highlight w:val="yellow"/>
        </w:rPr>
      </w:pPr>
      <w:r w:rsidRPr="009C5487">
        <w:rPr>
          <w:rFonts w:ascii="Calibri" w:eastAsia="Calibri" w:hAnsi="Calibri" w:cs="Times New Roman"/>
          <w:kern w:val="2"/>
          <w:highlight w:val="yellow"/>
        </w:rPr>
        <w:t>1.</w:t>
      </w:r>
      <w:r w:rsidR="00361C49">
        <w:rPr>
          <w:rFonts w:ascii="Calibri" w:eastAsia="Calibri" w:hAnsi="Calibri" w:cs="Times New Roman"/>
          <w:kern w:val="2"/>
          <w:highlight w:val="yellow"/>
        </w:rPr>
        <w:t xml:space="preserve"> Yes used ChatGPT</w:t>
      </w:r>
    </w:p>
    <w:p w14:paraId="3DD572C1" w14:textId="77777777" w:rsidR="0075623C" w:rsidRPr="009C5487" w:rsidRDefault="0075623C" w:rsidP="0075623C">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40A0392B" w14:textId="77777777" w:rsidR="0075623C" w:rsidRPr="009C5487" w:rsidRDefault="0075623C" w:rsidP="0075623C">
      <w:pPr>
        <w:rPr>
          <w:rFonts w:ascii="Calibri" w:eastAsia="Calibri" w:hAnsi="Calibri" w:cs="Times New Roman"/>
          <w:kern w:val="2"/>
        </w:rPr>
      </w:pPr>
      <w:bookmarkStart w:id="5" w:name="_Hlk197682629"/>
      <w:bookmarkEnd w:id="1"/>
      <w:r w:rsidRPr="009C5487">
        <w:rPr>
          <w:rFonts w:ascii="Calibri" w:eastAsia="Calibri" w:hAnsi="Calibri" w:cs="Times New Roman"/>
          <w:kern w:val="2"/>
          <w:highlight w:val="yellow"/>
        </w:rPr>
        <w:t>3.</w:t>
      </w:r>
    </w:p>
    <w:p w14:paraId="5DBE0567" w14:textId="77777777" w:rsidR="0075623C" w:rsidRDefault="0075623C" w:rsidP="0075623C">
      <w:pPr>
        <w:ind w:firstLine="720"/>
      </w:pPr>
      <w:bookmarkStart w:id="6" w:name="_Hlk187485061"/>
      <w:bookmarkEnd w:id="2"/>
      <w:bookmarkEnd w:id="3"/>
      <w:bookmarkEnd w:id="5"/>
    </w:p>
    <w:bookmarkEnd w:id="4"/>
    <w:bookmarkEnd w:id="6"/>
    <w:p w14:paraId="569170F0" w14:textId="77777777" w:rsidR="0075623C" w:rsidRPr="001F3298" w:rsidRDefault="0075623C" w:rsidP="00D34D9E">
      <w:pPr>
        <w:spacing w:line="360" w:lineRule="auto"/>
        <w:jc w:val="both"/>
        <w:rPr>
          <w:rFonts w:ascii="Times New Roman" w:hAnsi="Times New Roman" w:cs="Times New Roman"/>
          <w:sz w:val="24"/>
          <w:szCs w:val="24"/>
        </w:rPr>
      </w:pPr>
    </w:p>
    <w:p w14:paraId="4AABBC6A" w14:textId="77777777" w:rsidR="00B540CE" w:rsidRPr="00BC192E" w:rsidRDefault="00B540CE" w:rsidP="00B540CE">
      <w:pPr>
        <w:pStyle w:val="NormalWeb"/>
        <w:jc w:val="both"/>
        <w:rPr>
          <w:b/>
        </w:rPr>
      </w:pPr>
      <w:r w:rsidRPr="00BC192E">
        <w:rPr>
          <w:b/>
        </w:rPr>
        <w:t xml:space="preserve">Reference </w:t>
      </w:r>
    </w:p>
    <w:p w14:paraId="3968190E" w14:textId="77777777" w:rsidR="00BC192E" w:rsidRPr="00BC192E" w:rsidRDefault="00BC192E" w:rsidP="00B540CE">
      <w:pPr>
        <w:spacing w:line="360" w:lineRule="auto"/>
        <w:jc w:val="both"/>
        <w:rPr>
          <w:rFonts w:ascii="Times New Roman" w:hAnsi="Times New Roman" w:cs="Times New Roman"/>
          <w:sz w:val="24"/>
          <w:szCs w:val="24"/>
        </w:rPr>
      </w:pPr>
      <w:proofErr w:type="spellStart"/>
      <w:r w:rsidRPr="00BC192E">
        <w:rPr>
          <w:rFonts w:ascii="Times New Roman" w:hAnsi="Times New Roman" w:cs="Times New Roman"/>
          <w:color w:val="222222"/>
          <w:sz w:val="24"/>
          <w:szCs w:val="24"/>
          <w:shd w:val="clear" w:color="auto" w:fill="FFFFFF"/>
        </w:rPr>
        <w:t>Adireddy</w:t>
      </w:r>
      <w:proofErr w:type="spellEnd"/>
      <w:r w:rsidRPr="00BC192E">
        <w:rPr>
          <w:rFonts w:ascii="Times New Roman" w:hAnsi="Times New Roman" w:cs="Times New Roman"/>
          <w:color w:val="222222"/>
          <w:sz w:val="24"/>
          <w:szCs w:val="24"/>
          <w:shd w:val="clear" w:color="auto" w:fill="FFFFFF"/>
        </w:rPr>
        <w:t xml:space="preserve">, R. G., </w:t>
      </w:r>
      <w:proofErr w:type="spellStart"/>
      <w:r w:rsidRPr="00BC192E">
        <w:rPr>
          <w:rFonts w:ascii="Times New Roman" w:hAnsi="Times New Roman" w:cs="Times New Roman"/>
          <w:color w:val="222222"/>
          <w:sz w:val="24"/>
          <w:szCs w:val="24"/>
          <w:shd w:val="clear" w:color="auto" w:fill="FFFFFF"/>
        </w:rPr>
        <w:t>Anapalli</w:t>
      </w:r>
      <w:proofErr w:type="spellEnd"/>
      <w:r w:rsidRPr="00BC192E">
        <w:rPr>
          <w:rFonts w:ascii="Times New Roman" w:hAnsi="Times New Roman" w:cs="Times New Roman"/>
          <w:color w:val="222222"/>
          <w:sz w:val="24"/>
          <w:szCs w:val="24"/>
          <w:shd w:val="clear" w:color="auto" w:fill="FFFFFF"/>
        </w:rPr>
        <w:t xml:space="preserve">, S. S., Reddy, K. N., </w:t>
      </w:r>
      <w:proofErr w:type="spellStart"/>
      <w:r w:rsidRPr="00BC192E">
        <w:rPr>
          <w:rFonts w:ascii="Times New Roman" w:hAnsi="Times New Roman" w:cs="Times New Roman"/>
          <w:color w:val="222222"/>
          <w:sz w:val="24"/>
          <w:szCs w:val="24"/>
          <w:shd w:val="clear" w:color="auto" w:fill="FFFFFF"/>
        </w:rPr>
        <w:t>Mubvumba</w:t>
      </w:r>
      <w:proofErr w:type="spellEnd"/>
      <w:r w:rsidRPr="00BC192E">
        <w:rPr>
          <w:rFonts w:ascii="Times New Roman" w:hAnsi="Times New Roman" w:cs="Times New Roman"/>
          <w:color w:val="222222"/>
          <w:sz w:val="24"/>
          <w:szCs w:val="24"/>
          <w:shd w:val="clear" w:color="auto" w:fill="FFFFFF"/>
        </w:rPr>
        <w:t>, P., &amp; George, J. (2024). Possible impacts of elevated CO2 and temperature on growth and development of grain legumes. </w:t>
      </w:r>
      <w:r w:rsidRPr="00BC192E">
        <w:rPr>
          <w:rFonts w:ascii="Times New Roman" w:hAnsi="Times New Roman" w:cs="Times New Roman"/>
          <w:i/>
          <w:iCs/>
          <w:color w:val="222222"/>
          <w:sz w:val="24"/>
          <w:szCs w:val="24"/>
          <w:shd w:val="clear" w:color="auto" w:fill="FFFFFF"/>
        </w:rPr>
        <w:t>Environments</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11</w:t>
      </w:r>
      <w:r w:rsidRPr="00BC192E">
        <w:rPr>
          <w:rFonts w:ascii="Times New Roman" w:hAnsi="Times New Roman" w:cs="Times New Roman"/>
          <w:color w:val="222222"/>
          <w:sz w:val="24"/>
          <w:szCs w:val="24"/>
          <w:shd w:val="clear" w:color="auto" w:fill="FFFFFF"/>
        </w:rPr>
        <w:t>(12), 273.</w:t>
      </w:r>
    </w:p>
    <w:p w14:paraId="69961329" w14:textId="77777777" w:rsidR="00BC192E" w:rsidRPr="00BC192E" w:rsidRDefault="00BC192E" w:rsidP="0032369D">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Ainsworth, E. A., &amp; Long, S. P. (2021). 30 years of free‐air carbon dioxide enrichment (FACE): what have we learned about future crop productivity and its potential for </w:t>
      </w:r>
      <w:proofErr w:type="gramStart"/>
      <w:r w:rsidRPr="00BC192E">
        <w:rPr>
          <w:rFonts w:ascii="Times New Roman" w:hAnsi="Times New Roman" w:cs="Times New Roman"/>
          <w:color w:val="222222"/>
          <w:sz w:val="24"/>
          <w:szCs w:val="24"/>
          <w:shd w:val="clear" w:color="auto" w:fill="FFFFFF"/>
        </w:rPr>
        <w:t>adaptation?.</w:t>
      </w:r>
      <w:proofErr w:type="gramEnd"/>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Global change biology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27</w:t>
      </w:r>
      <w:r w:rsidRPr="00BC192E">
        <w:rPr>
          <w:rFonts w:ascii="Times New Roman" w:hAnsi="Times New Roman" w:cs="Times New Roman"/>
          <w:color w:val="222222"/>
          <w:sz w:val="24"/>
          <w:szCs w:val="24"/>
          <w:shd w:val="clear" w:color="auto" w:fill="FFFFFF"/>
        </w:rPr>
        <w:t>(1), 27-49.</w:t>
      </w:r>
    </w:p>
    <w:p w14:paraId="3D6A0D5F"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Cheng, W., &amp; </w:t>
      </w:r>
      <w:proofErr w:type="spellStart"/>
      <w:r w:rsidRPr="00BC192E">
        <w:rPr>
          <w:rFonts w:ascii="Times New Roman" w:hAnsi="Times New Roman" w:cs="Times New Roman"/>
          <w:color w:val="222222"/>
          <w:sz w:val="24"/>
          <w:szCs w:val="24"/>
          <w:shd w:val="clear" w:color="auto" w:fill="FFFFFF"/>
        </w:rPr>
        <w:t>Kuzyakov</w:t>
      </w:r>
      <w:proofErr w:type="spellEnd"/>
      <w:r w:rsidRPr="00BC192E">
        <w:rPr>
          <w:rFonts w:ascii="Times New Roman" w:hAnsi="Times New Roman" w:cs="Times New Roman"/>
          <w:color w:val="222222"/>
          <w:sz w:val="24"/>
          <w:szCs w:val="24"/>
          <w:shd w:val="clear" w:color="auto" w:fill="FFFFFF"/>
        </w:rPr>
        <w:t>, Y. (2005). Root effects on soil organic matter decomposition. </w:t>
      </w:r>
      <w:r w:rsidRPr="00BC192E">
        <w:rPr>
          <w:rFonts w:ascii="Times New Roman" w:hAnsi="Times New Roman" w:cs="Times New Roman"/>
          <w:i/>
          <w:iCs/>
          <w:color w:val="222222"/>
          <w:sz w:val="24"/>
          <w:szCs w:val="24"/>
          <w:shd w:val="clear" w:color="auto" w:fill="FFFFFF"/>
        </w:rPr>
        <w:t>Roots and soil management: Interactions between roots and the soil</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48</w:t>
      </w:r>
      <w:r w:rsidRPr="00BC192E">
        <w:rPr>
          <w:rFonts w:ascii="Times New Roman" w:hAnsi="Times New Roman" w:cs="Times New Roman"/>
          <w:color w:val="222222"/>
          <w:sz w:val="24"/>
          <w:szCs w:val="24"/>
          <w:shd w:val="clear" w:color="auto" w:fill="FFFFFF"/>
        </w:rPr>
        <w:t>, 119-143.</w:t>
      </w:r>
    </w:p>
    <w:p w14:paraId="288FCA8F"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Ciais, P., Sabine, C., Bala, G., Bopp, L., </w:t>
      </w:r>
      <w:proofErr w:type="spellStart"/>
      <w:r w:rsidRPr="00BC192E">
        <w:rPr>
          <w:rFonts w:ascii="Times New Roman" w:hAnsi="Times New Roman" w:cs="Times New Roman"/>
          <w:color w:val="222222"/>
          <w:sz w:val="24"/>
          <w:szCs w:val="24"/>
          <w:shd w:val="clear" w:color="auto" w:fill="FFFFFF"/>
        </w:rPr>
        <w:t>Brovkin</w:t>
      </w:r>
      <w:proofErr w:type="spellEnd"/>
      <w:r w:rsidRPr="00BC192E">
        <w:rPr>
          <w:rFonts w:ascii="Times New Roman" w:hAnsi="Times New Roman" w:cs="Times New Roman"/>
          <w:color w:val="222222"/>
          <w:sz w:val="24"/>
          <w:szCs w:val="24"/>
          <w:shd w:val="clear" w:color="auto" w:fill="FFFFFF"/>
        </w:rPr>
        <w:t>, V., &amp; House, J. I. (2014). Carbon and other biogeochemical cycles. In </w:t>
      </w:r>
      <w:r w:rsidRPr="00BC192E">
        <w:rPr>
          <w:rFonts w:ascii="Times New Roman" w:hAnsi="Times New Roman" w:cs="Times New Roman"/>
          <w:i/>
          <w:iCs/>
          <w:color w:val="222222"/>
          <w:sz w:val="24"/>
          <w:szCs w:val="24"/>
          <w:shd w:val="clear" w:color="auto" w:fill="FFFFFF"/>
        </w:rPr>
        <w:t xml:space="preserve">Climate Change 2013: The Physical Science Basis. Contribution of Working Group I to the Fifth Assessment Report of the Intergovernmental Panel on Climate Change </w:t>
      </w:r>
      <w:proofErr w:type="spellStart"/>
      <w:r w:rsidRPr="00BC192E">
        <w:rPr>
          <w:rFonts w:ascii="Times New Roman" w:hAnsi="Times New Roman" w:cs="Times New Roman"/>
          <w:i/>
          <w:iCs/>
          <w:color w:val="222222"/>
          <w:sz w:val="24"/>
          <w:szCs w:val="24"/>
          <w:shd w:val="clear" w:color="auto" w:fill="FFFFFF"/>
        </w:rPr>
        <w:t>Change</w:t>
      </w:r>
      <w:proofErr w:type="spellEnd"/>
      <w:r w:rsidRPr="00BC192E">
        <w:rPr>
          <w:rFonts w:ascii="Times New Roman" w:hAnsi="Times New Roman" w:cs="Times New Roman"/>
          <w:color w:val="222222"/>
          <w:sz w:val="24"/>
          <w:szCs w:val="24"/>
          <w:shd w:val="clear" w:color="auto" w:fill="FFFFFF"/>
        </w:rPr>
        <w:t> (pp. 465-570). Cambridge University Press.</w:t>
      </w:r>
    </w:p>
    <w:p w14:paraId="2F5A89A5"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Cui, J., Zhang, X., Reis, S., Wang, C., Wang, S., He, P., ... &amp; Gu, B. (2023). Nitrogen cycles in global croplands altered by elevated CO2. </w:t>
      </w:r>
      <w:r w:rsidRPr="00BC192E">
        <w:rPr>
          <w:rFonts w:ascii="Times New Roman" w:hAnsi="Times New Roman" w:cs="Times New Roman"/>
          <w:i/>
          <w:iCs/>
          <w:color w:val="222222"/>
          <w:sz w:val="24"/>
          <w:szCs w:val="24"/>
          <w:shd w:val="clear" w:color="auto" w:fill="FFFFFF"/>
        </w:rPr>
        <w:t>Nature Sustainability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6</w:t>
      </w:r>
      <w:r w:rsidRPr="00BC192E">
        <w:rPr>
          <w:rFonts w:ascii="Times New Roman" w:hAnsi="Times New Roman" w:cs="Times New Roman"/>
          <w:color w:val="222222"/>
          <w:sz w:val="24"/>
          <w:szCs w:val="24"/>
          <w:shd w:val="clear" w:color="auto" w:fill="FFFFFF"/>
        </w:rPr>
        <w:t>(10), 1166-1176.</w:t>
      </w:r>
    </w:p>
    <w:p w14:paraId="3F5F5389"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Deb, P., Mandal, A., Harendra, Choudhury, S. R., Das, A., Hazra, S., ... &amp; </w:t>
      </w:r>
      <w:proofErr w:type="spellStart"/>
      <w:r w:rsidRPr="00BC192E">
        <w:rPr>
          <w:rFonts w:ascii="Times New Roman" w:hAnsi="Times New Roman" w:cs="Times New Roman"/>
          <w:color w:val="222222"/>
          <w:sz w:val="24"/>
          <w:szCs w:val="24"/>
          <w:shd w:val="clear" w:color="auto" w:fill="FFFFFF"/>
        </w:rPr>
        <w:t>Moulick</w:t>
      </w:r>
      <w:proofErr w:type="spellEnd"/>
      <w:r w:rsidRPr="00BC192E">
        <w:rPr>
          <w:rFonts w:ascii="Times New Roman" w:hAnsi="Times New Roman" w:cs="Times New Roman"/>
          <w:color w:val="222222"/>
          <w:sz w:val="24"/>
          <w:szCs w:val="24"/>
          <w:shd w:val="clear" w:color="auto" w:fill="FFFFFF"/>
        </w:rPr>
        <w:t>, D. (2023). Improving plant nutrient use efficiency for climate-resilient agriculture. In </w:t>
      </w:r>
      <w:r w:rsidRPr="00BC192E">
        <w:rPr>
          <w:rFonts w:ascii="Times New Roman" w:hAnsi="Times New Roman" w:cs="Times New Roman"/>
          <w:i/>
          <w:iCs/>
          <w:color w:val="222222"/>
          <w:sz w:val="24"/>
          <w:szCs w:val="24"/>
          <w:shd w:val="clear" w:color="auto" w:fill="FFFFFF"/>
        </w:rPr>
        <w:t xml:space="preserve">Climate-resilient agriculture, vol 2: </w:t>
      </w:r>
      <w:proofErr w:type="spellStart"/>
      <w:r w:rsidRPr="00BC192E">
        <w:rPr>
          <w:rFonts w:ascii="Times New Roman" w:hAnsi="Times New Roman" w:cs="Times New Roman"/>
          <w:i/>
          <w:iCs/>
          <w:color w:val="222222"/>
          <w:sz w:val="24"/>
          <w:szCs w:val="24"/>
          <w:shd w:val="clear" w:color="auto" w:fill="FFFFFF"/>
        </w:rPr>
        <w:t>Agro</w:t>
      </w:r>
      <w:proofErr w:type="spellEnd"/>
      <w:r w:rsidRPr="00BC192E">
        <w:rPr>
          <w:rFonts w:ascii="Times New Roman" w:hAnsi="Times New Roman" w:cs="Times New Roman"/>
          <w:i/>
          <w:iCs/>
          <w:color w:val="222222"/>
          <w:sz w:val="24"/>
          <w:szCs w:val="24"/>
          <w:shd w:val="clear" w:color="auto" w:fill="FFFFFF"/>
        </w:rPr>
        <w:t>-biotechnological advancement for crop production</w:t>
      </w:r>
      <w:r w:rsidRPr="00BC192E">
        <w:rPr>
          <w:rFonts w:ascii="Times New Roman" w:hAnsi="Times New Roman" w:cs="Times New Roman"/>
          <w:color w:val="222222"/>
          <w:sz w:val="24"/>
          <w:szCs w:val="24"/>
          <w:shd w:val="clear" w:color="auto" w:fill="FFFFFF"/>
        </w:rPr>
        <w:t> (pp. 209-243). Cham: Springer International Publishing.</w:t>
      </w:r>
    </w:p>
    <w:p w14:paraId="47148B61" w14:textId="77777777" w:rsidR="00BC192E" w:rsidRPr="00BC192E" w:rsidRDefault="00BC192E" w:rsidP="00B540CE">
      <w:pPr>
        <w:spacing w:line="360" w:lineRule="auto"/>
        <w:jc w:val="both"/>
        <w:rPr>
          <w:rFonts w:ascii="Times New Roman" w:hAnsi="Times New Roman" w:cs="Times New Roman"/>
          <w:sz w:val="24"/>
          <w:szCs w:val="24"/>
        </w:rPr>
      </w:pPr>
      <w:proofErr w:type="spellStart"/>
      <w:r w:rsidRPr="00BC192E">
        <w:rPr>
          <w:rFonts w:ascii="Times New Roman" w:hAnsi="Times New Roman" w:cs="Times New Roman"/>
          <w:color w:val="222222"/>
          <w:sz w:val="24"/>
          <w:szCs w:val="24"/>
          <w:shd w:val="clear" w:color="auto" w:fill="FFFFFF"/>
        </w:rPr>
        <w:lastRenderedPageBreak/>
        <w:t>Ekele</w:t>
      </w:r>
      <w:proofErr w:type="spellEnd"/>
      <w:r w:rsidRPr="00BC192E">
        <w:rPr>
          <w:rFonts w:ascii="Times New Roman" w:hAnsi="Times New Roman" w:cs="Times New Roman"/>
          <w:color w:val="222222"/>
          <w:sz w:val="24"/>
          <w:szCs w:val="24"/>
          <w:shd w:val="clear" w:color="auto" w:fill="FFFFFF"/>
        </w:rPr>
        <w:t>, J. U., Webster, R., Perez de Heredia, F., Lane, K. E., Fadel, A., &amp; Symonds, R. C. (2025). Current impacts of elevated CO2 on crop nutritional quality: a review using wheat as a case study. </w:t>
      </w:r>
      <w:r w:rsidRPr="00BC192E">
        <w:rPr>
          <w:rFonts w:ascii="Times New Roman" w:hAnsi="Times New Roman" w:cs="Times New Roman"/>
          <w:i/>
          <w:iCs/>
          <w:color w:val="222222"/>
          <w:sz w:val="24"/>
          <w:szCs w:val="24"/>
          <w:shd w:val="clear" w:color="auto" w:fill="FFFFFF"/>
        </w:rPr>
        <w:t>Stress Biology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5</w:t>
      </w:r>
      <w:r w:rsidRPr="00BC192E">
        <w:rPr>
          <w:rFonts w:ascii="Times New Roman" w:hAnsi="Times New Roman" w:cs="Times New Roman"/>
          <w:color w:val="222222"/>
          <w:sz w:val="24"/>
          <w:szCs w:val="24"/>
          <w:shd w:val="clear" w:color="auto" w:fill="FFFFFF"/>
        </w:rPr>
        <w:t>(1), 34.</w:t>
      </w:r>
    </w:p>
    <w:p w14:paraId="7A33F58E"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Erickson, J. D. (1993). CARBON DIOXIDE EFFECTS on PLANTS. </w:t>
      </w:r>
      <w:r w:rsidRPr="00BC192E">
        <w:rPr>
          <w:rFonts w:ascii="Times New Roman" w:hAnsi="Times New Roman" w:cs="Times New Roman"/>
          <w:i/>
          <w:iCs/>
          <w:color w:val="222222"/>
          <w:sz w:val="24"/>
          <w:szCs w:val="24"/>
          <w:shd w:val="clear" w:color="auto" w:fill="FFFFFF"/>
        </w:rPr>
        <w:t>Agricultural Dimensions of Global Climate Change</w:t>
      </w:r>
      <w:r w:rsidRPr="00BC192E">
        <w:rPr>
          <w:rFonts w:ascii="Times New Roman" w:hAnsi="Times New Roman" w:cs="Times New Roman"/>
          <w:color w:val="222222"/>
          <w:sz w:val="24"/>
          <w:szCs w:val="24"/>
          <w:shd w:val="clear" w:color="auto" w:fill="FFFFFF"/>
        </w:rPr>
        <w:t>, 153.</w:t>
      </w:r>
    </w:p>
    <w:p w14:paraId="36604950"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Fitch, A. A., Goldsmith, S. B., </w:t>
      </w:r>
      <w:proofErr w:type="spellStart"/>
      <w:r w:rsidRPr="00BC192E">
        <w:rPr>
          <w:rFonts w:ascii="Times New Roman" w:hAnsi="Times New Roman" w:cs="Times New Roman"/>
          <w:color w:val="222222"/>
          <w:sz w:val="24"/>
          <w:szCs w:val="24"/>
          <w:shd w:val="clear" w:color="auto" w:fill="FFFFFF"/>
        </w:rPr>
        <w:t>Lankau</w:t>
      </w:r>
      <w:proofErr w:type="spellEnd"/>
      <w:r w:rsidRPr="00BC192E">
        <w:rPr>
          <w:rFonts w:ascii="Times New Roman" w:hAnsi="Times New Roman" w:cs="Times New Roman"/>
          <w:color w:val="222222"/>
          <w:sz w:val="24"/>
          <w:szCs w:val="24"/>
          <w:shd w:val="clear" w:color="auto" w:fill="FFFFFF"/>
        </w:rPr>
        <w:t xml:space="preserve">, R. A., Wurzburger, N., Shortt, Z. D., </w:t>
      </w:r>
      <w:proofErr w:type="spellStart"/>
      <w:r w:rsidRPr="00BC192E">
        <w:rPr>
          <w:rFonts w:ascii="Times New Roman" w:hAnsi="Times New Roman" w:cs="Times New Roman"/>
          <w:color w:val="222222"/>
          <w:sz w:val="24"/>
          <w:szCs w:val="24"/>
          <w:shd w:val="clear" w:color="auto" w:fill="FFFFFF"/>
        </w:rPr>
        <w:t>Vrattos</w:t>
      </w:r>
      <w:proofErr w:type="spellEnd"/>
      <w:r w:rsidRPr="00BC192E">
        <w:rPr>
          <w:rFonts w:ascii="Times New Roman" w:hAnsi="Times New Roman" w:cs="Times New Roman"/>
          <w:color w:val="222222"/>
          <w:sz w:val="24"/>
          <w:szCs w:val="24"/>
          <w:shd w:val="clear" w:color="auto" w:fill="FFFFFF"/>
        </w:rPr>
        <w:t>, A., ... &amp; Hicks Pries, C. E. (2024). Mycorrhizal associations of temperate forest seedlings mediate rhizodeposition, but not soil carbon storage, under elevated nitrogen availability. </w:t>
      </w:r>
      <w:r w:rsidRPr="00BC192E">
        <w:rPr>
          <w:rFonts w:ascii="Times New Roman" w:hAnsi="Times New Roman" w:cs="Times New Roman"/>
          <w:i/>
          <w:iCs/>
          <w:color w:val="222222"/>
          <w:sz w:val="24"/>
          <w:szCs w:val="24"/>
          <w:shd w:val="clear" w:color="auto" w:fill="FFFFFF"/>
        </w:rPr>
        <w:t>Global Change Biology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30</w:t>
      </w:r>
      <w:r w:rsidRPr="00BC192E">
        <w:rPr>
          <w:rFonts w:ascii="Times New Roman" w:hAnsi="Times New Roman" w:cs="Times New Roman"/>
          <w:color w:val="222222"/>
          <w:sz w:val="24"/>
          <w:szCs w:val="24"/>
          <w:shd w:val="clear" w:color="auto" w:fill="FFFFFF"/>
        </w:rPr>
        <w:t>(8), e17446.</w:t>
      </w:r>
    </w:p>
    <w:p w14:paraId="26E95E4D"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Goswami, M., &amp; Deka, S. (2022). </w:t>
      </w:r>
      <w:proofErr w:type="spellStart"/>
      <w:r w:rsidRPr="00BC192E">
        <w:rPr>
          <w:rFonts w:ascii="Times New Roman" w:hAnsi="Times New Roman" w:cs="Times New Roman"/>
          <w:color w:val="222222"/>
          <w:sz w:val="24"/>
          <w:szCs w:val="24"/>
          <w:shd w:val="clear" w:color="auto" w:fill="FFFFFF"/>
        </w:rPr>
        <w:t>Rhizodeposits</w:t>
      </w:r>
      <w:proofErr w:type="spellEnd"/>
      <w:r w:rsidRPr="00BC192E">
        <w:rPr>
          <w:rFonts w:ascii="Times New Roman" w:hAnsi="Times New Roman" w:cs="Times New Roman"/>
          <w:color w:val="222222"/>
          <w:sz w:val="24"/>
          <w:szCs w:val="24"/>
          <w:shd w:val="clear" w:color="auto" w:fill="FFFFFF"/>
        </w:rPr>
        <w:t>: an essential component for microbial interactions in rhizosphere. In </w:t>
      </w:r>
      <w:r w:rsidRPr="00BC192E">
        <w:rPr>
          <w:rFonts w:ascii="Times New Roman" w:hAnsi="Times New Roman" w:cs="Times New Roman"/>
          <w:i/>
          <w:iCs/>
          <w:color w:val="222222"/>
          <w:sz w:val="24"/>
          <w:szCs w:val="24"/>
          <w:shd w:val="clear" w:color="auto" w:fill="FFFFFF"/>
        </w:rPr>
        <w:t>Re-visiting the rhizosphere eco-system for agricultural sustainability</w:t>
      </w:r>
      <w:r w:rsidRPr="00BC192E">
        <w:rPr>
          <w:rFonts w:ascii="Times New Roman" w:hAnsi="Times New Roman" w:cs="Times New Roman"/>
          <w:color w:val="222222"/>
          <w:sz w:val="24"/>
          <w:szCs w:val="24"/>
          <w:shd w:val="clear" w:color="auto" w:fill="FFFFFF"/>
        </w:rPr>
        <w:t> (pp. 129-151). Singapore: Springer Nature Singapore.</w:t>
      </w:r>
    </w:p>
    <w:p w14:paraId="61D37A73"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Harrison-Kirk, T., Beare, M. H., </w:t>
      </w:r>
      <w:proofErr w:type="spellStart"/>
      <w:r w:rsidRPr="00BC192E">
        <w:rPr>
          <w:rFonts w:ascii="Times New Roman" w:hAnsi="Times New Roman" w:cs="Times New Roman"/>
          <w:color w:val="222222"/>
          <w:sz w:val="24"/>
          <w:szCs w:val="24"/>
          <w:shd w:val="clear" w:color="auto" w:fill="FFFFFF"/>
        </w:rPr>
        <w:t>Meenken</w:t>
      </w:r>
      <w:proofErr w:type="spellEnd"/>
      <w:r w:rsidRPr="00BC192E">
        <w:rPr>
          <w:rFonts w:ascii="Times New Roman" w:hAnsi="Times New Roman" w:cs="Times New Roman"/>
          <w:color w:val="222222"/>
          <w:sz w:val="24"/>
          <w:szCs w:val="24"/>
          <w:shd w:val="clear" w:color="auto" w:fill="FFFFFF"/>
        </w:rPr>
        <w:t xml:space="preserve">, E. D., &amp; Condron, L. M. (2014). Soil organic matter and texture affect responses to dry/wet cycles: Changes in soil organic matter fractions and relationships with C and N </w:t>
      </w:r>
      <w:proofErr w:type="spellStart"/>
      <w:r w:rsidRPr="00BC192E">
        <w:rPr>
          <w:rFonts w:ascii="Times New Roman" w:hAnsi="Times New Roman" w:cs="Times New Roman"/>
          <w:color w:val="222222"/>
          <w:sz w:val="24"/>
          <w:szCs w:val="24"/>
          <w:shd w:val="clear" w:color="auto" w:fill="FFFFFF"/>
        </w:rPr>
        <w:t>mineralisation</w:t>
      </w:r>
      <w:proofErr w:type="spellEnd"/>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Soil Biology and Biochemistry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74</w:t>
      </w:r>
      <w:r w:rsidRPr="00BC192E">
        <w:rPr>
          <w:rFonts w:ascii="Times New Roman" w:hAnsi="Times New Roman" w:cs="Times New Roman"/>
          <w:color w:val="222222"/>
          <w:sz w:val="24"/>
          <w:szCs w:val="24"/>
          <w:shd w:val="clear" w:color="auto" w:fill="FFFFFF"/>
        </w:rPr>
        <w:t>, 50-60.</w:t>
      </w:r>
    </w:p>
    <w:p w14:paraId="090D7CC0"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Hassan, M. U., Aamer, M., Mahmood, A., Awan, M. I., </w:t>
      </w:r>
      <w:proofErr w:type="spellStart"/>
      <w:r w:rsidRPr="00BC192E">
        <w:rPr>
          <w:rFonts w:ascii="Times New Roman" w:hAnsi="Times New Roman" w:cs="Times New Roman"/>
          <w:color w:val="222222"/>
          <w:sz w:val="24"/>
          <w:szCs w:val="24"/>
          <w:shd w:val="clear" w:color="auto" w:fill="FFFFFF"/>
        </w:rPr>
        <w:t>Barbanti</w:t>
      </w:r>
      <w:proofErr w:type="spellEnd"/>
      <w:r w:rsidRPr="00BC192E">
        <w:rPr>
          <w:rFonts w:ascii="Times New Roman" w:hAnsi="Times New Roman" w:cs="Times New Roman"/>
          <w:color w:val="222222"/>
          <w:sz w:val="24"/>
          <w:szCs w:val="24"/>
          <w:shd w:val="clear" w:color="auto" w:fill="FFFFFF"/>
        </w:rPr>
        <w:t xml:space="preserve">, L., </w:t>
      </w:r>
      <w:proofErr w:type="spellStart"/>
      <w:r w:rsidRPr="00BC192E">
        <w:rPr>
          <w:rFonts w:ascii="Times New Roman" w:hAnsi="Times New Roman" w:cs="Times New Roman"/>
          <w:color w:val="222222"/>
          <w:sz w:val="24"/>
          <w:szCs w:val="24"/>
          <w:shd w:val="clear" w:color="auto" w:fill="FFFFFF"/>
        </w:rPr>
        <w:t>Seleiman</w:t>
      </w:r>
      <w:proofErr w:type="spellEnd"/>
      <w:r w:rsidRPr="00BC192E">
        <w:rPr>
          <w:rFonts w:ascii="Times New Roman" w:hAnsi="Times New Roman" w:cs="Times New Roman"/>
          <w:color w:val="222222"/>
          <w:sz w:val="24"/>
          <w:szCs w:val="24"/>
          <w:shd w:val="clear" w:color="auto" w:fill="FFFFFF"/>
        </w:rPr>
        <w:t>, M. F., ... &amp; Huang, G. (2022). Management strategies to mitigate N2O emissions in agriculture. </w:t>
      </w:r>
      <w:r w:rsidRPr="00BC192E">
        <w:rPr>
          <w:rFonts w:ascii="Times New Roman" w:hAnsi="Times New Roman" w:cs="Times New Roman"/>
          <w:i/>
          <w:iCs/>
          <w:color w:val="222222"/>
          <w:sz w:val="24"/>
          <w:szCs w:val="24"/>
          <w:shd w:val="clear" w:color="auto" w:fill="FFFFFF"/>
        </w:rPr>
        <w:t>Life</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12</w:t>
      </w:r>
      <w:r w:rsidRPr="00BC192E">
        <w:rPr>
          <w:rFonts w:ascii="Times New Roman" w:hAnsi="Times New Roman" w:cs="Times New Roman"/>
          <w:color w:val="222222"/>
          <w:sz w:val="24"/>
          <w:szCs w:val="24"/>
          <w:shd w:val="clear" w:color="auto" w:fill="FFFFFF"/>
        </w:rPr>
        <w:t>(3), 439.</w:t>
      </w:r>
    </w:p>
    <w:p w14:paraId="65778599"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Jain, A., Yang, X., Kheshgi, H., McGuire, A. D., Post, W., &amp; Kicklighter, D. (2009). Nitrogen attenuation of terrestrial carbon cycle response to global environmental factors. </w:t>
      </w:r>
      <w:r w:rsidRPr="00BC192E">
        <w:rPr>
          <w:rFonts w:ascii="Times New Roman" w:hAnsi="Times New Roman" w:cs="Times New Roman"/>
          <w:i/>
          <w:iCs/>
          <w:color w:val="222222"/>
          <w:sz w:val="24"/>
          <w:szCs w:val="24"/>
          <w:shd w:val="clear" w:color="auto" w:fill="FFFFFF"/>
        </w:rPr>
        <w:t>Global Biogeochemical Cycles</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23</w:t>
      </w:r>
      <w:r w:rsidRPr="00BC192E">
        <w:rPr>
          <w:rFonts w:ascii="Times New Roman" w:hAnsi="Times New Roman" w:cs="Times New Roman"/>
          <w:color w:val="222222"/>
          <w:sz w:val="24"/>
          <w:szCs w:val="24"/>
          <w:shd w:val="clear" w:color="auto" w:fill="FFFFFF"/>
        </w:rPr>
        <w:t>(4).</w:t>
      </w:r>
    </w:p>
    <w:p w14:paraId="354D3319" w14:textId="77777777" w:rsidR="00BC192E" w:rsidRPr="00BC192E" w:rsidRDefault="00BC192E" w:rsidP="00B540CE">
      <w:pPr>
        <w:spacing w:line="360" w:lineRule="auto"/>
        <w:jc w:val="both"/>
        <w:rPr>
          <w:rFonts w:ascii="Times New Roman" w:hAnsi="Times New Roman" w:cs="Times New Roman"/>
          <w:sz w:val="24"/>
          <w:szCs w:val="24"/>
        </w:rPr>
      </w:pPr>
      <w:proofErr w:type="spellStart"/>
      <w:r w:rsidRPr="00BC192E">
        <w:rPr>
          <w:rFonts w:ascii="Times New Roman" w:hAnsi="Times New Roman" w:cs="Times New Roman"/>
          <w:color w:val="222222"/>
          <w:sz w:val="24"/>
          <w:szCs w:val="24"/>
          <w:shd w:val="clear" w:color="auto" w:fill="FFFFFF"/>
        </w:rPr>
        <w:t>Kahiluoto</w:t>
      </w:r>
      <w:proofErr w:type="spellEnd"/>
      <w:r w:rsidRPr="00BC192E">
        <w:rPr>
          <w:rFonts w:ascii="Times New Roman" w:hAnsi="Times New Roman" w:cs="Times New Roman"/>
          <w:color w:val="222222"/>
          <w:sz w:val="24"/>
          <w:szCs w:val="24"/>
          <w:shd w:val="clear" w:color="auto" w:fill="FFFFFF"/>
        </w:rPr>
        <w:t xml:space="preserve">, H., </w:t>
      </w:r>
      <w:proofErr w:type="spellStart"/>
      <w:r w:rsidRPr="00BC192E">
        <w:rPr>
          <w:rFonts w:ascii="Times New Roman" w:hAnsi="Times New Roman" w:cs="Times New Roman"/>
          <w:color w:val="222222"/>
          <w:sz w:val="24"/>
          <w:szCs w:val="24"/>
          <w:shd w:val="clear" w:color="auto" w:fill="FFFFFF"/>
        </w:rPr>
        <w:t>Kaseva</w:t>
      </w:r>
      <w:proofErr w:type="spellEnd"/>
      <w:r w:rsidRPr="00BC192E">
        <w:rPr>
          <w:rFonts w:ascii="Times New Roman" w:hAnsi="Times New Roman" w:cs="Times New Roman"/>
          <w:color w:val="222222"/>
          <w:sz w:val="24"/>
          <w:szCs w:val="24"/>
          <w:shd w:val="clear" w:color="auto" w:fill="FFFFFF"/>
        </w:rPr>
        <w:t xml:space="preserve">, J., Hakala, K., Himanen, S. J., Jauhiainen, L., </w:t>
      </w:r>
      <w:proofErr w:type="spellStart"/>
      <w:r w:rsidRPr="00BC192E">
        <w:rPr>
          <w:rFonts w:ascii="Times New Roman" w:hAnsi="Times New Roman" w:cs="Times New Roman"/>
          <w:color w:val="222222"/>
          <w:sz w:val="24"/>
          <w:szCs w:val="24"/>
          <w:shd w:val="clear" w:color="auto" w:fill="FFFFFF"/>
        </w:rPr>
        <w:t>Rötter</w:t>
      </w:r>
      <w:proofErr w:type="spellEnd"/>
      <w:r w:rsidRPr="00BC192E">
        <w:rPr>
          <w:rFonts w:ascii="Times New Roman" w:hAnsi="Times New Roman" w:cs="Times New Roman"/>
          <w:color w:val="222222"/>
          <w:sz w:val="24"/>
          <w:szCs w:val="24"/>
          <w:shd w:val="clear" w:color="auto" w:fill="FFFFFF"/>
        </w:rPr>
        <w:t>, R. P., ... &amp; Trnka, M. (2014). Cultivating resilience by empirically revealing response diversity. </w:t>
      </w:r>
      <w:r w:rsidRPr="00BC192E">
        <w:rPr>
          <w:rFonts w:ascii="Times New Roman" w:hAnsi="Times New Roman" w:cs="Times New Roman"/>
          <w:i/>
          <w:iCs/>
          <w:color w:val="222222"/>
          <w:sz w:val="24"/>
          <w:szCs w:val="24"/>
          <w:shd w:val="clear" w:color="auto" w:fill="FFFFFF"/>
        </w:rPr>
        <w:t>Global Environmental Change</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25</w:t>
      </w:r>
      <w:r w:rsidRPr="00BC192E">
        <w:rPr>
          <w:rFonts w:ascii="Times New Roman" w:hAnsi="Times New Roman" w:cs="Times New Roman"/>
          <w:color w:val="222222"/>
          <w:sz w:val="24"/>
          <w:szCs w:val="24"/>
          <w:shd w:val="clear" w:color="auto" w:fill="FFFFFF"/>
        </w:rPr>
        <w:t>, 186-193.</w:t>
      </w:r>
    </w:p>
    <w:p w14:paraId="6DAE0ADD"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Kant, S., </w:t>
      </w:r>
      <w:proofErr w:type="spellStart"/>
      <w:r w:rsidRPr="00BC192E">
        <w:rPr>
          <w:rFonts w:ascii="Times New Roman" w:hAnsi="Times New Roman" w:cs="Times New Roman"/>
          <w:color w:val="222222"/>
          <w:sz w:val="24"/>
          <w:szCs w:val="24"/>
          <w:shd w:val="clear" w:color="auto" w:fill="FFFFFF"/>
        </w:rPr>
        <w:t>Seneweera</w:t>
      </w:r>
      <w:proofErr w:type="spellEnd"/>
      <w:r w:rsidRPr="00BC192E">
        <w:rPr>
          <w:rFonts w:ascii="Times New Roman" w:hAnsi="Times New Roman" w:cs="Times New Roman"/>
          <w:color w:val="222222"/>
          <w:sz w:val="24"/>
          <w:szCs w:val="24"/>
          <w:shd w:val="clear" w:color="auto" w:fill="FFFFFF"/>
        </w:rPr>
        <w:t>, S., Rodin, J., Materne, M., Burch, D., Rothstein, S. J., &amp; Spangenberg, G. (2012). Improving yield potential in crops under elevated CO2: integrating the photosynthetic and nitrogen utilization efficiencies. </w:t>
      </w:r>
      <w:r w:rsidRPr="00BC192E">
        <w:rPr>
          <w:rFonts w:ascii="Times New Roman" w:hAnsi="Times New Roman" w:cs="Times New Roman"/>
          <w:i/>
          <w:iCs/>
          <w:color w:val="222222"/>
          <w:sz w:val="24"/>
          <w:szCs w:val="24"/>
          <w:shd w:val="clear" w:color="auto" w:fill="FFFFFF"/>
        </w:rPr>
        <w:t>Frontiers in Plant Science</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3</w:t>
      </w:r>
      <w:r w:rsidRPr="00BC192E">
        <w:rPr>
          <w:rFonts w:ascii="Times New Roman" w:hAnsi="Times New Roman" w:cs="Times New Roman"/>
          <w:color w:val="222222"/>
          <w:sz w:val="24"/>
          <w:szCs w:val="24"/>
          <w:shd w:val="clear" w:color="auto" w:fill="FFFFFF"/>
        </w:rPr>
        <w:t>, 162.</w:t>
      </w:r>
    </w:p>
    <w:p w14:paraId="48E3B6BF" w14:textId="77777777" w:rsidR="00BC192E" w:rsidRPr="00BC192E" w:rsidRDefault="00BC192E" w:rsidP="00B540CE">
      <w:pPr>
        <w:pStyle w:val="NormalWeb"/>
        <w:jc w:val="both"/>
        <w:rPr>
          <w:color w:val="222222"/>
          <w:shd w:val="clear" w:color="auto" w:fill="FFFFFF"/>
        </w:rPr>
      </w:pPr>
      <w:r w:rsidRPr="00BC192E">
        <w:rPr>
          <w:color w:val="222222"/>
          <w:shd w:val="clear" w:color="auto" w:fill="FFFFFF"/>
        </w:rPr>
        <w:lastRenderedPageBreak/>
        <w:t>Li, Y., Zhang, Q., Cai, Y., Yang, Q., &amp; Chang, S. X. (2020). Minimum tillage and residue retention increase soil microbial population size and diversity: Implications for conservation tillage. </w:t>
      </w:r>
      <w:r w:rsidRPr="00BC192E">
        <w:rPr>
          <w:i/>
          <w:iCs/>
          <w:color w:val="222222"/>
          <w:shd w:val="clear" w:color="auto" w:fill="FFFFFF"/>
        </w:rPr>
        <w:t>Science of the Total Environment</w:t>
      </w:r>
      <w:r w:rsidRPr="00BC192E">
        <w:rPr>
          <w:color w:val="222222"/>
          <w:shd w:val="clear" w:color="auto" w:fill="FFFFFF"/>
        </w:rPr>
        <w:t>, </w:t>
      </w:r>
      <w:r w:rsidRPr="00BC192E">
        <w:rPr>
          <w:i/>
          <w:iCs/>
          <w:color w:val="222222"/>
          <w:shd w:val="clear" w:color="auto" w:fill="FFFFFF"/>
        </w:rPr>
        <w:t>716</w:t>
      </w:r>
      <w:r w:rsidRPr="00BC192E">
        <w:rPr>
          <w:color w:val="222222"/>
          <w:shd w:val="clear" w:color="auto" w:fill="FFFFFF"/>
        </w:rPr>
        <w:t>, 137164.</w:t>
      </w:r>
    </w:p>
    <w:p w14:paraId="62E69DF8" w14:textId="77777777" w:rsidR="00BC192E" w:rsidRPr="00BC192E" w:rsidRDefault="00BC192E" w:rsidP="0032369D">
      <w:pPr>
        <w:spacing w:line="360" w:lineRule="auto"/>
        <w:jc w:val="both"/>
        <w:rPr>
          <w:rFonts w:ascii="Times New Roman" w:hAnsi="Times New Roman" w:cs="Times New Roman"/>
          <w:color w:val="222222"/>
          <w:sz w:val="24"/>
          <w:szCs w:val="24"/>
          <w:shd w:val="clear" w:color="auto" w:fill="FFFFFF"/>
        </w:rPr>
      </w:pPr>
      <w:r w:rsidRPr="00BC192E">
        <w:rPr>
          <w:rFonts w:ascii="Times New Roman" w:hAnsi="Times New Roman" w:cs="Times New Roman"/>
          <w:color w:val="222222"/>
          <w:sz w:val="24"/>
          <w:szCs w:val="24"/>
          <w:shd w:val="clear" w:color="auto" w:fill="FFFFFF"/>
        </w:rPr>
        <w:t xml:space="preserve">Lobell, D. B., &amp; </w:t>
      </w:r>
      <w:proofErr w:type="spellStart"/>
      <w:r w:rsidRPr="00BC192E">
        <w:rPr>
          <w:rFonts w:ascii="Times New Roman" w:hAnsi="Times New Roman" w:cs="Times New Roman"/>
          <w:color w:val="222222"/>
          <w:sz w:val="24"/>
          <w:szCs w:val="24"/>
          <w:shd w:val="clear" w:color="auto" w:fill="FFFFFF"/>
        </w:rPr>
        <w:t>Gourdji</w:t>
      </w:r>
      <w:proofErr w:type="spellEnd"/>
      <w:r w:rsidRPr="00BC192E">
        <w:rPr>
          <w:rFonts w:ascii="Times New Roman" w:hAnsi="Times New Roman" w:cs="Times New Roman"/>
          <w:color w:val="222222"/>
          <w:sz w:val="24"/>
          <w:szCs w:val="24"/>
          <w:shd w:val="clear" w:color="auto" w:fill="FFFFFF"/>
        </w:rPr>
        <w:t>, S. M. (2012). The influence of climate change on global crop productivity. </w:t>
      </w:r>
      <w:r w:rsidRPr="00BC192E">
        <w:rPr>
          <w:rFonts w:ascii="Times New Roman" w:hAnsi="Times New Roman" w:cs="Times New Roman"/>
          <w:i/>
          <w:iCs/>
          <w:color w:val="222222"/>
          <w:sz w:val="24"/>
          <w:szCs w:val="24"/>
          <w:shd w:val="clear" w:color="auto" w:fill="FFFFFF"/>
        </w:rPr>
        <w:t>Plant physiology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160</w:t>
      </w:r>
      <w:r w:rsidRPr="00BC192E">
        <w:rPr>
          <w:rFonts w:ascii="Times New Roman" w:hAnsi="Times New Roman" w:cs="Times New Roman"/>
          <w:color w:val="222222"/>
          <w:sz w:val="24"/>
          <w:szCs w:val="24"/>
          <w:shd w:val="clear" w:color="auto" w:fill="FFFFFF"/>
        </w:rPr>
        <w:t>(4), 1686-1697.</w:t>
      </w:r>
    </w:p>
    <w:p w14:paraId="4447121A"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Luo, Y. (2007). Terrestrial carbon–cycle feedback to climate warming. </w:t>
      </w:r>
      <w:r w:rsidRPr="00BC192E">
        <w:rPr>
          <w:rFonts w:ascii="Times New Roman" w:hAnsi="Times New Roman" w:cs="Times New Roman"/>
          <w:i/>
          <w:iCs/>
          <w:color w:val="222222"/>
          <w:sz w:val="24"/>
          <w:szCs w:val="24"/>
          <w:shd w:val="clear" w:color="auto" w:fill="FFFFFF"/>
        </w:rPr>
        <w:t>Annu. Rev. Ecol. Evol. Syst.</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38</w:t>
      </w:r>
      <w:r w:rsidRPr="00BC192E">
        <w:rPr>
          <w:rFonts w:ascii="Times New Roman" w:hAnsi="Times New Roman" w:cs="Times New Roman"/>
          <w:color w:val="222222"/>
          <w:sz w:val="24"/>
          <w:szCs w:val="24"/>
          <w:shd w:val="clear" w:color="auto" w:fill="FFFFFF"/>
        </w:rPr>
        <w:t>(1), 683-712.</w:t>
      </w:r>
    </w:p>
    <w:p w14:paraId="758E5592" w14:textId="77777777" w:rsidR="00BC192E" w:rsidRPr="00BC192E" w:rsidRDefault="00BC192E" w:rsidP="00B540CE">
      <w:pPr>
        <w:spacing w:line="360" w:lineRule="auto"/>
        <w:jc w:val="both"/>
        <w:rPr>
          <w:rFonts w:ascii="Times New Roman" w:hAnsi="Times New Roman" w:cs="Times New Roman"/>
          <w:color w:val="222222"/>
          <w:sz w:val="24"/>
          <w:szCs w:val="24"/>
          <w:shd w:val="clear" w:color="auto" w:fill="FFFFFF"/>
        </w:rPr>
      </w:pPr>
      <w:r w:rsidRPr="00BC192E">
        <w:rPr>
          <w:rFonts w:ascii="Times New Roman" w:hAnsi="Times New Roman" w:cs="Times New Roman"/>
          <w:color w:val="222222"/>
          <w:sz w:val="24"/>
          <w:szCs w:val="24"/>
          <w:shd w:val="clear" w:color="auto" w:fill="FFFFFF"/>
        </w:rPr>
        <w:t>Nag, P., Shriti, S., &amp; Das, S. (2020). Microbiological strategies for enhancing biological nitrogen fixation in nonlegumes. </w:t>
      </w:r>
      <w:r w:rsidRPr="00BC192E">
        <w:rPr>
          <w:rFonts w:ascii="Times New Roman" w:hAnsi="Times New Roman" w:cs="Times New Roman"/>
          <w:i/>
          <w:iCs/>
          <w:color w:val="222222"/>
          <w:sz w:val="24"/>
          <w:szCs w:val="24"/>
          <w:shd w:val="clear" w:color="auto" w:fill="FFFFFF"/>
        </w:rPr>
        <w:t>Journal of Applied Microbiology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129</w:t>
      </w:r>
      <w:r w:rsidRPr="00BC192E">
        <w:rPr>
          <w:rFonts w:ascii="Times New Roman" w:hAnsi="Times New Roman" w:cs="Times New Roman"/>
          <w:color w:val="222222"/>
          <w:sz w:val="24"/>
          <w:szCs w:val="24"/>
          <w:shd w:val="clear" w:color="auto" w:fill="FFFFFF"/>
        </w:rPr>
        <w:t>(2), 186-198.</w:t>
      </w:r>
    </w:p>
    <w:p w14:paraId="7075B1FB"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Nunes-Nesi, A., </w:t>
      </w:r>
      <w:proofErr w:type="spellStart"/>
      <w:r w:rsidRPr="00BC192E">
        <w:rPr>
          <w:rFonts w:ascii="Times New Roman" w:hAnsi="Times New Roman" w:cs="Times New Roman"/>
          <w:color w:val="222222"/>
          <w:sz w:val="24"/>
          <w:szCs w:val="24"/>
          <w:shd w:val="clear" w:color="auto" w:fill="FFFFFF"/>
        </w:rPr>
        <w:t>Fernie</w:t>
      </w:r>
      <w:proofErr w:type="spellEnd"/>
      <w:r w:rsidRPr="00BC192E">
        <w:rPr>
          <w:rFonts w:ascii="Times New Roman" w:hAnsi="Times New Roman" w:cs="Times New Roman"/>
          <w:color w:val="222222"/>
          <w:sz w:val="24"/>
          <w:szCs w:val="24"/>
          <w:shd w:val="clear" w:color="auto" w:fill="FFFFFF"/>
        </w:rPr>
        <w:t>, A. R., &amp; Stitt, M. (2010). Metabolic and signaling aspects underpinning the regulation of plant carbon nitrogen interactions. </w:t>
      </w:r>
      <w:r w:rsidRPr="00BC192E">
        <w:rPr>
          <w:rFonts w:ascii="Times New Roman" w:hAnsi="Times New Roman" w:cs="Times New Roman"/>
          <w:i/>
          <w:iCs/>
          <w:color w:val="222222"/>
          <w:sz w:val="24"/>
          <w:szCs w:val="24"/>
          <w:shd w:val="clear" w:color="auto" w:fill="FFFFFF"/>
        </w:rPr>
        <w:t>Molecular plant</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3</w:t>
      </w:r>
      <w:r w:rsidRPr="00BC192E">
        <w:rPr>
          <w:rFonts w:ascii="Times New Roman" w:hAnsi="Times New Roman" w:cs="Times New Roman"/>
          <w:color w:val="222222"/>
          <w:sz w:val="24"/>
          <w:szCs w:val="24"/>
          <w:shd w:val="clear" w:color="auto" w:fill="FFFFFF"/>
        </w:rPr>
        <w:t>(6), 973-996.</w:t>
      </w:r>
    </w:p>
    <w:p w14:paraId="6E39D268"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Palit, P., </w:t>
      </w:r>
      <w:proofErr w:type="spellStart"/>
      <w:r w:rsidRPr="00BC192E">
        <w:rPr>
          <w:rFonts w:ascii="Times New Roman" w:hAnsi="Times New Roman" w:cs="Times New Roman"/>
          <w:color w:val="222222"/>
          <w:sz w:val="24"/>
          <w:szCs w:val="24"/>
          <w:shd w:val="clear" w:color="auto" w:fill="FFFFFF"/>
        </w:rPr>
        <w:t>Kudapa</w:t>
      </w:r>
      <w:proofErr w:type="spellEnd"/>
      <w:r w:rsidRPr="00BC192E">
        <w:rPr>
          <w:rFonts w:ascii="Times New Roman" w:hAnsi="Times New Roman" w:cs="Times New Roman"/>
          <w:color w:val="222222"/>
          <w:sz w:val="24"/>
          <w:szCs w:val="24"/>
          <w:shd w:val="clear" w:color="auto" w:fill="FFFFFF"/>
        </w:rPr>
        <w:t xml:space="preserve">, H., Zougmore, R., </w:t>
      </w:r>
      <w:proofErr w:type="spellStart"/>
      <w:r w:rsidRPr="00BC192E">
        <w:rPr>
          <w:rFonts w:ascii="Times New Roman" w:hAnsi="Times New Roman" w:cs="Times New Roman"/>
          <w:color w:val="222222"/>
          <w:sz w:val="24"/>
          <w:szCs w:val="24"/>
          <w:shd w:val="clear" w:color="auto" w:fill="FFFFFF"/>
        </w:rPr>
        <w:t>Kholova</w:t>
      </w:r>
      <w:proofErr w:type="spellEnd"/>
      <w:r w:rsidRPr="00BC192E">
        <w:rPr>
          <w:rFonts w:ascii="Times New Roman" w:hAnsi="Times New Roman" w:cs="Times New Roman"/>
          <w:color w:val="222222"/>
          <w:sz w:val="24"/>
          <w:szCs w:val="24"/>
          <w:shd w:val="clear" w:color="auto" w:fill="FFFFFF"/>
        </w:rPr>
        <w:t>, J., Whitbread, A., Sharma, M., &amp; Varshney, R. K. (2020). An integrated research framework combining genomics, systems biology, physiology, modelling and breeding for legume improvement in response to elevated CO2 under climate change scenario. </w:t>
      </w:r>
      <w:r w:rsidRPr="00BC192E">
        <w:rPr>
          <w:rFonts w:ascii="Times New Roman" w:hAnsi="Times New Roman" w:cs="Times New Roman"/>
          <w:i/>
          <w:iCs/>
          <w:color w:val="222222"/>
          <w:sz w:val="24"/>
          <w:szCs w:val="24"/>
          <w:shd w:val="clear" w:color="auto" w:fill="FFFFFF"/>
        </w:rPr>
        <w:t>Current Plant Biology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22</w:t>
      </w:r>
      <w:r w:rsidRPr="00BC192E">
        <w:rPr>
          <w:rFonts w:ascii="Times New Roman" w:hAnsi="Times New Roman" w:cs="Times New Roman"/>
          <w:color w:val="222222"/>
          <w:sz w:val="24"/>
          <w:szCs w:val="24"/>
          <w:shd w:val="clear" w:color="auto" w:fill="FFFFFF"/>
        </w:rPr>
        <w:t>, 100149.</w:t>
      </w:r>
    </w:p>
    <w:p w14:paraId="3B49D319"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Peng, X., Zeng, L., Wang, D., Liu, Z., Li, Y., Li, Z., ... &amp; Hou, Y. (2023). Electrochemical C–N coupling of CO 2 and nitrogenous small molecules for the electrosynthesis of organonitrogen compounds. </w:t>
      </w:r>
      <w:r w:rsidRPr="00BC192E">
        <w:rPr>
          <w:rFonts w:ascii="Times New Roman" w:hAnsi="Times New Roman" w:cs="Times New Roman"/>
          <w:i/>
          <w:iCs/>
          <w:color w:val="222222"/>
          <w:sz w:val="24"/>
          <w:szCs w:val="24"/>
          <w:shd w:val="clear" w:color="auto" w:fill="FFFFFF"/>
        </w:rPr>
        <w:t>Chemical Society Reviews</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52</w:t>
      </w:r>
      <w:r w:rsidRPr="00BC192E">
        <w:rPr>
          <w:rFonts w:ascii="Times New Roman" w:hAnsi="Times New Roman" w:cs="Times New Roman"/>
          <w:color w:val="222222"/>
          <w:sz w:val="24"/>
          <w:szCs w:val="24"/>
          <w:shd w:val="clear" w:color="auto" w:fill="FFFFFF"/>
        </w:rPr>
        <w:t>(6), 2193-2237.</w:t>
      </w:r>
    </w:p>
    <w:p w14:paraId="1A342E8A"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Raines, C. A. (2011). Increasing photosynthetic carbon assimilation in C3 plants to improve crop yield: current and future strategies. </w:t>
      </w:r>
      <w:r w:rsidRPr="00BC192E">
        <w:rPr>
          <w:rFonts w:ascii="Times New Roman" w:hAnsi="Times New Roman" w:cs="Times New Roman"/>
          <w:i/>
          <w:iCs/>
          <w:color w:val="222222"/>
          <w:sz w:val="24"/>
          <w:szCs w:val="24"/>
          <w:shd w:val="clear" w:color="auto" w:fill="FFFFFF"/>
        </w:rPr>
        <w:t>Plant physiology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155</w:t>
      </w:r>
      <w:r w:rsidRPr="00BC192E">
        <w:rPr>
          <w:rFonts w:ascii="Times New Roman" w:hAnsi="Times New Roman" w:cs="Times New Roman"/>
          <w:color w:val="222222"/>
          <w:sz w:val="24"/>
          <w:szCs w:val="24"/>
          <w:shd w:val="clear" w:color="auto" w:fill="FFFFFF"/>
        </w:rPr>
        <w:t>(1), 36-42.</w:t>
      </w:r>
    </w:p>
    <w:p w14:paraId="5EEA3069"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Reich, P. B., &amp; Hobbie, S. E. (2013). Decade-long soil nitrogen constraint on the CO2 fertilization of plant biomass. </w:t>
      </w:r>
      <w:r w:rsidRPr="00BC192E">
        <w:rPr>
          <w:rFonts w:ascii="Times New Roman" w:hAnsi="Times New Roman" w:cs="Times New Roman"/>
          <w:i/>
          <w:iCs/>
          <w:color w:val="222222"/>
          <w:sz w:val="24"/>
          <w:szCs w:val="24"/>
          <w:shd w:val="clear" w:color="auto" w:fill="FFFFFF"/>
        </w:rPr>
        <w:t>Nature Climate Change</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3</w:t>
      </w:r>
      <w:r w:rsidRPr="00BC192E">
        <w:rPr>
          <w:rFonts w:ascii="Times New Roman" w:hAnsi="Times New Roman" w:cs="Times New Roman"/>
          <w:color w:val="222222"/>
          <w:sz w:val="24"/>
          <w:szCs w:val="24"/>
          <w:shd w:val="clear" w:color="auto" w:fill="FFFFFF"/>
        </w:rPr>
        <w:t>(3), 278-282.</w:t>
      </w:r>
    </w:p>
    <w:p w14:paraId="59500289" w14:textId="77777777" w:rsidR="00BC192E" w:rsidRPr="00BC192E" w:rsidRDefault="00BC192E" w:rsidP="0032369D">
      <w:pPr>
        <w:spacing w:line="360" w:lineRule="auto"/>
        <w:jc w:val="both"/>
        <w:rPr>
          <w:rFonts w:ascii="Times New Roman" w:hAnsi="Times New Roman" w:cs="Times New Roman"/>
          <w:color w:val="222222"/>
          <w:sz w:val="24"/>
          <w:szCs w:val="24"/>
          <w:shd w:val="clear" w:color="auto" w:fill="FFFFFF"/>
        </w:rPr>
      </w:pPr>
      <w:r w:rsidRPr="00BC192E">
        <w:rPr>
          <w:rFonts w:ascii="Times New Roman" w:hAnsi="Times New Roman" w:cs="Times New Roman"/>
          <w:color w:val="222222"/>
          <w:sz w:val="24"/>
          <w:szCs w:val="24"/>
          <w:shd w:val="clear" w:color="auto" w:fill="FFFFFF"/>
        </w:rPr>
        <w:t>Reich, P. B., Hobbie, S. E., &amp; Lee, T. D. (2014). Plant growth enhancement by elevated CO2 eliminated by joint water and nitrogen limitation. </w:t>
      </w:r>
      <w:r w:rsidRPr="00BC192E">
        <w:rPr>
          <w:rFonts w:ascii="Times New Roman" w:hAnsi="Times New Roman" w:cs="Times New Roman"/>
          <w:i/>
          <w:iCs/>
          <w:color w:val="222222"/>
          <w:sz w:val="24"/>
          <w:szCs w:val="24"/>
          <w:shd w:val="clear" w:color="auto" w:fill="FFFFFF"/>
        </w:rPr>
        <w:t>Nature Geoscience</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7</w:t>
      </w:r>
      <w:r w:rsidRPr="00BC192E">
        <w:rPr>
          <w:rFonts w:ascii="Times New Roman" w:hAnsi="Times New Roman" w:cs="Times New Roman"/>
          <w:color w:val="222222"/>
          <w:sz w:val="24"/>
          <w:szCs w:val="24"/>
          <w:shd w:val="clear" w:color="auto" w:fill="FFFFFF"/>
        </w:rPr>
        <w:t>(12), 920-924.</w:t>
      </w:r>
    </w:p>
    <w:p w14:paraId="6D7E2C2A"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Schaedel, M., Fudge, R., &amp; Grossman, J. (2023). Biological nitrogen fixation within agroecosystems and plant roots. In </w:t>
      </w:r>
      <w:r w:rsidRPr="00BC192E">
        <w:rPr>
          <w:rFonts w:ascii="Times New Roman" w:hAnsi="Times New Roman" w:cs="Times New Roman"/>
          <w:i/>
          <w:iCs/>
          <w:color w:val="222222"/>
          <w:sz w:val="24"/>
          <w:szCs w:val="24"/>
          <w:shd w:val="clear" w:color="auto" w:fill="FFFFFF"/>
        </w:rPr>
        <w:t>Biological Approaches to Regenerative Soil Systems</w:t>
      </w:r>
      <w:r w:rsidRPr="00BC192E">
        <w:rPr>
          <w:rFonts w:ascii="Times New Roman" w:hAnsi="Times New Roman" w:cs="Times New Roman"/>
          <w:color w:val="222222"/>
          <w:sz w:val="24"/>
          <w:szCs w:val="24"/>
          <w:shd w:val="clear" w:color="auto" w:fill="FFFFFF"/>
        </w:rPr>
        <w:t> (pp. 129-140). CRC Press.</w:t>
      </w:r>
    </w:p>
    <w:p w14:paraId="1C7144C4" w14:textId="77777777" w:rsidR="00BC192E" w:rsidRPr="00BC192E" w:rsidRDefault="00BC192E" w:rsidP="00B540CE">
      <w:pPr>
        <w:spacing w:line="360" w:lineRule="auto"/>
        <w:jc w:val="both"/>
        <w:rPr>
          <w:rFonts w:ascii="Times New Roman" w:hAnsi="Times New Roman" w:cs="Times New Roman"/>
          <w:color w:val="222222"/>
          <w:sz w:val="24"/>
          <w:szCs w:val="24"/>
          <w:shd w:val="clear" w:color="auto" w:fill="FFFFFF"/>
        </w:rPr>
      </w:pPr>
      <w:r w:rsidRPr="00BC192E">
        <w:rPr>
          <w:rFonts w:ascii="Times New Roman" w:hAnsi="Times New Roman" w:cs="Times New Roman"/>
          <w:color w:val="222222"/>
          <w:sz w:val="24"/>
          <w:szCs w:val="24"/>
          <w:shd w:val="clear" w:color="auto" w:fill="FFFFFF"/>
        </w:rPr>
        <w:lastRenderedPageBreak/>
        <w:t>Shah, T., Lateef, S., &amp; Noor, M. A. (2019). Carbon and nitrogen cycling in agroecosystems: an overview. </w:t>
      </w:r>
      <w:r w:rsidRPr="00BC192E">
        <w:rPr>
          <w:rFonts w:ascii="Times New Roman" w:hAnsi="Times New Roman" w:cs="Times New Roman"/>
          <w:i/>
          <w:iCs/>
          <w:color w:val="222222"/>
          <w:sz w:val="24"/>
          <w:szCs w:val="24"/>
          <w:shd w:val="clear" w:color="auto" w:fill="FFFFFF"/>
        </w:rPr>
        <w:t>Carbon and nitrogen cycling in soil</w:t>
      </w:r>
      <w:r w:rsidRPr="00BC192E">
        <w:rPr>
          <w:rFonts w:ascii="Times New Roman" w:hAnsi="Times New Roman" w:cs="Times New Roman"/>
          <w:color w:val="222222"/>
          <w:sz w:val="24"/>
          <w:szCs w:val="24"/>
          <w:shd w:val="clear" w:color="auto" w:fill="FFFFFF"/>
        </w:rPr>
        <w:t>, 1-15.</w:t>
      </w:r>
    </w:p>
    <w:p w14:paraId="4067D045"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Shah, T., Lateef, S., &amp; Noor, M. A. (2019). Carbon and nitrogen cycling in agroecosystems: an overview. </w:t>
      </w:r>
      <w:r w:rsidRPr="00BC192E">
        <w:rPr>
          <w:rFonts w:ascii="Times New Roman" w:hAnsi="Times New Roman" w:cs="Times New Roman"/>
          <w:i/>
          <w:iCs/>
          <w:color w:val="222222"/>
          <w:sz w:val="24"/>
          <w:szCs w:val="24"/>
          <w:shd w:val="clear" w:color="auto" w:fill="FFFFFF"/>
        </w:rPr>
        <w:t>Carbon and nitrogen cycling in soil</w:t>
      </w:r>
      <w:r w:rsidRPr="00BC192E">
        <w:rPr>
          <w:rFonts w:ascii="Times New Roman" w:hAnsi="Times New Roman" w:cs="Times New Roman"/>
          <w:color w:val="222222"/>
          <w:sz w:val="24"/>
          <w:szCs w:val="24"/>
          <w:shd w:val="clear" w:color="auto" w:fill="FFFFFF"/>
        </w:rPr>
        <w:t>, 1-15.</w:t>
      </w:r>
    </w:p>
    <w:p w14:paraId="69ADC254"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Shi, S., Li, H., Wang, X., Wang, Z., Xu, J., He, X., &amp; Yang, Z. A. (2025). Greater biomass production under elevated CO2 is attributed to physiological optimality, trade-offs in nutrient allocation, and oxidative defense in drought-stressed mulberry. </w:t>
      </w:r>
      <w:r w:rsidRPr="00BC192E">
        <w:rPr>
          <w:rFonts w:ascii="Times New Roman" w:hAnsi="Times New Roman" w:cs="Times New Roman"/>
          <w:i/>
          <w:iCs/>
          <w:color w:val="222222"/>
          <w:sz w:val="24"/>
          <w:szCs w:val="24"/>
          <w:shd w:val="clear" w:color="auto" w:fill="FFFFFF"/>
        </w:rPr>
        <w:t>Antioxidants</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14</w:t>
      </w:r>
      <w:r w:rsidRPr="00BC192E">
        <w:rPr>
          <w:rFonts w:ascii="Times New Roman" w:hAnsi="Times New Roman" w:cs="Times New Roman"/>
          <w:color w:val="222222"/>
          <w:sz w:val="24"/>
          <w:szCs w:val="24"/>
          <w:shd w:val="clear" w:color="auto" w:fill="FFFFFF"/>
        </w:rPr>
        <w:t>(4), 383.</w:t>
      </w:r>
    </w:p>
    <w:p w14:paraId="4A04F37F"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Shukla, S., Shukla, K., Mishra, A., Jindal, T., Sharma, S., Upadhyay, D., &amp; Singh, V. (2021). Ecological perspectives on soil microbial community involved in nitrogen cycling. In </w:t>
      </w:r>
      <w:r w:rsidRPr="00BC192E">
        <w:rPr>
          <w:rFonts w:ascii="Times New Roman" w:hAnsi="Times New Roman" w:cs="Times New Roman"/>
          <w:i/>
          <w:iCs/>
          <w:color w:val="222222"/>
          <w:sz w:val="24"/>
          <w:szCs w:val="24"/>
          <w:shd w:val="clear" w:color="auto" w:fill="FFFFFF"/>
        </w:rPr>
        <w:t>Soil nitrogen ecology</w:t>
      </w:r>
      <w:r w:rsidRPr="00BC192E">
        <w:rPr>
          <w:rFonts w:ascii="Times New Roman" w:hAnsi="Times New Roman" w:cs="Times New Roman"/>
          <w:color w:val="222222"/>
          <w:sz w:val="24"/>
          <w:szCs w:val="24"/>
          <w:shd w:val="clear" w:color="auto" w:fill="FFFFFF"/>
        </w:rPr>
        <w:t> (pp. 51-91). Cham: Springer International Publishing.</w:t>
      </w:r>
    </w:p>
    <w:p w14:paraId="3AFE26F4"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Thakur, A., Kumari, D., &amp; Kumar, P. (2024). Climate Change and Agriculture: Assessing the relationship between agricultural practices, greenhouse gas emissions, and climate change. </w:t>
      </w:r>
      <w:r w:rsidRPr="00BC192E">
        <w:rPr>
          <w:rFonts w:ascii="Times New Roman" w:hAnsi="Times New Roman" w:cs="Times New Roman"/>
          <w:i/>
          <w:iCs/>
          <w:color w:val="222222"/>
          <w:sz w:val="24"/>
          <w:szCs w:val="24"/>
          <w:shd w:val="clear" w:color="auto" w:fill="FFFFFF"/>
        </w:rPr>
        <w:t>A Comprehensive Exploration of Soil, Water, and Air Pollution in Agriculture</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155</w:t>
      </w:r>
      <w:r w:rsidRPr="00BC192E">
        <w:rPr>
          <w:rFonts w:ascii="Times New Roman" w:hAnsi="Times New Roman" w:cs="Times New Roman"/>
          <w:color w:val="222222"/>
          <w:sz w:val="24"/>
          <w:szCs w:val="24"/>
          <w:shd w:val="clear" w:color="auto" w:fill="FFFFFF"/>
        </w:rPr>
        <w:t>.</w:t>
      </w:r>
    </w:p>
    <w:p w14:paraId="432933FC" w14:textId="77777777" w:rsidR="00BC192E" w:rsidRPr="00BC192E" w:rsidRDefault="00BC192E" w:rsidP="0032369D">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Walker, A. P., De Kauwe, M. G., Bastos, A., </w:t>
      </w:r>
      <w:proofErr w:type="spellStart"/>
      <w:r w:rsidRPr="00BC192E">
        <w:rPr>
          <w:rFonts w:ascii="Times New Roman" w:hAnsi="Times New Roman" w:cs="Times New Roman"/>
          <w:color w:val="222222"/>
          <w:sz w:val="24"/>
          <w:szCs w:val="24"/>
          <w:shd w:val="clear" w:color="auto" w:fill="FFFFFF"/>
        </w:rPr>
        <w:t>Belmecheri</w:t>
      </w:r>
      <w:proofErr w:type="spellEnd"/>
      <w:r w:rsidRPr="00BC192E">
        <w:rPr>
          <w:rFonts w:ascii="Times New Roman" w:hAnsi="Times New Roman" w:cs="Times New Roman"/>
          <w:color w:val="222222"/>
          <w:sz w:val="24"/>
          <w:szCs w:val="24"/>
          <w:shd w:val="clear" w:color="auto" w:fill="FFFFFF"/>
        </w:rPr>
        <w:t>, S., Georgiou, K., Keeling, R. F., ... &amp; Zuidema, P. A. (2021). Integrating the evidence for a terrestrial carbon sink caused by increasing atmospheric CO2. </w:t>
      </w:r>
      <w:r w:rsidRPr="00BC192E">
        <w:rPr>
          <w:rFonts w:ascii="Times New Roman" w:hAnsi="Times New Roman" w:cs="Times New Roman"/>
          <w:i/>
          <w:iCs/>
          <w:color w:val="222222"/>
          <w:sz w:val="24"/>
          <w:szCs w:val="24"/>
          <w:shd w:val="clear" w:color="auto" w:fill="FFFFFF"/>
        </w:rPr>
        <w:t>New phytologist</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229</w:t>
      </w:r>
      <w:r w:rsidRPr="00BC192E">
        <w:rPr>
          <w:rFonts w:ascii="Times New Roman" w:hAnsi="Times New Roman" w:cs="Times New Roman"/>
          <w:color w:val="222222"/>
          <w:sz w:val="24"/>
          <w:szCs w:val="24"/>
          <w:shd w:val="clear" w:color="auto" w:fill="FFFFFF"/>
        </w:rPr>
        <w:t>(5), 2413-2445.</w:t>
      </w:r>
    </w:p>
    <w:p w14:paraId="1EBC201E"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Wang, J. J., Bowden, R. D., </w:t>
      </w:r>
      <w:proofErr w:type="spellStart"/>
      <w:r w:rsidRPr="00BC192E">
        <w:rPr>
          <w:rFonts w:ascii="Times New Roman" w:hAnsi="Times New Roman" w:cs="Times New Roman"/>
          <w:color w:val="222222"/>
          <w:sz w:val="24"/>
          <w:szCs w:val="24"/>
          <w:shd w:val="clear" w:color="auto" w:fill="FFFFFF"/>
        </w:rPr>
        <w:t>Lajtha</w:t>
      </w:r>
      <w:proofErr w:type="spellEnd"/>
      <w:r w:rsidRPr="00BC192E">
        <w:rPr>
          <w:rFonts w:ascii="Times New Roman" w:hAnsi="Times New Roman" w:cs="Times New Roman"/>
          <w:color w:val="222222"/>
          <w:sz w:val="24"/>
          <w:szCs w:val="24"/>
          <w:shd w:val="clear" w:color="auto" w:fill="FFFFFF"/>
        </w:rPr>
        <w:t>, K., Washko, S. E., Wurzbacher, S. J., &amp; Simpson, M. J. (2019). Long-term nitrogen addition suppresses microbial degradation, enhances soil carbon storage, and alters the molecular composition of soil organic matter. </w:t>
      </w:r>
      <w:r w:rsidRPr="00BC192E">
        <w:rPr>
          <w:rFonts w:ascii="Times New Roman" w:hAnsi="Times New Roman" w:cs="Times New Roman"/>
          <w:i/>
          <w:iCs/>
          <w:color w:val="222222"/>
          <w:sz w:val="24"/>
          <w:szCs w:val="24"/>
          <w:shd w:val="clear" w:color="auto" w:fill="FFFFFF"/>
        </w:rPr>
        <w:t>Biogeochemistry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142</w:t>
      </w:r>
      <w:r w:rsidRPr="00BC192E">
        <w:rPr>
          <w:rFonts w:ascii="Times New Roman" w:hAnsi="Times New Roman" w:cs="Times New Roman"/>
          <w:color w:val="222222"/>
          <w:sz w:val="24"/>
          <w:szCs w:val="24"/>
          <w:shd w:val="clear" w:color="auto" w:fill="FFFFFF"/>
        </w:rPr>
        <w:t>(2), 299-313.</w:t>
      </w:r>
    </w:p>
    <w:p w14:paraId="3228E302"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Yang, M., Hou, Z., Guo, N., Yang, E., Sun, D., &amp; Fang, Y. (2022). Effects of enhanced-efficiency nitrogen fertilizers on CH4 and CO2 emissions in a global perspective. </w:t>
      </w:r>
      <w:r w:rsidRPr="00BC192E">
        <w:rPr>
          <w:rFonts w:ascii="Times New Roman" w:hAnsi="Times New Roman" w:cs="Times New Roman"/>
          <w:i/>
          <w:iCs/>
          <w:color w:val="222222"/>
          <w:sz w:val="24"/>
          <w:szCs w:val="24"/>
          <w:shd w:val="clear" w:color="auto" w:fill="FFFFFF"/>
        </w:rPr>
        <w:t>Field Crops Research</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288</w:t>
      </w:r>
      <w:r w:rsidRPr="00BC192E">
        <w:rPr>
          <w:rFonts w:ascii="Times New Roman" w:hAnsi="Times New Roman" w:cs="Times New Roman"/>
          <w:color w:val="222222"/>
          <w:sz w:val="24"/>
          <w:szCs w:val="24"/>
          <w:shd w:val="clear" w:color="auto" w:fill="FFFFFF"/>
        </w:rPr>
        <w:t>, 108694.</w:t>
      </w:r>
    </w:p>
    <w:p w14:paraId="6599A1D6" w14:textId="38DFD5F0" w:rsidR="00BC192E" w:rsidRDefault="00BC192E" w:rsidP="00B540CE">
      <w:pPr>
        <w:spacing w:line="360" w:lineRule="auto"/>
        <w:jc w:val="both"/>
        <w:rPr>
          <w:rFonts w:ascii="Times New Roman" w:hAnsi="Times New Roman" w:cs="Times New Roman"/>
          <w:color w:val="222222"/>
          <w:sz w:val="24"/>
          <w:szCs w:val="24"/>
          <w:shd w:val="clear" w:color="auto" w:fill="FFFFFF"/>
        </w:rPr>
      </w:pPr>
      <w:proofErr w:type="spellStart"/>
      <w:r w:rsidRPr="00BC192E">
        <w:rPr>
          <w:rFonts w:ascii="Times New Roman" w:hAnsi="Times New Roman" w:cs="Times New Roman"/>
          <w:color w:val="222222"/>
          <w:sz w:val="24"/>
          <w:szCs w:val="24"/>
          <w:shd w:val="clear" w:color="auto" w:fill="FFFFFF"/>
        </w:rPr>
        <w:t>Zaehle</w:t>
      </w:r>
      <w:proofErr w:type="spellEnd"/>
      <w:r w:rsidRPr="00BC192E">
        <w:rPr>
          <w:rFonts w:ascii="Times New Roman" w:hAnsi="Times New Roman" w:cs="Times New Roman"/>
          <w:color w:val="222222"/>
          <w:sz w:val="24"/>
          <w:szCs w:val="24"/>
          <w:shd w:val="clear" w:color="auto" w:fill="FFFFFF"/>
        </w:rPr>
        <w:t xml:space="preserve">, S., &amp; </w:t>
      </w:r>
      <w:proofErr w:type="spellStart"/>
      <w:r w:rsidRPr="00BC192E">
        <w:rPr>
          <w:rFonts w:ascii="Times New Roman" w:hAnsi="Times New Roman" w:cs="Times New Roman"/>
          <w:color w:val="222222"/>
          <w:sz w:val="24"/>
          <w:szCs w:val="24"/>
          <w:shd w:val="clear" w:color="auto" w:fill="FFFFFF"/>
        </w:rPr>
        <w:t>Dalmonech</w:t>
      </w:r>
      <w:proofErr w:type="spellEnd"/>
      <w:r w:rsidRPr="00BC192E">
        <w:rPr>
          <w:rFonts w:ascii="Times New Roman" w:hAnsi="Times New Roman" w:cs="Times New Roman"/>
          <w:color w:val="222222"/>
          <w:sz w:val="24"/>
          <w:szCs w:val="24"/>
          <w:shd w:val="clear" w:color="auto" w:fill="FFFFFF"/>
        </w:rPr>
        <w:t>, D. (2011). Carbon–nitrogen interactions on land at global scales: current understanding in modelling climate biosphere feedbacks. </w:t>
      </w:r>
      <w:r w:rsidRPr="00BC192E">
        <w:rPr>
          <w:rFonts w:ascii="Times New Roman" w:hAnsi="Times New Roman" w:cs="Times New Roman"/>
          <w:i/>
          <w:iCs/>
          <w:color w:val="222222"/>
          <w:sz w:val="24"/>
          <w:szCs w:val="24"/>
          <w:shd w:val="clear" w:color="auto" w:fill="FFFFFF"/>
        </w:rPr>
        <w:t>Current Opinion in Environmental Sustainability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3</w:t>
      </w:r>
      <w:r w:rsidRPr="00BC192E">
        <w:rPr>
          <w:rFonts w:ascii="Times New Roman" w:hAnsi="Times New Roman" w:cs="Times New Roman"/>
          <w:color w:val="222222"/>
          <w:sz w:val="24"/>
          <w:szCs w:val="24"/>
          <w:shd w:val="clear" w:color="auto" w:fill="FFFFFF"/>
        </w:rPr>
        <w:t>(5), 311-320.</w:t>
      </w:r>
    </w:p>
    <w:p w14:paraId="7E1F2B5B" w14:textId="44C8D40A" w:rsidR="00666E59" w:rsidRPr="00BC192E" w:rsidRDefault="00666E59" w:rsidP="00B540CE">
      <w:pPr>
        <w:spacing w:line="360" w:lineRule="auto"/>
        <w:jc w:val="both"/>
        <w:rPr>
          <w:rFonts w:ascii="Times New Roman" w:hAnsi="Times New Roman" w:cs="Times New Roman"/>
          <w:sz w:val="24"/>
          <w:szCs w:val="24"/>
        </w:rPr>
      </w:pPr>
      <w:r w:rsidRPr="00E87918">
        <w:rPr>
          <w:rFonts w:ascii="Times New Roman" w:hAnsi="Times New Roman" w:cs="Times New Roman"/>
          <w:sz w:val="24"/>
          <w:szCs w:val="24"/>
          <w:highlight w:val="yellow"/>
        </w:rPr>
        <w:lastRenderedPageBreak/>
        <w:t>Jia, W., Zheng, T., Zhao, Y., Deng, F., Yang, Y., Liang, C., ... &amp; Zhang, X. (2023). Nitrogen application influences the effect of bacteria on the belowground allocation of photosynthesized carbon under elevated CO2. Soil Biology and Biochemistry, 180, 109021.</w:t>
      </w:r>
    </w:p>
    <w:p w14:paraId="51E26DFA" w14:textId="2A976F20" w:rsidR="0032369D" w:rsidRPr="001F3298" w:rsidRDefault="00C9529C" w:rsidP="00B540CE">
      <w:pPr>
        <w:pStyle w:val="NormalWeb"/>
        <w:jc w:val="both"/>
      </w:pPr>
      <w:r w:rsidRPr="00E87918">
        <w:rPr>
          <w:highlight w:val="yellow"/>
        </w:rPr>
        <w:t xml:space="preserve">Dong, X., Lin, H., Wang, F., Shi, S., Wang, Z., Sharifi, S., ... &amp; He, X. (2024). Impacts of Elevated CO2 and a Nitrogen Supply on the Growth of </w:t>
      </w:r>
      <w:proofErr w:type="spellStart"/>
      <w:r w:rsidRPr="00E87918">
        <w:rPr>
          <w:highlight w:val="yellow"/>
        </w:rPr>
        <w:t>Faba</w:t>
      </w:r>
      <w:proofErr w:type="spellEnd"/>
      <w:r w:rsidRPr="00E87918">
        <w:rPr>
          <w:highlight w:val="yellow"/>
        </w:rPr>
        <w:t xml:space="preserve"> Beans (</w:t>
      </w:r>
      <w:proofErr w:type="spellStart"/>
      <w:r w:rsidRPr="00E87918">
        <w:rPr>
          <w:highlight w:val="yellow"/>
        </w:rPr>
        <w:t>Vicia</w:t>
      </w:r>
      <w:proofErr w:type="spellEnd"/>
      <w:r w:rsidRPr="00E87918">
        <w:rPr>
          <w:highlight w:val="yellow"/>
        </w:rPr>
        <w:t xml:space="preserve"> </w:t>
      </w:r>
      <w:proofErr w:type="spellStart"/>
      <w:r w:rsidRPr="00E87918">
        <w:rPr>
          <w:highlight w:val="yellow"/>
        </w:rPr>
        <w:t>faba</w:t>
      </w:r>
      <w:proofErr w:type="spellEnd"/>
      <w:r w:rsidRPr="00E87918">
        <w:rPr>
          <w:highlight w:val="yellow"/>
        </w:rPr>
        <w:t xml:space="preserve"> L.) and the Nitrogen-Related Soil Bacterial Community. Plants, 13(17), 2483.</w:t>
      </w:r>
    </w:p>
    <w:p w14:paraId="76A1E47C" w14:textId="77777777" w:rsidR="00845625" w:rsidRPr="001F3298" w:rsidRDefault="00845625" w:rsidP="00845625">
      <w:pPr>
        <w:spacing w:line="360" w:lineRule="auto"/>
        <w:jc w:val="both"/>
        <w:rPr>
          <w:rFonts w:ascii="Times New Roman" w:hAnsi="Times New Roman" w:cs="Times New Roman"/>
          <w:sz w:val="24"/>
          <w:szCs w:val="24"/>
        </w:rPr>
      </w:pPr>
    </w:p>
    <w:sectPr w:rsidR="00845625" w:rsidRPr="001F3298">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8E8AF" w14:textId="77777777" w:rsidR="00966342" w:rsidRDefault="00966342" w:rsidP="0047782C">
      <w:pPr>
        <w:spacing w:after="0" w:line="240" w:lineRule="auto"/>
      </w:pPr>
      <w:r>
        <w:separator/>
      </w:r>
    </w:p>
  </w:endnote>
  <w:endnote w:type="continuationSeparator" w:id="0">
    <w:p w14:paraId="09E76B12" w14:textId="77777777" w:rsidR="00966342" w:rsidRDefault="00966342" w:rsidP="00477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8FBB8" w14:textId="77777777" w:rsidR="005C5181" w:rsidRDefault="005C5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3F8C4" w14:textId="77777777" w:rsidR="005C5181" w:rsidRDefault="005C51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4F664" w14:textId="77777777" w:rsidR="005C5181" w:rsidRDefault="005C5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0C121" w14:textId="77777777" w:rsidR="00966342" w:rsidRDefault="00966342" w:rsidP="0047782C">
      <w:pPr>
        <w:spacing w:after="0" w:line="240" w:lineRule="auto"/>
      </w:pPr>
      <w:r>
        <w:separator/>
      </w:r>
    </w:p>
  </w:footnote>
  <w:footnote w:type="continuationSeparator" w:id="0">
    <w:p w14:paraId="7DD24862" w14:textId="77777777" w:rsidR="00966342" w:rsidRDefault="00966342" w:rsidP="004778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550E9" w14:textId="2D379BB0" w:rsidR="005C5181" w:rsidRDefault="00966342">
    <w:pPr>
      <w:pStyle w:val="Header"/>
    </w:pPr>
    <w:r>
      <w:rPr>
        <w:noProof/>
      </w:rPr>
      <w:pict w14:anchorId="14E841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0452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7C1AE" w14:textId="15C27BA0" w:rsidR="005C5181" w:rsidRDefault="00966342">
    <w:pPr>
      <w:pStyle w:val="Header"/>
    </w:pPr>
    <w:r>
      <w:rPr>
        <w:noProof/>
      </w:rPr>
      <w:pict w14:anchorId="78F97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0452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ACDFB" w14:textId="58ADEBC9" w:rsidR="005C5181" w:rsidRDefault="00966342">
    <w:pPr>
      <w:pStyle w:val="Header"/>
    </w:pPr>
    <w:r>
      <w:rPr>
        <w:noProof/>
      </w:rPr>
      <w:pict w14:anchorId="0F15F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0452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9082F"/>
    <w:multiLevelType w:val="multilevel"/>
    <w:tmpl w:val="68C2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A0tjQxMDYwsbCwMDJV0lEKTi0uzszPAykwrAUAkxHejywAAAA="/>
  </w:docVars>
  <w:rsids>
    <w:rsidRoot w:val="004E3957"/>
    <w:rsid w:val="00054611"/>
    <w:rsid w:val="000B20BF"/>
    <w:rsid w:val="000B4637"/>
    <w:rsid w:val="000B541B"/>
    <w:rsid w:val="000E23A1"/>
    <w:rsid w:val="00143BAA"/>
    <w:rsid w:val="00151503"/>
    <w:rsid w:val="00180D48"/>
    <w:rsid w:val="00184D23"/>
    <w:rsid w:val="001879D8"/>
    <w:rsid w:val="001A4D1D"/>
    <w:rsid w:val="001C107E"/>
    <w:rsid w:val="001D2432"/>
    <w:rsid w:val="001F3298"/>
    <w:rsid w:val="001F3AC1"/>
    <w:rsid w:val="00223A8F"/>
    <w:rsid w:val="00241A27"/>
    <w:rsid w:val="00273A5D"/>
    <w:rsid w:val="002A3468"/>
    <w:rsid w:val="0032369D"/>
    <w:rsid w:val="00341395"/>
    <w:rsid w:val="00361C49"/>
    <w:rsid w:val="004122D9"/>
    <w:rsid w:val="00415706"/>
    <w:rsid w:val="00445007"/>
    <w:rsid w:val="00450B02"/>
    <w:rsid w:val="00450CD2"/>
    <w:rsid w:val="004742E9"/>
    <w:rsid w:val="0047782C"/>
    <w:rsid w:val="004A6099"/>
    <w:rsid w:val="004D05F6"/>
    <w:rsid w:val="004E37D0"/>
    <w:rsid w:val="004E3957"/>
    <w:rsid w:val="004F1BA8"/>
    <w:rsid w:val="00500AE7"/>
    <w:rsid w:val="00503E1D"/>
    <w:rsid w:val="005736ED"/>
    <w:rsid w:val="005A1CF0"/>
    <w:rsid w:val="005C475D"/>
    <w:rsid w:val="005C5181"/>
    <w:rsid w:val="0062327B"/>
    <w:rsid w:val="00627688"/>
    <w:rsid w:val="00666E59"/>
    <w:rsid w:val="006A188D"/>
    <w:rsid w:val="006A1D09"/>
    <w:rsid w:val="006A59A6"/>
    <w:rsid w:val="006A7A5F"/>
    <w:rsid w:val="0075623C"/>
    <w:rsid w:val="00773EC9"/>
    <w:rsid w:val="007C6D57"/>
    <w:rsid w:val="00812E14"/>
    <w:rsid w:val="008252AE"/>
    <w:rsid w:val="008327DE"/>
    <w:rsid w:val="008411D9"/>
    <w:rsid w:val="00845625"/>
    <w:rsid w:val="00846EEF"/>
    <w:rsid w:val="00862AF1"/>
    <w:rsid w:val="00865B0D"/>
    <w:rsid w:val="00892589"/>
    <w:rsid w:val="00894C9B"/>
    <w:rsid w:val="008C59F2"/>
    <w:rsid w:val="00912A1D"/>
    <w:rsid w:val="00920D89"/>
    <w:rsid w:val="009500D4"/>
    <w:rsid w:val="00956312"/>
    <w:rsid w:val="00966342"/>
    <w:rsid w:val="009A505A"/>
    <w:rsid w:val="009A7B49"/>
    <w:rsid w:val="009C161A"/>
    <w:rsid w:val="00A33007"/>
    <w:rsid w:val="00A53CC7"/>
    <w:rsid w:val="00A56344"/>
    <w:rsid w:val="00A70C15"/>
    <w:rsid w:val="00A849EC"/>
    <w:rsid w:val="00AD258E"/>
    <w:rsid w:val="00AF3D9D"/>
    <w:rsid w:val="00B540CE"/>
    <w:rsid w:val="00BA7AE1"/>
    <w:rsid w:val="00BC192E"/>
    <w:rsid w:val="00BF016A"/>
    <w:rsid w:val="00C35561"/>
    <w:rsid w:val="00C40006"/>
    <w:rsid w:val="00C4627A"/>
    <w:rsid w:val="00C47162"/>
    <w:rsid w:val="00C5066E"/>
    <w:rsid w:val="00C64DF8"/>
    <w:rsid w:val="00C9529C"/>
    <w:rsid w:val="00D34D9E"/>
    <w:rsid w:val="00D421D2"/>
    <w:rsid w:val="00D577C3"/>
    <w:rsid w:val="00DC1023"/>
    <w:rsid w:val="00E43CF8"/>
    <w:rsid w:val="00E6575A"/>
    <w:rsid w:val="00E87918"/>
    <w:rsid w:val="00EE5E01"/>
    <w:rsid w:val="00F76F54"/>
    <w:rsid w:val="00FC6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754DAE"/>
  <w15:docId w15:val="{E1B06987-79B7-468A-8E2E-E0F591B5B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456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327D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8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82C"/>
  </w:style>
  <w:style w:type="paragraph" w:styleId="Footer">
    <w:name w:val="footer"/>
    <w:basedOn w:val="Normal"/>
    <w:link w:val="FooterChar"/>
    <w:uiPriority w:val="99"/>
    <w:unhideWhenUsed/>
    <w:rsid w:val="004778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82C"/>
  </w:style>
  <w:style w:type="character" w:customStyle="1" w:styleId="Heading3Char">
    <w:name w:val="Heading 3 Char"/>
    <w:basedOn w:val="DefaultParagraphFont"/>
    <w:link w:val="Heading3"/>
    <w:uiPriority w:val="9"/>
    <w:rsid w:val="008327DE"/>
    <w:rPr>
      <w:rFonts w:ascii="Times New Roman" w:eastAsia="Times New Roman" w:hAnsi="Times New Roman" w:cs="Times New Roman"/>
      <w:b/>
      <w:bCs/>
      <w:sz w:val="27"/>
      <w:szCs w:val="27"/>
    </w:rPr>
  </w:style>
  <w:style w:type="character" w:styleId="Strong">
    <w:name w:val="Strong"/>
    <w:basedOn w:val="DefaultParagraphFont"/>
    <w:uiPriority w:val="22"/>
    <w:qFormat/>
    <w:rsid w:val="008327DE"/>
    <w:rPr>
      <w:b/>
      <w:bCs/>
    </w:rPr>
  </w:style>
  <w:style w:type="table" w:styleId="TableGrid">
    <w:name w:val="Table Grid"/>
    <w:basedOn w:val="TableNormal"/>
    <w:uiPriority w:val="39"/>
    <w:rsid w:val="001C1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45625"/>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84562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45625"/>
    <w:rPr>
      <w:i/>
      <w:iCs/>
    </w:rPr>
  </w:style>
  <w:style w:type="character" w:styleId="Hyperlink">
    <w:name w:val="Hyperlink"/>
    <w:basedOn w:val="DefaultParagraphFont"/>
    <w:uiPriority w:val="99"/>
    <w:unhideWhenUsed/>
    <w:rsid w:val="007C6D57"/>
    <w:rPr>
      <w:color w:val="0563C1" w:themeColor="hyperlink"/>
      <w:u w:val="single"/>
    </w:rPr>
  </w:style>
  <w:style w:type="character" w:customStyle="1" w:styleId="UnresolvedMention1">
    <w:name w:val="Unresolved Mention1"/>
    <w:basedOn w:val="DefaultParagraphFont"/>
    <w:uiPriority w:val="99"/>
    <w:semiHidden/>
    <w:unhideWhenUsed/>
    <w:rsid w:val="005C475D"/>
    <w:rPr>
      <w:color w:val="605E5C"/>
      <w:shd w:val="clear" w:color="auto" w:fill="E1DFDD"/>
    </w:rPr>
  </w:style>
  <w:style w:type="paragraph" w:styleId="ListParagraph">
    <w:name w:val="List Paragraph"/>
    <w:basedOn w:val="Normal"/>
    <w:uiPriority w:val="34"/>
    <w:qFormat/>
    <w:rsid w:val="00D34D9E"/>
    <w:pPr>
      <w:ind w:left="720"/>
      <w:contextualSpacing/>
    </w:pPr>
  </w:style>
  <w:style w:type="paragraph" w:styleId="BalloonText">
    <w:name w:val="Balloon Text"/>
    <w:basedOn w:val="Normal"/>
    <w:link w:val="BalloonTextChar"/>
    <w:uiPriority w:val="99"/>
    <w:semiHidden/>
    <w:unhideWhenUsed/>
    <w:rsid w:val="000546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6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02789">
      <w:bodyDiv w:val="1"/>
      <w:marLeft w:val="0"/>
      <w:marRight w:val="0"/>
      <w:marTop w:val="0"/>
      <w:marBottom w:val="0"/>
      <w:divBdr>
        <w:top w:val="none" w:sz="0" w:space="0" w:color="auto"/>
        <w:left w:val="none" w:sz="0" w:space="0" w:color="auto"/>
        <w:bottom w:val="none" w:sz="0" w:space="0" w:color="auto"/>
        <w:right w:val="none" w:sz="0" w:space="0" w:color="auto"/>
      </w:divBdr>
    </w:div>
    <w:div w:id="340277803">
      <w:bodyDiv w:val="1"/>
      <w:marLeft w:val="0"/>
      <w:marRight w:val="0"/>
      <w:marTop w:val="0"/>
      <w:marBottom w:val="0"/>
      <w:divBdr>
        <w:top w:val="none" w:sz="0" w:space="0" w:color="auto"/>
        <w:left w:val="none" w:sz="0" w:space="0" w:color="auto"/>
        <w:bottom w:val="none" w:sz="0" w:space="0" w:color="auto"/>
        <w:right w:val="none" w:sz="0" w:space="0" w:color="auto"/>
      </w:divBdr>
    </w:div>
    <w:div w:id="1143041169">
      <w:bodyDiv w:val="1"/>
      <w:marLeft w:val="0"/>
      <w:marRight w:val="0"/>
      <w:marTop w:val="0"/>
      <w:marBottom w:val="0"/>
      <w:divBdr>
        <w:top w:val="none" w:sz="0" w:space="0" w:color="auto"/>
        <w:left w:val="none" w:sz="0" w:space="0" w:color="auto"/>
        <w:bottom w:val="none" w:sz="0" w:space="0" w:color="auto"/>
        <w:right w:val="none" w:sz="0" w:space="0" w:color="auto"/>
      </w:divBdr>
    </w:div>
    <w:div w:id="1189443871">
      <w:bodyDiv w:val="1"/>
      <w:marLeft w:val="0"/>
      <w:marRight w:val="0"/>
      <w:marTop w:val="0"/>
      <w:marBottom w:val="0"/>
      <w:divBdr>
        <w:top w:val="none" w:sz="0" w:space="0" w:color="auto"/>
        <w:left w:val="none" w:sz="0" w:space="0" w:color="auto"/>
        <w:bottom w:val="none" w:sz="0" w:space="0" w:color="auto"/>
        <w:right w:val="none" w:sz="0" w:space="0" w:color="auto"/>
      </w:divBdr>
      <w:divsChild>
        <w:div w:id="1237083474">
          <w:marLeft w:val="0"/>
          <w:marRight w:val="0"/>
          <w:marTop w:val="0"/>
          <w:marBottom w:val="0"/>
          <w:divBdr>
            <w:top w:val="none" w:sz="0" w:space="0" w:color="auto"/>
            <w:left w:val="none" w:sz="0" w:space="0" w:color="auto"/>
            <w:bottom w:val="none" w:sz="0" w:space="0" w:color="auto"/>
            <w:right w:val="none" w:sz="0" w:space="0" w:color="auto"/>
          </w:divBdr>
          <w:divsChild>
            <w:div w:id="1857422555">
              <w:marLeft w:val="0"/>
              <w:marRight w:val="0"/>
              <w:marTop w:val="0"/>
              <w:marBottom w:val="0"/>
              <w:divBdr>
                <w:top w:val="none" w:sz="0" w:space="0" w:color="auto"/>
                <w:left w:val="none" w:sz="0" w:space="0" w:color="auto"/>
                <w:bottom w:val="none" w:sz="0" w:space="0" w:color="auto"/>
                <w:right w:val="none" w:sz="0" w:space="0" w:color="auto"/>
              </w:divBdr>
            </w:div>
          </w:divsChild>
        </w:div>
        <w:div w:id="1863274710">
          <w:marLeft w:val="0"/>
          <w:marRight w:val="0"/>
          <w:marTop w:val="0"/>
          <w:marBottom w:val="0"/>
          <w:divBdr>
            <w:top w:val="none" w:sz="0" w:space="0" w:color="auto"/>
            <w:left w:val="none" w:sz="0" w:space="0" w:color="auto"/>
            <w:bottom w:val="none" w:sz="0" w:space="0" w:color="auto"/>
            <w:right w:val="none" w:sz="0" w:space="0" w:color="auto"/>
          </w:divBdr>
          <w:divsChild>
            <w:div w:id="49889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64944">
      <w:bodyDiv w:val="1"/>
      <w:marLeft w:val="0"/>
      <w:marRight w:val="0"/>
      <w:marTop w:val="0"/>
      <w:marBottom w:val="0"/>
      <w:divBdr>
        <w:top w:val="none" w:sz="0" w:space="0" w:color="auto"/>
        <w:left w:val="none" w:sz="0" w:space="0" w:color="auto"/>
        <w:bottom w:val="none" w:sz="0" w:space="0" w:color="auto"/>
        <w:right w:val="none" w:sz="0" w:space="0" w:color="auto"/>
      </w:divBdr>
    </w:div>
    <w:div w:id="1767267746">
      <w:bodyDiv w:val="1"/>
      <w:marLeft w:val="0"/>
      <w:marRight w:val="0"/>
      <w:marTop w:val="0"/>
      <w:marBottom w:val="0"/>
      <w:divBdr>
        <w:top w:val="none" w:sz="0" w:space="0" w:color="auto"/>
        <w:left w:val="none" w:sz="0" w:space="0" w:color="auto"/>
        <w:bottom w:val="none" w:sz="0" w:space="0" w:color="auto"/>
        <w:right w:val="none" w:sz="0" w:space="0" w:color="auto"/>
      </w:divBdr>
      <w:divsChild>
        <w:div w:id="2120752443">
          <w:marLeft w:val="0"/>
          <w:marRight w:val="0"/>
          <w:marTop w:val="0"/>
          <w:marBottom w:val="0"/>
          <w:divBdr>
            <w:top w:val="none" w:sz="0" w:space="0" w:color="auto"/>
            <w:left w:val="none" w:sz="0" w:space="0" w:color="auto"/>
            <w:bottom w:val="none" w:sz="0" w:space="0" w:color="auto"/>
            <w:right w:val="none" w:sz="0" w:space="0" w:color="auto"/>
          </w:divBdr>
          <w:divsChild>
            <w:div w:id="183390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22</Pages>
  <Words>5772</Words>
  <Characters>32903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PC New 16</cp:lastModifiedBy>
  <cp:revision>85</cp:revision>
  <dcterms:created xsi:type="dcterms:W3CDTF">2025-08-22T04:48:00Z</dcterms:created>
  <dcterms:modified xsi:type="dcterms:W3CDTF">2025-08-29T11:18:00Z</dcterms:modified>
</cp:coreProperties>
</file>