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23042" w14:textId="5E04E222" w:rsidR="00DD4CB9" w:rsidRPr="00315C89" w:rsidRDefault="00DD4CB9" w:rsidP="00315C89">
      <w:pPr>
        <w:rPr>
          <w:rFonts w:ascii="Times New Roman" w:hAnsi="Times New Roman"/>
          <w:b/>
          <w:bCs/>
          <w:i/>
          <w:iCs/>
          <w:sz w:val="24"/>
          <w:szCs w:val="24"/>
          <w:u w:val="single"/>
        </w:rPr>
      </w:pPr>
    </w:p>
    <w:p w14:paraId="66ABAE15" w14:textId="77777777" w:rsidR="00315C89" w:rsidRDefault="00315C89" w:rsidP="008B06FC">
      <w:pPr>
        <w:rPr>
          <w:rFonts w:ascii="Times New Roman" w:hAnsi="Times New Roman"/>
          <w:b/>
          <w:bCs/>
          <w:sz w:val="24"/>
          <w:szCs w:val="24"/>
        </w:rPr>
      </w:pPr>
    </w:p>
    <w:p w14:paraId="68650CD7" w14:textId="48C8AD81" w:rsidR="00DD4CB9" w:rsidRPr="005F563F" w:rsidRDefault="00DD4CB9" w:rsidP="00DD4CB9">
      <w:pPr>
        <w:rPr>
          <w:rFonts w:ascii="Times New Roman" w:hAnsi="Times New Roman"/>
          <w:b/>
          <w:bCs/>
          <w:sz w:val="24"/>
          <w:szCs w:val="24"/>
          <w:highlight w:val="yellow"/>
        </w:rPr>
      </w:pPr>
      <w:r w:rsidRPr="005F563F">
        <w:rPr>
          <w:rFonts w:ascii="Times New Roman" w:hAnsi="Times New Roman"/>
          <w:b/>
          <w:bCs/>
          <w:sz w:val="24"/>
          <w:szCs w:val="24"/>
          <w:highlight w:val="yellow"/>
        </w:rPr>
        <w:t xml:space="preserve">Dietary Natural Lutein and </w:t>
      </w:r>
      <w:r w:rsidR="009523BB">
        <w:rPr>
          <w:rFonts w:ascii="Times New Roman" w:hAnsi="Times New Roman"/>
          <w:b/>
          <w:bCs/>
          <w:sz w:val="24"/>
          <w:szCs w:val="24"/>
          <w:highlight w:val="yellow"/>
        </w:rPr>
        <w:t>i</w:t>
      </w:r>
      <w:r w:rsidRPr="005F563F">
        <w:rPr>
          <w:rFonts w:ascii="Times New Roman" w:hAnsi="Times New Roman"/>
          <w:b/>
          <w:bCs/>
          <w:sz w:val="24"/>
          <w:szCs w:val="24"/>
          <w:highlight w:val="yellow"/>
        </w:rPr>
        <w:t>ts Impact on Hepatic Autoimmunity</w:t>
      </w:r>
    </w:p>
    <w:p w14:paraId="6BA2F4BA" w14:textId="0F7BA4FF" w:rsidR="00315C89" w:rsidRDefault="00DD4CB9" w:rsidP="00DD4CB9">
      <w:pPr>
        <w:rPr>
          <w:rFonts w:ascii="Times New Roman" w:hAnsi="Times New Roman"/>
          <w:b/>
          <w:bCs/>
          <w:sz w:val="24"/>
          <w:szCs w:val="24"/>
        </w:rPr>
      </w:pPr>
      <w:r w:rsidRPr="005F563F">
        <w:rPr>
          <w:rFonts w:ascii="Times New Roman" w:hAnsi="Times New Roman"/>
          <w:b/>
          <w:bCs/>
          <w:sz w:val="24"/>
          <w:szCs w:val="24"/>
          <w:highlight w:val="yellow"/>
        </w:rPr>
        <w:t>in Long COVID: A Clinical Case Study</w:t>
      </w:r>
    </w:p>
    <w:p w14:paraId="703D08A5" w14:textId="0F196539" w:rsidR="008B06FC" w:rsidRPr="00A17C28" w:rsidRDefault="00DD4CB9" w:rsidP="00DE63AF">
      <w:pPr>
        <w:rPr>
          <w:rFonts w:ascii="Arial" w:hAnsi="Arial"/>
          <w:b/>
          <w:bCs/>
          <w:sz w:val="24"/>
        </w:rPr>
      </w:pPr>
      <w:r>
        <w:rPr>
          <w:rFonts w:ascii="Times New Roman" w:hAnsi="Times New Roman"/>
          <w:b/>
          <w:bCs/>
          <w:sz w:val="24"/>
          <w:szCs w:val="24"/>
        </w:rPr>
        <w:t xml:space="preserve"> </w:t>
      </w:r>
    </w:p>
    <w:p w14:paraId="0AB9D4F7" w14:textId="77777777" w:rsidR="002C57D2" w:rsidRPr="00FB3A86" w:rsidRDefault="002C57D2" w:rsidP="00441B6F">
      <w:pPr>
        <w:pStyle w:val="Affiliation"/>
        <w:spacing w:after="0" w:line="240" w:lineRule="auto"/>
        <w:jc w:val="both"/>
        <w:rPr>
          <w:rFonts w:ascii="Arial" w:hAnsi="Arial" w:cs="Arial"/>
        </w:rPr>
      </w:pPr>
    </w:p>
    <w:p w14:paraId="162BB2AB" w14:textId="126D1A55" w:rsidR="00B01FCD" w:rsidRPr="00FB3A86" w:rsidRDefault="007015C3" w:rsidP="00441B6F">
      <w:pPr>
        <w:pStyle w:val="Copyright"/>
        <w:spacing w:after="0" w:line="240" w:lineRule="auto"/>
        <w:jc w:val="both"/>
        <w:rPr>
          <w:rFonts w:ascii="Arial" w:hAnsi="Arial" w:cs="Arial"/>
        </w:rPr>
        <w:sectPr w:rsidR="00B01FCD" w:rsidRPr="00FB3A86" w:rsidSect="00D97761">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23933A7" wp14:editId="39A88E6F">
                <wp:extent cx="5303520" cy="635"/>
                <wp:effectExtent l="13335" t="13335" r="17145" b="15240"/>
                <wp:docPr id="14552865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26E070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7200AC" w14:textId="612CEFA7" w:rsidR="00B01FCD" w:rsidRDefault="00B01FCD" w:rsidP="00441B6F">
      <w:pPr>
        <w:pStyle w:val="AbstHead"/>
        <w:spacing w:after="0"/>
        <w:jc w:val="both"/>
        <w:rPr>
          <w:rFonts w:ascii="Arial" w:hAnsi="Arial" w:cs="Arial"/>
        </w:rPr>
      </w:pPr>
      <w:r w:rsidRPr="00FB3A86">
        <w:rPr>
          <w:rFonts w:ascii="Arial" w:hAnsi="Arial" w:cs="Arial"/>
        </w:rPr>
        <w:t>ABSTRACT</w:t>
      </w:r>
    </w:p>
    <w:p w14:paraId="219082F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98F17B4" w14:textId="77777777" w:rsidTr="001E44FE">
        <w:tc>
          <w:tcPr>
            <w:tcW w:w="9576" w:type="dxa"/>
            <w:shd w:val="clear" w:color="auto" w:fill="F2F2F2"/>
          </w:tcPr>
          <w:p w14:paraId="790A2BD3" w14:textId="10E900AF" w:rsidR="004873E7" w:rsidRDefault="009523BB" w:rsidP="00444B05">
            <w:pPr>
              <w:rPr>
                <w:rFonts w:ascii="Arial" w:hAnsi="Arial"/>
                <w:sz w:val="22"/>
                <w:szCs w:val="22"/>
              </w:rPr>
            </w:pPr>
            <w:r>
              <w:rPr>
                <w:rFonts w:ascii="Arial" w:hAnsi="Arial"/>
                <w:b/>
                <w:bCs/>
                <w:sz w:val="22"/>
                <w:szCs w:val="22"/>
              </w:rPr>
              <w:t xml:space="preserve">Introduction &amp; </w:t>
            </w:r>
            <w:r w:rsidR="008C4911">
              <w:rPr>
                <w:rFonts w:ascii="Arial" w:hAnsi="Arial"/>
                <w:b/>
                <w:bCs/>
                <w:sz w:val="22"/>
                <w:szCs w:val="22"/>
              </w:rPr>
              <w:t>Aims</w:t>
            </w:r>
            <w:r w:rsidR="00444B05" w:rsidRPr="00444B05">
              <w:rPr>
                <w:rFonts w:ascii="Arial" w:hAnsi="Arial"/>
                <w:b/>
                <w:bCs/>
                <w:sz w:val="22"/>
                <w:szCs w:val="22"/>
              </w:rPr>
              <w:t xml:space="preserve">: </w:t>
            </w:r>
            <w:r w:rsidR="00444B05" w:rsidRPr="00444B05">
              <w:rPr>
                <w:rFonts w:ascii="Arial" w:hAnsi="Arial"/>
                <w:sz w:val="22"/>
                <w:szCs w:val="22"/>
              </w:rPr>
              <w:t xml:space="preserve">Lutein is a nutrient that is found in many foods, particularly green vegetables. It has powerful antioxidant properties potentially to relieve oxidative-nitrosative stress in long COVID. Moreover, lutein is a promising natural agent to be used against liver damage.  </w:t>
            </w:r>
            <w:r w:rsidR="004873E7" w:rsidRPr="00D56672">
              <w:rPr>
                <w:rFonts w:ascii="Arial" w:hAnsi="Arial"/>
                <w:sz w:val="22"/>
                <w:szCs w:val="22"/>
                <w:highlight w:val="yellow"/>
              </w:rPr>
              <w:t>Our aim is to evaluate whether n</w:t>
            </w:r>
            <w:r w:rsidR="00444B05" w:rsidRPr="00D56672">
              <w:rPr>
                <w:rFonts w:ascii="Arial" w:hAnsi="Arial"/>
                <w:sz w:val="22"/>
                <w:szCs w:val="22"/>
                <w:highlight w:val="yellow"/>
              </w:rPr>
              <w:t xml:space="preserve">atural lutein supplementation by organic Extra Virgin Olive Oil (EVOO) can be </w:t>
            </w:r>
            <w:r w:rsidR="004873E7" w:rsidRPr="00D56672">
              <w:rPr>
                <w:rFonts w:ascii="Arial" w:hAnsi="Arial"/>
                <w:sz w:val="22"/>
                <w:szCs w:val="22"/>
                <w:highlight w:val="yellow"/>
              </w:rPr>
              <w:t>therapeutic in alleviating liver damage associated with long COVID.</w:t>
            </w:r>
            <w:r w:rsidR="004873E7">
              <w:rPr>
                <w:rFonts w:ascii="Arial" w:hAnsi="Arial"/>
                <w:sz w:val="22"/>
                <w:szCs w:val="22"/>
              </w:rPr>
              <w:t xml:space="preserve"> </w:t>
            </w:r>
            <w:r w:rsidR="00444B05" w:rsidRPr="00D544B1">
              <w:rPr>
                <w:rFonts w:ascii="Arial" w:hAnsi="Arial"/>
                <w:sz w:val="22"/>
                <w:szCs w:val="22"/>
              </w:rPr>
              <w:t xml:space="preserve"> </w:t>
            </w:r>
          </w:p>
          <w:p w14:paraId="73D3BBB6" w14:textId="0F8C7E2E" w:rsidR="00444B05" w:rsidRPr="004873E7" w:rsidRDefault="004873E7" w:rsidP="00444B05">
            <w:pPr>
              <w:rPr>
                <w:rFonts w:ascii="Arial" w:hAnsi="Arial"/>
                <w:sz w:val="22"/>
                <w:szCs w:val="22"/>
              </w:rPr>
            </w:pPr>
            <w:r w:rsidRPr="00444B05">
              <w:rPr>
                <w:rFonts w:ascii="Arial" w:hAnsi="Arial"/>
                <w:b/>
                <w:bCs/>
                <w:sz w:val="22"/>
                <w:szCs w:val="22"/>
              </w:rPr>
              <w:t>Presentation</w:t>
            </w:r>
            <w:r>
              <w:rPr>
                <w:rFonts w:ascii="Arial" w:hAnsi="Arial"/>
                <w:b/>
                <w:bCs/>
                <w:sz w:val="22"/>
                <w:szCs w:val="22"/>
              </w:rPr>
              <w:t xml:space="preserve"> of Case</w:t>
            </w:r>
            <w:r w:rsidRPr="00444B05">
              <w:rPr>
                <w:rFonts w:ascii="Arial" w:hAnsi="Arial"/>
                <w:b/>
                <w:bCs/>
                <w:sz w:val="22"/>
                <w:szCs w:val="22"/>
              </w:rPr>
              <w:t xml:space="preserve">: </w:t>
            </w:r>
            <w:r w:rsidR="00444B05" w:rsidRPr="00D544B1">
              <w:rPr>
                <w:rFonts w:ascii="Arial" w:hAnsi="Arial"/>
                <w:sz w:val="22"/>
                <w:szCs w:val="22"/>
              </w:rPr>
              <w:t>We report a retrospective case study of a long COVID patient where autoimmune hepatitis markers were alleviated in a brief time, after consumption of organic EVOO stable in lutein.</w:t>
            </w:r>
            <w:r w:rsidR="00444B05" w:rsidRPr="00444B05">
              <w:rPr>
                <w:rFonts w:ascii="Arial" w:hAnsi="Arial"/>
                <w:sz w:val="22"/>
                <w:szCs w:val="22"/>
              </w:rPr>
              <w:t xml:space="preserve"> A 61-year-old Greek (unvaccinated) woman developed long COVID after SARS-CoV-2 infection. Long COVID symptoms included constipation, chronic fatigue, muscle pain, and blood markers that resembled autoimmune hepatitis (AΙH). High anti-spike protein Immunoglobulin G (IgG) antibodies accompanied the symptoms. Magnetic resonance examination (MRI) was not </w:t>
            </w:r>
            <w:r w:rsidR="00444B05" w:rsidRPr="00A17C28">
              <w:rPr>
                <w:rFonts w:ascii="Arial" w:hAnsi="Arial"/>
                <w:sz w:val="22"/>
                <w:szCs w:val="22"/>
              </w:rPr>
              <w:t xml:space="preserve">conclusive for </w:t>
            </w:r>
            <w:r w:rsidR="00D544B1" w:rsidRPr="00A17C28">
              <w:rPr>
                <w:rFonts w:ascii="Arial" w:hAnsi="Arial"/>
                <w:sz w:val="22"/>
                <w:szCs w:val="22"/>
              </w:rPr>
              <w:t>autoimmune hepatitis (</w:t>
            </w:r>
            <w:r w:rsidR="00444B05" w:rsidRPr="00A17C28">
              <w:rPr>
                <w:rFonts w:ascii="Arial" w:hAnsi="Arial"/>
                <w:sz w:val="22"/>
                <w:szCs w:val="22"/>
              </w:rPr>
              <w:t>AIH</w:t>
            </w:r>
            <w:r w:rsidR="00D544B1" w:rsidRPr="00A17C28">
              <w:rPr>
                <w:rFonts w:ascii="Arial" w:hAnsi="Arial"/>
                <w:sz w:val="22"/>
                <w:szCs w:val="22"/>
              </w:rPr>
              <w:t>)</w:t>
            </w:r>
            <w:r w:rsidR="00444B05" w:rsidRPr="00A17C28">
              <w:rPr>
                <w:rFonts w:ascii="Arial" w:hAnsi="Arial"/>
                <w:sz w:val="22"/>
                <w:szCs w:val="22"/>
              </w:rPr>
              <w:t xml:space="preserve"> diagnosis. The patient was advised to follow a healthy diet and repeat the examinations. As part of the healthy diet, the patient consumed 24 ml of lutein rich (6.5 mg/Kg) stable EVOO (SEVOO)</w:t>
            </w:r>
            <w:r w:rsidR="00444B05" w:rsidRPr="00444B05">
              <w:rPr>
                <w:rFonts w:ascii="Arial" w:hAnsi="Arial"/>
                <w:sz w:val="22"/>
                <w:szCs w:val="22"/>
              </w:rPr>
              <w:t xml:space="preserve"> per day.  </w:t>
            </w:r>
            <w:r w:rsidR="00444B05" w:rsidRPr="00D544B1">
              <w:rPr>
                <w:rFonts w:ascii="Arial" w:hAnsi="Arial"/>
                <w:sz w:val="22"/>
                <w:szCs w:val="22"/>
              </w:rPr>
              <w:t xml:space="preserve">After </w:t>
            </w:r>
            <w:r w:rsidR="00A27EB8" w:rsidRPr="00D544B1">
              <w:rPr>
                <w:rFonts w:ascii="Arial" w:hAnsi="Arial"/>
                <w:sz w:val="22"/>
                <w:szCs w:val="22"/>
              </w:rPr>
              <w:t xml:space="preserve">two </w:t>
            </w:r>
            <w:r w:rsidR="00444B05" w:rsidRPr="00D544B1">
              <w:rPr>
                <w:rFonts w:ascii="Arial" w:hAnsi="Arial"/>
                <w:sz w:val="22"/>
                <w:szCs w:val="22"/>
              </w:rPr>
              <w:t>six months</w:t>
            </w:r>
            <w:r w:rsidR="00A27EB8" w:rsidRPr="00D544B1">
              <w:rPr>
                <w:rFonts w:ascii="Arial" w:hAnsi="Arial"/>
                <w:sz w:val="22"/>
                <w:szCs w:val="22"/>
              </w:rPr>
              <w:t xml:space="preserve"> periods of testing</w:t>
            </w:r>
            <w:r w:rsidR="00444B05" w:rsidRPr="00D544B1">
              <w:rPr>
                <w:rFonts w:ascii="Arial" w:hAnsi="Arial"/>
                <w:sz w:val="22"/>
                <w:szCs w:val="22"/>
              </w:rPr>
              <w:t xml:space="preserve">, AΙΗ markers </w:t>
            </w:r>
            <w:r w:rsidR="002741D7" w:rsidRPr="00D544B1">
              <w:rPr>
                <w:rFonts w:ascii="Arial" w:hAnsi="Arial"/>
                <w:sz w:val="22"/>
                <w:szCs w:val="22"/>
              </w:rPr>
              <w:t xml:space="preserve">were </w:t>
            </w:r>
            <w:r w:rsidR="00444B05" w:rsidRPr="00D544B1">
              <w:rPr>
                <w:rFonts w:ascii="Arial" w:hAnsi="Arial"/>
                <w:sz w:val="22"/>
                <w:szCs w:val="22"/>
              </w:rPr>
              <w:t>normal</w:t>
            </w:r>
            <w:r w:rsidR="002741D7" w:rsidRPr="00D544B1">
              <w:rPr>
                <w:rFonts w:ascii="Arial" w:hAnsi="Arial"/>
                <w:sz w:val="22"/>
                <w:szCs w:val="22"/>
              </w:rPr>
              <w:t>.</w:t>
            </w:r>
          </w:p>
          <w:p w14:paraId="21C8A5D8" w14:textId="620A0939" w:rsidR="00505F06" w:rsidRPr="00444B05" w:rsidRDefault="008C4911" w:rsidP="00444B05">
            <w:pPr>
              <w:rPr>
                <w:rFonts w:ascii="Arial" w:hAnsi="Arial"/>
                <w:sz w:val="24"/>
              </w:rPr>
            </w:pPr>
            <w:r>
              <w:rPr>
                <w:rFonts w:ascii="Arial" w:hAnsi="Arial"/>
                <w:b/>
                <w:bCs/>
                <w:sz w:val="22"/>
                <w:szCs w:val="22"/>
              </w:rPr>
              <w:t xml:space="preserve">Discussion and </w:t>
            </w:r>
            <w:r w:rsidR="00444B05" w:rsidRPr="00D544B1">
              <w:rPr>
                <w:rFonts w:ascii="Arial" w:hAnsi="Arial"/>
                <w:b/>
                <w:bCs/>
                <w:sz w:val="22"/>
                <w:szCs w:val="22"/>
              </w:rPr>
              <w:t xml:space="preserve">Conclusion: </w:t>
            </w:r>
            <w:r w:rsidR="00444B05" w:rsidRPr="00D544B1">
              <w:rPr>
                <w:rFonts w:ascii="Arial" w:hAnsi="Arial"/>
                <w:sz w:val="22"/>
                <w:szCs w:val="22"/>
              </w:rPr>
              <w:t xml:space="preserve">Natural lutein consumption by means of SEVOO helped to alleviate liver damage </w:t>
            </w:r>
            <w:r w:rsidR="00A27EB8" w:rsidRPr="00D544B1">
              <w:rPr>
                <w:rFonts w:ascii="Arial" w:hAnsi="Arial"/>
                <w:sz w:val="22"/>
                <w:szCs w:val="22"/>
              </w:rPr>
              <w:t>as shown by the</w:t>
            </w:r>
            <w:r w:rsidR="00677A19" w:rsidRPr="00D544B1">
              <w:rPr>
                <w:rFonts w:ascii="Arial" w:hAnsi="Arial"/>
                <w:sz w:val="22"/>
                <w:szCs w:val="22"/>
              </w:rPr>
              <w:t xml:space="preserve"> </w:t>
            </w:r>
            <w:r w:rsidR="00444B05" w:rsidRPr="00D544B1">
              <w:rPr>
                <w:rFonts w:ascii="Arial" w:hAnsi="Arial"/>
                <w:sz w:val="22"/>
                <w:szCs w:val="22"/>
              </w:rPr>
              <w:t>AIH markers and</w:t>
            </w:r>
            <w:r w:rsidR="00B833EB" w:rsidRPr="00D544B1">
              <w:rPr>
                <w:rFonts w:ascii="Arial" w:hAnsi="Arial"/>
                <w:sz w:val="22"/>
                <w:szCs w:val="22"/>
              </w:rPr>
              <w:t xml:space="preserve"> to</w:t>
            </w:r>
            <w:r w:rsidR="00444B05" w:rsidRPr="00D544B1">
              <w:rPr>
                <w:rFonts w:ascii="Arial" w:hAnsi="Arial"/>
                <w:sz w:val="22"/>
                <w:szCs w:val="22"/>
              </w:rPr>
              <w:t xml:space="preserve"> </w:t>
            </w:r>
            <w:r w:rsidR="00B833EB" w:rsidRPr="00D544B1">
              <w:rPr>
                <w:rFonts w:ascii="Arial" w:hAnsi="Arial"/>
                <w:sz w:val="22"/>
                <w:szCs w:val="22"/>
              </w:rPr>
              <w:t xml:space="preserve">ameliorate </w:t>
            </w:r>
            <w:r w:rsidR="00444B05" w:rsidRPr="00D544B1">
              <w:rPr>
                <w:rFonts w:ascii="Arial" w:hAnsi="Arial"/>
                <w:sz w:val="22"/>
                <w:szCs w:val="22"/>
              </w:rPr>
              <w:t>chronic fatigue and muscle pain in a long COVID patient.</w:t>
            </w:r>
            <w:r w:rsidR="00444B05" w:rsidRPr="005C7403">
              <w:rPr>
                <w:rFonts w:ascii="Arial" w:hAnsi="Arial"/>
                <w:sz w:val="24"/>
              </w:rPr>
              <w:t xml:space="preserve"> </w:t>
            </w:r>
          </w:p>
        </w:tc>
      </w:tr>
    </w:tbl>
    <w:p w14:paraId="718D0BC3" w14:textId="77777777" w:rsidR="00636EB2" w:rsidRDefault="00636EB2" w:rsidP="00441B6F">
      <w:pPr>
        <w:pStyle w:val="Body"/>
        <w:spacing w:after="0"/>
        <w:rPr>
          <w:rFonts w:ascii="Arial" w:hAnsi="Arial" w:cs="Arial"/>
          <w:i/>
        </w:rPr>
      </w:pPr>
    </w:p>
    <w:p w14:paraId="374E22A5" w14:textId="1F54D4A8" w:rsidR="00790ADA" w:rsidRDefault="00A24E7E" w:rsidP="00441B6F">
      <w:pPr>
        <w:pStyle w:val="Body"/>
        <w:spacing w:after="0"/>
        <w:rPr>
          <w:rFonts w:ascii="Arial" w:hAnsi="Arial"/>
          <w:sz w:val="24"/>
        </w:rPr>
      </w:pPr>
      <w:r>
        <w:rPr>
          <w:rFonts w:ascii="Arial" w:hAnsi="Arial" w:cs="Arial"/>
          <w:i/>
        </w:rPr>
        <w:t xml:space="preserve">Keywords: </w:t>
      </w:r>
      <w:r w:rsidR="000A4C27" w:rsidRPr="000A4C27">
        <w:rPr>
          <w:rFonts w:ascii="Arial" w:hAnsi="Arial" w:cs="Arial"/>
          <w:i/>
        </w:rPr>
        <w:t xml:space="preserve">Long-COVID; </w:t>
      </w:r>
      <w:r w:rsidR="00385AB0">
        <w:rPr>
          <w:rFonts w:ascii="Arial" w:hAnsi="Arial" w:cs="Arial"/>
          <w:i/>
        </w:rPr>
        <w:t>l</w:t>
      </w:r>
      <w:r w:rsidR="000A4C27" w:rsidRPr="000A4C27">
        <w:rPr>
          <w:rFonts w:ascii="Arial" w:hAnsi="Arial" w:cs="Arial"/>
          <w:i/>
        </w:rPr>
        <w:t xml:space="preserve">iver damage; </w:t>
      </w:r>
      <w:r w:rsidR="00385AB0">
        <w:rPr>
          <w:rFonts w:ascii="Arial" w:hAnsi="Arial" w:cs="Arial"/>
          <w:i/>
        </w:rPr>
        <w:t>a</w:t>
      </w:r>
      <w:r w:rsidR="000A4C27" w:rsidRPr="000A4C27">
        <w:rPr>
          <w:rFonts w:ascii="Arial" w:hAnsi="Arial" w:cs="Arial"/>
          <w:i/>
        </w:rPr>
        <w:t xml:space="preserve">utoimmune hepatis; </w:t>
      </w:r>
      <w:r w:rsidR="00385AB0">
        <w:rPr>
          <w:rFonts w:ascii="Arial" w:hAnsi="Arial" w:cs="Arial"/>
          <w:i/>
        </w:rPr>
        <w:t>n</w:t>
      </w:r>
      <w:r w:rsidR="000A4C27" w:rsidRPr="000A4C27">
        <w:rPr>
          <w:rFonts w:ascii="Arial" w:hAnsi="Arial" w:cs="Arial"/>
          <w:i/>
        </w:rPr>
        <w:t>atural lutein</w:t>
      </w:r>
      <w:r w:rsidR="00A27EB8">
        <w:rPr>
          <w:rFonts w:ascii="Arial" w:hAnsi="Arial" w:cs="Arial"/>
          <w:i/>
        </w:rPr>
        <w:t xml:space="preserve">: </w:t>
      </w:r>
      <w:r w:rsidR="000A4C27" w:rsidRPr="000A4C27">
        <w:rPr>
          <w:rFonts w:ascii="Arial" w:hAnsi="Arial" w:cs="Arial"/>
          <w:i/>
        </w:rPr>
        <w:t xml:space="preserve">extra virgin </w:t>
      </w:r>
      <w:r w:rsidR="000A4C27" w:rsidRPr="00AD75A2">
        <w:rPr>
          <w:rFonts w:ascii="Arial" w:hAnsi="Arial" w:cs="Arial"/>
          <w:i/>
        </w:rPr>
        <w:t>olive oil; Mediterranean diet.</w:t>
      </w:r>
      <w:r w:rsidR="000A4C27">
        <w:rPr>
          <w:rFonts w:ascii="Arial" w:hAnsi="Arial" w:cs="Arial"/>
          <w:i/>
        </w:rPr>
        <w:t xml:space="preserve"> </w:t>
      </w:r>
      <w:r w:rsidR="000A4C27" w:rsidRPr="005C7403">
        <w:rPr>
          <w:rFonts w:ascii="Arial" w:hAnsi="Arial"/>
          <w:sz w:val="24"/>
        </w:rPr>
        <w:t xml:space="preserve"> </w:t>
      </w:r>
    </w:p>
    <w:p w14:paraId="098B18BB" w14:textId="77777777" w:rsidR="00A27EB8" w:rsidRDefault="00A27EB8" w:rsidP="00441B6F">
      <w:pPr>
        <w:pStyle w:val="Body"/>
        <w:spacing w:after="0"/>
        <w:rPr>
          <w:rFonts w:ascii="Arial" w:hAnsi="Arial" w:cs="Arial"/>
          <w:i/>
        </w:rPr>
      </w:pPr>
    </w:p>
    <w:p w14:paraId="64CBE3B2" w14:textId="77777777" w:rsidR="0024282C" w:rsidRDefault="0024282C" w:rsidP="00441B6F">
      <w:pPr>
        <w:pStyle w:val="Body"/>
        <w:spacing w:after="0"/>
        <w:rPr>
          <w:rFonts w:ascii="Arial" w:hAnsi="Arial" w:cs="Arial"/>
          <w:i/>
          <w:sz w:val="18"/>
        </w:rPr>
      </w:pPr>
    </w:p>
    <w:p w14:paraId="7CEB116D" w14:textId="77777777" w:rsidR="00505F06" w:rsidRPr="00A24E7E" w:rsidRDefault="00505F06" w:rsidP="00441B6F">
      <w:pPr>
        <w:pStyle w:val="Body"/>
        <w:spacing w:after="0"/>
        <w:rPr>
          <w:rFonts w:ascii="Arial" w:hAnsi="Arial" w:cs="Arial"/>
          <w:i/>
        </w:rPr>
      </w:pPr>
    </w:p>
    <w:p w14:paraId="610873AA" w14:textId="51A6DD8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C4A1E59" w14:textId="77777777" w:rsidR="00790ADA" w:rsidRPr="00FB3A86" w:rsidRDefault="00790ADA" w:rsidP="00441B6F">
      <w:pPr>
        <w:pStyle w:val="AbstHead"/>
        <w:spacing w:after="0"/>
        <w:jc w:val="both"/>
        <w:rPr>
          <w:rFonts w:ascii="Arial" w:hAnsi="Arial" w:cs="Arial"/>
        </w:rPr>
      </w:pPr>
    </w:p>
    <w:p w14:paraId="0380597E" w14:textId="1C940211" w:rsidR="000A4C27" w:rsidRPr="00D544B1" w:rsidRDefault="000A4C27" w:rsidP="000A4C27">
      <w:pPr>
        <w:rPr>
          <w:rFonts w:ascii="Arial" w:eastAsia="Calibri" w:hAnsi="Arial" w:cs="Arial"/>
          <w:strike/>
          <w:color w:val="000000" w:themeColor="text1"/>
          <w:szCs w:val="22"/>
        </w:rPr>
      </w:pPr>
      <w:r w:rsidRPr="000A4C27">
        <w:rPr>
          <w:rFonts w:ascii="Arial" w:eastAsia="Calibri" w:hAnsi="Arial" w:cs="Arial"/>
          <w:szCs w:val="22"/>
        </w:rPr>
        <w:t>Lutein is a powerful antioxidant that cannot be synthesized by the human organism but can only be acquired from diet. Lutein has a long history of human clinical trials showing its potential to combat eye disease, and it is regarded as a safe (Generally Recognized as Safe) nutrient to be consumed for a long time period [</w:t>
      </w:r>
      <w:r w:rsidRPr="000A4C27">
        <w:rPr>
          <w:rFonts w:ascii="Arial" w:eastAsia="Calibri" w:hAnsi="Arial" w:cs="Arial"/>
          <w:szCs w:val="22"/>
        </w:rPr>
        <w:fldChar w:fldCharType="begin"/>
      </w:r>
      <w:r w:rsidRPr="000A4C27">
        <w:rPr>
          <w:rFonts w:ascii="Arial" w:eastAsia="Calibri" w:hAnsi="Arial" w:cs="Arial"/>
          <w:szCs w:val="22"/>
        </w:rPr>
        <w:instrText xml:space="preserve"> REF _Ref184221391 \r \h  \* MERGEFORMAT </w:instrText>
      </w:r>
      <w:r w:rsidRPr="000A4C27">
        <w:rPr>
          <w:rFonts w:ascii="Arial" w:eastAsia="Calibri" w:hAnsi="Arial" w:cs="Arial"/>
          <w:szCs w:val="22"/>
        </w:rPr>
      </w:r>
      <w:r w:rsidRPr="000A4C27">
        <w:rPr>
          <w:rFonts w:ascii="Arial" w:eastAsia="Calibri" w:hAnsi="Arial" w:cs="Arial"/>
          <w:szCs w:val="22"/>
        </w:rPr>
        <w:fldChar w:fldCharType="separate"/>
      </w:r>
      <w:r w:rsidR="00871DB4">
        <w:rPr>
          <w:rFonts w:ascii="Arial" w:eastAsia="Calibri" w:hAnsi="Arial" w:cs="Arial"/>
          <w:szCs w:val="22"/>
        </w:rPr>
        <w:t>1</w:t>
      </w:r>
      <w:r w:rsidRPr="000A4C27">
        <w:rPr>
          <w:rFonts w:ascii="Arial" w:eastAsia="Calibri" w:hAnsi="Arial" w:cs="Arial"/>
          <w:szCs w:val="22"/>
        </w:rPr>
        <w:fldChar w:fldCharType="end"/>
      </w:r>
      <w:r w:rsidRPr="000A4C27">
        <w:rPr>
          <w:rFonts w:ascii="Arial" w:eastAsia="Calibri" w:hAnsi="Arial" w:cs="Arial"/>
          <w:szCs w:val="22"/>
        </w:rPr>
        <w:t xml:space="preserve">]. Exceptional are lutein’s properties against liver damage. Lutein, by promoting </w:t>
      </w:r>
      <w:proofErr w:type="spellStart"/>
      <w:r w:rsidRPr="000A4C27">
        <w:rPr>
          <w:rFonts w:ascii="Arial" w:eastAsia="Calibri" w:hAnsi="Arial" w:cs="Arial"/>
          <w:szCs w:val="22"/>
        </w:rPr>
        <w:t>lipophagy</w:t>
      </w:r>
      <w:proofErr w:type="spellEnd"/>
      <w:r w:rsidRPr="000A4C27">
        <w:rPr>
          <w:rFonts w:ascii="Arial" w:eastAsia="Calibri" w:hAnsi="Arial" w:cs="Arial"/>
          <w:szCs w:val="22"/>
        </w:rPr>
        <w:t xml:space="preserve"> (a certain type of autophagy), regulates lipolysis and reduces inflammation and oxidative stress in the liver. For these reasons, lutein is considered </w:t>
      </w:r>
      <w:r w:rsidR="00D544B1">
        <w:rPr>
          <w:rFonts w:ascii="Arial" w:eastAsia="Calibri" w:hAnsi="Arial" w:cs="Arial"/>
          <w:szCs w:val="22"/>
        </w:rPr>
        <w:t>to be a powerful nutrient to be used in the future against liver steatosis</w:t>
      </w:r>
      <w:r w:rsidR="00D544B1" w:rsidRPr="000A4C27">
        <w:rPr>
          <w:rFonts w:ascii="Arial" w:eastAsia="Calibri" w:hAnsi="Arial" w:cs="Arial"/>
          <w:szCs w:val="22"/>
        </w:rPr>
        <w:t xml:space="preserve"> [</w:t>
      </w:r>
      <w:r w:rsidR="00D544B1" w:rsidRPr="000A4C27">
        <w:rPr>
          <w:rFonts w:ascii="Arial" w:eastAsia="Calibri" w:hAnsi="Arial" w:cs="Arial"/>
          <w:szCs w:val="22"/>
        </w:rPr>
        <w:fldChar w:fldCharType="begin"/>
      </w:r>
      <w:r w:rsidR="00D544B1" w:rsidRPr="000A4C27">
        <w:rPr>
          <w:rFonts w:ascii="Arial" w:eastAsia="Calibri" w:hAnsi="Arial" w:cs="Arial"/>
          <w:szCs w:val="22"/>
        </w:rPr>
        <w:instrText xml:space="preserve"> REF _Ref184221402 \r \h  \* MERGEFORMAT </w:instrText>
      </w:r>
      <w:r w:rsidR="00D544B1" w:rsidRPr="000A4C27">
        <w:rPr>
          <w:rFonts w:ascii="Arial" w:eastAsia="Calibri" w:hAnsi="Arial" w:cs="Arial"/>
          <w:szCs w:val="22"/>
        </w:rPr>
      </w:r>
      <w:r w:rsidR="00D544B1" w:rsidRPr="000A4C27">
        <w:rPr>
          <w:rFonts w:ascii="Arial" w:eastAsia="Calibri" w:hAnsi="Arial" w:cs="Arial"/>
          <w:szCs w:val="22"/>
        </w:rPr>
        <w:fldChar w:fldCharType="separate"/>
      </w:r>
      <w:r w:rsidR="00871DB4">
        <w:rPr>
          <w:rFonts w:ascii="Arial" w:eastAsia="Calibri" w:hAnsi="Arial" w:cs="Arial"/>
          <w:szCs w:val="22"/>
        </w:rPr>
        <w:t>2</w:t>
      </w:r>
      <w:r w:rsidR="00D544B1" w:rsidRPr="000A4C27">
        <w:rPr>
          <w:rFonts w:ascii="Arial" w:eastAsia="Calibri" w:hAnsi="Arial" w:cs="Arial"/>
          <w:szCs w:val="22"/>
        </w:rPr>
        <w:fldChar w:fldCharType="end"/>
      </w:r>
      <w:r w:rsidR="00D544B1" w:rsidRPr="000A4C27">
        <w:rPr>
          <w:rFonts w:ascii="Arial" w:eastAsia="Calibri" w:hAnsi="Arial" w:cs="Arial"/>
          <w:szCs w:val="22"/>
        </w:rPr>
        <w:t>].</w:t>
      </w:r>
    </w:p>
    <w:p w14:paraId="5AE44477" w14:textId="77777777" w:rsidR="00677A19" w:rsidRPr="00D544B1" w:rsidRDefault="00677A19" w:rsidP="000A4C27">
      <w:pPr>
        <w:rPr>
          <w:rFonts w:ascii="Arial" w:eastAsia="Calibri" w:hAnsi="Arial" w:cs="Arial"/>
          <w:color w:val="EE0000"/>
          <w:szCs w:val="22"/>
        </w:rPr>
      </w:pPr>
    </w:p>
    <w:p w14:paraId="6DF5ECB8" w14:textId="63E11AEB" w:rsidR="000A4C27" w:rsidRPr="00AC0E58" w:rsidRDefault="000A4C27" w:rsidP="000A4C27">
      <w:pPr>
        <w:rPr>
          <w:rFonts w:ascii="Arial" w:eastAsia="Calibri" w:hAnsi="Arial" w:cs="Arial"/>
          <w:strike/>
          <w:szCs w:val="22"/>
        </w:rPr>
      </w:pPr>
      <w:r w:rsidRPr="000A4C27">
        <w:rPr>
          <w:rFonts w:ascii="Arial" w:eastAsia="Calibri" w:hAnsi="Arial" w:cs="Arial"/>
          <w:szCs w:val="22"/>
        </w:rPr>
        <w:t>A recent comprehensive review study has identified the potential beneficial role of dietary supplementation of lutein against oxidative and nitrosative stress in cases of long COVID [</w:t>
      </w:r>
      <w:r w:rsidRPr="000A4C27">
        <w:rPr>
          <w:rFonts w:ascii="Arial" w:eastAsia="Calibri" w:hAnsi="Arial" w:cs="Arial"/>
          <w:szCs w:val="22"/>
        </w:rPr>
        <w:fldChar w:fldCharType="begin"/>
      </w:r>
      <w:r w:rsidRPr="000A4C27">
        <w:rPr>
          <w:rFonts w:ascii="Arial" w:eastAsia="Calibri" w:hAnsi="Arial" w:cs="Arial"/>
          <w:szCs w:val="22"/>
        </w:rPr>
        <w:instrText xml:space="preserve"> REF _Ref186873049 \r \h  \* MERGEFORMAT </w:instrText>
      </w:r>
      <w:r w:rsidRPr="000A4C27">
        <w:rPr>
          <w:rFonts w:ascii="Arial" w:eastAsia="Calibri" w:hAnsi="Arial" w:cs="Arial"/>
          <w:szCs w:val="22"/>
        </w:rPr>
      </w:r>
      <w:r w:rsidRPr="000A4C27">
        <w:rPr>
          <w:rFonts w:ascii="Arial" w:eastAsia="Calibri" w:hAnsi="Arial" w:cs="Arial"/>
          <w:szCs w:val="22"/>
        </w:rPr>
        <w:fldChar w:fldCharType="separate"/>
      </w:r>
      <w:r w:rsidR="00871DB4">
        <w:rPr>
          <w:rFonts w:ascii="Arial" w:eastAsia="Calibri" w:hAnsi="Arial" w:cs="Arial"/>
          <w:szCs w:val="22"/>
        </w:rPr>
        <w:t>3</w:t>
      </w:r>
      <w:r w:rsidRPr="000A4C27">
        <w:rPr>
          <w:rFonts w:ascii="Arial" w:eastAsia="Calibri" w:hAnsi="Arial" w:cs="Arial"/>
          <w:szCs w:val="22"/>
        </w:rPr>
        <w:fldChar w:fldCharType="end"/>
      </w:r>
      <w:r w:rsidRPr="000A4C27">
        <w:rPr>
          <w:rFonts w:ascii="Arial" w:eastAsia="Calibri" w:hAnsi="Arial" w:cs="Arial"/>
          <w:szCs w:val="22"/>
        </w:rPr>
        <w:t>]. The pathogenic role of oxidative stress has long been found to be implicated in liver fibrosis, acute liver injuries, and infectious or metabolic related liver injuries [</w:t>
      </w:r>
      <w:r w:rsidRPr="000A4C27">
        <w:rPr>
          <w:rFonts w:ascii="Arial" w:eastAsia="Calibri" w:hAnsi="Arial" w:cs="Arial"/>
          <w:szCs w:val="22"/>
        </w:rPr>
        <w:fldChar w:fldCharType="begin"/>
      </w:r>
      <w:r w:rsidRPr="000A4C27">
        <w:rPr>
          <w:rFonts w:ascii="Arial" w:eastAsia="Calibri" w:hAnsi="Arial" w:cs="Arial"/>
          <w:szCs w:val="22"/>
        </w:rPr>
        <w:instrText xml:space="preserve"> REF _Ref186873267 \r \h  \* MERGEFORMAT </w:instrText>
      </w:r>
      <w:r w:rsidRPr="000A4C27">
        <w:rPr>
          <w:rFonts w:ascii="Arial" w:eastAsia="Calibri" w:hAnsi="Arial" w:cs="Arial"/>
          <w:szCs w:val="22"/>
        </w:rPr>
      </w:r>
      <w:r w:rsidRPr="000A4C27">
        <w:rPr>
          <w:rFonts w:ascii="Arial" w:eastAsia="Calibri" w:hAnsi="Arial" w:cs="Arial"/>
          <w:szCs w:val="22"/>
        </w:rPr>
        <w:fldChar w:fldCharType="separate"/>
      </w:r>
      <w:r w:rsidR="00871DB4">
        <w:rPr>
          <w:rFonts w:ascii="Arial" w:eastAsia="Calibri" w:hAnsi="Arial" w:cs="Arial"/>
          <w:szCs w:val="22"/>
        </w:rPr>
        <w:t>4</w:t>
      </w:r>
      <w:r w:rsidRPr="000A4C27">
        <w:rPr>
          <w:rFonts w:ascii="Arial" w:eastAsia="Calibri" w:hAnsi="Arial" w:cs="Arial"/>
          <w:szCs w:val="22"/>
        </w:rPr>
        <w:fldChar w:fldCharType="end"/>
      </w:r>
      <w:r w:rsidRPr="000A4C27">
        <w:rPr>
          <w:rFonts w:ascii="Arial" w:eastAsia="Calibri" w:hAnsi="Arial" w:cs="Arial"/>
          <w:szCs w:val="22"/>
        </w:rPr>
        <w:t xml:space="preserve">]. A recent animal study has </w:t>
      </w:r>
      <w:r w:rsidRPr="00A17C28">
        <w:rPr>
          <w:rFonts w:ascii="Arial" w:eastAsia="Calibri" w:hAnsi="Arial" w:cs="Arial"/>
          <w:szCs w:val="22"/>
        </w:rPr>
        <w:t>identified several key clinical reasons why dietary supplementation of lutein can reduce liver oxidative damage. These include the reduction of nuclear factor kappa-light-chain-enhancer of activated B cells (NF-</w:t>
      </w:r>
      <w:proofErr w:type="spellStart"/>
      <w:r w:rsidRPr="00A17C28">
        <w:rPr>
          <w:rFonts w:ascii="Arial" w:eastAsia="Calibri" w:hAnsi="Arial" w:cs="Arial"/>
          <w:szCs w:val="22"/>
        </w:rPr>
        <w:t>κB</w:t>
      </w:r>
      <w:proofErr w:type="spellEnd"/>
      <w:r w:rsidRPr="00A17C28">
        <w:rPr>
          <w:rFonts w:ascii="Arial" w:eastAsia="Calibri" w:hAnsi="Arial" w:cs="Arial"/>
          <w:szCs w:val="22"/>
        </w:rPr>
        <w:t xml:space="preserve">) inflammatory mediation, the restoration of lipid metabolism in the liver and the toll-like receptor 4 (TLR4) induced inflammatory response in the liver. </w:t>
      </w:r>
      <w:r w:rsidR="00850178" w:rsidRPr="00A17C28">
        <w:rPr>
          <w:rFonts w:ascii="Arial" w:eastAsia="Calibri" w:hAnsi="Arial" w:cs="Arial"/>
          <w:szCs w:val="22"/>
        </w:rPr>
        <w:t>Phenomenologically</w:t>
      </w:r>
      <w:r w:rsidRPr="00A17C28">
        <w:rPr>
          <w:rFonts w:ascii="Arial" w:eastAsia="Calibri" w:hAnsi="Arial" w:cs="Arial"/>
          <w:szCs w:val="22"/>
        </w:rPr>
        <w:t>, lutein works on the restoration of liver-gut axis, by restoring the populations of essential microbial flora (probiotic bacteria) in the gut</w:t>
      </w:r>
      <w:r w:rsidR="00AC0E58" w:rsidRPr="00A17C28">
        <w:rPr>
          <w:rFonts w:ascii="Arial" w:eastAsia="Calibri" w:hAnsi="Arial" w:cs="Arial"/>
          <w:szCs w:val="22"/>
        </w:rPr>
        <w:t xml:space="preserve"> [</w:t>
      </w:r>
      <w:r w:rsidR="00AC0E58" w:rsidRPr="00A17C28">
        <w:rPr>
          <w:rFonts w:ascii="Arial" w:eastAsia="Calibri" w:hAnsi="Arial" w:cs="Arial"/>
          <w:szCs w:val="22"/>
        </w:rPr>
        <w:fldChar w:fldCharType="begin"/>
      </w:r>
      <w:r w:rsidR="00AC0E58" w:rsidRPr="00A17C28">
        <w:rPr>
          <w:rFonts w:ascii="Arial" w:eastAsia="Calibri" w:hAnsi="Arial" w:cs="Arial"/>
          <w:szCs w:val="22"/>
        </w:rPr>
        <w:instrText xml:space="preserve"> REF _Ref186873542 \r \h  \* MERGEFORMAT </w:instrText>
      </w:r>
      <w:r w:rsidR="00AC0E58" w:rsidRPr="00A17C28">
        <w:rPr>
          <w:rFonts w:ascii="Arial" w:eastAsia="Calibri" w:hAnsi="Arial" w:cs="Arial"/>
          <w:szCs w:val="22"/>
        </w:rPr>
      </w:r>
      <w:r w:rsidR="00AC0E58" w:rsidRPr="00A17C28">
        <w:rPr>
          <w:rFonts w:ascii="Arial" w:eastAsia="Calibri" w:hAnsi="Arial" w:cs="Arial"/>
          <w:szCs w:val="22"/>
        </w:rPr>
        <w:fldChar w:fldCharType="separate"/>
      </w:r>
      <w:r w:rsidR="00871DB4">
        <w:rPr>
          <w:rFonts w:ascii="Arial" w:eastAsia="Calibri" w:hAnsi="Arial" w:cs="Arial"/>
          <w:szCs w:val="22"/>
        </w:rPr>
        <w:t>5</w:t>
      </w:r>
      <w:r w:rsidR="00AC0E58" w:rsidRPr="00A17C28">
        <w:rPr>
          <w:rFonts w:ascii="Arial" w:eastAsia="Calibri" w:hAnsi="Arial" w:cs="Arial"/>
          <w:szCs w:val="22"/>
        </w:rPr>
        <w:fldChar w:fldCharType="end"/>
      </w:r>
      <w:r w:rsidR="00AC0E58" w:rsidRPr="00A17C28">
        <w:rPr>
          <w:rFonts w:ascii="Arial" w:eastAsia="Calibri" w:hAnsi="Arial" w:cs="Arial"/>
          <w:szCs w:val="22"/>
        </w:rPr>
        <w:t>].</w:t>
      </w:r>
      <w:r w:rsidRPr="00A17C28">
        <w:rPr>
          <w:rFonts w:ascii="Arial" w:eastAsia="Calibri" w:hAnsi="Arial" w:cs="Arial"/>
          <w:szCs w:val="22"/>
        </w:rPr>
        <w:t xml:space="preserve"> </w:t>
      </w:r>
      <w:r w:rsidR="00A17C28" w:rsidRPr="00AC0E58">
        <w:rPr>
          <w:rFonts w:ascii="Arial" w:eastAsia="Calibri" w:hAnsi="Arial" w:cs="Arial"/>
          <w:strike/>
          <w:szCs w:val="22"/>
        </w:rPr>
        <w:t xml:space="preserve"> </w:t>
      </w:r>
    </w:p>
    <w:p w14:paraId="7B8B97C5" w14:textId="77777777" w:rsidR="00677A19" w:rsidRPr="00A27EB8" w:rsidRDefault="00677A19" w:rsidP="000A4C27">
      <w:pPr>
        <w:rPr>
          <w:rFonts w:ascii="Arial" w:eastAsia="Calibri" w:hAnsi="Arial" w:cs="Arial"/>
          <w:strike/>
          <w:szCs w:val="22"/>
        </w:rPr>
      </w:pPr>
    </w:p>
    <w:p w14:paraId="0E8746A8" w14:textId="79D32141" w:rsidR="000A4C27" w:rsidRPr="000A4C27" w:rsidRDefault="000A4C27" w:rsidP="000A4C27">
      <w:pPr>
        <w:rPr>
          <w:rFonts w:ascii="Arial" w:eastAsia="Calibri" w:hAnsi="Arial" w:cs="Arial"/>
          <w:szCs w:val="22"/>
        </w:rPr>
      </w:pPr>
      <w:r w:rsidRPr="000A4C27">
        <w:rPr>
          <w:rFonts w:ascii="Arial" w:eastAsia="Calibri" w:hAnsi="Arial" w:cs="Arial"/>
          <w:szCs w:val="22"/>
        </w:rPr>
        <w:lastRenderedPageBreak/>
        <w:t>Long COVID develops regularly after SARS-CoV-2 infection (COVID-19).</w:t>
      </w:r>
      <w:r w:rsidR="001C0C10">
        <w:rPr>
          <w:rFonts w:ascii="Arial" w:eastAsia="Calibri" w:hAnsi="Arial" w:cs="Arial"/>
          <w:szCs w:val="22"/>
        </w:rPr>
        <w:t xml:space="preserve"> </w:t>
      </w:r>
      <w:r w:rsidR="001C618C" w:rsidRPr="001C618C">
        <w:rPr>
          <w:rFonts w:ascii="Arial" w:eastAsia="Calibri" w:hAnsi="Arial" w:cs="Arial"/>
          <w:szCs w:val="22"/>
          <w:highlight w:val="yellow"/>
        </w:rPr>
        <w:t>COVID-19 causes type III hypersensitivity reaction and autoimmunity [6].</w:t>
      </w:r>
      <w:r w:rsidRPr="000A4C27">
        <w:rPr>
          <w:rFonts w:ascii="Arial" w:eastAsia="Calibri" w:hAnsi="Arial" w:cs="Arial"/>
          <w:szCs w:val="22"/>
        </w:rPr>
        <w:t xml:space="preserve"> </w:t>
      </w:r>
      <w:r w:rsidR="00871DB4" w:rsidRPr="00D56672">
        <w:rPr>
          <w:rFonts w:ascii="Arial" w:eastAsia="Calibri" w:hAnsi="Arial" w:cs="Arial"/>
          <w:szCs w:val="22"/>
          <w:highlight w:val="yellow"/>
        </w:rPr>
        <w:t>There have been several recent case studies reporting on de novo AIH following COVID-19 infection [</w:t>
      </w:r>
      <w:r w:rsidR="00871DB4" w:rsidRPr="00D56672">
        <w:rPr>
          <w:rFonts w:ascii="Arial" w:eastAsia="Calibri" w:hAnsi="Arial" w:cs="Arial"/>
          <w:szCs w:val="22"/>
          <w:highlight w:val="yellow"/>
        </w:rPr>
        <w:fldChar w:fldCharType="begin"/>
      </w:r>
      <w:r w:rsidR="00871DB4" w:rsidRPr="00D56672">
        <w:rPr>
          <w:rFonts w:ascii="Arial" w:eastAsia="Calibri" w:hAnsi="Arial" w:cs="Arial"/>
          <w:szCs w:val="22"/>
          <w:highlight w:val="yellow"/>
        </w:rPr>
        <w:instrText xml:space="preserve"> REF _Ref209275928 \r \h </w:instrText>
      </w:r>
      <w:r w:rsidR="00D56672">
        <w:rPr>
          <w:rFonts w:ascii="Arial" w:eastAsia="Calibri" w:hAnsi="Arial" w:cs="Arial"/>
          <w:szCs w:val="22"/>
          <w:highlight w:val="yellow"/>
        </w:rPr>
        <w:instrText xml:space="preserve"> \* MERGEFORMAT </w:instrText>
      </w:r>
      <w:r w:rsidR="00871DB4" w:rsidRPr="00D56672">
        <w:rPr>
          <w:rFonts w:ascii="Arial" w:eastAsia="Calibri" w:hAnsi="Arial" w:cs="Arial"/>
          <w:szCs w:val="22"/>
          <w:highlight w:val="yellow"/>
        </w:rPr>
      </w:r>
      <w:r w:rsidR="00871DB4" w:rsidRPr="00D56672">
        <w:rPr>
          <w:rFonts w:ascii="Arial" w:eastAsia="Calibri" w:hAnsi="Arial" w:cs="Arial"/>
          <w:szCs w:val="22"/>
          <w:highlight w:val="yellow"/>
        </w:rPr>
        <w:fldChar w:fldCharType="separate"/>
      </w:r>
      <w:r w:rsidR="00871DB4" w:rsidRPr="00D56672">
        <w:rPr>
          <w:rFonts w:ascii="Arial" w:eastAsia="Calibri" w:hAnsi="Arial" w:cs="Arial"/>
          <w:szCs w:val="22"/>
          <w:highlight w:val="yellow"/>
        </w:rPr>
        <w:t>7</w:t>
      </w:r>
      <w:r w:rsidR="00871DB4" w:rsidRPr="00D56672">
        <w:rPr>
          <w:rFonts w:ascii="Arial" w:eastAsia="Calibri" w:hAnsi="Arial" w:cs="Arial"/>
          <w:szCs w:val="22"/>
          <w:highlight w:val="yellow"/>
        </w:rPr>
        <w:fldChar w:fldCharType="end"/>
      </w:r>
      <w:r w:rsidR="00871DB4" w:rsidRPr="00D56672">
        <w:rPr>
          <w:rFonts w:ascii="Arial" w:eastAsia="Calibri" w:hAnsi="Arial" w:cs="Arial"/>
          <w:szCs w:val="22"/>
          <w:highlight w:val="yellow"/>
        </w:rPr>
        <w:t>-</w:t>
      </w:r>
      <w:r w:rsidR="00871DB4" w:rsidRPr="00D56672">
        <w:rPr>
          <w:rFonts w:ascii="Arial" w:eastAsia="Calibri" w:hAnsi="Arial" w:cs="Arial"/>
          <w:szCs w:val="22"/>
          <w:highlight w:val="yellow"/>
        </w:rPr>
        <w:fldChar w:fldCharType="begin"/>
      </w:r>
      <w:r w:rsidR="00871DB4" w:rsidRPr="00D56672">
        <w:rPr>
          <w:rFonts w:ascii="Arial" w:eastAsia="Calibri" w:hAnsi="Arial" w:cs="Arial"/>
          <w:szCs w:val="22"/>
          <w:highlight w:val="yellow"/>
        </w:rPr>
        <w:instrText xml:space="preserve"> REF _Ref209275938 \r \h </w:instrText>
      </w:r>
      <w:r w:rsidR="00D56672">
        <w:rPr>
          <w:rFonts w:ascii="Arial" w:eastAsia="Calibri" w:hAnsi="Arial" w:cs="Arial"/>
          <w:szCs w:val="22"/>
          <w:highlight w:val="yellow"/>
        </w:rPr>
        <w:instrText xml:space="preserve"> \* MERGEFORMAT </w:instrText>
      </w:r>
      <w:r w:rsidR="00871DB4" w:rsidRPr="00D56672">
        <w:rPr>
          <w:rFonts w:ascii="Arial" w:eastAsia="Calibri" w:hAnsi="Arial" w:cs="Arial"/>
          <w:szCs w:val="22"/>
          <w:highlight w:val="yellow"/>
        </w:rPr>
      </w:r>
      <w:r w:rsidR="00871DB4" w:rsidRPr="00D56672">
        <w:rPr>
          <w:rFonts w:ascii="Arial" w:eastAsia="Calibri" w:hAnsi="Arial" w:cs="Arial"/>
          <w:szCs w:val="22"/>
          <w:highlight w:val="yellow"/>
        </w:rPr>
        <w:fldChar w:fldCharType="separate"/>
      </w:r>
      <w:r w:rsidR="00871DB4" w:rsidRPr="00D56672">
        <w:rPr>
          <w:rFonts w:ascii="Arial" w:eastAsia="Calibri" w:hAnsi="Arial" w:cs="Arial"/>
          <w:szCs w:val="22"/>
          <w:highlight w:val="yellow"/>
        </w:rPr>
        <w:t>10</w:t>
      </w:r>
      <w:r w:rsidR="00871DB4" w:rsidRPr="00D56672">
        <w:rPr>
          <w:rFonts w:ascii="Arial" w:eastAsia="Calibri" w:hAnsi="Arial" w:cs="Arial"/>
          <w:szCs w:val="22"/>
          <w:highlight w:val="yellow"/>
        </w:rPr>
        <w:fldChar w:fldCharType="end"/>
      </w:r>
      <w:r w:rsidR="00871DB4" w:rsidRPr="00D56672">
        <w:rPr>
          <w:rFonts w:ascii="Arial" w:eastAsia="Calibri" w:hAnsi="Arial" w:cs="Arial"/>
          <w:szCs w:val="22"/>
          <w:highlight w:val="yellow"/>
        </w:rPr>
        <w:t>].</w:t>
      </w:r>
      <w:r w:rsidR="00871DB4">
        <w:rPr>
          <w:rFonts w:ascii="Arial" w:eastAsia="Calibri" w:hAnsi="Arial" w:cs="Arial"/>
          <w:szCs w:val="22"/>
        </w:rPr>
        <w:t xml:space="preserve"> </w:t>
      </w:r>
      <w:r w:rsidR="00D544B1" w:rsidRPr="00A17C28">
        <w:rPr>
          <w:rFonts w:ascii="Arial" w:eastAsia="Calibri" w:hAnsi="Arial" w:cs="Arial"/>
          <w:szCs w:val="22"/>
        </w:rPr>
        <w:t>Autoimmune hepatitis (</w:t>
      </w:r>
      <w:r w:rsidRPr="00A17C28">
        <w:rPr>
          <w:rFonts w:ascii="Arial" w:eastAsia="Calibri" w:hAnsi="Arial" w:cs="Arial"/>
          <w:szCs w:val="22"/>
        </w:rPr>
        <w:t>AIH</w:t>
      </w:r>
      <w:r w:rsidR="00D544B1" w:rsidRPr="00A17C28">
        <w:rPr>
          <w:rFonts w:ascii="Arial" w:eastAsia="Calibri" w:hAnsi="Arial" w:cs="Arial"/>
          <w:szCs w:val="22"/>
        </w:rPr>
        <w:t>)</w:t>
      </w:r>
      <w:r w:rsidRPr="00A17C28">
        <w:rPr>
          <w:rFonts w:ascii="Arial" w:eastAsia="Calibri" w:hAnsi="Arial" w:cs="Arial"/>
          <w:szCs w:val="22"/>
        </w:rPr>
        <w:t xml:space="preserve"> manifestation is considered a severe causality, and its pathogenesis is linked to molecular mimicry [</w:t>
      </w:r>
      <w:r w:rsidRPr="00A17C28">
        <w:rPr>
          <w:rFonts w:ascii="Arial" w:eastAsia="Calibri" w:hAnsi="Arial" w:cs="Arial"/>
          <w:szCs w:val="22"/>
        </w:rPr>
        <w:fldChar w:fldCharType="begin"/>
      </w:r>
      <w:r w:rsidRPr="00A17C28">
        <w:rPr>
          <w:rFonts w:ascii="Arial" w:eastAsia="Calibri" w:hAnsi="Arial" w:cs="Arial"/>
          <w:szCs w:val="22"/>
        </w:rPr>
        <w:instrText xml:space="preserve"> REF _Ref184221748 \r \h  \* MERGEFORMAT </w:instrText>
      </w:r>
      <w:r w:rsidRPr="00A17C28">
        <w:rPr>
          <w:rFonts w:ascii="Arial" w:eastAsia="Calibri" w:hAnsi="Arial" w:cs="Arial"/>
          <w:szCs w:val="22"/>
        </w:rPr>
      </w:r>
      <w:r w:rsidRPr="00A17C28">
        <w:rPr>
          <w:rFonts w:ascii="Arial" w:eastAsia="Calibri" w:hAnsi="Arial" w:cs="Arial"/>
          <w:szCs w:val="22"/>
        </w:rPr>
        <w:fldChar w:fldCharType="separate"/>
      </w:r>
      <w:r w:rsidR="00871DB4">
        <w:rPr>
          <w:rFonts w:ascii="Arial" w:eastAsia="Calibri" w:hAnsi="Arial" w:cs="Arial"/>
          <w:szCs w:val="22"/>
        </w:rPr>
        <w:t>11</w:t>
      </w:r>
      <w:r w:rsidRPr="00A17C28">
        <w:rPr>
          <w:rFonts w:ascii="Arial" w:eastAsia="Calibri" w:hAnsi="Arial" w:cs="Arial"/>
          <w:szCs w:val="22"/>
        </w:rPr>
        <w:fldChar w:fldCharType="end"/>
      </w:r>
      <w:r w:rsidRPr="00A17C28">
        <w:rPr>
          <w:rFonts w:ascii="Arial" w:eastAsia="Calibri" w:hAnsi="Arial" w:cs="Arial"/>
          <w:szCs w:val="22"/>
        </w:rPr>
        <w:t xml:space="preserve">]. Molecular mimicry due to SARS-CoV-2 spike protein antigens creates autoimmunity and induces anti-spike protein IgG </w:t>
      </w:r>
      <w:r w:rsidR="00C37CBA" w:rsidRPr="00A17C28">
        <w:rPr>
          <w:rFonts w:ascii="Arial" w:eastAsia="Calibri" w:hAnsi="Arial" w:cs="Arial"/>
          <w:szCs w:val="22"/>
        </w:rPr>
        <w:t>neutralizing</w:t>
      </w:r>
      <w:r w:rsidRPr="00A17C28">
        <w:rPr>
          <w:rFonts w:ascii="Arial" w:eastAsia="Calibri" w:hAnsi="Arial" w:cs="Arial"/>
          <w:szCs w:val="22"/>
        </w:rPr>
        <w:t xml:space="preserve"> antibodies [</w:t>
      </w:r>
      <w:r w:rsidRPr="00A17C28">
        <w:rPr>
          <w:rFonts w:ascii="Arial" w:eastAsia="Calibri" w:hAnsi="Arial" w:cs="Arial"/>
          <w:szCs w:val="22"/>
        </w:rPr>
        <w:fldChar w:fldCharType="begin"/>
      </w:r>
      <w:r w:rsidRPr="00A17C28">
        <w:rPr>
          <w:rFonts w:ascii="Arial" w:eastAsia="Calibri" w:hAnsi="Arial" w:cs="Arial"/>
          <w:szCs w:val="22"/>
        </w:rPr>
        <w:instrText xml:space="preserve"> REF _Ref182661441 \r \h  \* MERGEFORMAT </w:instrText>
      </w:r>
      <w:r w:rsidRPr="00A17C28">
        <w:rPr>
          <w:rFonts w:ascii="Arial" w:eastAsia="Calibri" w:hAnsi="Arial" w:cs="Arial"/>
          <w:szCs w:val="22"/>
        </w:rPr>
      </w:r>
      <w:r w:rsidRPr="00A17C28">
        <w:rPr>
          <w:rFonts w:ascii="Arial" w:eastAsia="Calibri" w:hAnsi="Arial" w:cs="Arial"/>
          <w:szCs w:val="22"/>
        </w:rPr>
        <w:fldChar w:fldCharType="separate"/>
      </w:r>
      <w:r w:rsidR="00871DB4">
        <w:rPr>
          <w:rFonts w:ascii="Arial" w:eastAsia="Calibri" w:hAnsi="Arial" w:cs="Arial"/>
          <w:szCs w:val="22"/>
        </w:rPr>
        <w:t>12</w:t>
      </w:r>
      <w:r w:rsidRPr="00A17C28">
        <w:rPr>
          <w:rFonts w:ascii="Arial" w:eastAsia="Calibri" w:hAnsi="Arial" w:cs="Arial"/>
          <w:szCs w:val="22"/>
        </w:rPr>
        <w:fldChar w:fldCharType="end"/>
      </w:r>
      <w:r w:rsidRPr="00A17C28">
        <w:rPr>
          <w:rFonts w:ascii="Arial" w:eastAsia="Calibri" w:hAnsi="Arial" w:cs="Arial"/>
          <w:szCs w:val="22"/>
        </w:rPr>
        <w:t xml:space="preserve">]. The connection between gut microbiota and anti-spike </w:t>
      </w:r>
      <w:proofErr w:type="spellStart"/>
      <w:r w:rsidRPr="00A17C28">
        <w:rPr>
          <w:rFonts w:ascii="Arial" w:eastAsia="Calibri" w:hAnsi="Arial" w:cs="Arial"/>
          <w:szCs w:val="22"/>
        </w:rPr>
        <w:t>IgGs</w:t>
      </w:r>
      <w:proofErr w:type="spellEnd"/>
      <w:r w:rsidRPr="00A17C28">
        <w:rPr>
          <w:rFonts w:ascii="Arial" w:eastAsia="Calibri" w:hAnsi="Arial" w:cs="Arial"/>
          <w:szCs w:val="22"/>
        </w:rPr>
        <w:t xml:space="preserve"> is remarkable. We described recently that lutein, a powerful natural antioxidant, can relieve SARS-CoV-2 spike protein</w:t>
      </w:r>
      <w:r w:rsidR="00AD75A2" w:rsidRPr="00A17C28">
        <w:rPr>
          <w:rFonts w:ascii="Arial" w:eastAsia="Calibri" w:hAnsi="Arial" w:cs="Arial"/>
          <w:szCs w:val="22"/>
        </w:rPr>
        <w:t>-</w:t>
      </w:r>
      <w:r w:rsidRPr="00A17C28">
        <w:rPr>
          <w:rFonts w:ascii="Arial" w:eastAsia="Calibri" w:hAnsi="Arial" w:cs="Arial"/>
          <w:szCs w:val="22"/>
        </w:rPr>
        <w:t>induced pathology</w:t>
      </w:r>
      <w:r w:rsidRPr="000A4C27">
        <w:rPr>
          <w:rFonts w:ascii="Arial" w:eastAsia="Calibri" w:hAnsi="Arial" w:cs="Arial"/>
          <w:szCs w:val="22"/>
        </w:rPr>
        <w:t>, including autoimmune reactions [</w:t>
      </w:r>
      <w:r w:rsidRPr="000A4C27">
        <w:rPr>
          <w:rFonts w:ascii="Arial" w:eastAsia="Calibri" w:hAnsi="Arial" w:cs="Arial"/>
          <w:szCs w:val="22"/>
        </w:rPr>
        <w:fldChar w:fldCharType="begin"/>
      </w:r>
      <w:r w:rsidRPr="000A4C27">
        <w:rPr>
          <w:rFonts w:ascii="Arial" w:eastAsia="Calibri" w:hAnsi="Arial" w:cs="Arial"/>
          <w:szCs w:val="22"/>
        </w:rPr>
        <w:instrText xml:space="preserve"> REF _Ref182661637 \r \h  \* MERGEFORMAT </w:instrText>
      </w:r>
      <w:r w:rsidRPr="000A4C27">
        <w:rPr>
          <w:rFonts w:ascii="Arial" w:eastAsia="Calibri" w:hAnsi="Arial" w:cs="Arial"/>
          <w:szCs w:val="22"/>
        </w:rPr>
      </w:r>
      <w:r w:rsidRPr="000A4C27">
        <w:rPr>
          <w:rFonts w:ascii="Arial" w:eastAsia="Calibri" w:hAnsi="Arial" w:cs="Arial"/>
          <w:szCs w:val="22"/>
        </w:rPr>
        <w:fldChar w:fldCharType="separate"/>
      </w:r>
      <w:r w:rsidR="00871DB4">
        <w:rPr>
          <w:rFonts w:ascii="Arial" w:eastAsia="Calibri" w:hAnsi="Arial" w:cs="Arial"/>
          <w:szCs w:val="22"/>
        </w:rPr>
        <w:t>3</w:t>
      </w:r>
      <w:r w:rsidRPr="000A4C27">
        <w:rPr>
          <w:rFonts w:ascii="Arial" w:eastAsia="Calibri" w:hAnsi="Arial" w:cs="Arial"/>
          <w:szCs w:val="22"/>
        </w:rPr>
        <w:fldChar w:fldCharType="end"/>
      </w:r>
      <w:r w:rsidRPr="000A4C27">
        <w:rPr>
          <w:rFonts w:ascii="Arial" w:eastAsia="Calibri" w:hAnsi="Arial" w:cs="Arial"/>
          <w:szCs w:val="22"/>
        </w:rPr>
        <w:t>]. We also describe that, preferably, lutein can be obtained by consuming EVOO when its natural content in lutein is highly preserved. It has been recently shown that natural lutein content in EVOO is highly preserved by applying a patented technique of molecular filtration to obtain EVOO that is stable over time [</w:t>
      </w:r>
      <w:r w:rsidRPr="000A4C27">
        <w:rPr>
          <w:rFonts w:ascii="Arial" w:eastAsia="Calibri" w:hAnsi="Arial" w:cs="Arial"/>
          <w:szCs w:val="22"/>
        </w:rPr>
        <w:fldChar w:fldCharType="begin"/>
      </w:r>
      <w:r w:rsidRPr="000A4C27">
        <w:rPr>
          <w:rFonts w:ascii="Arial" w:eastAsia="Calibri" w:hAnsi="Arial" w:cs="Arial"/>
          <w:szCs w:val="22"/>
        </w:rPr>
        <w:instrText xml:space="preserve"> REF _Ref182661706 \r \h  \* MERGEFORMAT </w:instrText>
      </w:r>
      <w:r w:rsidRPr="000A4C27">
        <w:rPr>
          <w:rFonts w:ascii="Arial" w:eastAsia="Calibri" w:hAnsi="Arial" w:cs="Arial"/>
          <w:szCs w:val="22"/>
        </w:rPr>
      </w:r>
      <w:r w:rsidRPr="000A4C27">
        <w:rPr>
          <w:rFonts w:ascii="Arial" w:eastAsia="Calibri" w:hAnsi="Arial" w:cs="Arial"/>
          <w:szCs w:val="22"/>
        </w:rPr>
        <w:fldChar w:fldCharType="separate"/>
      </w:r>
      <w:r w:rsidR="00871DB4">
        <w:rPr>
          <w:rFonts w:ascii="Arial" w:eastAsia="Calibri" w:hAnsi="Arial" w:cs="Arial"/>
          <w:szCs w:val="22"/>
        </w:rPr>
        <w:t>13</w:t>
      </w:r>
      <w:r w:rsidRPr="000A4C27">
        <w:rPr>
          <w:rFonts w:ascii="Arial" w:eastAsia="Calibri" w:hAnsi="Arial" w:cs="Arial"/>
          <w:szCs w:val="22"/>
        </w:rPr>
        <w:fldChar w:fldCharType="end"/>
      </w:r>
      <w:r w:rsidRPr="000A4C27">
        <w:rPr>
          <w:rFonts w:ascii="Arial" w:eastAsia="Calibri" w:hAnsi="Arial" w:cs="Arial"/>
          <w:szCs w:val="22"/>
        </w:rPr>
        <w:t xml:space="preserve">]. We report a case of a long COVID patient who consumed stable EVOO for six months (6.5mg/kg of natural lutein content), and this helped to alleviate blood markers indicative for liver damage and AIH and lowered the patient’s high IgG anti-spike antibodies. </w:t>
      </w:r>
    </w:p>
    <w:p w14:paraId="208E128A" w14:textId="77777777" w:rsidR="00505F06" w:rsidRDefault="00505F06" w:rsidP="00441B6F">
      <w:pPr>
        <w:pStyle w:val="Body"/>
        <w:spacing w:after="0"/>
        <w:rPr>
          <w:rFonts w:ascii="Arial" w:hAnsi="Arial" w:cs="Arial"/>
        </w:rPr>
      </w:pPr>
    </w:p>
    <w:p w14:paraId="0A7601FA" w14:textId="3FEE5F5C" w:rsidR="007F7B32" w:rsidRDefault="00902823" w:rsidP="00441B6F">
      <w:pPr>
        <w:pStyle w:val="AbstHead"/>
        <w:spacing w:after="0"/>
        <w:jc w:val="both"/>
        <w:rPr>
          <w:rFonts w:ascii="Arial" w:hAnsi="Arial" w:cs="Arial"/>
        </w:rPr>
      </w:pPr>
      <w:r>
        <w:rPr>
          <w:rFonts w:ascii="Arial" w:hAnsi="Arial" w:cs="Arial"/>
        </w:rPr>
        <w:t xml:space="preserve">2. </w:t>
      </w:r>
      <w:r w:rsidR="000A4C27">
        <w:rPr>
          <w:rFonts w:ascii="Arial" w:hAnsi="Arial" w:cs="Arial"/>
        </w:rPr>
        <w:t xml:space="preserve">case description  </w:t>
      </w:r>
    </w:p>
    <w:p w14:paraId="6C3678E8" w14:textId="77777777" w:rsidR="00790ADA" w:rsidRPr="00FB3A86" w:rsidRDefault="00790ADA" w:rsidP="00441B6F">
      <w:pPr>
        <w:pStyle w:val="AbstHead"/>
        <w:spacing w:after="0"/>
        <w:jc w:val="both"/>
        <w:rPr>
          <w:rFonts w:ascii="Arial" w:hAnsi="Arial" w:cs="Arial"/>
        </w:rPr>
      </w:pPr>
    </w:p>
    <w:p w14:paraId="2164B21D" w14:textId="5B591B96" w:rsidR="00A27EB8" w:rsidRPr="00591BAD" w:rsidRDefault="000A4C27" w:rsidP="000A4C27">
      <w:pPr>
        <w:rPr>
          <w:rFonts w:ascii="Arial" w:eastAsia="Calibri" w:hAnsi="Arial" w:cs="Arial"/>
          <w:szCs w:val="22"/>
        </w:rPr>
      </w:pPr>
      <w:r w:rsidRPr="000A4C27">
        <w:rPr>
          <w:rFonts w:ascii="Arial" w:eastAsia="Calibri" w:hAnsi="Arial" w:cs="Arial"/>
          <w:szCs w:val="22"/>
        </w:rPr>
        <w:t xml:space="preserve">A 61-year-old Greek woman, </w:t>
      </w:r>
      <w:r w:rsidRPr="00A17C28">
        <w:rPr>
          <w:rFonts w:ascii="Arial" w:eastAsia="Calibri" w:hAnsi="Arial" w:cs="Arial"/>
          <w:szCs w:val="22"/>
        </w:rPr>
        <w:t xml:space="preserve">after </w:t>
      </w:r>
      <w:r w:rsidR="00AD75A2" w:rsidRPr="00A17C28">
        <w:rPr>
          <w:rFonts w:ascii="Arial" w:eastAsia="Calibri" w:hAnsi="Arial" w:cs="Arial"/>
          <w:szCs w:val="22"/>
        </w:rPr>
        <w:t xml:space="preserve">contracting </w:t>
      </w:r>
      <w:r w:rsidRPr="00A17C28">
        <w:rPr>
          <w:rFonts w:ascii="Arial" w:eastAsia="Calibri" w:hAnsi="Arial" w:cs="Arial"/>
          <w:szCs w:val="22"/>
        </w:rPr>
        <w:t>COVID-19, developed long COVID symptoms of constipation, chronic fatigue, dizziness, headaches/migraines, and intense neuromus</w:t>
      </w:r>
      <w:r w:rsidRPr="000A4C27">
        <w:rPr>
          <w:rFonts w:ascii="Arial" w:eastAsia="Calibri" w:hAnsi="Arial" w:cs="Arial"/>
          <w:szCs w:val="22"/>
        </w:rPr>
        <w:t xml:space="preserve">cular pain. Initial </w:t>
      </w:r>
      <w:proofErr w:type="spellStart"/>
      <w:r w:rsidRPr="000A4C27">
        <w:rPr>
          <w:rFonts w:ascii="Arial" w:eastAsia="Calibri" w:hAnsi="Arial" w:cs="Arial"/>
          <w:szCs w:val="22"/>
        </w:rPr>
        <w:t>haematological</w:t>
      </w:r>
      <w:proofErr w:type="spellEnd"/>
      <w:r w:rsidRPr="000A4C27">
        <w:rPr>
          <w:rFonts w:ascii="Arial" w:eastAsia="Calibri" w:hAnsi="Arial" w:cs="Arial"/>
          <w:szCs w:val="22"/>
        </w:rPr>
        <w:t xml:space="preserve"> examination after COVID-19 </w:t>
      </w:r>
      <w:r w:rsidRPr="00A17C28">
        <w:rPr>
          <w:rFonts w:ascii="Arial" w:eastAsia="Calibri" w:hAnsi="Arial" w:cs="Arial"/>
          <w:szCs w:val="22"/>
        </w:rPr>
        <w:t>showed increased eosinophil and neutrophil levels, increased mean platelet volume (MPV) and platelet-large cell ratio (PLCR)</w:t>
      </w:r>
      <w:r w:rsidR="00AD75A2" w:rsidRPr="00A17C28">
        <w:rPr>
          <w:rFonts w:ascii="Arial" w:eastAsia="Calibri" w:hAnsi="Arial" w:cs="Arial"/>
          <w:szCs w:val="22"/>
        </w:rPr>
        <w:t xml:space="preserve"> (</w:t>
      </w:r>
      <w:r w:rsidRPr="00A17C28">
        <w:rPr>
          <w:rFonts w:ascii="Arial" w:eastAsia="Calibri" w:hAnsi="Arial" w:cs="Arial"/>
          <w:szCs w:val="22"/>
        </w:rPr>
        <w:t>see Table 1</w:t>
      </w:r>
      <w:r w:rsidR="00AD75A2" w:rsidRPr="00A17C28">
        <w:rPr>
          <w:rFonts w:ascii="Arial" w:eastAsia="Calibri" w:hAnsi="Arial" w:cs="Arial"/>
          <w:szCs w:val="22"/>
        </w:rPr>
        <w:t>)</w:t>
      </w:r>
      <w:r w:rsidRPr="00A17C28">
        <w:rPr>
          <w:rFonts w:ascii="Arial" w:eastAsia="Calibri" w:hAnsi="Arial" w:cs="Arial"/>
          <w:szCs w:val="22"/>
        </w:rPr>
        <w:t>. Gamma Glutamyl Transferase (</w:t>
      </w:r>
      <w:proofErr w:type="spellStart"/>
      <w:r w:rsidRPr="00A17C28">
        <w:rPr>
          <w:rFonts w:ascii="Arial" w:eastAsia="Calibri" w:hAnsi="Arial" w:cs="Arial"/>
          <w:szCs w:val="22"/>
        </w:rPr>
        <w:t>γGT</w:t>
      </w:r>
      <w:proofErr w:type="spellEnd"/>
      <w:r w:rsidRPr="00A17C28">
        <w:rPr>
          <w:rFonts w:ascii="Arial" w:eastAsia="Calibri" w:hAnsi="Arial" w:cs="Arial"/>
          <w:szCs w:val="22"/>
        </w:rPr>
        <w:t xml:space="preserve">), was also elevated (Table 1). A year before COVID-19, the liver enzymes </w:t>
      </w:r>
      <w:r w:rsidR="00AD75A2" w:rsidRPr="00A17C28">
        <w:rPr>
          <w:rFonts w:ascii="Arial" w:eastAsia="Calibri" w:hAnsi="Arial" w:cs="Arial"/>
          <w:szCs w:val="22"/>
        </w:rPr>
        <w:t>had been</w:t>
      </w:r>
      <w:r w:rsidRPr="00A17C28">
        <w:rPr>
          <w:rFonts w:ascii="Arial" w:eastAsia="Calibri" w:hAnsi="Arial" w:cs="Arial"/>
          <w:szCs w:val="22"/>
        </w:rPr>
        <w:t xml:space="preserve"> found to be at normal values. Further laboratory examinations after the elevated </w:t>
      </w:r>
      <w:proofErr w:type="spellStart"/>
      <w:r w:rsidRPr="00A17C28">
        <w:rPr>
          <w:rFonts w:ascii="Arial" w:eastAsia="Calibri" w:hAnsi="Arial" w:cs="Arial"/>
          <w:szCs w:val="22"/>
        </w:rPr>
        <w:t>γGT</w:t>
      </w:r>
      <w:proofErr w:type="spellEnd"/>
      <w:r w:rsidR="00AD75A2" w:rsidRPr="00A17C28">
        <w:rPr>
          <w:rFonts w:ascii="Arial" w:eastAsia="Calibri" w:hAnsi="Arial" w:cs="Arial"/>
          <w:szCs w:val="22"/>
        </w:rPr>
        <w:t xml:space="preserve"> was detected</w:t>
      </w:r>
      <w:r w:rsidRPr="00A17C28">
        <w:rPr>
          <w:rFonts w:ascii="Arial" w:eastAsia="Calibri" w:hAnsi="Arial" w:cs="Arial"/>
          <w:szCs w:val="22"/>
        </w:rPr>
        <w:t xml:space="preserve">, revealed intensely elevated levels of alkaline phosphatase (AP) and </w:t>
      </w:r>
      <w:r w:rsidR="00AD75A2" w:rsidRPr="00A17C28">
        <w:rPr>
          <w:rFonts w:ascii="Arial" w:eastAsia="Calibri" w:hAnsi="Arial" w:cs="Arial"/>
          <w:szCs w:val="22"/>
        </w:rPr>
        <w:t xml:space="preserve">alanine and aspartate </w:t>
      </w:r>
      <w:r w:rsidRPr="00A17C28">
        <w:rPr>
          <w:rFonts w:ascii="Arial" w:eastAsia="Calibri" w:hAnsi="Arial" w:cs="Arial"/>
          <w:szCs w:val="22"/>
        </w:rPr>
        <w:t>transaminases (SGPT/ALT and SGOT/AST), indicative of liver disease (Table1). To exclude autoimmune-reactivity and AIH, as a consequence of long COVID, the patient</w:t>
      </w:r>
      <w:r w:rsidRPr="00591BAD">
        <w:rPr>
          <w:rFonts w:ascii="Arial" w:eastAsia="Calibri" w:hAnsi="Arial" w:cs="Arial"/>
          <w:szCs w:val="22"/>
        </w:rPr>
        <w:t xml:space="preserve"> was further examined for anti-nuclear-antibodies (ANA), anti-mitochondrial antibodies (AMA) and anti-smooth muscle antibodies (ASMA), and all were found positive</w:t>
      </w:r>
      <w:r w:rsidR="00A27EB8" w:rsidRPr="00591BAD">
        <w:rPr>
          <w:rFonts w:ascii="Arial" w:eastAsia="Calibri" w:hAnsi="Arial" w:cs="Arial"/>
          <w:szCs w:val="22"/>
        </w:rPr>
        <w:t>, indicative for autoimmunity</w:t>
      </w:r>
      <w:r w:rsidRPr="00591BAD">
        <w:rPr>
          <w:rFonts w:ascii="Arial" w:eastAsia="Calibri" w:hAnsi="Arial" w:cs="Arial"/>
          <w:szCs w:val="22"/>
        </w:rPr>
        <w:t>. Platelet-clotting defect examinations specific for AIH were not performed at that time. Anti double stranded DNA (anti-dsDNA) antibodies were negative (0.1 AU/ml, normal &lt;30 AU/ml), and other blood test values were normal (not shown in Table 1). However, the patient immediately underwent ultrasound and magnetic resonance imaging examinations, and both were negative for liver disease and</w:t>
      </w:r>
      <w:r w:rsidR="00A27EB8" w:rsidRPr="00591BAD">
        <w:rPr>
          <w:rFonts w:ascii="Arial" w:eastAsia="Calibri" w:hAnsi="Arial" w:cs="Arial"/>
          <w:szCs w:val="22"/>
        </w:rPr>
        <w:t xml:space="preserve"> therefore </w:t>
      </w:r>
      <w:r w:rsidRPr="00591BAD">
        <w:rPr>
          <w:rFonts w:ascii="Arial" w:eastAsia="Calibri" w:hAnsi="Arial" w:cs="Arial"/>
          <w:szCs w:val="22"/>
        </w:rPr>
        <w:t>AIH.</w:t>
      </w:r>
      <w:r w:rsidR="00483FC2" w:rsidRPr="00591BAD">
        <w:rPr>
          <w:rFonts w:ascii="Arial" w:eastAsia="Calibri" w:hAnsi="Arial" w:cs="Arial"/>
          <w:szCs w:val="22"/>
        </w:rPr>
        <w:t xml:space="preserve"> </w:t>
      </w:r>
      <w:r w:rsidR="00A27EB8" w:rsidRPr="00591BAD">
        <w:rPr>
          <w:rFonts w:ascii="Arial" w:eastAsia="Calibri" w:hAnsi="Arial" w:cs="Arial"/>
          <w:szCs w:val="22"/>
        </w:rPr>
        <w:t xml:space="preserve">However, </w:t>
      </w:r>
      <w:r w:rsidRPr="00591BAD">
        <w:rPr>
          <w:rFonts w:ascii="Arial" w:eastAsia="Calibri" w:hAnsi="Arial" w:cs="Arial"/>
          <w:szCs w:val="22"/>
        </w:rPr>
        <w:t>the blood markers indicated liver damage</w:t>
      </w:r>
      <w:r w:rsidR="00A27EB8" w:rsidRPr="00591BAD">
        <w:rPr>
          <w:rFonts w:ascii="Arial" w:eastAsia="Calibri" w:hAnsi="Arial" w:cs="Arial"/>
          <w:szCs w:val="22"/>
        </w:rPr>
        <w:t>.</w:t>
      </w:r>
      <w:r w:rsidRPr="00591BAD">
        <w:rPr>
          <w:rFonts w:ascii="Arial" w:eastAsia="Calibri" w:hAnsi="Arial" w:cs="Arial"/>
          <w:szCs w:val="22"/>
        </w:rPr>
        <w:t xml:space="preserve"> Moreover, the </w:t>
      </w:r>
      <w:r w:rsidRPr="00A17C28">
        <w:rPr>
          <w:rFonts w:ascii="Arial" w:eastAsia="Calibri" w:hAnsi="Arial" w:cs="Arial"/>
          <w:szCs w:val="22"/>
        </w:rPr>
        <w:t xml:space="preserve">patient tested negative for liver-associated infectious diseases (Hepatitis A, B and C viruses). </w:t>
      </w:r>
      <w:r w:rsidR="00AD75A2" w:rsidRPr="00A17C28">
        <w:rPr>
          <w:rFonts w:ascii="Arial" w:eastAsia="Calibri" w:hAnsi="Arial" w:cs="Arial"/>
          <w:szCs w:val="22"/>
        </w:rPr>
        <w:t>C</w:t>
      </w:r>
      <w:r w:rsidR="00A27EB8" w:rsidRPr="00A17C28">
        <w:rPr>
          <w:rFonts w:ascii="Arial" w:eastAsia="Calibri" w:hAnsi="Arial" w:cs="Arial"/>
          <w:szCs w:val="22"/>
        </w:rPr>
        <w:t xml:space="preserve">onsulting hepatologists </w:t>
      </w:r>
      <w:r w:rsidR="00AD75A2" w:rsidRPr="00A17C28">
        <w:rPr>
          <w:rFonts w:ascii="Arial" w:eastAsia="Calibri" w:hAnsi="Arial" w:cs="Arial"/>
          <w:szCs w:val="22"/>
        </w:rPr>
        <w:t>suggested that the patient</w:t>
      </w:r>
      <w:r w:rsidRPr="00A17C28">
        <w:rPr>
          <w:rFonts w:ascii="Arial" w:eastAsia="Calibri" w:hAnsi="Arial" w:cs="Arial"/>
          <w:szCs w:val="22"/>
        </w:rPr>
        <w:t xml:space="preserve"> follow a healthy diet and repeat examinations after </w:t>
      </w:r>
      <w:proofErr w:type="gramStart"/>
      <w:r w:rsidRPr="00A17C28">
        <w:rPr>
          <w:rFonts w:ascii="Arial" w:eastAsia="Calibri" w:hAnsi="Arial" w:cs="Arial"/>
          <w:szCs w:val="22"/>
        </w:rPr>
        <w:t>six month</w:t>
      </w:r>
      <w:proofErr w:type="gramEnd"/>
      <w:r w:rsidR="00A27EB8" w:rsidRPr="00A17C28">
        <w:rPr>
          <w:rFonts w:ascii="Arial" w:eastAsia="Calibri" w:hAnsi="Arial" w:cs="Arial"/>
          <w:szCs w:val="22"/>
        </w:rPr>
        <w:t xml:space="preserve"> periods</w:t>
      </w:r>
      <w:r w:rsidRPr="00A17C28">
        <w:rPr>
          <w:rFonts w:ascii="Arial" w:eastAsia="Calibri" w:hAnsi="Arial" w:cs="Arial"/>
          <w:szCs w:val="22"/>
        </w:rPr>
        <w:t xml:space="preserve">. However, the patient delayed the </w:t>
      </w:r>
      <w:r w:rsidR="00A27EB8" w:rsidRPr="00A17C28">
        <w:rPr>
          <w:rFonts w:ascii="Arial" w:eastAsia="Calibri" w:hAnsi="Arial" w:cs="Arial"/>
          <w:szCs w:val="22"/>
        </w:rPr>
        <w:t xml:space="preserve">first </w:t>
      </w:r>
      <w:r w:rsidRPr="00A17C28">
        <w:rPr>
          <w:rFonts w:ascii="Arial" w:eastAsia="Calibri" w:hAnsi="Arial" w:cs="Arial"/>
          <w:szCs w:val="22"/>
        </w:rPr>
        <w:t>six-month</w:t>
      </w:r>
      <w:r w:rsidRPr="00591BAD">
        <w:rPr>
          <w:rFonts w:ascii="Arial" w:eastAsia="Calibri" w:hAnsi="Arial" w:cs="Arial"/>
          <w:szCs w:val="22"/>
        </w:rPr>
        <w:t xml:space="preserve"> evaluation by one month for personal reasons.  </w:t>
      </w:r>
      <w:r w:rsidR="00A27EB8" w:rsidRPr="00591BAD">
        <w:rPr>
          <w:rFonts w:ascii="Arial" w:eastAsia="Calibri" w:hAnsi="Arial" w:cs="Arial"/>
          <w:szCs w:val="22"/>
        </w:rPr>
        <w:t>Moreover, f</w:t>
      </w:r>
      <w:r w:rsidRPr="00591BAD">
        <w:rPr>
          <w:rFonts w:ascii="Arial" w:eastAsia="Calibri" w:hAnsi="Arial" w:cs="Arial"/>
          <w:szCs w:val="22"/>
        </w:rPr>
        <w:t xml:space="preserve">our months after COVID-19, the patient underwent an anti-spike protein </w:t>
      </w:r>
      <w:r w:rsidR="007E0AAB" w:rsidRPr="00591BAD">
        <w:rPr>
          <w:rFonts w:ascii="Arial" w:eastAsia="Calibri" w:hAnsi="Arial" w:cs="Arial"/>
          <w:szCs w:val="22"/>
        </w:rPr>
        <w:t>neutralizing</w:t>
      </w:r>
      <w:r w:rsidRPr="00591BAD">
        <w:rPr>
          <w:rFonts w:ascii="Arial" w:eastAsia="Calibri" w:hAnsi="Arial" w:cs="Arial"/>
          <w:szCs w:val="22"/>
        </w:rPr>
        <w:t xml:space="preserve"> IgG evaluation and was found to have an exceedingly high level, 14,967 AU/ml (normal &lt;50). </w:t>
      </w:r>
    </w:p>
    <w:p w14:paraId="79873C85" w14:textId="77777777" w:rsidR="00A27EB8" w:rsidRPr="00591BAD" w:rsidRDefault="00A27EB8" w:rsidP="000A4C27">
      <w:pPr>
        <w:rPr>
          <w:rFonts w:ascii="Arial" w:eastAsia="Calibri" w:hAnsi="Arial" w:cs="Arial"/>
          <w:szCs w:val="22"/>
        </w:rPr>
      </w:pPr>
    </w:p>
    <w:p w14:paraId="053FE36D" w14:textId="05F45648" w:rsidR="000A4C27" w:rsidRPr="00591BAD" w:rsidRDefault="00BB77EC" w:rsidP="000A4C27">
      <w:pPr>
        <w:rPr>
          <w:rFonts w:ascii="Arial" w:eastAsia="Calibri" w:hAnsi="Arial" w:cs="Arial"/>
          <w:szCs w:val="22"/>
        </w:rPr>
      </w:pPr>
      <w:r w:rsidRPr="00591BAD">
        <w:rPr>
          <w:rFonts w:ascii="Arial" w:eastAsia="Calibri" w:hAnsi="Arial" w:cs="Arial"/>
          <w:szCs w:val="22"/>
        </w:rPr>
        <w:t>The p</w:t>
      </w:r>
      <w:r w:rsidR="004141D6" w:rsidRPr="00591BAD">
        <w:rPr>
          <w:rFonts w:ascii="Arial" w:eastAsia="Calibri" w:hAnsi="Arial" w:cs="Arial"/>
          <w:szCs w:val="22"/>
        </w:rPr>
        <w:t xml:space="preserve">atient repeated </w:t>
      </w:r>
      <w:r w:rsidR="004141D6" w:rsidRPr="00A17C28">
        <w:rPr>
          <w:rFonts w:ascii="Arial" w:eastAsia="Calibri" w:hAnsi="Arial" w:cs="Arial"/>
          <w:szCs w:val="22"/>
        </w:rPr>
        <w:t>examinations after</w:t>
      </w:r>
      <w:r w:rsidRPr="00A17C28">
        <w:rPr>
          <w:rFonts w:ascii="Arial" w:eastAsia="Calibri" w:hAnsi="Arial" w:cs="Arial"/>
          <w:szCs w:val="22"/>
        </w:rPr>
        <w:t xml:space="preserve"> </w:t>
      </w:r>
      <w:r w:rsidR="00484D15" w:rsidRPr="00A17C28">
        <w:rPr>
          <w:rFonts w:ascii="Arial" w:eastAsia="Calibri" w:hAnsi="Arial" w:cs="Arial"/>
          <w:szCs w:val="22"/>
        </w:rPr>
        <w:t>two s</w:t>
      </w:r>
      <w:r w:rsidR="004141D6" w:rsidRPr="00A17C28">
        <w:rPr>
          <w:rFonts w:ascii="Arial" w:eastAsia="Calibri" w:hAnsi="Arial" w:cs="Arial"/>
          <w:szCs w:val="22"/>
        </w:rPr>
        <w:t>ix-month period</w:t>
      </w:r>
      <w:r w:rsidR="00484D15" w:rsidRPr="00A17C28">
        <w:rPr>
          <w:rFonts w:ascii="Arial" w:eastAsia="Calibri" w:hAnsi="Arial" w:cs="Arial"/>
          <w:szCs w:val="22"/>
        </w:rPr>
        <w:t>s</w:t>
      </w:r>
      <w:r w:rsidR="004141D6" w:rsidRPr="00A17C28">
        <w:rPr>
          <w:rFonts w:ascii="Arial" w:eastAsia="Calibri" w:hAnsi="Arial" w:cs="Arial"/>
          <w:szCs w:val="22"/>
        </w:rPr>
        <w:t xml:space="preserve"> (shown in </w:t>
      </w:r>
      <w:r w:rsidRPr="00A17C28">
        <w:rPr>
          <w:rFonts w:ascii="Arial" w:eastAsia="Calibri" w:hAnsi="Arial" w:cs="Arial"/>
          <w:szCs w:val="22"/>
        </w:rPr>
        <w:t>T</w:t>
      </w:r>
      <w:r w:rsidR="004141D6" w:rsidRPr="00A17C28">
        <w:rPr>
          <w:rFonts w:ascii="Arial" w:eastAsia="Calibri" w:hAnsi="Arial" w:cs="Arial"/>
          <w:szCs w:val="22"/>
        </w:rPr>
        <w:t xml:space="preserve">able 1) and </w:t>
      </w:r>
      <w:r w:rsidR="00CB523B" w:rsidRPr="00A17C28">
        <w:rPr>
          <w:rFonts w:ascii="Arial" w:eastAsia="Calibri" w:hAnsi="Arial" w:cs="Arial"/>
          <w:szCs w:val="22"/>
        </w:rPr>
        <w:t xml:space="preserve">was </w:t>
      </w:r>
      <w:r w:rsidR="004141D6" w:rsidRPr="00A17C28">
        <w:rPr>
          <w:rFonts w:ascii="Arial" w:eastAsia="Calibri" w:hAnsi="Arial" w:cs="Arial"/>
          <w:szCs w:val="22"/>
        </w:rPr>
        <w:t>found to be negative for autoimmune hepatitis markers</w:t>
      </w:r>
      <w:r w:rsidR="00DC2ECE" w:rsidRPr="00A17C28">
        <w:rPr>
          <w:rFonts w:ascii="Arial" w:eastAsia="Calibri" w:hAnsi="Arial" w:cs="Arial"/>
          <w:szCs w:val="22"/>
        </w:rPr>
        <w:t xml:space="preserve"> both times</w:t>
      </w:r>
      <w:r w:rsidR="004141D6" w:rsidRPr="00A17C28">
        <w:rPr>
          <w:rFonts w:ascii="Arial" w:eastAsia="Calibri" w:hAnsi="Arial" w:cs="Arial"/>
          <w:szCs w:val="22"/>
        </w:rPr>
        <w:t xml:space="preserve">. </w:t>
      </w:r>
      <w:r w:rsidRPr="00A17C28">
        <w:rPr>
          <w:rFonts w:ascii="Arial" w:eastAsia="Calibri" w:hAnsi="Arial" w:cs="Arial"/>
          <w:szCs w:val="22"/>
        </w:rPr>
        <w:t>The p</w:t>
      </w:r>
      <w:r w:rsidR="004141D6" w:rsidRPr="00A17C28">
        <w:rPr>
          <w:rFonts w:ascii="Arial" w:eastAsia="Calibri" w:hAnsi="Arial" w:cs="Arial"/>
          <w:szCs w:val="22"/>
        </w:rPr>
        <w:t xml:space="preserve">atient </w:t>
      </w:r>
      <w:r w:rsidR="00DC2ECE" w:rsidRPr="00A17C28">
        <w:rPr>
          <w:rFonts w:ascii="Arial" w:eastAsia="Calibri" w:hAnsi="Arial" w:cs="Arial"/>
          <w:szCs w:val="22"/>
        </w:rPr>
        <w:t>continued to consume</w:t>
      </w:r>
      <w:r w:rsidR="00A17C28" w:rsidRPr="00A17C28">
        <w:rPr>
          <w:rFonts w:ascii="Arial" w:eastAsia="Calibri" w:hAnsi="Arial" w:cs="Arial"/>
          <w:szCs w:val="22"/>
        </w:rPr>
        <w:t xml:space="preserve"> </w:t>
      </w:r>
      <w:r w:rsidR="004141D6" w:rsidRPr="00A17C28">
        <w:rPr>
          <w:rFonts w:ascii="Arial" w:eastAsia="Calibri" w:hAnsi="Arial" w:cs="Arial"/>
          <w:szCs w:val="22"/>
        </w:rPr>
        <w:t>a healthy diet</w:t>
      </w:r>
      <w:r w:rsidR="00DC2ECE" w:rsidRPr="00A17C28">
        <w:rPr>
          <w:rFonts w:ascii="Arial" w:eastAsia="Calibri" w:hAnsi="Arial" w:cs="Arial"/>
          <w:szCs w:val="22"/>
        </w:rPr>
        <w:t xml:space="preserve"> the entire time</w:t>
      </w:r>
      <w:r w:rsidR="004141D6" w:rsidRPr="00A17C28">
        <w:rPr>
          <w:rFonts w:ascii="Arial" w:eastAsia="Calibri" w:hAnsi="Arial" w:cs="Arial"/>
          <w:szCs w:val="22"/>
        </w:rPr>
        <w:t xml:space="preserve">. </w:t>
      </w:r>
      <w:r w:rsidR="000A4C27" w:rsidRPr="00A17C28">
        <w:rPr>
          <w:rFonts w:ascii="Arial" w:eastAsia="Calibri" w:hAnsi="Arial" w:cs="Arial"/>
          <w:szCs w:val="22"/>
        </w:rPr>
        <w:t>For the healthy diet, the patient incorporated the consumption of 24 ml of stable organic EVOO (SEVOO) that contained an amount of naturally derived (from olive fruits) lutein at a stable concentration of 6.5 mg/kg of EVOO per day [</w:t>
      </w:r>
      <w:r w:rsidR="000A4C27" w:rsidRPr="00A17C28">
        <w:rPr>
          <w:rFonts w:ascii="Arial" w:eastAsia="Calibri" w:hAnsi="Arial" w:cs="Arial"/>
          <w:szCs w:val="22"/>
        </w:rPr>
        <w:fldChar w:fldCharType="begin"/>
      </w:r>
      <w:r w:rsidR="000A4C27" w:rsidRPr="00A17C28">
        <w:rPr>
          <w:rFonts w:ascii="Arial" w:eastAsia="Calibri" w:hAnsi="Arial" w:cs="Arial"/>
          <w:szCs w:val="22"/>
        </w:rPr>
        <w:instrText xml:space="preserve"> REF _Ref182661706 \r \h  \* MERGEFORMAT </w:instrText>
      </w:r>
      <w:r w:rsidR="000A4C27" w:rsidRPr="00A17C28">
        <w:rPr>
          <w:rFonts w:ascii="Arial" w:eastAsia="Calibri" w:hAnsi="Arial" w:cs="Arial"/>
          <w:szCs w:val="22"/>
        </w:rPr>
      </w:r>
      <w:r w:rsidR="000A4C27" w:rsidRPr="00A17C28">
        <w:rPr>
          <w:rFonts w:ascii="Arial" w:eastAsia="Calibri" w:hAnsi="Arial" w:cs="Arial"/>
          <w:szCs w:val="22"/>
        </w:rPr>
        <w:fldChar w:fldCharType="separate"/>
      </w:r>
      <w:r w:rsidR="00871DB4">
        <w:rPr>
          <w:rFonts w:ascii="Arial" w:eastAsia="Calibri" w:hAnsi="Arial" w:cs="Arial"/>
          <w:szCs w:val="22"/>
        </w:rPr>
        <w:t>13</w:t>
      </w:r>
      <w:r w:rsidR="000A4C27" w:rsidRPr="00A17C28">
        <w:rPr>
          <w:rFonts w:ascii="Arial" w:eastAsia="Calibri" w:hAnsi="Arial" w:cs="Arial"/>
          <w:szCs w:val="22"/>
        </w:rPr>
        <w:fldChar w:fldCharType="end"/>
      </w:r>
      <w:r w:rsidR="000A4C27" w:rsidRPr="00A17C28">
        <w:rPr>
          <w:rFonts w:ascii="Arial" w:eastAsia="Calibri" w:hAnsi="Arial" w:cs="Arial"/>
          <w:szCs w:val="22"/>
        </w:rPr>
        <w:t xml:space="preserve">]. </w:t>
      </w:r>
      <w:bookmarkStart w:id="0" w:name="_Hlk186882739"/>
      <w:bookmarkStart w:id="1" w:name="_Hlk186877714"/>
      <w:r w:rsidR="000A4C27" w:rsidRPr="00A17C28">
        <w:rPr>
          <w:rFonts w:ascii="Arial" w:eastAsia="Calibri" w:hAnsi="Arial" w:cs="Arial"/>
          <w:szCs w:val="22"/>
        </w:rPr>
        <w:t xml:space="preserve"> The patient was advised not to supplement her diet with any other seed oils. However, she did consume the natural oils and fats contained in full fat Greek Yogurt, in fresh wild fish, organic meats</w:t>
      </w:r>
      <w:r w:rsidR="00DC2ECE" w:rsidRPr="00A17C28">
        <w:rPr>
          <w:rFonts w:ascii="Arial" w:eastAsia="Calibri" w:hAnsi="Arial" w:cs="Arial"/>
          <w:szCs w:val="22"/>
        </w:rPr>
        <w:t>,</w:t>
      </w:r>
      <w:r w:rsidR="000A4C27" w:rsidRPr="00A17C28">
        <w:rPr>
          <w:rFonts w:ascii="Arial" w:eastAsia="Calibri" w:hAnsi="Arial" w:cs="Arial"/>
          <w:szCs w:val="22"/>
        </w:rPr>
        <w:t xml:space="preserve"> and cheese</w:t>
      </w:r>
      <w:bookmarkEnd w:id="0"/>
      <w:r w:rsidR="000A4C27" w:rsidRPr="00A17C28">
        <w:rPr>
          <w:rFonts w:ascii="Arial" w:eastAsia="Calibri" w:hAnsi="Arial" w:cs="Arial"/>
          <w:szCs w:val="22"/>
        </w:rPr>
        <w:t xml:space="preserve">. </w:t>
      </w:r>
      <w:bookmarkEnd w:id="1"/>
      <w:r w:rsidR="000A4C27" w:rsidRPr="00A17C28">
        <w:rPr>
          <w:rFonts w:ascii="Arial" w:eastAsia="Calibri" w:hAnsi="Arial" w:cs="Arial"/>
          <w:szCs w:val="22"/>
        </w:rPr>
        <w:t>For cooking, only EVOO was used. The patient, after the first month of SEVOO-lutein consumption</w:t>
      </w:r>
      <w:r w:rsidR="000A4C27" w:rsidRPr="000A4C27">
        <w:rPr>
          <w:rFonts w:ascii="Arial" w:eastAsia="Calibri" w:hAnsi="Arial" w:cs="Arial"/>
          <w:szCs w:val="22"/>
        </w:rPr>
        <w:t xml:space="preserve">, claimed that there was a remarkable relief in headaches, migraine and dizziness, and she felt stronger to perform daily house activities. </w:t>
      </w:r>
      <w:r w:rsidR="000A4C27" w:rsidRPr="00591BAD">
        <w:rPr>
          <w:rFonts w:ascii="Arial" w:eastAsia="Calibri" w:hAnsi="Arial" w:cs="Arial"/>
          <w:szCs w:val="22"/>
        </w:rPr>
        <w:t xml:space="preserve">Moreover, the patient noticed relief from fatigue and intense neuromuscular pain after two months of SEVOO-lutein consumption. Although constipation remained, there was a substantial improvement there as well, as the patient revealed. The </w:t>
      </w:r>
      <w:r w:rsidR="004141D6" w:rsidRPr="00591BAD">
        <w:rPr>
          <w:rFonts w:ascii="Arial" w:eastAsia="Calibri" w:hAnsi="Arial" w:cs="Arial"/>
          <w:szCs w:val="22"/>
        </w:rPr>
        <w:t xml:space="preserve">two </w:t>
      </w:r>
      <w:r w:rsidR="000A4C27" w:rsidRPr="00591BAD">
        <w:rPr>
          <w:rFonts w:ascii="Arial" w:eastAsia="Calibri" w:hAnsi="Arial" w:cs="Arial"/>
          <w:szCs w:val="22"/>
        </w:rPr>
        <w:t>six-month laboratory examinations (</w:t>
      </w:r>
      <w:r w:rsidR="004141D6" w:rsidRPr="00591BAD">
        <w:rPr>
          <w:rFonts w:ascii="Arial" w:eastAsia="Calibri" w:hAnsi="Arial" w:cs="Arial"/>
          <w:szCs w:val="22"/>
        </w:rPr>
        <w:t xml:space="preserve">first, </w:t>
      </w:r>
      <w:r w:rsidR="000A4C27" w:rsidRPr="00591BAD">
        <w:rPr>
          <w:rFonts w:ascii="Arial" w:eastAsia="Calibri" w:hAnsi="Arial" w:cs="Arial"/>
          <w:szCs w:val="22"/>
        </w:rPr>
        <w:t xml:space="preserve">seven months due to the patient’s delay) as appointed from hepatology physicians for ANA, AMA, ASMA, eosinophil, neutrophil, platelet, and liver enzyme evaluations were remarkably improved, causing the patient to lose the diagnosis of autoimmunity, AIH and liver disease (Table 1). The IgG anti-spike protein antibody levels </w:t>
      </w:r>
      <w:r w:rsidR="00452464" w:rsidRPr="00A17C28">
        <w:rPr>
          <w:rFonts w:ascii="Arial" w:eastAsia="Calibri" w:hAnsi="Arial" w:cs="Arial"/>
          <w:szCs w:val="22"/>
        </w:rPr>
        <w:t>continue</w:t>
      </w:r>
      <w:r w:rsidR="00DC2ECE" w:rsidRPr="00A17C28">
        <w:rPr>
          <w:rFonts w:ascii="Arial" w:eastAsia="Calibri" w:hAnsi="Arial" w:cs="Arial"/>
          <w:szCs w:val="22"/>
        </w:rPr>
        <w:t>d</w:t>
      </w:r>
      <w:r w:rsidR="00452464" w:rsidRPr="00A17C28">
        <w:rPr>
          <w:rFonts w:ascii="Arial" w:eastAsia="Calibri" w:hAnsi="Arial" w:cs="Arial"/>
          <w:szCs w:val="22"/>
        </w:rPr>
        <w:t xml:space="preserve"> to </w:t>
      </w:r>
      <w:r w:rsidR="000A4C27" w:rsidRPr="00A17C28">
        <w:rPr>
          <w:rFonts w:ascii="Arial" w:eastAsia="Calibri" w:hAnsi="Arial" w:cs="Arial"/>
          <w:szCs w:val="22"/>
        </w:rPr>
        <w:t>drop also but remai</w:t>
      </w:r>
      <w:r w:rsidR="00452464" w:rsidRPr="00A17C28">
        <w:rPr>
          <w:rFonts w:ascii="Arial" w:eastAsia="Calibri" w:hAnsi="Arial" w:cs="Arial"/>
          <w:szCs w:val="22"/>
        </w:rPr>
        <w:t>n</w:t>
      </w:r>
      <w:r w:rsidR="00DC2ECE" w:rsidRPr="00A17C28">
        <w:rPr>
          <w:rFonts w:ascii="Arial" w:eastAsia="Calibri" w:hAnsi="Arial" w:cs="Arial"/>
          <w:szCs w:val="22"/>
        </w:rPr>
        <w:t>ed</w:t>
      </w:r>
      <w:r w:rsidR="000A4C27" w:rsidRPr="00A17C28">
        <w:rPr>
          <w:rFonts w:ascii="Arial" w:eastAsia="Calibri" w:hAnsi="Arial" w:cs="Arial"/>
          <w:szCs w:val="22"/>
        </w:rPr>
        <w:t xml:space="preserve"> at exceedingly higher-than-normal values. Finally, further examinations indicative of AIH, i.e</w:t>
      </w:r>
      <w:r w:rsidR="000A4C27" w:rsidRPr="00591BAD">
        <w:rPr>
          <w:rFonts w:ascii="Arial" w:eastAsia="Calibri" w:hAnsi="Arial" w:cs="Arial"/>
          <w:szCs w:val="22"/>
        </w:rPr>
        <w:t xml:space="preserve">., serum IgG, clotting defect [activated partial thromboplastin time (APTT, prothrombin time (PT) and clotting time (CT)] were found to be normal (not shown in Table 1). </w:t>
      </w:r>
    </w:p>
    <w:p w14:paraId="60CC969F" w14:textId="77777777" w:rsidR="00C37CBA" w:rsidRPr="00591BAD" w:rsidRDefault="00C37CBA" w:rsidP="000A4C27">
      <w:pPr>
        <w:rPr>
          <w:rFonts w:ascii="Arial" w:eastAsia="Calibri" w:hAnsi="Arial" w:cs="Arial"/>
          <w:szCs w:val="22"/>
        </w:rPr>
      </w:pPr>
    </w:p>
    <w:p w14:paraId="7F0480BF" w14:textId="002FA0CC" w:rsidR="000A4C27" w:rsidRPr="00591BAD" w:rsidRDefault="000A4C27" w:rsidP="000A4C27">
      <w:pPr>
        <w:rPr>
          <w:rFonts w:ascii="Arial" w:eastAsia="Calibri" w:hAnsi="Arial" w:cs="Arial"/>
          <w:szCs w:val="22"/>
        </w:rPr>
      </w:pPr>
      <w:r w:rsidRPr="00591BAD">
        <w:rPr>
          <w:rFonts w:ascii="Arial" w:eastAsia="Calibri" w:hAnsi="Arial" w:cs="Arial"/>
          <w:szCs w:val="22"/>
        </w:rPr>
        <w:t xml:space="preserve">Table 1. Measured (raised) </w:t>
      </w:r>
      <w:r w:rsidR="007D5E5C" w:rsidRPr="00591BAD">
        <w:rPr>
          <w:rFonts w:ascii="Arial" w:eastAsia="Calibri" w:hAnsi="Arial" w:cs="Arial"/>
          <w:szCs w:val="22"/>
        </w:rPr>
        <w:t>hematological</w:t>
      </w:r>
      <w:r w:rsidRPr="00591BAD">
        <w:rPr>
          <w:rFonts w:ascii="Arial" w:eastAsia="Calibri" w:hAnsi="Arial" w:cs="Arial"/>
          <w:szCs w:val="22"/>
        </w:rPr>
        <w:t xml:space="preserve"> indices and autoimmune</w:t>
      </w:r>
      <w:r w:rsidRPr="000A4C27">
        <w:rPr>
          <w:rFonts w:ascii="Arial" w:eastAsia="Calibri" w:hAnsi="Arial" w:cs="Arial"/>
          <w:szCs w:val="22"/>
        </w:rPr>
        <w:t xml:space="preserve"> hepatitis markers in the long </w:t>
      </w:r>
      <w:r w:rsidRPr="00591BAD">
        <w:rPr>
          <w:rFonts w:ascii="Arial" w:eastAsia="Calibri" w:hAnsi="Arial" w:cs="Arial"/>
          <w:szCs w:val="22"/>
        </w:rPr>
        <w:t>COVID patient</w:t>
      </w:r>
    </w:p>
    <w:p w14:paraId="61232742" w14:textId="77777777" w:rsidR="00C37CBA" w:rsidRPr="00591BAD" w:rsidRDefault="00C37CBA" w:rsidP="000A4C27">
      <w:pPr>
        <w:rPr>
          <w:rFonts w:ascii="Arial" w:eastAsia="Calibri" w:hAnsi="Arial" w:cs="Arial"/>
          <w:szCs w:val="22"/>
        </w:rPr>
      </w:pPr>
    </w:p>
    <w:tbl>
      <w:tblPr>
        <w:tblStyle w:val="TableGrid"/>
        <w:tblW w:w="0" w:type="auto"/>
        <w:tblLook w:val="04A0" w:firstRow="1" w:lastRow="0" w:firstColumn="1" w:lastColumn="0" w:noHBand="0" w:noVBand="1"/>
      </w:tblPr>
      <w:tblGrid>
        <w:gridCol w:w="2564"/>
        <w:gridCol w:w="2857"/>
        <w:gridCol w:w="2779"/>
        <w:gridCol w:w="2590"/>
      </w:tblGrid>
      <w:tr w:rsidR="00005DAB" w:rsidRPr="00591BAD" w14:paraId="2FE8BA8D" w14:textId="3F9A9CD3" w:rsidTr="00005DAB">
        <w:tc>
          <w:tcPr>
            <w:tcW w:w="2564" w:type="dxa"/>
          </w:tcPr>
          <w:p w14:paraId="6ACC0968" w14:textId="77777777" w:rsidR="00005DAB" w:rsidRPr="00591BAD" w:rsidRDefault="00005DAB" w:rsidP="00CA7CB7">
            <w:pPr>
              <w:rPr>
                <w:rFonts w:ascii="Arial" w:hAnsi="Arial" w:cs="Arial"/>
                <w:sz w:val="20"/>
              </w:rPr>
            </w:pPr>
          </w:p>
          <w:p w14:paraId="3091DBE2" w14:textId="77777777" w:rsidR="00005DAB" w:rsidRPr="00591BAD" w:rsidRDefault="00005DAB" w:rsidP="00CA7CB7">
            <w:pPr>
              <w:rPr>
                <w:rFonts w:ascii="Arial" w:hAnsi="Arial" w:cs="Arial"/>
                <w:sz w:val="20"/>
              </w:rPr>
            </w:pPr>
            <w:r w:rsidRPr="00591BAD">
              <w:rPr>
                <w:rFonts w:ascii="Arial" w:hAnsi="Arial" w:cs="Arial"/>
                <w:sz w:val="20"/>
              </w:rPr>
              <w:t>Blood test values</w:t>
            </w:r>
          </w:p>
        </w:tc>
        <w:tc>
          <w:tcPr>
            <w:tcW w:w="2857" w:type="dxa"/>
          </w:tcPr>
          <w:p w14:paraId="66AD45BD" w14:textId="77777777" w:rsidR="00005DAB" w:rsidRPr="00591BAD" w:rsidRDefault="00005DAB" w:rsidP="00CA7CB7">
            <w:pPr>
              <w:jc w:val="center"/>
              <w:rPr>
                <w:rFonts w:ascii="Arial" w:hAnsi="Arial" w:cs="Arial"/>
                <w:sz w:val="20"/>
              </w:rPr>
            </w:pPr>
            <w:r w:rsidRPr="00591BAD">
              <w:rPr>
                <w:rFonts w:ascii="Arial" w:hAnsi="Arial" w:cs="Arial"/>
                <w:sz w:val="20"/>
              </w:rPr>
              <w:t>I month after COVID-19</w:t>
            </w:r>
          </w:p>
          <w:p w14:paraId="20595F4B" w14:textId="77777777" w:rsidR="00005DAB" w:rsidRPr="00591BAD" w:rsidRDefault="00005DAB" w:rsidP="00CA7CB7">
            <w:pPr>
              <w:jc w:val="center"/>
              <w:rPr>
                <w:rFonts w:ascii="Arial" w:hAnsi="Arial" w:cs="Arial"/>
                <w:sz w:val="20"/>
              </w:rPr>
            </w:pPr>
            <w:r w:rsidRPr="00591BAD">
              <w:rPr>
                <w:rFonts w:ascii="Arial" w:hAnsi="Arial" w:cs="Arial"/>
                <w:sz w:val="20"/>
              </w:rPr>
              <w:t>Without SEVOO-lutein consumption</w:t>
            </w:r>
          </w:p>
        </w:tc>
        <w:tc>
          <w:tcPr>
            <w:tcW w:w="2779" w:type="dxa"/>
          </w:tcPr>
          <w:p w14:paraId="60F89B26" w14:textId="77777777" w:rsidR="00005DAB" w:rsidRPr="00591BAD" w:rsidRDefault="00005DAB" w:rsidP="00CA7CB7">
            <w:pPr>
              <w:jc w:val="center"/>
              <w:rPr>
                <w:rFonts w:ascii="Arial" w:hAnsi="Arial" w:cs="Arial"/>
                <w:sz w:val="20"/>
              </w:rPr>
            </w:pPr>
            <w:r w:rsidRPr="00591BAD">
              <w:rPr>
                <w:rFonts w:ascii="Arial" w:hAnsi="Arial" w:cs="Arial"/>
                <w:sz w:val="20"/>
              </w:rPr>
              <w:t xml:space="preserve">Eight months after </w:t>
            </w:r>
          </w:p>
          <w:p w14:paraId="1FA98ED9" w14:textId="2EDFF64C" w:rsidR="00005DAB" w:rsidRPr="00591BAD" w:rsidRDefault="00005DAB" w:rsidP="00CA7CB7">
            <w:pPr>
              <w:jc w:val="center"/>
              <w:rPr>
                <w:rFonts w:ascii="Arial" w:hAnsi="Arial" w:cs="Arial"/>
                <w:sz w:val="20"/>
              </w:rPr>
            </w:pPr>
            <w:r w:rsidRPr="00591BAD">
              <w:rPr>
                <w:rFonts w:ascii="Arial" w:hAnsi="Arial" w:cs="Arial"/>
                <w:sz w:val="20"/>
              </w:rPr>
              <w:t>COVID-19</w:t>
            </w:r>
          </w:p>
          <w:p w14:paraId="46D9E310" w14:textId="77777777" w:rsidR="00005DAB" w:rsidRPr="00591BAD" w:rsidRDefault="00005DAB" w:rsidP="00CA7CB7">
            <w:pPr>
              <w:jc w:val="center"/>
              <w:rPr>
                <w:rFonts w:ascii="Arial" w:hAnsi="Arial" w:cs="Arial"/>
                <w:sz w:val="20"/>
              </w:rPr>
            </w:pPr>
            <w:r w:rsidRPr="00591BAD">
              <w:rPr>
                <w:rFonts w:ascii="Arial" w:hAnsi="Arial" w:cs="Arial"/>
                <w:sz w:val="20"/>
              </w:rPr>
              <w:t>following six months of SEVOO-lutein consumption</w:t>
            </w:r>
          </w:p>
        </w:tc>
        <w:tc>
          <w:tcPr>
            <w:tcW w:w="2590" w:type="dxa"/>
          </w:tcPr>
          <w:p w14:paraId="27331F1C" w14:textId="77777777" w:rsidR="00005DAB" w:rsidRPr="00591BAD" w:rsidRDefault="00005DAB" w:rsidP="00CA7CB7">
            <w:pPr>
              <w:jc w:val="center"/>
              <w:rPr>
                <w:rFonts w:ascii="Arial" w:hAnsi="Arial" w:cs="Arial"/>
                <w:sz w:val="20"/>
              </w:rPr>
            </w:pPr>
            <w:r w:rsidRPr="00591BAD">
              <w:rPr>
                <w:rFonts w:ascii="Arial" w:hAnsi="Arial" w:cs="Arial"/>
                <w:sz w:val="20"/>
              </w:rPr>
              <w:t>Fourteen months after COVID-19</w:t>
            </w:r>
          </w:p>
          <w:p w14:paraId="297F2757" w14:textId="2DC7F454" w:rsidR="00005DAB" w:rsidRPr="00591BAD" w:rsidRDefault="00005DAB" w:rsidP="00CA7CB7">
            <w:pPr>
              <w:jc w:val="center"/>
              <w:rPr>
                <w:rFonts w:ascii="Arial" w:hAnsi="Arial" w:cs="Arial"/>
                <w:sz w:val="20"/>
              </w:rPr>
            </w:pPr>
            <w:r w:rsidRPr="00591BAD">
              <w:rPr>
                <w:rFonts w:ascii="Arial" w:hAnsi="Arial" w:cs="Arial"/>
                <w:sz w:val="20"/>
              </w:rPr>
              <w:t>following 12 months of SEVOO-lutein consumption</w:t>
            </w:r>
          </w:p>
        </w:tc>
      </w:tr>
      <w:tr w:rsidR="00005DAB" w:rsidRPr="00591BAD" w14:paraId="66EE9695" w14:textId="0E150289" w:rsidTr="00005DAB">
        <w:tc>
          <w:tcPr>
            <w:tcW w:w="2564" w:type="dxa"/>
          </w:tcPr>
          <w:p w14:paraId="0E496F9E" w14:textId="77777777" w:rsidR="00005DAB" w:rsidRPr="00591BAD" w:rsidRDefault="00005DAB" w:rsidP="00CA7CB7">
            <w:pPr>
              <w:rPr>
                <w:rFonts w:ascii="Arial" w:hAnsi="Arial" w:cs="Arial"/>
                <w:sz w:val="20"/>
              </w:rPr>
            </w:pPr>
            <w:r w:rsidRPr="00591BAD">
              <w:rPr>
                <w:rFonts w:ascii="Arial" w:hAnsi="Arial" w:cs="Arial"/>
                <w:sz w:val="20"/>
              </w:rPr>
              <w:t>Eosinophils</w:t>
            </w:r>
          </w:p>
          <w:p w14:paraId="324BC350" w14:textId="77777777" w:rsidR="00005DAB" w:rsidRPr="00591BAD" w:rsidRDefault="00005DAB" w:rsidP="00CA7CB7">
            <w:pPr>
              <w:rPr>
                <w:rFonts w:ascii="Arial" w:hAnsi="Arial" w:cs="Arial"/>
                <w:sz w:val="20"/>
              </w:rPr>
            </w:pPr>
            <w:r w:rsidRPr="00591BAD">
              <w:rPr>
                <w:rFonts w:ascii="Arial" w:hAnsi="Arial" w:cs="Arial"/>
                <w:sz w:val="20"/>
              </w:rPr>
              <w:t xml:space="preserve">Normal values </w:t>
            </w:r>
          </w:p>
          <w:p w14:paraId="1F908F68" w14:textId="77777777" w:rsidR="00005DAB" w:rsidRPr="00591BAD" w:rsidRDefault="00005DAB" w:rsidP="00CA7CB7">
            <w:pPr>
              <w:rPr>
                <w:rFonts w:ascii="Arial" w:hAnsi="Arial" w:cs="Arial"/>
                <w:sz w:val="20"/>
              </w:rPr>
            </w:pPr>
            <w:r w:rsidRPr="00591BAD">
              <w:rPr>
                <w:rFonts w:ascii="Arial" w:hAnsi="Arial" w:cs="Arial"/>
                <w:sz w:val="20"/>
              </w:rPr>
              <w:lastRenderedPageBreak/>
              <w:t>1-6 %</w:t>
            </w:r>
          </w:p>
        </w:tc>
        <w:tc>
          <w:tcPr>
            <w:tcW w:w="2857" w:type="dxa"/>
          </w:tcPr>
          <w:p w14:paraId="07DA5D3B" w14:textId="77777777" w:rsidR="00005DAB" w:rsidRPr="00591BAD" w:rsidRDefault="00005DAB" w:rsidP="00CA7CB7">
            <w:pPr>
              <w:jc w:val="center"/>
              <w:rPr>
                <w:rFonts w:ascii="Arial" w:hAnsi="Arial" w:cs="Arial"/>
                <w:sz w:val="20"/>
              </w:rPr>
            </w:pPr>
            <w:r w:rsidRPr="00591BAD">
              <w:rPr>
                <w:rFonts w:ascii="Arial" w:hAnsi="Arial" w:cs="Arial"/>
                <w:sz w:val="20"/>
              </w:rPr>
              <w:lastRenderedPageBreak/>
              <w:t>9.0</w:t>
            </w:r>
          </w:p>
        </w:tc>
        <w:tc>
          <w:tcPr>
            <w:tcW w:w="2779" w:type="dxa"/>
          </w:tcPr>
          <w:p w14:paraId="5F3748BE" w14:textId="77777777" w:rsidR="00005DAB" w:rsidRPr="00591BAD" w:rsidRDefault="00005DAB" w:rsidP="00CA7CB7">
            <w:pPr>
              <w:jc w:val="center"/>
              <w:rPr>
                <w:rFonts w:ascii="Arial" w:hAnsi="Arial" w:cs="Arial"/>
                <w:sz w:val="20"/>
              </w:rPr>
            </w:pPr>
            <w:r w:rsidRPr="00591BAD">
              <w:rPr>
                <w:rFonts w:ascii="Arial" w:hAnsi="Arial" w:cs="Arial"/>
                <w:sz w:val="20"/>
              </w:rPr>
              <w:t>6.0</w:t>
            </w:r>
          </w:p>
        </w:tc>
        <w:tc>
          <w:tcPr>
            <w:tcW w:w="2590" w:type="dxa"/>
          </w:tcPr>
          <w:p w14:paraId="570EF1A6" w14:textId="77E30242" w:rsidR="00005DAB" w:rsidRPr="00591BAD" w:rsidRDefault="00005DAB" w:rsidP="00CA7CB7">
            <w:pPr>
              <w:jc w:val="center"/>
              <w:rPr>
                <w:rFonts w:ascii="Arial" w:hAnsi="Arial" w:cs="Arial"/>
              </w:rPr>
            </w:pPr>
            <w:r w:rsidRPr="00591BAD">
              <w:rPr>
                <w:rFonts w:ascii="Arial" w:hAnsi="Arial" w:cs="Arial"/>
              </w:rPr>
              <w:t>6.1</w:t>
            </w:r>
          </w:p>
        </w:tc>
      </w:tr>
      <w:tr w:rsidR="00005DAB" w:rsidRPr="00591BAD" w14:paraId="51BF50FA" w14:textId="735949C3" w:rsidTr="00005DAB">
        <w:tc>
          <w:tcPr>
            <w:tcW w:w="2564" w:type="dxa"/>
          </w:tcPr>
          <w:p w14:paraId="6A13D21B" w14:textId="77777777" w:rsidR="00005DAB" w:rsidRPr="00591BAD" w:rsidRDefault="00005DAB" w:rsidP="00CA7CB7">
            <w:pPr>
              <w:rPr>
                <w:rFonts w:ascii="Arial" w:hAnsi="Arial" w:cs="Arial"/>
                <w:sz w:val="20"/>
              </w:rPr>
            </w:pPr>
            <w:r w:rsidRPr="00591BAD">
              <w:rPr>
                <w:rFonts w:ascii="Arial" w:hAnsi="Arial" w:cs="Arial"/>
                <w:sz w:val="20"/>
              </w:rPr>
              <w:t>Basophils</w:t>
            </w:r>
          </w:p>
          <w:p w14:paraId="157038F1" w14:textId="77777777" w:rsidR="00005DAB" w:rsidRPr="00591BAD" w:rsidRDefault="00005DAB" w:rsidP="00CA7CB7">
            <w:pPr>
              <w:rPr>
                <w:rFonts w:ascii="Arial" w:hAnsi="Arial" w:cs="Arial"/>
                <w:sz w:val="20"/>
              </w:rPr>
            </w:pPr>
            <w:r w:rsidRPr="00591BAD">
              <w:rPr>
                <w:rFonts w:ascii="Arial" w:hAnsi="Arial" w:cs="Arial"/>
                <w:sz w:val="20"/>
              </w:rPr>
              <w:t>Normal values</w:t>
            </w:r>
          </w:p>
          <w:p w14:paraId="0D4534F2" w14:textId="77777777" w:rsidR="00005DAB" w:rsidRPr="00591BAD" w:rsidRDefault="00005DAB" w:rsidP="00CA7CB7">
            <w:pPr>
              <w:rPr>
                <w:rFonts w:ascii="Arial" w:hAnsi="Arial" w:cs="Arial"/>
                <w:sz w:val="20"/>
              </w:rPr>
            </w:pPr>
            <w:r w:rsidRPr="00591BAD">
              <w:rPr>
                <w:rFonts w:ascii="Arial" w:hAnsi="Arial" w:cs="Arial"/>
                <w:sz w:val="20"/>
              </w:rPr>
              <w:t>0.3-1.0 %</w:t>
            </w:r>
          </w:p>
        </w:tc>
        <w:tc>
          <w:tcPr>
            <w:tcW w:w="2857" w:type="dxa"/>
          </w:tcPr>
          <w:p w14:paraId="330CCEA7" w14:textId="77777777" w:rsidR="00005DAB" w:rsidRPr="00591BAD" w:rsidRDefault="00005DAB" w:rsidP="00CA7CB7">
            <w:pPr>
              <w:jc w:val="center"/>
              <w:rPr>
                <w:rFonts w:ascii="Arial" w:hAnsi="Arial" w:cs="Arial"/>
                <w:sz w:val="20"/>
              </w:rPr>
            </w:pPr>
            <w:r w:rsidRPr="00591BAD">
              <w:rPr>
                <w:rFonts w:ascii="Arial" w:hAnsi="Arial" w:cs="Arial"/>
                <w:sz w:val="20"/>
              </w:rPr>
              <w:t>1.7</w:t>
            </w:r>
          </w:p>
        </w:tc>
        <w:tc>
          <w:tcPr>
            <w:tcW w:w="2779" w:type="dxa"/>
          </w:tcPr>
          <w:p w14:paraId="0D60B2FD" w14:textId="77777777" w:rsidR="00005DAB" w:rsidRPr="00591BAD" w:rsidRDefault="00005DAB" w:rsidP="00CA7CB7">
            <w:pPr>
              <w:jc w:val="center"/>
              <w:rPr>
                <w:rFonts w:ascii="Arial" w:hAnsi="Arial" w:cs="Arial"/>
                <w:sz w:val="20"/>
              </w:rPr>
            </w:pPr>
            <w:r w:rsidRPr="00591BAD">
              <w:rPr>
                <w:rFonts w:ascii="Arial" w:hAnsi="Arial" w:cs="Arial"/>
                <w:sz w:val="20"/>
              </w:rPr>
              <w:t>1.1</w:t>
            </w:r>
          </w:p>
        </w:tc>
        <w:tc>
          <w:tcPr>
            <w:tcW w:w="2590" w:type="dxa"/>
          </w:tcPr>
          <w:p w14:paraId="436FC396" w14:textId="06584366" w:rsidR="00005DAB" w:rsidRPr="00591BAD" w:rsidRDefault="00005DAB" w:rsidP="00CA7CB7">
            <w:pPr>
              <w:jc w:val="center"/>
              <w:rPr>
                <w:rFonts w:ascii="Arial" w:hAnsi="Arial" w:cs="Arial"/>
              </w:rPr>
            </w:pPr>
            <w:r w:rsidRPr="00591BAD">
              <w:rPr>
                <w:rFonts w:ascii="Arial" w:hAnsi="Arial" w:cs="Arial"/>
              </w:rPr>
              <w:t>1.2</w:t>
            </w:r>
          </w:p>
        </w:tc>
      </w:tr>
      <w:tr w:rsidR="00005DAB" w:rsidRPr="00591BAD" w14:paraId="1653648F" w14:textId="31AF342D" w:rsidTr="00005DAB">
        <w:tc>
          <w:tcPr>
            <w:tcW w:w="2564" w:type="dxa"/>
          </w:tcPr>
          <w:p w14:paraId="33926216" w14:textId="77777777" w:rsidR="00005DAB" w:rsidRPr="00591BAD" w:rsidRDefault="00005DAB" w:rsidP="00CA7CB7">
            <w:pPr>
              <w:rPr>
                <w:rFonts w:ascii="Arial" w:hAnsi="Arial" w:cs="Arial"/>
                <w:sz w:val="20"/>
              </w:rPr>
            </w:pPr>
            <w:r w:rsidRPr="00591BAD">
              <w:rPr>
                <w:rFonts w:ascii="Arial" w:hAnsi="Arial" w:cs="Arial"/>
                <w:sz w:val="20"/>
              </w:rPr>
              <w:t>MPV</w:t>
            </w:r>
          </w:p>
          <w:p w14:paraId="11C9A29D" w14:textId="77777777" w:rsidR="00005DAB" w:rsidRPr="00591BAD" w:rsidRDefault="00005DAB" w:rsidP="00CA7CB7">
            <w:pPr>
              <w:rPr>
                <w:rFonts w:ascii="Arial" w:hAnsi="Arial" w:cs="Arial"/>
                <w:sz w:val="20"/>
              </w:rPr>
            </w:pPr>
            <w:r w:rsidRPr="00591BAD">
              <w:rPr>
                <w:rFonts w:ascii="Arial" w:hAnsi="Arial" w:cs="Arial"/>
                <w:sz w:val="20"/>
              </w:rPr>
              <w:t xml:space="preserve">Normal values </w:t>
            </w:r>
          </w:p>
          <w:p w14:paraId="7F70127C" w14:textId="77777777" w:rsidR="00005DAB" w:rsidRPr="00591BAD" w:rsidRDefault="00005DAB" w:rsidP="00CA7CB7">
            <w:pPr>
              <w:rPr>
                <w:rFonts w:ascii="Arial" w:hAnsi="Arial" w:cs="Arial"/>
                <w:sz w:val="20"/>
              </w:rPr>
            </w:pPr>
            <w:r w:rsidRPr="00591BAD">
              <w:rPr>
                <w:rFonts w:ascii="Arial" w:hAnsi="Arial" w:cs="Arial"/>
                <w:sz w:val="20"/>
              </w:rPr>
              <w:t xml:space="preserve">6-11 </w:t>
            </w:r>
            <w:proofErr w:type="spellStart"/>
            <w:r w:rsidRPr="00591BAD">
              <w:rPr>
                <w:rFonts w:ascii="Arial" w:hAnsi="Arial" w:cs="Arial"/>
                <w:sz w:val="20"/>
              </w:rPr>
              <w:t>fL</w:t>
            </w:r>
            <w:proofErr w:type="spellEnd"/>
          </w:p>
        </w:tc>
        <w:tc>
          <w:tcPr>
            <w:tcW w:w="2857" w:type="dxa"/>
          </w:tcPr>
          <w:p w14:paraId="09821AC2" w14:textId="77777777" w:rsidR="00005DAB" w:rsidRPr="00591BAD" w:rsidRDefault="00005DAB" w:rsidP="00CA7CB7">
            <w:pPr>
              <w:jc w:val="center"/>
              <w:rPr>
                <w:rFonts w:ascii="Arial" w:hAnsi="Arial" w:cs="Arial"/>
                <w:sz w:val="20"/>
              </w:rPr>
            </w:pPr>
            <w:r w:rsidRPr="00591BAD">
              <w:rPr>
                <w:rFonts w:ascii="Arial" w:hAnsi="Arial" w:cs="Arial"/>
                <w:sz w:val="20"/>
              </w:rPr>
              <w:t>11.8</w:t>
            </w:r>
          </w:p>
        </w:tc>
        <w:tc>
          <w:tcPr>
            <w:tcW w:w="2779" w:type="dxa"/>
          </w:tcPr>
          <w:p w14:paraId="5F4933C1" w14:textId="77777777" w:rsidR="00005DAB" w:rsidRPr="00591BAD" w:rsidRDefault="00005DAB" w:rsidP="00CA7CB7">
            <w:pPr>
              <w:jc w:val="center"/>
              <w:rPr>
                <w:rFonts w:ascii="Arial" w:hAnsi="Arial" w:cs="Arial"/>
                <w:sz w:val="20"/>
              </w:rPr>
            </w:pPr>
            <w:r w:rsidRPr="00591BAD">
              <w:rPr>
                <w:rFonts w:ascii="Arial" w:hAnsi="Arial" w:cs="Arial"/>
                <w:sz w:val="20"/>
              </w:rPr>
              <w:t>11.1</w:t>
            </w:r>
          </w:p>
        </w:tc>
        <w:tc>
          <w:tcPr>
            <w:tcW w:w="2590" w:type="dxa"/>
          </w:tcPr>
          <w:p w14:paraId="29715E4B" w14:textId="0776225D" w:rsidR="00005DAB" w:rsidRPr="00591BAD" w:rsidRDefault="00005DAB" w:rsidP="00CA7CB7">
            <w:pPr>
              <w:jc w:val="center"/>
              <w:rPr>
                <w:rFonts w:ascii="Arial" w:hAnsi="Arial" w:cs="Arial"/>
              </w:rPr>
            </w:pPr>
            <w:r w:rsidRPr="00591BAD">
              <w:rPr>
                <w:rFonts w:ascii="Arial" w:hAnsi="Arial" w:cs="Arial"/>
              </w:rPr>
              <w:t>11.2</w:t>
            </w:r>
          </w:p>
        </w:tc>
      </w:tr>
      <w:tr w:rsidR="00005DAB" w:rsidRPr="00591BAD" w14:paraId="65C83CCD" w14:textId="7D3B22B5" w:rsidTr="00005DAB">
        <w:tc>
          <w:tcPr>
            <w:tcW w:w="2564" w:type="dxa"/>
          </w:tcPr>
          <w:p w14:paraId="18457594" w14:textId="77777777" w:rsidR="00005DAB" w:rsidRPr="00591BAD" w:rsidRDefault="00005DAB" w:rsidP="00CA7CB7">
            <w:pPr>
              <w:rPr>
                <w:rFonts w:ascii="Arial" w:hAnsi="Arial" w:cs="Arial"/>
                <w:sz w:val="20"/>
              </w:rPr>
            </w:pPr>
            <w:r w:rsidRPr="00591BAD">
              <w:rPr>
                <w:rFonts w:ascii="Arial" w:hAnsi="Arial" w:cs="Arial"/>
                <w:sz w:val="20"/>
              </w:rPr>
              <w:t>PLCR</w:t>
            </w:r>
          </w:p>
          <w:p w14:paraId="3BBC6803" w14:textId="77777777" w:rsidR="00005DAB" w:rsidRPr="00591BAD" w:rsidRDefault="00005DAB" w:rsidP="00CA7CB7">
            <w:pPr>
              <w:rPr>
                <w:rFonts w:ascii="Arial" w:hAnsi="Arial" w:cs="Arial"/>
                <w:sz w:val="20"/>
              </w:rPr>
            </w:pPr>
            <w:r w:rsidRPr="00591BAD">
              <w:rPr>
                <w:rFonts w:ascii="Arial" w:hAnsi="Arial" w:cs="Arial"/>
                <w:sz w:val="20"/>
              </w:rPr>
              <w:t xml:space="preserve">Normal values </w:t>
            </w:r>
          </w:p>
          <w:p w14:paraId="45EF0C3D" w14:textId="77777777" w:rsidR="00005DAB" w:rsidRPr="00591BAD" w:rsidRDefault="00005DAB" w:rsidP="00CA7CB7">
            <w:pPr>
              <w:rPr>
                <w:rFonts w:ascii="Arial" w:hAnsi="Arial" w:cs="Arial"/>
                <w:sz w:val="20"/>
              </w:rPr>
            </w:pPr>
            <w:r w:rsidRPr="00591BAD">
              <w:rPr>
                <w:rFonts w:ascii="Arial" w:hAnsi="Arial" w:cs="Arial"/>
                <w:sz w:val="20"/>
              </w:rPr>
              <w:t>13-43 %</w:t>
            </w:r>
          </w:p>
        </w:tc>
        <w:tc>
          <w:tcPr>
            <w:tcW w:w="2857" w:type="dxa"/>
          </w:tcPr>
          <w:p w14:paraId="7EB54F22" w14:textId="77777777" w:rsidR="00005DAB" w:rsidRPr="00591BAD" w:rsidRDefault="00005DAB" w:rsidP="00CA7CB7">
            <w:pPr>
              <w:jc w:val="center"/>
              <w:rPr>
                <w:rFonts w:ascii="Arial" w:hAnsi="Arial" w:cs="Arial"/>
                <w:sz w:val="20"/>
              </w:rPr>
            </w:pPr>
            <w:r w:rsidRPr="00591BAD">
              <w:rPr>
                <w:rFonts w:ascii="Arial" w:hAnsi="Arial" w:cs="Arial"/>
                <w:sz w:val="20"/>
              </w:rPr>
              <w:t>43.8</w:t>
            </w:r>
          </w:p>
        </w:tc>
        <w:tc>
          <w:tcPr>
            <w:tcW w:w="2779" w:type="dxa"/>
          </w:tcPr>
          <w:p w14:paraId="0CA9B66D" w14:textId="77777777" w:rsidR="00005DAB" w:rsidRPr="00591BAD" w:rsidRDefault="00005DAB" w:rsidP="00CA7CB7">
            <w:pPr>
              <w:jc w:val="center"/>
              <w:rPr>
                <w:rFonts w:ascii="Arial" w:hAnsi="Arial" w:cs="Arial"/>
                <w:sz w:val="20"/>
              </w:rPr>
            </w:pPr>
            <w:r w:rsidRPr="00591BAD">
              <w:rPr>
                <w:rFonts w:ascii="Arial" w:hAnsi="Arial" w:cs="Arial"/>
                <w:sz w:val="20"/>
              </w:rPr>
              <w:t>43.1</w:t>
            </w:r>
          </w:p>
        </w:tc>
        <w:tc>
          <w:tcPr>
            <w:tcW w:w="2590" w:type="dxa"/>
          </w:tcPr>
          <w:p w14:paraId="60AF742F" w14:textId="326974A4" w:rsidR="00005DAB" w:rsidRPr="00591BAD" w:rsidRDefault="00005DAB" w:rsidP="00CA7CB7">
            <w:pPr>
              <w:jc w:val="center"/>
              <w:rPr>
                <w:rFonts w:ascii="Arial" w:hAnsi="Arial" w:cs="Arial"/>
              </w:rPr>
            </w:pPr>
            <w:r w:rsidRPr="00591BAD">
              <w:rPr>
                <w:rFonts w:ascii="Arial" w:hAnsi="Arial" w:cs="Arial"/>
              </w:rPr>
              <w:t>42.2</w:t>
            </w:r>
          </w:p>
        </w:tc>
      </w:tr>
      <w:tr w:rsidR="00005DAB" w:rsidRPr="00591BAD" w14:paraId="7A21A033" w14:textId="460927C9" w:rsidTr="00005DAB">
        <w:tc>
          <w:tcPr>
            <w:tcW w:w="2564" w:type="dxa"/>
          </w:tcPr>
          <w:p w14:paraId="4DD17012" w14:textId="77777777" w:rsidR="00005DAB" w:rsidRPr="00591BAD" w:rsidRDefault="00005DAB" w:rsidP="00CA7CB7">
            <w:pPr>
              <w:rPr>
                <w:rFonts w:ascii="Arial" w:hAnsi="Arial" w:cs="Arial"/>
                <w:sz w:val="20"/>
              </w:rPr>
            </w:pPr>
            <w:r w:rsidRPr="00591BAD">
              <w:rPr>
                <w:rFonts w:ascii="Arial" w:hAnsi="Arial" w:cs="Arial"/>
                <w:sz w:val="20"/>
              </w:rPr>
              <w:t>ANA</w:t>
            </w:r>
          </w:p>
          <w:p w14:paraId="76C53615" w14:textId="77777777" w:rsidR="00005DAB" w:rsidRPr="00591BAD" w:rsidRDefault="00005DAB" w:rsidP="00CA7CB7">
            <w:pPr>
              <w:rPr>
                <w:rFonts w:ascii="Arial" w:hAnsi="Arial" w:cs="Arial"/>
                <w:sz w:val="20"/>
              </w:rPr>
            </w:pPr>
            <w:r w:rsidRPr="00591BAD">
              <w:rPr>
                <w:rFonts w:ascii="Arial" w:hAnsi="Arial" w:cs="Arial"/>
                <w:sz w:val="20"/>
              </w:rPr>
              <w:t xml:space="preserve">Normal </w:t>
            </w:r>
            <w:proofErr w:type="spellStart"/>
            <w:r w:rsidRPr="00591BAD">
              <w:rPr>
                <w:rFonts w:ascii="Arial" w:hAnsi="Arial" w:cs="Arial"/>
                <w:sz w:val="20"/>
              </w:rPr>
              <w:t>titre</w:t>
            </w:r>
            <w:proofErr w:type="spellEnd"/>
            <w:r w:rsidRPr="00591BAD">
              <w:rPr>
                <w:rFonts w:ascii="Arial" w:hAnsi="Arial" w:cs="Arial"/>
                <w:sz w:val="20"/>
              </w:rPr>
              <w:t xml:space="preserve"> &lt;1:640 dilution </w:t>
            </w:r>
          </w:p>
        </w:tc>
        <w:tc>
          <w:tcPr>
            <w:tcW w:w="2857" w:type="dxa"/>
          </w:tcPr>
          <w:p w14:paraId="06B8B1C7" w14:textId="77777777" w:rsidR="00005DAB" w:rsidRPr="00591BAD" w:rsidRDefault="00005DAB" w:rsidP="00CA7CB7">
            <w:pPr>
              <w:pStyle w:val="ListParagraph"/>
              <w:rPr>
                <w:rFonts w:ascii="Arial" w:hAnsi="Arial" w:cs="Arial"/>
                <w:sz w:val="20"/>
              </w:rPr>
            </w:pPr>
            <w:r w:rsidRPr="00591BAD">
              <w:rPr>
                <w:rFonts w:ascii="Arial" w:hAnsi="Arial" w:cs="Arial"/>
                <w:sz w:val="20"/>
              </w:rPr>
              <w:t xml:space="preserve">        &gt;1:640</w:t>
            </w:r>
          </w:p>
        </w:tc>
        <w:tc>
          <w:tcPr>
            <w:tcW w:w="2779" w:type="dxa"/>
          </w:tcPr>
          <w:p w14:paraId="7688D35D" w14:textId="77777777" w:rsidR="00005DAB" w:rsidRPr="00591BAD" w:rsidRDefault="00005DAB" w:rsidP="00CA7CB7">
            <w:pPr>
              <w:jc w:val="center"/>
              <w:rPr>
                <w:rFonts w:ascii="Arial" w:hAnsi="Arial" w:cs="Arial"/>
                <w:sz w:val="20"/>
              </w:rPr>
            </w:pPr>
            <w:r w:rsidRPr="00591BAD">
              <w:rPr>
                <w:rFonts w:ascii="Arial" w:hAnsi="Arial" w:cs="Arial"/>
                <w:sz w:val="20"/>
              </w:rPr>
              <w:t>&lt;1:640</w:t>
            </w:r>
          </w:p>
        </w:tc>
        <w:tc>
          <w:tcPr>
            <w:tcW w:w="2590" w:type="dxa"/>
          </w:tcPr>
          <w:p w14:paraId="68481565" w14:textId="190B9DC5" w:rsidR="00005DAB" w:rsidRPr="00591BAD" w:rsidRDefault="00005DAB" w:rsidP="00CA7CB7">
            <w:pPr>
              <w:jc w:val="center"/>
              <w:rPr>
                <w:rFonts w:ascii="Arial" w:hAnsi="Arial" w:cs="Arial"/>
              </w:rPr>
            </w:pPr>
            <w:r w:rsidRPr="00591BAD">
              <w:rPr>
                <w:rFonts w:ascii="Arial" w:hAnsi="Arial" w:cs="Arial"/>
                <w:sz w:val="20"/>
              </w:rPr>
              <w:t>&lt;1:640</w:t>
            </w:r>
          </w:p>
        </w:tc>
      </w:tr>
      <w:tr w:rsidR="00005DAB" w:rsidRPr="00591BAD" w14:paraId="3E43178D" w14:textId="3069B98E" w:rsidTr="00005DAB">
        <w:tc>
          <w:tcPr>
            <w:tcW w:w="2564" w:type="dxa"/>
          </w:tcPr>
          <w:p w14:paraId="770BC9D2" w14:textId="77777777" w:rsidR="00005DAB" w:rsidRPr="00591BAD" w:rsidRDefault="00005DAB" w:rsidP="00CA7CB7">
            <w:pPr>
              <w:rPr>
                <w:rFonts w:ascii="Arial" w:hAnsi="Arial" w:cs="Arial"/>
                <w:sz w:val="20"/>
              </w:rPr>
            </w:pPr>
            <w:r w:rsidRPr="00591BAD">
              <w:rPr>
                <w:rFonts w:ascii="Arial" w:hAnsi="Arial" w:cs="Arial"/>
                <w:sz w:val="20"/>
              </w:rPr>
              <w:t>AMA</w:t>
            </w:r>
          </w:p>
          <w:p w14:paraId="1A4A82E4" w14:textId="77777777" w:rsidR="00005DAB" w:rsidRPr="00591BAD" w:rsidRDefault="00005DAB" w:rsidP="00CA7CB7">
            <w:pPr>
              <w:rPr>
                <w:rFonts w:ascii="Arial" w:hAnsi="Arial" w:cs="Arial"/>
                <w:sz w:val="20"/>
              </w:rPr>
            </w:pPr>
            <w:r w:rsidRPr="00591BAD">
              <w:rPr>
                <w:rFonts w:ascii="Arial" w:hAnsi="Arial" w:cs="Arial"/>
                <w:sz w:val="20"/>
              </w:rPr>
              <w:t xml:space="preserve">Normal </w:t>
            </w:r>
            <w:proofErr w:type="spellStart"/>
            <w:r w:rsidRPr="00591BAD">
              <w:rPr>
                <w:rFonts w:ascii="Arial" w:hAnsi="Arial" w:cs="Arial"/>
                <w:sz w:val="20"/>
              </w:rPr>
              <w:t>titre</w:t>
            </w:r>
            <w:proofErr w:type="spellEnd"/>
            <w:r w:rsidRPr="00591BAD">
              <w:rPr>
                <w:rFonts w:ascii="Arial" w:hAnsi="Arial" w:cs="Arial"/>
                <w:sz w:val="20"/>
              </w:rPr>
              <w:t xml:space="preserve"> &lt;1:80 dilution</w:t>
            </w:r>
          </w:p>
        </w:tc>
        <w:tc>
          <w:tcPr>
            <w:tcW w:w="2857" w:type="dxa"/>
          </w:tcPr>
          <w:p w14:paraId="378C1336" w14:textId="77777777" w:rsidR="00005DAB" w:rsidRPr="00591BAD" w:rsidRDefault="00005DAB" w:rsidP="00CA7CB7">
            <w:pPr>
              <w:pStyle w:val="ListParagraph"/>
              <w:rPr>
                <w:rFonts w:ascii="Arial" w:hAnsi="Arial" w:cs="Arial"/>
                <w:sz w:val="20"/>
              </w:rPr>
            </w:pPr>
            <w:r w:rsidRPr="00591BAD">
              <w:rPr>
                <w:rFonts w:ascii="Arial" w:hAnsi="Arial" w:cs="Arial"/>
                <w:sz w:val="20"/>
              </w:rPr>
              <w:t xml:space="preserve">         &gt;1:80</w:t>
            </w:r>
          </w:p>
        </w:tc>
        <w:tc>
          <w:tcPr>
            <w:tcW w:w="2779" w:type="dxa"/>
          </w:tcPr>
          <w:p w14:paraId="13C9C2CE" w14:textId="77777777" w:rsidR="00005DAB" w:rsidRPr="00591BAD" w:rsidRDefault="00005DAB" w:rsidP="00CA7CB7">
            <w:pPr>
              <w:jc w:val="center"/>
              <w:rPr>
                <w:rFonts w:ascii="Arial" w:hAnsi="Arial" w:cs="Arial"/>
                <w:sz w:val="20"/>
              </w:rPr>
            </w:pPr>
            <w:r w:rsidRPr="00591BAD">
              <w:rPr>
                <w:rFonts w:ascii="Arial" w:hAnsi="Arial" w:cs="Arial"/>
                <w:sz w:val="20"/>
              </w:rPr>
              <w:t>&lt;1:80</w:t>
            </w:r>
          </w:p>
        </w:tc>
        <w:tc>
          <w:tcPr>
            <w:tcW w:w="2590" w:type="dxa"/>
          </w:tcPr>
          <w:p w14:paraId="63004BB5" w14:textId="4F2F7590" w:rsidR="00005DAB" w:rsidRPr="00591BAD" w:rsidRDefault="00005DAB" w:rsidP="00CA7CB7">
            <w:pPr>
              <w:jc w:val="center"/>
              <w:rPr>
                <w:rFonts w:ascii="Arial" w:hAnsi="Arial" w:cs="Arial"/>
              </w:rPr>
            </w:pPr>
            <w:r w:rsidRPr="00591BAD">
              <w:rPr>
                <w:rFonts w:ascii="Arial" w:hAnsi="Arial" w:cs="Arial"/>
                <w:sz w:val="20"/>
              </w:rPr>
              <w:t>&lt;1:80</w:t>
            </w:r>
          </w:p>
        </w:tc>
      </w:tr>
      <w:tr w:rsidR="00005DAB" w:rsidRPr="00591BAD" w14:paraId="58C44F08" w14:textId="1D6557C4" w:rsidTr="00005DAB">
        <w:tc>
          <w:tcPr>
            <w:tcW w:w="2564" w:type="dxa"/>
          </w:tcPr>
          <w:p w14:paraId="2EEB5756" w14:textId="77777777" w:rsidR="00005DAB" w:rsidRPr="00591BAD" w:rsidRDefault="00005DAB" w:rsidP="00CA7CB7">
            <w:pPr>
              <w:rPr>
                <w:rFonts w:ascii="Arial" w:hAnsi="Arial" w:cs="Arial"/>
                <w:sz w:val="20"/>
              </w:rPr>
            </w:pPr>
            <w:r w:rsidRPr="00591BAD">
              <w:rPr>
                <w:rFonts w:ascii="Arial" w:hAnsi="Arial" w:cs="Arial"/>
                <w:sz w:val="20"/>
              </w:rPr>
              <w:t>ASMA</w:t>
            </w:r>
          </w:p>
          <w:p w14:paraId="1582534A" w14:textId="77777777" w:rsidR="00005DAB" w:rsidRPr="00591BAD" w:rsidRDefault="00005DAB" w:rsidP="00CA7CB7">
            <w:pPr>
              <w:rPr>
                <w:rFonts w:ascii="Arial" w:hAnsi="Arial" w:cs="Arial"/>
                <w:sz w:val="20"/>
              </w:rPr>
            </w:pPr>
            <w:r w:rsidRPr="00591BAD">
              <w:rPr>
                <w:rFonts w:ascii="Arial" w:hAnsi="Arial" w:cs="Arial"/>
                <w:sz w:val="20"/>
              </w:rPr>
              <w:t xml:space="preserve">Normal </w:t>
            </w:r>
            <w:proofErr w:type="spellStart"/>
            <w:r w:rsidRPr="00591BAD">
              <w:rPr>
                <w:rFonts w:ascii="Arial" w:hAnsi="Arial" w:cs="Arial"/>
                <w:sz w:val="20"/>
              </w:rPr>
              <w:t>titre</w:t>
            </w:r>
            <w:proofErr w:type="spellEnd"/>
            <w:r w:rsidRPr="00591BAD">
              <w:rPr>
                <w:rFonts w:ascii="Arial" w:hAnsi="Arial" w:cs="Arial"/>
                <w:sz w:val="20"/>
              </w:rPr>
              <w:t xml:space="preserve"> &lt;1:80 dilution</w:t>
            </w:r>
          </w:p>
        </w:tc>
        <w:tc>
          <w:tcPr>
            <w:tcW w:w="2857" w:type="dxa"/>
          </w:tcPr>
          <w:p w14:paraId="43C1F794" w14:textId="77777777" w:rsidR="00005DAB" w:rsidRPr="00591BAD" w:rsidRDefault="00005DAB" w:rsidP="00CA7CB7">
            <w:pPr>
              <w:jc w:val="center"/>
              <w:rPr>
                <w:rFonts w:ascii="Arial" w:hAnsi="Arial" w:cs="Arial"/>
                <w:sz w:val="20"/>
              </w:rPr>
            </w:pPr>
            <w:r w:rsidRPr="00591BAD">
              <w:rPr>
                <w:rFonts w:ascii="Arial" w:hAnsi="Arial" w:cs="Arial"/>
                <w:sz w:val="20"/>
              </w:rPr>
              <w:t>&gt;1:80</w:t>
            </w:r>
          </w:p>
        </w:tc>
        <w:tc>
          <w:tcPr>
            <w:tcW w:w="2779" w:type="dxa"/>
          </w:tcPr>
          <w:p w14:paraId="0343BD5D" w14:textId="77777777" w:rsidR="00005DAB" w:rsidRPr="00591BAD" w:rsidRDefault="00005DAB" w:rsidP="00CA7CB7">
            <w:pPr>
              <w:jc w:val="center"/>
              <w:rPr>
                <w:rFonts w:ascii="Arial" w:hAnsi="Arial" w:cs="Arial"/>
                <w:sz w:val="20"/>
              </w:rPr>
            </w:pPr>
            <w:r w:rsidRPr="00591BAD">
              <w:rPr>
                <w:rFonts w:ascii="Arial" w:hAnsi="Arial" w:cs="Arial"/>
                <w:sz w:val="20"/>
              </w:rPr>
              <w:t>&lt; 1:80</w:t>
            </w:r>
          </w:p>
        </w:tc>
        <w:tc>
          <w:tcPr>
            <w:tcW w:w="2590" w:type="dxa"/>
          </w:tcPr>
          <w:p w14:paraId="53E4BB17" w14:textId="552BE795" w:rsidR="00005DAB" w:rsidRPr="00591BAD" w:rsidRDefault="00005DAB" w:rsidP="00CA7CB7">
            <w:pPr>
              <w:jc w:val="center"/>
              <w:rPr>
                <w:rFonts w:ascii="Arial" w:hAnsi="Arial" w:cs="Arial"/>
              </w:rPr>
            </w:pPr>
            <w:r w:rsidRPr="00591BAD">
              <w:rPr>
                <w:rFonts w:ascii="Arial" w:hAnsi="Arial" w:cs="Arial"/>
                <w:sz w:val="20"/>
              </w:rPr>
              <w:t>&lt; 1:80</w:t>
            </w:r>
          </w:p>
        </w:tc>
      </w:tr>
      <w:tr w:rsidR="00005DAB" w:rsidRPr="00591BAD" w14:paraId="17F246FE" w14:textId="08EA46BD" w:rsidTr="00005DAB">
        <w:tc>
          <w:tcPr>
            <w:tcW w:w="2564" w:type="dxa"/>
          </w:tcPr>
          <w:p w14:paraId="7E18D33A" w14:textId="77777777" w:rsidR="00005DAB" w:rsidRPr="00591BAD" w:rsidRDefault="00005DAB" w:rsidP="00CA7CB7">
            <w:pPr>
              <w:rPr>
                <w:rFonts w:ascii="Arial" w:hAnsi="Arial" w:cs="Arial"/>
                <w:sz w:val="20"/>
              </w:rPr>
            </w:pPr>
            <w:proofErr w:type="spellStart"/>
            <w:r w:rsidRPr="00591BAD">
              <w:rPr>
                <w:rFonts w:ascii="Arial" w:hAnsi="Arial" w:cs="Arial"/>
                <w:sz w:val="20"/>
              </w:rPr>
              <w:t>γGT</w:t>
            </w:r>
            <w:proofErr w:type="spellEnd"/>
          </w:p>
          <w:p w14:paraId="196C4971" w14:textId="77777777" w:rsidR="00005DAB" w:rsidRPr="00591BAD" w:rsidRDefault="00005DAB" w:rsidP="00CA7CB7">
            <w:pPr>
              <w:rPr>
                <w:rFonts w:ascii="Arial" w:hAnsi="Arial" w:cs="Arial"/>
                <w:sz w:val="20"/>
              </w:rPr>
            </w:pPr>
            <w:r w:rsidRPr="00591BAD">
              <w:rPr>
                <w:rFonts w:ascii="Arial" w:hAnsi="Arial" w:cs="Arial"/>
                <w:sz w:val="20"/>
              </w:rPr>
              <w:t>Normal values</w:t>
            </w:r>
          </w:p>
          <w:p w14:paraId="6A4A20C8" w14:textId="77777777" w:rsidR="00005DAB" w:rsidRPr="00591BAD" w:rsidRDefault="00005DAB" w:rsidP="00CA7CB7">
            <w:pPr>
              <w:rPr>
                <w:rFonts w:ascii="Arial" w:hAnsi="Arial" w:cs="Arial"/>
                <w:sz w:val="20"/>
              </w:rPr>
            </w:pPr>
            <w:r w:rsidRPr="00591BAD">
              <w:rPr>
                <w:rFonts w:ascii="Arial" w:hAnsi="Arial" w:cs="Arial"/>
                <w:sz w:val="20"/>
              </w:rPr>
              <w:t>5-36 IU/L</w:t>
            </w:r>
          </w:p>
        </w:tc>
        <w:tc>
          <w:tcPr>
            <w:tcW w:w="2857" w:type="dxa"/>
          </w:tcPr>
          <w:p w14:paraId="38D8835B" w14:textId="77777777" w:rsidR="00005DAB" w:rsidRPr="00591BAD" w:rsidRDefault="00005DAB" w:rsidP="00CA7CB7">
            <w:pPr>
              <w:jc w:val="center"/>
              <w:rPr>
                <w:rFonts w:ascii="Arial" w:hAnsi="Arial" w:cs="Arial"/>
                <w:sz w:val="20"/>
              </w:rPr>
            </w:pPr>
            <w:r w:rsidRPr="00591BAD">
              <w:rPr>
                <w:rFonts w:ascii="Arial" w:hAnsi="Arial" w:cs="Arial"/>
                <w:sz w:val="20"/>
              </w:rPr>
              <w:t>89</w:t>
            </w:r>
          </w:p>
        </w:tc>
        <w:tc>
          <w:tcPr>
            <w:tcW w:w="2779" w:type="dxa"/>
          </w:tcPr>
          <w:p w14:paraId="653406B5" w14:textId="77777777" w:rsidR="00005DAB" w:rsidRPr="00591BAD" w:rsidRDefault="00005DAB" w:rsidP="00CA7CB7">
            <w:pPr>
              <w:jc w:val="center"/>
              <w:rPr>
                <w:rFonts w:ascii="Arial" w:hAnsi="Arial" w:cs="Arial"/>
                <w:sz w:val="20"/>
              </w:rPr>
            </w:pPr>
            <w:r w:rsidRPr="00591BAD">
              <w:rPr>
                <w:rFonts w:ascii="Arial" w:hAnsi="Arial" w:cs="Arial"/>
                <w:sz w:val="20"/>
              </w:rPr>
              <w:t>35</w:t>
            </w:r>
          </w:p>
        </w:tc>
        <w:tc>
          <w:tcPr>
            <w:tcW w:w="2590" w:type="dxa"/>
          </w:tcPr>
          <w:p w14:paraId="1EA86AEC" w14:textId="2EC16746" w:rsidR="00005DAB" w:rsidRPr="00591BAD" w:rsidRDefault="00005DAB" w:rsidP="00CA7CB7">
            <w:pPr>
              <w:jc w:val="center"/>
              <w:rPr>
                <w:rFonts w:ascii="Arial" w:hAnsi="Arial" w:cs="Arial"/>
              </w:rPr>
            </w:pPr>
            <w:r w:rsidRPr="00591BAD">
              <w:rPr>
                <w:rFonts w:ascii="Arial" w:hAnsi="Arial" w:cs="Arial"/>
              </w:rPr>
              <w:t>37</w:t>
            </w:r>
          </w:p>
        </w:tc>
      </w:tr>
      <w:tr w:rsidR="00005DAB" w:rsidRPr="00591BAD" w14:paraId="6792E6E1" w14:textId="3E1AA44B" w:rsidTr="00005DAB">
        <w:tc>
          <w:tcPr>
            <w:tcW w:w="2564" w:type="dxa"/>
          </w:tcPr>
          <w:p w14:paraId="449A2DB4" w14:textId="77777777" w:rsidR="00005DAB" w:rsidRPr="00591BAD" w:rsidRDefault="00005DAB" w:rsidP="00CA7CB7">
            <w:pPr>
              <w:rPr>
                <w:rFonts w:ascii="Arial" w:hAnsi="Arial" w:cs="Arial"/>
                <w:sz w:val="20"/>
              </w:rPr>
            </w:pPr>
            <w:r w:rsidRPr="00591BAD">
              <w:rPr>
                <w:rFonts w:ascii="Arial" w:hAnsi="Arial" w:cs="Arial"/>
                <w:sz w:val="20"/>
              </w:rPr>
              <w:t>SGPT/ALT</w:t>
            </w:r>
          </w:p>
          <w:p w14:paraId="69D82B67" w14:textId="77777777" w:rsidR="00005DAB" w:rsidRPr="00591BAD" w:rsidRDefault="00005DAB" w:rsidP="00CA7CB7">
            <w:pPr>
              <w:rPr>
                <w:rFonts w:ascii="Arial" w:hAnsi="Arial" w:cs="Arial"/>
                <w:sz w:val="20"/>
              </w:rPr>
            </w:pPr>
            <w:r w:rsidRPr="00591BAD">
              <w:rPr>
                <w:rFonts w:ascii="Arial" w:hAnsi="Arial" w:cs="Arial"/>
                <w:sz w:val="20"/>
              </w:rPr>
              <w:t>Normal values</w:t>
            </w:r>
          </w:p>
          <w:p w14:paraId="25060688" w14:textId="77777777" w:rsidR="00005DAB" w:rsidRPr="00591BAD" w:rsidRDefault="00005DAB" w:rsidP="00CA7CB7">
            <w:pPr>
              <w:rPr>
                <w:rFonts w:ascii="Arial" w:hAnsi="Arial" w:cs="Arial"/>
                <w:sz w:val="20"/>
              </w:rPr>
            </w:pPr>
            <w:r w:rsidRPr="00591BAD">
              <w:rPr>
                <w:rFonts w:ascii="Arial" w:hAnsi="Arial" w:cs="Arial"/>
                <w:sz w:val="20"/>
              </w:rPr>
              <w:t>&lt;33 IU/L</w:t>
            </w:r>
          </w:p>
        </w:tc>
        <w:tc>
          <w:tcPr>
            <w:tcW w:w="2857" w:type="dxa"/>
          </w:tcPr>
          <w:p w14:paraId="73354966" w14:textId="77777777" w:rsidR="00005DAB" w:rsidRPr="00591BAD" w:rsidRDefault="00005DAB" w:rsidP="00CA7CB7">
            <w:pPr>
              <w:jc w:val="center"/>
              <w:rPr>
                <w:rFonts w:ascii="Arial" w:hAnsi="Arial" w:cs="Arial"/>
                <w:sz w:val="20"/>
              </w:rPr>
            </w:pPr>
            <w:r w:rsidRPr="00591BAD">
              <w:rPr>
                <w:rFonts w:ascii="Arial" w:hAnsi="Arial" w:cs="Arial"/>
                <w:sz w:val="20"/>
              </w:rPr>
              <w:t>38</w:t>
            </w:r>
          </w:p>
        </w:tc>
        <w:tc>
          <w:tcPr>
            <w:tcW w:w="2779" w:type="dxa"/>
          </w:tcPr>
          <w:p w14:paraId="5E4DBE85" w14:textId="77777777" w:rsidR="00005DAB" w:rsidRPr="00591BAD" w:rsidRDefault="00005DAB" w:rsidP="00CA7CB7">
            <w:pPr>
              <w:jc w:val="center"/>
              <w:rPr>
                <w:rFonts w:ascii="Arial" w:hAnsi="Arial" w:cs="Arial"/>
                <w:sz w:val="20"/>
              </w:rPr>
            </w:pPr>
            <w:r w:rsidRPr="00591BAD">
              <w:rPr>
                <w:rFonts w:ascii="Arial" w:hAnsi="Arial" w:cs="Arial"/>
                <w:sz w:val="20"/>
              </w:rPr>
              <w:t>32</w:t>
            </w:r>
          </w:p>
        </w:tc>
        <w:tc>
          <w:tcPr>
            <w:tcW w:w="2590" w:type="dxa"/>
          </w:tcPr>
          <w:p w14:paraId="1F1DB2CE" w14:textId="76973639" w:rsidR="00005DAB" w:rsidRPr="00591BAD" w:rsidRDefault="00005DAB" w:rsidP="00CA7CB7">
            <w:pPr>
              <w:jc w:val="center"/>
              <w:rPr>
                <w:rFonts w:ascii="Arial" w:hAnsi="Arial" w:cs="Arial"/>
              </w:rPr>
            </w:pPr>
            <w:r w:rsidRPr="00591BAD">
              <w:rPr>
                <w:rFonts w:ascii="Arial" w:hAnsi="Arial" w:cs="Arial"/>
              </w:rPr>
              <w:t>28</w:t>
            </w:r>
          </w:p>
        </w:tc>
      </w:tr>
      <w:tr w:rsidR="00005DAB" w:rsidRPr="00591BAD" w14:paraId="64CE574F" w14:textId="51614F58" w:rsidTr="00005DAB">
        <w:tc>
          <w:tcPr>
            <w:tcW w:w="2564" w:type="dxa"/>
          </w:tcPr>
          <w:p w14:paraId="09B03B87" w14:textId="77777777" w:rsidR="00005DAB" w:rsidRPr="00591BAD" w:rsidRDefault="00005DAB" w:rsidP="00CA7CB7">
            <w:pPr>
              <w:rPr>
                <w:rFonts w:ascii="Arial" w:hAnsi="Arial" w:cs="Arial"/>
                <w:sz w:val="20"/>
              </w:rPr>
            </w:pPr>
            <w:r w:rsidRPr="00591BAD">
              <w:rPr>
                <w:rFonts w:ascii="Arial" w:hAnsi="Arial" w:cs="Arial"/>
                <w:sz w:val="20"/>
              </w:rPr>
              <w:t>SGOT/AST</w:t>
            </w:r>
          </w:p>
          <w:p w14:paraId="48E87233" w14:textId="77777777" w:rsidR="00005DAB" w:rsidRPr="00591BAD" w:rsidRDefault="00005DAB" w:rsidP="00CA7CB7">
            <w:pPr>
              <w:rPr>
                <w:rFonts w:ascii="Arial" w:hAnsi="Arial" w:cs="Arial"/>
                <w:sz w:val="20"/>
              </w:rPr>
            </w:pPr>
            <w:r w:rsidRPr="00591BAD">
              <w:rPr>
                <w:rFonts w:ascii="Arial" w:hAnsi="Arial" w:cs="Arial"/>
                <w:sz w:val="20"/>
              </w:rPr>
              <w:t>Normal values</w:t>
            </w:r>
          </w:p>
          <w:p w14:paraId="1871E54C" w14:textId="77777777" w:rsidR="00005DAB" w:rsidRPr="00591BAD" w:rsidRDefault="00005DAB" w:rsidP="00CA7CB7">
            <w:pPr>
              <w:rPr>
                <w:rFonts w:ascii="Arial" w:hAnsi="Arial" w:cs="Arial"/>
                <w:sz w:val="20"/>
              </w:rPr>
            </w:pPr>
            <w:r w:rsidRPr="00591BAD">
              <w:rPr>
                <w:rFonts w:ascii="Arial" w:hAnsi="Arial" w:cs="Arial"/>
                <w:sz w:val="20"/>
              </w:rPr>
              <w:t>&lt;32 IU/L</w:t>
            </w:r>
          </w:p>
          <w:p w14:paraId="6476551F" w14:textId="77777777" w:rsidR="00005DAB" w:rsidRPr="00591BAD" w:rsidRDefault="00005DAB" w:rsidP="00CA7CB7">
            <w:pPr>
              <w:rPr>
                <w:rFonts w:ascii="Arial" w:hAnsi="Arial" w:cs="Arial"/>
                <w:sz w:val="20"/>
              </w:rPr>
            </w:pPr>
          </w:p>
        </w:tc>
        <w:tc>
          <w:tcPr>
            <w:tcW w:w="2857" w:type="dxa"/>
          </w:tcPr>
          <w:p w14:paraId="2AAC6F2A" w14:textId="77777777" w:rsidR="00005DAB" w:rsidRPr="00591BAD" w:rsidRDefault="00005DAB" w:rsidP="00CA7CB7">
            <w:pPr>
              <w:jc w:val="center"/>
              <w:rPr>
                <w:rFonts w:ascii="Arial" w:hAnsi="Arial" w:cs="Arial"/>
                <w:sz w:val="20"/>
              </w:rPr>
            </w:pPr>
            <w:r w:rsidRPr="00591BAD">
              <w:rPr>
                <w:rFonts w:ascii="Arial" w:hAnsi="Arial" w:cs="Arial"/>
                <w:sz w:val="20"/>
              </w:rPr>
              <w:t>34</w:t>
            </w:r>
          </w:p>
        </w:tc>
        <w:tc>
          <w:tcPr>
            <w:tcW w:w="2779" w:type="dxa"/>
          </w:tcPr>
          <w:p w14:paraId="34315D20" w14:textId="77777777" w:rsidR="00005DAB" w:rsidRPr="00591BAD" w:rsidRDefault="00005DAB" w:rsidP="00CA7CB7">
            <w:pPr>
              <w:jc w:val="center"/>
              <w:rPr>
                <w:rFonts w:ascii="Arial" w:hAnsi="Arial" w:cs="Arial"/>
                <w:sz w:val="20"/>
              </w:rPr>
            </w:pPr>
            <w:r w:rsidRPr="00591BAD">
              <w:rPr>
                <w:rFonts w:ascii="Arial" w:hAnsi="Arial" w:cs="Arial"/>
                <w:sz w:val="20"/>
              </w:rPr>
              <w:t>31</w:t>
            </w:r>
          </w:p>
        </w:tc>
        <w:tc>
          <w:tcPr>
            <w:tcW w:w="2590" w:type="dxa"/>
          </w:tcPr>
          <w:p w14:paraId="1D2DB9E3" w14:textId="0139B89C" w:rsidR="00005DAB" w:rsidRPr="00591BAD" w:rsidRDefault="00005DAB" w:rsidP="00CA7CB7">
            <w:pPr>
              <w:jc w:val="center"/>
              <w:rPr>
                <w:rFonts w:ascii="Arial" w:hAnsi="Arial" w:cs="Arial"/>
              </w:rPr>
            </w:pPr>
            <w:r w:rsidRPr="00591BAD">
              <w:rPr>
                <w:rFonts w:ascii="Arial" w:hAnsi="Arial" w:cs="Arial"/>
              </w:rPr>
              <w:t>25</w:t>
            </w:r>
          </w:p>
        </w:tc>
      </w:tr>
      <w:tr w:rsidR="00005DAB" w:rsidRPr="00591BAD" w14:paraId="65839223" w14:textId="7E4107E9" w:rsidTr="00005DAB">
        <w:tc>
          <w:tcPr>
            <w:tcW w:w="2564" w:type="dxa"/>
          </w:tcPr>
          <w:p w14:paraId="5AF864DD" w14:textId="77777777" w:rsidR="00005DAB" w:rsidRPr="00591BAD" w:rsidRDefault="00005DAB" w:rsidP="00CA7CB7">
            <w:pPr>
              <w:rPr>
                <w:rFonts w:ascii="Arial" w:hAnsi="Arial" w:cs="Arial"/>
                <w:sz w:val="20"/>
              </w:rPr>
            </w:pPr>
            <w:r w:rsidRPr="00591BAD">
              <w:rPr>
                <w:rFonts w:ascii="Arial" w:hAnsi="Arial" w:cs="Arial"/>
                <w:sz w:val="20"/>
              </w:rPr>
              <w:t>AP</w:t>
            </w:r>
          </w:p>
          <w:p w14:paraId="06425319" w14:textId="77777777" w:rsidR="00005DAB" w:rsidRPr="00591BAD" w:rsidRDefault="00005DAB" w:rsidP="00CA7CB7">
            <w:pPr>
              <w:rPr>
                <w:rFonts w:ascii="Arial" w:hAnsi="Arial" w:cs="Arial"/>
                <w:sz w:val="20"/>
              </w:rPr>
            </w:pPr>
            <w:r w:rsidRPr="00591BAD">
              <w:rPr>
                <w:rFonts w:ascii="Arial" w:hAnsi="Arial" w:cs="Arial"/>
                <w:sz w:val="20"/>
              </w:rPr>
              <w:t>Normal values</w:t>
            </w:r>
          </w:p>
          <w:p w14:paraId="397A8D45" w14:textId="77777777" w:rsidR="00005DAB" w:rsidRPr="00591BAD" w:rsidRDefault="00005DAB" w:rsidP="00CA7CB7">
            <w:pPr>
              <w:rPr>
                <w:rFonts w:ascii="Arial" w:hAnsi="Arial" w:cs="Arial"/>
                <w:sz w:val="20"/>
              </w:rPr>
            </w:pPr>
            <w:r w:rsidRPr="00591BAD">
              <w:rPr>
                <w:rFonts w:ascii="Arial" w:hAnsi="Arial" w:cs="Arial"/>
                <w:sz w:val="20"/>
              </w:rPr>
              <w:t>35-104 IU/L</w:t>
            </w:r>
          </w:p>
        </w:tc>
        <w:tc>
          <w:tcPr>
            <w:tcW w:w="2857" w:type="dxa"/>
          </w:tcPr>
          <w:p w14:paraId="2D8A69D5" w14:textId="77777777" w:rsidR="00005DAB" w:rsidRPr="00591BAD" w:rsidRDefault="00005DAB" w:rsidP="00CA7CB7">
            <w:pPr>
              <w:jc w:val="center"/>
              <w:rPr>
                <w:rFonts w:ascii="Arial" w:hAnsi="Arial" w:cs="Arial"/>
                <w:sz w:val="20"/>
              </w:rPr>
            </w:pPr>
            <w:r w:rsidRPr="00591BAD">
              <w:rPr>
                <w:rFonts w:ascii="Arial" w:hAnsi="Arial" w:cs="Arial"/>
                <w:sz w:val="20"/>
              </w:rPr>
              <w:t>135</w:t>
            </w:r>
          </w:p>
        </w:tc>
        <w:tc>
          <w:tcPr>
            <w:tcW w:w="2779" w:type="dxa"/>
          </w:tcPr>
          <w:p w14:paraId="320ADB15" w14:textId="77777777" w:rsidR="00005DAB" w:rsidRPr="00591BAD" w:rsidRDefault="00005DAB" w:rsidP="00CA7CB7">
            <w:pPr>
              <w:jc w:val="center"/>
              <w:rPr>
                <w:rFonts w:ascii="Arial" w:hAnsi="Arial" w:cs="Arial"/>
                <w:sz w:val="20"/>
              </w:rPr>
            </w:pPr>
            <w:r w:rsidRPr="00591BAD">
              <w:rPr>
                <w:rFonts w:ascii="Arial" w:hAnsi="Arial" w:cs="Arial"/>
                <w:sz w:val="20"/>
              </w:rPr>
              <w:t>102</w:t>
            </w:r>
          </w:p>
        </w:tc>
        <w:tc>
          <w:tcPr>
            <w:tcW w:w="2590" w:type="dxa"/>
          </w:tcPr>
          <w:p w14:paraId="1FD97CAB" w14:textId="2FADC431" w:rsidR="00005DAB" w:rsidRPr="00591BAD" w:rsidRDefault="00005DAB" w:rsidP="00CA7CB7">
            <w:pPr>
              <w:jc w:val="center"/>
              <w:rPr>
                <w:rFonts w:ascii="Arial" w:hAnsi="Arial" w:cs="Arial"/>
              </w:rPr>
            </w:pPr>
            <w:r w:rsidRPr="00591BAD">
              <w:rPr>
                <w:rFonts w:ascii="Arial" w:hAnsi="Arial" w:cs="Arial"/>
              </w:rPr>
              <w:t>96</w:t>
            </w:r>
          </w:p>
        </w:tc>
      </w:tr>
      <w:tr w:rsidR="00005DAB" w:rsidRPr="00591BAD" w14:paraId="2CBE399C" w14:textId="75906BE2" w:rsidTr="00005DAB">
        <w:tc>
          <w:tcPr>
            <w:tcW w:w="2564" w:type="dxa"/>
          </w:tcPr>
          <w:p w14:paraId="038A3CEF" w14:textId="77777777" w:rsidR="00005DAB" w:rsidRPr="00591BAD" w:rsidRDefault="00005DAB" w:rsidP="00CA7CB7">
            <w:pPr>
              <w:jc w:val="both"/>
              <w:rPr>
                <w:rFonts w:ascii="Arial" w:hAnsi="Arial" w:cs="Arial"/>
                <w:sz w:val="20"/>
              </w:rPr>
            </w:pPr>
            <w:r w:rsidRPr="00591BAD">
              <w:rPr>
                <w:rFonts w:ascii="Arial" w:hAnsi="Arial" w:cs="Arial"/>
                <w:sz w:val="20"/>
              </w:rPr>
              <w:t xml:space="preserve">SARS-CoV-2 spike protein </w:t>
            </w:r>
          </w:p>
          <w:p w14:paraId="695045BC" w14:textId="77777777" w:rsidR="00005DAB" w:rsidRPr="00591BAD" w:rsidRDefault="00005DAB" w:rsidP="00CA7CB7">
            <w:pPr>
              <w:jc w:val="both"/>
              <w:rPr>
                <w:rFonts w:ascii="Arial" w:hAnsi="Arial" w:cs="Arial"/>
                <w:sz w:val="20"/>
              </w:rPr>
            </w:pPr>
            <w:r w:rsidRPr="00591BAD">
              <w:rPr>
                <w:rFonts w:ascii="Arial" w:hAnsi="Arial" w:cs="Arial"/>
                <w:sz w:val="20"/>
              </w:rPr>
              <w:t>IgG antibodies</w:t>
            </w:r>
          </w:p>
          <w:p w14:paraId="47901DE1" w14:textId="77777777" w:rsidR="00005DAB" w:rsidRPr="00591BAD" w:rsidRDefault="00005DAB" w:rsidP="00CA7CB7">
            <w:pPr>
              <w:jc w:val="both"/>
              <w:rPr>
                <w:rFonts w:ascii="Arial" w:hAnsi="Arial" w:cs="Arial"/>
                <w:sz w:val="20"/>
              </w:rPr>
            </w:pPr>
            <w:r w:rsidRPr="00591BAD">
              <w:rPr>
                <w:rFonts w:ascii="Arial" w:hAnsi="Arial" w:cs="Arial"/>
                <w:sz w:val="20"/>
              </w:rPr>
              <w:t>Normal values &lt;50 AU/ml</w:t>
            </w:r>
          </w:p>
        </w:tc>
        <w:tc>
          <w:tcPr>
            <w:tcW w:w="2857" w:type="dxa"/>
          </w:tcPr>
          <w:p w14:paraId="7ED71FBE" w14:textId="77777777" w:rsidR="00005DAB" w:rsidRPr="00591BAD" w:rsidRDefault="00005DAB" w:rsidP="00CA7CB7">
            <w:pPr>
              <w:jc w:val="center"/>
              <w:rPr>
                <w:rFonts w:ascii="Arial" w:hAnsi="Arial" w:cs="Arial"/>
                <w:sz w:val="20"/>
              </w:rPr>
            </w:pPr>
            <w:r w:rsidRPr="00591BAD">
              <w:rPr>
                <w:rFonts w:ascii="Arial" w:hAnsi="Arial" w:cs="Arial"/>
                <w:sz w:val="20"/>
              </w:rPr>
              <w:t>14,976</w:t>
            </w:r>
          </w:p>
        </w:tc>
        <w:tc>
          <w:tcPr>
            <w:tcW w:w="2779" w:type="dxa"/>
          </w:tcPr>
          <w:p w14:paraId="1DE9C884" w14:textId="77777777" w:rsidR="00005DAB" w:rsidRPr="00591BAD" w:rsidRDefault="00005DAB" w:rsidP="00CA7CB7">
            <w:pPr>
              <w:jc w:val="center"/>
              <w:rPr>
                <w:rFonts w:ascii="Arial" w:hAnsi="Arial" w:cs="Arial"/>
                <w:sz w:val="20"/>
              </w:rPr>
            </w:pPr>
            <w:r w:rsidRPr="00591BAD">
              <w:rPr>
                <w:rFonts w:ascii="Arial" w:hAnsi="Arial" w:cs="Arial"/>
                <w:sz w:val="20"/>
              </w:rPr>
              <w:t>6,891</w:t>
            </w:r>
          </w:p>
        </w:tc>
        <w:tc>
          <w:tcPr>
            <w:tcW w:w="2590" w:type="dxa"/>
          </w:tcPr>
          <w:p w14:paraId="4087AD0B" w14:textId="76ECA91F" w:rsidR="00005DAB" w:rsidRPr="00591BAD" w:rsidRDefault="00562B35" w:rsidP="00CA7CB7">
            <w:pPr>
              <w:jc w:val="center"/>
              <w:rPr>
                <w:rFonts w:ascii="Arial" w:hAnsi="Arial" w:cs="Arial"/>
              </w:rPr>
            </w:pPr>
            <w:r w:rsidRPr="00591BAD">
              <w:rPr>
                <w:rFonts w:ascii="Arial" w:hAnsi="Arial" w:cs="Arial"/>
              </w:rPr>
              <w:t>4.831</w:t>
            </w:r>
          </w:p>
        </w:tc>
      </w:tr>
    </w:tbl>
    <w:p w14:paraId="7C8248D4" w14:textId="77777777" w:rsidR="000A4C27" w:rsidRPr="00591BAD" w:rsidRDefault="000A4C27" w:rsidP="00441B6F">
      <w:pPr>
        <w:pStyle w:val="Body"/>
        <w:spacing w:after="0"/>
        <w:rPr>
          <w:rFonts w:ascii="Arial" w:hAnsi="Arial" w:cs="Arial"/>
        </w:rPr>
      </w:pPr>
    </w:p>
    <w:p w14:paraId="1CEDD4CC" w14:textId="77777777" w:rsidR="00790ADA" w:rsidRPr="00591BAD" w:rsidRDefault="00790ADA" w:rsidP="00441B6F">
      <w:pPr>
        <w:pStyle w:val="Body"/>
        <w:spacing w:after="0"/>
        <w:rPr>
          <w:rFonts w:ascii="Arial" w:hAnsi="Arial" w:cs="Arial"/>
        </w:rPr>
      </w:pPr>
    </w:p>
    <w:p w14:paraId="6B09695A" w14:textId="690C5B4A" w:rsidR="00902823" w:rsidRPr="00591BAD" w:rsidRDefault="00000F8F" w:rsidP="00441B6F">
      <w:pPr>
        <w:pStyle w:val="Head1"/>
        <w:spacing w:after="0"/>
        <w:jc w:val="both"/>
        <w:rPr>
          <w:rFonts w:ascii="Arial" w:hAnsi="Arial" w:cs="Arial"/>
        </w:rPr>
      </w:pPr>
      <w:r w:rsidRPr="00591BAD">
        <w:rPr>
          <w:rFonts w:ascii="Arial" w:hAnsi="Arial" w:cs="Arial"/>
        </w:rPr>
        <w:t>3</w:t>
      </w:r>
      <w:r w:rsidR="00902823" w:rsidRPr="00591BAD">
        <w:rPr>
          <w:rFonts w:ascii="Arial" w:hAnsi="Arial" w:cs="Arial"/>
        </w:rPr>
        <w:t xml:space="preserve">. </w:t>
      </w:r>
      <w:r w:rsidRPr="00591BAD">
        <w:rPr>
          <w:rFonts w:ascii="Arial" w:hAnsi="Arial" w:cs="Arial"/>
        </w:rPr>
        <w:t>discussion</w:t>
      </w:r>
    </w:p>
    <w:p w14:paraId="5EFADA91" w14:textId="77777777" w:rsidR="002662BF" w:rsidRPr="00591BAD" w:rsidRDefault="002662BF" w:rsidP="00441B6F">
      <w:pPr>
        <w:pStyle w:val="Head1"/>
        <w:spacing w:after="0"/>
        <w:jc w:val="both"/>
        <w:rPr>
          <w:rFonts w:ascii="Arial" w:hAnsi="Arial" w:cs="Arial"/>
        </w:rPr>
      </w:pPr>
    </w:p>
    <w:p w14:paraId="7E8927E3" w14:textId="0FCD47B4" w:rsidR="002662BF" w:rsidRDefault="002662BF" w:rsidP="002662BF">
      <w:pPr>
        <w:rPr>
          <w:rFonts w:ascii="Arial" w:eastAsia="Calibri" w:hAnsi="Arial" w:cs="Arial"/>
          <w:szCs w:val="22"/>
        </w:rPr>
      </w:pPr>
      <w:r w:rsidRPr="00591BAD">
        <w:rPr>
          <w:rFonts w:ascii="Arial" w:eastAsia="Calibri" w:hAnsi="Arial" w:cs="Arial"/>
          <w:szCs w:val="22"/>
        </w:rPr>
        <w:t>A 61-year-old Greek Caucasian woman developed long COVID symptoms after SARS-CoV-2 infection [</w:t>
      </w:r>
      <w:r w:rsidRPr="00591BAD">
        <w:rPr>
          <w:rFonts w:ascii="Arial" w:eastAsia="Calibri" w:hAnsi="Arial" w:cs="Arial"/>
          <w:szCs w:val="22"/>
        </w:rPr>
        <w:fldChar w:fldCharType="begin"/>
      </w:r>
      <w:r w:rsidRPr="00591BAD">
        <w:rPr>
          <w:rFonts w:ascii="Arial" w:eastAsia="Calibri" w:hAnsi="Arial" w:cs="Arial"/>
          <w:szCs w:val="22"/>
        </w:rPr>
        <w:instrText xml:space="preserve"> REF _Ref182661875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871DB4">
        <w:rPr>
          <w:rFonts w:ascii="Arial" w:eastAsia="Calibri" w:hAnsi="Arial" w:cs="Arial"/>
          <w:szCs w:val="22"/>
        </w:rPr>
        <w:t>14</w:t>
      </w:r>
      <w:r w:rsidRPr="00591BAD">
        <w:rPr>
          <w:rFonts w:ascii="Arial" w:eastAsia="Calibri" w:hAnsi="Arial" w:cs="Arial"/>
          <w:szCs w:val="22"/>
        </w:rPr>
        <w:fldChar w:fldCharType="end"/>
      </w:r>
      <w:r w:rsidRPr="00591BAD">
        <w:rPr>
          <w:rFonts w:ascii="Arial" w:eastAsia="Calibri" w:hAnsi="Arial" w:cs="Arial"/>
          <w:szCs w:val="22"/>
        </w:rPr>
        <w:t xml:space="preserve">]. The patient suffered from autoimmune reactions after COVID-19. ANA, </w:t>
      </w:r>
      <w:r w:rsidR="00A27EB8" w:rsidRPr="00591BAD">
        <w:rPr>
          <w:rFonts w:ascii="Arial" w:eastAsia="Calibri" w:hAnsi="Arial" w:cs="Arial"/>
          <w:szCs w:val="22"/>
        </w:rPr>
        <w:t xml:space="preserve">AMA, </w:t>
      </w:r>
      <w:r w:rsidRPr="00591BAD">
        <w:rPr>
          <w:rFonts w:ascii="Arial" w:eastAsia="Calibri" w:hAnsi="Arial" w:cs="Arial"/>
          <w:szCs w:val="22"/>
        </w:rPr>
        <w:t xml:space="preserve">ASMA, and liver enzymes were indicative of </w:t>
      </w:r>
      <w:r w:rsidR="00A27EB8" w:rsidRPr="00591BAD">
        <w:rPr>
          <w:rFonts w:ascii="Arial" w:eastAsia="Calibri" w:hAnsi="Arial" w:cs="Arial"/>
          <w:szCs w:val="22"/>
        </w:rPr>
        <w:t xml:space="preserve">autoimmunity, </w:t>
      </w:r>
      <w:r w:rsidRPr="00591BAD">
        <w:rPr>
          <w:rFonts w:ascii="Arial" w:eastAsia="Calibri" w:hAnsi="Arial" w:cs="Arial"/>
          <w:szCs w:val="22"/>
        </w:rPr>
        <w:t>liver damage and probably AIH [</w:t>
      </w:r>
      <w:r w:rsidRPr="00591BAD">
        <w:rPr>
          <w:rFonts w:ascii="Arial" w:eastAsia="Calibri" w:hAnsi="Arial" w:cs="Arial"/>
          <w:szCs w:val="22"/>
        </w:rPr>
        <w:fldChar w:fldCharType="begin"/>
      </w:r>
      <w:r w:rsidRPr="00591BAD">
        <w:rPr>
          <w:rFonts w:ascii="Arial" w:eastAsia="Calibri" w:hAnsi="Arial" w:cs="Arial"/>
          <w:szCs w:val="22"/>
        </w:rPr>
        <w:instrText xml:space="preserve"> REF _Ref182662092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871DB4">
        <w:rPr>
          <w:rFonts w:ascii="Arial" w:eastAsia="Calibri" w:hAnsi="Arial" w:cs="Arial"/>
          <w:szCs w:val="22"/>
        </w:rPr>
        <w:t>15</w:t>
      </w:r>
      <w:r w:rsidRPr="00591BAD">
        <w:rPr>
          <w:rFonts w:ascii="Arial" w:eastAsia="Calibri" w:hAnsi="Arial" w:cs="Arial"/>
          <w:szCs w:val="22"/>
        </w:rPr>
        <w:fldChar w:fldCharType="end"/>
      </w:r>
      <w:r w:rsidRPr="00591BAD">
        <w:rPr>
          <w:rFonts w:ascii="Arial" w:eastAsia="Calibri" w:hAnsi="Arial" w:cs="Arial"/>
          <w:szCs w:val="22"/>
        </w:rPr>
        <w:t xml:space="preserve">]. However, MRI and ultrasound exams were inconclusive for AIH. Therefore, the patient was advised not to follow a prescription-based pharmaceutical therapy, but rather to follow a healthy diet and repeat examinations for AIH after </w:t>
      </w:r>
      <w:r w:rsidR="00A27EB8" w:rsidRPr="00591BAD">
        <w:rPr>
          <w:rFonts w:ascii="Arial" w:eastAsia="Calibri" w:hAnsi="Arial" w:cs="Arial"/>
          <w:szCs w:val="22"/>
        </w:rPr>
        <w:t xml:space="preserve">two </w:t>
      </w:r>
      <w:r w:rsidRPr="00591BAD">
        <w:rPr>
          <w:rFonts w:ascii="Arial" w:eastAsia="Calibri" w:hAnsi="Arial" w:cs="Arial"/>
          <w:szCs w:val="22"/>
        </w:rPr>
        <w:t>six-month period</w:t>
      </w:r>
      <w:r w:rsidR="00A27EB8" w:rsidRPr="00591BAD">
        <w:rPr>
          <w:rFonts w:ascii="Arial" w:eastAsia="Calibri" w:hAnsi="Arial" w:cs="Arial"/>
          <w:szCs w:val="22"/>
        </w:rPr>
        <w:t>s</w:t>
      </w:r>
      <w:r w:rsidRPr="00591BAD">
        <w:rPr>
          <w:rFonts w:ascii="Arial" w:eastAsia="Calibri" w:hAnsi="Arial" w:cs="Arial"/>
          <w:szCs w:val="22"/>
        </w:rPr>
        <w:t>. The sky-high elevated anti-SARS-CoV-2 spike protein antibodies were consistent with molecular-mimicry phenomena, creating autoimmunity after SARS-CoV-2 infection or mRNA (COVID-19) vaccination [</w:t>
      </w:r>
      <w:r w:rsidRPr="00591BAD">
        <w:rPr>
          <w:rFonts w:ascii="Arial" w:eastAsia="Calibri" w:hAnsi="Arial" w:cs="Arial"/>
          <w:szCs w:val="22"/>
        </w:rPr>
        <w:fldChar w:fldCharType="begin"/>
      </w:r>
      <w:r w:rsidRPr="00591BAD">
        <w:rPr>
          <w:rFonts w:ascii="Arial" w:eastAsia="Calibri" w:hAnsi="Arial" w:cs="Arial"/>
          <w:szCs w:val="22"/>
        </w:rPr>
        <w:instrText xml:space="preserve"> REF _Ref182661968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871DB4">
        <w:rPr>
          <w:rFonts w:ascii="Arial" w:eastAsia="Calibri" w:hAnsi="Arial" w:cs="Arial"/>
          <w:szCs w:val="22"/>
        </w:rPr>
        <w:t>16</w:t>
      </w:r>
      <w:r w:rsidRPr="00591BAD">
        <w:rPr>
          <w:rFonts w:ascii="Arial" w:eastAsia="Calibri" w:hAnsi="Arial" w:cs="Arial"/>
          <w:szCs w:val="22"/>
        </w:rPr>
        <w:fldChar w:fldCharType="end"/>
      </w:r>
      <w:r w:rsidR="0001348E">
        <w:rPr>
          <w:rFonts w:ascii="Arial" w:eastAsia="Calibri" w:hAnsi="Arial" w:cs="Arial"/>
          <w:szCs w:val="22"/>
        </w:rPr>
        <w:t>,</w:t>
      </w:r>
      <w:r w:rsidR="0001348E">
        <w:rPr>
          <w:rFonts w:ascii="Arial" w:eastAsia="Calibri" w:hAnsi="Arial" w:cs="Arial"/>
          <w:szCs w:val="22"/>
        </w:rPr>
        <w:fldChar w:fldCharType="begin"/>
      </w:r>
      <w:r w:rsidR="0001348E">
        <w:rPr>
          <w:rFonts w:ascii="Arial" w:eastAsia="Calibri" w:hAnsi="Arial" w:cs="Arial"/>
          <w:szCs w:val="22"/>
        </w:rPr>
        <w:instrText xml:space="preserve"> REF _Ref202675813 \r \h </w:instrText>
      </w:r>
      <w:r w:rsidR="0001348E">
        <w:rPr>
          <w:rFonts w:ascii="Arial" w:eastAsia="Calibri" w:hAnsi="Arial" w:cs="Arial"/>
          <w:szCs w:val="22"/>
        </w:rPr>
      </w:r>
      <w:r w:rsidR="0001348E">
        <w:rPr>
          <w:rFonts w:ascii="Arial" w:eastAsia="Calibri" w:hAnsi="Arial" w:cs="Arial"/>
          <w:szCs w:val="22"/>
        </w:rPr>
        <w:fldChar w:fldCharType="separate"/>
      </w:r>
      <w:r w:rsidR="00871DB4">
        <w:rPr>
          <w:rFonts w:ascii="Arial" w:eastAsia="Calibri" w:hAnsi="Arial" w:cs="Arial"/>
          <w:szCs w:val="22"/>
        </w:rPr>
        <w:t>17</w:t>
      </w:r>
      <w:r w:rsidR="0001348E">
        <w:rPr>
          <w:rFonts w:ascii="Arial" w:eastAsia="Calibri" w:hAnsi="Arial" w:cs="Arial"/>
          <w:szCs w:val="22"/>
        </w:rPr>
        <w:fldChar w:fldCharType="end"/>
      </w:r>
      <w:r w:rsidR="00E329B0" w:rsidRPr="00591BAD">
        <w:rPr>
          <w:rFonts w:ascii="Arial" w:eastAsia="Calibri" w:hAnsi="Arial" w:cs="Arial"/>
          <w:szCs w:val="22"/>
        </w:rPr>
        <w:t>]. H</w:t>
      </w:r>
      <w:r w:rsidRPr="00591BAD">
        <w:rPr>
          <w:rFonts w:ascii="Arial" w:eastAsia="Calibri" w:hAnsi="Arial" w:cs="Arial"/>
          <w:szCs w:val="22"/>
        </w:rPr>
        <w:t xml:space="preserve">owever, this patient has not been vaccinated for COVID-19.  </w:t>
      </w:r>
      <w:bookmarkStart w:id="2" w:name="_Hlk186884243"/>
      <w:r w:rsidRPr="00591BAD">
        <w:rPr>
          <w:rFonts w:ascii="Arial" w:eastAsia="Calibri" w:hAnsi="Arial" w:cs="Arial"/>
          <w:szCs w:val="22"/>
        </w:rPr>
        <w:t>The patient tested negative for SARS-CoV-2 after 10 days of COVID-19 symptoms.</w:t>
      </w:r>
      <w:bookmarkEnd w:id="2"/>
      <w:r w:rsidRPr="00591BAD">
        <w:rPr>
          <w:rFonts w:ascii="Arial" w:eastAsia="Calibri" w:hAnsi="Arial" w:cs="Arial"/>
          <w:szCs w:val="22"/>
        </w:rPr>
        <w:t xml:space="preserve"> The results after the </w:t>
      </w:r>
      <w:r w:rsidR="004141D6" w:rsidRPr="00591BAD">
        <w:rPr>
          <w:rFonts w:ascii="Arial" w:eastAsia="Calibri" w:hAnsi="Arial" w:cs="Arial"/>
          <w:szCs w:val="22"/>
        </w:rPr>
        <w:t xml:space="preserve">two </w:t>
      </w:r>
      <w:r w:rsidRPr="00591BAD">
        <w:rPr>
          <w:rFonts w:ascii="Arial" w:eastAsia="Calibri" w:hAnsi="Arial" w:cs="Arial"/>
          <w:szCs w:val="22"/>
        </w:rPr>
        <w:t>six-month period</w:t>
      </w:r>
      <w:r w:rsidR="004141D6" w:rsidRPr="00591BAD">
        <w:rPr>
          <w:rFonts w:ascii="Arial" w:eastAsia="Calibri" w:hAnsi="Arial" w:cs="Arial"/>
          <w:szCs w:val="22"/>
        </w:rPr>
        <w:t>s</w:t>
      </w:r>
      <w:r w:rsidRPr="00591BAD">
        <w:rPr>
          <w:rFonts w:ascii="Arial" w:eastAsia="Calibri" w:hAnsi="Arial" w:cs="Arial"/>
          <w:szCs w:val="22"/>
        </w:rPr>
        <w:t xml:space="preserve"> revealed an exceptional alleviation of autoimmune reactivity, concurrent with significant lowering of anti-spike antibodies (although these remained at </w:t>
      </w:r>
      <w:r w:rsidR="00A27EB8" w:rsidRPr="00591BAD">
        <w:rPr>
          <w:rFonts w:ascii="Arial" w:eastAsia="Calibri" w:hAnsi="Arial" w:cs="Arial"/>
          <w:szCs w:val="22"/>
        </w:rPr>
        <w:t xml:space="preserve">considerably </w:t>
      </w:r>
      <w:r w:rsidRPr="00591BAD">
        <w:rPr>
          <w:rFonts w:ascii="Arial" w:eastAsia="Calibri" w:hAnsi="Arial" w:cs="Arial"/>
          <w:szCs w:val="22"/>
        </w:rPr>
        <w:t xml:space="preserve">very high levels). </w:t>
      </w:r>
      <w:bookmarkStart w:id="3" w:name="_Hlk186882010"/>
      <w:bookmarkStart w:id="4" w:name="_Hlk186885939"/>
    </w:p>
    <w:p w14:paraId="05C36B3E" w14:textId="77777777" w:rsidR="00DC2ECE" w:rsidRPr="00591BAD" w:rsidRDefault="00DC2ECE" w:rsidP="002662BF">
      <w:pPr>
        <w:rPr>
          <w:rFonts w:ascii="Arial" w:eastAsia="Calibri" w:hAnsi="Arial" w:cs="Arial"/>
          <w:szCs w:val="22"/>
        </w:rPr>
      </w:pPr>
    </w:p>
    <w:p w14:paraId="6ECC1F2E" w14:textId="7F0888A1" w:rsidR="002662BF" w:rsidRPr="00591BAD" w:rsidRDefault="002662BF" w:rsidP="002662BF">
      <w:pPr>
        <w:rPr>
          <w:rFonts w:ascii="Arial" w:eastAsia="Calibri" w:hAnsi="Arial" w:cs="Arial"/>
          <w:strike/>
          <w:szCs w:val="22"/>
        </w:rPr>
      </w:pPr>
      <w:r w:rsidRPr="00591BAD">
        <w:rPr>
          <w:rFonts w:ascii="Arial" w:eastAsia="Calibri" w:hAnsi="Arial" w:cs="Arial"/>
          <w:szCs w:val="22"/>
        </w:rPr>
        <w:t>There are cases (about 10%) where a natural course of autoimmune liver reaction is resolved spontaneously. However, these patients are more likely to be candidates for liver transplantation, and this was not the case for our patient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_Ref186877214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871DB4">
        <w:rPr>
          <w:rFonts w:ascii="Arial" w:eastAsia="Calibri" w:hAnsi="Arial" w:cs="Arial"/>
          <w:szCs w:val="22"/>
        </w:rPr>
        <w:t>18</w:t>
      </w:r>
      <w:r w:rsidRPr="00591BAD">
        <w:rPr>
          <w:rFonts w:ascii="Arial" w:eastAsia="Calibri" w:hAnsi="Arial" w:cs="Arial"/>
          <w:szCs w:val="22"/>
        </w:rPr>
        <w:fldChar w:fldCharType="end"/>
      </w:r>
      <w:r w:rsidRPr="00591BAD">
        <w:rPr>
          <w:rFonts w:ascii="Arial" w:eastAsia="Calibri" w:hAnsi="Arial" w:cs="Arial"/>
          <w:szCs w:val="22"/>
        </w:rPr>
        <w:t xml:space="preserve">]. </w:t>
      </w:r>
      <w:bookmarkEnd w:id="3"/>
      <w:bookmarkEnd w:id="4"/>
      <w:r w:rsidRPr="00591BAD">
        <w:rPr>
          <w:rFonts w:ascii="Arial" w:eastAsia="Calibri" w:hAnsi="Arial" w:cs="Arial"/>
          <w:szCs w:val="22"/>
        </w:rPr>
        <w:t xml:space="preserve"> Excessive liver damage was excluded for our patient by consulting hepatologists, due to the results of the ultrasound and liver MRI conducted at the time the autoimmune-inflammatory markers were raised. The concurrent reduction of ANA, AMA and ASMA antibodies pinpoint to a reduction in inflammatory processes in our patient. Lutein is a well-known natural agent that lowers oxidative stress-meditated inflammatory reactions [</w:t>
      </w:r>
      <w:r w:rsidRPr="00591BAD">
        <w:rPr>
          <w:rFonts w:ascii="Arial" w:eastAsia="Calibri" w:hAnsi="Arial" w:cs="Arial"/>
          <w:szCs w:val="22"/>
        </w:rPr>
        <w:fldChar w:fldCharType="begin"/>
      </w:r>
      <w:r w:rsidRPr="00591BAD">
        <w:rPr>
          <w:rFonts w:ascii="Arial" w:eastAsia="Calibri" w:hAnsi="Arial" w:cs="Arial"/>
          <w:szCs w:val="22"/>
        </w:rPr>
        <w:instrText xml:space="preserve"> REF _Ref186960406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871DB4">
        <w:rPr>
          <w:rFonts w:ascii="Arial" w:eastAsia="Calibri" w:hAnsi="Arial" w:cs="Arial"/>
          <w:szCs w:val="22"/>
        </w:rPr>
        <w:t>19</w:t>
      </w:r>
      <w:r w:rsidRPr="00591BAD">
        <w:rPr>
          <w:rFonts w:ascii="Arial" w:eastAsia="Calibri" w:hAnsi="Arial" w:cs="Arial"/>
          <w:szCs w:val="22"/>
        </w:rPr>
        <w:fldChar w:fldCharType="end"/>
      </w:r>
      <w:r w:rsidRPr="00591BAD">
        <w:rPr>
          <w:rFonts w:ascii="Arial" w:eastAsia="Calibri" w:hAnsi="Arial" w:cs="Arial"/>
          <w:szCs w:val="22"/>
        </w:rPr>
        <w:t xml:space="preserve">]. </w:t>
      </w:r>
      <w:r w:rsidR="00483FC2" w:rsidRPr="00591BAD">
        <w:rPr>
          <w:rFonts w:ascii="Arial" w:eastAsia="Calibri" w:hAnsi="Arial" w:cs="Arial"/>
          <w:strike/>
          <w:szCs w:val="22"/>
        </w:rPr>
        <w:t xml:space="preserve"> </w:t>
      </w:r>
    </w:p>
    <w:p w14:paraId="770CDA8B" w14:textId="77777777" w:rsidR="00483FC2" w:rsidRPr="00591BAD" w:rsidRDefault="00483FC2" w:rsidP="002662BF">
      <w:pPr>
        <w:rPr>
          <w:rFonts w:ascii="Arial" w:eastAsia="Calibri" w:hAnsi="Arial" w:cs="Arial"/>
          <w:strike/>
          <w:szCs w:val="22"/>
        </w:rPr>
      </w:pPr>
    </w:p>
    <w:p w14:paraId="27D52152" w14:textId="7B67ECAA" w:rsidR="002662BF" w:rsidRPr="00591BAD" w:rsidRDefault="002662BF" w:rsidP="002662BF">
      <w:pPr>
        <w:rPr>
          <w:rFonts w:ascii="Arial" w:eastAsia="Calibri" w:hAnsi="Arial" w:cs="Arial"/>
          <w:szCs w:val="22"/>
        </w:rPr>
      </w:pPr>
      <w:r w:rsidRPr="00591BAD">
        <w:rPr>
          <w:rFonts w:ascii="Arial" w:eastAsia="Calibri" w:hAnsi="Arial" w:cs="Arial"/>
          <w:szCs w:val="22"/>
        </w:rPr>
        <w:t xml:space="preserve">This retrospective case study indicates that, in a healthy diet, the consumption of naturally derived (directly from the olive fruit) lutein contained in EVOO nutrient, when its concentration remains stable over time, can be a promising nutritional supplement to lower long COVID symptoms and protect from autoimmune reactions, especially in the liver. Probably due </w:t>
      </w:r>
      <w:r w:rsidRPr="00591BAD">
        <w:rPr>
          <w:rFonts w:ascii="Arial" w:eastAsia="Calibri" w:hAnsi="Arial" w:cs="Arial"/>
          <w:szCs w:val="22"/>
        </w:rPr>
        <w:lastRenderedPageBreak/>
        <w:t xml:space="preserve">to the increase in antioxidant </w:t>
      </w:r>
      <w:r w:rsidR="004141D6" w:rsidRPr="00591BAD">
        <w:rPr>
          <w:rFonts w:ascii="Arial" w:eastAsia="Calibri" w:hAnsi="Arial" w:cs="Arial"/>
          <w:szCs w:val="22"/>
        </w:rPr>
        <w:t>defenses</w:t>
      </w:r>
      <w:r w:rsidRPr="00591BAD">
        <w:rPr>
          <w:rFonts w:ascii="Arial" w:eastAsia="Calibri" w:hAnsi="Arial" w:cs="Arial"/>
          <w:szCs w:val="22"/>
        </w:rPr>
        <w:t xml:space="preserve"> by lutein, the induction of autoimmunity through oxidative and nitrosative stress was alleviated. Lutein has the potential to alleviate liver steatosis by improving lipolysis and fatty acid metabolism [</w:t>
      </w:r>
      <w:r w:rsidRPr="00591BAD">
        <w:rPr>
          <w:rFonts w:ascii="Arial" w:eastAsia="Calibri" w:hAnsi="Arial" w:cs="Arial"/>
          <w:szCs w:val="22"/>
        </w:rPr>
        <w:fldChar w:fldCharType="begin"/>
      </w:r>
      <w:r w:rsidRPr="00591BAD">
        <w:rPr>
          <w:rFonts w:ascii="Arial" w:eastAsia="Calibri" w:hAnsi="Arial" w:cs="Arial"/>
          <w:szCs w:val="22"/>
        </w:rPr>
        <w:instrText xml:space="preserve"> REF _Ref184221402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871DB4">
        <w:rPr>
          <w:rFonts w:ascii="Arial" w:eastAsia="Calibri" w:hAnsi="Arial" w:cs="Arial"/>
          <w:szCs w:val="22"/>
        </w:rPr>
        <w:t>2</w:t>
      </w:r>
      <w:r w:rsidRPr="00591BAD">
        <w:rPr>
          <w:rFonts w:ascii="Arial" w:eastAsia="Calibri" w:hAnsi="Arial" w:cs="Arial"/>
          <w:szCs w:val="22"/>
        </w:rPr>
        <w:fldChar w:fldCharType="end"/>
      </w:r>
      <w:r w:rsidRPr="00591BAD">
        <w:rPr>
          <w:rFonts w:ascii="Arial" w:eastAsia="Calibri" w:hAnsi="Arial" w:cs="Arial"/>
          <w:szCs w:val="22"/>
        </w:rPr>
        <w:t xml:space="preserve">]. </w:t>
      </w:r>
    </w:p>
    <w:p w14:paraId="366C1923" w14:textId="2C2AAC6F" w:rsidR="002662BF" w:rsidRPr="00591BAD" w:rsidRDefault="002662BF" w:rsidP="002662BF">
      <w:pPr>
        <w:rPr>
          <w:rFonts w:ascii="Arial" w:eastAsia="Calibri" w:hAnsi="Arial" w:cs="Arial"/>
          <w:szCs w:val="22"/>
        </w:rPr>
      </w:pPr>
      <w:r w:rsidRPr="00591BAD">
        <w:rPr>
          <w:rFonts w:ascii="Arial" w:eastAsia="Calibri" w:hAnsi="Arial" w:cs="Arial"/>
          <w:szCs w:val="22"/>
        </w:rPr>
        <w:t>The regulation of autophagy is tightly associated with the progression or amelioration of liver disease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_Ref186877540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871DB4">
        <w:rPr>
          <w:rFonts w:ascii="Arial" w:eastAsia="Calibri" w:hAnsi="Arial" w:cs="Arial"/>
          <w:szCs w:val="22"/>
        </w:rPr>
        <w:t>20</w:t>
      </w:r>
      <w:r w:rsidRPr="00591BAD">
        <w:rPr>
          <w:rFonts w:ascii="Arial" w:eastAsia="Calibri" w:hAnsi="Arial" w:cs="Arial"/>
          <w:szCs w:val="22"/>
        </w:rPr>
        <w:fldChar w:fldCharType="end"/>
      </w:r>
      <w:r w:rsidR="00483FC2" w:rsidRPr="00591BAD">
        <w:rPr>
          <w:rFonts w:ascii="Arial" w:eastAsia="Calibri" w:hAnsi="Arial" w:cs="Arial"/>
          <w:szCs w:val="22"/>
        </w:rPr>
        <w:t>].</w:t>
      </w:r>
      <w:r w:rsidRPr="00591BAD">
        <w:rPr>
          <w:rFonts w:ascii="Arial" w:eastAsia="Calibri" w:hAnsi="Arial" w:cs="Arial"/>
          <w:szCs w:val="22"/>
        </w:rPr>
        <w:t xml:space="preserve"> Liver steatosis is reversed by the induction of autophagy-induced </w:t>
      </w:r>
      <w:proofErr w:type="spellStart"/>
      <w:r w:rsidRPr="00591BAD">
        <w:rPr>
          <w:rFonts w:ascii="Arial" w:eastAsia="Calibri" w:hAnsi="Arial" w:cs="Arial"/>
          <w:szCs w:val="22"/>
        </w:rPr>
        <w:t>lipophagy</w:t>
      </w:r>
      <w:proofErr w:type="spellEnd"/>
      <w:r w:rsidRPr="00591BAD">
        <w:rPr>
          <w:rFonts w:ascii="Arial" w:eastAsia="Calibri" w:hAnsi="Arial" w:cs="Arial"/>
          <w:szCs w:val="22"/>
        </w:rPr>
        <w:t xml:space="preserve">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_Ref186878026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871DB4">
        <w:rPr>
          <w:rFonts w:ascii="Arial" w:eastAsia="Calibri" w:hAnsi="Arial" w:cs="Arial"/>
          <w:szCs w:val="22"/>
        </w:rPr>
        <w:t>21</w:t>
      </w:r>
      <w:r w:rsidRPr="00591BAD">
        <w:rPr>
          <w:rFonts w:ascii="Arial" w:eastAsia="Calibri" w:hAnsi="Arial" w:cs="Arial"/>
          <w:szCs w:val="22"/>
        </w:rPr>
        <w:fldChar w:fldCharType="end"/>
      </w:r>
      <w:r w:rsidRPr="00591BAD">
        <w:rPr>
          <w:rFonts w:ascii="Arial" w:eastAsia="Calibri" w:hAnsi="Arial" w:cs="Arial"/>
          <w:szCs w:val="22"/>
        </w:rPr>
        <w:t xml:space="preserve">]. Remarkably, lutein, mainly through its potent activities in </w:t>
      </w:r>
      <w:proofErr w:type="spellStart"/>
      <w:r w:rsidRPr="00591BAD">
        <w:rPr>
          <w:rFonts w:ascii="Arial" w:eastAsia="Calibri" w:hAnsi="Arial" w:cs="Arial"/>
          <w:szCs w:val="22"/>
        </w:rPr>
        <w:t>neutralisation</w:t>
      </w:r>
      <w:proofErr w:type="spellEnd"/>
      <w:r w:rsidRPr="00591BAD">
        <w:rPr>
          <w:rFonts w:ascii="Arial" w:eastAsia="Calibri" w:hAnsi="Arial" w:cs="Arial"/>
          <w:szCs w:val="22"/>
        </w:rPr>
        <w:t xml:space="preserve"> of reactive oxygen radicles (ROS) and stimulation of multiple molecular pathways, activates autophagy (for review see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_Ref186878188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871DB4">
        <w:rPr>
          <w:rFonts w:ascii="Arial" w:eastAsia="Calibri" w:hAnsi="Arial" w:cs="Arial"/>
          <w:szCs w:val="22"/>
        </w:rPr>
        <w:t>22</w:t>
      </w:r>
      <w:r w:rsidRPr="00591BAD">
        <w:rPr>
          <w:rFonts w:ascii="Arial" w:eastAsia="Calibri" w:hAnsi="Arial" w:cs="Arial"/>
          <w:szCs w:val="22"/>
        </w:rPr>
        <w:fldChar w:fldCharType="end"/>
      </w:r>
      <w:r w:rsidR="00483FC2" w:rsidRPr="00591BAD">
        <w:rPr>
          <w:rFonts w:ascii="Arial" w:eastAsia="Calibri" w:hAnsi="Arial" w:cs="Arial"/>
          <w:szCs w:val="22"/>
        </w:rPr>
        <w:t>]</w:t>
      </w:r>
      <w:r w:rsidR="00DC2ECE">
        <w:rPr>
          <w:rFonts w:ascii="Arial" w:eastAsia="Calibri" w:hAnsi="Arial" w:cs="Arial"/>
          <w:szCs w:val="22"/>
        </w:rPr>
        <w:t>)</w:t>
      </w:r>
      <w:r w:rsidR="00483FC2" w:rsidRPr="00591BAD">
        <w:rPr>
          <w:rFonts w:ascii="Arial" w:eastAsia="Calibri" w:hAnsi="Arial" w:cs="Arial"/>
          <w:szCs w:val="22"/>
        </w:rPr>
        <w:t>.</w:t>
      </w:r>
    </w:p>
    <w:p w14:paraId="0C91337C" w14:textId="77777777" w:rsidR="00483FC2" w:rsidRPr="00591BAD" w:rsidRDefault="00483FC2" w:rsidP="002662BF">
      <w:pPr>
        <w:rPr>
          <w:rFonts w:ascii="Arial" w:eastAsia="Calibri" w:hAnsi="Arial" w:cs="Arial"/>
          <w:szCs w:val="22"/>
        </w:rPr>
      </w:pPr>
    </w:p>
    <w:p w14:paraId="6C0D1F17" w14:textId="744FF5A2" w:rsidR="002662BF" w:rsidRPr="00591BAD" w:rsidRDefault="002662BF" w:rsidP="002662BF">
      <w:pPr>
        <w:rPr>
          <w:rFonts w:ascii="Arial" w:eastAsia="Calibri" w:hAnsi="Arial" w:cs="Arial"/>
          <w:strike/>
          <w:szCs w:val="22"/>
        </w:rPr>
      </w:pPr>
      <w:bookmarkStart w:id="5" w:name="_Hlk186885794"/>
      <w:bookmarkStart w:id="6" w:name="_Hlk186883227"/>
      <w:r w:rsidRPr="00591BAD">
        <w:rPr>
          <w:rFonts w:ascii="Arial" w:eastAsia="Calibri" w:hAnsi="Arial" w:cs="Arial"/>
          <w:szCs w:val="22"/>
        </w:rPr>
        <w:t>The main pathological factor of SARS-CoV-2, its spike protein, readily mediates inflammation through the activation of TLR2 and TLR4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_Ref186878491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871DB4">
        <w:rPr>
          <w:rFonts w:ascii="Arial" w:eastAsia="Calibri" w:hAnsi="Arial" w:cs="Arial"/>
          <w:szCs w:val="22"/>
        </w:rPr>
        <w:t>23</w:t>
      </w:r>
      <w:r w:rsidRPr="00591BAD">
        <w:rPr>
          <w:rFonts w:ascii="Arial" w:eastAsia="Calibri" w:hAnsi="Arial" w:cs="Arial"/>
          <w:szCs w:val="22"/>
        </w:rPr>
        <w:fldChar w:fldCharType="end"/>
      </w:r>
      <w:r w:rsidRPr="00591BAD">
        <w:rPr>
          <w:rFonts w:ascii="Arial" w:eastAsia="Calibri" w:hAnsi="Arial" w:cs="Arial"/>
          <w:szCs w:val="22"/>
        </w:rPr>
        <w:t xml:space="preserve">]. TLR2 and TLR4 </w:t>
      </w:r>
      <w:r w:rsidR="00C37CBA" w:rsidRPr="00591BAD">
        <w:rPr>
          <w:rFonts w:ascii="Arial" w:eastAsia="Calibri" w:hAnsi="Arial" w:cs="Arial"/>
          <w:szCs w:val="22"/>
        </w:rPr>
        <w:t>signaling</w:t>
      </w:r>
      <w:r w:rsidRPr="00591BAD">
        <w:rPr>
          <w:rFonts w:ascii="Arial" w:eastAsia="Calibri" w:hAnsi="Arial" w:cs="Arial"/>
          <w:szCs w:val="22"/>
        </w:rPr>
        <w:t xml:space="preserve"> are a hallmark for autoimmune disease pathogenesis and in liver steatosis. Therefore, as has already been shown in our recent study, lutein can act as a potent inhibitor of TLR2 and TLR4 spike protein-mediated activation and attenuate inflammation caused by NF-</w:t>
      </w:r>
      <w:proofErr w:type="spellStart"/>
      <w:r w:rsidRPr="00591BAD">
        <w:rPr>
          <w:rFonts w:ascii="Arial" w:eastAsia="Calibri" w:hAnsi="Arial" w:cs="Arial"/>
          <w:szCs w:val="22"/>
        </w:rPr>
        <w:t>κB</w:t>
      </w:r>
      <w:proofErr w:type="spellEnd"/>
      <w:r w:rsidRPr="00591BAD">
        <w:rPr>
          <w:rFonts w:ascii="Arial" w:eastAsia="Calibri" w:hAnsi="Arial" w:cs="Arial"/>
          <w:szCs w:val="22"/>
        </w:rPr>
        <w:t xml:space="preserve"> and activated protein 1 (AP-1) pathways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_Ref186873049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871DB4">
        <w:rPr>
          <w:rFonts w:ascii="Arial" w:eastAsia="Calibri" w:hAnsi="Arial" w:cs="Arial"/>
          <w:szCs w:val="22"/>
        </w:rPr>
        <w:t>3</w:t>
      </w:r>
      <w:r w:rsidRPr="00591BAD">
        <w:rPr>
          <w:rFonts w:ascii="Arial" w:eastAsia="Calibri" w:hAnsi="Arial" w:cs="Arial"/>
          <w:szCs w:val="22"/>
        </w:rPr>
        <w:fldChar w:fldCharType="end"/>
      </w:r>
      <w:r w:rsidRPr="00591BAD">
        <w:rPr>
          <w:rFonts w:ascii="Arial" w:eastAsia="Calibri" w:hAnsi="Arial" w:cs="Arial"/>
          <w:szCs w:val="22"/>
        </w:rPr>
        <w:t>]</w:t>
      </w:r>
      <w:bookmarkStart w:id="7" w:name="_Hlk186885713"/>
      <w:bookmarkEnd w:id="5"/>
      <w:r w:rsidRPr="00591BAD">
        <w:rPr>
          <w:rFonts w:ascii="Arial" w:eastAsia="Calibri" w:hAnsi="Arial" w:cs="Arial"/>
          <w:szCs w:val="22"/>
        </w:rPr>
        <w:t xml:space="preserve">. </w:t>
      </w:r>
      <w:bookmarkEnd w:id="6"/>
      <w:bookmarkEnd w:id="7"/>
      <w:r w:rsidR="00296F7B" w:rsidRPr="00591BAD">
        <w:rPr>
          <w:rFonts w:ascii="Arial" w:eastAsia="Calibri" w:hAnsi="Arial" w:cs="Arial"/>
          <w:strike/>
          <w:szCs w:val="22"/>
        </w:rPr>
        <w:t xml:space="preserve"> </w:t>
      </w:r>
    </w:p>
    <w:p w14:paraId="312B0D1E" w14:textId="77777777" w:rsidR="00296F7B" w:rsidRPr="00591BAD" w:rsidRDefault="00296F7B" w:rsidP="002662BF">
      <w:pPr>
        <w:rPr>
          <w:rFonts w:ascii="Arial" w:eastAsia="Calibri" w:hAnsi="Arial" w:cs="Arial"/>
          <w:strike/>
          <w:szCs w:val="22"/>
        </w:rPr>
      </w:pPr>
    </w:p>
    <w:p w14:paraId="4E6EAB38" w14:textId="2C637269" w:rsidR="002662BF" w:rsidRPr="00591BAD" w:rsidRDefault="002662BF" w:rsidP="002662BF">
      <w:pPr>
        <w:rPr>
          <w:rFonts w:ascii="Arial" w:eastAsia="Calibri" w:hAnsi="Arial" w:cs="Arial"/>
          <w:szCs w:val="22"/>
        </w:rPr>
      </w:pPr>
      <w:r w:rsidRPr="00591BAD">
        <w:rPr>
          <w:rFonts w:ascii="Arial" w:eastAsia="Calibri" w:hAnsi="Arial" w:cs="Arial"/>
          <w:szCs w:val="22"/>
        </w:rPr>
        <w:t>Moreover, EVOO consumption, due to its high antioxidant content, has been found to protect from mortality due to SARS-CoV-2 infection and other severe COVID-19 symptoms, and it can also be applied to combat long COVID symptoms, as seen in our patient [</w:t>
      </w:r>
      <w:r w:rsidRPr="00591BAD">
        <w:rPr>
          <w:rFonts w:ascii="Arial" w:eastAsia="Calibri" w:hAnsi="Arial" w:cs="Arial"/>
          <w:szCs w:val="22"/>
        </w:rPr>
        <w:fldChar w:fldCharType="begin"/>
      </w:r>
      <w:r w:rsidRPr="00591BAD">
        <w:rPr>
          <w:rFonts w:ascii="Arial" w:eastAsia="Calibri" w:hAnsi="Arial" w:cs="Arial"/>
          <w:szCs w:val="22"/>
        </w:rPr>
        <w:instrText xml:space="preserve"> REF _Ref182661288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871DB4">
        <w:rPr>
          <w:rFonts w:ascii="Arial" w:eastAsia="Calibri" w:hAnsi="Arial" w:cs="Arial"/>
          <w:szCs w:val="22"/>
        </w:rPr>
        <w:t>24</w:t>
      </w:r>
      <w:r w:rsidRPr="00591BAD">
        <w:rPr>
          <w:rFonts w:ascii="Arial" w:eastAsia="Calibri" w:hAnsi="Arial" w:cs="Arial"/>
          <w:szCs w:val="22"/>
        </w:rPr>
        <w:fldChar w:fldCharType="end"/>
      </w:r>
      <w:r w:rsidRPr="00591BAD">
        <w:rPr>
          <w:rFonts w:ascii="Arial" w:eastAsia="Calibri" w:hAnsi="Arial" w:cs="Arial"/>
          <w:szCs w:val="22"/>
        </w:rPr>
        <w:t>].</w:t>
      </w:r>
      <w:bookmarkStart w:id="8" w:name="_Hlk186881980"/>
      <w:r w:rsidRPr="00591BAD">
        <w:rPr>
          <w:rFonts w:ascii="Arial" w:eastAsia="Calibri" w:hAnsi="Arial" w:cs="Arial"/>
          <w:szCs w:val="22"/>
        </w:rPr>
        <w:t xml:space="preserve"> Relevant pharmacokinetic studies have shown that, depending on food intake, the bioavailability of lutein in animals can reach levels of 5.2%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_Ref186879190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871DB4">
        <w:rPr>
          <w:rFonts w:ascii="Arial" w:eastAsia="Calibri" w:hAnsi="Arial" w:cs="Arial"/>
          <w:szCs w:val="22"/>
        </w:rPr>
        <w:t>25</w:t>
      </w:r>
      <w:r w:rsidRPr="00591BAD">
        <w:rPr>
          <w:rFonts w:ascii="Arial" w:eastAsia="Calibri" w:hAnsi="Arial" w:cs="Arial"/>
          <w:szCs w:val="22"/>
        </w:rPr>
        <w:fldChar w:fldCharType="end"/>
      </w:r>
      <w:r w:rsidRPr="00591BAD">
        <w:rPr>
          <w:rFonts w:ascii="Arial" w:eastAsia="Calibri" w:hAnsi="Arial" w:cs="Arial"/>
          <w:szCs w:val="22"/>
        </w:rPr>
        <w:t>]. It may be the case in our patient that the intestinal absorption of lutein was markedly improved through the food she was consuming. The alleviation of constipation after SEVOO lutein consumption is an indicator of improved intestinal health after COVID-19 and long COVID</w:t>
      </w:r>
      <w:bookmarkEnd w:id="8"/>
      <w:r w:rsidRPr="00591BAD">
        <w:rPr>
          <w:rFonts w:ascii="Arial" w:eastAsia="Calibri" w:hAnsi="Arial" w:cs="Arial"/>
          <w:szCs w:val="22"/>
        </w:rPr>
        <w:t>.</w:t>
      </w:r>
      <w:r w:rsidR="00F077EF" w:rsidRPr="00591BAD">
        <w:rPr>
          <w:rFonts w:ascii="Arial" w:eastAsia="Calibri" w:hAnsi="Arial" w:cs="Arial"/>
          <w:szCs w:val="22"/>
        </w:rPr>
        <w:t xml:space="preserve"> Naturally derived lutein in EVOO may have worked as a strong antioxidant and autophagy inducer to alleviate potential liver inflammation in this patient. However, further clinical studies involving more patients will help to clarify this indication.  </w:t>
      </w:r>
    </w:p>
    <w:p w14:paraId="7E1412DC" w14:textId="77777777" w:rsidR="00296F7B" w:rsidRPr="00591BAD" w:rsidRDefault="00296F7B" w:rsidP="002662BF">
      <w:pPr>
        <w:rPr>
          <w:rFonts w:ascii="Arial" w:eastAsia="Calibri" w:hAnsi="Arial" w:cs="Arial"/>
          <w:strike/>
          <w:szCs w:val="22"/>
        </w:rPr>
      </w:pPr>
      <w:r w:rsidRPr="00591BAD">
        <w:rPr>
          <w:rFonts w:ascii="Arial" w:eastAsia="Calibri" w:hAnsi="Arial" w:cs="Arial"/>
          <w:strike/>
          <w:szCs w:val="22"/>
        </w:rPr>
        <w:t xml:space="preserve"> </w:t>
      </w:r>
    </w:p>
    <w:p w14:paraId="15EDA60D" w14:textId="04B23214" w:rsidR="00E053D0" w:rsidRPr="00591BAD" w:rsidRDefault="00296F7B" w:rsidP="002662BF">
      <w:pPr>
        <w:rPr>
          <w:rFonts w:ascii="Arial" w:eastAsia="Calibri" w:hAnsi="Arial" w:cs="Arial"/>
          <w:szCs w:val="22"/>
        </w:rPr>
      </w:pPr>
      <w:r w:rsidRPr="00591BAD">
        <w:rPr>
          <w:rFonts w:ascii="Arial" w:eastAsia="Calibri" w:hAnsi="Arial" w:cs="Arial"/>
          <w:szCs w:val="22"/>
        </w:rPr>
        <w:t>Sp</w:t>
      </w:r>
      <w:r w:rsidR="002662BF" w:rsidRPr="00591BAD">
        <w:rPr>
          <w:rFonts w:ascii="Arial" w:eastAsia="Calibri" w:hAnsi="Arial" w:cs="Arial"/>
          <w:szCs w:val="22"/>
        </w:rPr>
        <w:t>ontaneous remission of the autoimmune hepatitis markers cannot be excluded in this case, as this has been described in the literature [</w:t>
      </w:r>
      <w:r w:rsidR="002662BF" w:rsidRPr="00591BAD">
        <w:rPr>
          <w:rFonts w:ascii="Arial" w:eastAsia="Calibri" w:hAnsi="Arial" w:cs="Arial"/>
          <w:szCs w:val="22"/>
        </w:rPr>
        <w:fldChar w:fldCharType="begin"/>
      </w:r>
      <w:r w:rsidR="002662BF" w:rsidRPr="00591BAD">
        <w:rPr>
          <w:rFonts w:ascii="Arial" w:eastAsia="Calibri" w:hAnsi="Arial" w:cs="Arial"/>
          <w:szCs w:val="22"/>
        </w:rPr>
        <w:instrText xml:space="preserve"> REF _Ref186877214 \r \h  \* MERGEFORMAT </w:instrText>
      </w:r>
      <w:r w:rsidR="002662BF" w:rsidRPr="00591BAD">
        <w:rPr>
          <w:rFonts w:ascii="Arial" w:eastAsia="Calibri" w:hAnsi="Arial" w:cs="Arial"/>
          <w:szCs w:val="22"/>
        </w:rPr>
      </w:r>
      <w:r w:rsidR="002662BF" w:rsidRPr="00591BAD">
        <w:rPr>
          <w:rFonts w:ascii="Arial" w:eastAsia="Calibri" w:hAnsi="Arial" w:cs="Arial"/>
          <w:szCs w:val="22"/>
        </w:rPr>
        <w:fldChar w:fldCharType="separate"/>
      </w:r>
      <w:r w:rsidR="00871DB4">
        <w:rPr>
          <w:rFonts w:ascii="Arial" w:eastAsia="Calibri" w:hAnsi="Arial" w:cs="Arial"/>
          <w:szCs w:val="22"/>
        </w:rPr>
        <w:t>18</w:t>
      </w:r>
      <w:r w:rsidR="002662BF" w:rsidRPr="00591BAD">
        <w:rPr>
          <w:rFonts w:ascii="Arial" w:eastAsia="Calibri" w:hAnsi="Arial" w:cs="Arial"/>
          <w:szCs w:val="22"/>
        </w:rPr>
        <w:fldChar w:fldCharType="end"/>
      </w:r>
      <w:r w:rsidR="002662BF" w:rsidRPr="00591BAD">
        <w:rPr>
          <w:rFonts w:ascii="Arial" w:eastAsia="Calibri" w:hAnsi="Arial" w:cs="Arial"/>
          <w:szCs w:val="22"/>
        </w:rPr>
        <w:t>]. Therefore, a continuous monitoring of liver enzyme levels</w:t>
      </w:r>
      <w:r w:rsidR="00A27EB8" w:rsidRPr="00591BAD">
        <w:rPr>
          <w:rFonts w:ascii="Arial" w:eastAsia="Calibri" w:hAnsi="Arial" w:cs="Arial"/>
          <w:szCs w:val="22"/>
        </w:rPr>
        <w:t xml:space="preserve"> </w:t>
      </w:r>
      <w:r w:rsidR="007D5E5C" w:rsidRPr="00591BAD">
        <w:rPr>
          <w:rFonts w:ascii="Arial" w:eastAsia="Calibri" w:hAnsi="Arial" w:cs="Arial"/>
          <w:szCs w:val="22"/>
        </w:rPr>
        <w:t>is</w:t>
      </w:r>
      <w:r w:rsidRPr="00591BAD">
        <w:rPr>
          <w:rFonts w:ascii="Arial" w:eastAsia="Calibri" w:hAnsi="Arial" w:cs="Arial"/>
          <w:szCs w:val="22"/>
        </w:rPr>
        <w:t xml:space="preserve"> </w:t>
      </w:r>
      <w:r w:rsidR="002662BF" w:rsidRPr="00591BAD">
        <w:rPr>
          <w:rFonts w:ascii="Arial" w:eastAsia="Calibri" w:hAnsi="Arial" w:cs="Arial"/>
          <w:szCs w:val="22"/>
        </w:rPr>
        <w:t xml:space="preserve">advisable. </w:t>
      </w:r>
    </w:p>
    <w:p w14:paraId="76ED8540" w14:textId="77777777" w:rsidR="00C37CBA" w:rsidRPr="00591BAD" w:rsidRDefault="00C37CBA" w:rsidP="002662BF">
      <w:pPr>
        <w:rPr>
          <w:rFonts w:ascii="Arial" w:eastAsia="Calibri" w:hAnsi="Arial" w:cs="Arial"/>
          <w:szCs w:val="22"/>
        </w:rPr>
      </w:pPr>
    </w:p>
    <w:p w14:paraId="21837673" w14:textId="77777777" w:rsidR="00B01FCD" w:rsidRPr="00591BAD" w:rsidRDefault="00000F8F" w:rsidP="00441B6F">
      <w:pPr>
        <w:pStyle w:val="ConcHead"/>
        <w:spacing w:after="0"/>
        <w:jc w:val="both"/>
        <w:rPr>
          <w:rFonts w:ascii="Arial" w:hAnsi="Arial" w:cs="Arial"/>
        </w:rPr>
      </w:pPr>
      <w:r w:rsidRPr="00591BAD">
        <w:rPr>
          <w:rFonts w:ascii="Arial" w:hAnsi="Arial" w:cs="Arial"/>
        </w:rPr>
        <w:t xml:space="preserve">4. </w:t>
      </w:r>
      <w:r w:rsidR="00B01FCD" w:rsidRPr="00591BAD">
        <w:rPr>
          <w:rFonts w:ascii="Arial" w:hAnsi="Arial" w:cs="Arial"/>
        </w:rPr>
        <w:t>Conclusion</w:t>
      </w:r>
    </w:p>
    <w:p w14:paraId="5D6064E1" w14:textId="001237F8" w:rsidR="002662BF" w:rsidRPr="00591BAD" w:rsidRDefault="002662BF" w:rsidP="002662BF">
      <w:pPr>
        <w:pStyle w:val="Heading1"/>
        <w:rPr>
          <w:rFonts w:eastAsia="Calibri" w:cs="Arial"/>
          <w:b w:val="0"/>
          <w:strike/>
          <w:kern w:val="0"/>
          <w:sz w:val="20"/>
          <w:szCs w:val="22"/>
        </w:rPr>
      </w:pPr>
      <w:r w:rsidRPr="00591BAD">
        <w:rPr>
          <w:rFonts w:eastAsia="Calibri" w:cs="Arial"/>
          <w:b w:val="0"/>
          <w:kern w:val="0"/>
          <w:sz w:val="20"/>
          <w:szCs w:val="22"/>
        </w:rPr>
        <w:t xml:space="preserve">The recovery of liver enzymes and autoimmune antibody levels to normal values </w:t>
      </w:r>
      <w:r w:rsidRPr="00A17C28">
        <w:rPr>
          <w:rFonts w:eastAsia="Calibri" w:cs="Arial"/>
          <w:b w:val="0"/>
          <w:kern w:val="0"/>
          <w:sz w:val="20"/>
          <w:szCs w:val="22"/>
        </w:rPr>
        <w:t xml:space="preserve">after </w:t>
      </w:r>
      <w:r w:rsidR="00DC2ECE" w:rsidRPr="00A17C28">
        <w:rPr>
          <w:rFonts w:eastAsia="Calibri" w:cs="Arial"/>
          <w:b w:val="0"/>
          <w:kern w:val="0"/>
          <w:sz w:val="20"/>
          <w:szCs w:val="22"/>
        </w:rPr>
        <w:t>a twelve-month</w:t>
      </w:r>
      <w:r w:rsidRPr="00A17C28">
        <w:rPr>
          <w:rFonts w:eastAsia="Calibri" w:cs="Arial"/>
          <w:b w:val="0"/>
          <w:kern w:val="0"/>
          <w:sz w:val="20"/>
          <w:szCs w:val="22"/>
        </w:rPr>
        <w:t xml:space="preserve"> period of a healthy diet and consumption of naturally derived lutein in EVOO is remarkable. This long COVID case signifies a future potential role for reducing liver damage and other autoimmune reactions caused by the SARS-CoV</w:t>
      </w:r>
      <w:r w:rsidRPr="00591BAD">
        <w:rPr>
          <w:rFonts w:eastAsia="Calibri" w:cs="Arial"/>
          <w:b w:val="0"/>
          <w:kern w:val="0"/>
          <w:sz w:val="20"/>
          <w:szCs w:val="22"/>
        </w:rPr>
        <w:t xml:space="preserve">-2 spike protein (long COVID) by natural lutein in EVOO when a healthy Mediterranean diet is followed.  </w:t>
      </w:r>
      <w:bookmarkStart w:id="9" w:name="_Hlk186877977"/>
      <w:bookmarkStart w:id="10" w:name="_Hlk186882972"/>
      <w:r w:rsidRPr="00591BAD">
        <w:rPr>
          <w:rFonts w:eastAsia="Calibri" w:cs="Arial"/>
          <w:b w:val="0"/>
          <w:kern w:val="0"/>
          <w:sz w:val="20"/>
          <w:szCs w:val="22"/>
        </w:rPr>
        <w:t>Larger scale clinical studies</w:t>
      </w:r>
      <w:r w:rsidR="00A27EB8" w:rsidRPr="00591BAD">
        <w:rPr>
          <w:rFonts w:eastAsia="Calibri" w:cs="Arial"/>
          <w:b w:val="0"/>
          <w:kern w:val="0"/>
          <w:sz w:val="20"/>
          <w:szCs w:val="22"/>
        </w:rPr>
        <w:t xml:space="preserve"> are advised</w:t>
      </w:r>
      <w:r w:rsidR="00296F7B" w:rsidRPr="00591BAD">
        <w:rPr>
          <w:rFonts w:eastAsia="Calibri" w:cs="Arial"/>
          <w:b w:val="0"/>
          <w:kern w:val="0"/>
          <w:sz w:val="20"/>
          <w:szCs w:val="22"/>
        </w:rPr>
        <w:t>.</w:t>
      </w:r>
      <w:r w:rsidRPr="00591BAD">
        <w:rPr>
          <w:rFonts w:eastAsia="Calibri" w:cs="Arial"/>
          <w:b w:val="0"/>
          <w:kern w:val="0"/>
          <w:sz w:val="20"/>
          <w:szCs w:val="22"/>
        </w:rPr>
        <w:t>to further assess and reinforce our clinical findings on whether lutein and/or other active constituents in EVOO help more generally in the alleviation of the autoimmune-liver injury markers</w:t>
      </w:r>
      <w:r w:rsidR="007D5E5C" w:rsidRPr="00591BAD">
        <w:rPr>
          <w:rFonts w:eastAsia="Calibri" w:cs="Arial"/>
          <w:b w:val="0"/>
          <w:kern w:val="0"/>
          <w:sz w:val="20"/>
          <w:szCs w:val="22"/>
        </w:rPr>
        <w:t>.</w:t>
      </w:r>
      <w:bookmarkEnd w:id="9"/>
      <w:r w:rsidRPr="00591BAD">
        <w:rPr>
          <w:rFonts w:eastAsia="Calibri" w:cs="Arial"/>
          <w:b w:val="0"/>
          <w:strike/>
          <w:kern w:val="0"/>
          <w:sz w:val="20"/>
          <w:szCs w:val="22"/>
        </w:rPr>
        <w:t xml:space="preserve"> </w:t>
      </w:r>
      <w:bookmarkEnd w:id="10"/>
    </w:p>
    <w:p w14:paraId="2B2B9709" w14:textId="77777777" w:rsidR="00790ADA" w:rsidRPr="00591BAD" w:rsidRDefault="00790ADA" w:rsidP="00441B6F">
      <w:pPr>
        <w:pStyle w:val="Body"/>
        <w:spacing w:after="0"/>
        <w:rPr>
          <w:rFonts w:ascii="Arial" w:hAnsi="Arial" w:cs="Arial"/>
        </w:rPr>
      </w:pPr>
    </w:p>
    <w:p w14:paraId="18100DDF" w14:textId="77777777" w:rsidR="00315186" w:rsidRPr="00591BAD" w:rsidRDefault="00315186" w:rsidP="00441B6F"/>
    <w:p w14:paraId="58DEC25C" w14:textId="52B39D13" w:rsidR="002B685A" w:rsidRDefault="002B685A" w:rsidP="00441B6F">
      <w:pPr>
        <w:pStyle w:val="ReferHead"/>
        <w:spacing w:after="0"/>
        <w:jc w:val="both"/>
        <w:rPr>
          <w:rFonts w:ascii="Arial" w:hAnsi="Arial" w:cs="Arial"/>
          <w:bCs/>
        </w:rPr>
      </w:pPr>
      <w:r w:rsidRPr="002B685A">
        <w:rPr>
          <w:rFonts w:ascii="Arial" w:hAnsi="Arial" w:cs="Arial"/>
          <w:bCs/>
        </w:rPr>
        <w:t>Consent</w:t>
      </w:r>
    </w:p>
    <w:p w14:paraId="20F81269" w14:textId="74614C50" w:rsidR="002662BF" w:rsidRPr="006E1985" w:rsidRDefault="002662BF" w:rsidP="002662BF">
      <w:pPr>
        <w:rPr>
          <w:rFonts w:ascii="Arial" w:hAnsi="Arial" w:cs="Arial"/>
          <w:strike/>
        </w:rPr>
      </w:pPr>
    </w:p>
    <w:p w14:paraId="67E7072E" w14:textId="04E8F71E" w:rsidR="002662BF" w:rsidRPr="00690474" w:rsidRDefault="00690474" w:rsidP="002662BF">
      <w:pPr>
        <w:rPr>
          <w:rFonts w:ascii="Arial" w:hAnsi="Arial" w:cs="Arial"/>
        </w:rPr>
      </w:pPr>
      <w:r w:rsidRPr="00690474">
        <w:rPr>
          <w:rFonts w:ascii="Arial" w:hAnsi="Arial" w:cs="Arial"/>
        </w:rPr>
        <w:t>All authors declare that ‘w</w:t>
      </w:r>
      <w:r w:rsidR="002662BF" w:rsidRPr="00690474">
        <w:rPr>
          <w:rFonts w:ascii="Arial" w:hAnsi="Arial" w:cs="Arial"/>
        </w:rPr>
        <w:t xml:space="preserve">ritten informed consent was obtained </w:t>
      </w:r>
      <w:r w:rsidRPr="00690474">
        <w:rPr>
          <w:rFonts w:ascii="Arial" w:hAnsi="Arial" w:cs="Arial"/>
        </w:rPr>
        <w:t xml:space="preserve">and signed </w:t>
      </w:r>
      <w:r w:rsidR="002662BF" w:rsidRPr="00690474">
        <w:rPr>
          <w:rFonts w:ascii="Arial" w:hAnsi="Arial" w:cs="Arial"/>
        </w:rPr>
        <w:t>from the patient for publication of this case report. A copy of the written consent</w:t>
      </w:r>
      <w:r w:rsidR="00484D15">
        <w:rPr>
          <w:rFonts w:ascii="Arial" w:hAnsi="Arial" w:cs="Arial"/>
        </w:rPr>
        <w:t xml:space="preserve"> form</w:t>
      </w:r>
      <w:r w:rsidR="002662BF" w:rsidRPr="00690474">
        <w:rPr>
          <w:rFonts w:ascii="Arial" w:hAnsi="Arial" w:cs="Arial"/>
        </w:rPr>
        <w:t xml:space="preserve"> is available for review by the Editor-in-Chief of this journal. Principles of the Declaration of Helsinki were followed.</w:t>
      </w:r>
    </w:p>
    <w:p w14:paraId="181163CE" w14:textId="77777777" w:rsidR="005C784C" w:rsidRDefault="005C784C" w:rsidP="00441B6F">
      <w:pPr>
        <w:pStyle w:val="ReferHead"/>
        <w:spacing w:after="0"/>
        <w:jc w:val="both"/>
        <w:rPr>
          <w:rFonts w:ascii="Arial" w:hAnsi="Arial" w:cs="Arial"/>
          <w:b w:val="0"/>
          <w:caps w:val="0"/>
          <w:sz w:val="20"/>
        </w:rPr>
      </w:pPr>
    </w:p>
    <w:p w14:paraId="6E2E83B1" w14:textId="63EB6D55" w:rsidR="005C784C" w:rsidRDefault="005C784C" w:rsidP="00441B6F">
      <w:pPr>
        <w:pStyle w:val="ReferHead"/>
        <w:spacing w:after="0"/>
        <w:jc w:val="both"/>
        <w:rPr>
          <w:rFonts w:ascii="Arial" w:hAnsi="Arial" w:cs="Arial"/>
          <w:bCs/>
        </w:rPr>
      </w:pPr>
      <w:r>
        <w:rPr>
          <w:rFonts w:ascii="Arial" w:hAnsi="Arial" w:cs="Arial"/>
          <w:bCs/>
        </w:rPr>
        <w:t>Ethical approval</w:t>
      </w:r>
    </w:p>
    <w:p w14:paraId="09CED766" w14:textId="77777777" w:rsidR="009523BB" w:rsidRDefault="009523BB" w:rsidP="00441B6F">
      <w:pPr>
        <w:pStyle w:val="ReferHead"/>
        <w:spacing w:after="0"/>
        <w:jc w:val="both"/>
        <w:rPr>
          <w:rFonts w:ascii="Arial" w:hAnsi="Arial" w:cs="Arial"/>
          <w:b w:val="0"/>
          <w:caps w:val="0"/>
          <w:sz w:val="20"/>
        </w:rPr>
      </w:pPr>
    </w:p>
    <w:p w14:paraId="112EC632" w14:textId="7BCD309C" w:rsidR="0041027F" w:rsidRDefault="005F1837" w:rsidP="00441B6F">
      <w:pPr>
        <w:pStyle w:val="ReferHead"/>
        <w:spacing w:after="0"/>
        <w:jc w:val="both"/>
        <w:rPr>
          <w:rFonts w:ascii="Arial" w:hAnsi="Arial" w:cs="Arial"/>
          <w:b w:val="0"/>
          <w:caps w:val="0"/>
          <w:sz w:val="20"/>
        </w:rPr>
      </w:pPr>
      <w:r w:rsidRPr="00A17C28">
        <w:rPr>
          <w:rFonts w:ascii="Arial" w:hAnsi="Arial" w:cs="Arial"/>
          <w:b w:val="0"/>
          <w:caps w:val="0"/>
          <w:sz w:val="20"/>
        </w:rPr>
        <w:t xml:space="preserve">The study was performed in accordance </w:t>
      </w:r>
      <w:bookmarkStart w:id="11" w:name="_GoBack"/>
      <w:bookmarkEnd w:id="11"/>
      <w:r w:rsidRPr="00A17C28">
        <w:rPr>
          <w:rFonts w:ascii="Arial" w:hAnsi="Arial" w:cs="Arial"/>
          <w:b w:val="0"/>
          <w:caps w:val="0"/>
          <w:sz w:val="20"/>
        </w:rPr>
        <w:t>with the ethical standards laid down in the 1964 declaration of Helsinki.</w:t>
      </w:r>
    </w:p>
    <w:p w14:paraId="378FB844" w14:textId="1F9CD847" w:rsidR="00906B78" w:rsidRDefault="00906B78" w:rsidP="00441B6F">
      <w:pPr>
        <w:pStyle w:val="ReferHead"/>
        <w:spacing w:after="0"/>
        <w:jc w:val="both"/>
        <w:rPr>
          <w:rFonts w:ascii="Arial" w:hAnsi="Arial" w:cs="Arial"/>
          <w:b w:val="0"/>
          <w:caps w:val="0"/>
          <w:sz w:val="20"/>
        </w:rPr>
      </w:pPr>
    </w:p>
    <w:p w14:paraId="181C63DB" w14:textId="77777777" w:rsidR="00906B78" w:rsidRPr="009523BB" w:rsidRDefault="00906B78" w:rsidP="00906B78">
      <w:pPr>
        <w:rPr>
          <w:rFonts w:asciiTheme="minorHAnsi" w:hAnsiTheme="minorHAnsi"/>
          <w:b/>
        </w:rPr>
      </w:pPr>
      <w:r w:rsidRPr="009523BB">
        <w:rPr>
          <w:b/>
        </w:rPr>
        <w:t>Disclaimer (Artificial intelligence)</w:t>
      </w:r>
    </w:p>
    <w:p w14:paraId="142F93DD" w14:textId="77777777" w:rsidR="00906B78" w:rsidRDefault="00906B78" w:rsidP="00906B78">
      <w:r>
        <w:t xml:space="preserve">Option 1: </w:t>
      </w:r>
    </w:p>
    <w:p w14:paraId="00484DD2" w14:textId="77777777" w:rsidR="00906B78" w:rsidRDefault="00906B78" w:rsidP="00906B7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0DE1E2B" w14:textId="77777777" w:rsidR="00906B78" w:rsidRDefault="00906B78" w:rsidP="00906B78">
      <w:r>
        <w:t xml:space="preserve">Option 2: </w:t>
      </w:r>
    </w:p>
    <w:p w14:paraId="14385043" w14:textId="77777777" w:rsidR="00906B78" w:rsidRDefault="00906B78" w:rsidP="00906B78">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6BC6C6" w14:textId="77777777" w:rsidR="00906B78" w:rsidRDefault="00906B78" w:rsidP="00906B78">
      <w:r>
        <w:t>Details of the AI usage are given below:</w:t>
      </w:r>
    </w:p>
    <w:p w14:paraId="74B568C0" w14:textId="77777777" w:rsidR="00906B78" w:rsidRDefault="00906B78" w:rsidP="00906B78">
      <w:r>
        <w:t>1.</w:t>
      </w:r>
    </w:p>
    <w:p w14:paraId="6E80913F" w14:textId="77777777" w:rsidR="00906B78" w:rsidRDefault="00906B78" w:rsidP="00906B78">
      <w:r>
        <w:t>2.</w:t>
      </w:r>
    </w:p>
    <w:p w14:paraId="555115B2" w14:textId="77777777" w:rsidR="00906B78" w:rsidRDefault="00906B78" w:rsidP="00906B78">
      <w:r>
        <w:t>3.</w:t>
      </w:r>
    </w:p>
    <w:p w14:paraId="22BA3897" w14:textId="77777777" w:rsidR="00906B78" w:rsidRDefault="00906B78" w:rsidP="00906B78"/>
    <w:p w14:paraId="5D19B40C" w14:textId="77777777" w:rsidR="00906B78" w:rsidRDefault="00906B78" w:rsidP="00906B78"/>
    <w:p w14:paraId="5F21F1E2" w14:textId="77777777" w:rsidR="00906B78" w:rsidRDefault="00906B78" w:rsidP="00441B6F">
      <w:pPr>
        <w:pStyle w:val="ReferHead"/>
        <w:spacing w:after="0"/>
        <w:jc w:val="both"/>
        <w:rPr>
          <w:rFonts w:ascii="Arial" w:hAnsi="Arial" w:cs="Arial"/>
          <w:b w:val="0"/>
          <w:caps w:val="0"/>
          <w:sz w:val="20"/>
        </w:rPr>
      </w:pPr>
    </w:p>
    <w:p w14:paraId="00939472" w14:textId="77777777" w:rsidR="004073CB" w:rsidRDefault="004073CB" w:rsidP="00441B6F">
      <w:pPr>
        <w:pStyle w:val="ReferHead"/>
        <w:spacing w:after="0"/>
        <w:jc w:val="both"/>
        <w:rPr>
          <w:rFonts w:ascii="Arial" w:hAnsi="Arial" w:cs="Arial"/>
          <w:b w:val="0"/>
          <w:caps w:val="0"/>
          <w:sz w:val="20"/>
        </w:rPr>
      </w:pPr>
    </w:p>
    <w:p w14:paraId="4A762542" w14:textId="77777777" w:rsidR="00860000" w:rsidRDefault="00860000" w:rsidP="00441B6F">
      <w:pPr>
        <w:pStyle w:val="ReferHead"/>
        <w:spacing w:after="0"/>
        <w:jc w:val="both"/>
        <w:rPr>
          <w:rFonts w:ascii="Arial" w:hAnsi="Arial" w:cs="Arial"/>
        </w:rPr>
      </w:pPr>
    </w:p>
    <w:p w14:paraId="31803E8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75DA68" w14:textId="77777777" w:rsidR="009D7B7E" w:rsidRDefault="009D7B7E" w:rsidP="00441B6F">
      <w:pPr>
        <w:pStyle w:val="ReferHead"/>
        <w:spacing w:after="0"/>
        <w:jc w:val="both"/>
        <w:rPr>
          <w:rFonts w:ascii="Arial" w:hAnsi="Arial" w:cs="Arial"/>
        </w:rPr>
      </w:pPr>
    </w:p>
    <w:p w14:paraId="1DACB23D" w14:textId="383C3BA8" w:rsidR="009D7B7E" w:rsidRPr="009D7B7E" w:rsidRDefault="009D7B7E" w:rsidP="009D7B7E">
      <w:pPr>
        <w:pStyle w:val="ListParagraph"/>
        <w:numPr>
          <w:ilvl w:val="0"/>
          <w:numId w:val="32"/>
        </w:numPr>
        <w:rPr>
          <w:rFonts w:ascii="Arial" w:eastAsia="Calibri" w:hAnsi="Arial" w:cs="Arial"/>
          <w:szCs w:val="22"/>
        </w:rPr>
      </w:pPr>
      <w:bookmarkStart w:id="12" w:name="_Ref184221391"/>
      <w:bookmarkStart w:id="13" w:name="_Ref182661259"/>
      <w:bookmarkStart w:id="14" w:name="_Ref182661186"/>
      <w:r w:rsidRPr="009D7B7E">
        <w:rPr>
          <w:rFonts w:ascii="Arial" w:eastAsia="Calibri" w:hAnsi="Arial" w:cs="Arial"/>
          <w:szCs w:val="22"/>
        </w:rPr>
        <w:t>Li LH, Lee JC, Leung HH, Lam WC, Fu Z, Lo ACY. Lutein supplementation for eye diseases. Nutrients. 2020;12(6):1721. https://doi.org/10.3390/nu12061721.</w:t>
      </w:r>
      <w:bookmarkEnd w:id="12"/>
    </w:p>
    <w:p w14:paraId="053E92CC" w14:textId="665F85EF" w:rsidR="009D7B7E" w:rsidRPr="009D7B7E" w:rsidRDefault="009D7B7E" w:rsidP="009D7B7E">
      <w:pPr>
        <w:pStyle w:val="ListParagraph"/>
        <w:numPr>
          <w:ilvl w:val="0"/>
          <w:numId w:val="32"/>
        </w:numPr>
        <w:rPr>
          <w:rFonts w:ascii="Arial" w:eastAsia="Calibri" w:hAnsi="Arial" w:cs="Arial"/>
          <w:szCs w:val="22"/>
        </w:rPr>
      </w:pPr>
      <w:bookmarkStart w:id="15" w:name="_Ref184221402"/>
      <w:r w:rsidRPr="009D7B7E">
        <w:rPr>
          <w:rFonts w:ascii="Arial" w:eastAsia="Calibri" w:hAnsi="Arial" w:cs="Arial"/>
          <w:szCs w:val="22"/>
        </w:rPr>
        <w:t xml:space="preserve">Balboa E, Saud F, Parra-Ruiz C, de la Fuente M, Landskron G, Zanlungo S. Exploring the lutein therapeutic potential in </w:t>
      </w:r>
      <w:proofErr w:type="spellStart"/>
      <w:r w:rsidRPr="009D7B7E">
        <w:rPr>
          <w:rFonts w:ascii="Arial" w:eastAsia="Calibri" w:hAnsi="Arial" w:cs="Arial"/>
          <w:szCs w:val="22"/>
        </w:rPr>
        <w:t>steatotic</w:t>
      </w:r>
      <w:proofErr w:type="spellEnd"/>
      <w:r w:rsidRPr="009D7B7E">
        <w:rPr>
          <w:rFonts w:ascii="Arial" w:eastAsia="Calibri" w:hAnsi="Arial" w:cs="Arial"/>
          <w:szCs w:val="22"/>
        </w:rPr>
        <w:t xml:space="preserve"> liver disease: mechanistic insights and future directions. Front </w:t>
      </w:r>
      <w:proofErr w:type="spellStart"/>
      <w:r w:rsidRPr="009D7B7E">
        <w:rPr>
          <w:rFonts w:ascii="Arial" w:eastAsia="Calibri" w:hAnsi="Arial" w:cs="Arial"/>
          <w:szCs w:val="22"/>
        </w:rPr>
        <w:t>Pharmacol</w:t>
      </w:r>
      <w:proofErr w:type="spellEnd"/>
      <w:r w:rsidRPr="009D7B7E">
        <w:rPr>
          <w:rFonts w:ascii="Arial" w:eastAsia="Calibri" w:hAnsi="Arial" w:cs="Arial"/>
          <w:szCs w:val="22"/>
        </w:rPr>
        <w:t xml:space="preserve">. </w:t>
      </w:r>
      <w:proofErr w:type="gramStart"/>
      <w:r w:rsidRPr="009D7B7E">
        <w:rPr>
          <w:rFonts w:ascii="Arial" w:eastAsia="Calibri" w:hAnsi="Arial" w:cs="Arial"/>
          <w:szCs w:val="22"/>
        </w:rPr>
        <w:t>2024;15:1406784</w:t>
      </w:r>
      <w:proofErr w:type="gramEnd"/>
      <w:r w:rsidRPr="009D7B7E">
        <w:rPr>
          <w:rFonts w:ascii="Arial" w:eastAsia="Calibri" w:hAnsi="Arial" w:cs="Arial"/>
          <w:szCs w:val="22"/>
        </w:rPr>
        <w:t>. https://doi.org/10.3389/fphar.2024.1406784.</w:t>
      </w:r>
      <w:bookmarkEnd w:id="15"/>
    </w:p>
    <w:p w14:paraId="4C925E45" w14:textId="56655DF4" w:rsidR="009D7B7E" w:rsidRPr="009D7B7E" w:rsidRDefault="009D7B7E" w:rsidP="009D7B7E">
      <w:pPr>
        <w:pStyle w:val="ListParagraph"/>
        <w:numPr>
          <w:ilvl w:val="0"/>
          <w:numId w:val="32"/>
        </w:numPr>
        <w:rPr>
          <w:rFonts w:ascii="Arial" w:eastAsia="Calibri" w:hAnsi="Arial" w:cs="Arial"/>
          <w:szCs w:val="22"/>
        </w:rPr>
      </w:pPr>
      <w:bookmarkStart w:id="16" w:name="_Ref186873049"/>
      <w:bookmarkStart w:id="17" w:name="_Ref182661637"/>
      <w:r w:rsidRPr="009D7B7E">
        <w:rPr>
          <w:rFonts w:ascii="Arial" w:eastAsia="Calibri" w:hAnsi="Arial" w:cs="Arial"/>
          <w:szCs w:val="22"/>
        </w:rPr>
        <w:t xml:space="preserve">Kyriakopoulos AM, Nigh G, McCullough PA, Seneff S. Clinical rationale for dietary lutein supplementation in long COVID and mRNA vaccine injury syndromes. F1000Res. </w:t>
      </w:r>
      <w:proofErr w:type="gramStart"/>
      <w:r w:rsidRPr="009D7B7E">
        <w:rPr>
          <w:rFonts w:ascii="Arial" w:eastAsia="Calibri" w:hAnsi="Arial" w:cs="Arial"/>
          <w:szCs w:val="22"/>
        </w:rPr>
        <w:t>2024;13:191</w:t>
      </w:r>
      <w:proofErr w:type="gramEnd"/>
      <w:r w:rsidRPr="009D7B7E">
        <w:rPr>
          <w:rFonts w:ascii="Arial" w:eastAsia="Calibri" w:hAnsi="Arial" w:cs="Arial"/>
          <w:szCs w:val="22"/>
        </w:rPr>
        <w:t>. https://doi.org/10.12688/f1000research.143517.3.</w:t>
      </w:r>
      <w:bookmarkEnd w:id="16"/>
      <w:r w:rsidRPr="009D7B7E">
        <w:rPr>
          <w:rFonts w:ascii="Arial" w:eastAsia="Calibri" w:hAnsi="Arial" w:cs="Arial"/>
          <w:szCs w:val="22"/>
        </w:rPr>
        <w:t xml:space="preserve"> </w:t>
      </w:r>
      <w:bookmarkEnd w:id="17"/>
      <w:r w:rsidRPr="009D7B7E">
        <w:rPr>
          <w:rFonts w:ascii="Arial" w:eastAsia="Calibri" w:hAnsi="Arial" w:cs="Arial"/>
          <w:szCs w:val="22"/>
        </w:rPr>
        <w:t xml:space="preserve"> </w:t>
      </w:r>
    </w:p>
    <w:p w14:paraId="4A456146" w14:textId="75BDF6DA" w:rsidR="009D7B7E" w:rsidRPr="00A17C28" w:rsidRDefault="009D7B7E" w:rsidP="00A17C28">
      <w:pPr>
        <w:pStyle w:val="ListParagraph"/>
        <w:numPr>
          <w:ilvl w:val="0"/>
          <w:numId w:val="32"/>
        </w:numPr>
        <w:rPr>
          <w:rFonts w:ascii="Arial" w:eastAsia="Calibri" w:hAnsi="Arial" w:cs="Arial"/>
          <w:szCs w:val="22"/>
        </w:rPr>
      </w:pPr>
      <w:bookmarkStart w:id="18" w:name="_Ref186873267"/>
      <w:proofErr w:type="spellStart"/>
      <w:r w:rsidRPr="009D7B7E">
        <w:rPr>
          <w:rFonts w:ascii="Arial" w:eastAsia="Calibri" w:hAnsi="Arial" w:cs="Arial"/>
          <w:szCs w:val="22"/>
        </w:rPr>
        <w:t>Allameh</w:t>
      </w:r>
      <w:proofErr w:type="spellEnd"/>
      <w:r w:rsidRPr="009D7B7E">
        <w:rPr>
          <w:rFonts w:ascii="Arial" w:eastAsia="Calibri" w:hAnsi="Arial" w:cs="Arial"/>
          <w:szCs w:val="22"/>
        </w:rPr>
        <w:t xml:space="preserve"> A, </w:t>
      </w:r>
      <w:proofErr w:type="spellStart"/>
      <w:r w:rsidRPr="009D7B7E">
        <w:rPr>
          <w:rFonts w:ascii="Arial" w:eastAsia="Calibri" w:hAnsi="Arial" w:cs="Arial"/>
          <w:szCs w:val="22"/>
        </w:rPr>
        <w:t>Niayesh-Mehr</w:t>
      </w:r>
      <w:proofErr w:type="spellEnd"/>
      <w:r w:rsidRPr="009D7B7E">
        <w:rPr>
          <w:rFonts w:ascii="Arial" w:eastAsia="Calibri" w:hAnsi="Arial" w:cs="Arial"/>
          <w:szCs w:val="22"/>
        </w:rPr>
        <w:t xml:space="preserve"> R, </w:t>
      </w:r>
      <w:proofErr w:type="spellStart"/>
      <w:r w:rsidRPr="009D7B7E">
        <w:rPr>
          <w:rFonts w:ascii="Arial" w:eastAsia="Calibri" w:hAnsi="Arial" w:cs="Arial"/>
          <w:szCs w:val="22"/>
        </w:rPr>
        <w:t>Aliarab</w:t>
      </w:r>
      <w:proofErr w:type="spellEnd"/>
      <w:r w:rsidRPr="009D7B7E">
        <w:rPr>
          <w:rFonts w:ascii="Arial" w:eastAsia="Calibri" w:hAnsi="Arial" w:cs="Arial"/>
          <w:szCs w:val="22"/>
        </w:rPr>
        <w:t xml:space="preserve"> A, </w:t>
      </w:r>
      <w:proofErr w:type="spellStart"/>
      <w:r w:rsidRPr="009D7B7E">
        <w:rPr>
          <w:rFonts w:ascii="Arial" w:eastAsia="Calibri" w:hAnsi="Arial" w:cs="Arial"/>
          <w:szCs w:val="22"/>
        </w:rPr>
        <w:t>Sebastiani</w:t>
      </w:r>
      <w:proofErr w:type="spellEnd"/>
      <w:r w:rsidRPr="009D7B7E">
        <w:rPr>
          <w:rFonts w:ascii="Arial" w:eastAsia="Calibri" w:hAnsi="Arial" w:cs="Arial"/>
          <w:szCs w:val="22"/>
        </w:rPr>
        <w:t xml:space="preserve"> G, </w:t>
      </w:r>
      <w:proofErr w:type="spellStart"/>
      <w:r w:rsidRPr="009D7B7E">
        <w:rPr>
          <w:rFonts w:ascii="Arial" w:eastAsia="Calibri" w:hAnsi="Arial" w:cs="Arial"/>
          <w:szCs w:val="22"/>
        </w:rPr>
        <w:t>Pantopoulos</w:t>
      </w:r>
      <w:proofErr w:type="spellEnd"/>
      <w:r w:rsidRPr="009D7B7E">
        <w:rPr>
          <w:rFonts w:ascii="Arial" w:eastAsia="Calibri" w:hAnsi="Arial" w:cs="Arial"/>
          <w:szCs w:val="22"/>
        </w:rPr>
        <w:t xml:space="preserve"> K. Oxidative stress in liver pathophysiology and disease. Antioxidants (Basel). 2023;12(9):1653. https://doi.org/10.3390/antiox12091653.</w:t>
      </w:r>
      <w:bookmarkEnd w:id="18"/>
    </w:p>
    <w:p w14:paraId="4F87267D" w14:textId="6E353008" w:rsidR="00310A69" w:rsidRDefault="009D7B7E" w:rsidP="00310A69">
      <w:pPr>
        <w:pStyle w:val="ListParagraph"/>
        <w:numPr>
          <w:ilvl w:val="0"/>
          <w:numId w:val="32"/>
        </w:numPr>
        <w:rPr>
          <w:rFonts w:ascii="Arial" w:eastAsia="Calibri" w:hAnsi="Arial" w:cs="Arial"/>
          <w:szCs w:val="22"/>
        </w:rPr>
      </w:pPr>
      <w:bookmarkStart w:id="19" w:name="_Ref186873542"/>
      <w:r w:rsidRPr="009D7B7E">
        <w:rPr>
          <w:rFonts w:ascii="Arial" w:eastAsia="Calibri" w:hAnsi="Arial" w:cs="Arial"/>
          <w:szCs w:val="22"/>
        </w:rPr>
        <w:t xml:space="preserve">Zhao S, Zhang Y, Ding H, Hu S, Wu X, Ma A, </w:t>
      </w:r>
      <w:r w:rsidR="00004A70">
        <w:rPr>
          <w:rFonts w:ascii="Arial" w:eastAsia="Calibri" w:hAnsi="Arial" w:cs="Arial"/>
          <w:szCs w:val="22"/>
        </w:rPr>
        <w:t xml:space="preserve">et al. </w:t>
      </w:r>
      <w:r w:rsidRPr="009D7B7E">
        <w:rPr>
          <w:rFonts w:ascii="Arial" w:eastAsia="Calibri" w:hAnsi="Arial" w:cs="Arial"/>
          <w:szCs w:val="22"/>
        </w:rPr>
        <w:t xml:space="preserve">Lutein prevents liver injury and intestinal barrier dysfunction in rats subjected to chronic alcohol intake. Nutrients. 2023;15(5):1229. </w:t>
      </w:r>
      <w:r w:rsidR="00310A69" w:rsidRPr="00D56672">
        <w:rPr>
          <w:rFonts w:ascii="Arial" w:eastAsia="Calibri" w:hAnsi="Arial" w:cs="Arial"/>
          <w:szCs w:val="22"/>
        </w:rPr>
        <w:t>https://doi.org/10.3390/nu15051229</w:t>
      </w:r>
      <w:r w:rsidRPr="009D7B7E">
        <w:rPr>
          <w:rFonts w:ascii="Arial" w:eastAsia="Calibri" w:hAnsi="Arial" w:cs="Arial"/>
          <w:szCs w:val="22"/>
        </w:rPr>
        <w:t>.</w:t>
      </w:r>
      <w:bookmarkEnd w:id="19"/>
    </w:p>
    <w:p w14:paraId="3859499C" w14:textId="6A8A3A59" w:rsidR="00D74E78" w:rsidRDefault="00D74E78" w:rsidP="00D74E78">
      <w:pPr>
        <w:pStyle w:val="ListParagraph"/>
        <w:numPr>
          <w:ilvl w:val="0"/>
          <w:numId w:val="32"/>
        </w:numPr>
        <w:rPr>
          <w:rFonts w:ascii="Arial" w:eastAsia="Calibri" w:hAnsi="Arial" w:cs="Arial"/>
          <w:szCs w:val="22"/>
          <w:highlight w:val="yellow"/>
        </w:rPr>
      </w:pPr>
      <w:bookmarkStart w:id="20" w:name="_Ref209262946"/>
      <w:proofErr w:type="spellStart"/>
      <w:r w:rsidRPr="001262A2">
        <w:rPr>
          <w:rFonts w:ascii="Arial" w:eastAsia="Calibri" w:hAnsi="Arial" w:cs="Arial"/>
          <w:szCs w:val="22"/>
          <w:highlight w:val="yellow"/>
        </w:rPr>
        <w:t>Mutar</w:t>
      </w:r>
      <w:proofErr w:type="spellEnd"/>
      <w:r w:rsidRPr="001262A2">
        <w:rPr>
          <w:rFonts w:ascii="Arial" w:eastAsia="Calibri" w:hAnsi="Arial" w:cs="Arial"/>
          <w:szCs w:val="22"/>
          <w:highlight w:val="yellow"/>
        </w:rPr>
        <w:t xml:space="preserve"> Mahdi B. COVID-19 type III hypersensitivity reaction. Med Hypotheses. 2020 </w:t>
      </w:r>
      <w:proofErr w:type="gramStart"/>
      <w:r w:rsidRPr="001262A2">
        <w:rPr>
          <w:rFonts w:ascii="Arial" w:eastAsia="Calibri" w:hAnsi="Arial" w:cs="Arial"/>
          <w:szCs w:val="22"/>
          <w:highlight w:val="yellow"/>
        </w:rPr>
        <w:t>Jul;140:109763</w:t>
      </w:r>
      <w:proofErr w:type="gramEnd"/>
      <w:r w:rsidRPr="001262A2">
        <w:rPr>
          <w:rFonts w:ascii="Arial" w:eastAsia="Calibri" w:hAnsi="Arial" w:cs="Arial"/>
          <w:szCs w:val="22"/>
          <w:highlight w:val="yellow"/>
        </w:rPr>
        <w:t xml:space="preserve">. </w:t>
      </w:r>
      <w:proofErr w:type="spellStart"/>
      <w:r w:rsidRPr="001262A2">
        <w:rPr>
          <w:rFonts w:ascii="Arial" w:eastAsia="Calibri" w:hAnsi="Arial" w:cs="Arial"/>
          <w:szCs w:val="22"/>
          <w:highlight w:val="yellow"/>
        </w:rPr>
        <w:t>doi</w:t>
      </w:r>
      <w:proofErr w:type="spellEnd"/>
      <w:r w:rsidRPr="001262A2">
        <w:rPr>
          <w:rFonts w:ascii="Arial" w:eastAsia="Calibri" w:hAnsi="Arial" w:cs="Arial"/>
          <w:szCs w:val="22"/>
          <w:highlight w:val="yellow"/>
        </w:rPr>
        <w:t xml:space="preserve">: </w:t>
      </w:r>
      <w:r w:rsidRPr="008D4476">
        <w:rPr>
          <w:rFonts w:ascii="Arial" w:eastAsia="Calibri" w:hAnsi="Arial" w:cs="Arial"/>
          <w:szCs w:val="22"/>
          <w:highlight w:val="yellow"/>
        </w:rPr>
        <w:t>10.1016/j.mehy.2020.109763.</w:t>
      </w:r>
      <w:bookmarkEnd w:id="20"/>
    </w:p>
    <w:p w14:paraId="0F9BB03C" w14:textId="77777777" w:rsidR="00061DFF" w:rsidRPr="008D4476" w:rsidRDefault="00061DFF" w:rsidP="00061DFF">
      <w:pPr>
        <w:pStyle w:val="ListParagraph"/>
        <w:numPr>
          <w:ilvl w:val="0"/>
          <w:numId w:val="32"/>
        </w:numPr>
        <w:rPr>
          <w:rFonts w:ascii="Arial" w:eastAsia="Calibri" w:hAnsi="Arial" w:cs="Arial"/>
          <w:szCs w:val="22"/>
          <w:highlight w:val="yellow"/>
        </w:rPr>
      </w:pPr>
      <w:bookmarkStart w:id="21" w:name="_Ref209275928"/>
      <w:proofErr w:type="spellStart"/>
      <w:r w:rsidRPr="008D4476">
        <w:rPr>
          <w:rFonts w:ascii="Arial" w:eastAsia="Calibri" w:hAnsi="Arial" w:cs="Arial"/>
          <w:szCs w:val="22"/>
          <w:highlight w:val="yellow"/>
        </w:rPr>
        <w:t>Durazo</w:t>
      </w:r>
      <w:proofErr w:type="spellEnd"/>
      <w:r w:rsidRPr="008D4476">
        <w:rPr>
          <w:rFonts w:ascii="Arial" w:eastAsia="Calibri" w:hAnsi="Arial" w:cs="Arial"/>
          <w:szCs w:val="22"/>
          <w:highlight w:val="yellow"/>
        </w:rPr>
        <w:t xml:space="preserve"> FA, </w:t>
      </w:r>
      <w:proofErr w:type="spellStart"/>
      <w:r w:rsidRPr="008D4476">
        <w:rPr>
          <w:rFonts w:ascii="Arial" w:eastAsia="Calibri" w:hAnsi="Arial" w:cs="Arial"/>
          <w:szCs w:val="22"/>
          <w:highlight w:val="yellow"/>
        </w:rPr>
        <w:t>Kristbaum</w:t>
      </w:r>
      <w:proofErr w:type="spellEnd"/>
      <w:r w:rsidRPr="008D4476">
        <w:rPr>
          <w:rFonts w:ascii="Arial" w:eastAsia="Calibri" w:hAnsi="Arial" w:cs="Arial"/>
          <w:szCs w:val="22"/>
          <w:highlight w:val="yellow"/>
        </w:rPr>
        <w:t xml:space="preserve"> K, Miller J, </w:t>
      </w:r>
      <w:proofErr w:type="spellStart"/>
      <w:r w:rsidRPr="008D4476">
        <w:rPr>
          <w:rFonts w:ascii="Arial" w:eastAsia="Calibri" w:hAnsi="Arial" w:cs="Arial"/>
          <w:szCs w:val="22"/>
          <w:highlight w:val="yellow"/>
        </w:rPr>
        <w:t>Saeian</w:t>
      </w:r>
      <w:proofErr w:type="spellEnd"/>
      <w:r w:rsidRPr="008D4476">
        <w:rPr>
          <w:rFonts w:ascii="Arial" w:eastAsia="Calibri" w:hAnsi="Arial" w:cs="Arial"/>
          <w:szCs w:val="22"/>
          <w:highlight w:val="yellow"/>
        </w:rPr>
        <w:t xml:space="preserve"> K, Selim M, Hong JC. De novo autoimmune hepatitis after COVID-19 infection in an unvaccinated patient. Case Reports Hepatol. 2022 Dec </w:t>
      </w:r>
      <w:proofErr w:type="gramStart"/>
      <w:r w:rsidRPr="008D4476">
        <w:rPr>
          <w:rFonts w:ascii="Arial" w:eastAsia="Calibri" w:hAnsi="Arial" w:cs="Arial"/>
          <w:szCs w:val="22"/>
          <w:highlight w:val="yellow"/>
        </w:rPr>
        <w:t>22;2022:8409269</w:t>
      </w:r>
      <w:proofErr w:type="gramEnd"/>
      <w:r w:rsidRPr="008D4476">
        <w:rPr>
          <w:rFonts w:ascii="Arial" w:eastAsia="Calibri" w:hAnsi="Arial" w:cs="Arial"/>
          <w:szCs w:val="22"/>
          <w:highlight w:val="yellow"/>
        </w:rPr>
        <w:t xml:space="preserve">. </w:t>
      </w:r>
      <w:proofErr w:type="spellStart"/>
      <w:r w:rsidRPr="008D4476">
        <w:rPr>
          <w:rFonts w:ascii="Arial" w:eastAsia="Calibri" w:hAnsi="Arial" w:cs="Arial"/>
          <w:szCs w:val="22"/>
          <w:highlight w:val="yellow"/>
        </w:rPr>
        <w:t>doi</w:t>
      </w:r>
      <w:proofErr w:type="spellEnd"/>
      <w:r w:rsidRPr="008D4476">
        <w:rPr>
          <w:rFonts w:ascii="Arial" w:eastAsia="Calibri" w:hAnsi="Arial" w:cs="Arial"/>
          <w:szCs w:val="22"/>
          <w:highlight w:val="yellow"/>
        </w:rPr>
        <w:t>: 10.1155/2022/8409269.</w:t>
      </w:r>
      <w:bookmarkEnd w:id="21"/>
    </w:p>
    <w:p w14:paraId="62C496DB" w14:textId="77777777" w:rsidR="00061DFF" w:rsidRPr="008D4476" w:rsidRDefault="00061DFF" w:rsidP="00061DFF">
      <w:pPr>
        <w:pStyle w:val="ListParagraph"/>
        <w:numPr>
          <w:ilvl w:val="0"/>
          <w:numId w:val="32"/>
        </w:numPr>
        <w:rPr>
          <w:rFonts w:ascii="Arial" w:eastAsia="Calibri" w:hAnsi="Arial" w:cs="Arial"/>
          <w:szCs w:val="22"/>
          <w:highlight w:val="yellow"/>
        </w:rPr>
      </w:pPr>
      <w:r w:rsidRPr="008D4476">
        <w:rPr>
          <w:rFonts w:ascii="Arial" w:eastAsia="Calibri" w:hAnsi="Arial" w:cs="Arial"/>
          <w:szCs w:val="22"/>
          <w:highlight w:val="yellow"/>
        </w:rPr>
        <w:t xml:space="preserve">Zhou YJ, Jin QF, Wang C, Zhang XJ, Liu H, Bao J. Onset of acute severe autoimmune hepatitis after severe acute respiratory syndrome coronavirus 2 infection: a case report. J Int Med Res. 2024 Mar;52(3):3000605241233450. </w:t>
      </w:r>
      <w:proofErr w:type="spellStart"/>
      <w:r w:rsidRPr="008D4476">
        <w:rPr>
          <w:rFonts w:ascii="Arial" w:eastAsia="Calibri" w:hAnsi="Arial" w:cs="Arial"/>
          <w:szCs w:val="22"/>
          <w:highlight w:val="yellow"/>
        </w:rPr>
        <w:t>doi</w:t>
      </w:r>
      <w:proofErr w:type="spellEnd"/>
      <w:r w:rsidRPr="008D4476">
        <w:rPr>
          <w:rFonts w:ascii="Arial" w:eastAsia="Calibri" w:hAnsi="Arial" w:cs="Arial"/>
          <w:szCs w:val="22"/>
          <w:highlight w:val="yellow"/>
        </w:rPr>
        <w:t>: 10.1177/03000605241233450.</w:t>
      </w:r>
    </w:p>
    <w:p w14:paraId="2ADC3E14" w14:textId="77777777" w:rsidR="00061DFF" w:rsidRPr="008D4476" w:rsidRDefault="00061DFF" w:rsidP="00061DFF">
      <w:pPr>
        <w:pStyle w:val="ListParagraph"/>
        <w:numPr>
          <w:ilvl w:val="0"/>
          <w:numId w:val="32"/>
        </w:numPr>
        <w:rPr>
          <w:rFonts w:ascii="Arial" w:eastAsia="Calibri" w:hAnsi="Arial" w:cs="Arial"/>
          <w:szCs w:val="22"/>
          <w:highlight w:val="yellow"/>
        </w:rPr>
      </w:pPr>
      <w:r w:rsidRPr="008D4476">
        <w:rPr>
          <w:rFonts w:ascii="Arial" w:eastAsia="Calibri" w:hAnsi="Arial" w:cs="Arial"/>
          <w:szCs w:val="22"/>
          <w:highlight w:val="yellow"/>
        </w:rPr>
        <w:t xml:space="preserve">Yu C, Wang W, Zhang Q, Jin Z. Autoimmune hepatitis under the COVID-19 veil: an analysis of the nature of potential associations. Front Immunol. 2025 Jan </w:t>
      </w:r>
      <w:proofErr w:type="gramStart"/>
      <w:r w:rsidRPr="008D4476">
        <w:rPr>
          <w:rFonts w:ascii="Arial" w:eastAsia="Calibri" w:hAnsi="Arial" w:cs="Arial"/>
          <w:szCs w:val="22"/>
          <w:highlight w:val="yellow"/>
        </w:rPr>
        <w:t>31;16:1510770</w:t>
      </w:r>
      <w:proofErr w:type="gramEnd"/>
      <w:r w:rsidRPr="008D4476">
        <w:rPr>
          <w:rFonts w:ascii="Arial" w:eastAsia="Calibri" w:hAnsi="Arial" w:cs="Arial"/>
          <w:szCs w:val="22"/>
          <w:highlight w:val="yellow"/>
        </w:rPr>
        <w:t xml:space="preserve">. </w:t>
      </w:r>
      <w:proofErr w:type="spellStart"/>
      <w:r w:rsidRPr="008D4476">
        <w:rPr>
          <w:rFonts w:ascii="Arial" w:eastAsia="Calibri" w:hAnsi="Arial" w:cs="Arial"/>
          <w:szCs w:val="22"/>
          <w:highlight w:val="yellow"/>
        </w:rPr>
        <w:t>doi</w:t>
      </w:r>
      <w:proofErr w:type="spellEnd"/>
      <w:r w:rsidRPr="008D4476">
        <w:rPr>
          <w:rFonts w:ascii="Arial" w:eastAsia="Calibri" w:hAnsi="Arial" w:cs="Arial"/>
          <w:szCs w:val="22"/>
          <w:highlight w:val="yellow"/>
        </w:rPr>
        <w:t>: 10.3389/fimmu.2025.1510770.</w:t>
      </w:r>
    </w:p>
    <w:p w14:paraId="43A47988" w14:textId="62519111" w:rsidR="00061DFF" w:rsidRPr="00061DFF" w:rsidRDefault="00061DFF" w:rsidP="00061DFF">
      <w:pPr>
        <w:pStyle w:val="ListParagraph"/>
        <w:numPr>
          <w:ilvl w:val="0"/>
          <w:numId w:val="32"/>
        </w:numPr>
        <w:rPr>
          <w:rFonts w:ascii="Arial" w:eastAsia="Calibri" w:hAnsi="Arial" w:cs="Arial"/>
          <w:szCs w:val="22"/>
          <w:highlight w:val="yellow"/>
        </w:rPr>
      </w:pPr>
      <w:bookmarkStart w:id="22" w:name="_Ref209275938"/>
      <w:r w:rsidRPr="008D4476">
        <w:rPr>
          <w:rFonts w:ascii="Arial" w:eastAsia="Calibri" w:hAnsi="Arial" w:cs="Arial"/>
          <w:szCs w:val="22"/>
          <w:highlight w:val="yellow"/>
        </w:rPr>
        <w:t xml:space="preserve">Wang Y, Chen X, Aragao AP, Ding X. COVID-19-associated autoimmune hepatitis: A case report and literature review. J Clin Transl Pathol. </w:t>
      </w:r>
      <w:proofErr w:type="spellStart"/>
      <w:r w:rsidRPr="008D4476">
        <w:rPr>
          <w:rFonts w:ascii="Arial" w:eastAsia="Calibri" w:hAnsi="Arial" w:cs="Arial"/>
          <w:szCs w:val="22"/>
          <w:highlight w:val="yellow"/>
        </w:rPr>
        <w:t>Epub</w:t>
      </w:r>
      <w:proofErr w:type="spellEnd"/>
      <w:r w:rsidRPr="008D4476">
        <w:rPr>
          <w:rFonts w:ascii="Arial" w:eastAsia="Calibri" w:hAnsi="Arial" w:cs="Arial"/>
          <w:szCs w:val="22"/>
          <w:highlight w:val="yellow"/>
        </w:rPr>
        <w:t xml:space="preserve"> ahead of print. Jun 11, 2025. </w:t>
      </w:r>
      <w:proofErr w:type="spellStart"/>
      <w:r w:rsidRPr="008D4476">
        <w:rPr>
          <w:rFonts w:ascii="Arial" w:eastAsia="Calibri" w:hAnsi="Arial" w:cs="Arial"/>
          <w:szCs w:val="22"/>
          <w:highlight w:val="yellow"/>
        </w:rPr>
        <w:t>doi</w:t>
      </w:r>
      <w:proofErr w:type="spellEnd"/>
      <w:r w:rsidRPr="008D4476">
        <w:rPr>
          <w:rFonts w:ascii="Arial" w:eastAsia="Calibri" w:hAnsi="Arial" w:cs="Arial"/>
          <w:szCs w:val="22"/>
          <w:highlight w:val="yellow"/>
        </w:rPr>
        <w:t>: 10.14218/JCTP.2025.00010.</w:t>
      </w:r>
      <w:bookmarkEnd w:id="22"/>
    </w:p>
    <w:p w14:paraId="5930E09C" w14:textId="77777777" w:rsidR="001C4185" w:rsidRPr="009D7B7E" w:rsidRDefault="001C4185" w:rsidP="001C4185">
      <w:pPr>
        <w:pStyle w:val="ListParagraph"/>
        <w:numPr>
          <w:ilvl w:val="0"/>
          <w:numId w:val="32"/>
        </w:numPr>
        <w:rPr>
          <w:rFonts w:ascii="Arial" w:eastAsia="Calibri" w:hAnsi="Arial" w:cs="Arial"/>
          <w:szCs w:val="22"/>
        </w:rPr>
      </w:pPr>
      <w:bookmarkStart w:id="23" w:name="_Ref184221748"/>
      <w:proofErr w:type="spellStart"/>
      <w:r w:rsidRPr="009D7B7E">
        <w:rPr>
          <w:rFonts w:ascii="Arial" w:eastAsia="Calibri" w:hAnsi="Arial" w:cs="Arial"/>
          <w:szCs w:val="22"/>
        </w:rPr>
        <w:t>Bril</w:t>
      </w:r>
      <w:proofErr w:type="spellEnd"/>
      <w:r w:rsidRPr="009D7B7E">
        <w:rPr>
          <w:rFonts w:ascii="Arial" w:eastAsia="Calibri" w:hAnsi="Arial" w:cs="Arial"/>
          <w:szCs w:val="22"/>
        </w:rPr>
        <w:t xml:space="preserve"> F, Al </w:t>
      </w:r>
      <w:proofErr w:type="spellStart"/>
      <w:r w:rsidRPr="009D7B7E">
        <w:rPr>
          <w:rFonts w:ascii="Arial" w:eastAsia="Calibri" w:hAnsi="Arial" w:cs="Arial"/>
          <w:szCs w:val="22"/>
        </w:rPr>
        <w:t>Diffalha</w:t>
      </w:r>
      <w:proofErr w:type="spellEnd"/>
      <w:r w:rsidRPr="009D7B7E">
        <w:rPr>
          <w:rFonts w:ascii="Arial" w:eastAsia="Calibri" w:hAnsi="Arial" w:cs="Arial"/>
          <w:szCs w:val="22"/>
        </w:rPr>
        <w:t xml:space="preserve"> S, Dean M, Fettig DM. Autoimmune hepatitis developing after coronavirus disease 2019 (COVID-19) vaccine: Causality or casualty? J Hepatol. 202</w:t>
      </w:r>
      <w:r>
        <w:rPr>
          <w:rFonts w:ascii="Arial" w:eastAsia="Calibri" w:hAnsi="Arial" w:cs="Arial"/>
          <w:szCs w:val="22"/>
        </w:rPr>
        <w:t>1</w:t>
      </w:r>
      <w:r w:rsidRPr="009D7B7E">
        <w:rPr>
          <w:rFonts w:ascii="Arial" w:eastAsia="Calibri" w:hAnsi="Arial" w:cs="Arial"/>
          <w:szCs w:val="22"/>
        </w:rPr>
        <w:t>;75(1):222-224. https://doi.org/10.1016/j.jhep.2021.04.003.</w:t>
      </w:r>
      <w:bookmarkEnd w:id="23"/>
      <w:r w:rsidRPr="009D7B7E">
        <w:rPr>
          <w:rFonts w:ascii="Arial" w:eastAsia="Calibri" w:hAnsi="Arial" w:cs="Arial"/>
          <w:szCs w:val="22"/>
        </w:rPr>
        <w:t xml:space="preserve">  </w:t>
      </w:r>
    </w:p>
    <w:p w14:paraId="43259F02" w14:textId="77777777" w:rsidR="001C4185" w:rsidRPr="009D7B7E" w:rsidRDefault="001C4185" w:rsidP="001C4185">
      <w:pPr>
        <w:pStyle w:val="ListParagraph"/>
        <w:numPr>
          <w:ilvl w:val="0"/>
          <w:numId w:val="32"/>
        </w:numPr>
        <w:rPr>
          <w:rFonts w:ascii="Arial" w:eastAsia="Calibri" w:hAnsi="Arial" w:cs="Arial"/>
          <w:szCs w:val="22"/>
        </w:rPr>
      </w:pPr>
      <w:bookmarkStart w:id="24" w:name="_Ref182661441"/>
      <w:proofErr w:type="spellStart"/>
      <w:r w:rsidRPr="009D7B7E">
        <w:rPr>
          <w:rFonts w:ascii="Arial" w:eastAsia="Calibri" w:hAnsi="Arial" w:cs="Arial"/>
          <w:szCs w:val="22"/>
        </w:rPr>
        <w:t>Bondareva</w:t>
      </w:r>
      <w:proofErr w:type="spellEnd"/>
      <w:r w:rsidRPr="009D7B7E">
        <w:rPr>
          <w:rFonts w:ascii="Arial" w:eastAsia="Calibri" w:hAnsi="Arial" w:cs="Arial"/>
          <w:szCs w:val="22"/>
        </w:rPr>
        <w:t xml:space="preserve"> M, </w:t>
      </w:r>
      <w:proofErr w:type="spellStart"/>
      <w:r w:rsidRPr="009D7B7E">
        <w:rPr>
          <w:rFonts w:ascii="Arial" w:eastAsia="Calibri" w:hAnsi="Arial" w:cs="Arial"/>
          <w:szCs w:val="22"/>
        </w:rPr>
        <w:t>Budzinski</w:t>
      </w:r>
      <w:proofErr w:type="spellEnd"/>
      <w:r w:rsidRPr="009D7B7E">
        <w:rPr>
          <w:rFonts w:ascii="Arial" w:eastAsia="Calibri" w:hAnsi="Arial" w:cs="Arial"/>
          <w:szCs w:val="22"/>
        </w:rPr>
        <w:t xml:space="preserve"> L, </w:t>
      </w:r>
      <w:proofErr w:type="spellStart"/>
      <w:r w:rsidRPr="009D7B7E">
        <w:rPr>
          <w:rFonts w:ascii="Arial" w:eastAsia="Calibri" w:hAnsi="Arial" w:cs="Arial"/>
          <w:szCs w:val="22"/>
        </w:rPr>
        <w:t>Durek</w:t>
      </w:r>
      <w:proofErr w:type="spellEnd"/>
      <w:r w:rsidRPr="009D7B7E">
        <w:rPr>
          <w:rFonts w:ascii="Arial" w:eastAsia="Calibri" w:hAnsi="Arial" w:cs="Arial"/>
          <w:szCs w:val="22"/>
        </w:rPr>
        <w:t xml:space="preserve"> P, Witkowski M, </w:t>
      </w:r>
      <w:proofErr w:type="spellStart"/>
      <w:r w:rsidRPr="009D7B7E">
        <w:rPr>
          <w:rFonts w:ascii="Arial" w:eastAsia="Calibri" w:hAnsi="Arial" w:cs="Arial"/>
          <w:szCs w:val="22"/>
        </w:rPr>
        <w:t>Angermair</w:t>
      </w:r>
      <w:proofErr w:type="spellEnd"/>
      <w:r w:rsidRPr="009D7B7E">
        <w:rPr>
          <w:rFonts w:ascii="Arial" w:eastAsia="Calibri" w:hAnsi="Arial" w:cs="Arial"/>
          <w:szCs w:val="22"/>
        </w:rPr>
        <w:t xml:space="preserve"> S, </w:t>
      </w:r>
      <w:proofErr w:type="spellStart"/>
      <w:r w:rsidRPr="009D7B7E">
        <w:rPr>
          <w:rFonts w:ascii="Arial" w:eastAsia="Calibri" w:hAnsi="Arial" w:cs="Arial"/>
          <w:szCs w:val="22"/>
        </w:rPr>
        <w:t>Ninnemann</w:t>
      </w:r>
      <w:proofErr w:type="spellEnd"/>
      <w:r w:rsidRPr="009D7B7E">
        <w:rPr>
          <w:rFonts w:ascii="Arial" w:eastAsia="Calibri" w:hAnsi="Arial" w:cs="Arial"/>
          <w:szCs w:val="22"/>
        </w:rPr>
        <w:t xml:space="preserve"> J, </w:t>
      </w:r>
      <w:r>
        <w:rPr>
          <w:rFonts w:ascii="Arial" w:eastAsia="Calibri" w:hAnsi="Arial" w:cs="Arial"/>
          <w:szCs w:val="22"/>
        </w:rPr>
        <w:t>et al</w:t>
      </w:r>
      <w:r w:rsidRPr="009D7B7E">
        <w:rPr>
          <w:rFonts w:ascii="Arial" w:eastAsia="Calibri" w:hAnsi="Arial" w:cs="Arial"/>
          <w:szCs w:val="22"/>
        </w:rPr>
        <w:t xml:space="preserve">. Cross-regulation of antibody responses against the SARS-CoV-2 Spike protein and commensal microbiota via molecular mimicry. Cell Host Microbe. 2023;31(11):1866-1881.e10. https://doi.org/10.1016/j.chom.2023.10.007. </w:t>
      </w:r>
      <w:bookmarkEnd w:id="24"/>
      <w:r w:rsidRPr="009D7B7E">
        <w:rPr>
          <w:rFonts w:ascii="Arial" w:eastAsia="Calibri" w:hAnsi="Arial" w:cs="Arial"/>
          <w:szCs w:val="22"/>
        </w:rPr>
        <w:t xml:space="preserve"> </w:t>
      </w:r>
    </w:p>
    <w:p w14:paraId="1551DD81" w14:textId="77777777" w:rsidR="001C4185" w:rsidRPr="009D7B7E" w:rsidRDefault="001C4185" w:rsidP="001C4185">
      <w:pPr>
        <w:pStyle w:val="ListParagraph"/>
        <w:numPr>
          <w:ilvl w:val="0"/>
          <w:numId w:val="32"/>
        </w:numPr>
        <w:rPr>
          <w:rFonts w:ascii="Arial" w:eastAsia="Calibri" w:hAnsi="Arial" w:cs="Arial"/>
          <w:szCs w:val="22"/>
        </w:rPr>
      </w:pPr>
      <w:bookmarkStart w:id="25" w:name="_Ref182661706"/>
      <w:proofErr w:type="spellStart"/>
      <w:r w:rsidRPr="009D7B7E">
        <w:rPr>
          <w:rFonts w:ascii="Arial" w:eastAsia="Calibri" w:hAnsi="Arial" w:cs="Arial"/>
          <w:szCs w:val="22"/>
        </w:rPr>
        <w:t>Lazarou</w:t>
      </w:r>
      <w:proofErr w:type="spellEnd"/>
      <w:r w:rsidRPr="009D7B7E">
        <w:rPr>
          <w:rFonts w:ascii="Arial" w:eastAsia="Calibri" w:hAnsi="Arial" w:cs="Arial"/>
          <w:szCs w:val="22"/>
        </w:rPr>
        <w:t xml:space="preserve"> K, </w:t>
      </w:r>
      <w:proofErr w:type="spellStart"/>
      <w:r w:rsidRPr="009D7B7E">
        <w:rPr>
          <w:rFonts w:ascii="Arial" w:eastAsia="Calibri" w:hAnsi="Arial" w:cs="Arial"/>
          <w:szCs w:val="22"/>
        </w:rPr>
        <w:t>Tsagkaris</w:t>
      </w:r>
      <w:proofErr w:type="spellEnd"/>
      <w:r w:rsidRPr="009D7B7E">
        <w:rPr>
          <w:rFonts w:ascii="Arial" w:eastAsia="Calibri" w:hAnsi="Arial" w:cs="Arial"/>
          <w:szCs w:val="22"/>
        </w:rPr>
        <w:t xml:space="preserve"> AS, </w:t>
      </w:r>
      <w:proofErr w:type="spellStart"/>
      <w:r w:rsidRPr="009D7B7E">
        <w:rPr>
          <w:rFonts w:ascii="Arial" w:eastAsia="Calibri" w:hAnsi="Arial" w:cs="Arial"/>
          <w:szCs w:val="22"/>
        </w:rPr>
        <w:t>Drakopoulou</w:t>
      </w:r>
      <w:proofErr w:type="spellEnd"/>
      <w:r w:rsidRPr="009D7B7E">
        <w:rPr>
          <w:rFonts w:ascii="Arial" w:eastAsia="Calibri" w:hAnsi="Arial" w:cs="Arial"/>
          <w:szCs w:val="22"/>
        </w:rPr>
        <w:t xml:space="preserve"> S, </w:t>
      </w:r>
      <w:proofErr w:type="spellStart"/>
      <w:r w:rsidRPr="009D7B7E">
        <w:rPr>
          <w:rFonts w:ascii="Arial" w:eastAsia="Calibri" w:hAnsi="Arial" w:cs="Arial"/>
          <w:szCs w:val="22"/>
        </w:rPr>
        <w:t>Kyriakopoulos</w:t>
      </w:r>
      <w:proofErr w:type="spellEnd"/>
      <w:r w:rsidRPr="009D7B7E">
        <w:rPr>
          <w:rFonts w:ascii="Arial" w:eastAsia="Calibri" w:hAnsi="Arial" w:cs="Arial"/>
          <w:szCs w:val="22"/>
        </w:rPr>
        <w:t xml:space="preserve"> AM, </w:t>
      </w:r>
      <w:proofErr w:type="spellStart"/>
      <w:r w:rsidRPr="009D7B7E">
        <w:rPr>
          <w:rFonts w:ascii="Arial" w:eastAsia="Calibri" w:hAnsi="Arial" w:cs="Arial"/>
          <w:szCs w:val="22"/>
        </w:rPr>
        <w:t>Martakos</w:t>
      </w:r>
      <w:proofErr w:type="spellEnd"/>
      <w:r w:rsidRPr="009D7B7E">
        <w:rPr>
          <w:rFonts w:ascii="Arial" w:eastAsia="Calibri" w:hAnsi="Arial" w:cs="Arial"/>
          <w:szCs w:val="22"/>
        </w:rPr>
        <w:t xml:space="preserve"> I, </w:t>
      </w:r>
      <w:proofErr w:type="spellStart"/>
      <w:r w:rsidRPr="009D7B7E">
        <w:rPr>
          <w:rFonts w:ascii="Arial" w:eastAsia="Calibri" w:hAnsi="Arial" w:cs="Arial"/>
          <w:szCs w:val="22"/>
        </w:rPr>
        <w:t>Pentogenis</w:t>
      </w:r>
      <w:proofErr w:type="spellEnd"/>
      <w:r w:rsidRPr="009D7B7E">
        <w:rPr>
          <w:rFonts w:ascii="Arial" w:eastAsia="Calibri" w:hAnsi="Arial" w:cs="Arial"/>
          <w:szCs w:val="22"/>
        </w:rPr>
        <w:t xml:space="preserve"> M,</w:t>
      </w:r>
      <w:r>
        <w:rPr>
          <w:rFonts w:ascii="Arial" w:eastAsia="Calibri" w:hAnsi="Arial" w:cs="Arial"/>
          <w:szCs w:val="22"/>
        </w:rPr>
        <w:t xml:space="preserve"> et al. </w:t>
      </w:r>
      <w:r w:rsidRPr="009D7B7E">
        <w:rPr>
          <w:rFonts w:ascii="Arial" w:eastAsia="Calibri" w:hAnsi="Arial" w:cs="Arial"/>
          <w:szCs w:val="22"/>
        </w:rPr>
        <w:t xml:space="preserve">Long-term stability of extra virgin olive oil: effects of filtration and refrigeration storage on the </w:t>
      </w:r>
      <w:proofErr w:type="spellStart"/>
      <w:r w:rsidRPr="009D7B7E">
        <w:rPr>
          <w:rFonts w:ascii="Arial" w:eastAsia="Calibri" w:hAnsi="Arial" w:cs="Arial"/>
          <w:szCs w:val="22"/>
        </w:rPr>
        <w:t>Kolovi</w:t>
      </w:r>
      <w:proofErr w:type="spellEnd"/>
      <w:r w:rsidRPr="009D7B7E">
        <w:rPr>
          <w:rFonts w:ascii="Arial" w:eastAsia="Calibri" w:hAnsi="Arial" w:cs="Arial"/>
          <w:szCs w:val="22"/>
        </w:rPr>
        <w:t xml:space="preserve"> variety. J Sci Food Agric. 2024;104(15):9673-9683. https://doi.org/10.1002/jsfa.13792. </w:t>
      </w:r>
      <w:bookmarkEnd w:id="25"/>
      <w:r w:rsidRPr="009D7B7E">
        <w:rPr>
          <w:rFonts w:ascii="Arial" w:eastAsia="Calibri" w:hAnsi="Arial" w:cs="Arial"/>
          <w:szCs w:val="22"/>
        </w:rPr>
        <w:t xml:space="preserve"> </w:t>
      </w:r>
    </w:p>
    <w:p w14:paraId="00AB662C" w14:textId="77777777" w:rsidR="001C4185" w:rsidRPr="009D7B7E" w:rsidRDefault="001C4185" w:rsidP="001C4185">
      <w:pPr>
        <w:pStyle w:val="ListParagraph"/>
        <w:numPr>
          <w:ilvl w:val="0"/>
          <w:numId w:val="32"/>
        </w:numPr>
        <w:rPr>
          <w:rFonts w:ascii="Arial" w:eastAsia="Calibri" w:hAnsi="Arial" w:cs="Arial"/>
          <w:szCs w:val="22"/>
        </w:rPr>
      </w:pPr>
      <w:bookmarkStart w:id="26" w:name="_Ref182661875"/>
      <w:r w:rsidRPr="009D7B7E">
        <w:rPr>
          <w:rFonts w:ascii="Arial" w:eastAsia="Calibri" w:hAnsi="Arial" w:cs="Arial"/>
          <w:szCs w:val="22"/>
        </w:rPr>
        <w:t xml:space="preserve">Davis HE, McCorkell L, Vogel JM, Topol EJ. Author Correction: Long COVID: major findings, mechanisms and recommendations. Nat Rev Microbiol. 2023 Jun;21(6):408. https://doi.org/10.1038/s41579-023-00896-0. Erratum for: Nat Rev Microbiol. 2023;21(3):133-146. https://doi.org/10.1038/s41579-022-00846-2. </w:t>
      </w:r>
      <w:bookmarkEnd w:id="26"/>
      <w:r w:rsidRPr="009D7B7E">
        <w:rPr>
          <w:rFonts w:ascii="Arial" w:eastAsia="Calibri" w:hAnsi="Arial" w:cs="Arial"/>
          <w:szCs w:val="22"/>
        </w:rPr>
        <w:t xml:space="preserve"> </w:t>
      </w:r>
    </w:p>
    <w:p w14:paraId="4A7B6453" w14:textId="77777777" w:rsidR="001C4185" w:rsidRPr="009D7B7E" w:rsidRDefault="001C4185" w:rsidP="001C4185">
      <w:pPr>
        <w:pStyle w:val="ListParagraph"/>
        <w:numPr>
          <w:ilvl w:val="0"/>
          <w:numId w:val="32"/>
        </w:numPr>
        <w:rPr>
          <w:rFonts w:ascii="Arial" w:eastAsia="Calibri" w:hAnsi="Arial" w:cs="Arial"/>
          <w:szCs w:val="22"/>
        </w:rPr>
      </w:pPr>
      <w:bookmarkStart w:id="27" w:name="_Ref182662092"/>
      <w:r w:rsidRPr="009D7B7E">
        <w:rPr>
          <w:rFonts w:ascii="Arial" w:eastAsia="Calibri" w:hAnsi="Arial" w:cs="Arial"/>
          <w:szCs w:val="22"/>
        </w:rPr>
        <w:t xml:space="preserve">Mieli-Vergani G, Vergani D, </w:t>
      </w:r>
      <w:proofErr w:type="spellStart"/>
      <w:r w:rsidRPr="009D7B7E">
        <w:rPr>
          <w:rFonts w:ascii="Arial" w:eastAsia="Calibri" w:hAnsi="Arial" w:cs="Arial"/>
          <w:szCs w:val="22"/>
        </w:rPr>
        <w:t>Czaja</w:t>
      </w:r>
      <w:proofErr w:type="spellEnd"/>
      <w:r w:rsidRPr="009D7B7E">
        <w:rPr>
          <w:rFonts w:ascii="Arial" w:eastAsia="Calibri" w:hAnsi="Arial" w:cs="Arial"/>
          <w:szCs w:val="22"/>
        </w:rPr>
        <w:t xml:space="preserve"> AJ, </w:t>
      </w:r>
      <w:proofErr w:type="spellStart"/>
      <w:r w:rsidRPr="009D7B7E">
        <w:rPr>
          <w:rFonts w:ascii="Arial" w:eastAsia="Calibri" w:hAnsi="Arial" w:cs="Arial"/>
          <w:szCs w:val="22"/>
        </w:rPr>
        <w:t>Manns</w:t>
      </w:r>
      <w:proofErr w:type="spellEnd"/>
      <w:r w:rsidRPr="009D7B7E">
        <w:rPr>
          <w:rFonts w:ascii="Arial" w:eastAsia="Calibri" w:hAnsi="Arial" w:cs="Arial"/>
          <w:szCs w:val="22"/>
        </w:rPr>
        <w:t xml:space="preserve"> MP, </w:t>
      </w:r>
      <w:proofErr w:type="spellStart"/>
      <w:r w:rsidRPr="009D7B7E">
        <w:rPr>
          <w:rFonts w:ascii="Arial" w:eastAsia="Calibri" w:hAnsi="Arial" w:cs="Arial"/>
          <w:szCs w:val="22"/>
        </w:rPr>
        <w:t>Krawitt</w:t>
      </w:r>
      <w:proofErr w:type="spellEnd"/>
      <w:r w:rsidRPr="009D7B7E">
        <w:rPr>
          <w:rFonts w:ascii="Arial" w:eastAsia="Calibri" w:hAnsi="Arial" w:cs="Arial"/>
          <w:szCs w:val="22"/>
        </w:rPr>
        <w:t xml:space="preserve"> EL, </w:t>
      </w:r>
      <w:proofErr w:type="spellStart"/>
      <w:r w:rsidRPr="009D7B7E">
        <w:rPr>
          <w:rFonts w:ascii="Arial" w:eastAsia="Calibri" w:hAnsi="Arial" w:cs="Arial"/>
          <w:szCs w:val="22"/>
        </w:rPr>
        <w:t>Vierling</w:t>
      </w:r>
      <w:proofErr w:type="spellEnd"/>
      <w:r w:rsidRPr="009D7B7E">
        <w:rPr>
          <w:rFonts w:ascii="Arial" w:eastAsia="Calibri" w:hAnsi="Arial" w:cs="Arial"/>
          <w:szCs w:val="22"/>
        </w:rPr>
        <w:t xml:space="preserve"> JM, </w:t>
      </w:r>
      <w:r>
        <w:rPr>
          <w:rFonts w:ascii="Arial" w:eastAsia="Calibri" w:hAnsi="Arial" w:cs="Arial"/>
          <w:szCs w:val="22"/>
        </w:rPr>
        <w:t xml:space="preserve">et al. </w:t>
      </w:r>
      <w:r w:rsidRPr="009D7B7E">
        <w:rPr>
          <w:rFonts w:ascii="Arial" w:eastAsia="Calibri" w:hAnsi="Arial" w:cs="Arial"/>
          <w:szCs w:val="22"/>
        </w:rPr>
        <w:t xml:space="preserve">Autoimmune hepatitis. Nat Rev Dis Primers. </w:t>
      </w:r>
      <w:proofErr w:type="gramStart"/>
      <w:r w:rsidRPr="009D7B7E">
        <w:rPr>
          <w:rFonts w:ascii="Arial" w:eastAsia="Calibri" w:hAnsi="Arial" w:cs="Arial"/>
          <w:szCs w:val="22"/>
        </w:rPr>
        <w:t>2018;4:18017</w:t>
      </w:r>
      <w:proofErr w:type="gramEnd"/>
      <w:r w:rsidRPr="009D7B7E">
        <w:rPr>
          <w:rFonts w:ascii="Arial" w:eastAsia="Calibri" w:hAnsi="Arial" w:cs="Arial"/>
          <w:szCs w:val="22"/>
        </w:rPr>
        <w:t xml:space="preserve">. https://doi.org/10.1038/nrdp.2018.17. </w:t>
      </w:r>
      <w:bookmarkEnd w:id="27"/>
      <w:r w:rsidRPr="009D7B7E">
        <w:rPr>
          <w:rFonts w:ascii="Arial" w:eastAsia="Calibri" w:hAnsi="Arial" w:cs="Arial"/>
          <w:szCs w:val="22"/>
        </w:rPr>
        <w:t xml:space="preserve"> </w:t>
      </w:r>
    </w:p>
    <w:p w14:paraId="7AC4A2C9" w14:textId="77777777" w:rsidR="001C4185" w:rsidRDefault="001C4185" w:rsidP="001C4185">
      <w:pPr>
        <w:pStyle w:val="ListParagraph"/>
        <w:numPr>
          <w:ilvl w:val="0"/>
          <w:numId w:val="32"/>
        </w:numPr>
        <w:rPr>
          <w:rFonts w:ascii="Arial" w:eastAsia="Calibri" w:hAnsi="Arial" w:cs="Arial"/>
          <w:szCs w:val="22"/>
        </w:rPr>
      </w:pPr>
      <w:bookmarkStart w:id="28" w:name="_Ref182661968"/>
      <w:proofErr w:type="spellStart"/>
      <w:r w:rsidRPr="009D7B7E">
        <w:rPr>
          <w:rFonts w:ascii="Arial" w:eastAsia="Calibri" w:hAnsi="Arial" w:cs="Arial"/>
          <w:szCs w:val="22"/>
        </w:rPr>
        <w:t>Safary</w:t>
      </w:r>
      <w:proofErr w:type="spellEnd"/>
      <w:r w:rsidRPr="009D7B7E">
        <w:rPr>
          <w:rFonts w:ascii="Arial" w:eastAsia="Calibri" w:hAnsi="Arial" w:cs="Arial"/>
          <w:szCs w:val="22"/>
        </w:rPr>
        <w:t xml:space="preserve"> A, </w:t>
      </w:r>
      <w:proofErr w:type="spellStart"/>
      <w:r w:rsidRPr="009D7B7E">
        <w:rPr>
          <w:rFonts w:ascii="Arial" w:eastAsia="Calibri" w:hAnsi="Arial" w:cs="Arial"/>
          <w:szCs w:val="22"/>
        </w:rPr>
        <w:t>Akbarzadeh-Khiavi</w:t>
      </w:r>
      <w:proofErr w:type="spellEnd"/>
      <w:r w:rsidRPr="009D7B7E">
        <w:rPr>
          <w:rFonts w:ascii="Arial" w:eastAsia="Calibri" w:hAnsi="Arial" w:cs="Arial"/>
          <w:szCs w:val="22"/>
        </w:rPr>
        <w:t xml:space="preserve"> M, </w:t>
      </w:r>
      <w:proofErr w:type="spellStart"/>
      <w:r w:rsidRPr="009D7B7E">
        <w:rPr>
          <w:rFonts w:ascii="Arial" w:eastAsia="Calibri" w:hAnsi="Arial" w:cs="Arial"/>
          <w:szCs w:val="22"/>
        </w:rPr>
        <w:t>Barar</w:t>
      </w:r>
      <w:proofErr w:type="spellEnd"/>
      <w:r w:rsidRPr="009D7B7E">
        <w:rPr>
          <w:rFonts w:ascii="Arial" w:eastAsia="Calibri" w:hAnsi="Arial" w:cs="Arial"/>
          <w:szCs w:val="22"/>
        </w:rPr>
        <w:t xml:space="preserve"> J, </w:t>
      </w:r>
      <w:proofErr w:type="spellStart"/>
      <w:r w:rsidRPr="009D7B7E">
        <w:rPr>
          <w:rFonts w:ascii="Arial" w:eastAsia="Calibri" w:hAnsi="Arial" w:cs="Arial"/>
          <w:szCs w:val="22"/>
        </w:rPr>
        <w:t>Omidi</w:t>
      </w:r>
      <w:proofErr w:type="spellEnd"/>
      <w:r w:rsidRPr="009D7B7E">
        <w:rPr>
          <w:rFonts w:ascii="Arial" w:eastAsia="Calibri" w:hAnsi="Arial" w:cs="Arial"/>
          <w:szCs w:val="22"/>
        </w:rPr>
        <w:t xml:space="preserve"> Y. SARS-CoV-2 vaccine-triggered autoimmunity: Molecular mimicry and/or bystander activation of the immune system. </w:t>
      </w:r>
      <w:proofErr w:type="spellStart"/>
      <w:r w:rsidRPr="009D7B7E">
        <w:rPr>
          <w:rFonts w:ascii="Arial" w:eastAsia="Calibri" w:hAnsi="Arial" w:cs="Arial"/>
          <w:szCs w:val="22"/>
        </w:rPr>
        <w:t>Bioimpacts</w:t>
      </w:r>
      <w:proofErr w:type="spellEnd"/>
      <w:r w:rsidRPr="009D7B7E">
        <w:rPr>
          <w:rFonts w:ascii="Arial" w:eastAsia="Calibri" w:hAnsi="Arial" w:cs="Arial"/>
          <w:szCs w:val="22"/>
        </w:rPr>
        <w:t xml:space="preserve">. 2023;13(4):269-273. </w:t>
      </w:r>
      <w:r w:rsidRPr="00385AB0">
        <w:rPr>
          <w:rFonts w:ascii="Arial" w:eastAsia="Calibri" w:hAnsi="Arial" w:cs="Arial"/>
          <w:szCs w:val="22"/>
        </w:rPr>
        <w:t>https://doi.org/10.34172/bi.2023.27494</w:t>
      </w:r>
      <w:r w:rsidRPr="009D7B7E">
        <w:rPr>
          <w:rFonts w:ascii="Arial" w:eastAsia="Calibri" w:hAnsi="Arial" w:cs="Arial"/>
          <w:szCs w:val="22"/>
        </w:rPr>
        <w:t>.</w:t>
      </w:r>
      <w:bookmarkEnd w:id="28"/>
    </w:p>
    <w:p w14:paraId="64A5EE21" w14:textId="77777777" w:rsidR="001C4185" w:rsidRPr="00E329B0" w:rsidRDefault="001C4185" w:rsidP="001C4185">
      <w:pPr>
        <w:pStyle w:val="ListParagraph"/>
        <w:numPr>
          <w:ilvl w:val="0"/>
          <w:numId w:val="32"/>
        </w:numPr>
        <w:rPr>
          <w:rFonts w:ascii="Arial" w:eastAsia="Calibri" w:hAnsi="Arial" w:cs="Arial"/>
          <w:szCs w:val="22"/>
        </w:rPr>
      </w:pPr>
      <w:bookmarkStart w:id="29" w:name="_Ref202675813"/>
      <w:r w:rsidRPr="0001348E">
        <w:rPr>
          <w:rFonts w:ascii="Arial" w:eastAsia="Calibri" w:hAnsi="Arial" w:cs="Arial"/>
          <w:szCs w:val="22"/>
        </w:rPr>
        <w:t xml:space="preserve">Arévalo-Cortés A, Rodriguez-Pinto D, Aguilar-Ayala L. Evidence for Molecular Mimicry between SARS-CoV-2 and Human Antigens: Implications for Autoimmunity in COVID-19. Autoimmune Dis. </w:t>
      </w:r>
      <w:proofErr w:type="gramStart"/>
      <w:r w:rsidRPr="0001348E">
        <w:rPr>
          <w:rFonts w:ascii="Arial" w:eastAsia="Calibri" w:hAnsi="Arial" w:cs="Arial"/>
          <w:szCs w:val="22"/>
        </w:rPr>
        <w:t>2024;2024:8359683</w:t>
      </w:r>
      <w:proofErr w:type="gramEnd"/>
      <w:r w:rsidRPr="0001348E">
        <w:rPr>
          <w:rFonts w:ascii="Arial" w:eastAsia="Calibri" w:hAnsi="Arial" w:cs="Arial"/>
          <w:szCs w:val="22"/>
        </w:rPr>
        <w:t>. https://doi.org/10.1155/2024/8359683.</w:t>
      </w:r>
      <w:bookmarkEnd w:id="29"/>
    </w:p>
    <w:p w14:paraId="4CAD6498" w14:textId="77777777" w:rsidR="001C4185" w:rsidRPr="009D7B7E" w:rsidRDefault="001C4185" w:rsidP="001C4185">
      <w:pPr>
        <w:pStyle w:val="ListParagraph"/>
        <w:numPr>
          <w:ilvl w:val="0"/>
          <w:numId w:val="32"/>
        </w:numPr>
        <w:rPr>
          <w:rFonts w:ascii="Arial" w:eastAsia="Calibri" w:hAnsi="Arial" w:cs="Arial"/>
          <w:szCs w:val="22"/>
        </w:rPr>
      </w:pPr>
      <w:bookmarkStart w:id="30" w:name="_Ref186877214"/>
      <w:r w:rsidRPr="009D7B7E">
        <w:rPr>
          <w:rFonts w:ascii="Arial" w:eastAsia="Calibri" w:hAnsi="Arial" w:cs="Arial"/>
          <w:szCs w:val="22"/>
        </w:rPr>
        <w:t>Dufour JF, Zimmermann M, Reichen J. Severe autoimmune hepatitis in patients with previous spontaneous recovery of a flare. J Hepatol. 2002 Dec;37(6):748-52. https://doi.org/10.1016/s0168-8278(02)00329-x.</w:t>
      </w:r>
      <w:bookmarkEnd w:id="30"/>
    </w:p>
    <w:p w14:paraId="32F8F7AE" w14:textId="77777777" w:rsidR="001C4185" w:rsidRPr="009D7B7E" w:rsidRDefault="001C4185" w:rsidP="001C4185">
      <w:pPr>
        <w:pStyle w:val="ListParagraph"/>
        <w:numPr>
          <w:ilvl w:val="0"/>
          <w:numId w:val="32"/>
        </w:numPr>
        <w:rPr>
          <w:rFonts w:ascii="Arial" w:eastAsia="Calibri" w:hAnsi="Arial" w:cs="Arial"/>
          <w:szCs w:val="22"/>
        </w:rPr>
      </w:pPr>
      <w:bookmarkStart w:id="31" w:name="_Ref186960406"/>
      <w:r w:rsidRPr="009D7B7E">
        <w:rPr>
          <w:rFonts w:ascii="Arial" w:eastAsia="Calibri" w:hAnsi="Arial" w:cs="Arial"/>
          <w:szCs w:val="22"/>
        </w:rPr>
        <w:t>Ahn YJ, Kim H. Lutein as a modulator of oxidative stress-mediated inflammatory diseases. Antioxidants (Basel). 2021;10(9):1448. https://doi.org/10.3390/antiox10091448.</w:t>
      </w:r>
      <w:bookmarkEnd w:id="31"/>
    </w:p>
    <w:p w14:paraId="1442AD99" w14:textId="77777777" w:rsidR="001C4185" w:rsidRPr="00CD13A7" w:rsidRDefault="001C4185" w:rsidP="001C4185">
      <w:pPr>
        <w:pStyle w:val="ListParagraph"/>
        <w:numPr>
          <w:ilvl w:val="0"/>
          <w:numId w:val="32"/>
        </w:numPr>
        <w:rPr>
          <w:rFonts w:ascii="Arial" w:eastAsia="Calibri" w:hAnsi="Arial" w:cs="Arial"/>
          <w:szCs w:val="22"/>
        </w:rPr>
      </w:pPr>
      <w:bookmarkStart w:id="32" w:name="_Ref186877540"/>
      <w:proofErr w:type="spellStart"/>
      <w:r w:rsidRPr="009D7B7E">
        <w:rPr>
          <w:rFonts w:ascii="Arial" w:eastAsia="Calibri" w:hAnsi="Arial" w:cs="Arial"/>
          <w:szCs w:val="22"/>
        </w:rPr>
        <w:t>Kouroumalis</w:t>
      </w:r>
      <w:proofErr w:type="spellEnd"/>
      <w:r w:rsidRPr="009D7B7E">
        <w:rPr>
          <w:rFonts w:ascii="Arial" w:eastAsia="Calibri" w:hAnsi="Arial" w:cs="Arial"/>
          <w:szCs w:val="22"/>
        </w:rPr>
        <w:t xml:space="preserve"> E, </w:t>
      </w:r>
      <w:proofErr w:type="spellStart"/>
      <w:r w:rsidRPr="009D7B7E">
        <w:rPr>
          <w:rFonts w:ascii="Arial" w:eastAsia="Calibri" w:hAnsi="Arial" w:cs="Arial"/>
          <w:szCs w:val="22"/>
        </w:rPr>
        <w:t>Voumvouraki</w:t>
      </w:r>
      <w:proofErr w:type="spellEnd"/>
      <w:r w:rsidRPr="009D7B7E">
        <w:rPr>
          <w:rFonts w:ascii="Arial" w:eastAsia="Calibri" w:hAnsi="Arial" w:cs="Arial"/>
          <w:szCs w:val="22"/>
        </w:rPr>
        <w:t xml:space="preserve"> A, </w:t>
      </w:r>
      <w:proofErr w:type="spellStart"/>
      <w:r w:rsidRPr="009D7B7E">
        <w:rPr>
          <w:rFonts w:ascii="Arial" w:eastAsia="Calibri" w:hAnsi="Arial" w:cs="Arial"/>
          <w:szCs w:val="22"/>
        </w:rPr>
        <w:t>Augoustaki</w:t>
      </w:r>
      <w:proofErr w:type="spellEnd"/>
      <w:r w:rsidRPr="009D7B7E">
        <w:rPr>
          <w:rFonts w:ascii="Arial" w:eastAsia="Calibri" w:hAnsi="Arial" w:cs="Arial"/>
          <w:szCs w:val="22"/>
        </w:rPr>
        <w:t xml:space="preserve"> A, </w:t>
      </w:r>
      <w:proofErr w:type="spellStart"/>
      <w:r w:rsidRPr="009D7B7E">
        <w:rPr>
          <w:rFonts w:ascii="Arial" w:eastAsia="Calibri" w:hAnsi="Arial" w:cs="Arial"/>
          <w:szCs w:val="22"/>
        </w:rPr>
        <w:t>Samonakis</w:t>
      </w:r>
      <w:proofErr w:type="spellEnd"/>
      <w:r w:rsidRPr="009D7B7E">
        <w:rPr>
          <w:rFonts w:ascii="Arial" w:eastAsia="Calibri" w:hAnsi="Arial" w:cs="Arial"/>
          <w:szCs w:val="22"/>
        </w:rPr>
        <w:t xml:space="preserve"> DN. Autophagy in liver diseases. World J Hepatol. 2021 Jan 27;13(1):6-65. https://doi.org/10.4254/wjh.v13.i1.6.</w:t>
      </w:r>
      <w:bookmarkEnd w:id="32"/>
    </w:p>
    <w:p w14:paraId="5D0A82D3" w14:textId="77777777" w:rsidR="001C4185" w:rsidRPr="009D7B7E" w:rsidRDefault="001C4185" w:rsidP="001C4185">
      <w:pPr>
        <w:pStyle w:val="ListParagraph"/>
        <w:numPr>
          <w:ilvl w:val="0"/>
          <w:numId w:val="32"/>
        </w:numPr>
        <w:rPr>
          <w:rFonts w:ascii="Arial" w:eastAsia="Calibri" w:hAnsi="Arial" w:cs="Arial"/>
          <w:szCs w:val="22"/>
        </w:rPr>
      </w:pPr>
      <w:bookmarkStart w:id="33" w:name="_Ref186878026"/>
      <w:r w:rsidRPr="009D7B7E">
        <w:rPr>
          <w:rFonts w:ascii="Arial" w:eastAsia="Calibri" w:hAnsi="Arial" w:cs="Arial"/>
          <w:szCs w:val="22"/>
        </w:rPr>
        <w:t xml:space="preserve">Xiong J, Wang K, He J, Zhang G, Zhang D, Chen F. TFE3 alleviates hepatic steatosis through autophagy-induced </w:t>
      </w:r>
      <w:proofErr w:type="spellStart"/>
      <w:r w:rsidRPr="009D7B7E">
        <w:rPr>
          <w:rFonts w:ascii="Arial" w:eastAsia="Calibri" w:hAnsi="Arial" w:cs="Arial"/>
          <w:szCs w:val="22"/>
        </w:rPr>
        <w:t>lipophagy</w:t>
      </w:r>
      <w:proofErr w:type="spellEnd"/>
      <w:r w:rsidRPr="009D7B7E">
        <w:rPr>
          <w:rFonts w:ascii="Arial" w:eastAsia="Calibri" w:hAnsi="Arial" w:cs="Arial"/>
          <w:szCs w:val="22"/>
        </w:rPr>
        <w:t xml:space="preserve"> and PGC1α-mediated fatty acid β-oxidation. Int J Mol Sci. 2016;17(3):387. https://doi.org/10.3390/ijms17030387.</w:t>
      </w:r>
      <w:bookmarkEnd w:id="33"/>
    </w:p>
    <w:p w14:paraId="7749B3FD" w14:textId="77777777" w:rsidR="001C4185" w:rsidRPr="009A60C9" w:rsidRDefault="001C4185" w:rsidP="001C4185">
      <w:pPr>
        <w:pStyle w:val="ListParagraph"/>
        <w:numPr>
          <w:ilvl w:val="0"/>
          <w:numId w:val="32"/>
        </w:numPr>
        <w:rPr>
          <w:rFonts w:ascii="Arial" w:eastAsia="Calibri" w:hAnsi="Arial" w:cs="Arial"/>
          <w:szCs w:val="22"/>
        </w:rPr>
      </w:pPr>
      <w:bookmarkStart w:id="34" w:name="_Ref186878188"/>
      <w:r w:rsidRPr="009D7B7E">
        <w:rPr>
          <w:rFonts w:ascii="Arial" w:eastAsia="Calibri" w:hAnsi="Arial" w:cs="Arial"/>
          <w:szCs w:val="22"/>
        </w:rPr>
        <w:lastRenderedPageBreak/>
        <w:t xml:space="preserve">Pinelli R, Ferrucci M, </w:t>
      </w:r>
      <w:proofErr w:type="spellStart"/>
      <w:r w:rsidRPr="009D7B7E">
        <w:rPr>
          <w:rFonts w:ascii="Arial" w:eastAsia="Calibri" w:hAnsi="Arial" w:cs="Arial"/>
          <w:szCs w:val="22"/>
        </w:rPr>
        <w:t>Biagioni</w:t>
      </w:r>
      <w:proofErr w:type="spellEnd"/>
      <w:r w:rsidRPr="009D7B7E">
        <w:rPr>
          <w:rFonts w:ascii="Arial" w:eastAsia="Calibri" w:hAnsi="Arial" w:cs="Arial"/>
          <w:szCs w:val="22"/>
        </w:rPr>
        <w:t xml:space="preserve"> F, </w:t>
      </w:r>
      <w:proofErr w:type="spellStart"/>
      <w:r w:rsidRPr="009D7B7E">
        <w:rPr>
          <w:rFonts w:ascii="Arial" w:eastAsia="Calibri" w:hAnsi="Arial" w:cs="Arial"/>
          <w:szCs w:val="22"/>
        </w:rPr>
        <w:t>Berti</w:t>
      </w:r>
      <w:proofErr w:type="spellEnd"/>
      <w:r w:rsidRPr="009D7B7E">
        <w:rPr>
          <w:rFonts w:ascii="Arial" w:eastAsia="Calibri" w:hAnsi="Arial" w:cs="Arial"/>
          <w:szCs w:val="22"/>
        </w:rPr>
        <w:t xml:space="preserve"> C, </w:t>
      </w:r>
      <w:proofErr w:type="spellStart"/>
      <w:r w:rsidRPr="009D7B7E">
        <w:rPr>
          <w:rFonts w:ascii="Arial" w:eastAsia="Calibri" w:hAnsi="Arial" w:cs="Arial"/>
          <w:szCs w:val="22"/>
        </w:rPr>
        <w:t>Bumah</w:t>
      </w:r>
      <w:proofErr w:type="spellEnd"/>
      <w:r w:rsidRPr="009D7B7E">
        <w:rPr>
          <w:rFonts w:ascii="Arial" w:eastAsia="Calibri" w:hAnsi="Arial" w:cs="Arial"/>
          <w:szCs w:val="22"/>
        </w:rPr>
        <w:t xml:space="preserve"> VV, </w:t>
      </w:r>
      <w:proofErr w:type="spellStart"/>
      <w:r w:rsidRPr="009D7B7E">
        <w:rPr>
          <w:rFonts w:ascii="Arial" w:eastAsia="Calibri" w:hAnsi="Arial" w:cs="Arial"/>
          <w:szCs w:val="22"/>
        </w:rPr>
        <w:t>Busceti</w:t>
      </w:r>
      <w:proofErr w:type="spellEnd"/>
      <w:r w:rsidRPr="009D7B7E">
        <w:rPr>
          <w:rFonts w:ascii="Arial" w:eastAsia="Calibri" w:hAnsi="Arial" w:cs="Arial"/>
          <w:szCs w:val="22"/>
        </w:rPr>
        <w:t xml:space="preserve"> CL, </w:t>
      </w:r>
      <w:r>
        <w:rPr>
          <w:rFonts w:ascii="Arial" w:eastAsia="Calibri" w:hAnsi="Arial" w:cs="Arial"/>
          <w:szCs w:val="22"/>
        </w:rPr>
        <w:t>et al.</w:t>
      </w:r>
      <w:r w:rsidRPr="009D7B7E">
        <w:rPr>
          <w:rFonts w:ascii="Arial" w:eastAsia="Calibri" w:hAnsi="Arial" w:cs="Arial"/>
          <w:szCs w:val="22"/>
        </w:rPr>
        <w:t xml:space="preserve"> Autophagy activation promoted by pulses of light and phytochemicals counteracting oxidative stress during age-related macular degeneration. Antioxidants (Basel). 2023;12(6):1183. https://doi.org/10.3390/antiox12061183.</w:t>
      </w:r>
      <w:bookmarkEnd w:id="34"/>
    </w:p>
    <w:p w14:paraId="618ADADB" w14:textId="77777777" w:rsidR="001C4185" w:rsidRPr="002A2DE0" w:rsidRDefault="001C4185" w:rsidP="001C4185">
      <w:pPr>
        <w:pStyle w:val="ListParagraph"/>
        <w:numPr>
          <w:ilvl w:val="0"/>
          <w:numId w:val="32"/>
        </w:numPr>
        <w:rPr>
          <w:rFonts w:ascii="Arial" w:eastAsia="Calibri" w:hAnsi="Arial" w:cs="Arial"/>
          <w:szCs w:val="22"/>
        </w:rPr>
      </w:pPr>
      <w:bookmarkStart w:id="35" w:name="_Ref186878491"/>
      <w:r w:rsidRPr="009D7B7E">
        <w:rPr>
          <w:rFonts w:ascii="Arial" w:eastAsia="Calibri" w:hAnsi="Arial" w:cs="Arial"/>
          <w:szCs w:val="22"/>
        </w:rPr>
        <w:t xml:space="preserve">Zhao Y, Kuang M, Li J, Zhu L, Jia Z, Guo X, </w:t>
      </w:r>
      <w:r>
        <w:rPr>
          <w:rFonts w:ascii="Arial" w:eastAsia="Calibri" w:hAnsi="Arial" w:cs="Arial"/>
          <w:szCs w:val="22"/>
        </w:rPr>
        <w:t>et al</w:t>
      </w:r>
      <w:r w:rsidRPr="009D7B7E">
        <w:rPr>
          <w:rFonts w:ascii="Arial" w:eastAsia="Calibri" w:hAnsi="Arial" w:cs="Arial"/>
          <w:szCs w:val="22"/>
        </w:rPr>
        <w:t>. SARS-CoV-2 spike protein interacts with and activates TLR41. Cell Res. 2021;31(7):818-820. https://doi.org/10.1038/s41422-021-00495-9. Erratum in: Cell Res. 2021 Jul;31(7):825. https://doi.org/10.1038/s41422-021-00501-0.</w:t>
      </w:r>
      <w:bookmarkEnd w:id="35"/>
    </w:p>
    <w:p w14:paraId="26FAFDC5" w14:textId="77777777" w:rsidR="001C4185" w:rsidRPr="0008538F" w:rsidRDefault="001C4185" w:rsidP="001C4185">
      <w:pPr>
        <w:pStyle w:val="ListParagraph"/>
        <w:numPr>
          <w:ilvl w:val="0"/>
          <w:numId w:val="32"/>
        </w:numPr>
        <w:spacing w:after="160" w:line="259" w:lineRule="auto"/>
        <w:rPr>
          <w:rFonts w:ascii="Arial" w:eastAsia="Calibri" w:hAnsi="Arial" w:cs="Arial"/>
          <w:szCs w:val="22"/>
        </w:rPr>
      </w:pPr>
      <w:bookmarkStart w:id="36" w:name="_Ref182661288"/>
      <w:r w:rsidRPr="009D7B7E">
        <w:rPr>
          <w:rFonts w:ascii="Arial" w:eastAsia="Calibri" w:hAnsi="Arial" w:cs="Arial"/>
          <w:szCs w:val="22"/>
        </w:rPr>
        <w:t xml:space="preserve">Dülger A, Aksoy HB, Aksoy I, Günaydın S. Olive Oil Protection Against Covid-19 Infection. Aegean Miracle. Clin </w:t>
      </w:r>
      <w:proofErr w:type="spellStart"/>
      <w:r w:rsidRPr="009D7B7E">
        <w:rPr>
          <w:rFonts w:ascii="Arial" w:eastAsia="Calibri" w:hAnsi="Arial" w:cs="Arial"/>
          <w:szCs w:val="22"/>
        </w:rPr>
        <w:t>Nutr</w:t>
      </w:r>
      <w:proofErr w:type="spellEnd"/>
      <w:r w:rsidRPr="009D7B7E">
        <w:rPr>
          <w:rFonts w:ascii="Arial" w:eastAsia="Calibri" w:hAnsi="Arial" w:cs="Arial"/>
          <w:szCs w:val="22"/>
        </w:rPr>
        <w:t xml:space="preserve"> ESPEN. </w:t>
      </w:r>
      <w:proofErr w:type="gramStart"/>
      <w:r w:rsidRPr="009D7B7E">
        <w:rPr>
          <w:rFonts w:ascii="Arial" w:eastAsia="Calibri" w:hAnsi="Arial" w:cs="Arial"/>
          <w:szCs w:val="22"/>
        </w:rPr>
        <w:t>2023;54:626</w:t>
      </w:r>
      <w:proofErr w:type="gramEnd"/>
      <w:r w:rsidRPr="009D7B7E">
        <w:rPr>
          <w:rFonts w:ascii="Arial" w:eastAsia="Calibri" w:hAnsi="Arial" w:cs="Arial"/>
          <w:szCs w:val="22"/>
        </w:rPr>
        <w:t>. https://doi.org/10.1016/j.clnesp.2022.09.493.</w:t>
      </w:r>
      <w:bookmarkEnd w:id="36"/>
    </w:p>
    <w:p w14:paraId="6D0DE005" w14:textId="722428BB" w:rsidR="001C4185" w:rsidRPr="001C4185" w:rsidRDefault="001C4185" w:rsidP="001C4185">
      <w:pPr>
        <w:pStyle w:val="ListParagraph"/>
        <w:numPr>
          <w:ilvl w:val="0"/>
          <w:numId w:val="32"/>
        </w:numPr>
        <w:spacing w:after="160" w:line="259" w:lineRule="auto"/>
        <w:rPr>
          <w:rFonts w:ascii="Arial" w:eastAsia="Calibri" w:hAnsi="Arial" w:cs="Arial"/>
          <w:szCs w:val="22"/>
        </w:rPr>
      </w:pPr>
      <w:bookmarkStart w:id="37" w:name="_Ref186879190"/>
      <w:r w:rsidRPr="009D7B7E">
        <w:rPr>
          <w:rFonts w:ascii="Arial" w:eastAsia="Calibri" w:hAnsi="Arial" w:cs="Arial"/>
          <w:szCs w:val="22"/>
        </w:rPr>
        <w:t xml:space="preserve">Sato Y, Kobayashi M, Itagaki S, Hirano T, Noda T, Mizuno S, </w:t>
      </w:r>
      <w:r>
        <w:rPr>
          <w:rFonts w:ascii="Arial" w:eastAsia="Calibri" w:hAnsi="Arial" w:cs="Arial"/>
          <w:szCs w:val="22"/>
        </w:rPr>
        <w:t>et al.</w:t>
      </w:r>
      <w:r w:rsidRPr="009D7B7E">
        <w:rPr>
          <w:rFonts w:ascii="Arial" w:eastAsia="Calibri" w:hAnsi="Arial" w:cs="Arial"/>
          <w:szCs w:val="22"/>
        </w:rPr>
        <w:t xml:space="preserve"> Pharmacokinetic properties of lutein emulsion after oral administration to rats and effect of food intake on plasma concentration of lutein. </w:t>
      </w:r>
      <w:proofErr w:type="spellStart"/>
      <w:r w:rsidRPr="009D7B7E">
        <w:rPr>
          <w:rFonts w:ascii="Arial" w:eastAsia="Calibri" w:hAnsi="Arial" w:cs="Arial"/>
          <w:szCs w:val="22"/>
        </w:rPr>
        <w:t>Biopharm</w:t>
      </w:r>
      <w:proofErr w:type="spellEnd"/>
      <w:r w:rsidRPr="009D7B7E">
        <w:rPr>
          <w:rFonts w:ascii="Arial" w:eastAsia="Calibri" w:hAnsi="Arial" w:cs="Arial"/>
          <w:szCs w:val="22"/>
        </w:rPr>
        <w:t xml:space="preserve"> Drug </w:t>
      </w:r>
      <w:proofErr w:type="spellStart"/>
      <w:r w:rsidRPr="009D7B7E">
        <w:rPr>
          <w:rFonts w:ascii="Arial" w:eastAsia="Calibri" w:hAnsi="Arial" w:cs="Arial"/>
          <w:szCs w:val="22"/>
        </w:rPr>
        <w:t>Dispos</w:t>
      </w:r>
      <w:proofErr w:type="spellEnd"/>
      <w:r w:rsidRPr="009D7B7E">
        <w:rPr>
          <w:rFonts w:ascii="Arial" w:eastAsia="Calibri" w:hAnsi="Arial" w:cs="Arial"/>
          <w:szCs w:val="22"/>
        </w:rPr>
        <w:t>. 2011;32(3):151-8. https://doi.org/10.1002/bdd.746</w:t>
      </w:r>
      <w:bookmarkEnd w:id="37"/>
      <w:r>
        <w:rPr>
          <w:rFonts w:ascii="Arial" w:eastAsia="Calibri" w:hAnsi="Arial" w:cs="Arial"/>
          <w:szCs w:val="22"/>
        </w:rPr>
        <w:t>.</w:t>
      </w:r>
      <w:bookmarkEnd w:id="13"/>
      <w:bookmarkEnd w:id="14"/>
    </w:p>
    <w:sectPr w:rsidR="001C4185" w:rsidRPr="001C4185" w:rsidSect="00D97761">
      <w:headerReference w:type="even" r:id="rId12"/>
      <w:headerReference w:type="default" r:id="rId13"/>
      <w:footerReference w:type="default" r:id="rId14"/>
      <w:headerReference w:type="first" r:id="rId15"/>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7845BB" w16cex:dateUtc="2025-09-19T18:12:00Z"/>
  <w16cex:commentExtensible w16cex:durableId="3FF524A5" w16cex:dateUtc="2025-09-21T02:51:00Z"/>
  <w16cex:commentExtensible w16cex:durableId="2C78485B" w16cex:dateUtc="2025-09-19T18:23:00Z"/>
  <w16cex:commentExtensible w16cex:durableId="7365F33F" w16cex:dateUtc="2025-09-21T0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4B857" w14:textId="77777777" w:rsidR="007913F5" w:rsidRDefault="007913F5" w:rsidP="00C37E61">
      <w:r>
        <w:separator/>
      </w:r>
    </w:p>
  </w:endnote>
  <w:endnote w:type="continuationSeparator" w:id="0">
    <w:p w14:paraId="35B60E12" w14:textId="77777777" w:rsidR="007913F5" w:rsidRDefault="007913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FED6" w14:textId="77777777" w:rsidR="009E048A" w:rsidRDefault="009E048A">
    <w:pPr>
      <w:pStyle w:val="Footer"/>
      <w:rPr>
        <w:rFonts w:ascii="Arial" w:hAnsi="Arial" w:cs="Arial"/>
        <w:sz w:val="16"/>
      </w:rPr>
    </w:pPr>
  </w:p>
  <w:p w14:paraId="0B392B4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B3E7DAA" w14:textId="77777777" w:rsidR="009E048A" w:rsidRDefault="009E048A">
    <w:pPr>
      <w:pStyle w:val="Footer"/>
      <w:rPr>
        <w:rFonts w:ascii="Arial" w:hAnsi="Arial" w:cs="Arial"/>
        <w:sz w:val="16"/>
      </w:rPr>
    </w:pPr>
  </w:p>
  <w:p w14:paraId="1767BD0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11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9B466" w14:textId="77777777" w:rsidR="007913F5" w:rsidRDefault="007913F5" w:rsidP="00C37E61">
      <w:r>
        <w:separator/>
      </w:r>
    </w:p>
  </w:footnote>
  <w:footnote w:type="continuationSeparator" w:id="0">
    <w:p w14:paraId="262B9B02" w14:textId="77777777" w:rsidR="007913F5" w:rsidRDefault="007913F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2CF63" w14:textId="36AF410C" w:rsidR="00B0024F" w:rsidRDefault="007913F5">
    <w:pPr>
      <w:pStyle w:val="Header"/>
    </w:pPr>
    <w:r>
      <w:rPr>
        <w:noProof/>
      </w:rPr>
      <w:pict w14:anchorId="4AA4F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06454"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1F845" w14:textId="114354CB" w:rsidR="00B0024F" w:rsidRDefault="007913F5">
    <w:pPr>
      <w:pStyle w:val="Header"/>
    </w:pPr>
    <w:r>
      <w:rPr>
        <w:noProof/>
      </w:rPr>
      <w:pict w14:anchorId="4A71F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06455"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6A4B" w14:textId="5FD260CD" w:rsidR="00296529" w:rsidRPr="00296529" w:rsidRDefault="007913F5" w:rsidP="00296529">
    <w:pPr>
      <w:ind w:left="2160"/>
      <w:jc w:val="center"/>
      <w:rPr>
        <w:rFonts w:ascii="Times New Roman" w:eastAsia="Calibri" w:hAnsi="Times New Roman"/>
        <w:i/>
        <w:sz w:val="18"/>
        <w:szCs w:val="22"/>
      </w:rPr>
    </w:pPr>
    <w:r>
      <w:rPr>
        <w:noProof/>
      </w:rPr>
      <w:pict w14:anchorId="433B9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06453"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F0EB3C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1304A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A53E3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50F1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42A30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74E11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CF658" w14:textId="7F9F8EAE" w:rsidR="00B0024F" w:rsidRDefault="007913F5">
    <w:pPr>
      <w:pStyle w:val="Header"/>
    </w:pPr>
    <w:r>
      <w:rPr>
        <w:noProof/>
      </w:rPr>
      <w:pict w14:anchorId="4C62A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06457"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CC23C" w14:textId="0E9A52C4" w:rsidR="00B0024F" w:rsidRDefault="007913F5">
    <w:pPr>
      <w:pStyle w:val="Header"/>
    </w:pPr>
    <w:r>
      <w:rPr>
        <w:noProof/>
      </w:rPr>
      <w:pict w14:anchorId="795A0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06458"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F2EDA" w14:textId="479C245A" w:rsidR="00B0024F" w:rsidRDefault="007913F5">
    <w:pPr>
      <w:pStyle w:val="Header"/>
    </w:pPr>
    <w:r>
      <w:rPr>
        <w:noProof/>
      </w:rPr>
      <w:pict w14:anchorId="6F0C5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06456"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65931"/>
    <w:multiLevelType w:val="hybridMultilevel"/>
    <w:tmpl w:val="244CD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073B95"/>
    <w:multiLevelType w:val="hybridMultilevel"/>
    <w:tmpl w:val="D3225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244656E"/>
    <w:multiLevelType w:val="hybridMultilevel"/>
    <w:tmpl w:val="D3225D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9"/>
  </w:num>
  <w:num w:numId="15">
    <w:abstractNumId w:val="24"/>
  </w:num>
  <w:num w:numId="16">
    <w:abstractNumId w:val="6"/>
  </w:num>
  <w:num w:numId="17">
    <w:abstractNumId w:val="25"/>
  </w:num>
  <w:num w:numId="18">
    <w:abstractNumId w:val="16"/>
  </w:num>
  <w:num w:numId="19">
    <w:abstractNumId w:val="31"/>
  </w:num>
  <w:num w:numId="20">
    <w:abstractNumId w:val="12"/>
  </w:num>
  <w:num w:numId="21">
    <w:abstractNumId w:val="10"/>
  </w:num>
  <w:num w:numId="22">
    <w:abstractNumId w:val="15"/>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1"/>
  </w:num>
  <w:num w:numId="31">
    <w:abstractNumId w:val="1"/>
  </w:num>
  <w:num w:numId="32">
    <w:abstractNumId w:val="13"/>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A70"/>
    <w:rsid w:val="00005DAB"/>
    <w:rsid w:val="0001348E"/>
    <w:rsid w:val="000159DE"/>
    <w:rsid w:val="00030174"/>
    <w:rsid w:val="000376BE"/>
    <w:rsid w:val="0004579C"/>
    <w:rsid w:val="00047B56"/>
    <w:rsid w:val="00061DFF"/>
    <w:rsid w:val="0008538F"/>
    <w:rsid w:val="000A47FA"/>
    <w:rsid w:val="000A4C27"/>
    <w:rsid w:val="000A65D3"/>
    <w:rsid w:val="000B1E33"/>
    <w:rsid w:val="000D4B3A"/>
    <w:rsid w:val="000D689F"/>
    <w:rsid w:val="000E7B7B"/>
    <w:rsid w:val="000E7D62"/>
    <w:rsid w:val="001002C5"/>
    <w:rsid w:val="00103357"/>
    <w:rsid w:val="001205D6"/>
    <w:rsid w:val="00123C9F"/>
    <w:rsid w:val="00126190"/>
    <w:rsid w:val="00130F17"/>
    <w:rsid w:val="001320BF"/>
    <w:rsid w:val="00162AEF"/>
    <w:rsid w:val="00163BC4"/>
    <w:rsid w:val="00187404"/>
    <w:rsid w:val="00191062"/>
    <w:rsid w:val="00192B72"/>
    <w:rsid w:val="001A29D8"/>
    <w:rsid w:val="001A5CAA"/>
    <w:rsid w:val="001B0427"/>
    <w:rsid w:val="001B082A"/>
    <w:rsid w:val="001C0C10"/>
    <w:rsid w:val="001C4185"/>
    <w:rsid w:val="001C618C"/>
    <w:rsid w:val="001D3A51"/>
    <w:rsid w:val="001E098E"/>
    <w:rsid w:val="001E10D2"/>
    <w:rsid w:val="001E25B4"/>
    <w:rsid w:val="001E44FE"/>
    <w:rsid w:val="001E6A4F"/>
    <w:rsid w:val="001F139D"/>
    <w:rsid w:val="00200595"/>
    <w:rsid w:val="00204835"/>
    <w:rsid w:val="00231920"/>
    <w:rsid w:val="0023195C"/>
    <w:rsid w:val="0024282C"/>
    <w:rsid w:val="002460DC"/>
    <w:rsid w:val="00250985"/>
    <w:rsid w:val="002556F6"/>
    <w:rsid w:val="00255F61"/>
    <w:rsid w:val="002662BF"/>
    <w:rsid w:val="002741D7"/>
    <w:rsid w:val="0028302F"/>
    <w:rsid w:val="00283105"/>
    <w:rsid w:val="00284C4C"/>
    <w:rsid w:val="00287E68"/>
    <w:rsid w:val="00296529"/>
    <w:rsid w:val="00296F7B"/>
    <w:rsid w:val="002A2DE0"/>
    <w:rsid w:val="002B27FB"/>
    <w:rsid w:val="002B685A"/>
    <w:rsid w:val="002C57D2"/>
    <w:rsid w:val="002E0D56"/>
    <w:rsid w:val="002E6C0C"/>
    <w:rsid w:val="002F3CCD"/>
    <w:rsid w:val="00310A69"/>
    <w:rsid w:val="00315186"/>
    <w:rsid w:val="00315C89"/>
    <w:rsid w:val="00326B0A"/>
    <w:rsid w:val="0033343E"/>
    <w:rsid w:val="00336EAD"/>
    <w:rsid w:val="00342978"/>
    <w:rsid w:val="003512C2"/>
    <w:rsid w:val="00371FB6"/>
    <w:rsid w:val="003763C1"/>
    <w:rsid w:val="00376BBE"/>
    <w:rsid w:val="00385AB0"/>
    <w:rsid w:val="0039224F"/>
    <w:rsid w:val="003A43A4"/>
    <w:rsid w:val="003A7E18"/>
    <w:rsid w:val="003B4C7D"/>
    <w:rsid w:val="003C4C86"/>
    <w:rsid w:val="003C6258"/>
    <w:rsid w:val="003E2904"/>
    <w:rsid w:val="00401927"/>
    <w:rsid w:val="004073CB"/>
    <w:rsid w:val="0041027F"/>
    <w:rsid w:val="0041123B"/>
    <w:rsid w:val="00412475"/>
    <w:rsid w:val="004141D6"/>
    <w:rsid w:val="00423789"/>
    <w:rsid w:val="00440F43"/>
    <w:rsid w:val="00441B6F"/>
    <w:rsid w:val="00444B05"/>
    <w:rsid w:val="00446221"/>
    <w:rsid w:val="00450E62"/>
    <w:rsid w:val="00452464"/>
    <w:rsid w:val="004539DB"/>
    <w:rsid w:val="00460B46"/>
    <w:rsid w:val="00471A80"/>
    <w:rsid w:val="004822D8"/>
    <w:rsid w:val="00483FC2"/>
    <w:rsid w:val="00484D15"/>
    <w:rsid w:val="004873E7"/>
    <w:rsid w:val="004D0626"/>
    <w:rsid w:val="004D2462"/>
    <w:rsid w:val="004D305E"/>
    <w:rsid w:val="004D4277"/>
    <w:rsid w:val="004E2114"/>
    <w:rsid w:val="00502516"/>
    <w:rsid w:val="00505F06"/>
    <w:rsid w:val="00506828"/>
    <w:rsid w:val="0053056E"/>
    <w:rsid w:val="00554FDA"/>
    <w:rsid w:val="0056044E"/>
    <w:rsid w:val="00562B35"/>
    <w:rsid w:val="005718E5"/>
    <w:rsid w:val="00591BAD"/>
    <w:rsid w:val="005C0F5A"/>
    <w:rsid w:val="005C784C"/>
    <w:rsid w:val="005D17F6"/>
    <w:rsid w:val="005E5539"/>
    <w:rsid w:val="005F1837"/>
    <w:rsid w:val="005F563F"/>
    <w:rsid w:val="00602BF5"/>
    <w:rsid w:val="00617FDD"/>
    <w:rsid w:val="00633614"/>
    <w:rsid w:val="00633F68"/>
    <w:rsid w:val="00636EB2"/>
    <w:rsid w:val="006375B8"/>
    <w:rsid w:val="0066510A"/>
    <w:rsid w:val="00671C8F"/>
    <w:rsid w:val="00673F9F"/>
    <w:rsid w:val="006771A9"/>
    <w:rsid w:val="00677A19"/>
    <w:rsid w:val="00677AA2"/>
    <w:rsid w:val="00686953"/>
    <w:rsid w:val="00687DEA"/>
    <w:rsid w:val="00687E67"/>
    <w:rsid w:val="00690474"/>
    <w:rsid w:val="006967F7"/>
    <w:rsid w:val="006A250C"/>
    <w:rsid w:val="006B21D3"/>
    <w:rsid w:val="006B57D0"/>
    <w:rsid w:val="006D30FF"/>
    <w:rsid w:val="006D6940"/>
    <w:rsid w:val="006E1985"/>
    <w:rsid w:val="006F11EC"/>
    <w:rsid w:val="0070082C"/>
    <w:rsid w:val="007015C3"/>
    <w:rsid w:val="0072237F"/>
    <w:rsid w:val="007369E6"/>
    <w:rsid w:val="00746E59"/>
    <w:rsid w:val="00747C73"/>
    <w:rsid w:val="00754C9A"/>
    <w:rsid w:val="0075599A"/>
    <w:rsid w:val="00761D52"/>
    <w:rsid w:val="0077749E"/>
    <w:rsid w:val="00790ADA"/>
    <w:rsid w:val="007913F5"/>
    <w:rsid w:val="007C2214"/>
    <w:rsid w:val="007D2288"/>
    <w:rsid w:val="007D5E5C"/>
    <w:rsid w:val="007D79DD"/>
    <w:rsid w:val="007E088F"/>
    <w:rsid w:val="007E0AAB"/>
    <w:rsid w:val="007F056C"/>
    <w:rsid w:val="007F7B32"/>
    <w:rsid w:val="00804BC2"/>
    <w:rsid w:val="0081431A"/>
    <w:rsid w:val="0083216F"/>
    <w:rsid w:val="00850178"/>
    <w:rsid w:val="00860000"/>
    <w:rsid w:val="00863BD3"/>
    <w:rsid w:val="008641ED"/>
    <w:rsid w:val="00866D66"/>
    <w:rsid w:val="008671C6"/>
    <w:rsid w:val="00871DB4"/>
    <w:rsid w:val="00875803"/>
    <w:rsid w:val="008927BC"/>
    <w:rsid w:val="008B06FC"/>
    <w:rsid w:val="008B459E"/>
    <w:rsid w:val="008C4911"/>
    <w:rsid w:val="008E13AE"/>
    <w:rsid w:val="008E1506"/>
    <w:rsid w:val="008E710C"/>
    <w:rsid w:val="008F69D6"/>
    <w:rsid w:val="00902823"/>
    <w:rsid w:val="00906B78"/>
    <w:rsid w:val="00915CA6"/>
    <w:rsid w:val="00927834"/>
    <w:rsid w:val="009500A6"/>
    <w:rsid w:val="009523BB"/>
    <w:rsid w:val="00957C18"/>
    <w:rsid w:val="009659BA"/>
    <w:rsid w:val="00983040"/>
    <w:rsid w:val="009A60C9"/>
    <w:rsid w:val="009B3FB9"/>
    <w:rsid w:val="009C2465"/>
    <w:rsid w:val="009C5721"/>
    <w:rsid w:val="009D35A0"/>
    <w:rsid w:val="009D7B7E"/>
    <w:rsid w:val="009D7EB7"/>
    <w:rsid w:val="009E048A"/>
    <w:rsid w:val="009E08E9"/>
    <w:rsid w:val="009E3DB9"/>
    <w:rsid w:val="009E6E35"/>
    <w:rsid w:val="009F0EDA"/>
    <w:rsid w:val="00A03B96"/>
    <w:rsid w:val="00A05B19"/>
    <w:rsid w:val="00A1134E"/>
    <w:rsid w:val="00A17C28"/>
    <w:rsid w:val="00A24E7E"/>
    <w:rsid w:val="00A258C3"/>
    <w:rsid w:val="00A27EB8"/>
    <w:rsid w:val="00A347C0"/>
    <w:rsid w:val="00A51431"/>
    <w:rsid w:val="00A539AD"/>
    <w:rsid w:val="00A73644"/>
    <w:rsid w:val="00A94063"/>
    <w:rsid w:val="00AA6219"/>
    <w:rsid w:val="00AA74E0"/>
    <w:rsid w:val="00AB6674"/>
    <w:rsid w:val="00AB703F"/>
    <w:rsid w:val="00AC06B2"/>
    <w:rsid w:val="00AC0E58"/>
    <w:rsid w:val="00AC6BB8"/>
    <w:rsid w:val="00AD6592"/>
    <w:rsid w:val="00AD75A2"/>
    <w:rsid w:val="00AE008F"/>
    <w:rsid w:val="00B0024F"/>
    <w:rsid w:val="00B01FCD"/>
    <w:rsid w:val="00B02D8C"/>
    <w:rsid w:val="00B1776C"/>
    <w:rsid w:val="00B25CBE"/>
    <w:rsid w:val="00B52583"/>
    <w:rsid w:val="00B52896"/>
    <w:rsid w:val="00B833EB"/>
    <w:rsid w:val="00B91065"/>
    <w:rsid w:val="00B95236"/>
    <w:rsid w:val="00B96BD9"/>
    <w:rsid w:val="00BA1B01"/>
    <w:rsid w:val="00BA2641"/>
    <w:rsid w:val="00BB37AA"/>
    <w:rsid w:val="00BB77EC"/>
    <w:rsid w:val="00BC53A0"/>
    <w:rsid w:val="00BD0CBC"/>
    <w:rsid w:val="00BE62AD"/>
    <w:rsid w:val="00BF121F"/>
    <w:rsid w:val="00BF1F80"/>
    <w:rsid w:val="00C166EF"/>
    <w:rsid w:val="00C17EB0"/>
    <w:rsid w:val="00C231FE"/>
    <w:rsid w:val="00C27F5F"/>
    <w:rsid w:val="00C30A0F"/>
    <w:rsid w:val="00C37CBA"/>
    <w:rsid w:val="00C37E61"/>
    <w:rsid w:val="00C70F1B"/>
    <w:rsid w:val="00C71A47"/>
    <w:rsid w:val="00C7464C"/>
    <w:rsid w:val="00C802CC"/>
    <w:rsid w:val="00C85588"/>
    <w:rsid w:val="00CB523B"/>
    <w:rsid w:val="00CD13A7"/>
    <w:rsid w:val="00CD6755"/>
    <w:rsid w:val="00CD6856"/>
    <w:rsid w:val="00CE0089"/>
    <w:rsid w:val="00CE793C"/>
    <w:rsid w:val="00CF193C"/>
    <w:rsid w:val="00D1069F"/>
    <w:rsid w:val="00D173F1"/>
    <w:rsid w:val="00D30920"/>
    <w:rsid w:val="00D544B1"/>
    <w:rsid w:val="00D56672"/>
    <w:rsid w:val="00D62A97"/>
    <w:rsid w:val="00D74CB0"/>
    <w:rsid w:val="00D74E78"/>
    <w:rsid w:val="00D8295D"/>
    <w:rsid w:val="00D97761"/>
    <w:rsid w:val="00DA639D"/>
    <w:rsid w:val="00DC2A65"/>
    <w:rsid w:val="00DC2ECE"/>
    <w:rsid w:val="00DD4CB9"/>
    <w:rsid w:val="00DE15F0"/>
    <w:rsid w:val="00DE5663"/>
    <w:rsid w:val="00DE63AF"/>
    <w:rsid w:val="00DE78AA"/>
    <w:rsid w:val="00E053D0"/>
    <w:rsid w:val="00E15994"/>
    <w:rsid w:val="00E3114E"/>
    <w:rsid w:val="00E31A70"/>
    <w:rsid w:val="00E329B0"/>
    <w:rsid w:val="00E35B02"/>
    <w:rsid w:val="00E66496"/>
    <w:rsid w:val="00E66B35"/>
    <w:rsid w:val="00E66E10"/>
    <w:rsid w:val="00E769F6"/>
    <w:rsid w:val="00E8407C"/>
    <w:rsid w:val="00E84F3C"/>
    <w:rsid w:val="00EA012C"/>
    <w:rsid w:val="00EA2963"/>
    <w:rsid w:val="00EB1A0F"/>
    <w:rsid w:val="00EC6A55"/>
    <w:rsid w:val="00ED0288"/>
    <w:rsid w:val="00EE52CB"/>
    <w:rsid w:val="00EF581D"/>
    <w:rsid w:val="00EF7FD8"/>
    <w:rsid w:val="00F06F59"/>
    <w:rsid w:val="00F077EF"/>
    <w:rsid w:val="00F12612"/>
    <w:rsid w:val="00F17988"/>
    <w:rsid w:val="00F32124"/>
    <w:rsid w:val="00F469F0"/>
    <w:rsid w:val="00F53273"/>
    <w:rsid w:val="00F53A69"/>
    <w:rsid w:val="00F755E4"/>
    <w:rsid w:val="00F77D02"/>
    <w:rsid w:val="00FB3A86"/>
    <w:rsid w:val="00FD36C8"/>
    <w:rsid w:val="00FD59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69B408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310A6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E63AF"/>
    <w:pPr>
      <w:ind w:left="720"/>
      <w:contextualSpacing/>
    </w:pPr>
  </w:style>
  <w:style w:type="paragraph" w:styleId="CommentSubject">
    <w:name w:val="annotation subject"/>
    <w:basedOn w:val="CommentText"/>
    <w:next w:val="CommentText"/>
    <w:link w:val="CommentSubjectChar"/>
    <w:semiHidden/>
    <w:unhideWhenUsed/>
    <w:rsid w:val="007C2214"/>
    <w:rPr>
      <w:rFonts w:ascii="Helvetica" w:hAnsi="Helvetica"/>
      <w:b/>
      <w:bCs/>
      <w:lang w:val="en-US" w:eastAsia="en-US"/>
    </w:rPr>
  </w:style>
  <w:style w:type="character" w:customStyle="1" w:styleId="CommentSubjectChar">
    <w:name w:val="Comment Subject Char"/>
    <w:basedOn w:val="CommentTextChar"/>
    <w:link w:val="CommentSubject"/>
    <w:semiHidden/>
    <w:rsid w:val="007C2214"/>
    <w:rPr>
      <w:rFonts w:ascii="Helvetica" w:hAnsi="Helvetica"/>
      <w:b/>
      <w:bCs/>
      <w:lang w:val="nb-NO" w:eastAsia="nb-NO"/>
    </w:rPr>
  </w:style>
  <w:style w:type="character" w:customStyle="1" w:styleId="Heading4Char">
    <w:name w:val="Heading 4 Char"/>
    <w:basedOn w:val="DefaultParagraphFont"/>
    <w:link w:val="Heading4"/>
    <w:semiHidden/>
    <w:rsid w:val="00310A69"/>
    <w:rPr>
      <w:rFonts w:asciiTheme="majorHAnsi" w:eastAsiaTheme="majorEastAsia" w:hAnsiTheme="majorHAnsi" w:cstheme="majorBidi"/>
      <w:i/>
      <w:iCs/>
      <w:color w:val="365F91" w:themeColor="accent1" w:themeShade="BF"/>
    </w:rPr>
  </w:style>
  <w:style w:type="character" w:customStyle="1" w:styleId="typography-modulelvnit">
    <w:name w:val="typography-module__lvnit"/>
    <w:basedOn w:val="DefaultParagraphFont"/>
    <w:rsid w:val="00310A69"/>
  </w:style>
  <w:style w:type="paragraph" w:styleId="Revision">
    <w:name w:val="Revision"/>
    <w:hidden/>
    <w:uiPriority w:val="99"/>
    <w:semiHidden/>
    <w:rsid w:val="004873E7"/>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964095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8250344">
      <w:bodyDiv w:val="1"/>
      <w:marLeft w:val="0"/>
      <w:marRight w:val="0"/>
      <w:marTop w:val="0"/>
      <w:marBottom w:val="0"/>
      <w:divBdr>
        <w:top w:val="none" w:sz="0" w:space="0" w:color="auto"/>
        <w:left w:val="none" w:sz="0" w:space="0" w:color="auto"/>
        <w:bottom w:val="none" w:sz="0" w:space="0" w:color="auto"/>
        <w:right w:val="none" w:sz="0" w:space="0" w:color="auto"/>
      </w:divBdr>
      <w:divsChild>
        <w:div w:id="938558944">
          <w:marLeft w:val="0"/>
          <w:marRight w:val="0"/>
          <w:marTop w:val="0"/>
          <w:marBottom w:val="0"/>
          <w:divBdr>
            <w:top w:val="none" w:sz="0" w:space="0" w:color="auto"/>
            <w:left w:val="none" w:sz="0" w:space="0" w:color="auto"/>
            <w:bottom w:val="none" w:sz="0" w:space="0" w:color="auto"/>
            <w:right w:val="none" w:sz="0" w:space="0" w:color="auto"/>
          </w:divBdr>
        </w:div>
      </w:divsChild>
    </w:div>
    <w:div w:id="1297636562">
      <w:bodyDiv w:val="1"/>
      <w:marLeft w:val="0"/>
      <w:marRight w:val="0"/>
      <w:marTop w:val="0"/>
      <w:marBottom w:val="0"/>
      <w:divBdr>
        <w:top w:val="none" w:sz="0" w:space="0" w:color="auto"/>
        <w:left w:val="none" w:sz="0" w:space="0" w:color="auto"/>
        <w:bottom w:val="none" w:sz="0" w:space="0" w:color="auto"/>
        <w:right w:val="none" w:sz="0" w:space="0" w:color="auto"/>
      </w:divBdr>
    </w:div>
    <w:div w:id="1381438817">
      <w:bodyDiv w:val="1"/>
      <w:marLeft w:val="0"/>
      <w:marRight w:val="0"/>
      <w:marTop w:val="0"/>
      <w:marBottom w:val="0"/>
      <w:divBdr>
        <w:top w:val="none" w:sz="0" w:space="0" w:color="auto"/>
        <w:left w:val="none" w:sz="0" w:space="0" w:color="auto"/>
        <w:bottom w:val="none" w:sz="0" w:space="0" w:color="auto"/>
        <w:right w:val="none" w:sz="0" w:space="0" w:color="auto"/>
      </w:divBdr>
    </w:div>
    <w:div w:id="146165140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8BD0B-BFB8-485E-9049-EAB9B600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6</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22465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15</cp:revision>
  <cp:lastPrinted>2025-07-06T01:48:00Z</cp:lastPrinted>
  <dcterms:created xsi:type="dcterms:W3CDTF">2025-09-20T22:03:00Z</dcterms:created>
  <dcterms:modified xsi:type="dcterms:W3CDTF">2025-09-23T10:18:00Z</dcterms:modified>
</cp:coreProperties>
</file>