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6FBE" w14:textId="77777777" w:rsidR="00FA6DA1" w:rsidRPr="00223265" w:rsidRDefault="00FA6DA1" w:rsidP="00A9069B">
      <w:pPr>
        <w:pStyle w:val="Heading1"/>
        <w:spacing w:line="360" w:lineRule="auto"/>
        <w:jc w:val="center"/>
        <w:rPr>
          <w:rFonts w:ascii="Times New Roman" w:hAnsi="Times New Roman" w:cs="Times New Roman"/>
          <w:b/>
          <w:bCs/>
          <w:color w:val="auto"/>
          <w:sz w:val="28"/>
          <w:szCs w:val="28"/>
        </w:rPr>
      </w:pPr>
    </w:p>
    <w:p w14:paraId="78494D22" w14:textId="050A9ED5" w:rsidR="00496E85" w:rsidRDefault="00D41A4E" w:rsidP="00223265">
      <w:pPr>
        <w:rPr>
          <w:rFonts w:ascii="Times New Roman" w:hAnsi="Times New Roman" w:cs="Times New Roman"/>
          <w:b/>
          <w:bCs/>
          <w:sz w:val="24"/>
          <w:szCs w:val="24"/>
        </w:rPr>
      </w:pPr>
      <w:r w:rsidRPr="00223265">
        <w:rPr>
          <w:rFonts w:ascii="Times New Roman" w:hAnsi="Times New Roman" w:cs="Times New Roman"/>
          <w:b/>
          <w:bCs/>
          <w:sz w:val="24"/>
          <w:szCs w:val="24"/>
        </w:rPr>
        <w:t xml:space="preserve">Secondary Hyperparathyroidism </w:t>
      </w:r>
      <w:r>
        <w:rPr>
          <w:rFonts w:ascii="Times New Roman" w:hAnsi="Times New Roman" w:cs="Times New Roman"/>
          <w:b/>
          <w:bCs/>
          <w:sz w:val="24"/>
          <w:szCs w:val="24"/>
        </w:rPr>
        <w:t>i</w:t>
      </w:r>
      <w:r w:rsidRPr="00223265">
        <w:rPr>
          <w:rFonts w:ascii="Times New Roman" w:hAnsi="Times New Roman" w:cs="Times New Roman"/>
          <w:b/>
          <w:bCs/>
          <w:sz w:val="24"/>
          <w:szCs w:val="24"/>
        </w:rPr>
        <w:t>n C</w:t>
      </w:r>
      <w:r>
        <w:rPr>
          <w:rFonts w:ascii="Times New Roman" w:hAnsi="Times New Roman" w:cs="Times New Roman"/>
          <w:b/>
          <w:bCs/>
          <w:sz w:val="24"/>
          <w:szCs w:val="24"/>
        </w:rPr>
        <w:t>KD</w:t>
      </w:r>
      <w:r w:rsidRPr="00223265">
        <w:rPr>
          <w:rFonts w:ascii="Times New Roman" w:hAnsi="Times New Roman" w:cs="Times New Roman"/>
          <w:b/>
          <w:bCs/>
          <w:sz w:val="24"/>
          <w:szCs w:val="24"/>
        </w:rPr>
        <w:t xml:space="preserve">: Comparative Case Series </w:t>
      </w:r>
      <w:r>
        <w:rPr>
          <w:rFonts w:ascii="Times New Roman" w:hAnsi="Times New Roman" w:cs="Times New Roman"/>
          <w:b/>
          <w:bCs/>
          <w:sz w:val="24"/>
          <w:szCs w:val="24"/>
        </w:rPr>
        <w:t>o</w:t>
      </w:r>
      <w:r w:rsidRPr="00223265">
        <w:rPr>
          <w:rFonts w:ascii="Times New Roman" w:hAnsi="Times New Roman" w:cs="Times New Roman"/>
          <w:b/>
          <w:bCs/>
          <w:sz w:val="24"/>
          <w:szCs w:val="24"/>
        </w:rPr>
        <w:t xml:space="preserve">f </w:t>
      </w:r>
      <w:r>
        <w:rPr>
          <w:rFonts w:ascii="Times New Roman" w:hAnsi="Times New Roman" w:cs="Times New Roman"/>
          <w:b/>
          <w:bCs/>
          <w:sz w:val="24"/>
          <w:szCs w:val="24"/>
        </w:rPr>
        <w:t>Medical Management</w:t>
      </w:r>
      <w:r w:rsidRPr="00223265">
        <w:rPr>
          <w:rFonts w:ascii="Times New Roman" w:hAnsi="Times New Roman" w:cs="Times New Roman"/>
          <w:b/>
          <w:bCs/>
          <w:sz w:val="24"/>
          <w:szCs w:val="24"/>
        </w:rPr>
        <w:t xml:space="preserve"> </w:t>
      </w:r>
      <w:r>
        <w:rPr>
          <w:rFonts w:ascii="Times New Roman" w:hAnsi="Times New Roman" w:cs="Times New Roman"/>
          <w:b/>
          <w:bCs/>
          <w:sz w:val="24"/>
          <w:szCs w:val="24"/>
        </w:rPr>
        <w:t>a</w:t>
      </w:r>
      <w:r w:rsidRPr="00223265">
        <w:rPr>
          <w:rFonts w:ascii="Times New Roman" w:hAnsi="Times New Roman" w:cs="Times New Roman"/>
          <w:b/>
          <w:bCs/>
          <w:sz w:val="24"/>
          <w:szCs w:val="24"/>
        </w:rPr>
        <w:t>nd Parathyroidectomy</w:t>
      </w:r>
    </w:p>
    <w:p w14:paraId="0E2DEA3F" w14:textId="77777777" w:rsidR="00223265" w:rsidRPr="00223265" w:rsidRDefault="00223265" w:rsidP="00223265">
      <w:pPr>
        <w:rPr>
          <w:rFonts w:ascii="Times New Roman" w:hAnsi="Times New Roman" w:cs="Times New Roman"/>
          <w:b/>
          <w:bCs/>
          <w:sz w:val="24"/>
          <w:szCs w:val="24"/>
        </w:rPr>
      </w:pPr>
    </w:p>
    <w:p w14:paraId="582099D6" w14:textId="0A54F50B"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ABSTRACT</w:t>
      </w:r>
    </w:p>
    <w:p w14:paraId="557CDDE9" w14:textId="430C0D4C" w:rsidR="00806934" w:rsidRDefault="00806934" w:rsidP="00806934">
      <w:pPr>
        <w:pStyle w:val="NoSpacing"/>
        <w:spacing w:line="360" w:lineRule="auto"/>
        <w:jc w:val="both"/>
        <w:rPr>
          <w:rFonts w:ascii="Times New Roman" w:hAnsi="Times New Roman" w:cs="Times New Roman"/>
          <w:sz w:val="24"/>
          <w:szCs w:val="24"/>
        </w:rPr>
      </w:pPr>
      <w:r w:rsidRPr="00806934">
        <w:rPr>
          <w:rFonts w:ascii="Times New Roman" w:hAnsi="Times New Roman" w:cs="Times New Roman"/>
          <w:sz w:val="24"/>
          <w:szCs w:val="24"/>
        </w:rPr>
        <w:t xml:space="preserve">In chronic kidney disease (CKD), disturbances in phosphate, calcium, and vitamin D balance often lead to secondary hyperparathyroidism (SHPT), which can progress to tertiary hyperparathyroidism if </w:t>
      </w:r>
      <w:r>
        <w:rPr>
          <w:rFonts w:ascii="Times New Roman" w:hAnsi="Times New Roman" w:cs="Times New Roman"/>
          <w:sz w:val="24"/>
          <w:szCs w:val="24"/>
        </w:rPr>
        <w:t xml:space="preserve">left </w:t>
      </w:r>
      <w:r w:rsidRPr="00806934">
        <w:rPr>
          <w:rFonts w:ascii="Times New Roman" w:hAnsi="Times New Roman" w:cs="Times New Roman"/>
          <w:sz w:val="24"/>
          <w:szCs w:val="24"/>
        </w:rPr>
        <w:t>untreated.</w:t>
      </w:r>
    </w:p>
    <w:p w14:paraId="451FF012" w14:textId="77777777" w:rsidR="00806934" w:rsidRDefault="00806934" w:rsidP="00806934">
      <w:pPr>
        <w:pStyle w:val="NoSpacing"/>
        <w:spacing w:line="360" w:lineRule="auto"/>
        <w:jc w:val="both"/>
        <w:rPr>
          <w:rFonts w:ascii="Times New Roman" w:hAnsi="Times New Roman" w:cs="Times New Roman"/>
          <w:sz w:val="24"/>
          <w:szCs w:val="24"/>
        </w:rPr>
      </w:pPr>
      <w:r w:rsidRPr="00806934">
        <w:rPr>
          <w:rFonts w:ascii="Times New Roman" w:hAnsi="Times New Roman" w:cs="Times New Roman"/>
          <w:sz w:val="24"/>
          <w:szCs w:val="24"/>
        </w:rPr>
        <w:t xml:space="preserve"> We present three cases illustrating different management approaches: a 36-year-old male with refractory SHPT successfully treated with total parathyroidectomy, thymectomy, and forearm auto</w:t>
      </w:r>
      <w:r>
        <w:rPr>
          <w:rFonts w:ascii="Times New Roman" w:hAnsi="Times New Roman" w:cs="Times New Roman"/>
          <w:sz w:val="24"/>
          <w:szCs w:val="24"/>
        </w:rPr>
        <w:t xml:space="preserve"> </w:t>
      </w:r>
      <w:r w:rsidRPr="00806934">
        <w:rPr>
          <w:rFonts w:ascii="Times New Roman" w:hAnsi="Times New Roman" w:cs="Times New Roman"/>
          <w:sz w:val="24"/>
          <w:szCs w:val="24"/>
        </w:rPr>
        <w:t>transplantation; a 63-year-old female on long-term dialysis who developed a spinal brown tumor from tertiary hyperparathyroidism, managed with parathyroidectomy and spinal decompression; and a 43-year-old male with stage V CKD whose SHPT was effectively controlled medically with Sevelamer, Alfacalcidol, and Cinacalcet.</w:t>
      </w:r>
    </w:p>
    <w:p w14:paraId="742689EC" w14:textId="47549CEC" w:rsidR="00806934" w:rsidRDefault="00806934" w:rsidP="00806934">
      <w:pPr>
        <w:pStyle w:val="NoSpacing"/>
        <w:spacing w:line="360" w:lineRule="auto"/>
        <w:jc w:val="both"/>
        <w:rPr>
          <w:rFonts w:ascii="Times New Roman" w:hAnsi="Times New Roman" w:cs="Times New Roman"/>
          <w:sz w:val="24"/>
          <w:szCs w:val="24"/>
        </w:rPr>
      </w:pPr>
      <w:r w:rsidRPr="00806934">
        <w:rPr>
          <w:rFonts w:ascii="Times New Roman" w:hAnsi="Times New Roman" w:cs="Times New Roman"/>
          <w:sz w:val="24"/>
          <w:szCs w:val="24"/>
        </w:rPr>
        <w:t xml:space="preserve"> These cases emphasize that while medical therapy is effective in early, responsive SHPT, advanced or refractory disease often requires surgical intervention, highlighting the importance of timely diagnosis, individualized treatment, and multidisciplinary follow-up for optimal outcomes.</w:t>
      </w:r>
    </w:p>
    <w:p w14:paraId="1414D8A3" w14:textId="5BD023FC" w:rsidR="00D41A4E" w:rsidRDefault="00D41A4E" w:rsidP="008069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Keywords: C</w:t>
      </w:r>
      <w:r w:rsidRPr="00D41A4E">
        <w:rPr>
          <w:rFonts w:ascii="Times New Roman" w:hAnsi="Times New Roman" w:cs="Times New Roman"/>
          <w:sz w:val="28"/>
          <w:szCs w:val="28"/>
        </w:rPr>
        <w:t>hronic kidney disease</w:t>
      </w:r>
      <w:r>
        <w:rPr>
          <w:rFonts w:ascii="Times New Roman" w:hAnsi="Times New Roman" w:cs="Times New Roman"/>
          <w:sz w:val="28"/>
          <w:szCs w:val="28"/>
        </w:rPr>
        <w:t>, H</w:t>
      </w:r>
      <w:r w:rsidRPr="00D41A4E">
        <w:rPr>
          <w:rFonts w:ascii="Times New Roman" w:hAnsi="Times New Roman" w:cs="Times New Roman"/>
          <w:sz w:val="28"/>
          <w:szCs w:val="28"/>
        </w:rPr>
        <w:t>yperparathyroidism</w:t>
      </w:r>
      <w:r>
        <w:rPr>
          <w:rFonts w:ascii="Times New Roman" w:hAnsi="Times New Roman" w:cs="Times New Roman"/>
          <w:sz w:val="28"/>
          <w:szCs w:val="28"/>
        </w:rPr>
        <w:t>, D</w:t>
      </w:r>
      <w:r w:rsidRPr="00D41A4E">
        <w:rPr>
          <w:rFonts w:ascii="Times New Roman" w:hAnsi="Times New Roman" w:cs="Times New Roman"/>
          <w:sz w:val="28"/>
          <w:szCs w:val="28"/>
        </w:rPr>
        <w:t>ialysis</w:t>
      </w:r>
      <w:r>
        <w:rPr>
          <w:rFonts w:ascii="Times New Roman" w:hAnsi="Times New Roman" w:cs="Times New Roman"/>
          <w:sz w:val="28"/>
          <w:szCs w:val="28"/>
        </w:rPr>
        <w:t>, T</w:t>
      </w:r>
      <w:r w:rsidRPr="00D41A4E">
        <w:rPr>
          <w:rFonts w:ascii="Times New Roman" w:hAnsi="Times New Roman" w:cs="Times New Roman"/>
          <w:sz w:val="28"/>
          <w:szCs w:val="28"/>
        </w:rPr>
        <w:t>hymectomy</w:t>
      </w:r>
    </w:p>
    <w:p w14:paraId="06811CBB" w14:textId="77777777" w:rsidR="00806934" w:rsidRDefault="00806934" w:rsidP="00806934">
      <w:pPr>
        <w:pStyle w:val="NoSpacing"/>
        <w:spacing w:line="360" w:lineRule="auto"/>
        <w:jc w:val="both"/>
        <w:rPr>
          <w:rFonts w:ascii="Times New Roman" w:hAnsi="Times New Roman" w:cs="Times New Roman"/>
          <w:sz w:val="28"/>
          <w:szCs w:val="28"/>
        </w:rPr>
      </w:pPr>
    </w:p>
    <w:p w14:paraId="0E5AEE7A" w14:textId="0586268A" w:rsidR="00777C12" w:rsidRPr="007D1A3A" w:rsidRDefault="000A7056" w:rsidP="00806934">
      <w:pPr>
        <w:pStyle w:val="NoSpacing"/>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Introduction</w:t>
      </w:r>
    </w:p>
    <w:p w14:paraId="517B783D" w14:textId="1BD9DF8E" w:rsidR="00777C12" w:rsidRPr="00380CB6" w:rsidRDefault="000A7056" w:rsidP="00B25E29">
      <w:pPr>
        <w:spacing w:after="0" w:line="360" w:lineRule="auto"/>
        <w:jc w:val="both"/>
        <w:rPr>
          <w:rFonts w:ascii="Times New Roman" w:hAnsi="Times New Roman" w:cs="Times New Roman"/>
          <w:color w:val="000000"/>
          <w:sz w:val="24"/>
          <w:szCs w:val="24"/>
        </w:rPr>
      </w:pPr>
      <w:r w:rsidRPr="00380CB6">
        <w:rPr>
          <w:rFonts w:ascii="Times New Roman" w:eastAsia="Times New Roman" w:hAnsi="Times New Roman" w:cs="Times New Roman"/>
          <w:sz w:val="24"/>
          <w:szCs w:val="24"/>
          <w:lang w:eastAsia="en-IN"/>
        </w:rPr>
        <w:t xml:space="preserve">Dialysis patients frequently experience secondary hyperparathyroidism (SHPT), a dangerous side effect of chronic renal failure (CRF). The primary symptom is parathyroid hyperplasia, which is </w:t>
      </w:r>
      <w:r w:rsidR="00FC42D6">
        <w:rPr>
          <w:rFonts w:ascii="Times New Roman" w:eastAsia="Times New Roman" w:hAnsi="Times New Roman" w:cs="Times New Roman"/>
          <w:sz w:val="24"/>
          <w:szCs w:val="24"/>
          <w:lang w:eastAsia="en-IN"/>
        </w:rPr>
        <w:t>caused by aberrant calcium and phosphorus metabolism, as well as</w:t>
      </w:r>
      <w:r w:rsidRPr="00380CB6">
        <w:rPr>
          <w:rFonts w:ascii="Times New Roman" w:eastAsia="Times New Roman" w:hAnsi="Times New Roman" w:cs="Times New Roman"/>
          <w:sz w:val="24"/>
          <w:szCs w:val="24"/>
          <w:lang w:eastAsia="en-IN"/>
        </w:rPr>
        <w:t xml:space="preserve"> active vitamin D resistance. This results in an overabundance of parathyroid hormone (PTH), which affects CKD patients and lowers their quality of life by causing problems like bone deformity, osteoarthralgia, </w:t>
      </w:r>
      <w:r w:rsidR="00EC7B42" w:rsidRPr="00380CB6">
        <w:rPr>
          <w:rFonts w:ascii="Times New Roman" w:eastAsia="Times New Roman" w:hAnsi="Times New Roman" w:cs="Times New Roman"/>
          <w:sz w:val="24"/>
          <w:szCs w:val="24"/>
          <w:lang w:eastAsia="en-IN"/>
        </w:rPr>
        <w:t>pruritus, ectopic calcification</w:t>
      </w:r>
      <w:r w:rsidR="00FC42D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cardiovascular </w:t>
      </w:r>
      <w:proofErr w:type="gramStart"/>
      <w:r w:rsidRPr="00380CB6">
        <w:rPr>
          <w:rFonts w:ascii="Times New Roman" w:eastAsia="Times New Roman" w:hAnsi="Times New Roman" w:cs="Times New Roman"/>
          <w:sz w:val="24"/>
          <w:szCs w:val="24"/>
          <w:lang w:eastAsia="en-IN"/>
        </w:rPr>
        <w:t>calcification.</w:t>
      </w:r>
      <w:r w:rsidRPr="00380CB6">
        <w:rPr>
          <w:rFonts w:ascii="Times New Roman" w:eastAsia="Times New Roman" w:hAnsi="Times New Roman" w:cs="Times New Roman"/>
          <w:sz w:val="24"/>
          <w:szCs w:val="24"/>
          <w:vertAlign w:val="superscript"/>
          <w:lang w:eastAsia="en-IN"/>
        </w:rPr>
        <w:t>[</w:t>
      </w:r>
      <w:proofErr w:type="gramEnd"/>
      <w:r w:rsidRPr="00380CB6">
        <w:rPr>
          <w:rFonts w:ascii="Times New Roman" w:eastAsia="Times New Roman" w:hAnsi="Times New Roman" w:cs="Times New Roman"/>
          <w:color w:val="181A19"/>
          <w:sz w:val="24"/>
          <w:szCs w:val="24"/>
          <w:vertAlign w:val="superscript"/>
          <w:lang w:eastAsia="en-IN"/>
        </w:rPr>
        <w:t>1]</w:t>
      </w:r>
    </w:p>
    <w:p w14:paraId="08C0A5AA" w14:textId="77777777" w:rsidR="00777C12" w:rsidRPr="00380CB6" w:rsidRDefault="00777C12" w:rsidP="00B25E29">
      <w:pPr>
        <w:spacing w:after="0" w:line="360" w:lineRule="auto"/>
        <w:jc w:val="both"/>
        <w:rPr>
          <w:rFonts w:ascii="Times New Roman" w:hAnsi="Times New Roman" w:cs="Times New Roman"/>
          <w:color w:val="000000"/>
          <w:sz w:val="24"/>
          <w:szCs w:val="24"/>
        </w:rPr>
      </w:pPr>
    </w:p>
    <w:p w14:paraId="5571021F" w14:textId="77777777" w:rsidR="00771499" w:rsidRDefault="000A7056" w:rsidP="00B25E29">
      <w:pPr>
        <w:spacing w:after="0" w:line="360" w:lineRule="auto"/>
        <w:jc w:val="both"/>
        <w:rPr>
          <w:sz w:val="24"/>
          <w:szCs w:val="24"/>
        </w:rPr>
      </w:pPr>
      <w:r w:rsidRPr="00380CB6">
        <w:rPr>
          <w:rFonts w:ascii="Times New Roman" w:eastAsia="Times New Roman" w:hAnsi="Times New Roman" w:cs="Times New Roman"/>
          <w:sz w:val="24"/>
          <w:szCs w:val="24"/>
          <w:lang w:eastAsia="en-IN"/>
        </w:rPr>
        <w:t>The hallmarks of primary hyperparathyroidism are hypercalcemia and reduced serum phosphorus levels, which are broug</w:t>
      </w:r>
      <w:r w:rsidR="00380CB6">
        <w:rPr>
          <w:rFonts w:ascii="Times New Roman" w:eastAsia="Times New Roman" w:hAnsi="Times New Roman" w:cs="Times New Roman"/>
          <w:sz w:val="24"/>
          <w:szCs w:val="24"/>
          <w:lang w:eastAsia="en-IN"/>
        </w:rPr>
        <w:t>ht on by the parathyroid gland’s</w:t>
      </w:r>
      <w:r w:rsidRPr="00380CB6">
        <w:rPr>
          <w:rFonts w:ascii="Times New Roman" w:eastAsia="Times New Roman" w:hAnsi="Times New Roman" w:cs="Times New Roman"/>
          <w:sz w:val="24"/>
          <w:szCs w:val="24"/>
          <w:lang w:eastAsia="en-IN"/>
        </w:rPr>
        <w:t xml:space="preserve"> overproduction of PTH. Secondary hyperparathyroidism (SHPT), which is typified by hyperphosphatemia and low </w:t>
      </w:r>
      <w:r w:rsidRPr="00380CB6">
        <w:rPr>
          <w:rFonts w:ascii="Times New Roman" w:eastAsia="Times New Roman" w:hAnsi="Times New Roman" w:cs="Times New Roman"/>
          <w:sz w:val="24"/>
          <w:szCs w:val="24"/>
          <w:lang w:eastAsia="en-IN"/>
        </w:rPr>
        <w:lastRenderedPageBreak/>
        <w:t xml:space="preserve">ionized calcium levels, is most frequently seen in chronic kidney disease (CKD). The term "tertiary hyperparathyroidism" refers to the parathyroid glands' excessive and independent production of PTH following prolonged </w:t>
      </w:r>
      <w:proofErr w:type="gramStart"/>
      <w:r w:rsidRPr="00380CB6">
        <w:rPr>
          <w:rFonts w:ascii="Times New Roman" w:eastAsia="Times New Roman" w:hAnsi="Times New Roman" w:cs="Times New Roman"/>
          <w:sz w:val="24"/>
          <w:szCs w:val="24"/>
          <w:lang w:eastAsia="en-IN"/>
        </w:rPr>
        <w:t>SHPT</w:t>
      </w:r>
      <w:r w:rsidRPr="00380CB6">
        <w:rPr>
          <w:rFonts w:ascii="Times New Roman" w:eastAsia="Times New Roman" w:hAnsi="Times New Roman" w:cs="Times New Roman"/>
          <w:sz w:val="24"/>
          <w:szCs w:val="24"/>
          <w:vertAlign w:val="superscript"/>
          <w:lang w:eastAsia="en-IN"/>
        </w:rPr>
        <w:t>[</w:t>
      </w:r>
      <w:proofErr w:type="gramEnd"/>
      <w:r w:rsidRPr="00380CB6">
        <w:rPr>
          <w:rFonts w:ascii="Times New Roman" w:eastAsia="Times New Roman" w:hAnsi="Times New Roman" w:cs="Times New Roman"/>
          <w:sz w:val="24"/>
          <w:szCs w:val="24"/>
          <w:vertAlign w:val="superscript"/>
          <w:lang w:eastAsia="en-IN"/>
        </w:rPr>
        <w:t>2]</w:t>
      </w:r>
      <w:r w:rsidRPr="00380CB6">
        <w:rPr>
          <w:rFonts w:ascii="Times New Roman" w:eastAsia="Times New Roman" w:hAnsi="Times New Roman" w:cs="Times New Roman"/>
          <w:sz w:val="24"/>
          <w:szCs w:val="24"/>
          <w:lang w:eastAsia="en-IN"/>
        </w:rPr>
        <w:t xml:space="preserve">. </w:t>
      </w:r>
      <w:r w:rsidR="006B1275" w:rsidRPr="006B1275">
        <w:rPr>
          <w:rFonts w:ascii="Times New Roman" w:hAnsi="Times New Roman" w:cs="Times New Roman"/>
          <w:sz w:val="24"/>
          <w:szCs w:val="24"/>
        </w:rPr>
        <w:t>The discovery of the calcium-sensing receptor (</w:t>
      </w:r>
      <w:proofErr w:type="spellStart"/>
      <w:r w:rsidR="006B1275" w:rsidRPr="006B1275">
        <w:rPr>
          <w:rFonts w:ascii="Times New Roman" w:hAnsi="Times New Roman" w:cs="Times New Roman"/>
          <w:sz w:val="24"/>
          <w:szCs w:val="24"/>
        </w:rPr>
        <w:t>CaSR</w:t>
      </w:r>
      <w:proofErr w:type="spellEnd"/>
      <w:r w:rsidR="006B1275" w:rsidRPr="006B1275">
        <w:rPr>
          <w:rFonts w:ascii="Times New Roman" w:hAnsi="Times New Roman" w:cs="Times New Roman"/>
          <w:sz w:val="24"/>
          <w:szCs w:val="24"/>
        </w:rPr>
        <w:t>) has provided key insights into how chronic kidney disease disrupts calcium and vitamin D balance, leading the parathyroid glands to become overactive and enlarged. This process explains much of how secondary hyperparathyroidism develops and progresses, and highlights the importance of early recognition and tailored management.</w:t>
      </w:r>
      <w:r w:rsidR="006B1275">
        <w:rPr>
          <w:rFonts w:ascii="Times New Roman" w:hAnsi="Times New Roman" w:cs="Times New Roman"/>
          <w:sz w:val="24"/>
          <w:szCs w:val="24"/>
        </w:rPr>
        <w:t xml:space="preserve"> </w:t>
      </w:r>
      <w:r w:rsidR="006B1275">
        <w:rPr>
          <w:rFonts w:ascii="Times New Roman" w:hAnsi="Times New Roman" w:cs="Times New Roman"/>
          <w:sz w:val="24"/>
          <w:szCs w:val="24"/>
          <w:vertAlign w:val="superscript"/>
        </w:rPr>
        <w:t>[</w:t>
      </w:r>
      <w:r w:rsidR="004C630D">
        <w:rPr>
          <w:rFonts w:ascii="Times New Roman" w:hAnsi="Times New Roman" w:cs="Times New Roman"/>
          <w:sz w:val="24"/>
          <w:szCs w:val="24"/>
          <w:vertAlign w:val="superscript"/>
        </w:rPr>
        <w:t>13</w:t>
      </w:r>
      <w:r w:rsidR="006B1275">
        <w:rPr>
          <w:rFonts w:ascii="Times New Roman" w:hAnsi="Times New Roman" w:cs="Times New Roman"/>
          <w:sz w:val="24"/>
          <w:szCs w:val="24"/>
          <w:vertAlign w:val="superscript"/>
        </w:rPr>
        <w:t>]</w:t>
      </w:r>
      <w:r w:rsidR="006B1275" w:rsidRPr="006B1275">
        <w:rPr>
          <w:sz w:val="24"/>
          <w:szCs w:val="24"/>
        </w:rPr>
        <w:t xml:space="preserve"> </w:t>
      </w:r>
    </w:p>
    <w:p w14:paraId="0BFEA62C" w14:textId="77777777" w:rsidR="00771499" w:rsidRDefault="000A7056"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There are currently numerous treatment options available, including vitamin D receptor </w:t>
      </w:r>
      <w:r w:rsidR="00EC7B42" w:rsidRPr="00380CB6">
        <w:rPr>
          <w:rFonts w:ascii="Times New Roman" w:eastAsia="Times New Roman" w:hAnsi="Times New Roman" w:cs="Times New Roman"/>
          <w:sz w:val="24"/>
          <w:szCs w:val="24"/>
          <w:lang w:eastAsia="en-IN"/>
        </w:rPr>
        <w:t>agonists</w:t>
      </w:r>
      <w:r w:rsidR="00952A44" w:rsidRPr="00380CB6">
        <w:rPr>
          <w:rFonts w:ascii="Times New Roman" w:eastAsia="Times New Roman" w:hAnsi="Times New Roman" w:cs="Times New Roman"/>
          <w:sz w:val="24"/>
          <w:szCs w:val="24"/>
          <w:lang w:eastAsia="en-IN"/>
        </w:rPr>
        <w:t xml:space="preserve">, </w:t>
      </w:r>
      <w:r w:rsidR="00DC6890">
        <w:rPr>
          <w:rFonts w:ascii="Times New Roman" w:eastAsia="Times New Roman" w:hAnsi="Times New Roman" w:cs="Times New Roman"/>
          <w:sz w:val="24"/>
          <w:szCs w:val="24"/>
          <w:lang w:eastAsia="en-IN"/>
        </w:rPr>
        <w:t xml:space="preserve">Parathyroid </w:t>
      </w:r>
      <w:proofErr w:type="gramStart"/>
      <w:r w:rsidR="00DC6890">
        <w:rPr>
          <w:rFonts w:ascii="Times New Roman" w:eastAsia="Times New Roman" w:hAnsi="Times New Roman" w:cs="Times New Roman"/>
          <w:sz w:val="24"/>
          <w:szCs w:val="24"/>
          <w:lang w:eastAsia="en-IN"/>
        </w:rPr>
        <w:t>hormone(</w:t>
      </w:r>
      <w:proofErr w:type="gramEnd"/>
      <w:r w:rsidR="00B02483" w:rsidRPr="00380CB6">
        <w:rPr>
          <w:rFonts w:ascii="Times New Roman" w:eastAsia="Times New Roman" w:hAnsi="Times New Roman" w:cs="Times New Roman"/>
          <w:sz w:val="24"/>
          <w:szCs w:val="24"/>
          <w:lang w:eastAsia="en-IN"/>
        </w:rPr>
        <w:t>Cinacalcet</w:t>
      </w:r>
      <w:r w:rsidR="00DC6890">
        <w:rPr>
          <w:rFonts w:ascii="Times New Roman" w:eastAsia="Times New Roman" w:hAnsi="Times New Roman" w:cs="Times New Roman"/>
          <w:sz w:val="24"/>
          <w:szCs w:val="24"/>
          <w:lang w:eastAsia="en-IN"/>
        </w:rPr>
        <w:t>)</w:t>
      </w:r>
      <w:r w:rsidR="00B02483">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parathyroidectomy</w:t>
      </w:r>
      <w:r w:rsidR="00952A44" w:rsidRPr="00380CB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 xml:space="preserve">and ablation operations. Among these treatments, medical treatment is the most popular, although it is ineffective for those with severe </w:t>
      </w:r>
      <w:proofErr w:type="gramStart"/>
      <w:r w:rsidRPr="00380CB6">
        <w:rPr>
          <w:rFonts w:ascii="Times New Roman" w:eastAsia="Times New Roman" w:hAnsi="Times New Roman" w:cs="Times New Roman"/>
          <w:sz w:val="24"/>
          <w:szCs w:val="24"/>
          <w:lang w:eastAsia="en-IN"/>
        </w:rPr>
        <w:t>hyperparathyroidism.</w:t>
      </w:r>
      <w:r w:rsidR="009B327E">
        <w:rPr>
          <w:rFonts w:ascii="Times New Roman" w:eastAsia="Times New Roman" w:hAnsi="Times New Roman" w:cs="Times New Roman"/>
          <w:sz w:val="24"/>
          <w:szCs w:val="24"/>
          <w:vertAlign w:val="superscript"/>
          <w:lang w:eastAsia="en-IN"/>
        </w:rPr>
        <w:t>[</w:t>
      </w:r>
      <w:proofErr w:type="gramEnd"/>
      <w:r w:rsidR="009B327E" w:rsidRPr="00380CB6">
        <w:rPr>
          <w:rFonts w:ascii="Times New Roman" w:eastAsia="Times New Roman" w:hAnsi="Times New Roman" w:cs="Times New Roman"/>
          <w:sz w:val="24"/>
          <w:szCs w:val="24"/>
          <w:vertAlign w:val="superscript"/>
          <w:lang w:eastAsia="en-IN"/>
        </w:rPr>
        <w:t>1</w:t>
      </w:r>
      <w:r w:rsidR="009B327E" w:rsidRPr="009B327E">
        <w:rPr>
          <w:rFonts w:ascii="Times New Roman" w:eastAsia="Times New Roman" w:hAnsi="Times New Roman" w:cs="Times New Roman"/>
          <w:sz w:val="24"/>
          <w:szCs w:val="24"/>
          <w:vertAlign w:val="superscript"/>
          <w:lang w:eastAsia="en-IN"/>
        </w:rPr>
        <w:t>]</w:t>
      </w:r>
      <w:r w:rsidR="009B327E" w:rsidRPr="009B327E">
        <w:rPr>
          <w:rFonts w:ascii="Times New Roman" w:eastAsia="Times New Roman" w:hAnsi="Times New Roman" w:cs="Times New Roman"/>
          <w:sz w:val="24"/>
          <w:szCs w:val="24"/>
          <w:lang w:eastAsia="en-IN"/>
        </w:rPr>
        <w:t xml:space="preserve"> </w:t>
      </w:r>
      <w:r w:rsidRPr="009B327E">
        <w:rPr>
          <w:rFonts w:ascii="Times New Roman" w:eastAsia="Times New Roman" w:hAnsi="Times New Roman" w:cs="Times New Roman"/>
          <w:sz w:val="24"/>
          <w:szCs w:val="24"/>
          <w:lang w:eastAsia="en-IN"/>
        </w:rPr>
        <w:t xml:space="preserve"> </w:t>
      </w:r>
      <w:r w:rsidR="009B327E" w:rsidRPr="009B327E">
        <w:rPr>
          <w:rFonts w:ascii="Times New Roman" w:hAnsi="Times New Roman" w:cs="Times New Roman"/>
          <w:sz w:val="24"/>
          <w:szCs w:val="24"/>
        </w:rPr>
        <w:t>Studies such as the EVOLVE trial have shown that cinacalcet can successfully lower parathyroid hormone levels in dialysis patients, but its use is often limited by the frequent occurrence of low calcium levels, reminding us that treatment must be carefully balanced and tailored to each individual’s needs.</w:t>
      </w:r>
      <w:r w:rsidR="009B327E" w:rsidRPr="009B327E">
        <w:rPr>
          <w:sz w:val="28"/>
          <w:szCs w:val="28"/>
        </w:rPr>
        <w:t xml:space="preserve"> </w:t>
      </w:r>
      <w:r w:rsidR="009B327E">
        <w:rPr>
          <w:vertAlign w:val="superscript"/>
        </w:rPr>
        <w:t xml:space="preserve">[14] </w:t>
      </w:r>
      <w:r w:rsidR="006C5FA6" w:rsidRPr="00380CB6">
        <w:rPr>
          <w:rFonts w:ascii="Times New Roman" w:eastAsia="Times New Roman" w:hAnsi="Times New Roman" w:cs="Times New Roman"/>
          <w:sz w:val="24"/>
          <w:szCs w:val="24"/>
          <w:lang w:eastAsia="en-IN"/>
        </w:rPr>
        <w:t xml:space="preserve">Thus, </w:t>
      </w:r>
      <w:r w:rsidRPr="00380CB6">
        <w:rPr>
          <w:rFonts w:ascii="Times New Roman" w:eastAsia="Times New Roman" w:hAnsi="Times New Roman" w:cs="Times New Roman"/>
          <w:sz w:val="24"/>
          <w:szCs w:val="24"/>
          <w:lang w:eastAsia="en-IN"/>
        </w:rPr>
        <w:t>parathyroidectomy</w:t>
      </w:r>
      <w:r w:rsidR="006C5FA6" w:rsidRPr="00380CB6">
        <w:rPr>
          <w:rFonts w:ascii="Times New Roman" w:eastAsia="Times New Roman" w:hAnsi="Times New Roman" w:cs="Times New Roman"/>
          <w:sz w:val="24"/>
          <w:szCs w:val="24"/>
          <w:lang w:eastAsia="en-IN"/>
        </w:rPr>
        <w:t xml:space="preserve"> may be considered </w:t>
      </w:r>
      <w:r w:rsidR="00EB5433">
        <w:rPr>
          <w:rFonts w:ascii="Times New Roman" w:eastAsia="Times New Roman" w:hAnsi="Times New Roman" w:cs="Times New Roman"/>
          <w:sz w:val="24"/>
          <w:szCs w:val="24"/>
          <w:lang w:eastAsia="en-IN"/>
        </w:rPr>
        <w:t xml:space="preserve">as </w:t>
      </w:r>
      <w:r w:rsidR="006C5FA6" w:rsidRPr="00380CB6">
        <w:rPr>
          <w:rFonts w:ascii="Times New Roman" w:eastAsia="Times New Roman" w:hAnsi="Times New Roman" w:cs="Times New Roman"/>
          <w:sz w:val="24"/>
          <w:szCs w:val="24"/>
          <w:lang w:eastAsia="en-IN"/>
        </w:rPr>
        <w:t>an appropriate intervention for th</w:t>
      </w:r>
      <w:r w:rsidR="00526D1F" w:rsidRPr="00380CB6">
        <w:rPr>
          <w:rFonts w:ascii="Times New Roman" w:eastAsia="Times New Roman" w:hAnsi="Times New Roman" w:cs="Times New Roman"/>
          <w:sz w:val="24"/>
          <w:szCs w:val="24"/>
          <w:lang w:eastAsia="en-IN"/>
        </w:rPr>
        <w:t xml:space="preserve">ese </w:t>
      </w:r>
      <w:proofErr w:type="gramStart"/>
      <w:r w:rsidR="00526D1F" w:rsidRPr="00380CB6">
        <w:rPr>
          <w:rFonts w:ascii="Times New Roman" w:eastAsia="Times New Roman" w:hAnsi="Times New Roman" w:cs="Times New Roman"/>
          <w:sz w:val="24"/>
          <w:szCs w:val="24"/>
          <w:lang w:eastAsia="en-IN"/>
        </w:rPr>
        <w:t>individuals.</w:t>
      </w:r>
      <w:r w:rsidRPr="00380CB6">
        <w:rPr>
          <w:rFonts w:ascii="Times New Roman" w:eastAsia="Times New Roman" w:hAnsi="Times New Roman" w:cs="Times New Roman"/>
          <w:sz w:val="24"/>
          <w:szCs w:val="24"/>
          <w:vertAlign w:val="superscript"/>
          <w:lang w:eastAsia="en-IN"/>
        </w:rPr>
        <w:t>[</w:t>
      </w:r>
      <w:proofErr w:type="gramEnd"/>
      <w:r w:rsidRPr="00380CB6">
        <w:rPr>
          <w:rFonts w:ascii="Times New Roman" w:eastAsia="Times New Roman" w:hAnsi="Times New Roman" w:cs="Times New Roman"/>
          <w:sz w:val="24"/>
          <w:szCs w:val="24"/>
          <w:vertAlign w:val="superscript"/>
          <w:lang w:eastAsia="en-IN"/>
        </w:rPr>
        <w:t>1]</w:t>
      </w:r>
      <w:r w:rsidRPr="00380CB6">
        <w:rPr>
          <w:rFonts w:ascii="Times New Roman" w:eastAsia="Times New Roman" w:hAnsi="Times New Roman" w:cs="Times New Roman"/>
          <w:sz w:val="24"/>
          <w:szCs w:val="24"/>
          <w:lang w:eastAsia="en-IN"/>
        </w:rPr>
        <w:t xml:space="preserve"> </w:t>
      </w:r>
    </w:p>
    <w:p w14:paraId="61A014A4" w14:textId="6B6B3C8C" w:rsidR="00777C12" w:rsidRPr="00380CB6" w:rsidRDefault="000A7056"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According to the K/DOQI </w:t>
      </w:r>
      <w:r w:rsidR="00076C61" w:rsidRPr="00380CB6">
        <w:rPr>
          <w:rFonts w:ascii="Times New Roman" w:eastAsia="Times New Roman" w:hAnsi="Times New Roman" w:cs="Times New Roman"/>
          <w:sz w:val="24"/>
          <w:szCs w:val="24"/>
          <w:lang w:eastAsia="en-IN"/>
        </w:rPr>
        <w:t>guidelines, it</w:t>
      </w:r>
      <w:r w:rsidR="00B12FB1" w:rsidRPr="00380CB6">
        <w:rPr>
          <w:rFonts w:ascii="Times New Roman" w:eastAsia="Times New Roman" w:hAnsi="Times New Roman" w:cs="Times New Roman"/>
          <w:sz w:val="24"/>
          <w:szCs w:val="24"/>
          <w:lang w:eastAsia="en-IN"/>
        </w:rPr>
        <w:t xml:space="preserve"> is important to underline that while the target ranges for Stage 5 CKD HD patients for intact PTH concentrations are 150–300 pg/mL, the newer KDIGO guidelines recommend maintaining PTH levels 2- to 9-fold the upper normal limit corresponding to a range of 130–600 pg/</w:t>
      </w:r>
      <w:proofErr w:type="gramStart"/>
      <w:r w:rsidR="00B12FB1" w:rsidRPr="00380CB6">
        <w:rPr>
          <w:rFonts w:ascii="Times New Roman" w:eastAsia="Times New Roman" w:hAnsi="Times New Roman" w:cs="Times New Roman"/>
          <w:sz w:val="24"/>
          <w:szCs w:val="24"/>
          <w:lang w:eastAsia="en-IN"/>
        </w:rPr>
        <w:t>mL</w:t>
      </w:r>
      <w:r w:rsidR="00B12FB1" w:rsidRPr="00380CB6">
        <w:rPr>
          <w:rFonts w:ascii="Times New Roman" w:eastAsia="Times New Roman" w:hAnsi="Times New Roman" w:cs="Times New Roman"/>
          <w:sz w:val="24"/>
          <w:szCs w:val="24"/>
          <w:vertAlign w:val="superscript"/>
          <w:lang w:eastAsia="en-IN"/>
        </w:rPr>
        <w:t>[</w:t>
      </w:r>
      <w:proofErr w:type="gramEnd"/>
      <w:r w:rsidR="00B12FB1" w:rsidRPr="00380CB6">
        <w:rPr>
          <w:rFonts w:ascii="Times New Roman" w:eastAsia="Times New Roman" w:hAnsi="Times New Roman" w:cs="Times New Roman"/>
          <w:sz w:val="24"/>
          <w:szCs w:val="24"/>
          <w:vertAlign w:val="superscript"/>
          <w:lang w:eastAsia="en-IN"/>
        </w:rPr>
        <w:t>10]</w:t>
      </w:r>
      <w:r w:rsidR="00B12FB1" w:rsidRPr="00380CB6">
        <w:rPr>
          <w:rFonts w:ascii="Times New Roman" w:eastAsia="Times New Roman" w:hAnsi="Times New Roman" w:cs="Times New Roman"/>
          <w:sz w:val="24"/>
          <w:szCs w:val="24"/>
          <w:lang w:eastAsia="en-IN"/>
        </w:rPr>
        <w:t xml:space="preserve">. In case </w:t>
      </w:r>
      <w:r w:rsidR="004B6886" w:rsidRPr="00380CB6">
        <w:rPr>
          <w:rFonts w:ascii="Times New Roman" w:eastAsia="Times New Roman" w:hAnsi="Times New Roman" w:cs="Times New Roman"/>
          <w:sz w:val="24"/>
          <w:szCs w:val="24"/>
          <w:lang w:eastAsia="en-IN"/>
        </w:rPr>
        <w:t>of individuals</w:t>
      </w:r>
      <w:r w:rsidRPr="00380CB6">
        <w:rPr>
          <w:rFonts w:ascii="Times New Roman" w:eastAsia="Times New Roman" w:hAnsi="Times New Roman" w:cs="Times New Roman"/>
          <w:sz w:val="24"/>
          <w:szCs w:val="24"/>
          <w:lang w:eastAsia="en-IN"/>
        </w:rPr>
        <w:t xml:space="preserve"> with severe HPT (intact PTH level &gt; 800 pg/mL) who also have hyperphosphatemia or hypercalcemia</w:t>
      </w:r>
      <w:r w:rsidR="00FC42D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w:t>
      </w:r>
      <w:r w:rsidR="00332D3B" w:rsidRPr="00380CB6">
        <w:rPr>
          <w:rFonts w:ascii="Times New Roman" w:eastAsia="Times New Roman" w:hAnsi="Times New Roman" w:cs="Times New Roman"/>
          <w:sz w:val="24"/>
          <w:szCs w:val="24"/>
          <w:lang w:eastAsia="en-IN"/>
        </w:rPr>
        <w:t>parathyroidectomy (</w:t>
      </w:r>
      <w:r w:rsidRPr="00380CB6">
        <w:rPr>
          <w:rFonts w:ascii="Times New Roman" w:eastAsia="Times New Roman" w:hAnsi="Times New Roman" w:cs="Times New Roman"/>
          <w:sz w:val="24"/>
          <w:szCs w:val="24"/>
          <w:lang w:eastAsia="en-IN"/>
        </w:rPr>
        <w:t>PTx</w:t>
      </w:r>
      <w:r w:rsidR="00332D3B" w:rsidRPr="00380CB6">
        <w:rPr>
          <w:rFonts w:ascii="Times New Roman" w:eastAsia="Times New Roman" w:hAnsi="Times New Roman" w:cs="Times New Roman"/>
          <w:sz w:val="24"/>
          <w:szCs w:val="24"/>
          <w:lang w:eastAsia="en-IN"/>
        </w:rPr>
        <w:t>)</w:t>
      </w:r>
      <w:r w:rsidR="004B688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vertAlign w:val="superscript"/>
          <w:lang w:eastAsia="en-IN"/>
        </w:rPr>
        <w:t>[4]</w:t>
      </w:r>
    </w:p>
    <w:p w14:paraId="5544C605" w14:textId="71D759B5" w:rsidR="00777C12" w:rsidRPr="00380CB6" w:rsidRDefault="00BD200F" w:rsidP="00B25E29">
      <w:pPr>
        <w:spacing w:after="0" w:line="360" w:lineRule="auto"/>
        <w:jc w:val="both"/>
        <w:rPr>
          <w:rFonts w:ascii="Times New Roman" w:hAnsi="Times New Roman" w:cs="Times New Roman"/>
          <w:sz w:val="24"/>
          <w:szCs w:val="24"/>
          <w:vertAlign w:val="superscript"/>
        </w:rPr>
      </w:pPr>
      <w:r w:rsidRPr="00380CB6">
        <w:rPr>
          <w:rFonts w:ascii="Times New Roman" w:hAnsi="Times New Roman" w:cs="Times New Roman"/>
          <w:sz w:val="24"/>
          <w:szCs w:val="24"/>
        </w:rPr>
        <w:t xml:space="preserve">Chronic kidney disease–mineral and bone disorder (CKD-MBD) comprises various bone pathologies with differing mechanisms, such as osteitis fibrosa cystica (OFC), driven by persistently elevated parathyroid hormone (PTH) and resulting in high bone turnover, and </w:t>
      </w:r>
      <w:r w:rsidR="00DC6890" w:rsidRPr="00DC6890">
        <w:rPr>
          <w:rFonts w:ascii="Times New Roman" w:hAnsi="Times New Roman" w:cs="Times New Roman"/>
          <w:sz w:val="24"/>
          <w:szCs w:val="24"/>
        </w:rPr>
        <w:t>A</w:t>
      </w:r>
      <w:r w:rsidRPr="00DC6890">
        <w:rPr>
          <w:rFonts w:ascii="Times New Roman" w:hAnsi="Times New Roman" w:cs="Times New Roman"/>
          <w:sz w:val="24"/>
          <w:szCs w:val="24"/>
        </w:rPr>
        <w:t>dynamic</w:t>
      </w:r>
      <w:r w:rsidR="00DC6890" w:rsidRPr="00380CB6">
        <w:rPr>
          <w:rFonts w:ascii="Times New Roman" w:hAnsi="Times New Roman" w:cs="Times New Roman"/>
          <w:sz w:val="24"/>
          <w:szCs w:val="24"/>
        </w:rPr>
        <w:t xml:space="preserve">Bone Disease </w:t>
      </w:r>
      <w:r w:rsidRPr="00380CB6">
        <w:rPr>
          <w:rFonts w:ascii="Times New Roman" w:hAnsi="Times New Roman" w:cs="Times New Roman"/>
          <w:sz w:val="24"/>
          <w:szCs w:val="24"/>
        </w:rPr>
        <w:t xml:space="preserve">(ABD), characterized by markedly reduced bone turnover due to </w:t>
      </w:r>
      <w:r w:rsidR="00FC42D6">
        <w:rPr>
          <w:rFonts w:ascii="Times New Roman" w:hAnsi="Times New Roman" w:cs="Times New Roman"/>
          <w:sz w:val="24"/>
          <w:szCs w:val="24"/>
        </w:rPr>
        <w:t>over-suppression</w:t>
      </w:r>
      <w:r w:rsidRPr="00380CB6">
        <w:rPr>
          <w:rFonts w:ascii="Times New Roman" w:hAnsi="Times New Roman" w:cs="Times New Roman"/>
          <w:sz w:val="24"/>
          <w:szCs w:val="24"/>
        </w:rPr>
        <w:t xml:space="preserve"> of PTH. The development of ABD is often linked to aggressive PTH-lowering therapies, including the use of calcimimetics like cinacalcet. Despite their contrasting bone activity, both conditions are commonly asymptomatic and may only be identified after the occurrence of fragility fractures, underscoring the need for balanced PTH control and individualized therapeutic strategies in CKD </w:t>
      </w:r>
      <w:proofErr w:type="gramStart"/>
      <w:r w:rsidRPr="00380CB6">
        <w:rPr>
          <w:rFonts w:ascii="Times New Roman" w:hAnsi="Times New Roman" w:cs="Times New Roman"/>
          <w:sz w:val="24"/>
          <w:szCs w:val="24"/>
        </w:rPr>
        <w:t>patients.</w:t>
      </w:r>
      <w:r w:rsidRPr="00380CB6">
        <w:rPr>
          <w:rFonts w:ascii="Times New Roman" w:hAnsi="Times New Roman" w:cs="Times New Roman"/>
          <w:sz w:val="24"/>
          <w:szCs w:val="24"/>
          <w:vertAlign w:val="superscript"/>
        </w:rPr>
        <w:t>[</w:t>
      </w:r>
      <w:proofErr w:type="gramEnd"/>
      <w:r w:rsidRPr="00380CB6">
        <w:rPr>
          <w:rFonts w:ascii="Times New Roman" w:hAnsi="Times New Roman" w:cs="Times New Roman"/>
          <w:sz w:val="24"/>
          <w:szCs w:val="24"/>
          <w:vertAlign w:val="superscript"/>
        </w:rPr>
        <w:t>11]</w:t>
      </w:r>
    </w:p>
    <w:p w14:paraId="4A6DA3FA" w14:textId="43399B42" w:rsidR="00C556EC" w:rsidRDefault="00C556EC" w:rsidP="00B25E29">
      <w:pPr>
        <w:spacing w:line="360" w:lineRule="auto"/>
        <w:jc w:val="both"/>
        <w:rPr>
          <w:rFonts w:ascii="Times New Roman" w:hAnsi="Times New Roman" w:cs="Times New Roman"/>
          <w:sz w:val="24"/>
          <w:szCs w:val="24"/>
        </w:rPr>
      </w:pPr>
    </w:p>
    <w:p w14:paraId="14061270" w14:textId="47FE15E6" w:rsidR="00771499" w:rsidRDefault="00771499" w:rsidP="00B25E29">
      <w:pPr>
        <w:spacing w:line="360" w:lineRule="auto"/>
        <w:jc w:val="both"/>
        <w:rPr>
          <w:rFonts w:ascii="Times New Roman" w:hAnsi="Times New Roman" w:cs="Times New Roman"/>
          <w:sz w:val="24"/>
          <w:szCs w:val="24"/>
        </w:rPr>
      </w:pPr>
    </w:p>
    <w:p w14:paraId="799AEFC5" w14:textId="77777777" w:rsidR="00771499" w:rsidRPr="00380CB6" w:rsidRDefault="00771499" w:rsidP="00B25E29">
      <w:pPr>
        <w:spacing w:line="360" w:lineRule="auto"/>
        <w:jc w:val="both"/>
        <w:rPr>
          <w:rFonts w:ascii="Times New Roman" w:hAnsi="Times New Roman" w:cs="Times New Roman"/>
          <w:sz w:val="24"/>
          <w:szCs w:val="24"/>
        </w:rPr>
      </w:pPr>
    </w:p>
    <w:p w14:paraId="6B3898D1" w14:textId="77777777" w:rsidR="00777C12" w:rsidRPr="007D1A3A" w:rsidRDefault="000A7056" w:rsidP="00B25E29">
      <w:pPr>
        <w:spacing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lastRenderedPageBreak/>
        <w:t>CASE DESCRIPTION</w:t>
      </w:r>
    </w:p>
    <w:p w14:paraId="754B7273" w14:textId="77777777" w:rsidR="00777C12" w:rsidRPr="00380CB6" w:rsidRDefault="000A7056" w:rsidP="00B25E29">
      <w:pPr>
        <w:spacing w:line="360" w:lineRule="auto"/>
        <w:jc w:val="both"/>
        <w:rPr>
          <w:rFonts w:ascii="Times New Roman" w:hAnsi="Times New Roman" w:cs="Times New Roman"/>
          <w:sz w:val="24"/>
          <w:szCs w:val="24"/>
        </w:rPr>
      </w:pPr>
      <w:r w:rsidRPr="00380CB6">
        <w:rPr>
          <w:rFonts w:ascii="Times New Roman" w:hAnsi="Times New Roman" w:cs="Times New Roman"/>
          <w:sz w:val="24"/>
          <w:szCs w:val="24"/>
        </w:rPr>
        <w:t>CASE 1</w:t>
      </w:r>
    </w:p>
    <w:p w14:paraId="6A728E9A" w14:textId="5AED4C68"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36-year-old male with a known history of chronic kidney disease (CKD)</w:t>
      </w:r>
      <w:r w:rsidR="00FC42D6">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presented with a noticeable short stature, generalised body ache</w:t>
      </w:r>
      <w:r w:rsidR="00FC42D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deformities. He had previously und</w:t>
      </w:r>
      <w:r w:rsidR="005D52D9">
        <w:rPr>
          <w:rFonts w:ascii="Times New Roman" w:eastAsia="Times New Roman" w:hAnsi="Times New Roman" w:cs="Times New Roman"/>
          <w:sz w:val="24"/>
          <w:szCs w:val="24"/>
          <w:lang w:eastAsia="en-IN"/>
        </w:rPr>
        <w:t xml:space="preserve">ergone renal transplantation </w:t>
      </w:r>
      <w:r w:rsidR="00FC42D6">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February 2014. Despite ongoing immunosuppression, </w:t>
      </w:r>
      <w:r w:rsidR="00EC7B42" w:rsidRPr="00380CB6">
        <w:rPr>
          <w:rFonts w:ascii="Times New Roman" w:eastAsia="Times New Roman" w:hAnsi="Times New Roman" w:cs="Times New Roman"/>
          <w:sz w:val="24"/>
          <w:szCs w:val="24"/>
          <w:lang w:eastAsia="en-IN"/>
        </w:rPr>
        <w:t>the graft function deteriorated</w:t>
      </w:r>
      <w:r w:rsidRPr="00380CB6">
        <w:rPr>
          <w:rFonts w:ascii="Times New Roman" w:eastAsia="Times New Roman" w:hAnsi="Times New Roman" w:cs="Times New Roman"/>
          <w:sz w:val="24"/>
          <w:szCs w:val="24"/>
          <w:lang w:eastAsia="en-IN"/>
        </w:rPr>
        <w:t xml:space="preserve"> and the patient progressed to CKD stage V, requiring maintenance haemodialysis.</w:t>
      </w:r>
    </w:p>
    <w:p w14:paraId="0678277D" w14:textId="0CFC0E04" w:rsidR="00E9297E" w:rsidRPr="00E9297E" w:rsidRDefault="000A7056"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eastAsia="Times New Roman" w:hAnsi="Times New Roman" w:cs="Times New Roman"/>
          <w:sz w:val="24"/>
          <w:szCs w:val="24"/>
          <w:lang w:eastAsia="en-IN"/>
        </w:rPr>
        <w:t xml:space="preserve">On examination, a firm, enlarged </w:t>
      </w:r>
      <w:r w:rsidRPr="00DC6890">
        <w:rPr>
          <w:rFonts w:ascii="Times New Roman" w:eastAsia="Times New Roman" w:hAnsi="Times New Roman" w:cs="Times New Roman"/>
          <w:sz w:val="24"/>
          <w:szCs w:val="24"/>
          <w:lang w:eastAsia="en-IN"/>
        </w:rPr>
        <w:t>gland</w:t>
      </w:r>
      <w:r w:rsidRPr="00380CB6">
        <w:rPr>
          <w:rFonts w:ascii="Times New Roman" w:eastAsia="Times New Roman" w:hAnsi="Times New Roman" w:cs="Times New Roman"/>
          <w:sz w:val="24"/>
          <w:szCs w:val="24"/>
          <w:lang w:eastAsia="en-IN"/>
        </w:rPr>
        <w:t xml:space="preserve"> was noted in the neck, with no palpable lymphadenopathy. Laboratory investigations showed a serum calcium level of 9.9 mg/dL</w:t>
      </w:r>
      <w:r w:rsidR="009A7DE2">
        <w:rPr>
          <w:rFonts w:ascii="Times New Roman" w:eastAsia="Times New Roman" w:hAnsi="Times New Roman" w:cs="Times New Roman"/>
          <w:sz w:val="24"/>
          <w:szCs w:val="24"/>
          <w:lang w:eastAsia="en-IN"/>
        </w:rPr>
        <w:t xml:space="preserve"> </w:t>
      </w:r>
      <w:r w:rsidR="00910003">
        <w:rPr>
          <w:rFonts w:ascii="Times New Roman" w:eastAsia="Times New Roman" w:hAnsi="Times New Roman" w:cs="Times New Roman"/>
          <w:sz w:val="24"/>
          <w:szCs w:val="24"/>
          <w:lang w:eastAsia="en-IN"/>
        </w:rPr>
        <w:t>(Normal range: 8.5-11mg/dl)</w:t>
      </w:r>
      <w:r w:rsidRPr="00380CB6">
        <w:rPr>
          <w:rFonts w:ascii="Times New Roman" w:eastAsia="Times New Roman" w:hAnsi="Times New Roman" w:cs="Times New Roman"/>
          <w:sz w:val="24"/>
          <w:szCs w:val="24"/>
          <w:lang w:eastAsia="en-IN"/>
        </w:rPr>
        <w:t>, elevated serum phosphorus 5.5 mg/dL</w:t>
      </w:r>
      <w:r w:rsidR="00910003">
        <w:rPr>
          <w:rFonts w:ascii="Times New Roman" w:eastAsia="Times New Roman" w:hAnsi="Times New Roman" w:cs="Times New Roman"/>
          <w:sz w:val="24"/>
          <w:szCs w:val="24"/>
          <w:lang w:eastAsia="en-IN"/>
        </w:rPr>
        <w:t xml:space="preserve"> (normal range: 2.7-4.5mg/dl)</w:t>
      </w:r>
      <w:r w:rsidRPr="00380CB6">
        <w:rPr>
          <w:rFonts w:ascii="Times New Roman" w:eastAsia="Times New Roman" w:hAnsi="Times New Roman" w:cs="Times New Roman"/>
          <w:sz w:val="24"/>
          <w:szCs w:val="24"/>
          <w:lang w:eastAsia="en-IN"/>
        </w:rPr>
        <w:t>, serum creatinine 8mg/dl</w:t>
      </w:r>
      <w:r w:rsidR="009A7DE2">
        <w:rPr>
          <w:rFonts w:ascii="Times New Roman" w:eastAsia="Times New Roman" w:hAnsi="Times New Roman" w:cs="Times New Roman"/>
          <w:sz w:val="24"/>
          <w:szCs w:val="24"/>
          <w:lang w:eastAsia="en-IN"/>
        </w:rPr>
        <w:t xml:space="preserve"> </w:t>
      </w:r>
      <w:r w:rsidR="00910003">
        <w:rPr>
          <w:rFonts w:ascii="Times New Roman" w:eastAsia="Times New Roman" w:hAnsi="Times New Roman" w:cs="Times New Roman"/>
          <w:sz w:val="24"/>
          <w:szCs w:val="24"/>
          <w:lang w:eastAsia="en-IN"/>
        </w:rPr>
        <w:t>(normal range: 0.6-1.</w:t>
      </w:r>
      <w:r w:rsidR="009A7DE2">
        <w:rPr>
          <w:rFonts w:ascii="Times New Roman" w:eastAsia="Times New Roman" w:hAnsi="Times New Roman" w:cs="Times New Roman"/>
          <w:sz w:val="24"/>
          <w:szCs w:val="24"/>
          <w:lang w:eastAsia="en-IN"/>
        </w:rPr>
        <w:t>3mg/dl)</w:t>
      </w:r>
      <w:r w:rsidR="00FC42D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a markedly increased intact parathyroid hormone (iPTH) level of over 3000 pg/</w:t>
      </w:r>
      <w:proofErr w:type="gramStart"/>
      <w:r w:rsidRPr="00380CB6">
        <w:rPr>
          <w:rFonts w:ascii="Times New Roman" w:eastAsia="Times New Roman" w:hAnsi="Times New Roman" w:cs="Times New Roman"/>
          <w:sz w:val="24"/>
          <w:szCs w:val="24"/>
          <w:lang w:eastAsia="en-IN"/>
        </w:rPr>
        <w:t>mL</w:t>
      </w:r>
      <w:r w:rsidR="009A7DE2">
        <w:rPr>
          <w:rFonts w:ascii="Times New Roman" w:eastAsia="Times New Roman" w:hAnsi="Times New Roman" w:cs="Times New Roman"/>
          <w:sz w:val="24"/>
          <w:szCs w:val="24"/>
          <w:lang w:eastAsia="en-IN"/>
        </w:rPr>
        <w:t>( normal</w:t>
      </w:r>
      <w:proofErr w:type="gramEnd"/>
      <w:r w:rsidR="009A7DE2">
        <w:rPr>
          <w:rFonts w:ascii="Times New Roman" w:eastAsia="Times New Roman" w:hAnsi="Times New Roman" w:cs="Times New Roman"/>
          <w:sz w:val="24"/>
          <w:szCs w:val="24"/>
          <w:lang w:eastAsia="en-IN"/>
        </w:rPr>
        <w:t xml:space="preserve"> range: 15-68pg/ml)</w:t>
      </w:r>
      <w:r w:rsidRPr="00380CB6">
        <w:rPr>
          <w:rFonts w:ascii="Times New Roman" w:eastAsia="Times New Roman" w:hAnsi="Times New Roman" w:cs="Times New Roman"/>
          <w:sz w:val="24"/>
          <w:szCs w:val="24"/>
          <w:lang w:eastAsia="en-IN"/>
        </w:rPr>
        <w:t>. These findings were consistent with secondary hyperparathyroidism in the context of CKD on dialysis, with suspected progression to tertiary hyperparathyroidism</w:t>
      </w:r>
      <w:r w:rsidR="00E9297E">
        <w:t xml:space="preserve">. </w:t>
      </w:r>
      <w:r w:rsidR="00E9297E" w:rsidRPr="00E9297E">
        <w:rPr>
          <w:rFonts w:ascii="Times New Roman" w:hAnsi="Times New Roman" w:cs="Times New Roman"/>
          <w:sz w:val="24"/>
          <w:szCs w:val="24"/>
        </w:rPr>
        <w:t>Despite treatment with calcium, Cinacalcet 30 mg once daily, and vitamin D supplementation, PTH levels showed only a transient response, initially decreasing to 2068 pg/mL but later</w:t>
      </w:r>
      <w:r w:rsidR="00AC4F67">
        <w:rPr>
          <w:rFonts w:ascii="Times New Roman" w:hAnsi="Times New Roman" w:cs="Times New Roman"/>
          <w:sz w:val="24"/>
          <w:szCs w:val="24"/>
        </w:rPr>
        <w:t xml:space="preserve"> elevated</w:t>
      </w:r>
      <w:r w:rsidR="00E9297E" w:rsidRPr="00E9297E">
        <w:rPr>
          <w:rFonts w:ascii="Times New Roman" w:hAnsi="Times New Roman" w:cs="Times New Roman"/>
          <w:sz w:val="24"/>
          <w:szCs w:val="24"/>
        </w:rPr>
        <w:t xml:space="preserve"> to 2259 pg/mL, accompanied by hypocalcaemia, indicating a poor therapeutic response.</w:t>
      </w:r>
      <w:r w:rsidR="00AC4F67">
        <w:rPr>
          <w:rFonts w:ascii="Times New Roman" w:hAnsi="Times New Roman" w:cs="Times New Roman"/>
          <w:sz w:val="24"/>
          <w:szCs w:val="24"/>
        </w:rPr>
        <w:t xml:space="preserve"> </w:t>
      </w:r>
      <w:r w:rsidR="00D4270B">
        <w:rPr>
          <w:rFonts w:ascii="Times New Roman" w:hAnsi="Times New Roman" w:cs="Times New Roman"/>
          <w:sz w:val="24"/>
          <w:szCs w:val="24"/>
        </w:rPr>
        <w:t xml:space="preserve"> </w:t>
      </w:r>
    </w:p>
    <w:p w14:paraId="65D9FFEE" w14:textId="326FCF80"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neck ultrasound pe</w:t>
      </w:r>
      <w:r w:rsidR="005D52D9">
        <w:rPr>
          <w:rFonts w:ascii="Times New Roman" w:eastAsia="Times New Roman" w:hAnsi="Times New Roman" w:cs="Times New Roman"/>
          <w:sz w:val="24"/>
          <w:szCs w:val="24"/>
          <w:lang w:eastAsia="en-IN"/>
        </w:rPr>
        <w:t xml:space="preserve">rformed </w:t>
      </w:r>
      <w:r w:rsidR="00584B5F">
        <w:rPr>
          <w:rFonts w:ascii="Times New Roman" w:eastAsia="Times New Roman" w:hAnsi="Times New Roman" w:cs="Times New Roman"/>
          <w:sz w:val="24"/>
          <w:szCs w:val="24"/>
          <w:lang w:eastAsia="en-IN"/>
        </w:rPr>
        <w:t>in</w:t>
      </w:r>
      <w:r w:rsidR="005D52D9">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 xml:space="preserve">September 2024 revealed hypoechoic lesions with a polar vessel sign posterior to the inferior poles of both thyroid lobes, suggestive of multiple parathyroid adenomas. Additionally, a mildly hypoechoic, taller-than-wide nodule with microcalcifications, measuring 3.6 x 2.7 mm, was seen in the anterior left thyroid lobe and was classified as TIRADS </w:t>
      </w:r>
      <w:proofErr w:type="gramStart"/>
      <w:r w:rsidRPr="00380CB6">
        <w:rPr>
          <w:rFonts w:ascii="Times New Roman" w:eastAsia="Times New Roman" w:hAnsi="Times New Roman" w:cs="Times New Roman"/>
          <w:sz w:val="24"/>
          <w:szCs w:val="24"/>
          <w:lang w:eastAsia="en-IN"/>
        </w:rPr>
        <w:t>V</w:t>
      </w:r>
      <w:r w:rsidR="006C5FA6" w:rsidRPr="00380CB6">
        <w:rPr>
          <w:rFonts w:ascii="Times New Roman" w:eastAsia="Times New Roman" w:hAnsi="Times New Roman" w:cs="Times New Roman"/>
          <w:sz w:val="24"/>
          <w:szCs w:val="24"/>
          <w:lang w:eastAsia="en-IN"/>
        </w:rPr>
        <w:t>(</w:t>
      </w:r>
      <w:proofErr w:type="gramEnd"/>
      <w:r w:rsidR="006C5FA6" w:rsidRPr="00380CB6">
        <w:rPr>
          <w:rFonts w:ascii="Times New Roman" w:eastAsia="Times New Roman" w:hAnsi="Times New Roman" w:cs="Times New Roman"/>
          <w:sz w:val="24"/>
          <w:szCs w:val="24"/>
          <w:lang w:eastAsia="en-IN"/>
        </w:rPr>
        <w:t>Thyroid Imaging Reporting and Data System)</w:t>
      </w:r>
      <w:r w:rsidRPr="00380CB6">
        <w:rPr>
          <w:rFonts w:ascii="Times New Roman" w:eastAsia="Times New Roman" w:hAnsi="Times New Roman" w:cs="Times New Roman"/>
          <w:sz w:val="24"/>
          <w:szCs w:val="24"/>
          <w:lang w:eastAsia="en-IN"/>
        </w:rPr>
        <w:t>.</w:t>
      </w:r>
    </w:p>
    <w:p w14:paraId="773C3C21" w14:textId="74B47725"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Due to persistent hyperparathyroidism, the patient underwent surgery </w:t>
      </w:r>
      <w:r w:rsidR="00584B5F">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October 2024. The procedure included parathyroidectomy, transcervical thymectomy, </w:t>
      </w:r>
      <w:r w:rsidR="009B37AE">
        <w:rPr>
          <w:rFonts w:ascii="Times New Roman" w:eastAsia="Times New Roman" w:hAnsi="Times New Roman" w:cs="Times New Roman"/>
          <w:sz w:val="24"/>
          <w:szCs w:val="24"/>
          <w:lang w:eastAsia="en-IN"/>
        </w:rPr>
        <w:t>central compartment fat removal</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w:t>
      </w:r>
      <w:r w:rsidR="00584B5F">
        <w:rPr>
          <w:rFonts w:ascii="Times New Roman" w:eastAsia="Times New Roman" w:hAnsi="Times New Roman" w:cs="Times New Roman"/>
          <w:sz w:val="24"/>
          <w:szCs w:val="24"/>
          <w:lang w:eastAsia="en-IN"/>
        </w:rPr>
        <w:t>auto-transplantation</w:t>
      </w:r>
      <w:r w:rsidRPr="00380CB6">
        <w:rPr>
          <w:rFonts w:ascii="Times New Roman" w:eastAsia="Times New Roman" w:hAnsi="Times New Roman" w:cs="Times New Roman"/>
          <w:sz w:val="24"/>
          <w:szCs w:val="24"/>
          <w:lang w:eastAsia="en-IN"/>
        </w:rPr>
        <w:t xml:space="preserve"> of a portion of normal parathyroid tissue into the right brachioradialis muscle. Intraoperatively, all parathyroid glands except the right superior were identified and found to be enlarged. Both inferior glands and the left superior gland were excised. The right superior gland could not be located despite extensive exploration in typical ectopic sites. A vascular bulldog clamp was applied to the presumed pedicle of the right superior gland, resulting in a drop in intraoperative PTH from 2259 pg/mL to 83.9 pg/mL </w:t>
      </w:r>
      <w:r w:rsidRPr="00380CB6">
        <w:rPr>
          <w:rFonts w:ascii="Times New Roman" w:eastAsia="Times New Roman" w:hAnsi="Times New Roman" w:cs="Times New Roman"/>
          <w:sz w:val="24"/>
          <w:szCs w:val="24"/>
          <w:lang w:eastAsia="en-IN"/>
        </w:rPr>
        <w:lastRenderedPageBreak/>
        <w:t xml:space="preserve">after 15 minutes, indicating effective removal of hyperfunctioning tissue. To mitigate the risk of permanent hypoparathyroidism, a portion of parathyroid-equivalent tissue was </w:t>
      </w:r>
      <w:proofErr w:type="spellStart"/>
      <w:r w:rsidR="000646B3">
        <w:rPr>
          <w:rFonts w:ascii="Times New Roman" w:eastAsia="Times New Roman" w:hAnsi="Times New Roman" w:cs="Times New Roman"/>
          <w:sz w:val="24"/>
          <w:szCs w:val="24"/>
          <w:lang w:eastAsia="en-IN"/>
        </w:rPr>
        <w:t>autotransplanted</w:t>
      </w:r>
      <w:proofErr w:type="spellEnd"/>
      <w:r w:rsidRPr="00380CB6">
        <w:rPr>
          <w:rFonts w:ascii="Times New Roman" w:eastAsia="Times New Roman" w:hAnsi="Times New Roman" w:cs="Times New Roman"/>
          <w:sz w:val="24"/>
          <w:szCs w:val="24"/>
          <w:lang w:eastAsia="en-IN"/>
        </w:rPr>
        <w:t xml:space="preserve"> into the right forearm, with a plan to conduct a Casanova test in the future if PTH levels rise again.</w:t>
      </w:r>
    </w:p>
    <w:p w14:paraId="5CDBA2B1" w14:textId="590828C4" w:rsidR="00000940" w:rsidRPr="00380CB6" w:rsidRDefault="0000094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Biopsy report showing right superior parathyroid, excision: parathyroid tissue compatible with chief cell hyperplasia with oxyphil microadenoma. Left inferior parathyroid, excision - parathyroid tissue compatible with chief cell hyperplasia. Left superior parathyroid excision- parathyroid tissue compatible with chief cell hyperplasia. Central compartment fat excision - isolated 9 lymph nodes </w:t>
      </w:r>
      <w:r w:rsidR="00FC42D6" w:rsidRPr="00380CB6">
        <w:rPr>
          <w:rFonts w:ascii="Times New Roman" w:eastAsia="Times New Roman" w:hAnsi="Times New Roman" w:cs="Times New Roman"/>
          <w:sz w:val="24"/>
          <w:szCs w:val="24"/>
          <w:lang w:eastAsia="en-IN"/>
        </w:rPr>
        <w:t>show</w:t>
      </w:r>
      <w:r w:rsidR="00FC42D6">
        <w:rPr>
          <w:rFonts w:ascii="Times New Roman" w:eastAsia="Times New Roman" w:hAnsi="Times New Roman" w:cs="Times New Roman"/>
          <w:sz w:val="24"/>
          <w:szCs w:val="24"/>
          <w:lang w:eastAsia="en-IN"/>
        </w:rPr>
        <w:t>ed reactive</w:t>
      </w:r>
      <w:r w:rsidR="009B37AE">
        <w:rPr>
          <w:rFonts w:ascii="Times New Roman" w:eastAsia="Times New Roman" w:hAnsi="Times New Roman" w:cs="Times New Roman"/>
          <w:sz w:val="24"/>
          <w:szCs w:val="24"/>
          <w:lang w:eastAsia="en-IN"/>
        </w:rPr>
        <w:t xml:space="preserve"> changes. </w:t>
      </w:r>
      <w:r w:rsidR="00584B5F">
        <w:rPr>
          <w:rFonts w:ascii="Times New Roman" w:eastAsia="Times New Roman" w:hAnsi="Times New Roman" w:cs="Times New Roman"/>
          <w:sz w:val="24"/>
          <w:szCs w:val="24"/>
          <w:lang w:eastAsia="en-IN"/>
        </w:rPr>
        <w:t>The thymus</w:t>
      </w:r>
      <w:r w:rsidR="009B37AE">
        <w:rPr>
          <w:rFonts w:ascii="Times New Roman" w:eastAsia="Times New Roman" w:hAnsi="Times New Roman" w:cs="Times New Roman"/>
          <w:sz w:val="24"/>
          <w:szCs w:val="24"/>
          <w:lang w:eastAsia="en-IN"/>
        </w:rPr>
        <w:t xml:space="preserve"> gland wa</w:t>
      </w:r>
      <w:r w:rsidRPr="00380CB6">
        <w:rPr>
          <w:rFonts w:ascii="Times New Roman" w:eastAsia="Times New Roman" w:hAnsi="Times New Roman" w:cs="Times New Roman"/>
          <w:sz w:val="24"/>
          <w:szCs w:val="24"/>
          <w:lang w:eastAsia="en-IN"/>
        </w:rPr>
        <w:t xml:space="preserve">s histologically unremarkable. </w:t>
      </w:r>
    </w:p>
    <w:p w14:paraId="70FD3EEF" w14:textId="44755946"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Postoperatively, the patient</w:t>
      </w:r>
      <w:r w:rsidR="009B37AE">
        <w:rPr>
          <w:rFonts w:ascii="Times New Roman" w:eastAsia="Times New Roman" w:hAnsi="Times New Roman" w:cs="Times New Roman"/>
          <w:sz w:val="24"/>
          <w:szCs w:val="24"/>
          <w:lang w:eastAsia="en-IN"/>
        </w:rPr>
        <w:t>’s calcium level wa</w:t>
      </w:r>
      <w:r w:rsidR="00AF0968" w:rsidRPr="00380CB6">
        <w:rPr>
          <w:rFonts w:ascii="Times New Roman" w:eastAsia="Times New Roman" w:hAnsi="Times New Roman" w:cs="Times New Roman"/>
          <w:sz w:val="24"/>
          <w:szCs w:val="24"/>
          <w:lang w:eastAsia="en-IN"/>
        </w:rPr>
        <w:t>s 6.2mg/dl</w:t>
      </w:r>
      <w:r w:rsidR="00584B5F">
        <w:rPr>
          <w:rFonts w:ascii="Times New Roman" w:eastAsia="Times New Roman" w:hAnsi="Times New Roman" w:cs="Times New Roman"/>
          <w:sz w:val="24"/>
          <w:szCs w:val="24"/>
          <w:lang w:eastAsia="en-IN"/>
        </w:rPr>
        <w:t>,</w:t>
      </w:r>
      <w:r w:rsidR="00AF0968" w:rsidRPr="00380CB6">
        <w:rPr>
          <w:rFonts w:ascii="Times New Roman" w:eastAsia="Times New Roman" w:hAnsi="Times New Roman" w:cs="Times New Roman"/>
          <w:sz w:val="24"/>
          <w:szCs w:val="24"/>
          <w:lang w:eastAsia="en-IN"/>
        </w:rPr>
        <w:t xml:space="preserve"> which points out </w:t>
      </w:r>
      <w:r w:rsidR="00CD5FED" w:rsidRPr="00380CB6">
        <w:rPr>
          <w:rFonts w:ascii="Times New Roman" w:eastAsia="Times New Roman" w:hAnsi="Times New Roman" w:cs="Times New Roman"/>
          <w:sz w:val="24"/>
          <w:szCs w:val="24"/>
          <w:lang w:eastAsia="en-IN"/>
        </w:rPr>
        <w:t>the</w:t>
      </w:r>
      <w:r w:rsidRPr="00380CB6">
        <w:rPr>
          <w:rFonts w:ascii="Times New Roman" w:eastAsia="Times New Roman" w:hAnsi="Times New Roman" w:cs="Times New Roman"/>
          <w:sz w:val="24"/>
          <w:szCs w:val="24"/>
          <w:lang w:eastAsia="en-IN"/>
        </w:rPr>
        <w:t xml:space="preserve"> biochemical hypocalcaemia with minimal clinical symptoms</w:t>
      </w:r>
      <w:r w:rsidR="00584B5F">
        <w:rPr>
          <w:rFonts w:ascii="Times New Roman" w:eastAsia="Times New Roman" w:hAnsi="Times New Roman" w:cs="Times New Roman"/>
          <w:sz w:val="24"/>
          <w:szCs w:val="24"/>
          <w:lang w:eastAsia="en-IN"/>
        </w:rPr>
        <w:t>,</w:t>
      </w:r>
      <w:r w:rsidR="00CD5FED" w:rsidRPr="00380CB6">
        <w:rPr>
          <w:rFonts w:ascii="Times New Roman" w:eastAsia="Times New Roman" w:hAnsi="Times New Roman" w:cs="Times New Roman"/>
          <w:sz w:val="24"/>
          <w:szCs w:val="24"/>
          <w:lang w:eastAsia="en-IN"/>
        </w:rPr>
        <w:t xml:space="preserve"> </w:t>
      </w:r>
      <w:r w:rsidR="00584B5F">
        <w:rPr>
          <w:rFonts w:ascii="Times New Roman" w:eastAsia="Times New Roman" w:hAnsi="Times New Roman" w:cs="Times New Roman"/>
          <w:sz w:val="24"/>
          <w:szCs w:val="24"/>
          <w:lang w:eastAsia="en-IN"/>
        </w:rPr>
        <w:t>showing</w:t>
      </w:r>
      <w:r w:rsidR="00CD5FED" w:rsidRPr="00380CB6">
        <w:rPr>
          <w:rFonts w:ascii="Times New Roman" w:eastAsia="Times New Roman" w:hAnsi="Times New Roman" w:cs="Times New Roman"/>
          <w:sz w:val="24"/>
          <w:szCs w:val="24"/>
          <w:lang w:eastAsia="en-IN"/>
        </w:rPr>
        <w:t xml:space="preserve"> the development of hungry bone syndrome</w:t>
      </w:r>
      <w:r w:rsidRPr="00380CB6">
        <w:rPr>
          <w:rFonts w:ascii="Times New Roman" w:eastAsia="Times New Roman" w:hAnsi="Times New Roman" w:cs="Times New Roman"/>
          <w:sz w:val="24"/>
          <w:szCs w:val="24"/>
          <w:lang w:eastAsia="en-IN"/>
        </w:rPr>
        <w:t>. This was managed effectively with in</w:t>
      </w:r>
      <w:r w:rsidR="00A463AB" w:rsidRPr="00380CB6">
        <w:rPr>
          <w:rFonts w:ascii="Times New Roman" w:eastAsia="Times New Roman" w:hAnsi="Times New Roman" w:cs="Times New Roman"/>
          <w:sz w:val="24"/>
          <w:szCs w:val="24"/>
          <w:lang w:eastAsia="en-IN"/>
        </w:rPr>
        <w:t>travenous calcium, oral calcium</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calcitriol. At discharge, he was asymptomatic with substantial relief of bone pain and no signs of clinical hypocalcaemia. On follow-up, there was marked improvement in laboratory parameters: PTH decreased to 102 pg/mL, serum calci</w:t>
      </w:r>
      <w:r w:rsidR="00A463AB" w:rsidRPr="00380CB6">
        <w:rPr>
          <w:rFonts w:ascii="Times New Roman" w:eastAsia="Times New Roman" w:hAnsi="Times New Roman" w:cs="Times New Roman"/>
          <w:sz w:val="24"/>
          <w:szCs w:val="24"/>
          <w:lang w:eastAsia="en-IN"/>
        </w:rPr>
        <w:t>um normalized to 10.1 mg/</w:t>
      </w:r>
      <w:proofErr w:type="gramStart"/>
      <w:r w:rsidR="00A463AB" w:rsidRPr="00380CB6">
        <w:rPr>
          <w:rFonts w:ascii="Times New Roman" w:eastAsia="Times New Roman" w:hAnsi="Times New Roman" w:cs="Times New Roman"/>
          <w:sz w:val="24"/>
          <w:szCs w:val="24"/>
          <w:lang w:eastAsia="en-IN"/>
        </w:rPr>
        <w:t>dL</w:t>
      </w:r>
      <w:r w:rsidR="00B45E3C" w:rsidRPr="00380CB6">
        <w:rPr>
          <w:rFonts w:ascii="Times New Roman" w:eastAsia="Times New Roman" w:hAnsi="Times New Roman" w:cs="Times New Roman"/>
          <w:sz w:val="24"/>
          <w:szCs w:val="24"/>
          <w:lang w:eastAsia="en-IN"/>
        </w:rPr>
        <w:t>(</w:t>
      </w:r>
      <w:proofErr w:type="gramEnd"/>
      <w:r w:rsidR="00B45E3C" w:rsidRPr="00380CB6">
        <w:rPr>
          <w:rFonts w:ascii="Times New Roman" w:eastAsia="Times New Roman" w:hAnsi="Times New Roman" w:cs="Times New Roman"/>
          <w:sz w:val="24"/>
          <w:szCs w:val="24"/>
          <w:lang w:eastAsia="en-IN"/>
        </w:rPr>
        <w:t>reference: 8.5–11 mg/dL)</w:t>
      </w:r>
      <w:r w:rsidR="00A463AB" w:rsidRPr="00380CB6">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serum phosphorus was 2.8 mg/dL</w:t>
      </w:r>
      <w:r w:rsidR="00B45E3C">
        <w:rPr>
          <w:rFonts w:ascii="Times New Roman" w:eastAsia="Times New Roman" w:hAnsi="Times New Roman" w:cs="Times New Roman"/>
          <w:sz w:val="24"/>
          <w:szCs w:val="24"/>
          <w:lang w:eastAsia="en-IN"/>
        </w:rPr>
        <w:t>(normal range: 2.7-4.5mg/dl)</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serum creatinine </w:t>
      </w:r>
      <w:r w:rsidR="00584B5F">
        <w:rPr>
          <w:rFonts w:ascii="Times New Roman" w:eastAsia="Times New Roman" w:hAnsi="Times New Roman" w:cs="Times New Roman"/>
          <w:sz w:val="24"/>
          <w:szCs w:val="24"/>
          <w:lang w:eastAsia="en-IN"/>
        </w:rPr>
        <w:t xml:space="preserve">was </w:t>
      </w:r>
      <w:r w:rsidRPr="00380CB6">
        <w:rPr>
          <w:rFonts w:ascii="Times New Roman" w:eastAsia="Times New Roman" w:hAnsi="Times New Roman" w:cs="Times New Roman"/>
          <w:sz w:val="24"/>
          <w:szCs w:val="24"/>
          <w:lang w:eastAsia="en-IN"/>
        </w:rPr>
        <w:t>8.8mg/dl</w:t>
      </w:r>
      <w:r w:rsidR="00F94DFB">
        <w:rPr>
          <w:rFonts w:ascii="Times New Roman" w:eastAsia="Times New Roman" w:hAnsi="Times New Roman" w:cs="Times New Roman"/>
          <w:sz w:val="24"/>
          <w:szCs w:val="24"/>
          <w:lang w:eastAsia="en-IN"/>
        </w:rPr>
        <w:t xml:space="preserve"> (normal range: 0.6-1.3mg/dl)</w:t>
      </w:r>
      <w:r w:rsidRPr="00380CB6">
        <w:rPr>
          <w:rFonts w:ascii="Times New Roman" w:eastAsia="Times New Roman" w:hAnsi="Times New Roman" w:cs="Times New Roman"/>
          <w:sz w:val="24"/>
          <w:szCs w:val="24"/>
          <w:lang w:eastAsia="en-IN"/>
        </w:rPr>
        <w:t>. The patient was advised to continue calcium and vitamin D supplementation along with his regular medications.</w:t>
      </w:r>
    </w:p>
    <w:p w14:paraId="3E644079" w14:textId="77777777" w:rsidR="00777C12" w:rsidRPr="00380CB6" w:rsidRDefault="00421DC0"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0A7056" w:rsidRPr="00380CB6">
        <w:rPr>
          <w:rFonts w:ascii="Times New Roman" w:eastAsia="Times New Roman" w:hAnsi="Times New Roman" w:cs="Times New Roman"/>
          <w:sz w:val="24"/>
          <w:szCs w:val="24"/>
          <w:lang w:eastAsia="en-IN"/>
        </w:rPr>
        <w:t>:2</w:t>
      </w:r>
    </w:p>
    <w:p w14:paraId="270A404B" w14:textId="62E9ABF1"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 63-year-old female with end-stage renal disease on maintenance dialysis for the past 2 years presented with complaints of progressive upper backach</w:t>
      </w:r>
      <w:r w:rsidR="00B73957">
        <w:rPr>
          <w:rFonts w:ascii="Times New Roman" w:eastAsia="Times New Roman" w:hAnsi="Times New Roman" w:cs="Times New Roman"/>
          <w:sz w:val="24"/>
          <w:szCs w:val="24"/>
          <w:lang w:eastAsia="en-IN"/>
        </w:rPr>
        <w:t>e, numbness in both lower limbs</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gait disturbances. Neurological evaluation revealed increased muscle tone in the lower limbs, bilat</w:t>
      </w:r>
      <w:r w:rsidR="00B73957">
        <w:rPr>
          <w:rFonts w:ascii="Times New Roman" w:eastAsia="Times New Roman" w:hAnsi="Times New Roman" w:cs="Times New Roman"/>
          <w:sz w:val="24"/>
          <w:szCs w:val="24"/>
          <w:lang w:eastAsia="en-IN"/>
        </w:rPr>
        <w:t>eral extensor plantar responses</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exaggerated deep tendon reflexes, suggestive of upper motor neuron involvement. Imaging studies (MRI and CT) showed diffuse osteopenia and mixed osteosclerosis involving the spine, with a lytic lesion at T5 vertebra compressing the spinal cord</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suggestive of a brown </w:t>
      </w:r>
      <w:r w:rsidR="00FC42D6" w:rsidRPr="00380CB6">
        <w:rPr>
          <w:rFonts w:ascii="Times New Roman" w:eastAsia="Times New Roman" w:hAnsi="Times New Roman" w:cs="Times New Roman"/>
          <w:sz w:val="24"/>
          <w:szCs w:val="24"/>
          <w:lang w:eastAsia="en-IN"/>
        </w:rPr>
        <w:t>tumour</w:t>
      </w:r>
      <w:r w:rsidRPr="00380CB6">
        <w:rPr>
          <w:rFonts w:ascii="Times New Roman" w:eastAsia="Times New Roman" w:hAnsi="Times New Roman" w:cs="Times New Roman"/>
          <w:sz w:val="24"/>
          <w:szCs w:val="24"/>
          <w:lang w:eastAsia="en-IN"/>
        </w:rPr>
        <w:t>, a skeletal manifestation of tertiary hyperparathyroidism.</w:t>
      </w:r>
    </w:p>
    <w:p w14:paraId="4F514B05" w14:textId="372DB640" w:rsidR="003A350F" w:rsidRPr="00380CB6" w:rsidRDefault="00E812CC"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eastAsia="Times New Roman" w:hAnsi="Times New Roman" w:cs="Times New Roman"/>
          <w:sz w:val="24"/>
          <w:szCs w:val="24"/>
          <w:lang w:eastAsia="en-IN"/>
        </w:rPr>
        <w:lastRenderedPageBreak/>
        <w:t xml:space="preserve">Further evaluation with neck ultrasonography and histopathology confirmed the presence of a parathyroid adenoma in the right lower parathyroid gland. </w:t>
      </w:r>
      <w:r w:rsidR="003A350F" w:rsidRPr="00380CB6">
        <w:rPr>
          <w:rFonts w:ascii="Times New Roman" w:hAnsi="Times New Roman" w:cs="Times New Roman"/>
          <w:sz w:val="24"/>
          <w:szCs w:val="24"/>
        </w:rPr>
        <w:t>Laboratory findings revealed hypercalcemia (serum calcium 11.2 mg/</w:t>
      </w:r>
      <w:proofErr w:type="gramStart"/>
      <w:r w:rsidR="003A350F" w:rsidRPr="00380CB6">
        <w:rPr>
          <w:rFonts w:ascii="Times New Roman" w:hAnsi="Times New Roman" w:cs="Times New Roman"/>
          <w:sz w:val="24"/>
          <w:szCs w:val="24"/>
        </w:rPr>
        <w:t>dL</w:t>
      </w:r>
      <w:r w:rsidR="00B45E3C" w:rsidRPr="00380CB6">
        <w:rPr>
          <w:rFonts w:ascii="Times New Roman" w:eastAsia="Times New Roman" w:hAnsi="Times New Roman" w:cs="Times New Roman"/>
          <w:sz w:val="24"/>
          <w:szCs w:val="24"/>
          <w:lang w:eastAsia="en-IN"/>
        </w:rPr>
        <w:t>(</w:t>
      </w:r>
      <w:proofErr w:type="gramEnd"/>
      <w:r w:rsidR="00B45E3C" w:rsidRPr="00380CB6">
        <w:rPr>
          <w:rFonts w:ascii="Times New Roman" w:eastAsia="Times New Roman" w:hAnsi="Times New Roman" w:cs="Times New Roman"/>
          <w:sz w:val="24"/>
          <w:szCs w:val="24"/>
          <w:lang w:eastAsia="en-IN"/>
        </w:rPr>
        <w:t>reference: 8.5–11 mg/dL)</w:t>
      </w:r>
      <w:r w:rsidR="003A350F" w:rsidRPr="00380CB6">
        <w:rPr>
          <w:rFonts w:ascii="Times New Roman" w:hAnsi="Times New Roman" w:cs="Times New Roman"/>
          <w:sz w:val="24"/>
          <w:szCs w:val="24"/>
        </w:rPr>
        <w:t>) and features suggestive of progression from secondary to tertiary hyperparathyroidism, with a markedly elevated PTH level of 2527</w:t>
      </w:r>
      <w:r w:rsidR="00B45E3C" w:rsidRPr="00380CB6">
        <w:rPr>
          <w:rFonts w:ascii="Times New Roman" w:eastAsia="Times New Roman" w:hAnsi="Times New Roman" w:cs="Times New Roman"/>
          <w:sz w:val="24"/>
          <w:szCs w:val="24"/>
          <w:lang w:eastAsia="en-IN"/>
        </w:rPr>
        <w:t>(reference: 15–68 pg/mL)</w:t>
      </w:r>
      <w:r w:rsidR="003A350F" w:rsidRPr="00380CB6">
        <w:rPr>
          <w:rFonts w:ascii="Times New Roman" w:hAnsi="Times New Roman" w:cs="Times New Roman"/>
          <w:sz w:val="24"/>
          <w:szCs w:val="24"/>
        </w:rPr>
        <w:t xml:space="preserve"> pg/mL</w:t>
      </w:r>
      <w:r w:rsidR="00584B5F">
        <w:rPr>
          <w:rFonts w:ascii="Times New Roman" w:hAnsi="Times New Roman" w:cs="Times New Roman"/>
          <w:sz w:val="24"/>
          <w:szCs w:val="24"/>
        </w:rPr>
        <w:t>,</w:t>
      </w:r>
      <w:r w:rsidR="003A350F" w:rsidRPr="00380CB6">
        <w:rPr>
          <w:rFonts w:ascii="Times New Roman" w:hAnsi="Times New Roman" w:cs="Times New Roman"/>
          <w:sz w:val="24"/>
          <w:szCs w:val="24"/>
        </w:rPr>
        <w:t xml:space="preserve"> which were common in patients with long-standing chronic kidney disease due to sustained stimulation of the parathyroid glands.</w:t>
      </w:r>
    </w:p>
    <w:p w14:paraId="7CB7ED7B" w14:textId="77777777" w:rsidR="00E812CC" w:rsidRPr="00380CB6" w:rsidRDefault="00E812CC"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She underwent </w:t>
      </w:r>
      <w:proofErr w:type="gramStart"/>
      <w:r w:rsidRPr="00380CB6">
        <w:rPr>
          <w:rFonts w:ascii="Times New Roman" w:eastAsia="Times New Roman" w:hAnsi="Times New Roman" w:cs="Times New Roman"/>
          <w:sz w:val="24"/>
          <w:szCs w:val="24"/>
          <w:lang w:eastAsia="en-IN"/>
        </w:rPr>
        <w:t>parathyroidectomy</w:t>
      </w:r>
      <w:r w:rsidR="00F8595A" w:rsidRPr="00380CB6">
        <w:rPr>
          <w:rFonts w:ascii="Times New Roman" w:eastAsia="Times New Roman" w:hAnsi="Times New Roman" w:cs="Times New Roman"/>
          <w:sz w:val="24"/>
          <w:szCs w:val="24"/>
          <w:lang w:eastAsia="en-IN"/>
        </w:rPr>
        <w:t>(</w:t>
      </w:r>
      <w:proofErr w:type="gramEnd"/>
      <w:r w:rsidR="00F8595A" w:rsidRPr="00380CB6">
        <w:rPr>
          <w:rFonts w:ascii="Times New Roman" w:eastAsia="Times New Roman" w:hAnsi="Times New Roman" w:cs="Times New Roman"/>
          <w:sz w:val="24"/>
          <w:szCs w:val="24"/>
          <w:lang w:eastAsia="en-IN"/>
        </w:rPr>
        <w:t>December 2015)</w:t>
      </w:r>
      <w:r w:rsidRPr="00380CB6">
        <w:rPr>
          <w:rFonts w:ascii="Times New Roman" w:eastAsia="Times New Roman" w:hAnsi="Times New Roman" w:cs="Times New Roman"/>
          <w:sz w:val="24"/>
          <w:szCs w:val="24"/>
          <w:lang w:eastAsia="en-IN"/>
        </w:rPr>
        <w:t xml:space="preserve">, during which the right lower parathyroid </w:t>
      </w:r>
      <w:r w:rsidR="00B73957">
        <w:rPr>
          <w:rFonts w:ascii="Times New Roman" w:eastAsia="Times New Roman" w:hAnsi="Times New Roman" w:cs="Times New Roman"/>
          <w:sz w:val="24"/>
          <w:szCs w:val="24"/>
          <w:lang w:eastAsia="en-IN"/>
        </w:rPr>
        <w:t>gland measuring approximately 3</w:t>
      </w:r>
      <w:r w:rsidRPr="00380CB6">
        <w:rPr>
          <w:rFonts w:ascii="Times New Roman" w:eastAsia="Times New Roman" w:hAnsi="Times New Roman" w:cs="Times New Roman"/>
          <w:sz w:val="24"/>
          <w:szCs w:val="24"/>
          <w:lang w:eastAsia="en-IN"/>
        </w:rPr>
        <w:t>x2 x1.8 cm was excised. Histopathological examination revealed an unencapsulated lesion composed of sheets of oxyphil cells with compressed adjacent normal parathyroid tissue, confirming the diagnosis of parathyroid adenoma. No evidence of malignancy or vascular invasion was noted.</w:t>
      </w:r>
    </w:p>
    <w:p w14:paraId="371E92C0" w14:textId="6FB58738" w:rsidR="00B25E29" w:rsidRPr="00380CB6" w:rsidRDefault="00B25E29"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Postoperatively, her parathyroid hormone (PTH) levels decreased to 499.5 pg/mL at 5 minutes and further to 253 pg/mL at 10 minutes after excision. Her serum calcium level was 6.4 mg/</w:t>
      </w:r>
      <w:proofErr w:type="gramStart"/>
      <w:r w:rsidRPr="00380CB6">
        <w:rPr>
          <w:rFonts w:ascii="Times New Roman" w:hAnsi="Times New Roman" w:cs="Times New Roman"/>
          <w:sz w:val="24"/>
          <w:szCs w:val="24"/>
        </w:rPr>
        <w:t>dL</w:t>
      </w:r>
      <w:r w:rsidR="00B45E3C" w:rsidRPr="00380CB6">
        <w:rPr>
          <w:rFonts w:ascii="Times New Roman" w:eastAsia="Times New Roman" w:hAnsi="Times New Roman" w:cs="Times New Roman"/>
          <w:sz w:val="24"/>
          <w:szCs w:val="24"/>
          <w:lang w:eastAsia="en-IN"/>
        </w:rPr>
        <w:t>(</w:t>
      </w:r>
      <w:proofErr w:type="gramEnd"/>
      <w:r w:rsidR="00B45E3C" w:rsidRPr="00380CB6">
        <w:rPr>
          <w:rFonts w:ascii="Times New Roman" w:eastAsia="Times New Roman" w:hAnsi="Times New Roman" w:cs="Times New Roman"/>
          <w:sz w:val="24"/>
          <w:szCs w:val="24"/>
          <w:lang w:eastAsia="en-IN"/>
        </w:rPr>
        <w:t>reference: 8.5–11 mg/dL)</w:t>
      </w:r>
      <w:r w:rsidRPr="00380CB6">
        <w:rPr>
          <w:rFonts w:ascii="Times New Roman" w:hAnsi="Times New Roman" w:cs="Times New Roman"/>
          <w:sz w:val="24"/>
          <w:szCs w:val="24"/>
        </w:rPr>
        <w:t>, and she was managed with appropriate supportive care, including calcium supplementation, to prevent hungry bone syndrome</w:t>
      </w:r>
      <w:r w:rsidR="00584B5F">
        <w:rPr>
          <w:rFonts w:ascii="Times New Roman" w:hAnsi="Times New Roman" w:cs="Times New Roman"/>
          <w:sz w:val="24"/>
          <w:szCs w:val="24"/>
        </w:rPr>
        <w:t>,</w:t>
      </w:r>
      <w:r w:rsidRPr="00380CB6">
        <w:rPr>
          <w:rFonts w:ascii="Times New Roman" w:hAnsi="Times New Roman" w:cs="Times New Roman"/>
          <w:sz w:val="24"/>
          <w:szCs w:val="24"/>
        </w:rPr>
        <w:t xml:space="preserve"> a known complication following parathyroidectomy in high bone turnover states. The spinal cord compression was surgically managed with T5 laminectomy and decompression under general </w:t>
      </w:r>
      <w:r w:rsidR="00C26438" w:rsidRPr="00380CB6">
        <w:rPr>
          <w:rFonts w:ascii="Times New Roman" w:hAnsi="Times New Roman" w:cs="Times New Roman"/>
          <w:sz w:val="24"/>
          <w:szCs w:val="24"/>
        </w:rPr>
        <w:t>anaesthesia</w:t>
      </w:r>
      <w:r w:rsidRPr="00380CB6">
        <w:rPr>
          <w:rFonts w:ascii="Times New Roman" w:hAnsi="Times New Roman" w:cs="Times New Roman"/>
          <w:sz w:val="24"/>
          <w:szCs w:val="24"/>
        </w:rPr>
        <w:t xml:space="preserve"> in December 2015.</w:t>
      </w:r>
    </w:p>
    <w:p w14:paraId="2AF0AE63" w14:textId="77777777" w:rsidR="00E812CC" w:rsidRPr="00380CB6" w:rsidRDefault="00B73957"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CASE</w:t>
      </w:r>
      <w:r w:rsidR="00E812CC" w:rsidRPr="00380CB6">
        <w:rPr>
          <w:rFonts w:ascii="Times New Roman" w:eastAsia="Times New Roman" w:hAnsi="Times New Roman" w:cs="Times New Roman"/>
          <w:sz w:val="24"/>
          <w:szCs w:val="24"/>
          <w:lang w:eastAsia="en-IN"/>
        </w:rPr>
        <w:t>: 3</w:t>
      </w:r>
    </w:p>
    <w:p w14:paraId="6E5ECF3F" w14:textId="13EA3DB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 43-year-old male, a known case of chronic nephrotic syndrome with CKD Stage V, presented with complaints of breathlessness and generalized weakness. He was admitted to the Department of Nephrology </w:t>
      </w:r>
      <w:r w:rsidR="00584B5F">
        <w:rPr>
          <w:rFonts w:ascii="Times New Roman" w:eastAsia="Times New Roman" w:hAnsi="Times New Roman" w:cs="Times New Roman"/>
          <w:sz w:val="24"/>
          <w:szCs w:val="24"/>
          <w:lang w:eastAsia="en-IN"/>
        </w:rPr>
        <w:t>in</w:t>
      </w:r>
      <w:r w:rsidRPr="00380CB6">
        <w:rPr>
          <w:rFonts w:ascii="Times New Roman" w:eastAsia="Times New Roman" w:hAnsi="Times New Roman" w:cs="Times New Roman"/>
          <w:sz w:val="24"/>
          <w:szCs w:val="24"/>
          <w:lang w:eastAsia="en-IN"/>
        </w:rPr>
        <w:t xml:space="preserve"> September 2022 for the initiation of haemodialysis. At the time of admission, his laboratory investigations revealed serum urea of 305 mg/dL, serum creatinine of 17.1 mg/</w:t>
      </w:r>
      <w:proofErr w:type="gramStart"/>
      <w:r w:rsidRPr="00380CB6">
        <w:rPr>
          <w:rFonts w:ascii="Times New Roman" w:eastAsia="Times New Roman" w:hAnsi="Times New Roman" w:cs="Times New Roman"/>
          <w:sz w:val="24"/>
          <w:szCs w:val="24"/>
          <w:lang w:eastAsia="en-IN"/>
        </w:rPr>
        <w:t>dL</w:t>
      </w:r>
      <w:r w:rsidR="00F94DFB">
        <w:rPr>
          <w:rFonts w:ascii="Times New Roman" w:eastAsia="Times New Roman" w:hAnsi="Times New Roman" w:cs="Times New Roman"/>
          <w:sz w:val="24"/>
          <w:szCs w:val="24"/>
          <w:lang w:eastAsia="en-IN"/>
        </w:rPr>
        <w:t>(</w:t>
      </w:r>
      <w:proofErr w:type="gramEnd"/>
      <w:r w:rsidR="00F94DFB">
        <w:rPr>
          <w:rFonts w:ascii="Times New Roman" w:eastAsia="Times New Roman" w:hAnsi="Times New Roman" w:cs="Times New Roman"/>
          <w:sz w:val="24"/>
          <w:szCs w:val="24"/>
          <w:lang w:eastAsia="en-IN"/>
        </w:rPr>
        <w:t>normal range: 0.6-1.3mg/dl)</w:t>
      </w:r>
      <w:r w:rsidRPr="00380CB6">
        <w:rPr>
          <w:rFonts w:ascii="Times New Roman" w:eastAsia="Times New Roman" w:hAnsi="Times New Roman" w:cs="Times New Roman"/>
          <w:sz w:val="24"/>
          <w:szCs w:val="24"/>
          <w:lang w:eastAsia="en-IN"/>
        </w:rPr>
        <w:t>, serum phosphorus of 10.5 mg</w:t>
      </w:r>
      <w:r w:rsidR="00A463AB" w:rsidRPr="00380CB6">
        <w:rPr>
          <w:rFonts w:ascii="Times New Roman" w:eastAsia="Times New Roman" w:hAnsi="Times New Roman" w:cs="Times New Roman"/>
          <w:sz w:val="24"/>
          <w:szCs w:val="24"/>
          <w:lang w:eastAsia="en-IN"/>
        </w:rPr>
        <w:t>/dL</w:t>
      </w:r>
      <w:r w:rsidR="00B45E3C">
        <w:rPr>
          <w:rFonts w:ascii="Times New Roman" w:eastAsia="Times New Roman" w:hAnsi="Times New Roman" w:cs="Times New Roman"/>
          <w:sz w:val="24"/>
          <w:szCs w:val="24"/>
          <w:lang w:eastAsia="en-IN"/>
        </w:rPr>
        <w:t xml:space="preserve"> (normal range: 2.7-4.5mg/dl)</w:t>
      </w:r>
      <w:r w:rsidR="00A463AB" w:rsidRPr="00380CB6">
        <w:rPr>
          <w:rFonts w:ascii="Times New Roman" w:eastAsia="Times New Roman" w:hAnsi="Times New Roman" w:cs="Times New Roman"/>
          <w:sz w:val="24"/>
          <w:szCs w:val="24"/>
          <w:lang w:eastAsia="en-IN"/>
        </w:rPr>
        <w:t>, serum calcium of 8.3 mg/dL</w:t>
      </w:r>
      <w:r w:rsidR="00B45E3C" w:rsidRPr="00380CB6">
        <w:rPr>
          <w:rFonts w:ascii="Times New Roman" w:eastAsia="Times New Roman" w:hAnsi="Times New Roman" w:cs="Times New Roman"/>
          <w:sz w:val="24"/>
          <w:szCs w:val="24"/>
          <w:lang w:eastAsia="en-IN"/>
        </w:rPr>
        <w:t>(reference: 8.5–11 mg/dL)</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haemoglobin of 7.8 g/dL</w:t>
      </w:r>
      <w:r w:rsidR="00B45E3C">
        <w:rPr>
          <w:rFonts w:ascii="Times New Roman" w:eastAsia="Times New Roman" w:hAnsi="Times New Roman" w:cs="Times New Roman"/>
          <w:sz w:val="24"/>
          <w:szCs w:val="24"/>
          <w:lang w:eastAsia="en-IN"/>
        </w:rPr>
        <w:t>(reference range: 11.5-16.5g/dl)</w:t>
      </w:r>
      <w:r w:rsidRPr="00380CB6">
        <w:rPr>
          <w:rFonts w:ascii="Times New Roman" w:eastAsia="Times New Roman" w:hAnsi="Times New Roman" w:cs="Times New Roman"/>
          <w:sz w:val="24"/>
          <w:szCs w:val="24"/>
          <w:lang w:eastAsia="en-IN"/>
        </w:rPr>
        <w:t>, with a urine output of approximately 500 mL per day. Following initiation of haemodialysis, the patient became symptomatically stable and was advised to continue haemodialysis twice weekly. He was prescribed Tab. Alph</w:t>
      </w:r>
      <w:r w:rsidR="00D24D69" w:rsidRPr="00380CB6">
        <w:rPr>
          <w:rFonts w:ascii="Times New Roman" w:eastAsia="Times New Roman" w:hAnsi="Times New Roman" w:cs="Times New Roman"/>
          <w:sz w:val="24"/>
          <w:szCs w:val="24"/>
          <w:lang w:eastAsia="en-IN"/>
        </w:rPr>
        <w:t>acalcidol</w:t>
      </w:r>
      <w:r w:rsidRPr="00380CB6">
        <w:rPr>
          <w:rFonts w:ascii="Times New Roman" w:eastAsia="Times New Roman" w:hAnsi="Times New Roman" w:cs="Times New Roman"/>
          <w:sz w:val="24"/>
          <w:szCs w:val="24"/>
          <w:lang w:eastAsia="en-IN"/>
        </w:rPr>
        <w:t xml:space="preserve"> 0.25 mcg once daily, Tab. </w:t>
      </w:r>
      <w:r w:rsidR="00D24D69" w:rsidRPr="00380CB6">
        <w:rPr>
          <w:rFonts w:ascii="Times New Roman" w:eastAsia="Times New Roman" w:hAnsi="Times New Roman" w:cs="Times New Roman"/>
          <w:sz w:val="24"/>
          <w:szCs w:val="24"/>
          <w:lang w:eastAsia="en-IN"/>
        </w:rPr>
        <w:t xml:space="preserve">Calcium acetate </w:t>
      </w:r>
      <w:r w:rsidRPr="00380CB6">
        <w:rPr>
          <w:rFonts w:ascii="Times New Roman" w:eastAsia="Times New Roman" w:hAnsi="Times New Roman" w:cs="Times New Roman"/>
          <w:sz w:val="24"/>
          <w:szCs w:val="24"/>
          <w:lang w:eastAsia="en-IN"/>
        </w:rPr>
        <w:t xml:space="preserve">667 mg thrice </w:t>
      </w:r>
      <w:r w:rsidRPr="00380CB6">
        <w:rPr>
          <w:rFonts w:ascii="Times New Roman" w:eastAsia="Times New Roman" w:hAnsi="Times New Roman" w:cs="Times New Roman"/>
          <w:sz w:val="24"/>
          <w:szCs w:val="24"/>
          <w:lang w:eastAsia="en-IN"/>
        </w:rPr>
        <w:lastRenderedPageBreak/>
        <w:t xml:space="preserve">daily, Tab. </w:t>
      </w:r>
      <w:r w:rsidR="00D24D69" w:rsidRPr="00380CB6">
        <w:rPr>
          <w:rFonts w:ascii="Times New Roman" w:eastAsia="Times New Roman" w:hAnsi="Times New Roman" w:cs="Times New Roman"/>
          <w:sz w:val="24"/>
          <w:szCs w:val="24"/>
          <w:lang w:eastAsia="en-IN"/>
        </w:rPr>
        <w:t xml:space="preserve">Clonidine </w:t>
      </w:r>
      <w:r w:rsidRPr="00380CB6">
        <w:rPr>
          <w:rFonts w:ascii="Times New Roman" w:eastAsia="Times New Roman" w:hAnsi="Times New Roman" w:cs="Times New Roman"/>
          <w:sz w:val="24"/>
          <w:szCs w:val="24"/>
          <w:lang w:eastAsia="en-IN"/>
        </w:rPr>
        <w:t>50 mcg thrice daily, Inj. Erythropoietin 4000 u</w:t>
      </w:r>
      <w:r w:rsidR="00B73957">
        <w:rPr>
          <w:rFonts w:ascii="Times New Roman" w:eastAsia="Times New Roman" w:hAnsi="Times New Roman" w:cs="Times New Roman"/>
          <w:sz w:val="24"/>
          <w:szCs w:val="24"/>
          <w:lang w:eastAsia="en-IN"/>
        </w:rPr>
        <w:t>nits twice weekly post-dialysis</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 xml:space="preserve">Sodium bicarbonate </w:t>
      </w:r>
      <w:r w:rsidRPr="00380CB6">
        <w:rPr>
          <w:rFonts w:ascii="Times New Roman" w:eastAsia="Times New Roman" w:hAnsi="Times New Roman" w:cs="Times New Roman"/>
          <w:sz w:val="24"/>
          <w:szCs w:val="24"/>
          <w:lang w:eastAsia="en-IN"/>
        </w:rPr>
        <w:t>250 mg twice daily.</w:t>
      </w:r>
    </w:p>
    <w:p w14:paraId="4641A86F" w14:textId="5246E407" w:rsidR="00777C12" w:rsidRPr="00380CB6"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On regular follow-up, the patient showed clinical improvement, with serum urea reduced to 76 mg/dL, creatinine to</w:t>
      </w:r>
      <w:r w:rsidR="00A463AB" w:rsidRPr="00380CB6">
        <w:rPr>
          <w:rFonts w:ascii="Times New Roman" w:eastAsia="Times New Roman" w:hAnsi="Times New Roman" w:cs="Times New Roman"/>
          <w:sz w:val="24"/>
          <w:szCs w:val="24"/>
          <w:lang w:eastAsia="en-IN"/>
        </w:rPr>
        <w:t xml:space="preserve"> 11 mg/</w:t>
      </w:r>
      <w:proofErr w:type="gramStart"/>
      <w:r w:rsidR="00A463AB" w:rsidRPr="00380CB6">
        <w:rPr>
          <w:rFonts w:ascii="Times New Roman" w:eastAsia="Times New Roman" w:hAnsi="Times New Roman" w:cs="Times New Roman"/>
          <w:sz w:val="24"/>
          <w:szCs w:val="24"/>
          <w:lang w:eastAsia="en-IN"/>
        </w:rPr>
        <w:t>dL</w:t>
      </w:r>
      <w:r w:rsidR="00F94DFB">
        <w:rPr>
          <w:rFonts w:ascii="Times New Roman" w:eastAsia="Times New Roman" w:hAnsi="Times New Roman" w:cs="Times New Roman"/>
          <w:sz w:val="24"/>
          <w:szCs w:val="24"/>
          <w:lang w:eastAsia="en-IN"/>
        </w:rPr>
        <w:t>(</w:t>
      </w:r>
      <w:proofErr w:type="gramEnd"/>
      <w:r w:rsidR="00F94DFB">
        <w:rPr>
          <w:rFonts w:ascii="Times New Roman" w:eastAsia="Times New Roman" w:hAnsi="Times New Roman" w:cs="Times New Roman"/>
          <w:sz w:val="24"/>
          <w:szCs w:val="24"/>
          <w:lang w:eastAsia="en-IN"/>
        </w:rPr>
        <w:t>normal range: 0.6-1.3mg/dl)</w:t>
      </w:r>
      <w:r w:rsidR="00A463AB" w:rsidRPr="00380CB6">
        <w:rPr>
          <w:rFonts w:ascii="Times New Roman" w:eastAsia="Times New Roman" w:hAnsi="Times New Roman" w:cs="Times New Roman"/>
          <w:sz w:val="24"/>
          <w:szCs w:val="24"/>
          <w:lang w:eastAsia="en-IN"/>
        </w:rPr>
        <w:t xml:space="preserve">, calcium </w:t>
      </w:r>
      <w:r w:rsidR="00584B5F">
        <w:rPr>
          <w:rFonts w:ascii="Times New Roman" w:eastAsia="Times New Roman" w:hAnsi="Times New Roman" w:cs="Times New Roman"/>
          <w:sz w:val="24"/>
          <w:szCs w:val="24"/>
          <w:lang w:eastAsia="en-IN"/>
        </w:rPr>
        <w:t xml:space="preserve">to </w:t>
      </w:r>
      <w:r w:rsidR="00A463AB" w:rsidRPr="00380CB6">
        <w:rPr>
          <w:rFonts w:ascii="Times New Roman" w:eastAsia="Times New Roman" w:hAnsi="Times New Roman" w:cs="Times New Roman"/>
          <w:sz w:val="24"/>
          <w:szCs w:val="24"/>
          <w:lang w:eastAsia="en-IN"/>
        </w:rPr>
        <w:t>8.6 mg/dL</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phosphorus </w:t>
      </w:r>
      <w:r w:rsidR="00584B5F">
        <w:rPr>
          <w:rFonts w:ascii="Times New Roman" w:eastAsia="Times New Roman" w:hAnsi="Times New Roman" w:cs="Times New Roman"/>
          <w:sz w:val="24"/>
          <w:szCs w:val="24"/>
          <w:lang w:eastAsia="en-IN"/>
        </w:rPr>
        <w:t xml:space="preserve">to </w:t>
      </w:r>
      <w:r w:rsidRPr="00380CB6">
        <w:rPr>
          <w:rFonts w:ascii="Times New Roman" w:eastAsia="Times New Roman" w:hAnsi="Times New Roman" w:cs="Times New Roman"/>
          <w:sz w:val="24"/>
          <w:szCs w:val="24"/>
          <w:lang w:eastAsia="en-IN"/>
        </w:rPr>
        <w:t xml:space="preserve">6.8 mg/dL. However, he later complained of bone pain along with radiological findings of wedging and biconvex deformity of vertebrae. Further investigations </w:t>
      </w:r>
      <w:r w:rsidR="00584B5F">
        <w:rPr>
          <w:rFonts w:ascii="Times New Roman" w:eastAsia="Times New Roman" w:hAnsi="Times New Roman" w:cs="Times New Roman"/>
          <w:sz w:val="24"/>
          <w:szCs w:val="24"/>
          <w:lang w:eastAsia="en-IN"/>
        </w:rPr>
        <w:t>in</w:t>
      </w:r>
      <w:r w:rsidR="00FC42D6" w:rsidRPr="00380CB6">
        <w:rPr>
          <w:rFonts w:ascii="Times New Roman" w:eastAsia="Times New Roman" w:hAnsi="Times New Roman" w:cs="Times New Roman"/>
          <w:sz w:val="24"/>
          <w:szCs w:val="24"/>
          <w:lang w:eastAsia="en-IN"/>
        </w:rPr>
        <w:t xml:space="preserve"> March</w:t>
      </w:r>
      <w:r w:rsidRPr="00380CB6">
        <w:rPr>
          <w:rFonts w:ascii="Times New Roman" w:eastAsia="Times New Roman" w:hAnsi="Times New Roman" w:cs="Times New Roman"/>
          <w:sz w:val="24"/>
          <w:szCs w:val="24"/>
          <w:lang w:eastAsia="en-IN"/>
        </w:rPr>
        <w:t xml:space="preserve"> 2024 revealed markedly elevated parathyroid hormone (PTH) levels of 2176 pg/mL (reference: 15–68 pg/mL)</w:t>
      </w:r>
      <w:r w:rsidR="00FA3A7A">
        <w:rPr>
          <w:rFonts w:ascii="Times New Roman" w:eastAsia="Times New Roman" w:hAnsi="Times New Roman" w:cs="Times New Roman"/>
          <w:sz w:val="24"/>
          <w:szCs w:val="24"/>
          <w:lang w:eastAsia="en-IN"/>
        </w:rPr>
        <w:t>, serum phosphorus of 9.4 mg/dL</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reduced serum calcium of 7.2 mg/dL (reference: 8.5–11 mg/dL). In view of these findings, the patient’s medications were revised to include Tab. Shelcal (calcium + vitamin D3 500 mg/250 IU) once daily, Tab.</w:t>
      </w:r>
      <w:r w:rsidR="00E71A93" w:rsidRPr="00380CB6">
        <w:rPr>
          <w:rFonts w:ascii="Times New Roman" w:eastAsia="Times New Roman" w:hAnsi="Times New Roman" w:cs="Times New Roman"/>
          <w:sz w:val="24"/>
          <w:szCs w:val="24"/>
          <w:lang w:eastAsia="en-IN"/>
        </w:rPr>
        <w:t xml:space="preserve"> A</w:t>
      </w:r>
      <w:r w:rsidRPr="00380CB6">
        <w:rPr>
          <w:rFonts w:ascii="Times New Roman" w:eastAsia="Times New Roman" w:hAnsi="Times New Roman" w:cs="Times New Roman"/>
          <w:sz w:val="24"/>
          <w:szCs w:val="24"/>
          <w:lang w:eastAsia="en-IN"/>
        </w:rPr>
        <w:t>lfacalcidol 0.25 mcg twice daily, Tab. Sevelamer 800 mg thr</w:t>
      </w:r>
      <w:r w:rsidR="00FA3A7A">
        <w:rPr>
          <w:rFonts w:ascii="Times New Roman" w:eastAsia="Times New Roman" w:hAnsi="Times New Roman" w:cs="Times New Roman"/>
          <w:sz w:val="24"/>
          <w:szCs w:val="24"/>
          <w:lang w:eastAsia="en-IN"/>
        </w:rPr>
        <w:t>ice daily</w:t>
      </w:r>
      <w:r w:rsidRPr="00380CB6">
        <w:rPr>
          <w:rFonts w:ascii="Times New Roman" w:eastAsia="Times New Roman" w:hAnsi="Times New Roman" w:cs="Times New Roman"/>
          <w:sz w:val="24"/>
          <w:szCs w:val="24"/>
          <w:lang w:eastAsia="en-IN"/>
        </w:rPr>
        <w:t xml:space="preserve"> and Tab. </w:t>
      </w:r>
      <w:r w:rsidR="00D24D69" w:rsidRPr="00380CB6">
        <w:rPr>
          <w:rFonts w:ascii="Times New Roman" w:eastAsia="Times New Roman" w:hAnsi="Times New Roman" w:cs="Times New Roman"/>
          <w:sz w:val="24"/>
          <w:szCs w:val="24"/>
          <w:lang w:eastAsia="en-IN"/>
        </w:rPr>
        <w:t>Cinacalcet</w:t>
      </w:r>
      <w:r w:rsidRPr="00380CB6">
        <w:rPr>
          <w:rFonts w:ascii="Times New Roman" w:eastAsia="Times New Roman" w:hAnsi="Times New Roman" w:cs="Times New Roman"/>
          <w:sz w:val="24"/>
          <w:szCs w:val="24"/>
          <w:lang w:eastAsia="en-IN"/>
        </w:rPr>
        <w:t xml:space="preserve"> 30 mg once daily.</w:t>
      </w:r>
    </w:p>
    <w:p w14:paraId="5FE7909A" w14:textId="6CAFBC95" w:rsidR="003A350F" w:rsidRPr="006F5AE0" w:rsidRDefault="000A7056"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 neck ultrasound performed </w:t>
      </w:r>
      <w:r w:rsidR="00584B5F">
        <w:rPr>
          <w:rFonts w:ascii="Times New Roman" w:eastAsia="Times New Roman" w:hAnsi="Times New Roman" w:cs="Times New Roman"/>
          <w:sz w:val="24"/>
          <w:szCs w:val="24"/>
          <w:lang w:eastAsia="en-IN"/>
        </w:rPr>
        <w:t>in</w:t>
      </w:r>
      <w:r w:rsidR="00F3112D" w:rsidRPr="00380CB6">
        <w:rPr>
          <w:rFonts w:ascii="Times New Roman" w:eastAsia="Times New Roman" w:hAnsi="Times New Roman" w:cs="Times New Roman"/>
          <w:sz w:val="24"/>
          <w:szCs w:val="24"/>
          <w:lang w:eastAsia="en-IN"/>
        </w:rPr>
        <w:t xml:space="preserve"> May</w:t>
      </w:r>
      <w:r w:rsidRPr="00380CB6">
        <w:rPr>
          <w:rFonts w:ascii="Times New Roman" w:eastAsia="Times New Roman" w:hAnsi="Times New Roman" w:cs="Times New Roman"/>
          <w:sz w:val="24"/>
          <w:szCs w:val="24"/>
          <w:lang w:eastAsia="en-IN"/>
        </w:rPr>
        <w:t xml:space="preserve"> 2024 revealed hyperplasia of all four parathyroid glands, with the left inferior gland measuring more than 1 cm. Ultrasound of the abdomen and pelvis showed hepatosplenomegaly, shrunken kidneys with reduced cortical thickness and increased echogenicity (grade 3), while the upper para-aortic region appeared normal. Follow-up assessments demonstrated significant biochemical improvement, with PTH levels reducing to 709 pg/mL and subsequently to 353.7 pg/mL, serum calcium improving to 8.6 mg/dL, phosphorus decreasing to 3.5 mg/dL, and serum vitamin D3 rising to 29.7 ng/mL by June 2025. The patient is currently clinically stable and is being evaluated and prepared for renal transplantation.</w:t>
      </w:r>
    </w:p>
    <w:p w14:paraId="51A33B76" w14:textId="77777777" w:rsidR="00777C12" w:rsidRPr="007D1A3A" w:rsidRDefault="000A705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DISCUSSION:</w:t>
      </w:r>
    </w:p>
    <w:p w14:paraId="7E2CFDB2" w14:textId="3F02755D" w:rsidR="006A63CE" w:rsidRPr="00380CB6" w:rsidRDefault="003830CB"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According to the article by Egshatyan LV et al., SHPT is a common complication that poses serious health risks to patients with CKD, including those with ESRD. It is brought on by phosphate retention,</w:t>
      </w:r>
      <w:r w:rsidR="00D90AD0">
        <w:rPr>
          <w:rFonts w:ascii="Times New Roman" w:eastAsia="Times New Roman" w:hAnsi="Times New Roman" w:cs="Times New Roman"/>
          <w:sz w:val="24"/>
          <w:szCs w:val="24"/>
          <w:lang w:eastAsia="en-IN"/>
        </w:rPr>
        <w:t xml:space="preserve"> decreased vitamin D activation</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hypocalcaemia, all of which </w:t>
      </w:r>
      <w:r w:rsidR="00584B5F">
        <w:rPr>
          <w:rFonts w:ascii="Times New Roman" w:eastAsia="Times New Roman" w:hAnsi="Times New Roman" w:cs="Times New Roman"/>
          <w:sz w:val="24"/>
          <w:szCs w:val="24"/>
          <w:lang w:eastAsia="en-IN"/>
        </w:rPr>
        <w:t>lead</w:t>
      </w:r>
      <w:r w:rsidRPr="00380CB6">
        <w:rPr>
          <w:rFonts w:ascii="Times New Roman" w:eastAsia="Times New Roman" w:hAnsi="Times New Roman" w:cs="Times New Roman"/>
          <w:sz w:val="24"/>
          <w:szCs w:val="24"/>
          <w:lang w:eastAsia="en-IN"/>
        </w:rPr>
        <w:t xml:space="preserve"> to parathyroid gland hyperplasia and elevated PTH levels. [6]</w:t>
      </w:r>
    </w:p>
    <w:p w14:paraId="1F0DA215" w14:textId="77777777" w:rsidR="003830CB" w:rsidRPr="00380CB6" w:rsidRDefault="003830CB"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br/>
        <w:t xml:space="preserve">As PTH levels continued to rise, the patient with stage 5 CKD in the Muhetaer et al. case study demonstrated a poor response to medical therapy with oral </w:t>
      </w:r>
      <w:r w:rsidR="00C26438">
        <w:rPr>
          <w:rFonts w:ascii="Times New Roman" w:eastAsia="Times New Roman" w:hAnsi="Times New Roman" w:cs="Times New Roman"/>
          <w:sz w:val="24"/>
          <w:szCs w:val="24"/>
          <w:lang w:eastAsia="en-IN"/>
        </w:rPr>
        <w:t>PTH</w:t>
      </w:r>
      <w:r w:rsidR="00C26438" w:rsidRPr="00C26438">
        <w:rPr>
          <w:rFonts w:ascii="Times New Roman" w:eastAsia="Times New Roman" w:hAnsi="Times New Roman" w:cs="Times New Roman"/>
          <w:sz w:val="24"/>
          <w:szCs w:val="24"/>
          <w:lang w:eastAsia="en-IN"/>
        </w:rPr>
        <w:t>(</w:t>
      </w:r>
      <w:r w:rsidRPr="00C26438">
        <w:rPr>
          <w:rFonts w:ascii="Times New Roman" w:eastAsia="Times New Roman" w:hAnsi="Times New Roman" w:cs="Times New Roman"/>
          <w:sz w:val="24"/>
          <w:szCs w:val="24"/>
          <w:lang w:eastAsia="en-IN"/>
        </w:rPr>
        <w:t>Sinakase</w:t>
      </w:r>
      <w:r w:rsidR="00C26438">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intermittent calcitriol. Similar to this, in our Case 1, the patient had consistently high iPTH </w:t>
      </w:r>
      <w:r w:rsidRPr="00380CB6">
        <w:rPr>
          <w:rFonts w:ascii="Times New Roman" w:eastAsia="Times New Roman" w:hAnsi="Times New Roman" w:cs="Times New Roman"/>
          <w:sz w:val="24"/>
          <w:szCs w:val="24"/>
          <w:lang w:eastAsia="en-IN"/>
        </w:rPr>
        <w:lastRenderedPageBreak/>
        <w:t xml:space="preserve">levels above 3000 pg/mL, despite taking Cinacalcet and vitamin D analogues. This indicated that the patient's treatment had failed and that surgery was </w:t>
      </w:r>
      <w:proofErr w:type="gramStart"/>
      <w:r w:rsidRPr="00380CB6">
        <w:rPr>
          <w:rFonts w:ascii="Times New Roman" w:eastAsia="Times New Roman" w:hAnsi="Times New Roman" w:cs="Times New Roman"/>
          <w:sz w:val="24"/>
          <w:szCs w:val="24"/>
          <w:lang w:eastAsia="en-IN"/>
        </w:rPr>
        <w:t>required.</w:t>
      </w:r>
      <w:r w:rsidR="00A84D9C" w:rsidRPr="00380CB6">
        <w:rPr>
          <w:rFonts w:ascii="Times New Roman" w:eastAsia="Times New Roman" w:hAnsi="Times New Roman" w:cs="Times New Roman"/>
          <w:sz w:val="24"/>
          <w:szCs w:val="24"/>
          <w:vertAlign w:val="superscript"/>
          <w:lang w:eastAsia="en-IN"/>
        </w:rPr>
        <w:t>[</w:t>
      </w:r>
      <w:proofErr w:type="gramEnd"/>
      <w:r w:rsidR="00A84D9C" w:rsidRPr="00380CB6">
        <w:rPr>
          <w:rFonts w:ascii="Times New Roman" w:eastAsia="Times New Roman" w:hAnsi="Times New Roman" w:cs="Times New Roman"/>
          <w:sz w:val="24"/>
          <w:szCs w:val="24"/>
          <w:vertAlign w:val="superscript"/>
          <w:lang w:eastAsia="en-IN"/>
        </w:rPr>
        <w:t>1]</w:t>
      </w:r>
    </w:p>
    <w:p w14:paraId="690FC263" w14:textId="77777777" w:rsidR="003830CB" w:rsidRPr="00380CB6" w:rsidRDefault="003830CB" w:rsidP="00B25E29">
      <w:pPr>
        <w:spacing w:after="0" w:line="360" w:lineRule="auto"/>
        <w:jc w:val="both"/>
        <w:rPr>
          <w:rFonts w:ascii="Times New Roman" w:eastAsia="Times New Roman" w:hAnsi="Times New Roman" w:cs="Times New Roman"/>
          <w:sz w:val="24"/>
          <w:szCs w:val="24"/>
          <w:lang w:eastAsia="en-IN"/>
        </w:rPr>
      </w:pPr>
    </w:p>
    <w:p w14:paraId="1CA14A1A" w14:textId="12874943" w:rsidR="006A63CE" w:rsidRPr="00380CB6" w:rsidRDefault="006A63CE"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Lorenz K et al. </w:t>
      </w:r>
      <w:r w:rsidR="00584B5F">
        <w:rPr>
          <w:rFonts w:ascii="Times New Roman" w:eastAsia="Times New Roman" w:hAnsi="Times New Roman" w:cs="Times New Roman"/>
          <w:sz w:val="24"/>
          <w:szCs w:val="24"/>
          <w:lang w:eastAsia="en-IN"/>
        </w:rPr>
        <w:t>say</w:t>
      </w:r>
      <w:r w:rsidRPr="00380CB6">
        <w:rPr>
          <w:rFonts w:ascii="Times New Roman" w:eastAsia="Times New Roman" w:hAnsi="Times New Roman" w:cs="Times New Roman"/>
          <w:sz w:val="24"/>
          <w:szCs w:val="24"/>
          <w:lang w:eastAsia="en-IN"/>
        </w:rPr>
        <w:t xml:space="preserve"> that patients with severe and complex renal hyperparathyroidism (HPT), those who are intolerant or </w:t>
      </w:r>
      <w:r w:rsidR="00584B5F">
        <w:rPr>
          <w:rFonts w:ascii="Times New Roman" w:eastAsia="Times New Roman" w:hAnsi="Times New Roman" w:cs="Times New Roman"/>
          <w:sz w:val="24"/>
          <w:szCs w:val="24"/>
          <w:lang w:eastAsia="en-IN"/>
        </w:rPr>
        <w:t>resistant</w:t>
      </w:r>
      <w:r w:rsidRPr="00380CB6">
        <w:rPr>
          <w:rFonts w:ascii="Times New Roman" w:eastAsia="Times New Roman" w:hAnsi="Times New Roman" w:cs="Times New Roman"/>
          <w:sz w:val="24"/>
          <w:szCs w:val="24"/>
          <w:lang w:eastAsia="en-IN"/>
        </w:rPr>
        <w:t xml:space="preserve"> to medicinal treatment, and those who have particular needs in the process of obtaining or being disqualified from a kidney transplant may need a parathyroidectomy.</w:t>
      </w:r>
      <w:r w:rsidR="00A84D9C" w:rsidRPr="00380CB6">
        <w:rPr>
          <w:rFonts w:ascii="Times New Roman" w:eastAsia="Times New Roman" w:hAnsi="Times New Roman" w:cs="Times New Roman"/>
          <w:sz w:val="24"/>
          <w:szCs w:val="24"/>
          <w:vertAlign w:val="superscript"/>
          <w:lang w:eastAsia="en-IN"/>
        </w:rPr>
        <w:t>[5]</w:t>
      </w:r>
      <w:r w:rsidRPr="00380CB6">
        <w:rPr>
          <w:rFonts w:ascii="Times New Roman" w:eastAsia="Times New Roman" w:hAnsi="Times New Roman" w:cs="Times New Roman"/>
          <w:sz w:val="24"/>
          <w:szCs w:val="24"/>
          <w:lang w:eastAsia="en-IN"/>
        </w:rPr>
        <w:t xml:space="preserve"> The patient in Case 1 had a significant intraoperative and postoperative drop in PTH levels after a complete parathyroidectomy with transcervical thymectomy and </w:t>
      </w:r>
      <w:r w:rsidR="00584B5F">
        <w:rPr>
          <w:rFonts w:ascii="Times New Roman" w:eastAsia="Times New Roman" w:hAnsi="Times New Roman" w:cs="Times New Roman"/>
          <w:sz w:val="24"/>
          <w:szCs w:val="24"/>
          <w:lang w:eastAsia="en-IN"/>
        </w:rPr>
        <w:t>auto-transplantation</w:t>
      </w:r>
      <w:r w:rsidRPr="00380CB6">
        <w:rPr>
          <w:rFonts w:ascii="Times New Roman" w:eastAsia="Times New Roman" w:hAnsi="Times New Roman" w:cs="Times New Roman"/>
          <w:sz w:val="24"/>
          <w:szCs w:val="24"/>
          <w:lang w:eastAsia="en-IN"/>
        </w:rPr>
        <w:t>, which is consist</w:t>
      </w:r>
      <w:r w:rsidR="005C3168">
        <w:rPr>
          <w:rFonts w:ascii="Times New Roman" w:eastAsia="Times New Roman" w:hAnsi="Times New Roman" w:cs="Times New Roman"/>
          <w:sz w:val="24"/>
          <w:szCs w:val="24"/>
          <w:lang w:eastAsia="en-IN"/>
        </w:rPr>
        <w:t>ent with the literature's claim</w:t>
      </w:r>
      <w:r w:rsidRPr="00380CB6">
        <w:rPr>
          <w:rFonts w:ascii="Times New Roman" w:eastAsia="Times New Roman" w:hAnsi="Times New Roman" w:cs="Times New Roman"/>
          <w:sz w:val="24"/>
          <w:szCs w:val="24"/>
          <w:lang w:eastAsia="en-IN"/>
        </w:rPr>
        <w:t xml:space="preserve"> of success in carefully selected surgical candidates.</w:t>
      </w:r>
    </w:p>
    <w:p w14:paraId="72A47DC4" w14:textId="77777777" w:rsidR="00116CE1" w:rsidRPr="00380CB6" w:rsidRDefault="00116CE1" w:rsidP="00B25E29">
      <w:pPr>
        <w:spacing w:after="0" w:line="360" w:lineRule="auto"/>
        <w:jc w:val="both"/>
        <w:rPr>
          <w:rFonts w:ascii="Times New Roman" w:eastAsia="Times New Roman" w:hAnsi="Times New Roman" w:cs="Times New Roman"/>
          <w:sz w:val="24"/>
          <w:szCs w:val="24"/>
          <w:lang w:eastAsia="en-IN"/>
        </w:rPr>
      </w:pPr>
    </w:p>
    <w:p w14:paraId="2B79BC7E" w14:textId="0EBD3C2A" w:rsidR="0079657E" w:rsidRPr="00380CB6" w:rsidRDefault="0079657E"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After surgery, assuming there are no further hyperplastic PTGs present, the PTH blood level quickly drops, according to the study by Egshatyan LV et al. The likelihood of the patient experiencing a second </w:t>
      </w:r>
      <w:proofErr w:type="spellStart"/>
      <w:r w:rsidR="00584B5F">
        <w:rPr>
          <w:rFonts w:ascii="Times New Roman" w:eastAsia="Times New Roman" w:hAnsi="Times New Roman" w:cs="Times New Roman"/>
          <w:sz w:val="24"/>
          <w:szCs w:val="24"/>
          <w:lang w:eastAsia="en-IN"/>
        </w:rPr>
        <w:t>hyperfunctional</w:t>
      </w:r>
      <w:proofErr w:type="spellEnd"/>
      <w:r w:rsidRPr="00380CB6">
        <w:rPr>
          <w:rFonts w:ascii="Times New Roman" w:eastAsia="Times New Roman" w:hAnsi="Times New Roman" w:cs="Times New Roman"/>
          <w:sz w:val="24"/>
          <w:szCs w:val="24"/>
          <w:lang w:eastAsia="en-IN"/>
        </w:rPr>
        <w:t xml:space="preserve"> PTG is low if, within 10 to 15 minutes following parathyroidectomy, the PTH level </w:t>
      </w:r>
      <w:r w:rsidR="00584B5F">
        <w:rPr>
          <w:rFonts w:ascii="Times New Roman" w:eastAsia="Times New Roman" w:hAnsi="Times New Roman" w:cs="Times New Roman"/>
          <w:sz w:val="24"/>
          <w:szCs w:val="24"/>
          <w:lang w:eastAsia="en-IN"/>
        </w:rPr>
        <w:t>drops</w:t>
      </w:r>
      <w:r w:rsidRPr="00380CB6">
        <w:rPr>
          <w:rFonts w:ascii="Times New Roman" w:eastAsia="Times New Roman" w:hAnsi="Times New Roman" w:cs="Times New Roman"/>
          <w:sz w:val="24"/>
          <w:szCs w:val="24"/>
          <w:lang w:eastAsia="en-IN"/>
        </w:rPr>
        <w:t xml:space="preserve"> by twofold or more (in comparison to the maximum level before the procedure). A quick drop in PTH levels indicates that the procedure can be completed without removing PTG. As per the intraoperative monitoring guidelines, the successful removal of hyperfunctioning tissue is indicated by the intraoperative decrease of PTH from 2</w:t>
      </w:r>
      <w:r w:rsidR="003A350F" w:rsidRPr="00380CB6">
        <w:rPr>
          <w:rFonts w:ascii="Times New Roman" w:eastAsia="Times New Roman" w:hAnsi="Times New Roman" w:cs="Times New Roman"/>
          <w:sz w:val="24"/>
          <w:szCs w:val="24"/>
          <w:lang w:eastAsia="en-IN"/>
        </w:rPr>
        <w:t>5</w:t>
      </w:r>
      <w:r w:rsidR="00645EB9" w:rsidRPr="00380CB6">
        <w:rPr>
          <w:rFonts w:ascii="Times New Roman" w:eastAsia="Times New Roman" w:hAnsi="Times New Roman" w:cs="Times New Roman"/>
          <w:sz w:val="24"/>
          <w:szCs w:val="24"/>
          <w:lang w:eastAsia="en-IN"/>
        </w:rPr>
        <w:t>27</w:t>
      </w:r>
      <w:r w:rsidRPr="00380CB6">
        <w:rPr>
          <w:rFonts w:ascii="Times New Roman" w:eastAsia="Times New Roman" w:hAnsi="Times New Roman" w:cs="Times New Roman"/>
          <w:sz w:val="24"/>
          <w:szCs w:val="24"/>
          <w:lang w:eastAsia="en-IN"/>
        </w:rPr>
        <w:t xml:space="preserve"> pg/mL to </w:t>
      </w:r>
      <w:r w:rsidR="00645EB9" w:rsidRPr="00380CB6">
        <w:rPr>
          <w:rFonts w:ascii="Times New Roman" w:eastAsia="Times New Roman" w:hAnsi="Times New Roman" w:cs="Times New Roman"/>
          <w:sz w:val="24"/>
          <w:szCs w:val="24"/>
          <w:lang w:eastAsia="en-IN"/>
        </w:rPr>
        <w:t>499</w:t>
      </w:r>
      <w:r w:rsidRPr="00380CB6">
        <w:rPr>
          <w:rFonts w:ascii="Times New Roman" w:eastAsia="Times New Roman" w:hAnsi="Times New Roman" w:cs="Times New Roman"/>
          <w:sz w:val="24"/>
          <w:szCs w:val="24"/>
          <w:lang w:eastAsia="en-IN"/>
        </w:rPr>
        <w:t xml:space="preserve"> pg/mL</w:t>
      </w:r>
      <w:r w:rsidR="00645EB9" w:rsidRPr="00380CB6">
        <w:rPr>
          <w:rFonts w:ascii="Times New Roman" w:eastAsia="Times New Roman" w:hAnsi="Times New Roman" w:cs="Times New Roman"/>
          <w:sz w:val="24"/>
          <w:szCs w:val="24"/>
          <w:lang w:eastAsia="en-IN"/>
        </w:rPr>
        <w:t>, then to 253pg/mL</w:t>
      </w:r>
      <w:r w:rsidRPr="00380CB6">
        <w:rPr>
          <w:rFonts w:ascii="Times New Roman" w:eastAsia="Times New Roman" w:hAnsi="Times New Roman" w:cs="Times New Roman"/>
          <w:sz w:val="24"/>
          <w:szCs w:val="24"/>
          <w:lang w:eastAsia="en-IN"/>
        </w:rPr>
        <w:t xml:space="preserve"> </w:t>
      </w:r>
      <w:proofErr w:type="gramStart"/>
      <w:r w:rsidRPr="00380CB6">
        <w:rPr>
          <w:rFonts w:ascii="Times New Roman" w:eastAsia="Times New Roman" w:hAnsi="Times New Roman" w:cs="Times New Roman"/>
          <w:sz w:val="24"/>
          <w:szCs w:val="24"/>
          <w:lang w:eastAsia="en-IN"/>
        </w:rPr>
        <w:t>in  case</w:t>
      </w:r>
      <w:proofErr w:type="gramEnd"/>
      <w:r w:rsidR="00645EB9" w:rsidRPr="00380CB6">
        <w:rPr>
          <w:rFonts w:ascii="Times New Roman" w:eastAsia="Times New Roman" w:hAnsi="Times New Roman" w:cs="Times New Roman"/>
          <w:sz w:val="24"/>
          <w:szCs w:val="24"/>
          <w:lang w:eastAsia="en-IN"/>
        </w:rPr>
        <w:t xml:space="preserve"> 2</w:t>
      </w:r>
      <w:r w:rsidRPr="00380CB6">
        <w:rPr>
          <w:rFonts w:ascii="Times New Roman" w:eastAsia="Times New Roman" w:hAnsi="Times New Roman" w:cs="Times New Roman"/>
          <w:sz w:val="24"/>
          <w:szCs w:val="24"/>
          <w:lang w:eastAsia="en-IN"/>
        </w:rPr>
        <w:t xml:space="preserve">. </w:t>
      </w:r>
      <w:r w:rsidR="00A84D9C" w:rsidRPr="00380CB6">
        <w:rPr>
          <w:rFonts w:ascii="Times New Roman" w:eastAsia="Times New Roman" w:hAnsi="Times New Roman" w:cs="Times New Roman"/>
          <w:sz w:val="24"/>
          <w:szCs w:val="24"/>
          <w:vertAlign w:val="superscript"/>
          <w:lang w:eastAsia="en-IN"/>
        </w:rPr>
        <w:t>[6]</w:t>
      </w:r>
    </w:p>
    <w:p w14:paraId="78410403" w14:textId="77777777" w:rsidR="006316ED" w:rsidRPr="00380CB6" w:rsidRDefault="00824378" w:rsidP="00824378">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Rare but severe skeletal symptoms of uncontrolled hyperparathyroidism, brown tumours are most frequently observed in individuals with chronic kidney disease (CKD) who are progressing to tertiary hyperparathyroidism. The patient in case 2 experienced neurological impairments due to a lytic spinal lesion, which was later diagnosed as a brown tumour resulting from tertiary hyperparathyroidism. This presentation coincides with findings from Wiederkehr M et al., who reported a similar case of a brown tumour complicating end-stage kidney disease. The patient had bilateral lower extremity weakness and severe pain, and the tumour had protruded into the spinal canal at T3, resulting in spinal cord oedema and severe stenosis</w:t>
      </w:r>
      <w:r w:rsidR="002B4F12" w:rsidRPr="00380CB6">
        <w:rPr>
          <w:rFonts w:ascii="Times New Roman" w:eastAsia="Times New Roman" w:hAnsi="Times New Roman" w:cs="Times New Roman"/>
          <w:sz w:val="24"/>
          <w:szCs w:val="24"/>
          <w:lang w:eastAsia="en-IN"/>
        </w:rPr>
        <w:t xml:space="preserve">. </w:t>
      </w:r>
      <w:r w:rsidR="002B4F12" w:rsidRPr="00380CB6">
        <w:rPr>
          <w:rFonts w:ascii="Times New Roman" w:hAnsi="Times New Roman" w:cs="Times New Roman"/>
          <w:sz w:val="24"/>
          <w:szCs w:val="24"/>
        </w:rPr>
        <w:t>Similar to the current case</w:t>
      </w:r>
      <w:r w:rsidRPr="00380CB6">
        <w:rPr>
          <w:rFonts w:ascii="Times New Roman" w:eastAsia="Times New Roman" w:hAnsi="Times New Roman" w:cs="Times New Roman"/>
          <w:sz w:val="24"/>
          <w:szCs w:val="24"/>
          <w:lang w:eastAsia="en-IN"/>
        </w:rPr>
        <w:t>, she underwent an urgent T2-T4 laminectomy with tumour excision at T</w:t>
      </w:r>
      <w:proofErr w:type="gramStart"/>
      <w:r w:rsidRPr="00380CB6">
        <w:rPr>
          <w:rFonts w:ascii="Times New Roman" w:eastAsia="Times New Roman" w:hAnsi="Times New Roman" w:cs="Times New Roman"/>
          <w:sz w:val="24"/>
          <w:szCs w:val="24"/>
          <w:lang w:eastAsia="en-IN"/>
        </w:rPr>
        <w:t>3.</w:t>
      </w:r>
      <w:r w:rsidR="002B4F12" w:rsidRPr="00380CB6">
        <w:rPr>
          <w:rFonts w:ascii="Times New Roman" w:eastAsia="Times New Roman" w:hAnsi="Times New Roman" w:cs="Times New Roman"/>
          <w:sz w:val="24"/>
          <w:szCs w:val="24"/>
          <w:vertAlign w:val="superscript"/>
          <w:lang w:eastAsia="en-IN"/>
        </w:rPr>
        <w:t>[</w:t>
      </w:r>
      <w:proofErr w:type="gramEnd"/>
      <w:r w:rsidR="006316ED" w:rsidRPr="00380CB6">
        <w:rPr>
          <w:rFonts w:ascii="Times New Roman" w:eastAsia="Times New Roman" w:hAnsi="Times New Roman" w:cs="Times New Roman"/>
          <w:sz w:val="24"/>
          <w:szCs w:val="24"/>
          <w:vertAlign w:val="superscript"/>
          <w:lang w:eastAsia="en-IN"/>
        </w:rPr>
        <w:t>12]</w:t>
      </w:r>
      <w:r w:rsidR="006316ED" w:rsidRPr="00380CB6">
        <w:rPr>
          <w:rFonts w:ascii="Times New Roman" w:eastAsia="Times New Roman" w:hAnsi="Times New Roman" w:cs="Times New Roman"/>
          <w:vanish/>
          <w:sz w:val="24"/>
          <w:szCs w:val="24"/>
          <w:lang w:eastAsia="en-IN"/>
        </w:rPr>
        <w:t>Bottom of Form</w:t>
      </w:r>
    </w:p>
    <w:p w14:paraId="7143E9E9" w14:textId="4F5877D2" w:rsidR="00777C12" w:rsidRPr="00380CB6" w:rsidRDefault="0079657E" w:rsidP="006316E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Following a parathyroidectomy, biochemical hypocalcaemia</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also known as "hungry bone syndrome</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is a well-known consequence that can result from abruptly stopping PTH. This case was treated with active vitamin D and calcium supplements, which is standard postoperative therapy. </w:t>
      </w:r>
      <w:r w:rsidRPr="00C26438">
        <w:rPr>
          <w:rFonts w:ascii="Times New Roman" w:eastAsia="Times New Roman" w:hAnsi="Times New Roman" w:cs="Times New Roman"/>
          <w:sz w:val="24"/>
          <w:szCs w:val="24"/>
          <w:lang w:eastAsia="en-IN"/>
        </w:rPr>
        <w:t>According to Steinl GK</w:t>
      </w:r>
      <w:r w:rsidRPr="00380CB6">
        <w:rPr>
          <w:rFonts w:ascii="Times New Roman" w:eastAsia="Times New Roman" w:hAnsi="Times New Roman" w:cs="Times New Roman"/>
          <w:sz w:val="24"/>
          <w:szCs w:val="24"/>
          <w:lang w:eastAsia="en-IN"/>
        </w:rPr>
        <w:t xml:space="preserve"> et al., patients are at risk of severe </w:t>
      </w:r>
      <w:r w:rsidRPr="00380CB6">
        <w:rPr>
          <w:rFonts w:ascii="Times New Roman" w:eastAsia="Times New Roman" w:hAnsi="Times New Roman" w:cs="Times New Roman"/>
          <w:sz w:val="24"/>
          <w:szCs w:val="24"/>
          <w:lang w:eastAsia="en-IN"/>
        </w:rPr>
        <w:lastRenderedPageBreak/>
        <w:t xml:space="preserve">hypocalcaemia and hungry bone syndrome after surgery, which calls for close monitoring and </w:t>
      </w:r>
      <w:proofErr w:type="gramStart"/>
      <w:r w:rsidRPr="00380CB6">
        <w:rPr>
          <w:rFonts w:ascii="Times New Roman" w:eastAsia="Times New Roman" w:hAnsi="Times New Roman" w:cs="Times New Roman"/>
          <w:sz w:val="24"/>
          <w:szCs w:val="24"/>
          <w:lang w:eastAsia="en-IN"/>
        </w:rPr>
        <w:t>replenishment.</w:t>
      </w:r>
      <w:r w:rsidR="00A84D9C" w:rsidRPr="00380CB6">
        <w:rPr>
          <w:rFonts w:ascii="Times New Roman" w:eastAsia="Times New Roman" w:hAnsi="Times New Roman" w:cs="Times New Roman"/>
          <w:sz w:val="24"/>
          <w:szCs w:val="24"/>
          <w:vertAlign w:val="superscript"/>
          <w:lang w:eastAsia="en-IN"/>
        </w:rPr>
        <w:t>[</w:t>
      </w:r>
      <w:proofErr w:type="gramEnd"/>
      <w:r w:rsidR="00A84D9C" w:rsidRPr="00380CB6">
        <w:rPr>
          <w:rFonts w:ascii="Times New Roman" w:eastAsia="Times New Roman" w:hAnsi="Times New Roman" w:cs="Times New Roman"/>
          <w:sz w:val="24"/>
          <w:szCs w:val="24"/>
          <w:vertAlign w:val="superscript"/>
          <w:lang w:eastAsia="en-IN"/>
        </w:rPr>
        <w:t>8]</w:t>
      </w:r>
    </w:p>
    <w:p w14:paraId="5571958A" w14:textId="5964FE94" w:rsidR="00C81AF2" w:rsidRPr="00380CB6" w:rsidRDefault="00C81AF2"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However,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 highlights the early medical care of SHPT, where excessive phosphate and PTH levels were addressed with a calcimimetic</w:t>
      </w:r>
      <w:r w:rsidR="00000466">
        <w:rPr>
          <w:rFonts w:ascii="Times New Roman" w:eastAsia="Times New Roman" w:hAnsi="Times New Roman" w:cs="Times New Roman"/>
          <w:sz w:val="24"/>
          <w:szCs w:val="24"/>
          <w:lang w:eastAsia="en-IN"/>
        </w:rPr>
        <w:t>, phosphate binders (Sevelamer)</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vitamin D analogues (Alphacalcidol). It has been shown that adding Sevelamer helps to reduce PTH by efficiently regulating serum phosphorus levels without producing hypercalcemia. Standard therapy for abnormal calcium and other mineral levels includes dietary restrictions, </w:t>
      </w:r>
      <w:r w:rsidR="00584B5F">
        <w:rPr>
          <w:rFonts w:ascii="Times New Roman" w:eastAsia="Times New Roman" w:hAnsi="Times New Roman" w:cs="Times New Roman"/>
          <w:sz w:val="24"/>
          <w:szCs w:val="24"/>
          <w:lang w:eastAsia="en-IN"/>
        </w:rPr>
        <w:t>phosphorus</w:t>
      </w:r>
      <w:r w:rsidRPr="00380CB6">
        <w:rPr>
          <w:rFonts w:ascii="Times New Roman" w:eastAsia="Times New Roman" w:hAnsi="Times New Roman" w:cs="Times New Roman"/>
          <w:sz w:val="24"/>
          <w:szCs w:val="24"/>
          <w:lang w:eastAsia="en-IN"/>
        </w:rPr>
        <w:t xml:space="preserve"> bind</w:t>
      </w:r>
      <w:r w:rsidR="00000466">
        <w:rPr>
          <w:rFonts w:ascii="Times New Roman" w:eastAsia="Times New Roman" w:hAnsi="Times New Roman" w:cs="Times New Roman"/>
          <w:sz w:val="24"/>
          <w:szCs w:val="24"/>
          <w:lang w:eastAsia="en-IN"/>
        </w:rPr>
        <w:t>ers</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vitamin D compounds. A more recent treatment called cinacalcet showed promise for improving abnormal mineral levels</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w:t>
      </w:r>
      <w:r w:rsidR="00F42B73" w:rsidRPr="00380CB6">
        <w:rPr>
          <w:rFonts w:ascii="Times New Roman" w:eastAsia="Times New Roman" w:hAnsi="Times New Roman" w:cs="Times New Roman"/>
          <w:sz w:val="24"/>
          <w:szCs w:val="24"/>
          <w:lang w:eastAsia="en-IN"/>
        </w:rPr>
        <w:t xml:space="preserve">as per </w:t>
      </w:r>
      <w:r w:rsidR="00F42B73" w:rsidRPr="00380CB6">
        <w:rPr>
          <w:rFonts w:ascii="Times New Roman" w:hAnsi="Times New Roman" w:cs="Times New Roman"/>
          <w:sz w:val="24"/>
          <w:szCs w:val="24"/>
        </w:rPr>
        <w:t xml:space="preserve">Ballinger AE </w:t>
      </w:r>
      <w:proofErr w:type="gramStart"/>
      <w:r w:rsidR="00F42B73" w:rsidRPr="00380CB6">
        <w:rPr>
          <w:rFonts w:ascii="Times New Roman" w:hAnsi="Times New Roman" w:cs="Times New Roman"/>
          <w:sz w:val="24"/>
          <w:szCs w:val="24"/>
        </w:rPr>
        <w:t>et al</w:t>
      </w:r>
      <w:r w:rsidR="00A84D9C" w:rsidRPr="00380CB6">
        <w:rPr>
          <w:rFonts w:ascii="Times New Roman" w:hAnsi="Times New Roman" w:cs="Times New Roman"/>
          <w:sz w:val="24"/>
          <w:szCs w:val="24"/>
        </w:rPr>
        <w:t>.</w:t>
      </w:r>
      <w:r w:rsidR="00A84D9C" w:rsidRPr="00380CB6">
        <w:rPr>
          <w:rFonts w:ascii="Times New Roman" w:hAnsi="Times New Roman" w:cs="Times New Roman"/>
          <w:sz w:val="24"/>
          <w:szCs w:val="24"/>
          <w:vertAlign w:val="superscript"/>
        </w:rPr>
        <w:t>[</w:t>
      </w:r>
      <w:proofErr w:type="gramEnd"/>
      <w:r w:rsidR="00A84D9C" w:rsidRPr="00380CB6">
        <w:rPr>
          <w:rFonts w:ascii="Times New Roman" w:hAnsi="Times New Roman" w:cs="Times New Roman"/>
          <w:sz w:val="24"/>
          <w:szCs w:val="24"/>
          <w:vertAlign w:val="superscript"/>
        </w:rPr>
        <w:t>7]</w:t>
      </w:r>
    </w:p>
    <w:p w14:paraId="0182BFC1" w14:textId="77777777" w:rsidR="001F410D" w:rsidRPr="00380CB6" w:rsidRDefault="001F410D" w:rsidP="00B25E29">
      <w:pPr>
        <w:spacing w:after="0" w:line="360" w:lineRule="auto"/>
        <w:jc w:val="both"/>
        <w:rPr>
          <w:rFonts w:ascii="Times New Roman" w:eastAsia="Times New Roman" w:hAnsi="Times New Roman" w:cs="Times New Roman"/>
          <w:sz w:val="24"/>
          <w:szCs w:val="24"/>
          <w:lang w:eastAsia="en-IN"/>
        </w:rPr>
      </w:pPr>
    </w:p>
    <w:p w14:paraId="39744BC3" w14:textId="3D8B4D42" w:rsidR="006242D2" w:rsidRPr="00380CB6" w:rsidRDefault="001F410D" w:rsidP="00B25E29">
      <w:pPr>
        <w:spacing w:after="0" w:line="360" w:lineRule="auto"/>
        <w:jc w:val="both"/>
        <w:rPr>
          <w:rFonts w:ascii="Times New Roman" w:eastAsia="Times New Roman" w:hAnsi="Times New Roman" w:cs="Times New Roman"/>
          <w:sz w:val="24"/>
          <w:szCs w:val="24"/>
          <w:vertAlign w:val="superscript"/>
          <w:lang w:eastAsia="en-IN"/>
        </w:rPr>
      </w:pPr>
      <w:r w:rsidRPr="00380CB6">
        <w:rPr>
          <w:rFonts w:ascii="Times New Roman" w:eastAsia="Times New Roman" w:hAnsi="Times New Roman" w:cs="Times New Roman"/>
          <w:sz w:val="24"/>
          <w:szCs w:val="24"/>
          <w:lang w:eastAsia="en-IN"/>
        </w:rPr>
        <w:t xml:space="preserve">Pharmacologic control of SHPT in individuals under appropriate monitoring is feasible, as demonstrated by Case </w:t>
      </w:r>
      <w:r w:rsidR="00645EB9" w:rsidRPr="00380CB6">
        <w:rPr>
          <w:rFonts w:ascii="Times New Roman" w:eastAsia="Times New Roman" w:hAnsi="Times New Roman" w:cs="Times New Roman"/>
          <w:sz w:val="24"/>
          <w:szCs w:val="24"/>
          <w:lang w:eastAsia="en-IN"/>
        </w:rPr>
        <w:t>3</w:t>
      </w:r>
      <w:r w:rsidRPr="00380CB6">
        <w:rPr>
          <w:rFonts w:ascii="Times New Roman" w:eastAsia="Times New Roman" w:hAnsi="Times New Roman" w:cs="Times New Roman"/>
          <w:sz w:val="24"/>
          <w:szCs w:val="24"/>
          <w:lang w:eastAsia="en-IN"/>
        </w:rPr>
        <w:t xml:space="preserve">'s notable reduction in PTH from 2176 pg/mL to 353.7 pg/mL with medical therapy. This is </w:t>
      </w:r>
      <w:r w:rsidR="00073458" w:rsidRPr="00073458">
        <w:rPr>
          <w:rFonts w:ascii="Times New Roman" w:eastAsia="Times New Roman" w:hAnsi="Times New Roman" w:cs="Times New Roman"/>
          <w:sz w:val="24"/>
          <w:szCs w:val="24"/>
          <w:lang w:eastAsia="en-IN"/>
        </w:rPr>
        <w:t>confirmed</w:t>
      </w:r>
      <w:r w:rsidRPr="00073458">
        <w:rPr>
          <w:rFonts w:ascii="Times New Roman" w:eastAsia="Times New Roman" w:hAnsi="Times New Roman" w:cs="Times New Roman"/>
          <w:sz w:val="24"/>
          <w:szCs w:val="24"/>
          <w:lang w:eastAsia="en-IN"/>
        </w:rPr>
        <w:t xml:space="preserve"> by</w:t>
      </w:r>
      <w:r w:rsidRPr="00380CB6">
        <w:rPr>
          <w:rFonts w:ascii="Times New Roman" w:eastAsia="Times New Roman" w:hAnsi="Times New Roman" w:cs="Times New Roman"/>
          <w:sz w:val="24"/>
          <w:szCs w:val="24"/>
          <w:lang w:eastAsia="en-IN"/>
        </w:rPr>
        <w:t xml:space="preserve"> a case report by Amano K et al., in which the patient's PTH level improved after receiving phosphate binder and activated vitamin D </w:t>
      </w:r>
      <w:proofErr w:type="gramStart"/>
      <w:r w:rsidRPr="00380CB6">
        <w:rPr>
          <w:rFonts w:ascii="Times New Roman" w:eastAsia="Times New Roman" w:hAnsi="Times New Roman" w:cs="Times New Roman"/>
          <w:sz w:val="24"/>
          <w:szCs w:val="24"/>
          <w:lang w:eastAsia="en-IN"/>
        </w:rPr>
        <w:t>agents.</w:t>
      </w:r>
      <w:r w:rsidR="00A84D9C" w:rsidRPr="00380CB6">
        <w:rPr>
          <w:rFonts w:ascii="Times New Roman" w:eastAsia="Times New Roman" w:hAnsi="Times New Roman" w:cs="Times New Roman"/>
          <w:sz w:val="24"/>
          <w:szCs w:val="24"/>
          <w:vertAlign w:val="superscript"/>
          <w:lang w:eastAsia="en-IN"/>
        </w:rPr>
        <w:t>[</w:t>
      </w:r>
      <w:proofErr w:type="gramEnd"/>
      <w:r w:rsidR="00A84D9C" w:rsidRPr="00380CB6">
        <w:rPr>
          <w:rFonts w:ascii="Times New Roman" w:eastAsia="Times New Roman" w:hAnsi="Times New Roman" w:cs="Times New Roman"/>
          <w:sz w:val="24"/>
          <w:szCs w:val="24"/>
          <w:vertAlign w:val="superscript"/>
          <w:lang w:eastAsia="en-IN"/>
        </w:rPr>
        <w:t>9]</w:t>
      </w:r>
      <w:r w:rsidR="006242D2">
        <w:rPr>
          <w:rFonts w:ascii="Times New Roman" w:eastAsia="Times New Roman" w:hAnsi="Times New Roman" w:cs="Times New Roman"/>
          <w:sz w:val="24"/>
          <w:szCs w:val="24"/>
          <w:vertAlign w:val="superscript"/>
          <w:lang w:eastAsia="en-IN"/>
        </w:rPr>
        <w:t xml:space="preserve">  </w:t>
      </w:r>
    </w:p>
    <w:p w14:paraId="5E8FCC24" w14:textId="7ED84D28" w:rsidR="00A84D9C" w:rsidRPr="006242D2" w:rsidRDefault="006242D2" w:rsidP="00000466">
      <w:pPr>
        <w:spacing w:before="100" w:beforeAutospacing="1" w:after="100" w:afterAutospacing="1" w:line="360" w:lineRule="auto"/>
        <w:jc w:val="both"/>
        <w:rPr>
          <w:rStyle w:val="extn-css-1g9q2al"/>
          <w:rFonts w:ascii="Times New Roman" w:hAnsi="Times New Roman" w:cs="Times New Roman"/>
          <w:sz w:val="24"/>
          <w:szCs w:val="24"/>
          <w:shd w:val="clear" w:color="auto" w:fill="FFFFFF"/>
        </w:rPr>
      </w:pPr>
      <w:r>
        <w:rPr>
          <w:rStyle w:val="extn-css-1tmeul0"/>
          <w:rFonts w:ascii="Times New Roman" w:hAnsi="Times New Roman" w:cs="Times New Roman"/>
          <w:sz w:val="24"/>
          <w:szCs w:val="24"/>
          <w:shd w:val="clear" w:color="auto" w:fill="FFFFFF"/>
        </w:rPr>
        <w:t>These instances are consistent with the body of research that suggests individualised therapeutic approaches depending on the severity of the illness, how well the patient responds to medication, and the likelihood of side effects such as calciphylaxis</w:t>
      </w:r>
      <w:r w:rsidR="00EA34D0">
        <w:rPr>
          <w:rStyle w:val="extn-css-1tmeul0"/>
          <w:rFonts w:ascii="Times New Roman" w:hAnsi="Times New Roman" w:cs="Times New Roman"/>
          <w:sz w:val="24"/>
          <w:szCs w:val="24"/>
          <w:shd w:val="clear" w:color="auto" w:fill="FFFFFF"/>
        </w:rPr>
        <w:t>, cardiovascular events, and</w:t>
      </w:r>
      <w:r>
        <w:rPr>
          <w:rStyle w:val="extn-css-1tmeul0"/>
          <w:rFonts w:ascii="Times New Roman" w:hAnsi="Times New Roman" w:cs="Times New Roman"/>
          <w:sz w:val="24"/>
          <w:szCs w:val="24"/>
          <w:shd w:val="clear" w:color="auto" w:fill="FFFFFF"/>
        </w:rPr>
        <w:t xml:space="preserve"> bone </w:t>
      </w:r>
      <w:r w:rsidR="00EA34D0">
        <w:rPr>
          <w:rStyle w:val="extn-css-1tmeul0"/>
          <w:rFonts w:ascii="Times New Roman" w:hAnsi="Times New Roman" w:cs="Times New Roman"/>
          <w:sz w:val="24"/>
          <w:szCs w:val="24"/>
          <w:shd w:val="clear" w:color="auto" w:fill="FFFFFF"/>
        </w:rPr>
        <w:t>abnormalities. Frequent laboratory testing and follow-up were essential in modifying treatment to prevent the development of tertiary hyperparathyroidism. Several indications may necessitate parathyroidectomy, including hypercalcemia, bone pain, refractory pruritus, unexplained myopathy, and calciphylaxis.</w:t>
      </w:r>
      <w:r w:rsidR="000646B3">
        <w:rPr>
          <w:rStyle w:val="extn-css-1tmeul0"/>
          <w:rFonts w:ascii="Times New Roman" w:hAnsi="Times New Roman" w:cs="Times New Roman"/>
          <w:sz w:val="24"/>
          <w:szCs w:val="24"/>
          <w:shd w:val="clear" w:color="auto" w:fill="FFFFFF"/>
        </w:rPr>
        <w:t xml:space="preserve"> </w:t>
      </w:r>
      <w:r w:rsidR="000A7056" w:rsidRPr="00380CB6">
        <w:rPr>
          <w:rStyle w:val="extn-css-1g9q2al"/>
          <w:rFonts w:ascii="Times New Roman" w:hAnsi="Times New Roman" w:cs="Times New Roman"/>
          <w:sz w:val="24"/>
          <w:szCs w:val="24"/>
          <w:shd w:val="clear" w:color="auto" w:fill="FFFFFF"/>
          <w:vertAlign w:val="superscript"/>
        </w:rPr>
        <w:t>[</w:t>
      </w:r>
      <w:r w:rsidR="00DD6EBD" w:rsidRPr="00380CB6">
        <w:rPr>
          <w:rStyle w:val="extn-css-1g9q2al"/>
          <w:rFonts w:ascii="Times New Roman" w:hAnsi="Times New Roman" w:cs="Times New Roman"/>
          <w:sz w:val="24"/>
          <w:szCs w:val="24"/>
          <w:shd w:val="clear" w:color="auto" w:fill="FFFFFF"/>
          <w:vertAlign w:val="superscript"/>
        </w:rPr>
        <w:t>2</w:t>
      </w:r>
      <w:r w:rsidR="000A7056" w:rsidRPr="00380CB6">
        <w:rPr>
          <w:rStyle w:val="extn-css-1g9q2al"/>
          <w:rFonts w:ascii="Times New Roman" w:hAnsi="Times New Roman" w:cs="Times New Roman"/>
          <w:sz w:val="24"/>
          <w:szCs w:val="24"/>
          <w:shd w:val="clear" w:color="auto" w:fill="FFFFFF"/>
          <w:vertAlign w:val="superscript"/>
        </w:rPr>
        <w:t>]</w:t>
      </w:r>
      <w:r w:rsidR="0098011B" w:rsidRPr="00380CB6">
        <w:rPr>
          <w:rStyle w:val="extn-css-1g9q2al"/>
          <w:rFonts w:ascii="Times New Roman" w:eastAsia="Times New Roman" w:hAnsi="Times New Roman" w:cs="Times New Roman"/>
          <w:sz w:val="24"/>
          <w:szCs w:val="24"/>
          <w:lang w:eastAsia="en-IN"/>
        </w:rPr>
        <w:tab/>
      </w:r>
    </w:p>
    <w:p w14:paraId="4D97599B" w14:textId="77777777" w:rsidR="00777C12" w:rsidRPr="007D1A3A" w:rsidRDefault="00000466" w:rsidP="00B25E29">
      <w:pPr>
        <w:spacing w:before="100" w:beforeAutospacing="1" w:after="100" w:afterAutospacing="1" w:line="360" w:lineRule="auto"/>
        <w:jc w:val="both"/>
        <w:rPr>
          <w:rFonts w:ascii="Times New Roman" w:hAnsi="Times New Roman" w:cs="Times New Roman"/>
          <w:b/>
          <w:bCs/>
          <w:sz w:val="24"/>
          <w:szCs w:val="24"/>
        </w:rPr>
      </w:pPr>
      <w:r w:rsidRPr="007D1A3A">
        <w:rPr>
          <w:rFonts w:ascii="Times New Roman" w:hAnsi="Times New Roman" w:cs="Times New Roman"/>
          <w:b/>
          <w:bCs/>
          <w:sz w:val="24"/>
          <w:szCs w:val="24"/>
        </w:rPr>
        <w:t xml:space="preserve">CONCLUSION </w:t>
      </w:r>
    </w:p>
    <w:p w14:paraId="42556D45" w14:textId="5FD7A03E"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Secondary hyperparathyroidism (SHPT) in chronic kidney disease (CKD) is a complex condition that requires early detection and a proactive, tailored approach to treatment. As SHPT worsens, it can cause major side effects like vascular calcification and bone disease, which can lower a patient's quality of life and raise their risk of cardiovasc</w:t>
      </w:r>
      <w:r w:rsidR="00000466">
        <w:rPr>
          <w:rFonts w:ascii="Times New Roman" w:eastAsia="Times New Roman" w:hAnsi="Times New Roman" w:cs="Times New Roman"/>
          <w:sz w:val="24"/>
          <w:szCs w:val="24"/>
          <w:lang w:eastAsia="en-IN"/>
        </w:rPr>
        <w:t>ular events. Phosphate, calcium</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parathyroid hormone (PTH) are three biochemical markers that must be strictly controlled </w:t>
      </w:r>
      <w:r w:rsidR="00584B5F">
        <w:rPr>
          <w:rFonts w:ascii="Times New Roman" w:eastAsia="Times New Roman" w:hAnsi="Times New Roman" w:cs="Times New Roman"/>
          <w:sz w:val="24"/>
          <w:szCs w:val="24"/>
          <w:lang w:eastAsia="en-IN"/>
        </w:rPr>
        <w:t>to</w:t>
      </w:r>
      <w:r w:rsidRPr="00380CB6">
        <w:rPr>
          <w:rFonts w:ascii="Times New Roman" w:eastAsia="Times New Roman" w:hAnsi="Times New Roman" w:cs="Times New Roman"/>
          <w:sz w:val="24"/>
          <w:szCs w:val="24"/>
          <w:lang w:eastAsia="en-IN"/>
        </w:rPr>
        <w:t xml:space="preserve"> avoid </w:t>
      </w:r>
      <w:r w:rsidR="00FC42D6" w:rsidRPr="00380CB6">
        <w:rPr>
          <w:rFonts w:ascii="Times New Roman" w:eastAsia="Times New Roman" w:hAnsi="Times New Roman" w:cs="Times New Roman"/>
          <w:sz w:val="24"/>
          <w:szCs w:val="24"/>
          <w:lang w:eastAsia="en-IN"/>
        </w:rPr>
        <w:t>this. In</w:t>
      </w:r>
      <w:r w:rsidRPr="00380CB6">
        <w:rPr>
          <w:rFonts w:ascii="Times New Roman" w:eastAsia="Times New Roman" w:hAnsi="Times New Roman" w:cs="Times New Roman"/>
          <w:sz w:val="24"/>
          <w:szCs w:val="24"/>
          <w:lang w:eastAsia="en-IN"/>
        </w:rPr>
        <w:t xml:space="preserve"> order to prevent excessive PTH secretion, maintain calcium homeostasis, and regulate phosphate levels, pharmacological treatments are used in combination. Phosphate binders, like Sevelamer, address one of the main causes of SHPT in CKD by lowering serum phosphate levels. Alfacalcidol and other vitamin D analogues help </w:t>
      </w:r>
      <w:r w:rsidRPr="00380CB6">
        <w:rPr>
          <w:rFonts w:ascii="Times New Roman" w:eastAsia="Times New Roman" w:hAnsi="Times New Roman" w:cs="Times New Roman"/>
          <w:sz w:val="24"/>
          <w:szCs w:val="24"/>
          <w:lang w:eastAsia="en-IN"/>
        </w:rPr>
        <w:lastRenderedPageBreak/>
        <w:t>suppress the production of PTH in addition to helping to compensate for deficiencies in active vitamin D. Furthermore, parathyroid gland sensitivity to calcium is increased by calcimimetics like Cinacalcet, which effectively reduces PTH levels and inhibits gland hyperplasia and autonomous PTH release.</w:t>
      </w:r>
    </w:p>
    <w:p w14:paraId="624DC15D" w14:textId="77777777"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p>
    <w:p w14:paraId="5BFFE9B2" w14:textId="21C66ACF" w:rsidR="0011324D" w:rsidRPr="00380CB6" w:rsidRDefault="0011324D" w:rsidP="00B25E29">
      <w:pPr>
        <w:spacing w:after="0"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Surgery may be necessary for certain patients who develop refractory SHPT </w:t>
      </w:r>
      <w:r w:rsidR="00584B5F">
        <w:rPr>
          <w:rFonts w:ascii="Times New Roman" w:eastAsia="Times New Roman" w:hAnsi="Times New Roman" w:cs="Times New Roman"/>
          <w:sz w:val="24"/>
          <w:szCs w:val="24"/>
          <w:lang w:eastAsia="en-IN"/>
        </w:rPr>
        <w:t>despite</w:t>
      </w:r>
      <w:r w:rsidRPr="00380CB6">
        <w:rPr>
          <w:rFonts w:ascii="Times New Roman" w:eastAsia="Times New Roman" w:hAnsi="Times New Roman" w:cs="Times New Roman"/>
          <w:sz w:val="24"/>
          <w:szCs w:val="24"/>
          <w:lang w:eastAsia="en-IN"/>
        </w:rPr>
        <w:t xml:space="preserve"> the best medical treatment. When conservative measures are unsuccessful, a total parathyroidectomy—often combined with forearm </w:t>
      </w:r>
      <w:r w:rsidR="00C26438" w:rsidRPr="00380CB6">
        <w:rPr>
          <w:rFonts w:ascii="Times New Roman" w:eastAsia="Times New Roman" w:hAnsi="Times New Roman" w:cs="Times New Roman"/>
          <w:sz w:val="24"/>
          <w:szCs w:val="24"/>
          <w:lang w:eastAsia="en-IN"/>
        </w:rPr>
        <w:t>auto transplantation</w:t>
      </w:r>
      <w:r w:rsidRPr="00380CB6">
        <w:rPr>
          <w:rFonts w:ascii="Times New Roman" w:eastAsia="Times New Roman" w:hAnsi="Times New Roman" w:cs="Times New Roman"/>
          <w:sz w:val="24"/>
          <w:szCs w:val="24"/>
          <w:lang w:eastAsia="en-IN"/>
        </w:rPr>
        <w:t xml:space="preserve">—can be a good option, particularly in cases of severe parathyroid gland hyperplasia and extremely elevated PTH. In order to promote bone repair and prevent hypocalcaemia, which is frequently manifested as hungry bone syndrome, it is imperative that calcium levels be carefully managed after surgery. A customised, interdisciplinary approach to treating the illness can stop </w:t>
      </w:r>
      <w:r w:rsidR="00000466">
        <w:rPr>
          <w:rFonts w:ascii="Times New Roman" w:eastAsia="Times New Roman" w:hAnsi="Times New Roman" w:cs="Times New Roman"/>
          <w:sz w:val="24"/>
          <w:szCs w:val="24"/>
          <w:lang w:eastAsia="en-IN"/>
        </w:rPr>
        <w:t>its course, avoid complications</w:t>
      </w:r>
      <w:r w:rsidR="00584B5F">
        <w:rPr>
          <w:rFonts w:ascii="Times New Roman" w:eastAsia="Times New Roman" w:hAnsi="Times New Roman" w:cs="Times New Roman"/>
          <w:sz w:val="24"/>
          <w:szCs w:val="24"/>
          <w:lang w:eastAsia="en-IN"/>
        </w:rPr>
        <w:t>,</w:t>
      </w:r>
      <w:r w:rsidRPr="00380CB6">
        <w:rPr>
          <w:rFonts w:ascii="Times New Roman" w:eastAsia="Times New Roman" w:hAnsi="Times New Roman" w:cs="Times New Roman"/>
          <w:sz w:val="24"/>
          <w:szCs w:val="24"/>
          <w:lang w:eastAsia="en-IN"/>
        </w:rPr>
        <w:t xml:space="preserve"> and enhance long-term patient outcomes.</w:t>
      </w:r>
    </w:p>
    <w:p w14:paraId="0DE88E58" w14:textId="77777777" w:rsidR="00F94DFB" w:rsidRDefault="00F94DFB" w:rsidP="00096CB5">
      <w:pPr>
        <w:rPr>
          <w:rFonts w:cs="Times New Roman"/>
          <w:kern w:val="2"/>
          <w:lang w:val="en-US"/>
        </w:rPr>
      </w:pPr>
      <w:bookmarkStart w:id="0" w:name="_Hlk204003461"/>
    </w:p>
    <w:p w14:paraId="70FEFD38" w14:textId="77777777" w:rsidR="00D41A4E" w:rsidRPr="00D41A4E" w:rsidRDefault="00D41A4E" w:rsidP="00D41A4E">
      <w:pPr>
        <w:rPr>
          <w:rFonts w:cs="Times New Roman"/>
          <w:b/>
          <w:kern w:val="2"/>
          <w:lang w:val="en-US"/>
        </w:rPr>
      </w:pPr>
      <w:r w:rsidRPr="00D41A4E">
        <w:rPr>
          <w:rFonts w:cs="Times New Roman"/>
          <w:b/>
          <w:kern w:val="2"/>
          <w:lang w:val="en-US"/>
        </w:rPr>
        <w:t xml:space="preserve">Consent </w:t>
      </w:r>
    </w:p>
    <w:p w14:paraId="7BF95706" w14:textId="01454199" w:rsidR="00D41A4E" w:rsidRPr="00D41A4E" w:rsidRDefault="00D41A4E" w:rsidP="00D41A4E">
      <w:pPr>
        <w:rPr>
          <w:rFonts w:cs="Times New Roman"/>
          <w:kern w:val="2"/>
          <w:lang w:val="en-US"/>
        </w:rPr>
      </w:pPr>
      <w:r w:rsidRPr="00D41A4E">
        <w:rPr>
          <w:rFonts w:cs="Times New Roman"/>
          <w:kern w:val="2"/>
          <w:lang w:val="en-US"/>
        </w:rPr>
        <w:t>As per international standards or university standards, patient(s) written consent has been collected and preserved by the author(s).</w:t>
      </w:r>
      <w:bookmarkStart w:id="1" w:name="_GoBack"/>
      <w:bookmarkEnd w:id="1"/>
    </w:p>
    <w:p w14:paraId="72CE1DFF" w14:textId="65795D33" w:rsidR="00096CB5" w:rsidRPr="00D41A4E" w:rsidRDefault="00096CB5" w:rsidP="00096CB5">
      <w:pPr>
        <w:rPr>
          <w:rFonts w:cs="Times New Roman"/>
          <w:b/>
          <w:kern w:val="2"/>
          <w:lang w:val="en-US"/>
        </w:rPr>
      </w:pPr>
      <w:r w:rsidRPr="00D41A4E">
        <w:rPr>
          <w:rFonts w:cs="Times New Roman"/>
          <w:b/>
          <w:kern w:val="2"/>
          <w:lang w:val="en-US"/>
        </w:rPr>
        <w:t>Disclaimer (Artificial intelligence)</w:t>
      </w:r>
    </w:p>
    <w:p w14:paraId="0890B24A" w14:textId="110A3200" w:rsidR="00096CB5" w:rsidRPr="00F94DFB" w:rsidRDefault="00584B5F" w:rsidP="00096CB5">
      <w:pPr>
        <w:rPr>
          <w:rFonts w:cs="Times New Roman"/>
          <w:kern w:val="2"/>
          <w:lang w:val="en-US"/>
        </w:rPr>
      </w:pPr>
      <w:r w:rsidRPr="00F94DFB">
        <w:rPr>
          <w:rFonts w:cs="Times New Roman"/>
          <w:kern w:val="2"/>
          <w:lang w:val="en-US"/>
        </w:rPr>
        <w:t xml:space="preserve">The author </w:t>
      </w:r>
      <w:r w:rsidR="00096CB5" w:rsidRPr="00F94DFB">
        <w:rPr>
          <w:rFonts w:cs="Times New Roman"/>
          <w:kern w:val="2"/>
          <w:lang w:val="en-US"/>
        </w:rPr>
        <w:t xml:space="preserve">(s) hereby declare that NO generative AI technologies such as Large Language Models (ChatGPT, COPILOT, etc.) and text-to-image generators have been used during the writing or editing of this manuscript. </w:t>
      </w:r>
    </w:p>
    <w:bookmarkEnd w:id="0"/>
    <w:p w14:paraId="1F894A58" w14:textId="77777777" w:rsidR="00496E85" w:rsidRDefault="00496E85" w:rsidP="00B25E29">
      <w:pPr>
        <w:spacing w:before="100" w:beforeAutospacing="1" w:after="100" w:afterAutospacing="1" w:line="360" w:lineRule="auto"/>
        <w:jc w:val="both"/>
        <w:rPr>
          <w:rFonts w:ascii="Times New Roman" w:hAnsi="Times New Roman" w:cs="Times New Roman"/>
          <w:sz w:val="24"/>
          <w:szCs w:val="24"/>
        </w:rPr>
      </w:pPr>
    </w:p>
    <w:p w14:paraId="6FC2AE4B" w14:textId="2F20FCA6" w:rsidR="00777C12" w:rsidRPr="00380CB6" w:rsidRDefault="000A7056" w:rsidP="00B25E29">
      <w:pPr>
        <w:spacing w:before="100" w:beforeAutospacing="1" w:after="100" w:afterAutospacing="1" w:line="360" w:lineRule="auto"/>
        <w:jc w:val="both"/>
        <w:rPr>
          <w:rFonts w:ascii="Times New Roman" w:hAnsi="Times New Roman" w:cs="Times New Roman"/>
          <w:sz w:val="24"/>
          <w:szCs w:val="24"/>
        </w:rPr>
      </w:pPr>
      <w:r w:rsidRPr="00380CB6">
        <w:rPr>
          <w:rFonts w:ascii="Times New Roman" w:hAnsi="Times New Roman" w:cs="Times New Roman"/>
          <w:sz w:val="24"/>
          <w:szCs w:val="24"/>
        </w:rPr>
        <w:t>REFERENCE:</w:t>
      </w:r>
    </w:p>
    <w:p w14:paraId="1AA55435"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380CB6">
        <w:rPr>
          <w:rFonts w:ascii="Times New Roman" w:hAnsi="Times New Roman" w:cs="Times New Roman"/>
          <w:color w:val="222222"/>
          <w:sz w:val="24"/>
          <w:szCs w:val="24"/>
          <w:shd w:val="clear" w:color="auto" w:fill="FFFFFF"/>
        </w:rPr>
        <w:t xml:space="preserve">Muhetaer G, Liu G, Zhang L, Jiang H. Severe secondary hyperparathyroidism in a chronic kidney disease patient treated with Radiofrequency ablation: One case report. Frontiers in Medicine. 2022 Jul </w:t>
      </w:r>
      <w:proofErr w:type="gramStart"/>
      <w:r w:rsidRPr="00380CB6">
        <w:rPr>
          <w:rFonts w:ascii="Times New Roman" w:hAnsi="Times New Roman" w:cs="Times New Roman"/>
          <w:color w:val="222222"/>
          <w:sz w:val="24"/>
          <w:szCs w:val="24"/>
          <w:shd w:val="clear" w:color="auto" w:fill="FFFFFF"/>
        </w:rPr>
        <w:t>22;9:876692</w:t>
      </w:r>
      <w:proofErr w:type="gramEnd"/>
      <w:r w:rsidRPr="00380CB6">
        <w:rPr>
          <w:rFonts w:ascii="Times New Roman" w:hAnsi="Times New Roman" w:cs="Times New Roman"/>
          <w:color w:val="222222"/>
          <w:sz w:val="24"/>
          <w:szCs w:val="24"/>
          <w:shd w:val="clear" w:color="auto" w:fill="FFFFFF"/>
        </w:rPr>
        <w:t>.</w:t>
      </w:r>
    </w:p>
    <w:p w14:paraId="539C2A87"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Uysal C, Yilmaz T, Ozkan H, Ates I, Turgutalp K, Kiykim A, et al. The refractory secondary hyperparathyroidism presenting with retro-orbital brown </w:t>
      </w:r>
      <w:r w:rsidR="00C26438" w:rsidRPr="00380CB6">
        <w:rPr>
          <w:rFonts w:ascii="Times New Roman" w:eastAsia="Times New Roman" w:hAnsi="Times New Roman" w:cs="Times New Roman"/>
          <w:sz w:val="24"/>
          <w:szCs w:val="24"/>
          <w:lang w:eastAsia="en-IN"/>
        </w:rPr>
        <w:t>tumour</w:t>
      </w:r>
      <w:r w:rsidRPr="00380CB6">
        <w:rPr>
          <w:rFonts w:ascii="Times New Roman" w:eastAsia="Times New Roman" w:hAnsi="Times New Roman" w:cs="Times New Roman"/>
          <w:sz w:val="24"/>
          <w:szCs w:val="24"/>
          <w:lang w:eastAsia="en-IN"/>
        </w:rPr>
        <w:t xml:space="preserve">: a case report. </w:t>
      </w:r>
      <w:r w:rsidRPr="00380CB6">
        <w:rPr>
          <w:rFonts w:ascii="Times New Roman" w:eastAsia="Times New Roman" w:hAnsi="Times New Roman" w:cs="Times New Roman"/>
          <w:i/>
          <w:iCs/>
          <w:sz w:val="24"/>
          <w:szCs w:val="24"/>
          <w:lang w:eastAsia="en-IN"/>
        </w:rPr>
        <w:t>BMC Nephrol</w:t>
      </w:r>
      <w:r w:rsidRPr="00380CB6">
        <w:rPr>
          <w:rFonts w:ascii="Times New Roman" w:eastAsia="Times New Roman" w:hAnsi="Times New Roman" w:cs="Times New Roman"/>
          <w:sz w:val="24"/>
          <w:szCs w:val="24"/>
          <w:lang w:eastAsia="en-IN"/>
        </w:rPr>
        <w:t xml:space="preserve">. </w:t>
      </w:r>
      <w:proofErr w:type="gramStart"/>
      <w:r w:rsidRPr="00380CB6">
        <w:rPr>
          <w:rFonts w:ascii="Times New Roman" w:eastAsia="Times New Roman" w:hAnsi="Times New Roman" w:cs="Times New Roman"/>
          <w:sz w:val="24"/>
          <w:szCs w:val="24"/>
          <w:lang w:eastAsia="en-IN"/>
        </w:rPr>
        <w:t>2024;25:15</w:t>
      </w:r>
      <w:proofErr w:type="gramEnd"/>
      <w:r w:rsidRPr="00380CB6">
        <w:rPr>
          <w:rFonts w:ascii="Times New Roman" w:eastAsia="Times New Roman" w:hAnsi="Times New Roman" w:cs="Times New Roman"/>
          <w:sz w:val="24"/>
          <w:szCs w:val="24"/>
          <w:lang w:eastAsia="en-IN"/>
        </w:rPr>
        <w:t>. doi:10.1186/s12882-024-03455-8.</w:t>
      </w:r>
    </w:p>
    <w:p w14:paraId="29185C81"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Ryang S, Yi W, Kim M, Song SH, Lee BJ, Kim BH. Secondary hyperparathyroidism due to multiple parathyroid carcinomas in a patient with chronic </w:t>
      </w:r>
      <w:r w:rsidR="00C26438" w:rsidRPr="00380CB6">
        <w:rPr>
          <w:rFonts w:ascii="Times New Roman" w:hAnsi="Times New Roman" w:cs="Times New Roman"/>
          <w:color w:val="222222"/>
          <w:sz w:val="24"/>
          <w:szCs w:val="24"/>
          <w:shd w:val="clear" w:color="auto" w:fill="FFFFFF"/>
        </w:rPr>
        <w:t>haemodialysis</w:t>
      </w:r>
      <w:r w:rsidRPr="00380CB6">
        <w:rPr>
          <w:rFonts w:ascii="Times New Roman" w:hAnsi="Times New Roman" w:cs="Times New Roman"/>
          <w:color w:val="222222"/>
          <w:sz w:val="24"/>
          <w:szCs w:val="24"/>
          <w:shd w:val="clear" w:color="auto" w:fill="FFFFFF"/>
        </w:rPr>
        <w:t>: a case report. Kosin Medical Journal. 2022 Jul 27;37(3):255-9.</w:t>
      </w:r>
    </w:p>
    <w:p w14:paraId="26A18413"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lastRenderedPageBreak/>
        <w:t>Tominaga Y. Surgical treatment of secondary hyperparathyroidism due to chronic kidney disease. Upsala journal of medical sciences. 2006 Jan 1;111(3):277-92.</w:t>
      </w:r>
    </w:p>
    <w:p w14:paraId="1D54A41F"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Lorenz K, Bartsch DK, Sancho JJ, Guigard S, Triponez F. Surgical management of secondary hyperparathyroidism in chronic kidney disease—a consensus report of the European Society of Endocrine Surgeons. Langenbeck's archives of surgery. 2015 Dec;400(8):907-27.</w:t>
      </w:r>
    </w:p>
    <w:p w14:paraId="5328FD39" w14:textId="7777777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Egshatyan LV, Mokrisheva NG, Rozhinskaya LYa. Secondary and tertiary hyperparathyroidism in chronic kidney disease. </w:t>
      </w:r>
      <w:r w:rsidRPr="00380CB6">
        <w:rPr>
          <w:rFonts w:ascii="Times New Roman" w:eastAsia="Times New Roman" w:hAnsi="Times New Roman" w:cs="Times New Roman"/>
          <w:i/>
          <w:iCs/>
          <w:sz w:val="24"/>
          <w:szCs w:val="24"/>
          <w:lang w:eastAsia="en-IN"/>
        </w:rPr>
        <w:t>Osteoporos Bone Dis</w:t>
      </w:r>
      <w:r w:rsidRPr="00380CB6">
        <w:rPr>
          <w:rFonts w:ascii="Times New Roman" w:eastAsia="Times New Roman" w:hAnsi="Times New Roman" w:cs="Times New Roman"/>
          <w:sz w:val="24"/>
          <w:szCs w:val="24"/>
          <w:lang w:eastAsia="en-IN"/>
        </w:rPr>
        <w:t>. 2017;20(2):63–68. doi:10.14341/osteo2017263-68.</w:t>
      </w:r>
    </w:p>
    <w:p w14:paraId="668743E1" w14:textId="4F2CF5E7"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sz w:val="24"/>
          <w:szCs w:val="24"/>
        </w:rPr>
        <w:t xml:space="preserve">Ballinger AE, Palmer SC, Nistor I, Craig JC, Strippoli GFM. Calcimimetics for secondary hyperparathyroidism in chronic kidney disease patients. </w:t>
      </w:r>
      <w:r w:rsidRPr="00380CB6">
        <w:rPr>
          <w:rStyle w:val="Emphasis"/>
          <w:rFonts w:ascii="Times New Roman" w:hAnsi="Times New Roman" w:cs="Times New Roman"/>
          <w:sz w:val="24"/>
          <w:szCs w:val="24"/>
        </w:rPr>
        <w:t>Cochrane Database Syst Rev</w:t>
      </w:r>
      <w:r w:rsidRPr="00380CB6">
        <w:rPr>
          <w:rFonts w:ascii="Times New Roman" w:hAnsi="Times New Roman" w:cs="Times New Roman"/>
          <w:sz w:val="24"/>
          <w:szCs w:val="24"/>
        </w:rPr>
        <w:t>. 2014;(12):</w:t>
      </w:r>
      <w:r w:rsidR="00584B5F">
        <w:rPr>
          <w:rFonts w:ascii="Times New Roman" w:hAnsi="Times New Roman" w:cs="Times New Roman"/>
          <w:sz w:val="24"/>
          <w:szCs w:val="24"/>
        </w:rPr>
        <w:t xml:space="preserve"> </w:t>
      </w:r>
      <w:r w:rsidRPr="00380CB6">
        <w:rPr>
          <w:rFonts w:ascii="Times New Roman" w:hAnsi="Times New Roman" w:cs="Times New Roman"/>
          <w:sz w:val="24"/>
          <w:szCs w:val="24"/>
        </w:rPr>
        <w:t xml:space="preserve">CD006254. </w:t>
      </w:r>
      <w:proofErr w:type="gramStart"/>
      <w:r w:rsidRPr="00380CB6">
        <w:rPr>
          <w:rFonts w:ascii="Times New Roman" w:hAnsi="Times New Roman" w:cs="Times New Roman"/>
          <w:sz w:val="24"/>
          <w:szCs w:val="24"/>
        </w:rPr>
        <w:t>doi:10.1002/14651858.CD006254.pub2</w:t>
      </w:r>
      <w:proofErr w:type="gramEnd"/>
      <w:r w:rsidRPr="00380CB6">
        <w:rPr>
          <w:rFonts w:ascii="Times New Roman" w:hAnsi="Times New Roman" w:cs="Times New Roman"/>
          <w:sz w:val="24"/>
          <w:szCs w:val="24"/>
        </w:rPr>
        <w:t>. Accessed 2025 Jul 18.</w:t>
      </w:r>
    </w:p>
    <w:p w14:paraId="6E43F636" w14:textId="2D425C05" w:rsidR="00777C12" w:rsidRPr="00380CB6" w:rsidRDefault="000A7056"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222222"/>
          <w:sz w:val="24"/>
          <w:szCs w:val="24"/>
          <w:shd w:val="clear" w:color="auto" w:fill="FFFFFF"/>
        </w:rPr>
        <w:t xml:space="preserve">Steinl GK, Kuo JH. Surgical management of secondary hyperparathyroidism. Kidney </w:t>
      </w:r>
      <w:r w:rsidR="00584B5F">
        <w:rPr>
          <w:rFonts w:ascii="Times New Roman" w:hAnsi="Times New Roman" w:cs="Times New Roman"/>
          <w:color w:val="222222"/>
          <w:sz w:val="24"/>
          <w:szCs w:val="24"/>
          <w:shd w:val="clear" w:color="auto" w:fill="FFFFFF"/>
        </w:rPr>
        <w:t>International Reports</w:t>
      </w:r>
      <w:r w:rsidRPr="00380CB6">
        <w:rPr>
          <w:rFonts w:ascii="Times New Roman" w:hAnsi="Times New Roman" w:cs="Times New Roman"/>
          <w:color w:val="222222"/>
          <w:sz w:val="24"/>
          <w:szCs w:val="24"/>
          <w:shd w:val="clear" w:color="auto" w:fill="FFFFFF"/>
        </w:rPr>
        <w:t>. 2021 Feb 1;6(2):254-64.</w:t>
      </w:r>
    </w:p>
    <w:p w14:paraId="40496FE7" w14:textId="1E237798" w:rsidR="00B12FB1" w:rsidRPr="00380CB6" w:rsidRDefault="003B3EF5"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eastAsia="Times New Roman" w:hAnsi="Times New Roman" w:cs="Times New Roman"/>
          <w:sz w:val="24"/>
          <w:szCs w:val="24"/>
          <w:lang w:eastAsia="en-IN"/>
        </w:rPr>
        <w:t xml:space="preserve">Amano K, Morimoto R, Yamada Y, Murakami T, Ohnishi Y, Tsuji T, et al. Effects of secondary hyperparathyroidism on hematopoiesis in a patient with chronic kidney disease: a case report. Front Pediatr. 2021 Apr </w:t>
      </w:r>
      <w:proofErr w:type="gramStart"/>
      <w:r w:rsidRPr="00380CB6">
        <w:rPr>
          <w:rFonts w:ascii="Times New Roman" w:eastAsia="Times New Roman" w:hAnsi="Times New Roman" w:cs="Times New Roman"/>
          <w:sz w:val="24"/>
          <w:szCs w:val="24"/>
          <w:lang w:eastAsia="en-IN"/>
        </w:rPr>
        <w:t>21;9:550158</w:t>
      </w:r>
      <w:proofErr w:type="gramEnd"/>
      <w:r w:rsidRPr="00380CB6">
        <w:rPr>
          <w:rFonts w:ascii="Times New Roman" w:eastAsia="Times New Roman" w:hAnsi="Times New Roman" w:cs="Times New Roman"/>
          <w:sz w:val="24"/>
          <w:szCs w:val="24"/>
          <w:lang w:eastAsia="en-IN"/>
        </w:rPr>
        <w:t>. doi:10.3389/</w:t>
      </w:r>
      <w:proofErr w:type="spellStart"/>
      <w:r w:rsidR="00584B5F">
        <w:rPr>
          <w:rFonts w:ascii="Times New Roman" w:eastAsia="Times New Roman" w:hAnsi="Times New Roman" w:cs="Times New Roman"/>
          <w:sz w:val="24"/>
          <w:szCs w:val="24"/>
          <w:lang w:eastAsia="en-IN"/>
        </w:rPr>
        <w:t>fped</w:t>
      </w:r>
      <w:proofErr w:type="spellEnd"/>
      <w:r w:rsidR="00584B5F">
        <w:rPr>
          <w:rFonts w:ascii="Times New Roman" w:eastAsia="Times New Roman" w:hAnsi="Times New Roman" w:cs="Times New Roman"/>
          <w:sz w:val="24"/>
          <w:szCs w:val="24"/>
          <w:lang w:eastAsia="en-IN"/>
        </w:rPr>
        <w:t xml:space="preserve"> </w:t>
      </w:r>
      <w:r w:rsidRPr="00380CB6">
        <w:rPr>
          <w:rFonts w:ascii="Times New Roman" w:eastAsia="Times New Roman" w:hAnsi="Times New Roman" w:cs="Times New Roman"/>
          <w:sz w:val="24"/>
          <w:szCs w:val="24"/>
          <w:lang w:eastAsia="en-IN"/>
        </w:rPr>
        <w:t>2021.550158.</w:t>
      </w:r>
    </w:p>
    <w:p w14:paraId="5C56B52D" w14:textId="77777777" w:rsidR="00B12FB1" w:rsidRPr="00380CB6" w:rsidRDefault="00B12FB1"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Cozzolino M. CKD-MBD KDIGO guidelines: how difficult is reaching the 'target'? Clin Kidney J. 2018 Feb;11(1):70-72. doi: 10.1093/ckj/sfx116. Epub 2017 Oct 12. PMID: 29423205; PMCID: PMC5798086.</w:t>
      </w:r>
    </w:p>
    <w:p w14:paraId="05716B66" w14:textId="5FF67B83" w:rsidR="00BD200F" w:rsidRPr="00380CB6" w:rsidRDefault="00BD200F"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Sista SK, Arum SM. Management of </w:t>
      </w:r>
      <w:r w:rsidR="00584B5F">
        <w:rPr>
          <w:rFonts w:ascii="Times New Roman" w:hAnsi="Times New Roman" w:cs="Times New Roman"/>
          <w:color w:val="1B1B1B"/>
          <w:sz w:val="24"/>
          <w:szCs w:val="24"/>
          <w:shd w:val="clear" w:color="auto" w:fill="FFFFFF"/>
        </w:rPr>
        <w:t>a dynamic</w:t>
      </w:r>
      <w:r w:rsidRPr="00380CB6">
        <w:rPr>
          <w:rFonts w:ascii="Times New Roman" w:hAnsi="Times New Roman" w:cs="Times New Roman"/>
          <w:color w:val="1B1B1B"/>
          <w:sz w:val="24"/>
          <w:szCs w:val="24"/>
          <w:shd w:val="clear" w:color="auto" w:fill="FFFFFF"/>
        </w:rPr>
        <w:t xml:space="preserve"> bone disease in chronic kidney disease: A brief review. J Clin Transl Endocrinol. 2016 Jul </w:t>
      </w:r>
      <w:proofErr w:type="gramStart"/>
      <w:r w:rsidRPr="00380CB6">
        <w:rPr>
          <w:rFonts w:ascii="Times New Roman" w:hAnsi="Times New Roman" w:cs="Times New Roman"/>
          <w:color w:val="1B1B1B"/>
          <w:sz w:val="24"/>
          <w:szCs w:val="24"/>
          <w:shd w:val="clear" w:color="auto" w:fill="FFFFFF"/>
        </w:rPr>
        <w:t>25;5:32</w:t>
      </w:r>
      <w:proofErr w:type="gramEnd"/>
      <w:r w:rsidRPr="00380CB6">
        <w:rPr>
          <w:rFonts w:ascii="Times New Roman" w:hAnsi="Times New Roman" w:cs="Times New Roman"/>
          <w:color w:val="1B1B1B"/>
          <w:sz w:val="24"/>
          <w:szCs w:val="24"/>
          <w:shd w:val="clear" w:color="auto" w:fill="FFFFFF"/>
        </w:rPr>
        <w:t>-35. doi: 10.1016/j.jcte.2016.07.002. PMID: 29067232; PMCID: PMC5644430.</w:t>
      </w:r>
    </w:p>
    <w:p w14:paraId="6B31D8AE" w14:textId="3A8EC4C1" w:rsidR="00D64824" w:rsidRPr="006B1275" w:rsidRDefault="00D64824"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80CB6">
        <w:rPr>
          <w:rFonts w:ascii="Times New Roman" w:hAnsi="Times New Roman" w:cs="Times New Roman"/>
          <w:color w:val="1B1B1B"/>
          <w:sz w:val="24"/>
          <w:szCs w:val="24"/>
          <w:shd w:val="clear" w:color="auto" w:fill="FFFFFF"/>
        </w:rPr>
        <w:t xml:space="preserve">Wiederkehr M. Brown tumor complicating end-stage kidney disease. Clin Nephrol Case Stud. 2020 Oct </w:t>
      </w:r>
      <w:proofErr w:type="gramStart"/>
      <w:r w:rsidRPr="00380CB6">
        <w:rPr>
          <w:rFonts w:ascii="Times New Roman" w:hAnsi="Times New Roman" w:cs="Times New Roman"/>
          <w:color w:val="1B1B1B"/>
          <w:sz w:val="24"/>
          <w:szCs w:val="24"/>
          <w:shd w:val="clear" w:color="auto" w:fill="FFFFFF"/>
        </w:rPr>
        <w:t>12;8:72</w:t>
      </w:r>
      <w:proofErr w:type="gramEnd"/>
      <w:r w:rsidRPr="00380CB6">
        <w:rPr>
          <w:rFonts w:ascii="Times New Roman" w:hAnsi="Times New Roman" w:cs="Times New Roman"/>
          <w:color w:val="1B1B1B"/>
          <w:sz w:val="24"/>
          <w:szCs w:val="24"/>
          <w:shd w:val="clear" w:color="auto" w:fill="FFFFFF"/>
        </w:rPr>
        <w:t>-79. doi: 10.5414/CNCS110195. PMID: 33062583; PMCID: PMC7552353.</w:t>
      </w:r>
    </w:p>
    <w:p w14:paraId="121EFB88" w14:textId="2B9BE68E" w:rsidR="006B1275" w:rsidRPr="009B327E" w:rsidRDefault="006B1275"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en-IN"/>
        </w:rPr>
      </w:pPr>
      <w:r w:rsidRPr="006B1275">
        <w:rPr>
          <w:rFonts w:ascii="Times New Roman" w:hAnsi="Times New Roman" w:cs="Times New Roman"/>
          <w:sz w:val="24"/>
          <w:szCs w:val="24"/>
        </w:rPr>
        <w:t>Goodman WG, Quarles LD. Development and progression of secondary hyperparathyroidism in chronic kidney disease: lessons from molecular genetics. Kidney Int. 2008;74(3):276-88. doi:10.1038/sj.ki.5002287</w:t>
      </w:r>
    </w:p>
    <w:p w14:paraId="16E88F49" w14:textId="0EFFAE53" w:rsidR="009B327E" w:rsidRPr="009B327E" w:rsidRDefault="009B327E" w:rsidP="00B25E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32"/>
          <w:szCs w:val="32"/>
          <w:lang w:eastAsia="en-IN"/>
        </w:rPr>
      </w:pPr>
      <w:proofErr w:type="spellStart"/>
      <w:r w:rsidRPr="009B327E">
        <w:rPr>
          <w:rFonts w:ascii="Times New Roman" w:hAnsi="Times New Roman" w:cs="Times New Roman"/>
          <w:sz w:val="24"/>
          <w:szCs w:val="24"/>
        </w:rPr>
        <w:t>Floege</w:t>
      </w:r>
      <w:proofErr w:type="spellEnd"/>
      <w:r w:rsidRPr="009B327E">
        <w:rPr>
          <w:rFonts w:ascii="Times New Roman" w:hAnsi="Times New Roman" w:cs="Times New Roman"/>
          <w:sz w:val="24"/>
          <w:szCs w:val="24"/>
        </w:rPr>
        <w:t xml:space="preserve"> J, </w:t>
      </w:r>
      <w:proofErr w:type="spellStart"/>
      <w:r w:rsidRPr="009B327E">
        <w:rPr>
          <w:rFonts w:ascii="Times New Roman" w:hAnsi="Times New Roman" w:cs="Times New Roman"/>
          <w:sz w:val="24"/>
          <w:szCs w:val="24"/>
        </w:rPr>
        <w:t>Tsirtsonis</w:t>
      </w:r>
      <w:proofErr w:type="spellEnd"/>
      <w:r w:rsidRPr="009B327E">
        <w:rPr>
          <w:rFonts w:ascii="Times New Roman" w:hAnsi="Times New Roman" w:cs="Times New Roman"/>
          <w:sz w:val="24"/>
          <w:szCs w:val="24"/>
        </w:rPr>
        <w:t xml:space="preserve"> K, Iles J, </w:t>
      </w:r>
      <w:proofErr w:type="spellStart"/>
      <w:r w:rsidRPr="009B327E">
        <w:rPr>
          <w:rFonts w:ascii="Times New Roman" w:hAnsi="Times New Roman" w:cs="Times New Roman"/>
          <w:sz w:val="24"/>
          <w:szCs w:val="24"/>
        </w:rPr>
        <w:t>Drueke</w:t>
      </w:r>
      <w:proofErr w:type="spellEnd"/>
      <w:r w:rsidRPr="009B327E">
        <w:rPr>
          <w:rFonts w:ascii="Times New Roman" w:hAnsi="Times New Roman" w:cs="Times New Roman"/>
          <w:sz w:val="24"/>
          <w:szCs w:val="24"/>
        </w:rPr>
        <w:t xml:space="preserve"> TB, </w:t>
      </w:r>
      <w:proofErr w:type="spellStart"/>
      <w:r w:rsidRPr="009B327E">
        <w:rPr>
          <w:rFonts w:ascii="Times New Roman" w:hAnsi="Times New Roman" w:cs="Times New Roman"/>
          <w:sz w:val="24"/>
          <w:szCs w:val="24"/>
        </w:rPr>
        <w:t>Chertow</w:t>
      </w:r>
      <w:proofErr w:type="spellEnd"/>
      <w:r w:rsidRPr="009B327E">
        <w:rPr>
          <w:rFonts w:ascii="Times New Roman" w:hAnsi="Times New Roman" w:cs="Times New Roman"/>
          <w:sz w:val="24"/>
          <w:szCs w:val="24"/>
        </w:rPr>
        <w:t xml:space="preserve"> GM, </w:t>
      </w:r>
      <w:proofErr w:type="spellStart"/>
      <w:r w:rsidRPr="009B327E">
        <w:rPr>
          <w:rFonts w:ascii="Times New Roman" w:hAnsi="Times New Roman" w:cs="Times New Roman"/>
          <w:sz w:val="24"/>
          <w:szCs w:val="24"/>
        </w:rPr>
        <w:t>Parfrey</w:t>
      </w:r>
      <w:proofErr w:type="spellEnd"/>
      <w:r w:rsidRPr="009B327E">
        <w:rPr>
          <w:rFonts w:ascii="Times New Roman" w:hAnsi="Times New Roman" w:cs="Times New Roman"/>
          <w:sz w:val="24"/>
          <w:szCs w:val="24"/>
        </w:rPr>
        <w:t xml:space="preserve"> P. Incidence, predictors</w:t>
      </w:r>
      <w:r>
        <w:rPr>
          <w:rFonts w:ascii="Times New Roman" w:hAnsi="Times New Roman" w:cs="Times New Roman"/>
          <w:sz w:val="24"/>
          <w:szCs w:val="24"/>
        </w:rPr>
        <w:t>,</w:t>
      </w:r>
      <w:r w:rsidRPr="009B327E">
        <w:rPr>
          <w:rFonts w:ascii="Times New Roman" w:hAnsi="Times New Roman" w:cs="Times New Roman"/>
          <w:sz w:val="24"/>
          <w:szCs w:val="24"/>
        </w:rPr>
        <w:t xml:space="preserve"> and therapeutic consequences of </w:t>
      </w:r>
      <w:proofErr w:type="spellStart"/>
      <w:r w:rsidRPr="009B327E">
        <w:rPr>
          <w:rFonts w:ascii="Times New Roman" w:hAnsi="Times New Roman" w:cs="Times New Roman"/>
          <w:sz w:val="24"/>
          <w:szCs w:val="24"/>
        </w:rPr>
        <w:t>hypocalcemia</w:t>
      </w:r>
      <w:proofErr w:type="spellEnd"/>
      <w:r w:rsidRPr="009B327E">
        <w:rPr>
          <w:rFonts w:ascii="Times New Roman" w:hAnsi="Times New Roman" w:cs="Times New Roman"/>
          <w:sz w:val="24"/>
          <w:szCs w:val="24"/>
        </w:rPr>
        <w:t xml:space="preserve"> in patients treated with cinacalcet in the EVOLVE trial. </w:t>
      </w:r>
      <w:r w:rsidRPr="009B327E">
        <w:rPr>
          <w:rStyle w:val="Emphasis"/>
          <w:rFonts w:ascii="Times New Roman" w:hAnsi="Times New Roman" w:cs="Times New Roman"/>
          <w:i w:val="0"/>
          <w:iCs w:val="0"/>
          <w:sz w:val="24"/>
          <w:szCs w:val="24"/>
        </w:rPr>
        <w:t>Kidney Int</w:t>
      </w:r>
      <w:r w:rsidRPr="009B327E">
        <w:rPr>
          <w:rFonts w:ascii="Times New Roman" w:hAnsi="Times New Roman" w:cs="Times New Roman"/>
          <w:sz w:val="24"/>
          <w:szCs w:val="24"/>
        </w:rPr>
        <w:t>. 2018;93(6):1475–82.</w:t>
      </w:r>
    </w:p>
    <w:p w14:paraId="725286FD" w14:textId="77777777" w:rsidR="00777C12" w:rsidRPr="00380CB6" w:rsidRDefault="00777C12" w:rsidP="00B25E29">
      <w:pPr>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777C12" w:rsidRPr="00380CB6" w:rsidSect="00777C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CCFC" w14:textId="77777777" w:rsidR="004E61B5" w:rsidRDefault="004E61B5" w:rsidP="00496E85">
      <w:pPr>
        <w:spacing w:after="0" w:line="240" w:lineRule="auto"/>
      </w:pPr>
      <w:r>
        <w:separator/>
      </w:r>
    </w:p>
  </w:endnote>
  <w:endnote w:type="continuationSeparator" w:id="0">
    <w:p w14:paraId="6BA5780D" w14:textId="77777777" w:rsidR="004E61B5" w:rsidRDefault="004E61B5" w:rsidP="004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6AF0" w14:textId="77777777" w:rsidR="00496E85" w:rsidRDefault="0049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7F85" w14:textId="77777777" w:rsidR="00496E85" w:rsidRDefault="0049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E043" w14:textId="77777777" w:rsidR="00496E85" w:rsidRDefault="0049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9831" w14:textId="77777777" w:rsidR="004E61B5" w:rsidRDefault="004E61B5" w:rsidP="00496E85">
      <w:pPr>
        <w:spacing w:after="0" w:line="240" w:lineRule="auto"/>
      </w:pPr>
      <w:r>
        <w:separator/>
      </w:r>
    </w:p>
  </w:footnote>
  <w:footnote w:type="continuationSeparator" w:id="0">
    <w:p w14:paraId="234F9DE9" w14:textId="77777777" w:rsidR="004E61B5" w:rsidRDefault="004E61B5" w:rsidP="0049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99C8" w14:textId="03F28EDC" w:rsidR="00496E85" w:rsidRDefault="004E61B5">
    <w:pPr>
      <w:pStyle w:val="Header"/>
    </w:pPr>
    <w:r>
      <w:rPr>
        <w:noProof/>
      </w:rPr>
      <w:pict w14:anchorId="05FA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918C" w14:textId="387C3250" w:rsidR="00496E85" w:rsidRDefault="004E61B5">
    <w:pPr>
      <w:pStyle w:val="Header"/>
    </w:pPr>
    <w:r>
      <w:rPr>
        <w:noProof/>
      </w:rPr>
      <w:pict w14:anchorId="51F4D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1BBD" w14:textId="52D90E56" w:rsidR="00496E85" w:rsidRDefault="004E61B5">
    <w:pPr>
      <w:pStyle w:val="Header"/>
    </w:pPr>
    <w:r>
      <w:rPr>
        <w:noProof/>
      </w:rPr>
      <w:pict w14:anchorId="1F1A6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1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EF867F2"/>
    <w:lvl w:ilvl="0" w:tplc="AAB0C0E8">
      <w:start w:val="1"/>
      <w:numFmt w:val="decimal"/>
      <w:lvlText w:val="%1."/>
      <w:lvlJc w:val="left"/>
      <w:pPr>
        <w:ind w:left="720" w:hanging="36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multilevel"/>
    <w:tmpl w:val="B09C0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F56FE1"/>
    <w:multiLevelType w:val="multilevel"/>
    <w:tmpl w:val="524C9C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C12"/>
    <w:rsid w:val="00000466"/>
    <w:rsid w:val="00000940"/>
    <w:rsid w:val="000171DF"/>
    <w:rsid w:val="00041099"/>
    <w:rsid w:val="00042357"/>
    <w:rsid w:val="00045B81"/>
    <w:rsid w:val="00056FDC"/>
    <w:rsid w:val="000646B3"/>
    <w:rsid w:val="00073458"/>
    <w:rsid w:val="00074427"/>
    <w:rsid w:val="00076C61"/>
    <w:rsid w:val="00096CB5"/>
    <w:rsid w:val="000A7056"/>
    <w:rsid w:val="000B29F7"/>
    <w:rsid w:val="000C3313"/>
    <w:rsid w:val="000D72DB"/>
    <w:rsid w:val="0011324D"/>
    <w:rsid w:val="00116CE1"/>
    <w:rsid w:val="001F410D"/>
    <w:rsid w:val="00223265"/>
    <w:rsid w:val="002475D6"/>
    <w:rsid w:val="002B4F12"/>
    <w:rsid w:val="002D4416"/>
    <w:rsid w:val="00304878"/>
    <w:rsid w:val="00307904"/>
    <w:rsid w:val="00332D3B"/>
    <w:rsid w:val="00362B0B"/>
    <w:rsid w:val="00380CB6"/>
    <w:rsid w:val="003830CB"/>
    <w:rsid w:val="003A350F"/>
    <w:rsid w:val="003B3EF5"/>
    <w:rsid w:val="003E2B03"/>
    <w:rsid w:val="00421DC0"/>
    <w:rsid w:val="00426FAB"/>
    <w:rsid w:val="00496E85"/>
    <w:rsid w:val="004B6886"/>
    <w:rsid w:val="004C630D"/>
    <w:rsid w:val="004E61B5"/>
    <w:rsid w:val="00501287"/>
    <w:rsid w:val="0051192A"/>
    <w:rsid w:val="00526D1F"/>
    <w:rsid w:val="00542402"/>
    <w:rsid w:val="005577F9"/>
    <w:rsid w:val="00584B5F"/>
    <w:rsid w:val="005C3168"/>
    <w:rsid w:val="005D52D9"/>
    <w:rsid w:val="006242D2"/>
    <w:rsid w:val="006316ED"/>
    <w:rsid w:val="00645EB9"/>
    <w:rsid w:val="006868B0"/>
    <w:rsid w:val="006A63CE"/>
    <w:rsid w:val="006B1275"/>
    <w:rsid w:val="006C5FA6"/>
    <w:rsid w:val="006F21F2"/>
    <w:rsid w:val="006F5AE0"/>
    <w:rsid w:val="007062E5"/>
    <w:rsid w:val="0074772A"/>
    <w:rsid w:val="00771499"/>
    <w:rsid w:val="00776DDD"/>
    <w:rsid w:val="00777C12"/>
    <w:rsid w:val="007918CF"/>
    <w:rsid w:val="00794EE6"/>
    <w:rsid w:val="0079657E"/>
    <w:rsid w:val="007C6F85"/>
    <w:rsid w:val="007D1A3A"/>
    <w:rsid w:val="007D385C"/>
    <w:rsid w:val="00806934"/>
    <w:rsid w:val="008072EC"/>
    <w:rsid w:val="00824378"/>
    <w:rsid w:val="008529DF"/>
    <w:rsid w:val="0088575B"/>
    <w:rsid w:val="0089253A"/>
    <w:rsid w:val="008C6024"/>
    <w:rsid w:val="00910003"/>
    <w:rsid w:val="00935F63"/>
    <w:rsid w:val="009439B8"/>
    <w:rsid w:val="00952A44"/>
    <w:rsid w:val="0098011B"/>
    <w:rsid w:val="009A7DE2"/>
    <w:rsid w:val="009B327E"/>
    <w:rsid w:val="009B37AE"/>
    <w:rsid w:val="00A0100A"/>
    <w:rsid w:val="00A40A94"/>
    <w:rsid w:val="00A442FD"/>
    <w:rsid w:val="00A463AB"/>
    <w:rsid w:val="00A64FDF"/>
    <w:rsid w:val="00A70866"/>
    <w:rsid w:val="00A71C45"/>
    <w:rsid w:val="00A774B7"/>
    <w:rsid w:val="00A801D0"/>
    <w:rsid w:val="00A84D9C"/>
    <w:rsid w:val="00A9069B"/>
    <w:rsid w:val="00AB2E2D"/>
    <w:rsid w:val="00AC4F67"/>
    <w:rsid w:val="00AF0968"/>
    <w:rsid w:val="00B02483"/>
    <w:rsid w:val="00B045D3"/>
    <w:rsid w:val="00B04714"/>
    <w:rsid w:val="00B12FB1"/>
    <w:rsid w:val="00B163DA"/>
    <w:rsid w:val="00B24565"/>
    <w:rsid w:val="00B25E29"/>
    <w:rsid w:val="00B42FB1"/>
    <w:rsid w:val="00B45E3C"/>
    <w:rsid w:val="00B4676C"/>
    <w:rsid w:val="00B51F1C"/>
    <w:rsid w:val="00B73957"/>
    <w:rsid w:val="00B7518D"/>
    <w:rsid w:val="00B874D0"/>
    <w:rsid w:val="00BD200F"/>
    <w:rsid w:val="00C13CBB"/>
    <w:rsid w:val="00C200FC"/>
    <w:rsid w:val="00C26438"/>
    <w:rsid w:val="00C556EC"/>
    <w:rsid w:val="00C56C4C"/>
    <w:rsid w:val="00C75023"/>
    <w:rsid w:val="00C81AF2"/>
    <w:rsid w:val="00CA50A7"/>
    <w:rsid w:val="00CD55D8"/>
    <w:rsid w:val="00CD5FED"/>
    <w:rsid w:val="00CE07AA"/>
    <w:rsid w:val="00CF0032"/>
    <w:rsid w:val="00CF4721"/>
    <w:rsid w:val="00D03D4F"/>
    <w:rsid w:val="00D24D69"/>
    <w:rsid w:val="00D347B3"/>
    <w:rsid w:val="00D41A4E"/>
    <w:rsid w:val="00D4270B"/>
    <w:rsid w:val="00D5416F"/>
    <w:rsid w:val="00D64824"/>
    <w:rsid w:val="00D71A2F"/>
    <w:rsid w:val="00D90AD0"/>
    <w:rsid w:val="00DA4C03"/>
    <w:rsid w:val="00DC6890"/>
    <w:rsid w:val="00DD24D2"/>
    <w:rsid w:val="00DD6EBD"/>
    <w:rsid w:val="00E666C3"/>
    <w:rsid w:val="00E71A93"/>
    <w:rsid w:val="00E812CC"/>
    <w:rsid w:val="00E9297E"/>
    <w:rsid w:val="00E949A8"/>
    <w:rsid w:val="00EA34D0"/>
    <w:rsid w:val="00EB5433"/>
    <w:rsid w:val="00EC7B42"/>
    <w:rsid w:val="00F10DFB"/>
    <w:rsid w:val="00F3112D"/>
    <w:rsid w:val="00F31222"/>
    <w:rsid w:val="00F42B73"/>
    <w:rsid w:val="00F62E68"/>
    <w:rsid w:val="00F8595A"/>
    <w:rsid w:val="00F94DFB"/>
    <w:rsid w:val="00F9792D"/>
    <w:rsid w:val="00FA3A7A"/>
    <w:rsid w:val="00FA6DA1"/>
    <w:rsid w:val="00FC42D6"/>
    <w:rsid w:val="00FF4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448D5C"/>
  <w15:docId w15:val="{27127D2D-96F0-4F9C-BA6A-FA9F0F3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C12"/>
  </w:style>
  <w:style w:type="paragraph" w:styleId="Heading1">
    <w:name w:val="heading 1"/>
    <w:basedOn w:val="Normal"/>
    <w:next w:val="Normal"/>
    <w:link w:val="Heading1Char"/>
    <w:uiPriority w:val="9"/>
    <w:qFormat/>
    <w:rsid w:val="00777C12"/>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rsid w:val="00777C12"/>
    <w:pPr>
      <w:keepNext/>
      <w:keepLines/>
      <w:spacing w:before="40" w:after="0"/>
      <w:outlineLvl w:val="1"/>
    </w:pPr>
    <w:rPr>
      <w:rFonts w:ascii="Cambria" w:eastAsia="SimSun" w:hAnsi="Cambria"/>
      <w:color w:val="365F91"/>
      <w:sz w:val="26"/>
      <w:szCs w:val="26"/>
    </w:rPr>
  </w:style>
  <w:style w:type="paragraph" w:styleId="Heading3">
    <w:name w:val="heading 3"/>
    <w:basedOn w:val="Normal"/>
    <w:link w:val="Heading3Char"/>
    <w:uiPriority w:val="9"/>
    <w:qFormat/>
    <w:rsid w:val="00777C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C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77C12"/>
    <w:rPr>
      <w:b/>
      <w:bCs/>
    </w:rPr>
  </w:style>
  <w:style w:type="paragraph" w:styleId="ListParagraph">
    <w:name w:val="List Paragraph"/>
    <w:basedOn w:val="Normal"/>
    <w:uiPriority w:val="34"/>
    <w:qFormat/>
    <w:rsid w:val="00777C12"/>
    <w:pPr>
      <w:ind w:left="720"/>
      <w:contextualSpacing/>
    </w:pPr>
  </w:style>
  <w:style w:type="character" w:styleId="Emphasis">
    <w:name w:val="Emphasis"/>
    <w:basedOn w:val="DefaultParagraphFont"/>
    <w:uiPriority w:val="20"/>
    <w:qFormat/>
    <w:rsid w:val="00777C12"/>
    <w:rPr>
      <w:i/>
      <w:iCs/>
    </w:rPr>
  </w:style>
  <w:style w:type="character" w:customStyle="1" w:styleId="Heading3Char">
    <w:name w:val="Heading 3 Char"/>
    <w:basedOn w:val="DefaultParagraphFont"/>
    <w:link w:val="Heading3"/>
    <w:uiPriority w:val="9"/>
    <w:rsid w:val="00777C12"/>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rsid w:val="00777C12"/>
    <w:rPr>
      <w:color w:val="0000FF"/>
      <w:u w:val="single"/>
    </w:rPr>
  </w:style>
  <w:style w:type="character" w:customStyle="1" w:styleId="muibox-root">
    <w:name w:val="muibox-root"/>
    <w:basedOn w:val="DefaultParagraphFont"/>
    <w:rsid w:val="00777C12"/>
  </w:style>
  <w:style w:type="character" w:customStyle="1" w:styleId="extn-css-0">
    <w:name w:val="extn-css-0"/>
    <w:basedOn w:val="DefaultParagraphFont"/>
    <w:rsid w:val="00777C12"/>
  </w:style>
  <w:style w:type="character" w:customStyle="1" w:styleId="extn-css-1tmeul0">
    <w:name w:val="extn-css-1tmeul0"/>
    <w:basedOn w:val="DefaultParagraphFont"/>
    <w:rsid w:val="00777C12"/>
  </w:style>
  <w:style w:type="character" w:customStyle="1" w:styleId="extn-css-10o52y0">
    <w:name w:val="extn-css-10o52y0"/>
    <w:basedOn w:val="DefaultParagraphFont"/>
    <w:rsid w:val="00777C12"/>
  </w:style>
  <w:style w:type="character" w:customStyle="1" w:styleId="extn-css-h5d7i9">
    <w:name w:val="extn-css-h5d7i9"/>
    <w:basedOn w:val="DefaultParagraphFont"/>
    <w:rsid w:val="00777C12"/>
  </w:style>
  <w:style w:type="character" w:customStyle="1" w:styleId="extn-css-1g9q2al">
    <w:name w:val="extn-css-1g9q2al"/>
    <w:basedOn w:val="DefaultParagraphFont"/>
    <w:rsid w:val="00777C12"/>
  </w:style>
  <w:style w:type="character" w:customStyle="1" w:styleId="extn-css-lq4jk2">
    <w:name w:val="extn-css-lq4jk2"/>
    <w:basedOn w:val="DefaultParagraphFont"/>
    <w:rsid w:val="00777C12"/>
  </w:style>
  <w:style w:type="paragraph" w:styleId="NoSpacing">
    <w:name w:val="No Spacing"/>
    <w:uiPriority w:val="1"/>
    <w:qFormat/>
    <w:rsid w:val="00777C12"/>
    <w:pPr>
      <w:spacing w:after="0" w:line="240" w:lineRule="auto"/>
    </w:pPr>
  </w:style>
  <w:style w:type="character" w:customStyle="1" w:styleId="Heading1Char">
    <w:name w:val="Heading 1 Char"/>
    <w:basedOn w:val="DefaultParagraphFont"/>
    <w:link w:val="Heading1"/>
    <w:uiPriority w:val="9"/>
    <w:rsid w:val="00777C1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777C12"/>
    <w:rPr>
      <w:rFonts w:ascii="Cambria" w:eastAsia="SimSun" w:hAnsi="Cambria" w:cs="SimSun"/>
      <w:color w:val="365F91"/>
      <w:sz w:val="26"/>
      <w:szCs w:val="26"/>
    </w:rPr>
  </w:style>
  <w:style w:type="character" w:styleId="CommentReference">
    <w:name w:val="annotation reference"/>
    <w:basedOn w:val="DefaultParagraphFont"/>
    <w:uiPriority w:val="99"/>
    <w:semiHidden/>
    <w:unhideWhenUsed/>
    <w:rsid w:val="00A463AB"/>
    <w:rPr>
      <w:sz w:val="16"/>
      <w:szCs w:val="16"/>
    </w:rPr>
  </w:style>
  <w:style w:type="paragraph" w:styleId="CommentText">
    <w:name w:val="annotation text"/>
    <w:basedOn w:val="Normal"/>
    <w:link w:val="CommentTextChar"/>
    <w:uiPriority w:val="99"/>
    <w:semiHidden/>
    <w:unhideWhenUsed/>
    <w:rsid w:val="00A463AB"/>
    <w:pPr>
      <w:spacing w:line="240" w:lineRule="auto"/>
    </w:pPr>
    <w:rPr>
      <w:sz w:val="20"/>
      <w:szCs w:val="20"/>
    </w:rPr>
  </w:style>
  <w:style w:type="character" w:customStyle="1" w:styleId="CommentTextChar">
    <w:name w:val="Comment Text Char"/>
    <w:basedOn w:val="DefaultParagraphFont"/>
    <w:link w:val="CommentText"/>
    <w:uiPriority w:val="99"/>
    <w:semiHidden/>
    <w:rsid w:val="00A463AB"/>
    <w:rPr>
      <w:sz w:val="20"/>
      <w:szCs w:val="20"/>
    </w:rPr>
  </w:style>
  <w:style w:type="paragraph" w:styleId="CommentSubject">
    <w:name w:val="annotation subject"/>
    <w:basedOn w:val="CommentText"/>
    <w:next w:val="CommentText"/>
    <w:link w:val="CommentSubjectChar"/>
    <w:uiPriority w:val="99"/>
    <w:semiHidden/>
    <w:unhideWhenUsed/>
    <w:rsid w:val="00A463AB"/>
    <w:rPr>
      <w:b/>
      <w:bCs/>
    </w:rPr>
  </w:style>
  <w:style w:type="character" w:customStyle="1" w:styleId="CommentSubjectChar">
    <w:name w:val="Comment Subject Char"/>
    <w:basedOn w:val="CommentTextChar"/>
    <w:link w:val="CommentSubject"/>
    <w:uiPriority w:val="99"/>
    <w:semiHidden/>
    <w:rsid w:val="00A463AB"/>
    <w:rPr>
      <w:b/>
      <w:bCs/>
      <w:sz w:val="20"/>
      <w:szCs w:val="20"/>
    </w:rPr>
  </w:style>
  <w:style w:type="paragraph" w:styleId="BalloonText">
    <w:name w:val="Balloon Text"/>
    <w:basedOn w:val="Normal"/>
    <w:link w:val="BalloonTextChar"/>
    <w:uiPriority w:val="99"/>
    <w:semiHidden/>
    <w:unhideWhenUsed/>
    <w:rsid w:val="00A4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AB"/>
    <w:rPr>
      <w:rFonts w:ascii="Tahoma" w:hAnsi="Tahoma" w:cs="Tahoma"/>
      <w:sz w:val="16"/>
      <w:szCs w:val="16"/>
    </w:rPr>
  </w:style>
  <w:style w:type="character" w:customStyle="1" w:styleId="sr-only">
    <w:name w:val="sr-only"/>
    <w:basedOn w:val="DefaultParagraphFont"/>
    <w:rsid w:val="006316ED"/>
  </w:style>
  <w:style w:type="paragraph" w:styleId="z-TopofForm">
    <w:name w:val="HTML Top of Form"/>
    <w:basedOn w:val="Normal"/>
    <w:next w:val="Normal"/>
    <w:link w:val="z-TopofFormChar"/>
    <w:hidden/>
    <w:uiPriority w:val="99"/>
    <w:semiHidden/>
    <w:unhideWhenUsed/>
    <w:rsid w:val="006316E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316E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316E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316ED"/>
    <w:rPr>
      <w:rFonts w:ascii="Arial" w:eastAsia="Times New Roman" w:hAnsi="Arial" w:cs="Arial"/>
      <w:vanish/>
      <w:sz w:val="16"/>
      <w:szCs w:val="16"/>
      <w:lang w:eastAsia="en-IN"/>
    </w:rPr>
  </w:style>
  <w:style w:type="character" w:customStyle="1" w:styleId="fontstyle01">
    <w:name w:val="fontstyle01"/>
    <w:basedOn w:val="DefaultParagraphFont"/>
    <w:rsid w:val="00A9069B"/>
    <w:rPr>
      <w:rFonts w:ascii="MyriadPro-Regular" w:hAnsi="MyriadPro-Regular" w:hint="default"/>
      <w:b w:val="0"/>
      <w:bCs w:val="0"/>
      <w:i w:val="0"/>
      <w:iCs w:val="0"/>
      <w:color w:val="194F58"/>
      <w:sz w:val="18"/>
      <w:szCs w:val="18"/>
    </w:rPr>
  </w:style>
  <w:style w:type="character" w:styleId="UnresolvedMention">
    <w:name w:val="Unresolved Mention"/>
    <w:basedOn w:val="DefaultParagraphFont"/>
    <w:uiPriority w:val="99"/>
    <w:semiHidden/>
    <w:unhideWhenUsed/>
    <w:rsid w:val="00FA6DA1"/>
    <w:rPr>
      <w:color w:val="605E5C"/>
      <w:shd w:val="clear" w:color="auto" w:fill="E1DFDD"/>
    </w:rPr>
  </w:style>
  <w:style w:type="paragraph" w:styleId="Header">
    <w:name w:val="header"/>
    <w:basedOn w:val="Normal"/>
    <w:link w:val="HeaderChar"/>
    <w:uiPriority w:val="99"/>
    <w:unhideWhenUsed/>
    <w:rsid w:val="0049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E85"/>
  </w:style>
  <w:style w:type="paragraph" w:styleId="Footer">
    <w:name w:val="footer"/>
    <w:basedOn w:val="Normal"/>
    <w:link w:val="FooterChar"/>
    <w:uiPriority w:val="99"/>
    <w:unhideWhenUsed/>
    <w:rsid w:val="0049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3016">
      <w:bodyDiv w:val="1"/>
      <w:marLeft w:val="0"/>
      <w:marRight w:val="0"/>
      <w:marTop w:val="0"/>
      <w:marBottom w:val="0"/>
      <w:divBdr>
        <w:top w:val="none" w:sz="0" w:space="0" w:color="auto"/>
        <w:left w:val="none" w:sz="0" w:space="0" w:color="auto"/>
        <w:bottom w:val="none" w:sz="0" w:space="0" w:color="auto"/>
        <w:right w:val="none" w:sz="0" w:space="0" w:color="auto"/>
      </w:divBdr>
    </w:div>
    <w:div w:id="373433298">
      <w:bodyDiv w:val="1"/>
      <w:marLeft w:val="0"/>
      <w:marRight w:val="0"/>
      <w:marTop w:val="0"/>
      <w:marBottom w:val="0"/>
      <w:divBdr>
        <w:top w:val="none" w:sz="0" w:space="0" w:color="auto"/>
        <w:left w:val="none" w:sz="0" w:space="0" w:color="auto"/>
        <w:bottom w:val="none" w:sz="0" w:space="0" w:color="auto"/>
        <w:right w:val="none" w:sz="0" w:space="0" w:color="auto"/>
      </w:divBdr>
    </w:div>
    <w:div w:id="770321188">
      <w:bodyDiv w:val="1"/>
      <w:marLeft w:val="0"/>
      <w:marRight w:val="0"/>
      <w:marTop w:val="0"/>
      <w:marBottom w:val="0"/>
      <w:divBdr>
        <w:top w:val="none" w:sz="0" w:space="0" w:color="auto"/>
        <w:left w:val="none" w:sz="0" w:space="0" w:color="auto"/>
        <w:bottom w:val="none" w:sz="0" w:space="0" w:color="auto"/>
        <w:right w:val="none" w:sz="0" w:space="0" w:color="auto"/>
      </w:divBdr>
    </w:div>
    <w:div w:id="845629792">
      <w:bodyDiv w:val="1"/>
      <w:marLeft w:val="0"/>
      <w:marRight w:val="0"/>
      <w:marTop w:val="0"/>
      <w:marBottom w:val="0"/>
      <w:divBdr>
        <w:top w:val="none" w:sz="0" w:space="0" w:color="auto"/>
        <w:left w:val="none" w:sz="0" w:space="0" w:color="auto"/>
        <w:bottom w:val="none" w:sz="0" w:space="0" w:color="auto"/>
        <w:right w:val="none" w:sz="0" w:space="0" w:color="auto"/>
      </w:divBdr>
    </w:div>
    <w:div w:id="985553274">
      <w:bodyDiv w:val="1"/>
      <w:marLeft w:val="0"/>
      <w:marRight w:val="0"/>
      <w:marTop w:val="0"/>
      <w:marBottom w:val="0"/>
      <w:divBdr>
        <w:top w:val="none" w:sz="0" w:space="0" w:color="auto"/>
        <w:left w:val="none" w:sz="0" w:space="0" w:color="auto"/>
        <w:bottom w:val="none" w:sz="0" w:space="0" w:color="auto"/>
        <w:right w:val="none" w:sz="0" w:space="0" w:color="auto"/>
      </w:divBdr>
      <w:divsChild>
        <w:div w:id="296759022">
          <w:marLeft w:val="0"/>
          <w:marRight w:val="0"/>
          <w:marTop w:val="0"/>
          <w:marBottom w:val="0"/>
          <w:divBdr>
            <w:top w:val="none" w:sz="0" w:space="0" w:color="auto"/>
            <w:left w:val="none" w:sz="0" w:space="0" w:color="auto"/>
            <w:bottom w:val="none" w:sz="0" w:space="0" w:color="auto"/>
            <w:right w:val="none" w:sz="0" w:space="0" w:color="auto"/>
          </w:divBdr>
        </w:div>
        <w:div w:id="702553914">
          <w:marLeft w:val="0"/>
          <w:marRight w:val="0"/>
          <w:marTop w:val="0"/>
          <w:marBottom w:val="0"/>
          <w:divBdr>
            <w:top w:val="none" w:sz="0" w:space="0" w:color="auto"/>
            <w:left w:val="none" w:sz="0" w:space="0" w:color="auto"/>
            <w:bottom w:val="none" w:sz="0" w:space="0" w:color="auto"/>
            <w:right w:val="none" w:sz="0" w:space="0" w:color="auto"/>
          </w:divBdr>
        </w:div>
        <w:div w:id="2118214294">
          <w:marLeft w:val="0"/>
          <w:marRight w:val="0"/>
          <w:marTop w:val="0"/>
          <w:marBottom w:val="0"/>
          <w:divBdr>
            <w:top w:val="none" w:sz="0" w:space="0" w:color="auto"/>
            <w:left w:val="none" w:sz="0" w:space="0" w:color="auto"/>
            <w:bottom w:val="none" w:sz="0" w:space="0" w:color="auto"/>
            <w:right w:val="none" w:sz="0" w:space="0" w:color="auto"/>
          </w:divBdr>
        </w:div>
      </w:divsChild>
    </w:div>
    <w:div w:id="1002778034">
      <w:bodyDiv w:val="1"/>
      <w:marLeft w:val="0"/>
      <w:marRight w:val="0"/>
      <w:marTop w:val="0"/>
      <w:marBottom w:val="0"/>
      <w:divBdr>
        <w:top w:val="none" w:sz="0" w:space="0" w:color="auto"/>
        <w:left w:val="none" w:sz="0" w:space="0" w:color="auto"/>
        <w:bottom w:val="none" w:sz="0" w:space="0" w:color="auto"/>
        <w:right w:val="none" w:sz="0" w:space="0" w:color="auto"/>
      </w:divBdr>
    </w:div>
    <w:div w:id="1152254292">
      <w:bodyDiv w:val="1"/>
      <w:marLeft w:val="0"/>
      <w:marRight w:val="0"/>
      <w:marTop w:val="0"/>
      <w:marBottom w:val="0"/>
      <w:divBdr>
        <w:top w:val="none" w:sz="0" w:space="0" w:color="auto"/>
        <w:left w:val="none" w:sz="0" w:space="0" w:color="auto"/>
        <w:bottom w:val="none" w:sz="0" w:space="0" w:color="auto"/>
        <w:right w:val="none" w:sz="0" w:space="0" w:color="auto"/>
      </w:divBdr>
    </w:div>
    <w:div w:id="1206673794">
      <w:bodyDiv w:val="1"/>
      <w:marLeft w:val="0"/>
      <w:marRight w:val="0"/>
      <w:marTop w:val="0"/>
      <w:marBottom w:val="0"/>
      <w:divBdr>
        <w:top w:val="none" w:sz="0" w:space="0" w:color="auto"/>
        <w:left w:val="none" w:sz="0" w:space="0" w:color="auto"/>
        <w:bottom w:val="none" w:sz="0" w:space="0" w:color="auto"/>
        <w:right w:val="none" w:sz="0" w:space="0" w:color="auto"/>
      </w:divBdr>
    </w:div>
    <w:div w:id="1210148805">
      <w:bodyDiv w:val="1"/>
      <w:marLeft w:val="0"/>
      <w:marRight w:val="0"/>
      <w:marTop w:val="0"/>
      <w:marBottom w:val="0"/>
      <w:divBdr>
        <w:top w:val="none" w:sz="0" w:space="0" w:color="auto"/>
        <w:left w:val="none" w:sz="0" w:space="0" w:color="auto"/>
        <w:bottom w:val="none" w:sz="0" w:space="0" w:color="auto"/>
        <w:right w:val="none" w:sz="0" w:space="0" w:color="auto"/>
      </w:divBdr>
    </w:div>
    <w:div w:id="1410926388">
      <w:bodyDiv w:val="1"/>
      <w:marLeft w:val="0"/>
      <w:marRight w:val="0"/>
      <w:marTop w:val="0"/>
      <w:marBottom w:val="0"/>
      <w:divBdr>
        <w:top w:val="none" w:sz="0" w:space="0" w:color="auto"/>
        <w:left w:val="none" w:sz="0" w:space="0" w:color="auto"/>
        <w:bottom w:val="none" w:sz="0" w:space="0" w:color="auto"/>
        <w:right w:val="none" w:sz="0" w:space="0" w:color="auto"/>
      </w:divBdr>
    </w:div>
    <w:div w:id="1415084758">
      <w:bodyDiv w:val="1"/>
      <w:marLeft w:val="0"/>
      <w:marRight w:val="0"/>
      <w:marTop w:val="0"/>
      <w:marBottom w:val="0"/>
      <w:divBdr>
        <w:top w:val="none" w:sz="0" w:space="0" w:color="auto"/>
        <w:left w:val="none" w:sz="0" w:space="0" w:color="auto"/>
        <w:bottom w:val="none" w:sz="0" w:space="0" w:color="auto"/>
        <w:right w:val="none" w:sz="0" w:space="0" w:color="auto"/>
      </w:divBdr>
      <w:divsChild>
        <w:div w:id="595016556">
          <w:marLeft w:val="0"/>
          <w:marRight w:val="0"/>
          <w:marTop w:val="0"/>
          <w:marBottom w:val="0"/>
          <w:divBdr>
            <w:top w:val="none" w:sz="0" w:space="0" w:color="auto"/>
            <w:left w:val="none" w:sz="0" w:space="0" w:color="auto"/>
            <w:bottom w:val="none" w:sz="0" w:space="0" w:color="auto"/>
            <w:right w:val="none" w:sz="0" w:space="0" w:color="auto"/>
          </w:divBdr>
        </w:div>
        <w:div w:id="1046100808">
          <w:marLeft w:val="0"/>
          <w:marRight w:val="0"/>
          <w:marTop w:val="0"/>
          <w:marBottom w:val="0"/>
          <w:divBdr>
            <w:top w:val="none" w:sz="0" w:space="0" w:color="auto"/>
            <w:left w:val="none" w:sz="0" w:space="0" w:color="auto"/>
            <w:bottom w:val="none" w:sz="0" w:space="0" w:color="auto"/>
            <w:right w:val="none" w:sz="0" w:space="0" w:color="auto"/>
          </w:divBdr>
        </w:div>
        <w:div w:id="1083146189">
          <w:marLeft w:val="0"/>
          <w:marRight w:val="0"/>
          <w:marTop w:val="0"/>
          <w:marBottom w:val="0"/>
          <w:divBdr>
            <w:top w:val="none" w:sz="0" w:space="0" w:color="auto"/>
            <w:left w:val="none" w:sz="0" w:space="0" w:color="auto"/>
            <w:bottom w:val="none" w:sz="0" w:space="0" w:color="auto"/>
            <w:right w:val="none" w:sz="0" w:space="0" w:color="auto"/>
          </w:divBdr>
        </w:div>
        <w:div w:id="1354188716">
          <w:marLeft w:val="0"/>
          <w:marRight w:val="0"/>
          <w:marTop w:val="0"/>
          <w:marBottom w:val="0"/>
          <w:divBdr>
            <w:top w:val="none" w:sz="0" w:space="0" w:color="auto"/>
            <w:left w:val="none" w:sz="0" w:space="0" w:color="auto"/>
            <w:bottom w:val="none" w:sz="0" w:space="0" w:color="auto"/>
            <w:right w:val="none" w:sz="0" w:space="0" w:color="auto"/>
          </w:divBdr>
        </w:div>
        <w:div w:id="1586105552">
          <w:marLeft w:val="0"/>
          <w:marRight w:val="0"/>
          <w:marTop w:val="0"/>
          <w:marBottom w:val="0"/>
          <w:divBdr>
            <w:top w:val="none" w:sz="0" w:space="0" w:color="auto"/>
            <w:left w:val="none" w:sz="0" w:space="0" w:color="auto"/>
            <w:bottom w:val="none" w:sz="0" w:space="0" w:color="auto"/>
            <w:right w:val="none" w:sz="0" w:space="0" w:color="auto"/>
          </w:divBdr>
        </w:div>
        <w:div w:id="2113431208">
          <w:marLeft w:val="0"/>
          <w:marRight w:val="0"/>
          <w:marTop w:val="0"/>
          <w:marBottom w:val="0"/>
          <w:divBdr>
            <w:top w:val="none" w:sz="0" w:space="0" w:color="auto"/>
            <w:left w:val="none" w:sz="0" w:space="0" w:color="auto"/>
            <w:bottom w:val="none" w:sz="0" w:space="0" w:color="auto"/>
            <w:right w:val="none" w:sz="0" w:space="0" w:color="auto"/>
          </w:divBdr>
        </w:div>
      </w:divsChild>
    </w:div>
    <w:div w:id="1423339565">
      <w:bodyDiv w:val="1"/>
      <w:marLeft w:val="0"/>
      <w:marRight w:val="0"/>
      <w:marTop w:val="0"/>
      <w:marBottom w:val="0"/>
      <w:divBdr>
        <w:top w:val="none" w:sz="0" w:space="0" w:color="auto"/>
        <w:left w:val="none" w:sz="0" w:space="0" w:color="auto"/>
        <w:bottom w:val="none" w:sz="0" w:space="0" w:color="auto"/>
        <w:right w:val="none" w:sz="0" w:space="0" w:color="auto"/>
      </w:divBdr>
    </w:div>
    <w:div w:id="1661155059">
      <w:bodyDiv w:val="1"/>
      <w:marLeft w:val="0"/>
      <w:marRight w:val="0"/>
      <w:marTop w:val="0"/>
      <w:marBottom w:val="0"/>
      <w:divBdr>
        <w:top w:val="none" w:sz="0" w:space="0" w:color="auto"/>
        <w:left w:val="none" w:sz="0" w:space="0" w:color="auto"/>
        <w:bottom w:val="none" w:sz="0" w:space="0" w:color="auto"/>
        <w:right w:val="none" w:sz="0" w:space="0" w:color="auto"/>
      </w:divBdr>
      <w:divsChild>
        <w:div w:id="114569209">
          <w:marLeft w:val="0"/>
          <w:marRight w:val="0"/>
          <w:marTop w:val="0"/>
          <w:marBottom w:val="0"/>
          <w:divBdr>
            <w:top w:val="none" w:sz="0" w:space="0" w:color="auto"/>
            <w:left w:val="none" w:sz="0" w:space="0" w:color="auto"/>
            <w:bottom w:val="none" w:sz="0" w:space="0" w:color="auto"/>
            <w:right w:val="none" w:sz="0" w:space="0" w:color="auto"/>
          </w:divBdr>
        </w:div>
        <w:div w:id="573393878">
          <w:marLeft w:val="0"/>
          <w:marRight w:val="0"/>
          <w:marTop w:val="0"/>
          <w:marBottom w:val="0"/>
          <w:divBdr>
            <w:top w:val="none" w:sz="0" w:space="0" w:color="auto"/>
            <w:left w:val="none" w:sz="0" w:space="0" w:color="auto"/>
            <w:bottom w:val="none" w:sz="0" w:space="0" w:color="auto"/>
            <w:right w:val="none" w:sz="0" w:space="0" w:color="auto"/>
          </w:divBdr>
        </w:div>
        <w:div w:id="1806005527">
          <w:marLeft w:val="0"/>
          <w:marRight w:val="0"/>
          <w:marTop w:val="0"/>
          <w:marBottom w:val="0"/>
          <w:divBdr>
            <w:top w:val="none" w:sz="0" w:space="0" w:color="auto"/>
            <w:left w:val="none" w:sz="0" w:space="0" w:color="auto"/>
            <w:bottom w:val="none" w:sz="0" w:space="0" w:color="auto"/>
            <w:right w:val="none" w:sz="0" w:space="0" w:color="auto"/>
          </w:divBdr>
        </w:div>
      </w:divsChild>
    </w:div>
    <w:div w:id="1923176744">
      <w:bodyDiv w:val="1"/>
      <w:marLeft w:val="0"/>
      <w:marRight w:val="0"/>
      <w:marTop w:val="0"/>
      <w:marBottom w:val="0"/>
      <w:divBdr>
        <w:top w:val="none" w:sz="0" w:space="0" w:color="auto"/>
        <w:left w:val="none" w:sz="0" w:space="0" w:color="auto"/>
        <w:bottom w:val="none" w:sz="0" w:space="0" w:color="auto"/>
        <w:right w:val="none" w:sz="0" w:space="0" w:color="auto"/>
      </w:divBdr>
    </w:div>
    <w:div w:id="1979872024">
      <w:bodyDiv w:val="1"/>
      <w:marLeft w:val="0"/>
      <w:marRight w:val="0"/>
      <w:marTop w:val="0"/>
      <w:marBottom w:val="0"/>
      <w:divBdr>
        <w:top w:val="none" w:sz="0" w:space="0" w:color="auto"/>
        <w:left w:val="none" w:sz="0" w:space="0" w:color="auto"/>
        <w:bottom w:val="none" w:sz="0" w:space="0" w:color="auto"/>
        <w:right w:val="none" w:sz="0" w:space="0" w:color="auto"/>
      </w:divBdr>
      <w:divsChild>
        <w:div w:id="321737906">
          <w:marLeft w:val="0"/>
          <w:marRight w:val="0"/>
          <w:marTop w:val="0"/>
          <w:marBottom w:val="0"/>
          <w:divBdr>
            <w:top w:val="none" w:sz="0" w:space="0" w:color="auto"/>
            <w:left w:val="none" w:sz="0" w:space="0" w:color="auto"/>
            <w:bottom w:val="none" w:sz="0" w:space="0" w:color="auto"/>
            <w:right w:val="none" w:sz="0" w:space="0" w:color="auto"/>
          </w:divBdr>
          <w:divsChild>
            <w:div w:id="807670946">
              <w:marLeft w:val="0"/>
              <w:marRight w:val="0"/>
              <w:marTop w:val="0"/>
              <w:marBottom w:val="0"/>
              <w:divBdr>
                <w:top w:val="none" w:sz="0" w:space="0" w:color="auto"/>
                <w:left w:val="none" w:sz="0" w:space="0" w:color="auto"/>
                <w:bottom w:val="none" w:sz="0" w:space="0" w:color="auto"/>
                <w:right w:val="none" w:sz="0" w:space="0" w:color="auto"/>
              </w:divBdr>
              <w:divsChild>
                <w:div w:id="494076913">
                  <w:marLeft w:val="0"/>
                  <w:marRight w:val="0"/>
                  <w:marTop w:val="0"/>
                  <w:marBottom w:val="0"/>
                  <w:divBdr>
                    <w:top w:val="none" w:sz="0" w:space="0" w:color="auto"/>
                    <w:left w:val="none" w:sz="0" w:space="0" w:color="auto"/>
                    <w:bottom w:val="none" w:sz="0" w:space="0" w:color="auto"/>
                    <w:right w:val="none" w:sz="0" w:space="0" w:color="auto"/>
                  </w:divBdr>
                  <w:divsChild>
                    <w:div w:id="1520005515">
                      <w:marLeft w:val="0"/>
                      <w:marRight w:val="0"/>
                      <w:marTop w:val="0"/>
                      <w:marBottom w:val="0"/>
                      <w:divBdr>
                        <w:top w:val="none" w:sz="0" w:space="0" w:color="auto"/>
                        <w:left w:val="none" w:sz="0" w:space="0" w:color="auto"/>
                        <w:bottom w:val="none" w:sz="0" w:space="0" w:color="auto"/>
                        <w:right w:val="none" w:sz="0" w:space="0" w:color="auto"/>
                      </w:divBdr>
                      <w:divsChild>
                        <w:div w:id="1799301565">
                          <w:marLeft w:val="0"/>
                          <w:marRight w:val="0"/>
                          <w:marTop w:val="0"/>
                          <w:marBottom w:val="0"/>
                          <w:divBdr>
                            <w:top w:val="none" w:sz="0" w:space="0" w:color="auto"/>
                            <w:left w:val="none" w:sz="0" w:space="0" w:color="auto"/>
                            <w:bottom w:val="none" w:sz="0" w:space="0" w:color="auto"/>
                            <w:right w:val="none" w:sz="0" w:space="0" w:color="auto"/>
                          </w:divBdr>
                          <w:divsChild>
                            <w:div w:id="461273483">
                              <w:marLeft w:val="0"/>
                              <w:marRight w:val="0"/>
                              <w:marTop w:val="0"/>
                              <w:marBottom w:val="0"/>
                              <w:divBdr>
                                <w:top w:val="none" w:sz="0" w:space="0" w:color="auto"/>
                                <w:left w:val="none" w:sz="0" w:space="0" w:color="auto"/>
                                <w:bottom w:val="none" w:sz="0" w:space="0" w:color="auto"/>
                                <w:right w:val="none" w:sz="0" w:space="0" w:color="auto"/>
                              </w:divBdr>
                              <w:divsChild>
                                <w:div w:id="1747141364">
                                  <w:marLeft w:val="0"/>
                                  <w:marRight w:val="0"/>
                                  <w:marTop w:val="0"/>
                                  <w:marBottom w:val="0"/>
                                  <w:divBdr>
                                    <w:top w:val="none" w:sz="0" w:space="0" w:color="auto"/>
                                    <w:left w:val="none" w:sz="0" w:space="0" w:color="auto"/>
                                    <w:bottom w:val="none" w:sz="0" w:space="0" w:color="auto"/>
                                    <w:right w:val="none" w:sz="0" w:space="0" w:color="auto"/>
                                  </w:divBdr>
                                  <w:divsChild>
                                    <w:div w:id="2127652243">
                                      <w:marLeft w:val="0"/>
                                      <w:marRight w:val="0"/>
                                      <w:marTop w:val="0"/>
                                      <w:marBottom w:val="0"/>
                                      <w:divBdr>
                                        <w:top w:val="none" w:sz="0" w:space="0" w:color="auto"/>
                                        <w:left w:val="none" w:sz="0" w:space="0" w:color="auto"/>
                                        <w:bottom w:val="none" w:sz="0" w:space="0" w:color="auto"/>
                                        <w:right w:val="none" w:sz="0" w:space="0" w:color="auto"/>
                                      </w:divBdr>
                                      <w:divsChild>
                                        <w:div w:id="1024206710">
                                          <w:marLeft w:val="0"/>
                                          <w:marRight w:val="0"/>
                                          <w:marTop w:val="0"/>
                                          <w:marBottom w:val="0"/>
                                          <w:divBdr>
                                            <w:top w:val="none" w:sz="0" w:space="0" w:color="auto"/>
                                            <w:left w:val="none" w:sz="0" w:space="0" w:color="auto"/>
                                            <w:bottom w:val="none" w:sz="0" w:space="0" w:color="auto"/>
                                            <w:right w:val="none" w:sz="0" w:space="0" w:color="auto"/>
                                          </w:divBdr>
                                          <w:divsChild>
                                            <w:div w:id="134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0526">
                                  <w:marLeft w:val="0"/>
                                  <w:marRight w:val="0"/>
                                  <w:marTop w:val="0"/>
                                  <w:marBottom w:val="0"/>
                                  <w:divBdr>
                                    <w:top w:val="none" w:sz="0" w:space="0" w:color="auto"/>
                                    <w:left w:val="none" w:sz="0" w:space="0" w:color="auto"/>
                                    <w:bottom w:val="none" w:sz="0" w:space="0" w:color="auto"/>
                                    <w:right w:val="none" w:sz="0" w:space="0" w:color="auto"/>
                                  </w:divBdr>
                                  <w:divsChild>
                                    <w:div w:id="9377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71391">
          <w:marLeft w:val="0"/>
          <w:marRight w:val="0"/>
          <w:marTop w:val="0"/>
          <w:marBottom w:val="0"/>
          <w:divBdr>
            <w:top w:val="none" w:sz="0" w:space="0" w:color="auto"/>
            <w:left w:val="none" w:sz="0" w:space="0" w:color="auto"/>
            <w:bottom w:val="none" w:sz="0" w:space="0" w:color="auto"/>
            <w:right w:val="none" w:sz="0" w:space="0" w:color="auto"/>
          </w:divBdr>
          <w:divsChild>
            <w:div w:id="52123775">
              <w:marLeft w:val="0"/>
              <w:marRight w:val="0"/>
              <w:marTop w:val="0"/>
              <w:marBottom w:val="0"/>
              <w:divBdr>
                <w:top w:val="none" w:sz="0" w:space="0" w:color="auto"/>
                <w:left w:val="none" w:sz="0" w:space="0" w:color="auto"/>
                <w:bottom w:val="none" w:sz="0" w:space="0" w:color="auto"/>
                <w:right w:val="none" w:sz="0" w:space="0" w:color="auto"/>
              </w:divBdr>
              <w:divsChild>
                <w:div w:id="1857381753">
                  <w:marLeft w:val="0"/>
                  <w:marRight w:val="0"/>
                  <w:marTop w:val="0"/>
                  <w:marBottom w:val="0"/>
                  <w:divBdr>
                    <w:top w:val="none" w:sz="0" w:space="0" w:color="auto"/>
                    <w:left w:val="none" w:sz="0" w:space="0" w:color="auto"/>
                    <w:bottom w:val="none" w:sz="0" w:space="0" w:color="auto"/>
                    <w:right w:val="none" w:sz="0" w:space="0" w:color="auto"/>
                  </w:divBdr>
                  <w:divsChild>
                    <w:div w:id="1483279227">
                      <w:marLeft w:val="0"/>
                      <w:marRight w:val="0"/>
                      <w:marTop w:val="0"/>
                      <w:marBottom w:val="0"/>
                      <w:divBdr>
                        <w:top w:val="none" w:sz="0" w:space="0" w:color="auto"/>
                        <w:left w:val="none" w:sz="0" w:space="0" w:color="auto"/>
                        <w:bottom w:val="none" w:sz="0" w:space="0" w:color="auto"/>
                        <w:right w:val="none" w:sz="0" w:space="0" w:color="auto"/>
                      </w:divBdr>
                      <w:divsChild>
                        <w:div w:id="723606713">
                          <w:marLeft w:val="0"/>
                          <w:marRight w:val="0"/>
                          <w:marTop w:val="0"/>
                          <w:marBottom w:val="0"/>
                          <w:divBdr>
                            <w:top w:val="none" w:sz="0" w:space="0" w:color="auto"/>
                            <w:left w:val="none" w:sz="0" w:space="0" w:color="auto"/>
                            <w:bottom w:val="none" w:sz="0" w:space="0" w:color="auto"/>
                            <w:right w:val="none" w:sz="0" w:space="0" w:color="auto"/>
                          </w:divBdr>
                          <w:divsChild>
                            <w:div w:id="911550955">
                              <w:marLeft w:val="0"/>
                              <w:marRight w:val="0"/>
                              <w:marTop w:val="0"/>
                              <w:marBottom w:val="0"/>
                              <w:divBdr>
                                <w:top w:val="none" w:sz="0" w:space="0" w:color="auto"/>
                                <w:left w:val="none" w:sz="0" w:space="0" w:color="auto"/>
                                <w:bottom w:val="none" w:sz="0" w:space="0" w:color="auto"/>
                                <w:right w:val="none" w:sz="0" w:space="0" w:color="auto"/>
                              </w:divBdr>
                              <w:divsChild>
                                <w:div w:id="1819875801">
                                  <w:marLeft w:val="0"/>
                                  <w:marRight w:val="0"/>
                                  <w:marTop w:val="0"/>
                                  <w:marBottom w:val="0"/>
                                  <w:divBdr>
                                    <w:top w:val="none" w:sz="0" w:space="0" w:color="auto"/>
                                    <w:left w:val="none" w:sz="0" w:space="0" w:color="auto"/>
                                    <w:bottom w:val="none" w:sz="0" w:space="0" w:color="auto"/>
                                    <w:right w:val="none" w:sz="0" w:space="0" w:color="auto"/>
                                  </w:divBdr>
                                  <w:divsChild>
                                    <w:div w:id="835270839">
                                      <w:marLeft w:val="0"/>
                                      <w:marRight w:val="0"/>
                                      <w:marTop w:val="0"/>
                                      <w:marBottom w:val="0"/>
                                      <w:divBdr>
                                        <w:top w:val="none" w:sz="0" w:space="0" w:color="auto"/>
                                        <w:left w:val="none" w:sz="0" w:space="0" w:color="auto"/>
                                        <w:bottom w:val="none" w:sz="0" w:space="0" w:color="auto"/>
                                        <w:right w:val="none" w:sz="0" w:space="0" w:color="auto"/>
                                      </w:divBdr>
                                      <w:divsChild>
                                        <w:div w:id="744761014">
                                          <w:marLeft w:val="0"/>
                                          <w:marRight w:val="0"/>
                                          <w:marTop w:val="0"/>
                                          <w:marBottom w:val="0"/>
                                          <w:divBdr>
                                            <w:top w:val="none" w:sz="0" w:space="0" w:color="auto"/>
                                            <w:left w:val="none" w:sz="0" w:space="0" w:color="auto"/>
                                            <w:bottom w:val="none" w:sz="0" w:space="0" w:color="auto"/>
                                            <w:right w:val="none" w:sz="0" w:space="0" w:color="auto"/>
                                          </w:divBdr>
                                          <w:divsChild>
                                            <w:div w:id="1428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117159">
      <w:bodyDiv w:val="1"/>
      <w:marLeft w:val="0"/>
      <w:marRight w:val="0"/>
      <w:marTop w:val="0"/>
      <w:marBottom w:val="0"/>
      <w:divBdr>
        <w:top w:val="none" w:sz="0" w:space="0" w:color="auto"/>
        <w:left w:val="none" w:sz="0" w:space="0" w:color="auto"/>
        <w:bottom w:val="none" w:sz="0" w:space="0" w:color="auto"/>
        <w:right w:val="none" w:sz="0" w:space="0" w:color="auto"/>
      </w:divBdr>
    </w:div>
    <w:div w:id="210228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4C1D-D584-4D24-9B1D-CEC83F04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11</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aleesha prakash</dc:creator>
  <cp:keywords/>
  <dc:description/>
  <cp:lastModifiedBy>SDI 1183</cp:lastModifiedBy>
  <cp:revision>60</cp:revision>
  <dcterms:created xsi:type="dcterms:W3CDTF">2025-07-18T16:36:00Z</dcterms:created>
  <dcterms:modified xsi:type="dcterms:W3CDTF">2025-09-19T10:30:00Z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9d0184c635e24555857ced069656b9e1</vt:lpwstr>
  </property>
  <property fmtid="{D5CDD505-2E9C-101B-9397-08002B2CF9AE}" pid="3" name="GrammarlyDocumentId">
    <vt:lpwstr>b8db7391-48b8-449b-aea7-04f711445e2b</vt:lpwstr>
  </property>
</Properties>
</file>