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4AC6F" w14:textId="1FF303B0" w:rsidR="00082308" w:rsidRPr="0084163B" w:rsidRDefault="00082308" w:rsidP="0084163B">
      <w:pPr>
        <w:rPr>
          <w:rFonts w:ascii="Times New Roman" w:hAnsi="Times New Roman"/>
          <w:b/>
          <w:bCs/>
          <w:sz w:val="40"/>
          <w:szCs w:val="32"/>
        </w:rPr>
      </w:pPr>
      <w:r w:rsidRPr="0084163B">
        <w:rPr>
          <w:rFonts w:ascii="Times New Roman" w:hAnsi="Times New Roman"/>
          <w:b/>
          <w:bCs/>
          <w:sz w:val="40"/>
          <w:szCs w:val="32"/>
        </w:rPr>
        <w:t xml:space="preserve">Geospatial Insights into Hazard Vulnerabilities: Exploring the Interplay of Hazards and Societal Vulnerability in </w:t>
      </w:r>
      <w:proofErr w:type="spellStart"/>
      <w:r w:rsidRPr="0084163B">
        <w:rPr>
          <w:rFonts w:ascii="Times New Roman" w:hAnsi="Times New Roman"/>
          <w:b/>
          <w:bCs/>
          <w:sz w:val="40"/>
          <w:szCs w:val="32"/>
        </w:rPr>
        <w:t>Damaturu</w:t>
      </w:r>
      <w:proofErr w:type="spellEnd"/>
      <w:r w:rsidRPr="0084163B">
        <w:rPr>
          <w:rFonts w:ascii="Times New Roman" w:hAnsi="Times New Roman"/>
          <w:b/>
          <w:bCs/>
          <w:sz w:val="40"/>
          <w:szCs w:val="32"/>
        </w:rPr>
        <w:t xml:space="preserve"> Town, </w:t>
      </w:r>
      <w:proofErr w:type="spellStart"/>
      <w:r w:rsidRPr="0084163B">
        <w:rPr>
          <w:rFonts w:ascii="Times New Roman" w:hAnsi="Times New Roman"/>
          <w:b/>
          <w:bCs/>
          <w:sz w:val="40"/>
          <w:szCs w:val="32"/>
        </w:rPr>
        <w:t>Yobe</w:t>
      </w:r>
      <w:proofErr w:type="spellEnd"/>
      <w:r w:rsidRPr="0084163B">
        <w:rPr>
          <w:rFonts w:ascii="Times New Roman" w:hAnsi="Times New Roman"/>
          <w:b/>
          <w:bCs/>
          <w:sz w:val="40"/>
          <w:szCs w:val="32"/>
        </w:rPr>
        <w:t xml:space="preserve"> State, Nigeria</w:t>
      </w:r>
    </w:p>
    <w:p w14:paraId="48E137C0" w14:textId="03249F2A" w:rsidR="0084163B" w:rsidRDefault="0084163B" w:rsidP="0084163B">
      <w:pPr>
        <w:rPr>
          <w:rFonts w:ascii="Times New Roman" w:hAnsi="Times New Roman"/>
          <w:b/>
          <w:bCs/>
          <w:sz w:val="32"/>
          <w:szCs w:val="32"/>
        </w:rPr>
      </w:pPr>
    </w:p>
    <w:p w14:paraId="2EFABCA4" w14:textId="77777777" w:rsidR="0084163B" w:rsidRDefault="0084163B" w:rsidP="0084163B">
      <w:pPr>
        <w:rPr>
          <w:rFonts w:ascii="Times New Roman" w:hAnsi="Times New Roman"/>
          <w:b/>
          <w:bCs/>
          <w:sz w:val="32"/>
          <w:szCs w:val="32"/>
        </w:rPr>
      </w:pPr>
    </w:p>
    <w:p w14:paraId="2FF5C5DA" w14:textId="77777777" w:rsidR="00082308" w:rsidRPr="00DA3B7E" w:rsidRDefault="00082308" w:rsidP="00082308">
      <w:pPr>
        <w:jc w:val="center"/>
        <w:rPr>
          <w:rFonts w:ascii="Times New Roman" w:hAnsi="Times New Roman"/>
          <w:b/>
          <w:sz w:val="24"/>
          <w:szCs w:val="24"/>
        </w:rPr>
      </w:pPr>
      <w:r w:rsidRPr="00DA3B7E">
        <w:rPr>
          <w:rFonts w:ascii="Times New Roman" w:hAnsi="Times New Roman"/>
          <w:b/>
          <w:sz w:val="24"/>
          <w:szCs w:val="24"/>
        </w:rPr>
        <w:t>Abstract</w:t>
      </w:r>
    </w:p>
    <w:p w14:paraId="02B406AE" w14:textId="77777777" w:rsidR="007D7882" w:rsidRPr="0023485E" w:rsidRDefault="007D7882" w:rsidP="007D7882">
      <w:pPr>
        <w:spacing w:line="240" w:lineRule="auto"/>
        <w:jc w:val="both"/>
        <w:rPr>
          <w:rFonts w:ascii="Times New Roman" w:hAnsi="Times New Roman"/>
          <w:sz w:val="24"/>
          <w:szCs w:val="24"/>
        </w:rPr>
      </w:pPr>
      <w:r w:rsidRPr="00132BB5">
        <w:rPr>
          <w:rFonts w:ascii="Times New Roman" w:hAnsi="Times New Roman"/>
          <w:sz w:val="24"/>
          <w:szCs w:val="24"/>
        </w:rPr>
        <w:t xml:space="preserve">This study investigates the impacts of multiple hazards on household vulnerability and resilience in </w:t>
      </w:r>
      <w:proofErr w:type="spellStart"/>
      <w:r w:rsidRPr="00132BB5">
        <w:rPr>
          <w:rFonts w:ascii="Times New Roman" w:hAnsi="Times New Roman"/>
          <w:sz w:val="24"/>
          <w:szCs w:val="24"/>
        </w:rPr>
        <w:t>Damaturu</w:t>
      </w:r>
      <w:proofErr w:type="spellEnd"/>
      <w:r w:rsidRPr="00132BB5">
        <w:rPr>
          <w:rFonts w:ascii="Times New Roman" w:hAnsi="Times New Roman"/>
          <w:sz w:val="24"/>
          <w:szCs w:val="24"/>
        </w:rPr>
        <w:t xml:space="preserve">, </w:t>
      </w:r>
      <w:proofErr w:type="spellStart"/>
      <w:r w:rsidRPr="00132BB5">
        <w:rPr>
          <w:rFonts w:ascii="Times New Roman" w:hAnsi="Times New Roman"/>
          <w:sz w:val="24"/>
          <w:szCs w:val="24"/>
        </w:rPr>
        <w:t>Yobe</w:t>
      </w:r>
      <w:proofErr w:type="spellEnd"/>
      <w:r w:rsidRPr="00132BB5">
        <w:rPr>
          <w:rFonts w:ascii="Times New Roman" w:hAnsi="Times New Roman"/>
          <w:sz w:val="24"/>
          <w:szCs w:val="24"/>
        </w:rPr>
        <w:t xml:space="preserve"> State, Nigeria. Using a mixed-methods approach that combined household surveys (n=1,084), focus group discussions, spatial mapping, and Bayesian statistical modeling, the research provides a multidimensional analysis of disaster risk. Findings reveal that flooding and Boko Haram insurgency are the most destructive hazards, with over 90% of affected households reporting displacement and property loss, while epidemics such as cholera caused the highest health impacts. Socioeconomic disparities, particularly low income and education, significantly increased disaster impacts, as confirmed by regression and ANOVA analyses. Spatial and seasonal patterns indicated that hazard risks are clustered in vulnerable wards such as </w:t>
      </w:r>
      <w:proofErr w:type="spellStart"/>
      <w:r w:rsidRPr="00132BB5">
        <w:rPr>
          <w:rFonts w:ascii="Times New Roman" w:hAnsi="Times New Roman"/>
          <w:sz w:val="24"/>
          <w:szCs w:val="24"/>
        </w:rPr>
        <w:t>Nayinawa</w:t>
      </w:r>
      <w:proofErr w:type="spellEnd"/>
      <w:r w:rsidRPr="00132BB5">
        <w:rPr>
          <w:rFonts w:ascii="Times New Roman" w:hAnsi="Times New Roman"/>
          <w:sz w:val="24"/>
          <w:szCs w:val="24"/>
        </w:rPr>
        <w:t xml:space="preserve"> and Sabon </w:t>
      </w:r>
      <w:proofErr w:type="spellStart"/>
      <w:r w:rsidRPr="00132BB5">
        <w:rPr>
          <w:rFonts w:ascii="Times New Roman" w:hAnsi="Times New Roman"/>
          <w:sz w:val="24"/>
          <w:szCs w:val="24"/>
        </w:rPr>
        <w:t>Pegi</w:t>
      </w:r>
      <w:proofErr w:type="spellEnd"/>
      <w:r w:rsidRPr="00132BB5">
        <w:rPr>
          <w:rFonts w:ascii="Times New Roman" w:hAnsi="Times New Roman"/>
          <w:sz w:val="24"/>
          <w:szCs w:val="24"/>
        </w:rPr>
        <w:t xml:space="preserve">, with floods concentrated in the rainy season and droughts and fires in the dry Harmattan period. Bayesian and spatial models further highlighted the predictive roles of hazard frequency and severity and identified localized hotspots within a 2.1 km radius. Overall, the study demonstrates that vulnerability in </w:t>
      </w:r>
      <w:proofErr w:type="spellStart"/>
      <w:r w:rsidRPr="00132BB5">
        <w:rPr>
          <w:rFonts w:ascii="Times New Roman" w:hAnsi="Times New Roman"/>
          <w:sz w:val="24"/>
          <w:szCs w:val="24"/>
        </w:rPr>
        <w:t>Damaturu</w:t>
      </w:r>
      <w:proofErr w:type="spellEnd"/>
      <w:r w:rsidRPr="00132BB5">
        <w:rPr>
          <w:rFonts w:ascii="Times New Roman" w:hAnsi="Times New Roman"/>
          <w:sz w:val="24"/>
          <w:szCs w:val="24"/>
        </w:rPr>
        <w:t xml:space="preserve"> is shaped by the intersection of environmental stressors, poverty, and weak institutional capacity. It concludes that disaster risk reduction requires integrated, location-specific strategies that combine socio-economic development, infrastructure investment, and community-based early warning systems.</w:t>
      </w:r>
      <w:r>
        <w:rPr>
          <w:rFonts w:ascii="Times New Roman" w:hAnsi="Times New Roman"/>
          <w:sz w:val="24"/>
          <w:szCs w:val="24"/>
        </w:rPr>
        <w:t xml:space="preserve"> </w:t>
      </w:r>
    </w:p>
    <w:p w14:paraId="4F70E374" w14:textId="77777777" w:rsidR="007D7882" w:rsidRPr="0023485E" w:rsidRDefault="007D7882" w:rsidP="007D7882">
      <w:pPr>
        <w:spacing w:line="240" w:lineRule="auto"/>
        <w:jc w:val="both"/>
        <w:rPr>
          <w:rFonts w:ascii="Times New Roman" w:hAnsi="Times New Roman"/>
          <w:sz w:val="24"/>
          <w:szCs w:val="24"/>
        </w:rPr>
      </w:pPr>
      <w:r w:rsidRPr="00EA60BB">
        <w:rPr>
          <w:rFonts w:ascii="Times New Roman" w:hAnsi="Times New Roman"/>
          <w:b/>
          <w:sz w:val="24"/>
          <w:szCs w:val="24"/>
        </w:rPr>
        <w:t>Keywords:</w:t>
      </w:r>
      <w:r>
        <w:rPr>
          <w:rFonts w:ascii="Times New Roman" w:hAnsi="Times New Roman"/>
          <w:sz w:val="24"/>
          <w:szCs w:val="24"/>
        </w:rPr>
        <w:t xml:space="preserve"> </w:t>
      </w:r>
      <w:r w:rsidRPr="00132BB5">
        <w:rPr>
          <w:rFonts w:ascii="Times New Roman" w:hAnsi="Times New Roman"/>
          <w:sz w:val="24"/>
          <w:szCs w:val="24"/>
        </w:rPr>
        <w:t>Hazard Impacts</w:t>
      </w:r>
      <w:r>
        <w:rPr>
          <w:rFonts w:ascii="Times New Roman" w:hAnsi="Times New Roman"/>
          <w:sz w:val="24"/>
          <w:szCs w:val="24"/>
        </w:rPr>
        <w:t>,</w:t>
      </w:r>
      <w:r w:rsidRPr="00132BB5">
        <w:rPr>
          <w:rFonts w:ascii="Times New Roman" w:hAnsi="Times New Roman"/>
          <w:sz w:val="24"/>
          <w:szCs w:val="24"/>
        </w:rPr>
        <w:t xml:space="preserve"> Vulnerability</w:t>
      </w:r>
      <w:r>
        <w:rPr>
          <w:rFonts w:ascii="Times New Roman" w:hAnsi="Times New Roman"/>
          <w:sz w:val="24"/>
          <w:szCs w:val="24"/>
        </w:rPr>
        <w:t>,</w:t>
      </w:r>
      <w:r w:rsidRPr="00132BB5">
        <w:rPr>
          <w:rFonts w:ascii="Times New Roman" w:hAnsi="Times New Roman"/>
          <w:sz w:val="24"/>
          <w:szCs w:val="24"/>
        </w:rPr>
        <w:t xml:space="preserve"> Resilience</w:t>
      </w:r>
      <w:r>
        <w:rPr>
          <w:rFonts w:ascii="Times New Roman" w:hAnsi="Times New Roman"/>
          <w:sz w:val="24"/>
          <w:szCs w:val="24"/>
        </w:rPr>
        <w:t>,</w:t>
      </w:r>
      <w:r w:rsidRPr="00132BB5">
        <w:rPr>
          <w:rFonts w:ascii="Times New Roman" w:hAnsi="Times New Roman"/>
          <w:sz w:val="24"/>
          <w:szCs w:val="24"/>
        </w:rPr>
        <w:t xml:space="preserve"> Bayesian Modeling</w:t>
      </w:r>
      <w:r>
        <w:rPr>
          <w:rFonts w:ascii="Times New Roman" w:hAnsi="Times New Roman"/>
          <w:sz w:val="24"/>
          <w:szCs w:val="24"/>
        </w:rPr>
        <w:t>,</w:t>
      </w:r>
      <w:r w:rsidRPr="00132BB5">
        <w:rPr>
          <w:rFonts w:ascii="Times New Roman" w:hAnsi="Times New Roman"/>
          <w:sz w:val="24"/>
          <w:szCs w:val="24"/>
        </w:rPr>
        <w:t xml:space="preserve"> Disaster Risk Reduction</w:t>
      </w:r>
      <w:r>
        <w:rPr>
          <w:rFonts w:ascii="Times New Roman" w:hAnsi="Times New Roman"/>
          <w:sz w:val="24"/>
          <w:szCs w:val="24"/>
        </w:rPr>
        <w:t xml:space="preserve"> </w:t>
      </w:r>
    </w:p>
    <w:p w14:paraId="38D2B35B" w14:textId="77777777" w:rsidR="00082308" w:rsidRPr="003907F9" w:rsidRDefault="00082308" w:rsidP="00082308">
      <w:pPr>
        <w:pStyle w:val="ListParagraph"/>
        <w:numPr>
          <w:ilvl w:val="0"/>
          <w:numId w:val="1"/>
        </w:numPr>
        <w:spacing w:line="240" w:lineRule="auto"/>
        <w:jc w:val="both"/>
        <w:rPr>
          <w:rFonts w:ascii="Times New Roman" w:hAnsi="Times New Roman"/>
          <w:b/>
          <w:sz w:val="24"/>
          <w:szCs w:val="24"/>
        </w:rPr>
      </w:pPr>
      <w:r w:rsidRPr="003907F9">
        <w:rPr>
          <w:rFonts w:ascii="Times New Roman" w:hAnsi="Times New Roman"/>
          <w:b/>
          <w:sz w:val="24"/>
          <w:szCs w:val="24"/>
        </w:rPr>
        <w:t>Introduction</w:t>
      </w:r>
    </w:p>
    <w:p w14:paraId="06378F37" w14:textId="77777777"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Natural hazards such as floods, droughts, and violent conflict continue to pose profound threats to human security, disrupting livelihoods, damaging infrastructure, and exacerbating poverty</w:t>
      </w:r>
      <w:r>
        <w:rPr>
          <w:rFonts w:ascii="Times New Roman" w:hAnsi="Times New Roman"/>
          <w:sz w:val="24"/>
          <w:szCs w:val="24"/>
        </w:rPr>
        <w:t xml:space="preserve">; </w:t>
      </w:r>
      <w:r w:rsidRPr="0023485E">
        <w:rPr>
          <w:rFonts w:ascii="Times New Roman" w:hAnsi="Times New Roman"/>
          <w:sz w:val="24"/>
          <w:szCs w:val="24"/>
        </w:rPr>
        <w:t xml:space="preserve">particularly in low-income and fragile regions (UNDRR, 2015; 2022).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the capital of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State in northeastern Nigeria, exemplifies such vulnerability. The town faces an intensifying convergence of hydro-meteorological hazards and socio-political stressors, including recurrent droughts, episodic floods, disease outbreaks, and protracted violent conflict associated with the Boko Haram insurgency. These compounding risks have left communities in a persistent cycle of exposure, disruption, and limited recovery.</w:t>
      </w:r>
      <w:r>
        <w:rPr>
          <w:rFonts w:ascii="Times New Roman" w:hAnsi="Times New Roman"/>
          <w:sz w:val="24"/>
          <w:szCs w:val="24"/>
        </w:rPr>
        <w:t xml:space="preserve"> </w:t>
      </w:r>
      <w:r w:rsidRPr="0023485E">
        <w:rPr>
          <w:rFonts w:ascii="Times New Roman" w:hAnsi="Times New Roman"/>
          <w:sz w:val="24"/>
          <w:szCs w:val="24"/>
        </w:rPr>
        <w:t xml:space="preserve">Situated in the semi-arid Sahelian zone, </w:t>
      </w:r>
      <w:proofErr w:type="spellStart"/>
      <w:r w:rsidRPr="0023485E">
        <w:rPr>
          <w:rFonts w:ascii="Times New Roman" w:hAnsi="Times New Roman"/>
          <w:sz w:val="24"/>
          <w:szCs w:val="24"/>
        </w:rPr>
        <w:t>Damaturu’s</w:t>
      </w:r>
      <w:proofErr w:type="spellEnd"/>
      <w:r w:rsidRPr="0023485E">
        <w:rPr>
          <w:rFonts w:ascii="Times New Roman" w:hAnsi="Times New Roman"/>
          <w:sz w:val="24"/>
          <w:szCs w:val="24"/>
        </w:rPr>
        <w:t xml:space="preserve"> climate and hydrology predispose it to water-related hazards. Droughts have repeatedly resulted in crop failures, water shortages, and the depletion of household livelihoods (</w:t>
      </w:r>
      <w:proofErr w:type="spellStart"/>
      <w:r w:rsidR="00D11570" w:rsidRPr="00D11570">
        <w:rPr>
          <w:rFonts w:ascii="Times New Roman" w:hAnsi="Times New Roman"/>
          <w:sz w:val="24"/>
          <w:szCs w:val="24"/>
        </w:rPr>
        <w:t>Gana</w:t>
      </w:r>
      <w:proofErr w:type="spellEnd"/>
      <w:r w:rsidR="00D11570" w:rsidRPr="00D11570">
        <w:rPr>
          <w:rFonts w:ascii="Times New Roman" w:hAnsi="Times New Roman"/>
          <w:sz w:val="24"/>
          <w:szCs w:val="24"/>
        </w:rPr>
        <w:t xml:space="preserve"> &amp; </w:t>
      </w:r>
      <w:proofErr w:type="spellStart"/>
      <w:r w:rsidR="00D11570" w:rsidRPr="00D11570">
        <w:rPr>
          <w:rFonts w:ascii="Times New Roman" w:hAnsi="Times New Roman"/>
          <w:sz w:val="24"/>
          <w:szCs w:val="24"/>
        </w:rPr>
        <w:t>Kabiru</w:t>
      </w:r>
      <w:proofErr w:type="spellEnd"/>
      <w:r w:rsidR="00D11570" w:rsidRPr="00D11570">
        <w:rPr>
          <w:rFonts w:ascii="Times New Roman" w:hAnsi="Times New Roman"/>
          <w:sz w:val="24"/>
          <w:szCs w:val="24"/>
        </w:rPr>
        <w:t>, 2020</w:t>
      </w:r>
      <w:r w:rsidR="00774766">
        <w:rPr>
          <w:rFonts w:ascii="Times New Roman" w:hAnsi="Times New Roman"/>
          <w:sz w:val="24"/>
          <w:szCs w:val="24"/>
        </w:rPr>
        <w:t>; Zhang et al., 2025</w:t>
      </w:r>
      <w:r w:rsidRPr="0023485E">
        <w:rPr>
          <w:rFonts w:ascii="Times New Roman" w:hAnsi="Times New Roman"/>
          <w:sz w:val="24"/>
          <w:szCs w:val="24"/>
        </w:rPr>
        <w:t xml:space="preserve">). At the same time, the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River and its tributaries contribute to seasonal flooding, especially during intense rainfall </w:t>
      </w:r>
      <w:r w:rsidRPr="0023485E">
        <w:rPr>
          <w:rFonts w:ascii="Times New Roman" w:hAnsi="Times New Roman"/>
          <w:sz w:val="24"/>
          <w:szCs w:val="24"/>
        </w:rPr>
        <w:lastRenderedPageBreak/>
        <w:t>periods, damaging homes, infrastructure, and agricultural land (</w:t>
      </w:r>
      <w:r w:rsidR="005C3C83">
        <w:rPr>
          <w:rFonts w:ascii="Times New Roman" w:hAnsi="Times New Roman"/>
          <w:sz w:val="24"/>
          <w:szCs w:val="24"/>
        </w:rPr>
        <w:t>Belay et al., 2025</w:t>
      </w:r>
      <w:r w:rsidRPr="0023485E">
        <w:rPr>
          <w:rFonts w:ascii="Times New Roman" w:hAnsi="Times New Roman"/>
          <w:sz w:val="24"/>
          <w:szCs w:val="24"/>
        </w:rPr>
        <w:t>). The Boko Haram insurgency has added layers of complexity, leading to mass displacement, the destruction of public services, and weakened community resilience (</w:t>
      </w:r>
      <w:proofErr w:type="spellStart"/>
      <w:r w:rsidR="00D51295" w:rsidRPr="000B3A1D">
        <w:rPr>
          <w:rFonts w:ascii="Times New Roman" w:hAnsi="Times New Roman"/>
          <w:sz w:val="24"/>
          <w:szCs w:val="24"/>
        </w:rPr>
        <w:t>Adeoti</w:t>
      </w:r>
      <w:proofErr w:type="spellEnd"/>
      <w:r w:rsidR="00D51295" w:rsidRPr="000B3A1D">
        <w:rPr>
          <w:rFonts w:ascii="Times New Roman" w:hAnsi="Times New Roman"/>
          <w:sz w:val="24"/>
          <w:szCs w:val="24"/>
        </w:rPr>
        <w:t xml:space="preserve"> &amp; Adeola</w:t>
      </w:r>
      <w:r w:rsidR="00D51295">
        <w:rPr>
          <w:rFonts w:ascii="Times New Roman" w:hAnsi="Times New Roman"/>
          <w:sz w:val="24"/>
          <w:szCs w:val="24"/>
        </w:rPr>
        <w:t>, 2015</w:t>
      </w:r>
      <w:r w:rsidRPr="0023485E">
        <w:rPr>
          <w:rFonts w:ascii="Times New Roman" w:hAnsi="Times New Roman"/>
          <w:sz w:val="24"/>
          <w:szCs w:val="24"/>
        </w:rPr>
        <w:t>). Together, these hazards form an intricate and evolving risk landscape.</w:t>
      </w:r>
    </w:p>
    <w:p w14:paraId="1C7DECB3" w14:textId="77777777"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 xml:space="preserve">What makes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particularly vulnerable is not just the presence of these hazards but the underlying societal conditions that magnify their impact. High poverty rates, inadequate infrastructure (especially drainage and health facilities), limited access to formal education, and high population density restrict both anticipatory and adaptive capacities. Vulnerable households often reside in high-risk zones, lack access to early warning systems, and cannot afford to implement mitigation strategies. As a result, each hazard event has cumulative effects, eroding resilience over time and reinforcing poverty traps.</w:t>
      </w:r>
      <w:r>
        <w:rPr>
          <w:rFonts w:ascii="Times New Roman" w:hAnsi="Times New Roman"/>
          <w:sz w:val="24"/>
          <w:szCs w:val="24"/>
        </w:rPr>
        <w:t xml:space="preserve"> </w:t>
      </w:r>
      <w:r w:rsidRPr="0023485E">
        <w:rPr>
          <w:rFonts w:ascii="Times New Roman" w:hAnsi="Times New Roman"/>
          <w:sz w:val="24"/>
          <w:szCs w:val="24"/>
        </w:rPr>
        <w:t>The relationship between hazards and vulnerability is inherently geographical and systemic. Risk is not evenly distributed but varies by place, population group, and institutional context (Cutter et al., 2003). Therefore, understanding the geography of hazard risk</w:t>
      </w:r>
      <w:r>
        <w:rPr>
          <w:rFonts w:ascii="Times New Roman" w:hAnsi="Times New Roman"/>
          <w:sz w:val="24"/>
          <w:szCs w:val="24"/>
        </w:rPr>
        <w:t xml:space="preserve">; </w:t>
      </w:r>
      <w:r w:rsidRPr="0023485E">
        <w:rPr>
          <w:rFonts w:ascii="Times New Roman" w:hAnsi="Times New Roman"/>
          <w:sz w:val="24"/>
          <w:szCs w:val="24"/>
        </w:rPr>
        <w:t>including where, how often, and to whom hazards occur</w:t>
      </w:r>
      <w:r>
        <w:rPr>
          <w:rFonts w:ascii="Times New Roman" w:hAnsi="Times New Roman"/>
          <w:sz w:val="24"/>
          <w:szCs w:val="24"/>
        </w:rPr>
        <w:t xml:space="preserve">; </w:t>
      </w:r>
      <w:r w:rsidRPr="0023485E">
        <w:rPr>
          <w:rFonts w:ascii="Times New Roman" w:hAnsi="Times New Roman"/>
          <w:sz w:val="24"/>
          <w:szCs w:val="24"/>
        </w:rPr>
        <w:t xml:space="preserve">is critical for designing effective disaster risk reduction (DRR) strategies. This study leverages geospatial analysis to map the spatial distribution of hazard exposures and vulnerabilities across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town, integrating community perspectives and socio-demographic data for targeted intervention design.</w:t>
      </w:r>
    </w:p>
    <w:p w14:paraId="25EE5FF4" w14:textId="77777777"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In doing so, the study applies the Sustainable Livelihood Framework (SLF) to assess how natural hazards affect the five core livelihood capitals</w:t>
      </w:r>
      <w:r w:rsidR="00D51295">
        <w:rPr>
          <w:rFonts w:ascii="Times New Roman" w:hAnsi="Times New Roman"/>
          <w:sz w:val="24"/>
          <w:szCs w:val="24"/>
        </w:rPr>
        <w:t xml:space="preserve">; </w:t>
      </w:r>
      <w:r w:rsidRPr="0023485E">
        <w:rPr>
          <w:rFonts w:ascii="Times New Roman" w:hAnsi="Times New Roman"/>
          <w:sz w:val="24"/>
          <w:szCs w:val="24"/>
        </w:rPr>
        <w:t xml:space="preserve">human, social, physical, natural, and financial. The SLF enables a nuanced analysis of disaster impacts beyond immediate losses, considering how hazards undermine long-term wellbeing and development prospects (Chambers &amp; Conway, 1992; </w:t>
      </w:r>
      <w:proofErr w:type="spellStart"/>
      <w:r w:rsidRPr="0023485E">
        <w:rPr>
          <w:rFonts w:ascii="Times New Roman" w:hAnsi="Times New Roman"/>
          <w:sz w:val="24"/>
          <w:szCs w:val="24"/>
        </w:rPr>
        <w:t>Birkmann</w:t>
      </w:r>
      <w:proofErr w:type="spellEnd"/>
      <w:r w:rsidRPr="0023485E">
        <w:rPr>
          <w:rFonts w:ascii="Times New Roman" w:hAnsi="Times New Roman"/>
          <w:sz w:val="24"/>
          <w:szCs w:val="24"/>
        </w:rPr>
        <w:t>, 2006</w:t>
      </w:r>
      <w:r w:rsidR="005F6286">
        <w:rPr>
          <w:rFonts w:ascii="Times New Roman" w:hAnsi="Times New Roman"/>
          <w:sz w:val="24"/>
          <w:szCs w:val="24"/>
        </w:rPr>
        <w:t>; Alonso-</w:t>
      </w:r>
      <w:proofErr w:type="spellStart"/>
      <w:r w:rsidR="005F6286">
        <w:rPr>
          <w:rFonts w:ascii="Times New Roman" w:hAnsi="Times New Roman"/>
          <w:sz w:val="24"/>
          <w:szCs w:val="24"/>
        </w:rPr>
        <w:t>Sarria</w:t>
      </w:r>
      <w:proofErr w:type="spellEnd"/>
      <w:r w:rsidR="005F6286">
        <w:rPr>
          <w:rFonts w:ascii="Times New Roman" w:hAnsi="Times New Roman"/>
          <w:sz w:val="24"/>
          <w:szCs w:val="24"/>
        </w:rPr>
        <w:t xml:space="preserve"> et al., 2025</w:t>
      </w:r>
      <w:r w:rsidRPr="0023485E">
        <w:rPr>
          <w:rFonts w:ascii="Times New Roman" w:hAnsi="Times New Roman"/>
          <w:sz w:val="24"/>
          <w:szCs w:val="24"/>
        </w:rPr>
        <w:t>). It is especially relevant in urban African settings, where informal settlements, economic marginalization, and institutional gaps shape vulnerability in multidimensional ways.</w:t>
      </w:r>
      <w:r>
        <w:rPr>
          <w:rFonts w:ascii="Times New Roman" w:hAnsi="Times New Roman"/>
          <w:sz w:val="24"/>
          <w:szCs w:val="24"/>
        </w:rPr>
        <w:t xml:space="preserve"> </w:t>
      </w:r>
      <w:r w:rsidRPr="0023485E">
        <w:rPr>
          <w:rFonts w:ascii="Times New Roman" w:hAnsi="Times New Roman"/>
          <w:sz w:val="24"/>
          <w:szCs w:val="24"/>
        </w:rPr>
        <w:t>Geospatial technologies further enhance this analysis by enabling spatial prioritization of risk. Using hazard occurrence data, community-level vulnerability indicators, and demographic patterns, the study identifies high-risk zones and the drivers of vulnerability. This spatially explicit approach allows for the development of context-specific risk reduction strategies—a critical improvement over blanket or top-down disaster responses that often fail to address the realities on the ground (Few et al., 2006; Smith et al., 2017</w:t>
      </w:r>
      <w:r w:rsidR="00506ED4">
        <w:rPr>
          <w:rFonts w:ascii="Times New Roman" w:hAnsi="Times New Roman"/>
          <w:sz w:val="24"/>
          <w:szCs w:val="24"/>
        </w:rPr>
        <w:t>; Wang et al., 2025</w:t>
      </w:r>
      <w:r w:rsidRPr="0023485E">
        <w:rPr>
          <w:rFonts w:ascii="Times New Roman" w:hAnsi="Times New Roman"/>
          <w:sz w:val="24"/>
          <w:szCs w:val="24"/>
        </w:rPr>
        <w:t>).</w:t>
      </w:r>
    </w:p>
    <w:p w14:paraId="44E3CDB6" w14:textId="77777777" w:rsidR="00082308" w:rsidRPr="0023485E"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 xml:space="preserve">The study is motivated by three major gaps in the literature and practice. First, there is a lack of integrated, spatially disaggregated data on multi-hazard vulnerability in Nigeria’s secondary cities. Second, vulnerability assessments are rarely informed by both quantitative and qualitative data from local stakeholders. Third, national and local DRR strategies often lack the granularity needed to effectively prioritize resources in fragile urban contexts like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By addressing these gaps, the study aligns with the objectives of the Sendai Framework for Disaster Risk Reduction (2015–2030) and supports the implementation of SDG 11 (Sustainable Cities and Communities) and SDG 13 (Climate Action).</w:t>
      </w:r>
      <w:r>
        <w:rPr>
          <w:rFonts w:ascii="Times New Roman" w:hAnsi="Times New Roman"/>
          <w:sz w:val="24"/>
          <w:szCs w:val="24"/>
        </w:rPr>
        <w:t xml:space="preserve"> </w:t>
      </w:r>
      <w:r w:rsidRPr="0023485E">
        <w:rPr>
          <w:rFonts w:ascii="Times New Roman" w:hAnsi="Times New Roman"/>
          <w:sz w:val="24"/>
          <w:szCs w:val="24"/>
        </w:rPr>
        <w:t xml:space="preserve">This study aims to provide a comprehensive and spatially informed analysis of hazard risk in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town. Its specific objectives are to:</w:t>
      </w:r>
      <w:r>
        <w:rPr>
          <w:rFonts w:ascii="Times New Roman" w:hAnsi="Times New Roman"/>
          <w:sz w:val="24"/>
          <w:szCs w:val="24"/>
        </w:rPr>
        <w:t xml:space="preserve"> </w:t>
      </w:r>
    </w:p>
    <w:p w14:paraId="72579030" w14:textId="77777777"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 xml:space="preserve">Identify the major hazards affecting </w:t>
      </w:r>
      <w:proofErr w:type="spellStart"/>
      <w:r w:rsidRPr="00541F1F">
        <w:rPr>
          <w:rFonts w:ascii="Times New Roman" w:hAnsi="Times New Roman"/>
          <w:sz w:val="24"/>
          <w:szCs w:val="24"/>
        </w:rPr>
        <w:t>Damaturu</w:t>
      </w:r>
      <w:proofErr w:type="spellEnd"/>
      <w:r w:rsidRPr="00541F1F">
        <w:rPr>
          <w:rFonts w:ascii="Times New Roman" w:hAnsi="Times New Roman"/>
          <w:sz w:val="24"/>
          <w:szCs w:val="24"/>
        </w:rPr>
        <w:t xml:space="preserve"> town and their seasonal patterns.</w:t>
      </w:r>
      <w:r>
        <w:rPr>
          <w:rFonts w:ascii="Times New Roman" w:hAnsi="Times New Roman"/>
          <w:sz w:val="24"/>
          <w:szCs w:val="24"/>
        </w:rPr>
        <w:t xml:space="preserve"> </w:t>
      </w:r>
    </w:p>
    <w:p w14:paraId="24436FCF" w14:textId="77777777"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Analyze the spatial distribution and severity of hazard impacts across wards.</w:t>
      </w:r>
      <w:r>
        <w:rPr>
          <w:rFonts w:ascii="Times New Roman" w:hAnsi="Times New Roman"/>
          <w:sz w:val="24"/>
          <w:szCs w:val="24"/>
        </w:rPr>
        <w:t xml:space="preserve"> </w:t>
      </w:r>
    </w:p>
    <w:p w14:paraId="4A25211B" w14:textId="77777777"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Assess socio-economic vulnerabilities contributing to household exposure and sensitivity.</w:t>
      </w:r>
    </w:p>
    <w:p w14:paraId="0D73D889" w14:textId="77777777"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t>Examine local perceptions and barriers to preparedness and resilience.</w:t>
      </w:r>
      <w:r>
        <w:rPr>
          <w:rFonts w:ascii="Times New Roman" w:hAnsi="Times New Roman"/>
          <w:sz w:val="24"/>
          <w:szCs w:val="24"/>
        </w:rPr>
        <w:t xml:space="preserve"> </w:t>
      </w:r>
    </w:p>
    <w:p w14:paraId="3046BD70" w14:textId="77777777" w:rsidR="00082308" w:rsidRPr="00541F1F" w:rsidRDefault="00082308" w:rsidP="00082308">
      <w:pPr>
        <w:pStyle w:val="ListParagraph"/>
        <w:numPr>
          <w:ilvl w:val="0"/>
          <w:numId w:val="2"/>
        </w:numPr>
        <w:spacing w:line="240" w:lineRule="auto"/>
        <w:jc w:val="both"/>
        <w:rPr>
          <w:rFonts w:ascii="Times New Roman" w:hAnsi="Times New Roman"/>
          <w:sz w:val="24"/>
          <w:szCs w:val="24"/>
        </w:rPr>
      </w:pPr>
      <w:r w:rsidRPr="00541F1F">
        <w:rPr>
          <w:rFonts w:ascii="Times New Roman" w:hAnsi="Times New Roman"/>
          <w:sz w:val="24"/>
          <w:szCs w:val="24"/>
        </w:rPr>
        <w:lastRenderedPageBreak/>
        <w:t>Recommend evidence-based, spatially targeted strategies for risk reduction and adaptive planning.</w:t>
      </w:r>
      <w:r>
        <w:rPr>
          <w:rFonts w:ascii="Times New Roman" w:hAnsi="Times New Roman"/>
          <w:sz w:val="24"/>
          <w:szCs w:val="24"/>
        </w:rPr>
        <w:t xml:space="preserve"> </w:t>
      </w:r>
    </w:p>
    <w:p w14:paraId="24DE37F9" w14:textId="77777777" w:rsidR="00082308" w:rsidRDefault="00082308" w:rsidP="00082308">
      <w:pPr>
        <w:spacing w:line="240" w:lineRule="auto"/>
        <w:jc w:val="both"/>
        <w:rPr>
          <w:rFonts w:ascii="Times New Roman" w:hAnsi="Times New Roman"/>
          <w:sz w:val="24"/>
          <w:szCs w:val="24"/>
        </w:rPr>
      </w:pPr>
      <w:r w:rsidRPr="0023485E">
        <w:rPr>
          <w:rFonts w:ascii="Times New Roman" w:hAnsi="Times New Roman"/>
          <w:sz w:val="24"/>
          <w:szCs w:val="24"/>
        </w:rPr>
        <w:t>In pursuing these objectives, the study draws on a combination of household surveys, focus group discussions (FGDs), statistical modeling (ANOVA, regression), and Bayesian spatial analysis. The integration of these methods provides a robust basis for informing both academic inquiry and practical interventions in urban disaster risk governance.</w:t>
      </w:r>
      <w:r>
        <w:rPr>
          <w:rFonts w:ascii="Times New Roman" w:hAnsi="Times New Roman"/>
          <w:sz w:val="24"/>
          <w:szCs w:val="24"/>
        </w:rPr>
        <w:t xml:space="preserve"> </w:t>
      </w:r>
    </w:p>
    <w:p w14:paraId="7C160D77" w14:textId="77777777" w:rsidR="00A83CF6" w:rsidRDefault="00A83CF6" w:rsidP="00A83CF6">
      <w:pPr>
        <w:pStyle w:val="ListParagraph"/>
        <w:numPr>
          <w:ilvl w:val="0"/>
          <w:numId w:val="1"/>
        </w:numPr>
        <w:spacing w:line="240" w:lineRule="auto"/>
        <w:jc w:val="both"/>
        <w:rPr>
          <w:rFonts w:ascii="Times New Roman" w:hAnsi="Times New Roman"/>
          <w:b/>
          <w:sz w:val="24"/>
          <w:szCs w:val="24"/>
        </w:rPr>
      </w:pPr>
      <w:r w:rsidRPr="005E26A8">
        <w:rPr>
          <w:rFonts w:ascii="Times New Roman" w:hAnsi="Times New Roman"/>
          <w:b/>
          <w:sz w:val="24"/>
          <w:szCs w:val="24"/>
        </w:rPr>
        <w:t>Materials and Methods</w:t>
      </w:r>
      <w:r>
        <w:rPr>
          <w:rFonts w:ascii="Times New Roman" w:hAnsi="Times New Roman"/>
          <w:b/>
          <w:sz w:val="24"/>
          <w:szCs w:val="24"/>
        </w:rPr>
        <w:t xml:space="preserve"> </w:t>
      </w:r>
    </w:p>
    <w:p w14:paraId="750F8F67" w14:textId="77777777" w:rsidR="00A83CF6" w:rsidRPr="00BD2787" w:rsidRDefault="00A83CF6" w:rsidP="00A83CF6">
      <w:pPr>
        <w:spacing w:line="240" w:lineRule="auto"/>
        <w:jc w:val="both"/>
        <w:rPr>
          <w:rFonts w:ascii="Times New Roman" w:hAnsi="Times New Roman"/>
          <w:sz w:val="24"/>
          <w:szCs w:val="24"/>
          <w:highlight w:val="yellow"/>
        </w:rPr>
      </w:pPr>
      <w:r w:rsidRPr="007840FC">
        <w:rPr>
          <w:rFonts w:ascii="Times New Roman" w:hAnsi="Times New Roman"/>
          <w:sz w:val="24"/>
          <w:szCs w:val="24"/>
        </w:rPr>
        <w:t xml:space="preserve">The materials and methods employed in this study were carefully designed to provide a robust and holistic understanding of hazard impacts, vulnerability, and resilience in </w:t>
      </w:r>
      <w:proofErr w:type="spellStart"/>
      <w:r w:rsidRPr="007840FC">
        <w:rPr>
          <w:rFonts w:ascii="Times New Roman" w:hAnsi="Times New Roman"/>
          <w:sz w:val="24"/>
          <w:szCs w:val="24"/>
        </w:rPr>
        <w:t>Damaturu</w:t>
      </w:r>
      <w:proofErr w:type="spellEnd"/>
      <w:r w:rsidRPr="007840FC">
        <w:rPr>
          <w:rFonts w:ascii="Times New Roman" w:hAnsi="Times New Roman"/>
          <w:sz w:val="24"/>
          <w:szCs w:val="24"/>
        </w:rPr>
        <w:t xml:space="preserve">, </w:t>
      </w:r>
      <w:proofErr w:type="spellStart"/>
      <w:r w:rsidRPr="007840FC">
        <w:rPr>
          <w:rFonts w:ascii="Times New Roman" w:hAnsi="Times New Roman"/>
          <w:sz w:val="24"/>
          <w:szCs w:val="24"/>
        </w:rPr>
        <w:t>Yobe</w:t>
      </w:r>
      <w:proofErr w:type="spellEnd"/>
      <w:r w:rsidRPr="007840FC">
        <w:rPr>
          <w:rFonts w:ascii="Times New Roman" w:hAnsi="Times New Roman"/>
          <w:sz w:val="24"/>
          <w:szCs w:val="24"/>
        </w:rPr>
        <w:t xml:space="preserve"> State. Given the town’s exposure to multiple hazards such as flooding, drought, epidemics, windstorms, fire outbreaks, and conflict-related events, a mixed-methods research design was adopted to capture both measurable trends and lived experiences. Quantitative data from household surveys offered statistical insights into socioeconomic characteristics, hazard exposure, and disaster impacts, while qualitative evidence from focus group discussions provided deeper perspectives on community perceptions, preparedness strategies, and institutional support systems. These were complemented with spatial and temporal analyses to highlight geographic and seasonal variations in hazard risks, alongside advanced Bayesian modeling that quantified uncertainties and strengthened predictive reliability. Together, these methodological choices ensured triangulation of evidence, enabling the study to generate context-specific, comprehensive, and policy-relevant findings.</w:t>
      </w:r>
    </w:p>
    <w:p w14:paraId="70FD6850" w14:textId="77777777"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2.1 </w:t>
      </w:r>
      <w:r w:rsidRPr="000D4940">
        <w:rPr>
          <w:rFonts w:ascii="Times New Roman" w:hAnsi="Times New Roman"/>
          <w:b/>
          <w:sz w:val="24"/>
          <w:szCs w:val="24"/>
        </w:rPr>
        <w:t>Study Area</w:t>
      </w:r>
      <w:r>
        <w:rPr>
          <w:rFonts w:ascii="Times New Roman" w:hAnsi="Times New Roman"/>
          <w:b/>
          <w:sz w:val="24"/>
          <w:szCs w:val="24"/>
        </w:rPr>
        <w:t xml:space="preserve"> </w:t>
      </w:r>
    </w:p>
    <w:p w14:paraId="4497B5AE" w14:textId="77777777" w:rsidR="00A83CF6" w:rsidRDefault="00A83CF6" w:rsidP="00A83CF6">
      <w:pPr>
        <w:spacing w:line="240" w:lineRule="auto"/>
        <w:jc w:val="both"/>
        <w:rPr>
          <w:rFonts w:ascii="Times New Roman" w:hAnsi="Times New Roman"/>
          <w:sz w:val="24"/>
          <w:szCs w:val="24"/>
        </w:rPr>
      </w:pPr>
      <w:r w:rsidRPr="0023485E">
        <w:rPr>
          <w:rFonts w:ascii="Times New Roman" w:hAnsi="Times New Roman"/>
          <w:sz w:val="24"/>
          <w:szCs w:val="24"/>
        </w:rPr>
        <w:t xml:space="preserve">The study was conducted in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the capital of </w:t>
      </w:r>
      <w:proofErr w:type="spellStart"/>
      <w:r w:rsidRPr="0023485E">
        <w:rPr>
          <w:rFonts w:ascii="Times New Roman" w:hAnsi="Times New Roman"/>
          <w:sz w:val="24"/>
          <w:szCs w:val="24"/>
        </w:rPr>
        <w:t>Yobe</w:t>
      </w:r>
      <w:proofErr w:type="spellEnd"/>
      <w:r w:rsidRPr="0023485E">
        <w:rPr>
          <w:rFonts w:ascii="Times New Roman" w:hAnsi="Times New Roman"/>
          <w:sz w:val="24"/>
          <w:szCs w:val="24"/>
        </w:rPr>
        <w:t xml:space="preserve"> State, northeastern Nigeria. Geographically located between latitude 11°45′N and 12°00′N and longitude 11°55′E and 12°10′E, </w:t>
      </w:r>
      <w:proofErr w:type="spellStart"/>
      <w:r w:rsidRPr="0023485E">
        <w:rPr>
          <w:rFonts w:ascii="Times New Roman" w:hAnsi="Times New Roman"/>
          <w:sz w:val="24"/>
          <w:szCs w:val="24"/>
        </w:rPr>
        <w:t>Damaturu</w:t>
      </w:r>
      <w:proofErr w:type="spellEnd"/>
      <w:r w:rsidRPr="0023485E">
        <w:rPr>
          <w:rFonts w:ascii="Times New Roman" w:hAnsi="Times New Roman"/>
          <w:sz w:val="24"/>
          <w:szCs w:val="24"/>
        </w:rPr>
        <w:t xml:space="preserve"> lies in the semi-arid Sudan savanna ecological zone. It experiences marked seasonal variation, with a rainy season from June to September and a long dry season from October to May. The town is increasingly exposed to multi-hazard risks including flooding, drought, epidemics (e.g., cholera), windstorms, fire outbreaks, and conflict-related events such as Boko Haram attacks.</w:t>
      </w:r>
      <w:r>
        <w:rPr>
          <w:rFonts w:ascii="Times New Roman" w:hAnsi="Times New Roman"/>
          <w:sz w:val="24"/>
          <w:szCs w:val="24"/>
        </w:rPr>
        <w:t xml:space="preserve"> </w:t>
      </w:r>
    </w:p>
    <w:p w14:paraId="0B21AE5A" w14:textId="77777777" w:rsidR="00A83CF6" w:rsidRPr="002D15A1" w:rsidRDefault="002D15A1" w:rsidP="00A83CF6">
      <w:pPr>
        <w:spacing w:line="24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0" distR="0" wp14:anchorId="76147F8C" wp14:editId="0B6E1E71">
            <wp:extent cx="5943600" cy="4590265"/>
            <wp:effectExtent l="0" t="0" r="0" b="1270"/>
            <wp:docPr id="66" name="Picture 66" descr="C:\Users\dell\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590265"/>
                    </a:xfrm>
                    <a:prstGeom prst="rect">
                      <a:avLst/>
                    </a:prstGeom>
                    <a:noFill/>
                    <a:ln>
                      <a:noFill/>
                    </a:ln>
                  </pic:spPr>
                </pic:pic>
              </a:graphicData>
            </a:graphic>
          </wp:inline>
        </w:drawing>
      </w:r>
    </w:p>
    <w:p w14:paraId="262A79E1" w14:textId="77777777" w:rsidR="00A83CF6" w:rsidRPr="004367EB" w:rsidRDefault="004367EB" w:rsidP="00A83CF6">
      <w:pPr>
        <w:spacing w:line="240" w:lineRule="auto"/>
        <w:jc w:val="both"/>
        <w:rPr>
          <w:rFonts w:ascii="Times New Roman" w:hAnsi="Times New Roman"/>
          <w:sz w:val="24"/>
          <w:szCs w:val="24"/>
        </w:rPr>
      </w:pPr>
      <w:r w:rsidRPr="004367EB">
        <w:rPr>
          <w:rFonts w:ascii="Times New Roman" w:hAnsi="Times New Roman"/>
          <w:sz w:val="24"/>
          <w:szCs w:val="24"/>
        </w:rPr>
        <w:t xml:space="preserve">Figure 1. </w:t>
      </w:r>
      <w:r w:rsidR="00A83CF6" w:rsidRPr="004367EB">
        <w:rPr>
          <w:rFonts w:ascii="Times New Roman" w:hAnsi="Times New Roman"/>
          <w:sz w:val="24"/>
          <w:szCs w:val="24"/>
        </w:rPr>
        <w:t xml:space="preserve">Map of </w:t>
      </w:r>
      <w:proofErr w:type="spellStart"/>
      <w:r w:rsidRPr="004367EB">
        <w:rPr>
          <w:rFonts w:ascii="Times New Roman" w:hAnsi="Times New Roman"/>
          <w:sz w:val="24"/>
          <w:szCs w:val="24"/>
        </w:rPr>
        <w:t>Damaturu</w:t>
      </w:r>
      <w:proofErr w:type="spellEnd"/>
      <w:r w:rsidRPr="004367EB">
        <w:rPr>
          <w:rFonts w:ascii="Times New Roman" w:hAnsi="Times New Roman"/>
          <w:sz w:val="24"/>
          <w:szCs w:val="24"/>
        </w:rPr>
        <w:t xml:space="preserve"> Town </w:t>
      </w:r>
    </w:p>
    <w:p w14:paraId="469275A5" w14:textId="77777777"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2.2 </w:t>
      </w:r>
      <w:r w:rsidRPr="000D4940">
        <w:rPr>
          <w:rFonts w:ascii="Times New Roman" w:hAnsi="Times New Roman"/>
          <w:b/>
          <w:sz w:val="24"/>
          <w:szCs w:val="24"/>
        </w:rPr>
        <w:t>Research Design</w:t>
      </w:r>
    </w:p>
    <w:p w14:paraId="7BB80AA9"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The mixed-methods design was adopted to triangulate findings, ensuring that statistical analysis, qualitative insights, and spatial modeling together provide a holistic understanding of hazard impacts.</w:t>
      </w:r>
      <w:r>
        <w:rPr>
          <w:rFonts w:ascii="Times New Roman" w:hAnsi="Times New Roman"/>
          <w:sz w:val="24"/>
          <w:szCs w:val="24"/>
        </w:rPr>
        <w:t xml:space="preserve"> </w:t>
      </w:r>
      <w:r w:rsidRPr="0023485E">
        <w:rPr>
          <w:rFonts w:ascii="Times New Roman" w:hAnsi="Times New Roman"/>
          <w:sz w:val="24"/>
          <w:szCs w:val="24"/>
        </w:rPr>
        <w:t>A mixed-methods design was adopted, combining descriptive quantitative analysis, inferential statistics, qualitative assessments through Focus Group Discussions (FGDs), and spatial modeling. This triangulated approach provided a comprehensive understanding of hazard impacts, community vulnerability, and resilience mechanisms.</w:t>
      </w:r>
    </w:p>
    <w:p w14:paraId="5E7DFFC9" w14:textId="77777777" w:rsidR="00A83CF6" w:rsidRPr="004A2A34"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2.3 </w:t>
      </w:r>
      <w:r w:rsidRPr="004A2A34">
        <w:rPr>
          <w:rFonts w:ascii="Times New Roman" w:hAnsi="Times New Roman"/>
          <w:b/>
          <w:sz w:val="24"/>
          <w:szCs w:val="24"/>
        </w:rPr>
        <w:t xml:space="preserve">Population and Sampling </w:t>
      </w:r>
    </w:p>
    <w:p w14:paraId="22CAAEBE"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A multi-stage stratified sampling strategy was applied to achieve representativeness across wards and socioeconomic groups, thereby minimizing bias and ensuring reliability of findings.</w:t>
      </w:r>
      <w:r>
        <w:rPr>
          <w:rFonts w:ascii="Times New Roman" w:hAnsi="Times New Roman"/>
          <w:sz w:val="24"/>
          <w:szCs w:val="24"/>
        </w:rPr>
        <w:t xml:space="preserve"> </w:t>
      </w:r>
      <w:r w:rsidRPr="0023485E">
        <w:rPr>
          <w:rFonts w:ascii="Times New Roman" w:hAnsi="Times New Roman"/>
          <w:sz w:val="24"/>
          <w:szCs w:val="24"/>
        </w:rPr>
        <w:t xml:space="preserve">The target population comprised households residing in </w:t>
      </w:r>
      <w:proofErr w:type="spellStart"/>
      <w:r w:rsidRPr="0023485E">
        <w:rPr>
          <w:rFonts w:ascii="Times New Roman" w:hAnsi="Times New Roman"/>
          <w:sz w:val="24"/>
          <w:szCs w:val="24"/>
        </w:rPr>
        <w:t>Damaturu’s</w:t>
      </w:r>
      <w:proofErr w:type="spellEnd"/>
      <w:r w:rsidRPr="0023485E">
        <w:rPr>
          <w:rFonts w:ascii="Times New Roman" w:hAnsi="Times New Roman"/>
          <w:sz w:val="24"/>
          <w:szCs w:val="24"/>
        </w:rPr>
        <w:t xml:space="preserve"> ten main administrative wards. A multi-stage stratified sampling method was used. First, the wards were stratified based on exposure to known hazard types. Within each stratum, households were randomly selected, ensuring representation across income, education, and gender categories. A total of 1,084 households participated in the survey.</w:t>
      </w:r>
      <w:r>
        <w:rPr>
          <w:rFonts w:ascii="Times New Roman" w:hAnsi="Times New Roman"/>
          <w:sz w:val="24"/>
          <w:szCs w:val="24"/>
        </w:rPr>
        <w:t xml:space="preserve"> </w:t>
      </w:r>
      <w:r w:rsidRPr="0023485E">
        <w:rPr>
          <w:rFonts w:ascii="Times New Roman" w:hAnsi="Times New Roman"/>
          <w:sz w:val="24"/>
          <w:szCs w:val="24"/>
        </w:rPr>
        <w:t xml:space="preserve">Additionally, </w:t>
      </w:r>
      <w:r>
        <w:rPr>
          <w:rFonts w:ascii="Times New Roman" w:hAnsi="Times New Roman"/>
          <w:sz w:val="24"/>
          <w:szCs w:val="24"/>
        </w:rPr>
        <w:t>ten</w:t>
      </w:r>
      <w:r w:rsidRPr="0023485E">
        <w:rPr>
          <w:rFonts w:ascii="Times New Roman" w:hAnsi="Times New Roman"/>
          <w:sz w:val="24"/>
          <w:szCs w:val="24"/>
        </w:rPr>
        <w:t xml:space="preserve"> FGDs were conducted</w:t>
      </w:r>
      <w:r>
        <w:rPr>
          <w:rFonts w:ascii="Times New Roman" w:hAnsi="Times New Roman"/>
          <w:sz w:val="24"/>
          <w:szCs w:val="24"/>
        </w:rPr>
        <w:t xml:space="preserve">; </w:t>
      </w:r>
      <w:r w:rsidRPr="0023485E">
        <w:rPr>
          <w:rFonts w:ascii="Times New Roman" w:hAnsi="Times New Roman"/>
          <w:sz w:val="24"/>
          <w:szCs w:val="24"/>
        </w:rPr>
        <w:t>three male-only, two female-only, and one mixed group</w:t>
      </w:r>
      <w:r>
        <w:rPr>
          <w:rFonts w:ascii="Times New Roman" w:hAnsi="Times New Roman"/>
          <w:sz w:val="24"/>
          <w:szCs w:val="24"/>
        </w:rPr>
        <w:t xml:space="preserve">; </w:t>
      </w:r>
      <w:r w:rsidRPr="0023485E">
        <w:rPr>
          <w:rFonts w:ascii="Times New Roman" w:hAnsi="Times New Roman"/>
          <w:sz w:val="24"/>
          <w:szCs w:val="24"/>
        </w:rPr>
        <w:t xml:space="preserve">comprising between 6 and 10 participants per group. </w:t>
      </w:r>
      <w:r w:rsidRPr="0023485E">
        <w:rPr>
          <w:rFonts w:ascii="Times New Roman" w:hAnsi="Times New Roman"/>
          <w:sz w:val="24"/>
          <w:szCs w:val="24"/>
        </w:rPr>
        <w:lastRenderedPageBreak/>
        <w:t>Participants were selected purposively to ensure inclusion of residents from high-risk and low-income communities.</w:t>
      </w:r>
      <w:r>
        <w:rPr>
          <w:rFonts w:ascii="Times New Roman" w:hAnsi="Times New Roman"/>
          <w:sz w:val="24"/>
          <w:szCs w:val="24"/>
        </w:rPr>
        <w:t xml:space="preserve"> </w:t>
      </w:r>
    </w:p>
    <w:p w14:paraId="549E7801" w14:textId="77777777" w:rsidR="00A83CF6"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2.4 </w:t>
      </w:r>
      <w:r w:rsidRPr="000D4940">
        <w:rPr>
          <w:rFonts w:ascii="Times New Roman" w:hAnsi="Times New Roman"/>
          <w:b/>
          <w:sz w:val="24"/>
          <w:szCs w:val="24"/>
        </w:rPr>
        <w:t>Data Collection Instruments</w:t>
      </w:r>
      <w:r>
        <w:rPr>
          <w:rFonts w:ascii="Times New Roman" w:hAnsi="Times New Roman"/>
          <w:b/>
          <w:sz w:val="24"/>
          <w:szCs w:val="24"/>
        </w:rPr>
        <w:t xml:space="preserve"> </w:t>
      </w:r>
    </w:p>
    <w:p w14:paraId="5E6E950E" w14:textId="77777777" w:rsidR="00A83CF6"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Both quantitative and qualitative instruments were employed to capture complementary dimensions of household vulnerability, balancing measurable indicators with community perceptions and lived experiences.</w:t>
      </w:r>
      <w:r>
        <w:rPr>
          <w:rFonts w:ascii="Times New Roman" w:hAnsi="Times New Roman"/>
          <w:sz w:val="24"/>
          <w:szCs w:val="24"/>
        </w:rPr>
        <w:t xml:space="preserve"> </w:t>
      </w:r>
      <w:r w:rsidRPr="007840FC">
        <w:rPr>
          <w:rFonts w:ascii="Times New Roman" w:hAnsi="Times New Roman"/>
          <w:sz w:val="24"/>
          <w:szCs w:val="24"/>
        </w:rPr>
        <w:t>To ensure comprehensive data capture, both quantitative and qualitative instruments were employed to investigate hazard exposure, impacts, and community resilience. While the structured household questionnaire provided measurable socioeconomic and hazard-related variables, the focus group discussion guide offered deeper insights into perceptions, adaptation practices, and barriers to preparedness.</w:t>
      </w:r>
      <w:r>
        <w:rPr>
          <w:rFonts w:ascii="Times New Roman" w:hAnsi="Times New Roman"/>
          <w:sz w:val="24"/>
          <w:szCs w:val="24"/>
        </w:rPr>
        <w:t xml:space="preserve"> </w:t>
      </w:r>
      <w:r w:rsidRPr="00C82E09">
        <w:rPr>
          <w:rFonts w:ascii="Times New Roman" w:hAnsi="Times New Roman"/>
          <w:sz w:val="24"/>
          <w:szCs w:val="24"/>
        </w:rPr>
        <w:t xml:space="preserve">The study employed both quantitative and qualitative tools to generate comprehensive data on household vulnerability and resilience. For the quantitative component, a structured questionnaire was administered through face-to-face interviews with selected households. The instrument was designed to capture detailed information on respondents’ socioeconomic characteristics, including gender, age, income, and education, as well as their experiences of hazard exposure and frequency. </w:t>
      </w:r>
    </w:p>
    <w:p w14:paraId="535919FE" w14:textId="77777777" w:rsidR="00A83CF6" w:rsidRPr="00BD2787" w:rsidRDefault="00A83CF6" w:rsidP="00A83CF6">
      <w:pPr>
        <w:spacing w:line="240" w:lineRule="auto"/>
        <w:jc w:val="both"/>
        <w:rPr>
          <w:rFonts w:ascii="Times New Roman" w:hAnsi="Times New Roman"/>
          <w:sz w:val="24"/>
          <w:szCs w:val="24"/>
          <w:highlight w:val="yellow"/>
        </w:rPr>
      </w:pPr>
      <w:r w:rsidRPr="00C82E09">
        <w:rPr>
          <w:rFonts w:ascii="Times New Roman" w:hAnsi="Times New Roman"/>
          <w:sz w:val="24"/>
          <w:szCs w:val="24"/>
        </w:rPr>
        <w:t>It further documented the perceived and actual impacts of hazards, such as health challenges, property damage, displacement, and livelihood disruption, alongside household coping and preparedness strategies. To complement this, qualitative data were collected through focus group discussions guided by a structured interview protocol. These discussions explored community perceptions of hazard trends, preparedness practices, and local adaptation measures, while also probing into the perceived roles of government and non-governmental organizations in resilience building. Special attention was given to barriers that limit preparedness, as well as local knowledge systems that shape adaptive responses. All FGDs were conducted in Hausa and Kanuri, the dominant local languages, and were subsequently translated and transcribed into English to facilitate systematic analysis. Together, the questionnaire and discussion guide provided both breadth and depth of evidence, ensuring that statistical findings were enriched with community voices and lived experiences.</w:t>
      </w:r>
    </w:p>
    <w:p w14:paraId="1C47124C" w14:textId="77777777" w:rsidR="00A83CF6" w:rsidRPr="000D4940"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 </w:t>
      </w:r>
      <w:r w:rsidRPr="000D4940">
        <w:rPr>
          <w:rFonts w:ascii="Times New Roman" w:hAnsi="Times New Roman"/>
          <w:b/>
          <w:sz w:val="24"/>
          <w:szCs w:val="24"/>
        </w:rPr>
        <w:t>Data Analysis</w:t>
      </w:r>
    </w:p>
    <w:p w14:paraId="6D95AC19" w14:textId="77777777" w:rsidR="00A83CF6" w:rsidRPr="007840FC"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This section was designed to explain how statistical, qualitative, spatial, and Bayesian approaches were systematically combined to generate comprehensive and credible findings.</w:t>
      </w:r>
      <w:r>
        <w:rPr>
          <w:rFonts w:ascii="Times New Roman" w:hAnsi="Times New Roman"/>
          <w:sz w:val="24"/>
          <w:szCs w:val="24"/>
        </w:rPr>
        <w:t xml:space="preserve"> </w:t>
      </w:r>
      <w:r w:rsidRPr="007840FC">
        <w:rPr>
          <w:rFonts w:ascii="Times New Roman" w:hAnsi="Times New Roman"/>
          <w:sz w:val="24"/>
          <w:szCs w:val="24"/>
        </w:rPr>
        <w:t>Data analysis combined both descriptive and inferential statistical approaches to provide a comprehensive understanding of hazard impacts and community vulnerability. Descriptive statistics, including frequencies and percentages, were used to summarize the socioeconomic profiles of respondents and key hazard-related variables. To explore differences in hazard impacts across groups, one-way ANOVA was employed, while a multiple linear regression model was applied to identify predictors of disaster impact at the household level. The significance threshold was set at p &lt; 0.05, ensuring robust and reliable results.</w:t>
      </w:r>
    </w:p>
    <w:p w14:paraId="21F827A8" w14:textId="77777777" w:rsidR="00A83CF6" w:rsidRPr="00F715E3"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2.5.1 </w:t>
      </w:r>
      <w:r w:rsidRPr="00F715E3">
        <w:rPr>
          <w:rFonts w:ascii="Times New Roman" w:hAnsi="Times New Roman"/>
          <w:b/>
          <w:sz w:val="24"/>
          <w:szCs w:val="24"/>
        </w:rPr>
        <w:t>Qualitative Analysis</w:t>
      </w:r>
    </w:p>
    <w:p w14:paraId="48161326"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Thematic content analysis guided by the SLF was employed to systematically organize narratives under livelihood capitals, ensuring comparability with resilience frameworks.</w:t>
      </w:r>
      <w:r>
        <w:rPr>
          <w:rFonts w:ascii="Times New Roman" w:hAnsi="Times New Roman"/>
          <w:sz w:val="24"/>
          <w:szCs w:val="24"/>
        </w:rPr>
        <w:t xml:space="preserve"> </w:t>
      </w:r>
      <w:r w:rsidRPr="007840FC">
        <w:rPr>
          <w:rFonts w:ascii="Times New Roman" w:hAnsi="Times New Roman"/>
          <w:sz w:val="24"/>
          <w:szCs w:val="24"/>
        </w:rPr>
        <w:t xml:space="preserve">Qualitative data obtained from focus group discussions were transcribed and systematically analyzed using </w:t>
      </w:r>
      <w:r w:rsidRPr="007840FC">
        <w:rPr>
          <w:rFonts w:ascii="Times New Roman" w:hAnsi="Times New Roman"/>
          <w:sz w:val="24"/>
          <w:szCs w:val="24"/>
        </w:rPr>
        <w:lastRenderedPageBreak/>
        <w:t>thematic content analysis, guided by the Sustainable Livelihood Framework (SLF). Emerging themes were organized under the five livelihood capitals</w:t>
      </w:r>
      <w:r w:rsidR="00614CEA">
        <w:rPr>
          <w:rFonts w:ascii="Times New Roman" w:hAnsi="Times New Roman"/>
          <w:sz w:val="24"/>
          <w:szCs w:val="24"/>
        </w:rPr>
        <w:t xml:space="preserve">; </w:t>
      </w:r>
      <w:r w:rsidRPr="007840FC">
        <w:rPr>
          <w:rFonts w:ascii="Times New Roman" w:hAnsi="Times New Roman"/>
          <w:sz w:val="24"/>
          <w:szCs w:val="24"/>
        </w:rPr>
        <w:t>human, social, natural, physical, and financial</w:t>
      </w:r>
      <w:r w:rsidR="00614CEA">
        <w:rPr>
          <w:rFonts w:ascii="Times New Roman" w:hAnsi="Times New Roman"/>
          <w:sz w:val="24"/>
          <w:szCs w:val="24"/>
        </w:rPr>
        <w:t xml:space="preserve"> respectively </w:t>
      </w:r>
      <w:r w:rsidRPr="007840FC">
        <w:rPr>
          <w:rFonts w:ascii="Times New Roman" w:hAnsi="Times New Roman"/>
          <w:sz w:val="24"/>
          <w:szCs w:val="24"/>
        </w:rPr>
        <w:t>to align with resilience and vulnerability frameworks. Representative quotes were carefully selected to support and enrich the findings, thereby grounding the analysis in community voices and lived experiences.</w:t>
      </w:r>
    </w:p>
    <w:p w14:paraId="11E97EB6" w14:textId="77777777" w:rsidR="00A83CF6" w:rsidRPr="00E47AEB"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2.5.2 </w:t>
      </w:r>
      <w:r w:rsidRPr="00E47AEB">
        <w:rPr>
          <w:rFonts w:ascii="Times New Roman" w:hAnsi="Times New Roman"/>
          <w:b/>
          <w:sz w:val="24"/>
          <w:szCs w:val="24"/>
        </w:rPr>
        <w:t>Spatial and Temporal Hazard Modeling</w:t>
      </w:r>
    </w:p>
    <w:p w14:paraId="45AEC0CB"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Geocoding and temporal aggregation were used to uncover where and when hazards occur most frequently, supporting targeted interventions in high-risk areas and periods.</w:t>
      </w:r>
      <w:r>
        <w:rPr>
          <w:rFonts w:ascii="Times New Roman" w:hAnsi="Times New Roman"/>
          <w:sz w:val="24"/>
          <w:szCs w:val="24"/>
        </w:rPr>
        <w:t xml:space="preserve"> </w:t>
      </w:r>
      <w:r w:rsidRPr="007840FC">
        <w:rPr>
          <w:rFonts w:ascii="Times New Roman" w:hAnsi="Times New Roman"/>
          <w:sz w:val="24"/>
          <w:szCs w:val="24"/>
        </w:rPr>
        <w:t xml:space="preserve">Hazard-related data were geocoded by location and analyzed using spatial overlay and mapping techniques to reveal patterns of exposure across the study area. Seasonal trends were also assessed by aggregating hazard occurrences over calendar months, enabling the identification of periods of heightened risk. These approaches provided valuable insights into both the spatial concentration and temporal variability of hazards within </w:t>
      </w:r>
      <w:proofErr w:type="spellStart"/>
      <w:r w:rsidRPr="007840FC">
        <w:rPr>
          <w:rFonts w:ascii="Times New Roman" w:hAnsi="Times New Roman"/>
          <w:sz w:val="24"/>
          <w:szCs w:val="24"/>
        </w:rPr>
        <w:t>Damaturu</w:t>
      </w:r>
      <w:proofErr w:type="spellEnd"/>
      <w:r w:rsidR="00BB79BC">
        <w:rPr>
          <w:rFonts w:ascii="Times New Roman" w:hAnsi="Times New Roman"/>
          <w:sz w:val="24"/>
          <w:szCs w:val="24"/>
        </w:rPr>
        <w:t xml:space="preserve"> town</w:t>
      </w:r>
      <w:r w:rsidRPr="007840FC">
        <w:rPr>
          <w:rFonts w:ascii="Times New Roman" w:hAnsi="Times New Roman"/>
          <w:sz w:val="24"/>
          <w:szCs w:val="24"/>
        </w:rPr>
        <w:t>.</w:t>
      </w:r>
    </w:p>
    <w:p w14:paraId="5C26F9D2" w14:textId="77777777" w:rsidR="00A83CF6" w:rsidRPr="00A8216C"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2.5.3 </w:t>
      </w:r>
      <w:r w:rsidRPr="00A8216C">
        <w:rPr>
          <w:rFonts w:ascii="Times New Roman" w:hAnsi="Times New Roman"/>
          <w:b/>
          <w:sz w:val="24"/>
          <w:szCs w:val="24"/>
        </w:rPr>
        <w:t>Bayesian Modeling</w:t>
      </w:r>
      <w:r>
        <w:rPr>
          <w:rFonts w:ascii="Times New Roman" w:hAnsi="Times New Roman"/>
          <w:b/>
          <w:sz w:val="24"/>
          <w:szCs w:val="24"/>
        </w:rPr>
        <w:t xml:space="preserve"> </w:t>
      </w:r>
    </w:p>
    <w:p w14:paraId="5E4AD177"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Bayesian models were applied to account for uncertainty and over-dispersion in hazard data, thereby strengthening predictive accuracy and reliability of probability estimates.</w:t>
      </w:r>
      <w:r>
        <w:rPr>
          <w:rFonts w:ascii="Times New Roman" w:hAnsi="Times New Roman"/>
          <w:sz w:val="24"/>
          <w:szCs w:val="24"/>
        </w:rPr>
        <w:t xml:space="preserve"> </w:t>
      </w:r>
      <w:r w:rsidRPr="007840FC">
        <w:rPr>
          <w:rFonts w:ascii="Times New Roman" w:hAnsi="Times New Roman"/>
          <w:sz w:val="24"/>
          <w:szCs w:val="24"/>
        </w:rPr>
        <w:t>To strengthen predictive reliability, hazard frequency and severity were modeled using Bayesian Hierarchical Hazard Models (BHHM) and Bayesian Generalized Additive Models for Location, Scale, and Shape (GAMLSS). Markov Chain Monte Carlo (MCMC) simulations were conducted with 40,000 iterations and a burn-in of 5,000 to estimate posterior distributions. Convergence diagnostics, including R̂ statistics and Effective Sample Size (ESS), were used to validate the models, ensuring credible and stable results.</w:t>
      </w:r>
      <w:r>
        <w:rPr>
          <w:rFonts w:ascii="Times New Roman" w:hAnsi="Times New Roman"/>
          <w:sz w:val="24"/>
          <w:szCs w:val="24"/>
        </w:rPr>
        <w:t xml:space="preserve"> </w:t>
      </w:r>
      <w:r w:rsidRPr="0023485E">
        <w:rPr>
          <w:rFonts w:ascii="Times New Roman" w:hAnsi="Times New Roman"/>
          <w:sz w:val="24"/>
          <w:szCs w:val="24"/>
        </w:rPr>
        <w:t xml:space="preserve"> Model diagnostics ensured convergence (R̂ &lt; 1.01; ESS &gt; 1,500).</w:t>
      </w:r>
      <w:r>
        <w:rPr>
          <w:rFonts w:ascii="Times New Roman" w:hAnsi="Times New Roman"/>
          <w:sz w:val="24"/>
          <w:szCs w:val="24"/>
        </w:rPr>
        <w:t xml:space="preserve"> </w:t>
      </w:r>
    </w:p>
    <w:p w14:paraId="7752BCCF" w14:textId="77777777" w:rsidR="00A83CF6" w:rsidRPr="00CB00B7" w:rsidRDefault="00A83CF6" w:rsidP="00A83CF6">
      <w:pPr>
        <w:spacing w:line="240" w:lineRule="auto"/>
        <w:jc w:val="both"/>
        <w:rPr>
          <w:rFonts w:ascii="Times New Roman" w:hAnsi="Times New Roman"/>
          <w:b/>
          <w:sz w:val="24"/>
          <w:szCs w:val="24"/>
        </w:rPr>
      </w:pPr>
      <w:r>
        <w:rPr>
          <w:rFonts w:ascii="Times New Roman" w:hAnsi="Times New Roman"/>
          <w:b/>
          <w:sz w:val="24"/>
          <w:szCs w:val="24"/>
        </w:rPr>
        <w:t xml:space="preserve">2.5.4 </w:t>
      </w:r>
      <w:r w:rsidRPr="00CB00B7">
        <w:rPr>
          <w:rFonts w:ascii="Times New Roman" w:hAnsi="Times New Roman"/>
          <w:b/>
          <w:sz w:val="24"/>
          <w:szCs w:val="24"/>
        </w:rPr>
        <w:t>Impact Scoring and Ranking</w:t>
      </w:r>
    </w:p>
    <w:p w14:paraId="3C2257B2" w14:textId="77777777" w:rsidR="00A83CF6" w:rsidRPr="0023485E" w:rsidRDefault="00A83CF6" w:rsidP="00A83CF6">
      <w:pPr>
        <w:spacing w:line="240" w:lineRule="auto"/>
        <w:jc w:val="both"/>
        <w:rPr>
          <w:rFonts w:ascii="Times New Roman" w:hAnsi="Times New Roman"/>
          <w:sz w:val="24"/>
          <w:szCs w:val="24"/>
        </w:rPr>
      </w:pPr>
      <w:r w:rsidRPr="007840FC">
        <w:rPr>
          <w:rFonts w:ascii="Times New Roman" w:hAnsi="Times New Roman"/>
          <w:sz w:val="24"/>
          <w:szCs w:val="24"/>
        </w:rPr>
        <w:t>Impact scoring was introduced to translate hazard frequency and severity into a standardized metric that allows systematic ranking and prioritization of affected communities.</w:t>
      </w:r>
      <w:r>
        <w:rPr>
          <w:rFonts w:ascii="Times New Roman" w:hAnsi="Times New Roman"/>
          <w:sz w:val="24"/>
          <w:szCs w:val="24"/>
        </w:rPr>
        <w:t xml:space="preserve"> </w:t>
      </w:r>
      <w:r w:rsidRPr="007840FC">
        <w:rPr>
          <w:rFonts w:ascii="Times New Roman" w:hAnsi="Times New Roman"/>
          <w:sz w:val="24"/>
          <w:szCs w:val="24"/>
        </w:rPr>
        <w:t>To facilitate comparison across hazard types and locations, impact scores were calculated as the product of hazard frequency and severity. These scores were then used to rank affected areas based on both the diversity of hazards experienced and the combined impact levels, thereby establishing a systematic framework for prioritizing intervention in high-risk communities.</w:t>
      </w:r>
    </w:p>
    <w:p w14:paraId="41A70589" w14:textId="77777777" w:rsidR="00A83CF6" w:rsidRPr="009057A1" w:rsidRDefault="00A83CF6" w:rsidP="00A83CF6">
      <w:pPr>
        <w:pStyle w:val="ListParagraph"/>
        <w:numPr>
          <w:ilvl w:val="0"/>
          <w:numId w:val="1"/>
        </w:numPr>
        <w:spacing w:line="240" w:lineRule="auto"/>
        <w:jc w:val="both"/>
        <w:rPr>
          <w:rFonts w:ascii="Times New Roman" w:hAnsi="Times New Roman"/>
          <w:b/>
          <w:sz w:val="24"/>
          <w:szCs w:val="24"/>
        </w:rPr>
      </w:pPr>
      <w:r w:rsidRPr="009057A1">
        <w:rPr>
          <w:rFonts w:ascii="Times New Roman" w:hAnsi="Times New Roman"/>
          <w:b/>
          <w:sz w:val="24"/>
          <w:szCs w:val="24"/>
        </w:rPr>
        <w:t xml:space="preserve">Results </w:t>
      </w:r>
    </w:p>
    <w:p w14:paraId="3F8C2FFD" w14:textId="77777777" w:rsidR="00A83CF6" w:rsidRDefault="00A83CF6" w:rsidP="00A83CF6">
      <w:pPr>
        <w:spacing w:line="240" w:lineRule="auto"/>
        <w:jc w:val="both"/>
        <w:rPr>
          <w:rFonts w:ascii="Times New Roman" w:hAnsi="Times New Roman"/>
          <w:sz w:val="24"/>
          <w:szCs w:val="24"/>
        </w:rPr>
      </w:pPr>
      <w:r w:rsidRPr="001C1E13">
        <w:rPr>
          <w:rFonts w:ascii="Times New Roman" w:hAnsi="Times New Roman"/>
          <w:sz w:val="24"/>
          <w:szCs w:val="24"/>
        </w:rPr>
        <w:t xml:space="preserve">The results </w:t>
      </w:r>
      <w:r>
        <w:rPr>
          <w:rFonts w:ascii="Times New Roman" w:hAnsi="Times New Roman"/>
          <w:sz w:val="24"/>
          <w:szCs w:val="24"/>
        </w:rPr>
        <w:t xml:space="preserve">section </w:t>
      </w:r>
      <w:r w:rsidRPr="001C1E13">
        <w:rPr>
          <w:rFonts w:ascii="Times New Roman" w:hAnsi="Times New Roman"/>
          <w:sz w:val="24"/>
          <w:szCs w:val="24"/>
        </w:rPr>
        <w:t xml:space="preserve">present a comprehensive picture of how communities in the </w:t>
      </w:r>
      <w:proofErr w:type="spellStart"/>
      <w:r>
        <w:rPr>
          <w:rFonts w:ascii="Times New Roman" w:hAnsi="Times New Roman"/>
          <w:sz w:val="24"/>
          <w:szCs w:val="24"/>
        </w:rPr>
        <w:t>Damaturu</w:t>
      </w:r>
      <w:proofErr w:type="spellEnd"/>
      <w:r>
        <w:rPr>
          <w:rFonts w:ascii="Times New Roman" w:hAnsi="Times New Roman"/>
          <w:sz w:val="24"/>
          <w:szCs w:val="24"/>
        </w:rPr>
        <w:t xml:space="preserve"> town;</w:t>
      </w:r>
      <w:r w:rsidRPr="001C1E13">
        <w:rPr>
          <w:rFonts w:ascii="Times New Roman" w:hAnsi="Times New Roman"/>
          <w:sz w:val="24"/>
          <w:szCs w:val="24"/>
        </w:rPr>
        <w:t xml:space="preserve"> perceive, and cope with hazards, beginning with the socioeconomic profile of households that frames their capacity to respond to shocks. Beyond demographics, the findings reveal how preparedness measures are constrained by poverty, weak infrastructure, and limited institutional support, while focus group discussions highlight the voices of residents who link vulnerability to everyday struggles. Quantitative modeling further demonstrates that hazard impacts are not uniform, with certain groups, particularly the poor and less educated while bearing disproportionate risks. </w:t>
      </w:r>
    </w:p>
    <w:p w14:paraId="0019C0E0" w14:textId="77777777" w:rsidR="00A83CF6" w:rsidRPr="001C1E13" w:rsidRDefault="00A83CF6" w:rsidP="00A83CF6">
      <w:pPr>
        <w:spacing w:line="240" w:lineRule="auto"/>
        <w:jc w:val="both"/>
        <w:rPr>
          <w:rFonts w:ascii="Times New Roman" w:hAnsi="Times New Roman"/>
          <w:sz w:val="24"/>
          <w:szCs w:val="24"/>
        </w:rPr>
      </w:pPr>
      <w:r w:rsidRPr="001C1E13">
        <w:rPr>
          <w:rFonts w:ascii="Times New Roman" w:hAnsi="Times New Roman"/>
          <w:sz w:val="24"/>
          <w:szCs w:val="24"/>
        </w:rPr>
        <w:lastRenderedPageBreak/>
        <w:t xml:space="preserve">By applying the Sustainable Livelihood Framework, the analysis uncovers how deficiencies in human, financial, and physical capital converge to heighten vulnerability, and spatial mapping shows that risk is unevenly distributed across </w:t>
      </w:r>
      <w:proofErr w:type="spellStart"/>
      <w:r w:rsidRPr="001C1E13">
        <w:rPr>
          <w:rFonts w:ascii="Times New Roman" w:hAnsi="Times New Roman"/>
          <w:sz w:val="24"/>
          <w:szCs w:val="24"/>
        </w:rPr>
        <w:t>Damaturu’s</w:t>
      </w:r>
      <w:proofErr w:type="spellEnd"/>
      <w:r w:rsidRPr="001C1E13">
        <w:rPr>
          <w:rFonts w:ascii="Times New Roman" w:hAnsi="Times New Roman"/>
          <w:sz w:val="24"/>
          <w:szCs w:val="24"/>
        </w:rPr>
        <w:t xml:space="preserve"> wards. Seasonal and probabilistic analyses reveal that drought, flooding, and epidemics dominate hazard patterns, while Bayesian and spatial models confirm that frequency, severity, and clustering intensify community exposure. Together, these results provide an integrated understanding of vulnerability that blends statistical rigor with human narratives, offering insights essential for building resilience strategies.</w:t>
      </w:r>
      <w:r>
        <w:rPr>
          <w:rFonts w:ascii="Times New Roman" w:hAnsi="Times New Roman"/>
          <w:sz w:val="24"/>
          <w:szCs w:val="24"/>
        </w:rPr>
        <w:t xml:space="preserve"> </w:t>
      </w:r>
    </w:p>
    <w:p w14:paraId="7708FB2F"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3.1 Community Profile and Perception </w:t>
      </w:r>
    </w:p>
    <w:p w14:paraId="2E99218E" w14:textId="77777777" w:rsidR="00A83CF6" w:rsidRPr="009052AD"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This section presents the demographic and socioeconomic profile of the respondents surveyed across the study area.</w:t>
      </w:r>
      <w:r>
        <w:rPr>
          <w:rFonts w:ascii="Times New Roman" w:hAnsi="Times New Roman"/>
          <w:sz w:val="24"/>
          <w:szCs w:val="24"/>
        </w:rPr>
        <w:t xml:space="preserve"> The</w:t>
      </w:r>
      <w:r w:rsidRPr="009052AD">
        <w:rPr>
          <w:rFonts w:ascii="Times New Roman" w:hAnsi="Times New Roman"/>
          <w:sz w:val="24"/>
          <w:szCs w:val="24"/>
        </w:rPr>
        <w:t xml:space="preserve"> section presents the demographic and socioeconomic attributes of respondents, alongside their perceptions of preparedness and vulnerability. Establishing the community profile provides a contextual foundation for interpreting hazard impacts, as factors such as gender, education, and income strongly influence resilience strategies and adaptive capacity. The inclusion of both quantitative and qualitative data ensures that the analysis reflects not only measurable characteristics but also community perceptions and lived experiences.</w:t>
      </w:r>
    </w:p>
    <w:p w14:paraId="43A8FFDB" w14:textId="77777777" w:rsidR="00A83CF6"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 below </w:t>
      </w:r>
      <w:r w:rsidRPr="009052AD">
        <w:rPr>
          <w:rFonts w:ascii="Times New Roman" w:hAnsi="Times New Roman"/>
          <w:sz w:val="24"/>
          <w:szCs w:val="24"/>
        </w:rPr>
        <w:t>was conducted to establish the demographic and socioeconomic background of respondents, which forms the basis for understanding household vulnerability and resilience.</w:t>
      </w:r>
    </w:p>
    <w:p w14:paraId="456C4209"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1. The socioeconomic characteristics of respondents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9"/>
        <w:gridCol w:w="2299"/>
        <w:gridCol w:w="2299"/>
        <w:gridCol w:w="2299"/>
      </w:tblGrid>
      <w:tr w:rsidR="00A83CF6" w:rsidRPr="009057A1" w14:paraId="319E51DF" w14:textId="77777777" w:rsidTr="006C4058">
        <w:trPr>
          <w:trHeight w:val="259"/>
          <w:jc w:val="center"/>
        </w:trPr>
        <w:tc>
          <w:tcPr>
            <w:tcW w:w="2299" w:type="dxa"/>
            <w:tcBorders>
              <w:bottom w:val="single" w:sz="4" w:space="0" w:color="auto"/>
              <w:right w:val="nil"/>
            </w:tcBorders>
            <w:shd w:val="clear" w:color="auto" w:fill="auto"/>
          </w:tcPr>
          <w:p w14:paraId="652E2610"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Variable </w:t>
            </w:r>
          </w:p>
        </w:tc>
        <w:tc>
          <w:tcPr>
            <w:tcW w:w="2299" w:type="dxa"/>
            <w:tcBorders>
              <w:left w:val="nil"/>
              <w:bottom w:val="single" w:sz="4" w:space="0" w:color="auto"/>
              <w:right w:val="nil"/>
            </w:tcBorders>
            <w:shd w:val="clear" w:color="auto" w:fill="auto"/>
          </w:tcPr>
          <w:p w14:paraId="36772900"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Categories</w:t>
            </w:r>
          </w:p>
        </w:tc>
        <w:tc>
          <w:tcPr>
            <w:tcW w:w="2299" w:type="dxa"/>
            <w:tcBorders>
              <w:left w:val="nil"/>
              <w:bottom w:val="single" w:sz="4" w:space="0" w:color="auto"/>
              <w:right w:val="nil"/>
            </w:tcBorders>
            <w:shd w:val="clear" w:color="auto" w:fill="auto"/>
          </w:tcPr>
          <w:p w14:paraId="146CC224"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w:t>
            </w:r>
          </w:p>
        </w:tc>
        <w:tc>
          <w:tcPr>
            <w:tcW w:w="2299" w:type="dxa"/>
            <w:tcBorders>
              <w:left w:val="nil"/>
              <w:bottom w:val="single" w:sz="4" w:space="0" w:color="auto"/>
            </w:tcBorders>
            <w:shd w:val="clear" w:color="auto" w:fill="auto"/>
          </w:tcPr>
          <w:p w14:paraId="2B608A17"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Percentages</w:t>
            </w:r>
          </w:p>
        </w:tc>
      </w:tr>
      <w:tr w:rsidR="00A83CF6" w:rsidRPr="009057A1" w14:paraId="56F1E6A8" w14:textId="77777777" w:rsidTr="006C4058">
        <w:trPr>
          <w:trHeight w:val="259"/>
          <w:jc w:val="center"/>
        </w:trPr>
        <w:tc>
          <w:tcPr>
            <w:tcW w:w="2299" w:type="dxa"/>
            <w:vMerge w:val="restart"/>
            <w:tcBorders>
              <w:bottom w:val="nil"/>
              <w:right w:val="nil"/>
            </w:tcBorders>
            <w:shd w:val="clear" w:color="auto" w:fill="auto"/>
          </w:tcPr>
          <w:p w14:paraId="21B7B6B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Gender</w:t>
            </w:r>
          </w:p>
        </w:tc>
        <w:tc>
          <w:tcPr>
            <w:tcW w:w="2299" w:type="dxa"/>
            <w:tcBorders>
              <w:left w:val="nil"/>
              <w:bottom w:val="nil"/>
              <w:right w:val="nil"/>
            </w:tcBorders>
            <w:shd w:val="clear" w:color="auto" w:fill="auto"/>
          </w:tcPr>
          <w:p w14:paraId="1FE9A17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Male</w:t>
            </w:r>
          </w:p>
        </w:tc>
        <w:tc>
          <w:tcPr>
            <w:tcW w:w="2299" w:type="dxa"/>
            <w:tcBorders>
              <w:left w:val="nil"/>
              <w:bottom w:val="nil"/>
              <w:right w:val="nil"/>
            </w:tcBorders>
            <w:shd w:val="clear" w:color="auto" w:fill="auto"/>
          </w:tcPr>
          <w:p w14:paraId="60E405E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634</w:t>
            </w:r>
          </w:p>
        </w:tc>
        <w:tc>
          <w:tcPr>
            <w:tcW w:w="2299" w:type="dxa"/>
            <w:tcBorders>
              <w:left w:val="nil"/>
              <w:bottom w:val="nil"/>
            </w:tcBorders>
            <w:shd w:val="clear" w:color="auto" w:fill="auto"/>
          </w:tcPr>
          <w:p w14:paraId="26C4620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58.5</w:t>
            </w:r>
          </w:p>
        </w:tc>
      </w:tr>
      <w:tr w:rsidR="00A83CF6" w:rsidRPr="009057A1" w14:paraId="63168705" w14:textId="77777777" w:rsidTr="006C4058">
        <w:trPr>
          <w:trHeight w:val="259"/>
          <w:jc w:val="center"/>
        </w:trPr>
        <w:tc>
          <w:tcPr>
            <w:tcW w:w="2299" w:type="dxa"/>
            <w:vMerge/>
            <w:tcBorders>
              <w:top w:val="nil"/>
              <w:bottom w:val="single" w:sz="4" w:space="0" w:color="auto"/>
              <w:right w:val="nil"/>
            </w:tcBorders>
            <w:shd w:val="clear" w:color="auto" w:fill="auto"/>
          </w:tcPr>
          <w:p w14:paraId="192AB0BF"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14:paraId="15CB509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Female</w:t>
            </w:r>
          </w:p>
        </w:tc>
        <w:tc>
          <w:tcPr>
            <w:tcW w:w="2299" w:type="dxa"/>
            <w:tcBorders>
              <w:top w:val="nil"/>
              <w:left w:val="nil"/>
              <w:bottom w:val="single" w:sz="4" w:space="0" w:color="auto"/>
              <w:right w:val="nil"/>
            </w:tcBorders>
            <w:shd w:val="clear" w:color="auto" w:fill="auto"/>
          </w:tcPr>
          <w:p w14:paraId="33DEF24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450</w:t>
            </w:r>
          </w:p>
        </w:tc>
        <w:tc>
          <w:tcPr>
            <w:tcW w:w="2299" w:type="dxa"/>
            <w:tcBorders>
              <w:top w:val="nil"/>
              <w:left w:val="nil"/>
              <w:bottom w:val="single" w:sz="4" w:space="0" w:color="auto"/>
            </w:tcBorders>
            <w:shd w:val="clear" w:color="auto" w:fill="auto"/>
          </w:tcPr>
          <w:p w14:paraId="0B01E76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41.5</w:t>
            </w:r>
          </w:p>
        </w:tc>
      </w:tr>
      <w:tr w:rsidR="00A83CF6" w:rsidRPr="009057A1" w14:paraId="7DCDF84D" w14:textId="77777777" w:rsidTr="006C4058">
        <w:trPr>
          <w:trHeight w:val="296"/>
          <w:jc w:val="center"/>
        </w:trPr>
        <w:tc>
          <w:tcPr>
            <w:tcW w:w="2299" w:type="dxa"/>
            <w:vMerge w:val="restart"/>
            <w:tcBorders>
              <w:bottom w:val="nil"/>
              <w:right w:val="nil"/>
            </w:tcBorders>
            <w:shd w:val="clear" w:color="auto" w:fill="auto"/>
          </w:tcPr>
          <w:p w14:paraId="7246C4A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Age Groups (Years)</w:t>
            </w:r>
          </w:p>
        </w:tc>
        <w:tc>
          <w:tcPr>
            <w:tcW w:w="2299" w:type="dxa"/>
            <w:tcBorders>
              <w:left w:val="nil"/>
              <w:bottom w:val="nil"/>
              <w:right w:val="nil"/>
            </w:tcBorders>
            <w:shd w:val="clear" w:color="auto" w:fill="auto"/>
          </w:tcPr>
          <w:p w14:paraId="1FF2FB7C"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18-30</w:t>
            </w:r>
          </w:p>
        </w:tc>
        <w:tc>
          <w:tcPr>
            <w:tcW w:w="2299" w:type="dxa"/>
            <w:tcBorders>
              <w:left w:val="nil"/>
              <w:bottom w:val="nil"/>
              <w:right w:val="nil"/>
            </w:tcBorders>
            <w:shd w:val="clear" w:color="auto" w:fill="auto"/>
          </w:tcPr>
          <w:p w14:paraId="47A67C2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274</w:t>
            </w:r>
          </w:p>
        </w:tc>
        <w:tc>
          <w:tcPr>
            <w:tcW w:w="2299" w:type="dxa"/>
            <w:tcBorders>
              <w:left w:val="nil"/>
              <w:bottom w:val="nil"/>
            </w:tcBorders>
            <w:shd w:val="clear" w:color="auto" w:fill="auto"/>
          </w:tcPr>
          <w:p w14:paraId="58F6595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25.3</w:t>
            </w:r>
          </w:p>
        </w:tc>
      </w:tr>
      <w:tr w:rsidR="00A83CF6" w:rsidRPr="009057A1" w14:paraId="06E496C8" w14:textId="77777777" w:rsidTr="006C4058">
        <w:trPr>
          <w:trHeight w:val="259"/>
          <w:jc w:val="center"/>
        </w:trPr>
        <w:tc>
          <w:tcPr>
            <w:tcW w:w="2299" w:type="dxa"/>
            <w:vMerge/>
            <w:tcBorders>
              <w:top w:val="nil"/>
              <w:bottom w:val="nil"/>
              <w:right w:val="nil"/>
            </w:tcBorders>
            <w:shd w:val="clear" w:color="auto" w:fill="auto"/>
          </w:tcPr>
          <w:p w14:paraId="61BBADCA"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7806F61F"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31-50</w:t>
            </w:r>
          </w:p>
        </w:tc>
        <w:tc>
          <w:tcPr>
            <w:tcW w:w="2299" w:type="dxa"/>
            <w:tcBorders>
              <w:top w:val="nil"/>
              <w:left w:val="nil"/>
              <w:bottom w:val="nil"/>
              <w:right w:val="nil"/>
            </w:tcBorders>
            <w:shd w:val="clear" w:color="auto" w:fill="auto"/>
          </w:tcPr>
          <w:p w14:paraId="3E1CF80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473</w:t>
            </w:r>
          </w:p>
        </w:tc>
        <w:tc>
          <w:tcPr>
            <w:tcW w:w="2299" w:type="dxa"/>
            <w:tcBorders>
              <w:top w:val="nil"/>
              <w:left w:val="nil"/>
              <w:bottom w:val="nil"/>
            </w:tcBorders>
            <w:shd w:val="clear" w:color="auto" w:fill="auto"/>
          </w:tcPr>
          <w:p w14:paraId="7862F1D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43.6</w:t>
            </w:r>
          </w:p>
        </w:tc>
      </w:tr>
      <w:tr w:rsidR="00A83CF6" w:rsidRPr="009057A1" w14:paraId="57F004FB" w14:textId="77777777" w:rsidTr="006C4058">
        <w:trPr>
          <w:trHeight w:val="259"/>
          <w:jc w:val="center"/>
        </w:trPr>
        <w:tc>
          <w:tcPr>
            <w:tcW w:w="2299" w:type="dxa"/>
            <w:vMerge/>
            <w:tcBorders>
              <w:top w:val="nil"/>
              <w:bottom w:val="single" w:sz="4" w:space="0" w:color="auto"/>
              <w:right w:val="nil"/>
            </w:tcBorders>
            <w:shd w:val="clear" w:color="auto" w:fill="auto"/>
          </w:tcPr>
          <w:p w14:paraId="0A7929D6"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14:paraId="6546AC8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Above 50</w:t>
            </w:r>
          </w:p>
        </w:tc>
        <w:tc>
          <w:tcPr>
            <w:tcW w:w="2299" w:type="dxa"/>
            <w:tcBorders>
              <w:top w:val="nil"/>
              <w:left w:val="nil"/>
              <w:bottom w:val="single" w:sz="4" w:space="0" w:color="auto"/>
              <w:right w:val="nil"/>
            </w:tcBorders>
            <w:shd w:val="clear" w:color="auto" w:fill="auto"/>
          </w:tcPr>
          <w:p w14:paraId="6356140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337</w:t>
            </w:r>
          </w:p>
        </w:tc>
        <w:tc>
          <w:tcPr>
            <w:tcW w:w="2299" w:type="dxa"/>
            <w:tcBorders>
              <w:top w:val="nil"/>
              <w:left w:val="nil"/>
              <w:bottom w:val="single" w:sz="4" w:space="0" w:color="auto"/>
            </w:tcBorders>
            <w:shd w:val="clear" w:color="auto" w:fill="auto"/>
          </w:tcPr>
          <w:p w14:paraId="784A5D7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31.1</w:t>
            </w:r>
          </w:p>
        </w:tc>
      </w:tr>
      <w:tr w:rsidR="00A83CF6" w:rsidRPr="009057A1" w14:paraId="2E73BCBF" w14:textId="77777777" w:rsidTr="006C4058">
        <w:trPr>
          <w:trHeight w:val="323"/>
          <w:jc w:val="center"/>
        </w:trPr>
        <w:tc>
          <w:tcPr>
            <w:tcW w:w="2299" w:type="dxa"/>
            <w:vMerge w:val="restart"/>
            <w:tcBorders>
              <w:bottom w:val="nil"/>
              <w:right w:val="nil"/>
            </w:tcBorders>
            <w:shd w:val="clear" w:color="auto" w:fill="auto"/>
          </w:tcPr>
          <w:p w14:paraId="2DFBE2EF"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Educational Level </w:t>
            </w:r>
          </w:p>
        </w:tc>
        <w:tc>
          <w:tcPr>
            <w:tcW w:w="2299" w:type="dxa"/>
            <w:tcBorders>
              <w:left w:val="nil"/>
              <w:bottom w:val="nil"/>
              <w:right w:val="nil"/>
            </w:tcBorders>
            <w:shd w:val="clear" w:color="auto" w:fill="auto"/>
          </w:tcPr>
          <w:p w14:paraId="333DA4D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None</w:t>
            </w:r>
          </w:p>
        </w:tc>
        <w:tc>
          <w:tcPr>
            <w:tcW w:w="2299" w:type="dxa"/>
            <w:tcBorders>
              <w:left w:val="nil"/>
              <w:bottom w:val="nil"/>
              <w:right w:val="nil"/>
            </w:tcBorders>
            <w:shd w:val="clear" w:color="auto" w:fill="auto"/>
          </w:tcPr>
          <w:p w14:paraId="5EE8D66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563</w:t>
            </w:r>
          </w:p>
        </w:tc>
        <w:tc>
          <w:tcPr>
            <w:tcW w:w="2299" w:type="dxa"/>
            <w:tcBorders>
              <w:left w:val="nil"/>
              <w:bottom w:val="nil"/>
            </w:tcBorders>
            <w:shd w:val="clear" w:color="auto" w:fill="auto"/>
          </w:tcPr>
          <w:p w14:paraId="2575ACD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51.9</w:t>
            </w:r>
          </w:p>
        </w:tc>
      </w:tr>
      <w:tr w:rsidR="00A83CF6" w:rsidRPr="009057A1" w14:paraId="48B36343" w14:textId="77777777" w:rsidTr="006C4058">
        <w:trPr>
          <w:trHeight w:val="259"/>
          <w:jc w:val="center"/>
        </w:trPr>
        <w:tc>
          <w:tcPr>
            <w:tcW w:w="2299" w:type="dxa"/>
            <w:vMerge/>
            <w:tcBorders>
              <w:top w:val="nil"/>
              <w:bottom w:val="nil"/>
              <w:right w:val="nil"/>
            </w:tcBorders>
            <w:shd w:val="clear" w:color="auto" w:fill="auto"/>
          </w:tcPr>
          <w:p w14:paraId="291CB7AA"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4DBECB2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Primary</w:t>
            </w:r>
          </w:p>
        </w:tc>
        <w:tc>
          <w:tcPr>
            <w:tcW w:w="2299" w:type="dxa"/>
            <w:tcBorders>
              <w:top w:val="nil"/>
              <w:left w:val="nil"/>
              <w:bottom w:val="nil"/>
              <w:right w:val="nil"/>
            </w:tcBorders>
            <w:shd w:val="clear" w:color="auto" w:fill="auto"/>
          </w:tcPr>
          <w:p w14:paraId="2B845B3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109</w:t>
            </w:r>
          </w:p>
        </w:tc>
        <w:tc>
          <w:tcPr>
            <w:tcW w:w="2299" w:type="dxa"/>
            <w:tcBorders>
              <w:top w:val="nil"/>
              <w:left w:val="nil"/>
              <w:bottom w:val="nil"/>
            </w:tcBorders>
            <w:shd w:val="clear" w:color="auto" w:fill="auto"/>
          </w:tcPr>
          <w:p w14:paraId="0FABB10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10.1</w:t>
            </w:r>
          </w:p>
        </w:tc>
      </w:tr>
      <w:tr w:rsidR="00A83CF6" w:rsidRPr="009057A1" w14:paraId="4ADB8019" w14:textId="77777777" w:rsidTr="006C4058">
        <w:trPr>
          <w:trHeight w:val="278"/>
          <w:jc w:val="center"/>
        </w:trPr>
        <w:tc>
          <w:tcPr>
            <w:tcW w:w="2299" w:type="dxa"/>
            <w:vMerge/>
            <w:tcBorders>
              <w:top w:val="nil"/>
              <w:bottom w:val="nil"/>
              <w:right w:val="nil"/>
            </w:tcBorders>
            <w:shd w:val="clear" w:color="auto" w:fill="auto"/>
          </w:tcPr>
          <w:p w14:paraId="24F3D5A3"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39578EF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Secondary </w:t>
            </w:r>
          </w:p>
        </w:tc>
        <w:tc>
          <w:tcPr>
            <w:tcW w:w="2299" w:type="dxa"/>
            <w:tcBorders>
              <w:top w:val="nil"/>
              <w:left w:val="nil"/>
              <w:bottom w:val="nil"/>
              <w:right w:val="nil"/>
            </w:tcBorders>
            <w:shd w:val="clear" w:color="auto" w:fill="auto"/>
          </w:tcPr>
          <w:p w14:paraId="6F13FE1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281</w:t>
            </w:r>
          </w:p>
        </w:tc>
        <w:tc>
          <w:tcPr>
            <w:tcW w:w="2299" w:type="dxa"/>
            <w:tcBorders>
              <w:top w:val="nil"/>
              <w:left w:val="nil"/>
              <w:bottom w:val="nil"/>
            </w:tcBorders>
            <w:shd w:val="clear" w:color="auto" w:fill="auto"/>
          </w:tcPr>
          <w:p w14:paraId="6D07447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25.9</w:t>
            </w:r>
          </w:p>
        </w:tc>
      </w:tr>
      <w:tr w:rsidR="00A83CF6" w:rsidRPr="009057A1" w14:paraId="48B1EC23" w14:textId="77777777" w:rsidTr="006C4058">
        <w:trPr>
          <w:trHeight w:val="259"/>
          <w:jc w:val="center"/>
        </w:trPr>
        <w:tc>
          <w:tcPr>
            <w:tcW w:w="2299" w:type="dxa"/>
            <w:vMerge/>
            <w:tcBorders>
              <w:top w:val="nil"/>
              <w:bottom w:val="single" w:sz="4" w:space="0" w:color="auto"/>
              <w:right w:val="nil"/>
            </w:tcBorders>
            <w:shd w:val="clear" w:color="auto" w:fill="auto"/>
          </w:tcPr>
          <w:p w14:paraId="61CE0F54"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single" w:sz="4" w:space="0" w:color="auto"/>
              <w:right w:val="nil"/>
            </w:tcBorders>
            <w:shd w:val="clear" w:color="auto" w:fill="auto"/>
          </w:tcPr>
          <w:p w14:paraId="392EF7F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Tertiary </w:t>
            </w:r>
          </w:p>
        </w:tc>
        <w:tc>
          <w:tcPr>
            <w:tcW w:w="2299" w:type="dxa"/>
            <w:tcBorders>
              <w:top w:val="nil"/>
              <w:left w:val="nil"/>
              <w:bottom w:val="single" w:sz="4" w:space="0" w:color="auto"/>
              <w:right w:val="nil"/>
            </w:tcBorders>
            <w:shd w:val="clear" w:color="auto" w:fill="auto"/>
          </w:tcPr>
          <w:p w14:paraId="59EB682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131</w:t>
            </w:r>
          </w:p>
        </w:tc>
        <w:tc>
          <w:tcPr>
            <w:tcW w:w="2299" w:type="dxa"/>
            <w:tcBorders>
              <w:top w:val="nil"/>
              <w:left w:val="nil"/>
              <w:bottom w:val="single" w:sz="4" w:space="0" w:color="auto"/>
            </w:tcBorders>
            <w:shd w:val="clear" w:color="auto" w:fill="auto"/>
          </w:tcPr>
          <w:p w14:paraId="3707FE4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12.1</w:t>
            </w:r>
          </w:p>
        </w:tc>
      </w:tr>
      <w:tr w:rsidR="00A83CF6" w:rsidRPr="009057A1" w14:paraId="1E10CCF3" w14:textId="77777777" w:rsidTr="006C4058">
        <w:trPr>
          <w:trHeight w:val="296"/>
          <w:jc w:val="center"/>
        </w:trPr>
        <w:tc>
          <w:tcPr>
            <w:tcW w:w="2299" w:type="dxa"/>
            <w:vMerge w:val="restart"/>
            <w:tcBorders>
              <w:bottom w:val="nil"/>
              <w:right w:val="nil"/>
            </w:tcBorders>
            <w:shd w:val="clear" w:color="auto" w:fill="auto"/>
          </w:tcPr>
          <w:p w14:paraId="6CBCE37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Income Level (Naira)</w:t>
            </w:r>
          </w:p>
        </w:tc>
        <w:tc>
          <w:tcPr>
            <w:tcW w:w="2299" w:type="dxa"/>
            <w:tcBorders>
              <w:left w:val="nil"/>
              <w:bottom w:val="nil"/>
              <w:right w:val="nil"/>
            </w:tcBorders>
            <w:shd w:val="clear" w:color="auto" w:fill="auto"/>
          </w:tcPr>
          <w:p w14:paraId="256F238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0-10,000</w:t>
            </w:r>
          </w:p>
        </w:tc>
        <w:tc>
          <w:tcPr>
            <w:tcW w:w="2299" w:type="dxa"/>
            <w:tcBorders>
              <w:left w:val="nil"/>
              <w:bottom w:val="nil"/>
              <w:right w:val="nil"/>
            </w:tcBorders>
            <w:shd w:val="clear" w:color="auto" w:fill="auto"/>
          </w:tcPr>
          <w:p w14:paraId="33B296A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84</w:t>
            </w:r>
          </w:p>
        </w:tc>
        <w:tc>
          <w:tcPr>
            <w:tcW w:w="2299" w:type="dxa"/>
            <w:tcBorders>
              <w:left w:val="nil"/>
              <w:bottom w:val="nil"/>
            </w:tcBorders>
            <w:shd w:val="clear" w:color="auto" w:fill="auto"/>
          </w:tcPr>
          <w:p w14:paraId="654B8A9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7.7</w:t>
            </w:r>
          </w:p>
        </w:tc>
      </w:tr>
      <w:tr w:rsidR="00A83CF6" w:rsidRPr="009057A1" w14:paraId="3A0C190B" w14:textId="77777777" w:rsidTr="006C4058">
        <w:trPr>
          <w:trHeight w:val="259"/>
          <w:jc w:val="center"/>
        </w:trPr>
        <w:tc>
          <w:tcPr>
            <w:tcW w:w="2299" w:type="dxa"/>
            <w:vMerge/>
            <w:tcBorders>
              <w:top w:val="nil"/>
              <w:bottom w:val="nil"/>
              <w:right w:val="nil"/>
            </w:tcBorders>
            <w:shd w:val="clear" w:color="auto" w:fill="auto"/>
          </w:tcPr>
          <w:p w14:paraId="0593570E"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007F603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10,001-30,000</w:t>
            </w:r>
          </w:p>
        </w:tc>
        <w:tc>
          <w:tcPr>
            <w:tcW w:w="2299" w:type="dxa"/>
            <w:tcBorders>
              <w:top w:val="nil"/>
              <w:left w:val="nil"/>
              <w:bottom w:val="nil"/>
              <w:right w:val="nil"/>
            </w:tcBorders>
            <w:shd w:val="clear" w:color="auto" w:fill="auto"/>
          </w:tcPr>
          <w:p w14:paraId="319B1DA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74</w:t>
            </w:r>
          </w:p>
        </w:tc>
        <w:tc>
          <w:tcPr>
            <w:tcW w:w="2299" w:type="dxa"/>
            <w:tcBorders>
              <w:top w:val="nil"/>
              <w:left w:val="nil"/>
              <w:bottom w:val="nil"/>
            </w:tcBorders>
            <w:shd w:val="clear" w:color="auto" w:fill="auto"/>
          </w:tcPr>
          <w:p w14:paraId="26CDA3A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6.8</w:t>
            </w:r>
          </w:p>
        </w:tc>
      </w:tr>
      <w:tr w:rsidR="00A83CF6" w:rsidRPr="009057A1" w14:paraId="629087D2" w14:textId="77777777" w:rsidTr="006C4058">
        <w:trPr>
          <w:trHeight w:val="278"/>
          <w:jc w:val="center"/>
        </w:trPr>
        <w:tc>
          <w:tcPr>
            <w:tcW w:w="2299" w:type="dxa"/>
            <w:vMerge/>
            <w:tcBorders>
              <w:top w:val="nil"/>
              <w:bottom w:val="nil"/>
              <w:right w:val="nil"/>
            </w:tcBorders>
            <w:shd w:val="clear" w:color="auto" w:fill="auto"/>
          </w:tcPr>
          <w:p w14:paraId="7D29953E"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3F4F76B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30,001-70,000</w:t>
            </w:r>
          </w:p>
        </w:tc>
        <w:tc>
          <w:tcPr>
            <w:tcW w:w="2299" w:type="dxa"/>
            <w:tcBorders>
              <w:top w:val="nil"/>
              <w:left w:val="nil"/>
              <w:bottom w:val="nil"/>
              <w:right w:val="nil"/>
            </w:tcBorders>
            <w:shd w:val="clear" w:color="auto" w:fill="auto"/>
          </w:tcPr>
          <w:p w14:paraId="668B1D6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147</w:t>
            </w:r>
          </w:p>
        </w:tc>
        <w:tc>
          <w:tcPr>
            <w:tcW w:w="2299" w:type="dxa"/>
            <w:tcBorders>
              <w:top w:val="nil"/>
              <w:left w:val="nil"/>
              <w:bottom w:val="nil"/>
            </w:tcBorders>
            <w:shd w:val="clear" w:color="auto" w:fill="auto"/>
          </w:tcPr>
          <w:p w14:paraId="01F3019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13.6</w:t>
            </w:r>
          </w:p>
        </w:tc>
      </w:tr>
      <w:tr w:rsidR="00A83CF6" w:rsidRPr="009057A1" w14:paraId="4387F0C7" w14:textId="77777777" w:rsidTr="006C4058">
        <w:trPr>
          <w:trHeight w:val="259"/>
          <w:jc w:val="center"/>
        </w:trPr>
        <w:tc>
          <w:tcPr>
            <w:tcW w:w="2299" w:type="dxa"/>
            <w:vMerge/>
            <w:tcBorders>
              <w:top w:val="nil"/>
              <w:bottom w:val="nil"/>
              <w:right w:val="nil"/>
            </w:tcBorders>
            <w:shd w:val="clear" w:color="auto" w:fill="auto"/>
          </w:tcPr>
          <w:p w14:paraId="5DB76333"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5F657930"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70,001-250,000</w:t>
            </w:r>
          </w:p>
        </w:tc>
        <w:tc>
          <w:tcPr>
            <w:tcW w:w="2299" w:type="dxa"/>
            <w:tcBorders>
              <w:top w:val="nil"/>
              <w:left w:val="nil"/>
              <w:bottom w:val="nil"/>
              <w:right w:val="nil"/>
            </w:tcBorders>
            <w:shd w:val="clear" w:color="auto" w:fill="auto"/>
          </w:tcPr>
          <w:p w14:paraId="52E7023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187</w:t>
            </w:r>
          </w:p>
        </w:tc>
        <w:tc>
          <w:tcPr>
            <w:tcW w:w="2299" w:type="dxa"/>
            <w:tcBorders>
              <w:top w:val="nil"/>
              <w:left w:val="nil"/>
              <w:bottom w:val="nil"/>
            </w:tcBorders>
            <w:shd w:val="clear" w:color="auto" w:fill="auto"/>
          </w:tcPr>
          <w:p w14:paraId="034D321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17.3</w:t>
            </w:r>
          </w:p>
        </w:tc>
      </w:tr>
      <w:tr w:rsidR="00A83CF6" w:rsidRPr="009057A1" w14:paraId="0694DA7C" w14:textId="77777777" w:rsidTr="006C4058">
        <w:trPr>
          <w:trHeight w:val="259"/>
          <w:jc w:val="center"/>
        </w:trPr>
        <w:tc>
          <w:tcPr>
            <w:tcW w:w="2299" w:type="dxa"/>
            <w:vMerge/>
            <w:tcBorders>
              <w:top w:val="nil"/>
              <w:bottom w:val="nil"/>
              <w:right w:val="nil"/>
            </w:tcBorders>
            <w:shd w:val="clear" w:color="auto" w:fill="auto"/>
          </w:tcPr>
          <w:p w14:paraId="512CDA43"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40BE104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250,001-500,000</w:t>
            </w:r>
          </w:p>
        </w:tc>
        <w:tc>
          <w:tcPr>
            <w:tcW w:w="2299" w:type="dxa"/>
            <w:tcBorders>
              <w:top w:val="nil"/>
              <w:left w:val="nil"/>
              <w:bottom w:val="nil"/>
              <w:right w:val="nil"/>
            </w:tcBorders>
            <w:shd w:val="clear" w:color="auto" w:fill="auto"/>
          </w:tcPr>
          <w:p w14:paraId="56829E9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163</w:t>
            </w:r>
          </w:p>
        </w:tc>
        <w:tc>
          <w:tcPr>
            <w:tcW w:w="2299" w:type="dxa"/>
            <w:tcBorders>
              <w:top w:val="nil"/>
              <w:left w:val="nil"/>
              <w:bottom w:val="nil"/>
            </w:tcBorders>
            <w:shd w:val="clear" w:color="auto" w:fill="auto"/>
          </w:tcPr>
          <w:p w14:paraId="6C0B3FA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15.0</w:t>
            </w:r>
          </w:p>
        </w:tc>
      </w:tr>
      <w:tr w:rsidR="00A83CF6" w:rsidRPr="009057A1" w14:paraId="524174B2" w14:textId="77777777" w:rsidTr="006C4058">
        <w:trPr>
          <w:trHeight w:val="368"/>
          <w:jc w:val="center"/>
        </w:trPr>
        <w:tc>
          <w:tcPr>
            <w:tcW w:w="2299" w:type="dxa"/>
            <w:vMerge/>
            <w:tcBorders>
              <w:top w:val="nil"/>
              <w:bottom w:val="nil"/>
              <w:right w:val="nil"/>
            </w:tcBorders>
            <w:shd w:val="clear" w:color="auto" w:fill="auto"/>
          </w:tcPr>
          <w:p w14:paraId="178E762E"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4F587FD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500,001-1,500,000</w:t>
            </w:r>
          </w:p>
        </w:tc>
        <w:tc>
          <w:tcPr>
            <w:tcW w:w="2299" w:type="dxa"/>
            <w:tcBorders>
              <w:top w:val="nil"/>
              <w:left w:val="nil"/>
              <w:bottom w:val="nil"/>
              <w:right w:val="nil"/>
            </w:tcBorders>
            <w:shd w:val="clear" w:color="auto" w:fill="auto"/>
          </w:tcPr>
          <w:p w14:paraId="112DB06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220</w:t>
            </w:r>
          </w:p>
        </w:tc>
        <w:tc>
          <w:tcPr>
            <w:tcW w:w="2299" w:type="dxa"/>
            <w:tcBorders>
              <w:top w:val="nil"/>
              <w:left w:val="nil"/>
              <w:bottom w:val="nil"/>
            </w:tcBorders>
            <w:shd w:val="clear" w:color="auto" w:fill="auto"/>
          </w:tcPr>
          <w:p w14:paraId="20D6247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20.3</w:t>
            </w:r>
          </w:p>
        </w:tc>
      </w:tr>
      <w:tr w:rsidR="00A83CF6" w:rsidRPr="009057A1" w14:paraId="25E5649C" w14:textId="77777777" w:rsidTr="006C4058">
        <w:trPr>
          <w:trHeight w:val="350"/>
          <w:jc w:val="center"/>
        </w:trPr>
        <w:tc>
          <w:tcPr>
            <w:tcW w:w="2299" w:type="dxa"/>
            <w:vMerge/>
            <w:tcBorders>
              <w:top w:val="nil"/>
              <w:bottom w:val="nil"/>
              <w:right w:val="nil"/>
            </w:tcBorders>
            <w:shd w:val="clear" w:color="auto" w:fill="auto"/>
          </w:tcPr>
          <w:p w14:paraId="3426A27D"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bottom w:val="nil"/>
              <w:right w:val="nil"/>
            </w:tcBorders>
            <w:shd w:val="clear" w:color="auto" w:fill="auto"/>
          </w:tcPr>
          <w:p w14:paraId="4934565F"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1,500.,001-5,000,000</w:t>
            </w:r>
          </w:p>
        </w:tc>
        <w:tc>
          <w:tcPr>
            <w:tcW w:w="2299" w:type="dxa"/>
            <w:tcBorders>
              <w:top w:val="nil"/>
              <w:left w:val="nil"/>
              <w:bottom w:val="nil"/>
              <w:right w:val="nil"/>
            </w:tcBorders>
            <w:shd w:val="clear" w:color="auto" w:fill="auto"/>
          </w:tcPr>
          <w:p w14:paraId="77E266D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111</w:t>
            </w:r>
          </w:p>
        </w:tc>
        <w:tc>
          <w:tcPr>
            <w:tcW w:w="2299" w:type="dxa"/>
            <w:tcBorders>
              <w:top w:val="nil"/>
              <w:left w:val="nil"/>
              <w:bottom w:val="nil"/>
            </w:tcBorders>
            <w:shd w:val="clear" w:color="auto" w:fill="auto"/>
          </w:tcPr>
          <w:p w14:paraId="4390D26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10.2</w:t>
            </w:r>
          </w:p>
        </w:tc>
      </w:tr>
      <w:tr w:rsidR="00A83CF6" w:rsidRPr="009057A1" w14:paraId="41556398" w14:textId="77777777" w:rsidTr="006C4058">
        <w:trPr>
          <w:trHeight w:val="278"/>
          <w:jc w:val="center"/>
        </w:trPr>
        <w:tc>
          <w:tcPr>
            <w:tcW w:w="2299" w:type="dxa"/>
            <w:vMerge/>
            <w:tcBorders>
              <w:top w:val="nil"/>
              <w:right w:val="nil"/>
            </w:tcBorders>
            <w:shd w:val="clear" w:color="auto" w:fill="auto"/>
          </w:tcPr>
          <w:p w14:paraId="6C51734F" w14:textId="77777777" w:rsidR="00A83CF6" w:rsidRPr="009057A1" w:rsidRDefault="00A83CF6" w:rsidP="006C4058">
            <w:pPr>
              <w:spacing w:after="0" w:line="240" w:lineRule="auto"/>
              <w:jc w:val="both"/>
              <w:rPr>
                <w:rFonts w:ascii="Times New Roman" w:eastAsia="Calibri" w:hAnsi="Times New Roman"/>
                <w:sz w:val="24"/>
                <w:szCs w:val="24"/>
              </w:rPr>
            </w:pPr>
          </w:p>
        </w:tc>
        <w:tc>
          <w:tcPr>
            <w:tcW w:w="2299" w:type="dxa"/>
            <w:tcBorders>
              <w:top w:val="nil"/>
              <w:left w:val="nil"/>
              <w:right w:val="nil"/>
            </w:tcBorders>
            <w:shd w:val="clear" w:color="auto" w:fill="auto"/>
          </w:tcPr>
          <w:p w14:paraId="0BC1983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Above 5,000,000</w:t>
            </w:r>
          </w:p>
        </w:tc>
        <w:tc>
          <w:tcPr>
            <w:tcW w:w="2299" w:type="dxa"/>
            <w:tcBorders>
              <w:top w:val="nil"/>
              <w:left w:val="nil"/>
              <w:right w:val="nil"/>
            </w:tcBorders>
            <w:shd w:val="clear" w:color="auto" w:fill="auto"/>
          </w:tcPr>
          <w:p w14:paraId="1CF9027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98</w:t>
            </w:r>
          </w:p>
        </w:tc>
        <w:tc>
          <w:tcPr>
            <w:tcW w:w="2299" w:type="dxa"/>
            <w:tcBorders>
              <w:top w:val="nil"/>
              <w:left w:val="nil"/>
            </w:tcBorders>
            <w:shd w:val="clear" w:color="auto" w:fill="auto"/>
          </w:tcPr>
          <w:p w14:paraId="17E1826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9.0</w:t>
            </w:r>
          </w:p>
        </w:tc>
      </w:tr>
    </w:tbl>
    <w:p w14:paraId="03DA8973"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71D7C256"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Findings indicate a majority of respondents were male (58.5%), with most aged between 31–50 years (43.6%). Over half (51.9%) had no formal education, and income levels varied widely, </w:t>
      </w:r>
      <w:r w:rsidRPr="009057A1">
        <w:rPr>
          <w:rFonts w:ascii="Times New Roman" w:hAnsi="Times New Roman"/>
          <w:sz w:val="24"/>
          <w:szCs w:val="24"/>
        </w:rPr>
        <w:lastRenderedPageBreak/>
        <w:t>with a significant portion (20.3%) earning between ₦500,001 and ₦1,500,000 annually. This diversity is essential for interpreting household vulnerabilities and resilience.</w:t>
      </w:r>
    </w:p>
    <w:p w14:paraId="7D475AF8"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w:t>
      </w:r>
      <w:r>
        <w:rPr>
          <w:rFonts w:ascii="Times New Roman" w:hAnsi="Times New Roman"/>
          <w:sz w:val="24"/>
          <w:szCs w:val="24"/>
        </w:rPr>
        <w:t>e</w:t>
      </w:r>
      <w:r w:rsidRPr="009057A1">
        <w:rPr>
          <w:rFonts w:ascii="Times New Roman" w:hAnsi="Times New Roman"/>
          <w:sz w:val="24"/>
          <w:szCs w:val="24"/>
        </w:rPr>
        <w:t xml:space="preserve"> table</w:t>
      </w:r>
      <w:r>
        <w:rPr>
          <w:rFonts w:ascii="Times New Roman" w:hAnsi="Times New Roman"/>
          <w:sz w:val="24"/>
          <w:szCs w:val="24"/>
        </w:rPr>
        <w:t xml:space="preserve"> 2 below</w:t>
      </w:r>
      <w:r w:rsidRPr="009057A1">
        <w:rPr>
          <w:rFonts w:ascii="Times New Roman" w:hAnsi="Times New Roman"/>
          <w:sz w:val="24"/>
          <w:szCs w:val="24"/>
        </w:rPr>
        <w:t xml:space="preserve"> evaluates household-level </w:t>
      </w:r>
      <w:r w:rsidRPr="009052AD">
        <w:rPr>
          <w:rFonts w:ascii="Times New Roman" w:hAnsi="Times New Roman"/>
          <w:sz w:val="24"/>
          <w:szCs w:val="24"/>
        </w:rPr>
        <w:t>preparedness strategies and the perceived barriers affecting resilience against hazards.</w:t>
      </w:r>
    </w:p>
    <w:p w14:paraId="3579D481" w14:textId="77777777" w:rsidR="00A83CF6" w:rsidRPr="009057A1" w:rsidRDefault="00A83CF6" w:rsidP="00A83CF6">
      <w:pPr>
        <w:rPr>
          <w:rFonts w:ascii="Times New Roman" w:hAnsi="Times New Roman"/>
          <w:sz w:val="24"/>
          <w:szCs w:val="24"/>
        </w:rPr>
      </w:pPr>
      <w:r w:rsidRPr="009057A1">
        <w:rPr>
          <w:rFonts w:ascii="Times New Roman" w:hAnsi="Times New Roman"/>
          <w:sz w:val="24"/>
          <w:szCs w:val="24"/>
        </w:rPr>
        <w:t>Table 2: Household perception off preparedness and resilience</w:t>
      </w:r>
    </w:p>
    <w:tbl>
      <w:tblPr>
        <w:tblW w:w="9632" w:type="dxa"/>
        <w:jc w:val="center"/>
        <w:tblBorders>
          <w:top w:val="single" w:sz="4" w:space="0" w:color="auto"/>
          <w:bottom w:val="single" w:sz="4" w:space="0" w:color="auto"/>
        </w:tblBorders>
        <w:tblLook w:val="04A0" w:firstRow="1" w:lastRow="0" w:firstColumn="1" w:lastColumn="0" w:noHBand="0" w:noVBand="1"/>
      </w:tblPr>
      <w:tblGrid>
        <w:gridCol w:w="2281"/>
        <w:gridCol w:w="2082"/>
        <w:gridCol w:w="1901"/>
        <w:gridCol w:w="3368"/>
      </w:tblGrid>
      <w:tr w:rsidR="00A83CF6" w:rsidRPr="009057A1" w14:paraId="01B26078" w14:textId="77777777" w:rsidTr="006C4058">
        <w:trPr>
          <w:trHeight w:val="518"/>
          <w:jc w:val="center"/>
        </w:trPr>
        <w:tc>
          <w:tcPr>
            <w:tcW w:w="2281" w:type="dxa"/>
            <w:tcBorders>
              <w:top w:val="single" w:sz="4" w:space="0" w:color="auto"/>
              <w:bottom w:val="single" w:sz="4" w:space="0" w:color="auto"/>
            </w:tcBorders>
            <w:shd w:val="clear" w:color="auto" w:fill="auto"/>
            <w:vAlign w:val="center"/>
          </w:tcPr>
          <w:p w14:paraId="1DDA2ECF"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sz w:val="24"/>
                <w:szCs w:val="24"/>
              </w:rPr>
              <w:t>P</w:t>
            </w:r>
            <w:r w:rsidRPr="009057A1">
              <w:rPr>
                <w:rFonts w:ascii="Times New Roman" w:eastAsia="Calibri" w:hAnsi="Times New Roman"/>
                <w:b/>
                <w:sz w:val="24"/>
                <w:szCs w:val="24"/>
              </w:rPr>
              <w:t>reparedness Measure</w:t>
            </w:r>
          </w:p>
        </w:tc>
        <w:tc>
          <w:tcPr>
            <w:tcW w:w="2082" w:type="dxa"/>
            <w:tcBorders>
              <w:top w:val="single" w:sz="4" w:space="0" w:color="auto"/>
              <w:bottom w:val="single" w:sz="4" w:space="0" w:color="auto"/>
            </w:tcBorders>
            <w:shd w:val="clear" w:color="auto" w:fill="auto"/>
            <w:vAlign w:val="center"/>
          </w:tcPr>
          <w:p w14:paraId="56427BC9"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Level of Implementation</w:t>
            </w:r>
          </w:p>
        </w:tc>
        <w:tc>
          <w:tcPr>
            <w:tcW w:w="1901" w:type="dxa"/>
            <w:tcBorders>
              <w:top w:val="single" w:sz="4" w:space="0" w:color="auto"/>
              <w:bottom w:val="single" w:sz="4" w:space="0" w:color="auto"/>
            </w:tcBorders>
            <w:shd w:val="clear" w:color="auto" w:fill="auto"/>
            <w:vAlign w:val="center"/>
          </w:tcPr>
          <w:p w14:paraId="4F93BDE3"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Barrier to Implementation</w:t>
            </w:r>
          </w:p>
        </w:tc>
        <w:tc>
          <w:tcPr>
            <w:tcW w:w="3368" w:type="dxa"/>
            <w:tcBorders>
              <w:top w:val="single" w:sz="4" w:space="0" w:color="auto"/>
              <w:bottom w:val="single" w:sz="4" w:space="0" w:color="auto"/>
            </w:tcBorders>
            <w:shd w:val="clear" w:color="auto" w:fill="auto"/>
            <w:vAlign w:val="center"/>
          </w:tcPr>
          <w:p w14:paraId="71E88E92"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14:paraId="57002F32" w14:textId="77777777" w:rsidTr="006C4058">
        <w:trPr>
          <w:trHeight w:val="1069"/>
          <w:jc w:val="center"/>
        </w:trPr>
        <w:tc>
          <w:tcPr>
            <w:tcW w:w="2281" w:type="dxa"/>
            <w:tcBorders>
              <w:top w:val="single" w:sz="4" w:space="0" w:color="auto"/>
            </w:tcBorders>
            <w:shd w:val="clear" w:color="auto" w:fill="auto"/>
          </w:tcPr>
          <w:p w14:paraId="332B7E9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Early Warning Systems</w:t>
            </w:r>
          </w:p>
        </w:tc>
        <w:tc>
          <w:tcPr>
            <w:tcW w:w="2082" w:type="dxa"/>
            <w:tcBorders>
              <w:top w:val="single" w:sz="4" w:space="0" w:color="auto"/>
            </w:tcBorders>
            <w:shd w:val="clear" w:color="auto" w:fill="auto"/>
          </w:tcPr>
          <w:p w14:paraId="26A413A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c>
          <w:tcPr>
            <w:tcW w:w="1901" w:type="dxa"/>
            <w:tcBorders>
              <w:top w:val="single" w:sz="4" w:space="0" w:color="auto"/>
            </w:tcBorders>
            <w:shd w:val="clear" w:color="auto" w:fill="auto"/>
          </w:tcPr>
          <w:p w14:paraId="7F93430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reliable communication channels.</w:t>
            </w:r>
          </w:p>
        </w:tc>
        <w:tc>
          <w:tcPr>
            <w:tcW w:w="3368" w:type="dxa"/>
            <w:tcBorders>
              <w:top w:val="single" w:sz="4" w:space="0" w:color="auto"/>
            </w:tcBorders>
            <w:shd w:val="clear" w:color="auto" w:fill="auto"/>
          </w:tcPr>
          <w:p w14:paraId="4F80A2A4"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“Most of the time its God sent (hazards)”. </w:t>
            </w:r>
          </w:p>
          <w:p w14:paraId="14EC41B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“It is mainly accident”.</w:t>
            </w:r>
          </w:p>
          <w:p w14:paraId="46A22F5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rarely get warning”.</w:t>
            </w:r>
          </w:p>
        </w:tc>
      </w:tr>
      <w:tr w:rsidR="00A83CF6" w:rsidRPr="009057A1" w14:paraId="5D1471BC" w14:textId="77777777" w:rsidTr="006C4058">
        <w:trPr>
          <w:trHeight w:val="1069"/>
          <w:jc w:val="center"/>
        </w:trPr>
        <w:tc>
          <w:tcPr>
            <w:tcW w:w="2281" w:type="dxa"/>
            <w:shd w:val="clear" w:color="auto" w:fill="auto"/>
          </w:tcPr>
          <w:p w14:paraId="3D1F694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Infrastructure Improvement</w:t>
            </w:r>
          </w:p>
        </w:tc>
        <w:tc>
          <w:tcPr>
            <w:tcW w:w="2082" w:type="dxa"/>
            <w:shd w:val="clear" w:color="auto" w:fill="auto"/>
          </w:tcPr>
          <w:p w14:paraId="7916BA0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c>
          <w:tcPr>
            <w:tcW w:w="1901" w:type="dxa"/>
            <w:shd w:val="clear" w:color="auto" w:fill="auto"/>
          </w:tcPr>
          <w:p w14:paraId="77EACA2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Financial constraints. </w:t>
            </w:r>
          </w:p>
        </w:tc>
        <w:tc>
          <w:tcPr>
            <w:tcW w:w="3368" w:type="dxa"/>
            <w:shd w:val="clear" w:color="auto" w:fill="auto"/>
          </w:tcPr>
          <w:p w14:paraId="055AE61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are mostly poor”.</w:t>
            </w:r>
          </w:p>
          <w:p w14:paraId="0B3A77D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“Some of us that hardly eat 3 meals a day talk less of building modern homes”. </w:t>
            </w:r>
          </w:p>
        </w:tc>
      </w:tr>
      <w:tr w:rsidR="00A83CF6" w:rsidRPr="009057A1" w14:paraId="23D9B7B8" w14:textId="77777777" w:rsidTr="006C4058">
        <w:trPr>
          <w:trHeight w:val="1069"/>
          <w:jc w:val="center"/>
        </w:trPr>
        <w:tc>
          <w:tcPr>
            <w:tcW w:w="2281" w:type="dxa"/>
            <w:shd w:val="clear" w:color="auto" w:fill="auto"/>
          </w:tcPr>
          <w:p w14:paraId="745C121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Community Training</w:t>
            </w:r>
          </w:p>
        </w:tc>
        <w:tc>
          <w:tcPr>
            <w:tcW w:w="2082" w:type="dxa"/>
            <w:shd w:val="clear" w:color="auto" w:fill="auto"/>
          </w:tcPr>
          <w:p w14:paraId="0B2EB93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c>
          <w:tcPr>
            <w:tcW w:w="1901" w:type="dxa"/>
            <w:shd w:val="clear" w:color="auto" w:fill="auto"/>
          </w:tcPr>
          <w:p w14:paraId="1A839FE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Limited outreach. </w:t>
            </w:r>
          </w:p>
        </w:tc>
        <w:tc>
          <w:tcPr>
            <w:tcW w:w="3368" w:type="dxa"/>
            <w:shd w:val="clear" w:color="auto" w:fill="auto"/>
          </w:tcPr>
          <w:p w14:paraId="4699907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are learned, they know all these technicalities”.</w:t>
            </w:r>
          </w:p>
          <w:p w14:paraId="0C473C1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attended one or more workshops and trainings”.</w:t>
            </w:r>
          </w:p>
        </w:tc>
      </w:tr>
    </w:tbl>
    <w:p w14:paraId="7269D480"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FGD, 2025. </w:t>
      </w:r>
    </w:p>
    <w:p w14:paraId="610A175A"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Early warning systems and infrastructure upgrades were poorly implemented due to financial constraints and communication gaps. Moderate uptake of community training was noted. Respondents expressed dependency on divine fate and community-based knowledge.</w:t>
      </w:r>
    </w:p>
    <w:p w14:paraId="5B2EC46A"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result in </w:t>
      </w:r>
      <w:r w:rsidRPr="009052AD">
        <w:rPr>
          <w:rFonts w:ascii="Times New Roman" w:hAnsi="Times New Roman"/>
          <w:sz w:val="24"/>
          <w:szCs w:val="24"/>
        </w:rPr>
        <w:t xml:space="preserve">table </w:t>
      </w:r>
      <w:r>
        <w:rPr>
          <w:rFonts w:ascii="Times New Roman" w:hAnsi="Times New Roman"/>
          <w:sz w:val="24"/>
          <w:szCs w:val="24"/>
        </w:rPr>
        <w:t xml:space="preserve">3 </w:t>
      </w:r>
      <w:r w:rsidRPr="009052AD">
        <w:rPr>
          <w:rFonts w:ascii="Times New Roman" w:hAnsi="Times New Roman"/>
          <w:sz w:val="24"/>
          <w:szCs w:val="24"/>
        </w:rPr>
        <w:t>was conducted to identify and categorize the major challenges participants highlighted in coping with hazards.</w:t>
      </w:r>
    </w:p>
    <w:p w14:paraId="2C3205DA" w14:textId="77777777" w:rsidR="00A83CF6" w:rsidRPr="009057A1" w:rsidRDefault="00A83CF6" w:rsidP="00A83CF6">
      <w:pPr>
        <w:rPr>
          <w:rFonts w:ascii="Times New Roman" w:hAnsi="Times New Roman"/>
          <w:sz w:val="24"/>
          <w:szCs w:val="24"/>
        </w:rPr>
      </w:pPr>
      <w:r w:rsidRPr="009057A1">
        <w:rPr>
          <w:rFonts w:ascii="Times New Roman" w:hAnsi="Times New Roman"/>
          <w:sz w:val="24"/>
          <w:szCs w:val="24"/>
        </w:rPr>
        <w:t xml:space="preserve">Table 3: Challenges highlighted by the participants  </w:t>
      </w:r>
    </w:p>
    <w:tbl>
      <w:tblPr>
        <w:tblW w:w="0" w:type="auto"/>
        <w:tblBorders>
          <w:top w:val="single" w:sz="4" w:space="0" w:color="auto"/>
          <w:bottom w:val="single" w:sz="4" w:space="0" w:color="auto"/>
        </w:tblBorders>
        <w:tblLook w:val="04A0" w:firstRow="1" w:lastRow="0" w:firstColumn="1" w:lastColumn="0" w:noHBand="0" w:noVBand="1"/>
      </w:tblPr>
      <w:tblGrid>
        <w:gridCol w:w="2268"/>
        <w:gridCol w:w="1710"/>
        <w:gridCol w:w="5598"/>
      </w:tblGrid>
      <w:tr w:rsidR="00A83CF6" w:rsidRPr="009057A1" w14:paraId="4ABEC942" w14:textId="77777777" w:rsidTr="006C4058">
        <w:tc>
          <w:tcPr>
            <w:tcW w:w="2268" w:type="dxa"/>
            <w:tcBorders>
              <w:top w:val="single" w:sz="4" w:space="0" w:color="auto"/>
              <w:bottom w:val="single" w:sz="4" w:space="0" w:color="auto"/>
            </w:tcBorders>
            <w:shd w:val="clear" w:color="auto" w:fill="auto"/>
            <w:vAlign w:val="center"/>
          </w:tcPr>
          <w:p w14:paraId="161752E4"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Challenges</w:t>
            </w:r>
          </w:p>
        </w:tc>
        <w:tc>
          <w:tcPr>
            <w:tcW w:w="1710" w:type="dxa"/>
            <w:tcBorders>
              <w:top w:val="single" w:sz="4" w:space="0" w:color="auto"/>
              <w:bottom w:val="single" w:sz="4" w:space="0" w:color="auto"/>
            </w:tcBorders>
            <w:shd w:val="clear" w:color="auto" w:fill="auto"/>
            <w:vAlign w:val="center"/>
          </w:tcPr>
          <w:p w14:paraId="17D3AE60"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of Mention (n)</w:t>
            </w:r>
          </w:p>
        </w:tc>
        <w:tc>
          <w:tcPr>
            <w:tcW w:w="5598" w:type="dxa"/>
            <w:tcBorders>
              <w:top w:val="single" w:sz="4" w:space="0" w:color="auto"/>
              <w:bottom w:val="single" w:sz="4" w:space="0" w:color="auto"/>
            </w:tcBorders>
            <w:shd w:val="clear" w:color="auto" w:fill="auto"/>
            <w:vAlign w:val="center"/>
          </w:tcPr>
          <w:p w14:paraId="2ED55F89"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14:paraId="0254A461" w14:textId="77777777" w:rsidTr="006C4058">
        <w:tc>
          <w:tcPr>
            <w:tcW w:w="2268" w:type="dxa"/>
            <w:tcBorders>
              <w:top w:val="single" w:sz="4" w:space="0" w:color="auto"/>
            </w:tcBorders>
            <w:shd w:val="clear" w:color="auto" w:fill="auto"/>
          </w:tcPr>
          <w:p w14:paraId="143BD58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early warning systems</w:t>
            </w:r>
          </w:p>
        </w:tc>
        <w:tc>
          <w:tcPr>
            <w:tcW w:w="1710" w:type="dxa"/>
            <w:tcBorders>
              <w:top w:val="single" w:sz="4" w:space="0" w:color="auto"/>
            </w:tcBorders>
            <w:shd w:val="clear" w:color="auto" w:fill="auto"/>
          </w:tcPr>
          <w:p w14:paraId="567C3D4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w:t>
            </w:r>
          </w:p>
        </w:tc>
        <w:tc>
          <w:tcPr>
            <w:tcW w:w="5598" w:type="dxa"/>
            <w:tcBorders>
              <w:top w:val="single" w:sz="4" w:space="0" w:color="auto"/>
            </w:tcBorders>
            <w:shd w:val="clear" w:color="auto" w:fill="auto"/>
          </w:tcPr>
          <w:p w14:paraId="774738A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only know a flood is coming when the water starts entering our homes or we realize drought when our plants start drying up”.</w:t>
            </w:r>
          </w:p>
        </w:tc>
      </w:tr>
      <w:tr w:rsidR="00A83CF6" w:rsidRPr="009057A1" w14:paraId="2CCF430E" w14:textId="77777777" w:rsidTr="006C4058">
        <w:tc>
          <w:tcPr>
            <w:tcW w:w="2268" w:type="dxa"/>
            <w:shd w:val="clear" w:color="auto" w:fill="auto"/>
          </w:tcPr>
          <w:p w14:paraId="0432C4B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Limited access to financial resources</w:t>
            </w:r>
          </w:p>
        </w:tc>
        <w:tc>
          <w:tcPr>
            <w:tcW w:w="1710" w:type="dxa"/>
            <w:shd w:val="clear" w:color="auto" w:fill="auto"/>
          </w:tcPr>
          <w:p w14:paraId="2AB1E2D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w:t>
            </w:r>
          </w:p>
        </w:tc>
        <w:tc>
          <w:tcPr>
            <w:tcW w:w="5598" w:type="dxa"/>
            <w:shd w:val="clear" w:color="auto" w:fill="auto"/>
          </w:tcPr>
          <w:p w14:paraId="0558700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“We don’t have the money to repair our homes or prepare or disasters”. </w:t>
            </w:r>
          </w:p>
        </w:tc>
      </w:tr>
      <w:tr w:rsidR="00A83CF6" w:rsidRPr="009057A1" w14:paraId="6437DF8F" w14:textId="77777777" w:rsidTr="006C4058">
        <w:tc>
          <w:tcPr>
            <w:tcW w:w="2268" w:type="dxa"/>
            <w:shd w:val="clear" w:color="auto" w:fill="auto"/>
          </w:tcPr>
          <w:p w14:paraId="264C453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Inadequate Government support</w:t>
            </w:r>
          </w:p>
        </w:tc>
        <w:tc>
          <w:tcPr>
            <w:tcW w:w="1710" w:type="dxa"/>
            <w:shd w:val="clear" w:color="auto" w:fill="auto"/>
          </w:tcPr>
          <w:p w14:paraId="570932D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w:t>
            </w:r>
          </w:p>
        </w:tc>
        <w:tc>
          <w:tcPr>
            <w:tcW w:w="5598" w:type="dxa"/>
            <w:shd w:val="clear" w:color="auto" w:fill="auto"/>
          </w:tcPr>
          <w:p w14:paraId="16F0B6C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“The aid provided is not always sufficient to meet everyone, and in most cases we are on our own”.</w:t>
            </w:r>
          </w:p>
          <w:p w14:paraId="2BA1409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“Yes, they do come (Government assistance) but sometimes they don’t come back after they left”. </w:t>
            </w:r>
          </w:p>
        </w:tc>
      </w:tr>
      <w:tr w:rsidR="00A83CF6" w:rsidRPr="009057A1" w14:paraId="4D9319C3" w14:textId="77777777" w:rsidTr="006C4058">
        <w:tc>
          <w:tcPr>
            <w:tcW w:w="2268" w:type="dxa"/>
            <w:shd w:val="clear" w:color="auto" w:fill="auto"/>
          </w:tcPr>
          <w:p w14:paraId="4E8850B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Poor infrastructure</w:t>
            </w:r>
          </w:p>
        </w:tc>
        <w:tc>
          <w:tcPr>
            <w:tcW w:w="1710" w:type="dxa"/>
            <w:shd w:val="clear" w:color="auto" w:fill="auto"/>
          </w:tcPr>
          <w:p w14:paraId="5E8D0ED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w:t>
            </w:r>
          </w:p>
        </w:tc>
        <w:tc>
          <w:tcPr>
            <w:tcW w:w="5598" w:type="dxa"/>
            <w:shd w:val="clear" w:color="auto" w:fill="auto"/>
          </w:tcPr>
          <w:p w14:paraId="647F14D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“Our roads and drainage systems in most cases (during flood) cannot handle heavy downpour of the rainfall”.</w:t>
            </w:r>
          </w:p>
          <w:p w14:paraId="7A4F419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“As for epidemic, it is mainly God’s sent, and when it hits, the hospitals bed spaces finishes within blink of an </w:t>
            </w:r>
            <w:r w:rsidRPr="009057A1">
              <w:rPr>
                <w:rFonts w:ascii="Times New Roman" w:eastAsia="Calibri" w:hAnsi="Times New Roman"/>
                <w:sz w:val="24"/>
                <w:szCs w:val="24"/>
              </w:rPr>
              <w:lastRenderedPageBreak/>
              <w:t xml:space="preserve">eye”.  </w:t>
            </w:r>
          </w:p>
        </w:tc>
      </w:tr>
    </w:tbl>
    <w:p w14:paraId="1F502FC6"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lastRenderedPageBreak/>
        <w:t xml:space="preserve">Source: FGD, 2025. </w:t>
      </w:r>
    </w:p>
    <w:p w14:paraId="624581EA"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Top challenges included poor infrastructure, limited access to financial resources, and insufficient government support. Participants expressed deep frustration over lack of early warning systems and emergency response capacity.</w:t>
      </w:r>
    </w:p>
    <w:p w14:paraId="1F95D6AF"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3.1.1 FGD Themes and Subthemes on Hazard Perception and Vulnerability</w:t>
      </w:r>
    </w:p>
    <w:p w14:paraId="5259C7E6"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The table 4 presents key qualitative insights from focus group discussions (FGDs) exploring hazard perception and socio-economic vulnerability.</w:t>
      </w:r>
    </w:p>
    <w:p w14:paraId="5956919A"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4: FGD themes and subthemes </w:t>
      </w:r>
    </w:p>
    <w:tbl>
      <w:tblPr>
        <w:tblW w:w="0" w:type="auto"/>
        <w:jc w:val="center"/>
        <w:tblBorders>
          <w:top w:val="single" w:sz="4" w:space="0" w:color="auto"/>
          <w:bottom w:val="single" w:sz="4" w:space="0" w:color="auto"/>
        </w:tblBorders>
        <w:tblLook w:val="04A0" w:firstRow="1" w:lastRow="0" w:firstColumn="1" w:lastColumn="0" w:noHBand="0" w:noVBand="1"/>
      </w:tblPr>
      <w:tblGrid>
        <w:gridCol w:w="1728"/>
        <w:gridCol w:w="1710"/>
        <w:gridCol w:w="3600"/>
        <w:gridCol w:w="2538"/>
      </w:tblGrid>
      <w:tr w:rsidR="00A83CF6" w:rsidRPr="009057A1" w14:paraId="658547FB" w14:textId="77777777" w:rsidTr="006C4058">
        <w:trPr>
          <w:trHeight w:val="503"/>
          <w:jc w:val="center"/>
        </w:trPr>
        <w:tc>
          <w:tcPr>
            <w:tcW w:w="1728" w:type="dxa"/>
            <w:tcBorders>
              <w:top w:val="single" w:sz="4" w:space="0" w:color="auto"/>
              <w:bottom w:val="single" w:sz="4" w:space="0" w:color="auto"/>
            </w:tcBorders>
            <w:shd w:val="clear" w:color="auto" w:fill="auto"/>
            <w:vAlign w:val="center"/>
          </w:tcPr>
          <w:p w14:paraId="691CB2FC"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Theme</w:t>
            </w:r>
          </w:p>
        </w:tc>
        <w:tc>
          <w:tcPr>
            <w:tcW w:w="1710" w:type="dxa"/>
            <w:tcBorders>
              <w:top w:val="single" w:sz="4" w:space="0" w:color="auto"/>
              <w:bottom w:val="single" w:sz="4" w:space="0" w:color="auto"/>
            </w:tcBorders>
            <w:shd w:val="clear" w:color="auto" w:fill="auto"/>
            <w:vAlign w:val="center"/>
          </w:tcPr>
          <w:p w14:paraId="0D0B58EC"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Subtheme</w:t>
            </w:r>
          </w:p>
        </w:tc>
        <w:tc>
          <w:tcPr>
            <w:tcW w:w="3600" w:type="dxa"/>
            <w:tcBorders>
              <w:top w:val="single" w:sz="4" w:space="0" w:color="auto"/>
              <w:bottom w:val="single" w:sz="4" w:space="0" w:color="auto"/>
            </w:tcBorders>
            <w:shd w:val="clear" w:color="auto" w:fill="auto"/>
            <w:vAlign w:val="center"/>
          </w:tcPr>
          <w:p w14:paraId="075F1461"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Key Insight/Findings</w:t>
            </w:r>
          </w:p>
        </w:tc>
        <w:tc>
          <w:tcPr>
            <w:tcW w:w="2538" w:type="dxa"/>
            <w:tcBorders>
              <w:top w:val="single" w:sz="4" w:space="0" w:color="auto"/>
              <w:bottom w:val="single" w:sz="4" w:space="0" w:color="auto"/>
            </w:tcBorders>
            <w:shd w:val="clear" w:color="auto" w:fill="auto"/>
            <w:vAlign w:val="center"/>
          </w:tcPr>
          <w:p w14:paraId="659D7B04"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14:paraId="39B33E61" w14:textId="77777777" w:rsidTr="006C4058">
        <w:trPr>
          <w:jc w:val="center"/>
        </w:trPr>
        <w:tc>
          <w:tcPr>
            <w:tcW w:w="1728" w:type="dxa"/>
            <w:tcBorders>
              <w:top w:val="single" w:sz="4" w:space="0" w:color="auto"/>
              <w:bottom w:val="single" w:sz="4" w:space="0" w:color="auto"/>
            </w:tcBorders>
            <w:shd w:val="clear" w:color="auto" w:fill="auto"/>
          </w:tcPr>
          <w:p w14:paraId="452747D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Hazard perception</w:t>
            </w:r>
          </w:p>
        </w:tc>
        <w:tc>
          <w:tcPr>
            <w:tcW w:w="1710" w:type="dxa"/>
            <w:tcBorders>
              <w:top w:val="single" w:sz="4" w:space="0" w:color="auto"/>
              <w:bottom w:val="single" w:sz="4" w:space="0" w:color="auto"/>
            </w:tcBorders>
            <w:shd w:val="clear" w:color="auto" w:fill="auto"/>
          </w:tcPr>
          <w:p w14:paraId="0EFCE7C4"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Increased frequency of flood, drought, windstorm and fire outbreaks is reported</w:t>
            </w:r>
          </w:p>
        </w:tc>
        <w:tc>
          <w:tcPr>
            <w:tcW w:w="3600" w:type="dxa"/>
            <w:tcBorders>
              <w:top w:val="single" w:sz="4" w:space="0" w:color="auto"/>
              <w:bottom w:val="single" w:sz="4" w:space="0" w:color="auto"/>
            </w:tcBorders>
            <w:shd w:val="clear" w:color="auto" w:fill="auto"/>
          </w:tcPr>
          <w:p w14:paraId="1754150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increase in these forms of hazards occurrences and also longer duration of flood, drought and windstorm and resurfacing of Boko Haram attacks as compare to past years. </w:t>
            </w:r>
          </w:p>
        </w:tc>
        <w:tc>
          <w:tcPr>
            <w:tcW w:w="2538" w:type="dxa"/>
            <w:tcBorders>
              <w:top w:val="single" w:sz="4" w:space="0" w:color="auto"/>
              <w:bottom w:val="single" w:sz="4" w:space="0" w:color="auto"/>
            </w:tcBorders>
            <w:shd w:val="clear" w:color="auto" w:fill="auto"/>
          </w:tcPr>
          <w:p w14:paraId="0FB8A58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 drought, sandstorm and fire outbreak become more frequent lately”.</w:t>
            </w:r>
          </w:p>
        </w:tc>
      </w:tr>
      <w:tr w:rsidR="00A83CF6" w:rsidRPr="009057A1" w14:paraId="5F376EC3" w14:textId="77777777" w:rsidTr="006C4058">
        <w:trPr>
          <w:jc w:val="center"/>
        </w:trPr>
        <w:tc>
          <w:tcPr>
            <w:tcW w:w="1728" w:type="dxa"/>
            <w:tcBorders>
              <w:top w:val="single" w:sz="4" w:space="0" w:color="auto"/>
              <w:bottom w:val="single" w:sz="4" w:space="0" w:color="auto"/>
            </w:tcBorders>
            <w:shd w:val="clear" w:color="auto" w:fill="auto"/>
          </w:tcPr>
          <w:p w14:paraId="2C6CDF4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Socio economic vulnerability</w:t>
            </w:r>
          </w:p>
        </w:tc>
        <w:tc>
          <w:tcPr>
            <w:tcW w:w="1710" w:type="dxa"/>
            <w:tcBorders>
              <w:top w:val="single" w:sz="4" w:space="0" w:color="auto"/>
              <w:bottom w:val="single" w:sz="4" w:space="0" w:color="auto"/>
            </w:tcBorders>
            <w:shd w:val="clear" w:color="auto" w:fill="auto"/>
          </w:tcPr>
          <w:p w14:paraId="67BDE6E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Income disparities</w:t>
            </w:r>
          </w:p>
        </w:tc>
        <w:tc>
          <w:tcPr>
            <w:tcW w:w="3600" w:type="dxa"/>
            <w:tcBorders>
              <w:top w:val="single" w:sz="4" w:space="0" w:color="auto"/>
              <w:bottom w:val="single" w:sz="4" w:space="0" w:color="auto"/>
            </w:tcBorders>
            <w:shd w:val="clear" w:color="auto" w:fill="auto"/>
          </w:tcPr>
          <w:p w14:paraId="7B4F21E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that low-income households face higher risks and slower recovery across all hazards. </w:t>
            </w:r>
          </w:p>
        </w:tc>
        <w:tc>
          <w:tcPr>
            <w:tcW w:w="2538" w:type="dxa"/>
            <w:tcBorders>
              <w:top w:val="single" w:sz="4" w:space="0" w:color="auto"/>
              <w:bottom w:val="single" w:sz="4" w:space="0" w:color="auto"/>
            </w:tcBorders>
            <w:shd w:val="clear" w:color="auto" w:fill="auto"/>
          </w:tcPr>
          <w:p w14:paraId="25D45E6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cannot afford to rebuild quickly like the others after the disaster”.</w:t>
            </w:r>
          </w:p>
        </w:tc>
      </w:tr>
      <w:tr w:rsidR="00A83CF6" w:rsidRPr="009057A1" w14:paraId="2DC1EDE8" w14:textId="77777777" w:rsidTr="006C4058">
        <w:trPr>
          <w:jc w:val="center"/>
        </w:trPr>
        <w:tc>
          <w:tcPr>
            <w:tcW w:w="1728" w:type="dxa"/>
            <w:tcBorders>
              <w:top w:val="single" w:sz="4" w:space="0" w:color="auto"/>
              <w:bottom w:val="single" w:sz="4" w:space="0" w:color="auto"/>
            </w:tcBorders>
            <w:shd w:val="clear" w:color="auto" w:fill="auto"/>
          </w:tcPr>
          <w:p w14:paraId="6CA10FA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Gender based disparity</w:t>
            </w:r>
          </w:p>
        </w:tc>
        <w:tc>
          <w:tcPr>
            <w:tcW w:w="1710" w:type="dxa"/>
            <w:tcBorders>
              <w:top w:val="single" w:sz="4" w:space="0" w:color="auto"/>
              <w:bottom w:val="single" w:sz="4" w:space="0" w:color="auto"/>
            </w:tcBorders>
            <w:shd w:val="clear" w:color="auto" w:fill="auto"/>
          </w:tcPr>
          <w:p w14:paraId="79E220D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Women and children at risk during hazards. </w:t>
            </w:r>
          </w:p>
        </w:tc>
        <w:tc>
          <w:tcPr>
            <w:tcW w:w="3600" w:type="dxa"/>
            <w:tcBorders>
              <w:top w:val="single" w:sz="4" w:space="0" w:color="auto"/>
              <w:bottom w:val="single" w:sz="4" w:space="0" w:color="auto"/>
            </w:tcBorders>
            <w:shd w:val="clear" w:color="auto" w:fill="auto"/>
          </w:tcPr>
          <w:p w14:paraId="73134B6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Participants reported that women and children are disproportionately affected most. </w:t>
            </w:r>
          </w:p>
        </w:tc>
        <w:tc>
          <w:tcPr>
            <w:tcW w:w="2538" w:type="dxa"/>
            <w:tcBorders>
              <w:top w:val="single" w:sz="4" w:space="0" w:color="auto"/>
              <w:bottom w:val="single" w:sz="4" w:space="0" w:color="auto"/>
            </w:tcBorders>
            <w:shd w:val="clear" w:color="auto" w:fill="auto"/>
          </w:tcPr>
          <w:p w14:paraId="464059C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“During hazards, women and children suffer most because of the lack of shelter”. </w:t>
            </w:r>
          </w:p>
        </w:tc>
      </w:tr>
    </w:tbl>
    <w:p w14:paraId="03D0AE5C"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FGD, 2025. </w:t>
      </w:r>
    </w:p>
    <w:p w14:paraId="77BDA110"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sz w:val="24"/>
          <w:szCs w:val="24"/>
        </w:rPr>
        <w:t>The focus group discussions reveal a heightened community awareness of increasing environmental and anthropogenic hazards. Participants observed increased frequency and intensity of hazards such as flooding and drought. Socioeconomic disparities were pronounced, with women, children, and low-income households highlighted as most vulnerable. These findings reveal perceptual trends essential for adaptive planning. These insights suggest that both structural inequalities and environmental pressures converge to exacerbate community risk exposure.</w:t>
      </w:r>
    </w:p>
    <w:p w14:paraId="40D8D202"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3.2 Quantitative Hazard Impact Modeling </w:t>
      </w:r>
    </w:p>
    <w:p w14:paraId="58FD5F7B" w14:textId="77777777"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This section quantitatively analyzes the extent and variation of hazard impacts across households. By examining different hazard types and their outcomes</w:t>
      </w:r>
      <w:r>
        <w:rPr>
          <w:rFonts w:ascii="Times New Roman" w:hAnsi="Times New Roman"/>
          <w:sz w:val="24"/>
          <w:szCs w:val="24"/>
        </w:rPr>
        <w:t xml:space="preserve">; i.e., </w:t>
      </w:r>
      <w:r w:rsidRPr="009052AD">
        <w:rPr>
          <w:rFonts w:ascii="Times New Roman" w:hAnsi="Times New Roman"/>
          <w:sz w:val="24"/>
          <w:szCs w:val="24"/>
        </w:rPr>
        <w:t>ranging from loss of lives to displacement</w:t>
      </w:r>
      <w:r>
        <w:rPr>
          <w:rFonts w:ascii="Times New Roman" w:hAnsi="Times New Roman"/>
          <w:sz w:val="24"/>
          <w:szCs w:val="24"/>
        </w:rPr>
        <w:t xml:space="preserve">, </w:t>
      </w:r>
      <w:r w:rsidRPr="009052AD">
        <w:rPr>
          <w:rFonts w:ascii="Times New Roman" w:hAnsi="Times New Roman"/>
          <w:sz w:val="24"/>
          <w:szCs w:val="24"/>
        </w:rPr>
        <w:t>the section highlights the differentiated ways communities experience risks. Statistical modeling through ANOVA and regression is applied to test group-level differences and identify predictors of disaster severity, thereby offering an evidence-based foundation for prioritizing interventions.</w:t>
      </w:r>
    </w:p>
    <w:p w14:paraId="0B44D9D6"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lastRenderedPageBreak/>
        <w:t>Th</w:t>
      </w:r>
      <w:r>
        <w:rPr>
          <w:rFonts w:ascii="Times New Roman" w:hAnsi="Times New Roman"/>
          <w:sz w:val="24"/>
          <w:szCs w:val="24"/>
        </w:rPr>
        <w:t>e result in</w:t>
      </w:r>
      <w:r w:rsidRPr="009052AD">
        <w:rPr>
          <w:rFonts w:ascii="Times New Roman" w:hAnsi="Times New Roman"/>
          <w:sz w:val="24"/>
          <w:szCs w:val="24"/>
        </w:rPr>
        <w:t xml:space="preserve"> table </w:t>
      </w:r>
      <w:r>
        <w:rPr>
          <w:rFonts w:ascii="Times New Roman" w:hAnsi="Times New Roman"/>
          <w:sz w:val="24"/>
          <w:szCs w:val="24"/>
        </w:rPr>
        <w:t xml:space="preserve">5 </w:t>
      </w:r>
      <w:r w:rsidRPr="009052AD">
        <w:rPr>
          <w:rFonts w:ascii="Times New Roman" w:hAnsi="Times New Roman"/>
          <w:sz w:val="24"/>
          <w:szCs w:val="24"/>
        </w:rPr>
        <w:t>was included to quantify the multiple dimensions of hazard impacts across households, including lives, property, livelihoods, displacement, and health.</w:t>
      </w:r>
    </w:p>
    <w:p w14:paraId="6B65ACA6"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5: Impacts of hazards on households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25"/>
        <w:gridCol w:w="392"/>
        <w:gridCol w:w="3101"/>
        <w:gridCol w:w="1799"/>
        <w:gridCol w:w="1799"/>
      </w:tblGrid>
      <w:tr w:rsidR="00A83CF6" w:rsidRPr="009057A1" w14:paraId="040125D6" w14:textId="77777777" w:rsidTr="006C4058">
        <w:trPr>
          <w:trHeight w:val="447"/>
          <w:jc w:val="center"/>
        </w:trPr>
        <w:tc>
          <w:tcPr>
            <w:tcW w:w="2225" w:type="dxa"/>
            <w:tcBorders>
              <w:bottom w:val="single" w:sz="4" w:space="0" w:color="auto"/>
              <w:right w:val="nil"/>
            </w:tcBorders>
            <w:shd w:val="clear" w:color="auto" w:fill="auto"/>
            <w:vAlign w:val="center"/>
          </w:tcPr>
          <w:p w14:paraId="369D4834"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3493" w:type="dxa"/>
            <w:gridSpan w:val="2"/>
            <w:tcBorders>
              <w:left w:val="nil"/>
              <w:bottom w:val="single" w:sz="4" w:space="0" w:color="auto"/>
              <w:right w:val="nil"/>
            </w:tcBorders>
            <w:shd w:val="clear" w:color="auto" w:fill="auto"/>
            <w:vAlign w:val="center"/>
          </w:tcPr>
          <w:p w14:paraId="4AE7BBF2"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Type of impact</w:t>
            </w:r>
          </w:p>
        </w:tc>
        <w:tc>
          <w:tcPr>
            <w:tcW w:w="1799" w:type="dxa"/>
            <w:tcBorders>
              <w:left w:val="nil"/>
              <w:bottom w:val="single" w:sz="4" w:space="0" w:color="auto"/>
              <w:right w:val="nil"/>
            </w:tcBorders>
            <w:shd w:val="clear" w:color="auto" w:fill="auto"/>
            <w:vAlign w:val="center"/>
          </w:tcPr>
          <w:p w14:paraId="37221093"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w:t>
            </w:r>
          </w:p>
        </w:tc>
        <w:tc>
          <w:tcPr>
            <w:tcW w:w="1799" w:type="dxa"/>
            <w:tcBorders>
              <w:left w:val="nil"/>
              <w:bottom w:val="single" w:sz="4" w:space="0" w:color="auto"/>
            </w:tcBorders>
            <w:shd w:val="clear" w:color="auto" w:fill="auto"/>
            <w:vAlign w:val="center"/>
          </w:tcPr>
          <w:p w14:paraId="30E2B331"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Percentage</w:t>
            </w:r>
          </w:p>
        </w:tc>
      </w:tr>
      <w:tr w:rsidR="00A83CF6" w:rsidRPr="009057A1" w14:paraId="7DD2807E" w14:textId="77777777" w:rsidTr="006C4058">
        <w:trPr>
          <w:trHeight w:val="321"/>
          <w:jc w:val="center"/>
        </w:trPr>
        <w:tc>
          <w:tcPr>
            <w:tcW w:w="2225" w:type="dxa"/>
            <w:vMerge w:val="restart"/>
            <w:tcBorders>
              <w:bottom w:val="nil"/>
              <w:right w:val="nil"/>
            </w:tcBorders>
            <w:shd w:val="clear" w:color="auto" w:fill="auto"/>
          </w:tcPr>
          <w:p w14:paraId="3B153DB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Drought</w:t>
            </w:r>
            <w:r>
              <w:rPr>
                <w:rFonts w:ascii="Times New Roman" w:eastAsia="Calibri" w:hAnsi="Times New Roman"/>
                <w:sz w:val="24"/>
                <w:szCs w:val="24"/>
              </w:rPr>
              <w:t xml:space="preserve"> </w:t>
            </w:r>
          </w:p>
        </w:tc>
        <w:tc>
          <w:tcPr>
            <w:tcW w:w="392" w:type="dxa"/>
            <w:tcBorders>
              <w:left w:val="nil"/>
              <w:bottom w:val="nil"/>
              <w:right w:val="nil"/>
            </w:tcBorders>
            <w:shd w:val="clear" w:color="auto" w:fill="auto"/>
          </w:tcPr>
          <w:p w14:paraId="38ED471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01CCD3E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29EA5EF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64</w:t>
            </w:r>
          </w:p>
        </w:tc>
        <w:tc>
          <w:tcPr>
            <w:tcW w:w="1799" w:type="dxa"/>
            <w:tcBorders>
              <w:left w:val="nil"/>
              <w:bottom w:val="nil"/>
            </w:tcBorders>
            <w:shd w:val="clear" w:color="auto" w:fill="auto"/>
          </w:tcPr>
          <w:p w14:paraId="1F4A3B5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5.9</w:t>
            </w:r>
          </w:p>
        </w:tc>
      </w:tr>
      <w:tr w:rsidR="00A83CF6" w:rsidRPr="009057A1" w14:paraId="2C8D8497" w14:textId="77777777" w:rsidTr="006C4058">
        <w:trPr>
          <w:trHeight w:val="143"/>
          <w:jc w:val="center"/>
        </w:trPr>
        <w:tc>
          <w:tcPr>
            <w:tcW w:w="2225" w:type="dxa"/>
            <w:vMerge/>
            <w:tcBorders>
              <w:top w:val="nil"/>
              <w:bottom w:val="nil"/>
              <w:right w:val="nil"/>
            </w:tcBorders>
            <w:shd w:val="clear" w:color="auto" w:fill="auto"/>
          </w:tcPr>
          <w:p w14:paraId="0F985B76"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62F970B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16670FA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0AD133D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w:t>
            </w:r>
          </w:p>
        </w:tc>
        <w:tc>
          <w:tcPr>
            <w:tcW w:w="1799" w:type="dxa"/>
            <w:tcBorders>
              <w:top w:val="nil"/>
              <w:left w:val="nil"/>
              <w:bottom w:val="nil"/>
            </w:tcBorders>
            <w:shd w:val="clear" w:color="auto" w:fill="auto"/>
          </w:tcPr>
          <w:p w14:paraId="16BEB0B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2.3</w:t>
            </w:r>
          </w:p>
        </w:tc>
      </w:tr>
      <w:tr w:rsidR="00A83CF6" w:rsidRPr="009057A1" w14:paraId="362E8808" w14:textId="77777777" w:rsidTr="006C4058">
        <w:trPr>
          <w:trHeight w:val="143"/>
          <w:jc w:val="center"/>
        </w:trPr>
        <w:tc>
          <w:tcPr>
            <w:tcW w:w="2225" w:type="dxa"/>
            <w:vMerge/>
            <w:tcBorders>
              <w:top w:val="nil"/>
              <w:bottom w:val="nil"/>
              <w:right w:val="nil"/>
            </w:tcBorders>
            <w:shd w:val="clear" w:color="auto" w:fill="auto"/>
          </w:tcPr>
          <w:p w14:paraId="4C246C39"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2C58989B"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5DE33A3D"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713E1E6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924</w:t>
            </w:r>
          </w:p>
        </w:tc>
        <w:tc>
          <w:tcPr>
            <w:tcW w:w="1799" w:type="dxa"/>
            <w:tcBorders>
              <w:top w:val="nil"/>
              <w:left w:val="nil"/>
              <w:bottom w:val="nil"/>
            </w:tcBorders>
            <w:shd w:val="clear" w:color="auto" w:fill="auto"/>
          </w:tcPr>
          <w:p w14:paraId="772088D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85.2</w:t>
            </w:r>
          </w:p>
        </w:tc>
      </w:tr>
      <w:tr w:rsidR="00A83CF6" w:rsidRPr="009057A1" w14:paraId="17CEF0D3" w14:textId="77777777" w:rsidTr="006C4058">
        <w:trPr>
          <w:trHeight w:val="143"/>
          <w:jc w:val="center"/>
        </w:trPr>
        <w:tc>
          <w:tcPr>
            <w:tcW w:w="2225" w:type="dxa"/>
            <w:vMerge/>
            <w:tcBorders>
              <w:top w:val="nil"/>
              <w:bottom w:val="nil"/>
              <w:right w:val="nil"/>
            </w:tcBorders>
            <w:shd w:val="clear" w:color="auto" w:fill="auto"/>
          </w:tcPr>
          <w:p w14:paraId="32257259"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61A0993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6921FD5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5800B4D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501</w:t>
            </w:r>
          </w:p>
        </w:tc>
        <w:tc>
          <w:tcPr>
            <w:tcW w:w="1799" w:type="dxa"/>
            <w:tcBorders>
              <w:top w:val="nil"/>
              <w:left w:val="nil"/>
              <w:bottom w:val="nil"/>
            </w:tcBorders>
            <w:shd w:val="clear" w:color="auto" w:fill="auto"/>
          </w:tcPr>
          <w:p w14:paraId="2E268BD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46.2</w:t>
            </w:r>
          </w:p>
        </w:tc>
      </w:tr>
      <w:tr w:rsidR="00A83CF6" w:rsidRPr="009057A1" w14:paraId="5A5EC5CD" w14:textId="77777777" w:rsidTr="006C4058">
        <w:trPr>
          <w:trHeight w:val="143"/>
          <w:jc w:val="center"/>
        </w:trPr>
        <w:tc>
          <w:tcPr>
            <w:tcW w:w="2225" w:type="dxa"/>
            <w:vMerge/>
            <w:tcBorders>
              <w:top w:val="nil"/>
              <w:bottom w:val="single" w:sz="4" w:space="0" w:color="auto"/>
              <w:right w:val="nil"/>
            </w:tcBorders>
            <w:shd w:val="clear" w:color="auto" w:fill="auto"/>
          </w:tcPr>
          <w:p w14:paraId="78F999F4"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14:paraId="1A94148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14:paraId="3DE49F0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14:paraId="06B52EB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861</w:t>
            </w:r>
          </w:p>
        </w:tc>
        <w:tc>
          <w:tcPr>
            <w:tcW w:w="1799" w:type="dxa"/>
            <w:tcBorders>
              <w:top w:val="nil"/>
              <w:left w:val="nil"/>
              <w:bottom w:val="single" w:sz="4" w:space="0" w:color="auto"/>
            </w:tcBorders>
            <w:shd w:val="clear" w:color="auto" w:fill="auto"/>
          </w:tcPr>
          <w:p w14:paraId="6FCE59F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79.4</w:t>
            </w:r>
          </w:p>
        </w:tc>
      </w:tr>
      <w:tr w:rsidR="00A83CF6" w:rsidRPr="009057A1" w14:paraId="4C52D148" w14:textId="77777777" w:rsidTr="006C4058">
        <w:trPr>
          <w:trHeight w:val="300"/>
          <w:jc w:val="center"/>
        </w:trPr>
        <w:tc>
          <w:tcPr>
            <w:tcW w:w="2225" w:type="dxa"/>
            <w:vMerge w:val="restart"/>
            <w:tcBorders>
              <w:bottom w:val="nil"/>
              <w:right w:val="nil"/>
            </w:tcBorders>
            <w:shd w:val="clear" w:color="auto" w:fill="auto"/>
          </w:tcPr>
          <w:p w14:paraId="00D73E9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Flooding</w:t>
            </w:r>
          </w:p>
        </w:tc>
        <w:tc>
          <w:tcPr>
            <w:tcW w:w="392" w:type="dxa"/>
            <w:tcBorders>
              <w:left w:val="nil"/>
              <w:bottom w:val="nil"/>
              <w:right w:val="nil"/>
            </w:tcBorders>
            <w:shd w:val="clear" w:color="auto" w:fill="auto"/>
          </w:tcPr>
          <w:p w14:paraId="5C88D6A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089FE6E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7969816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1021</w:t>
            </w:r>
          </w:p>
        </w:tc>
        <w:tc>
          <w:tcPr>
            <w:tcW w:w="1799" w:type="dxa"/>
            <w:tcBorders>
              <w:left w:val="nil"/>
              <w:bottom w:val="nil"/>
            </w:tcBorders>
            <w:shd w:val="clear" w:color="auto" w:fill="auto"/>
          </w:tcPr>
          <w:p w14:paraId="5F97598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94.2</w:t>
            </w:r>
          </w:p>
        </w:tc>
      </w:tr>
      <w:tr w:rsidR="00A83CF6" w:rsidRPr="009057A1" w14:paraId="2C2CD478" w14:textId="77777777" w:rsidTr="006C4058">
        <w:trPr>
          <w:trHeight w:val="143"/>
          <w:jc w:val="center"/>
        </w:trPr>
        <w:tc>
          <w:tcPr>
            <w:tcW w:w="2225" w:type="dxa"/>
            <w:vMerge/>
            <w:tcBorders>
              <w:top w:val="nil"/>
              <w:bottom w:val="nil"/>
              <w:right w:val="nil"/>
            </w:tcBorders>
            <w:shd w:val="clear" w:color="auto" w:fill="auto"/>
          </w:tcPr>
          <w:p w14:paraId="2033A24E"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7E65A6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5B2834D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307FA76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971</w:t>
            </w:r>
          </w:p>
        </w:tc>
        <w:tc>
          <w:tcPr>
            <w:tcW w:w="1799" w:type="dxa"/>
            <w:tcBorders>
              <w:top w:val="nil"/>
              <w:left w:val="nil"/>
              <w:bottom w:val="nil"/>
            </w:tcBorders>
            <w:shd w:val="clear" w:color="auto" w:fill="auto"/>
          </w:tcPr>
          <w:p w14:paraId="2C469E1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89.6</w:t>
            </w:r>
          </w:p>
        </w:tc>
      </w:tr>
      <w:tr w:rsidR="00A83CF6" w:rsidRPr="009057A1" w14:paraId="556D9925" w14:textId="77777777" w:rsidTr="006C4058">
        <w:trPr>
          <w:trHeight w:val="143"/>
          <w:jc w:val="center"/>
        </w:trPr>
        <w:tc>
          <w:tcPr>
            <w:tcW w:w="2225" w:type="dxa"/>
            <w:vMerge/>
            <w:tcBorders>
              <w:top w:val="nil"/>
              <w:bottom w:val="nil"/>
              <w:right w:val="nil"/>
            </w:tcBorders>
            <w:shd w:val="clear" w:color="auto" w:fill="auto"/>
          </w:tcPr>
          <w:p w14:paraId="4EDFC4D4"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98ECC8F"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764A781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21EE0B2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809</w:t>
            </w:r>
          </w:p>
        </w:tc>
        <w:tc>
          <w:tcPr>
            <w:tcW w:w="1799" w:type="dxa"/>
            <w:tcBorders>
              <w:top w:val="nil"/>
              <w:left w:val="nil"/>
              <w:bottom w:val="nil"/>
            </w:tcBorders>
            <w:shd w:val="clear" w:color="auto" w:fill="auto"/>
          </w:tcPr>
          <w:p w14:paraId="442EE0A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74.6</w:t>
            </w:r>
          </w:p>
        </w:tc>
      </w:tr>
      <w:tr w:rsidR="00A83CF6" w:rsidRPr="009057A1" w14:paraId="2855EBBE" w14:textId="77777777" w:rsidTr="006C4058">
        <w:trPr>
          <w:trHeight w:val="143"/>
          <w:jc w:val="center"/>
        </w:trPr>
        <w:tc>
          <w:tcPr>
            <w:tcW w:w="2225" w:type="dxa"/>
            <w:vMerge/>
            <w:tcBorders>
              <w:top w:val="nil"/>
              <w:bottom w:val="nil"/>
              <w:right w:val="nil"/>
            </w:tcBorders>
            <w:shd w:val="clear" w:color="auto" w:fill="auto"/>
          </w:tcPr>
          <w:p w14:paraId="689913E7"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539D819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5C81AE0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75FD845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977</w:t>
            </w:r>
          </w:p>
        </w:tc>
        <w:tc>
          <w:tcPr>
            <w:tcW w:w="1799" w:type="dxa"/>
            <w:tcBorders>
              <w:top w:val="nil"/>
              <w:left w:val="nil"/>
              <w:bottom w:val="nil"/>
            </w:tcBorders>
            <w:shd w:val="clear" w:color="auto" w:fill="auto"/>
          </w:tcPr>
          <w:p w14:paraId="19CB53A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90.1</w:t>
            </w:r>
          </w:p>
        </w:tc>
      </w:tr>
      <w:tr w:rsidR="00A83CF6" w:rsidRPr="009057A1" w14:paraId="5A534599" w14:textId="77777777" w:rsidTr="006C4058">
        <w:trPr>
          <w:trHeight w:val="143"/>
          <w:jc w:val="center"/>
        </w:trPr>
        <w:tc>
          <w:tcPr>
            <w:tcW w:w="2225" w:type="dxa"/>
            <w:vMerge/>
            <w:tcBorders>
              <w:top w:val="nil"/>
              <w:bottom w:val="single" w:sz="4" w:space="0" w:color="auto"/>
              <w:right w:val="nil"/>
            </w:tcBorders>
            <w:shd w:val="clear" w:color="auto" w:fill="auto"/>
          </w:tcPr>
          <w:p w14:paraId="03418DFA"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14:paraId="04F05AE8"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14:paraId="13DC3AC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14:paraId="02C762C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702</w:t>
            </w:r>
          </w:p>
        </w:tc>
        <w:tc>
          <w:tcPr>
            <w:tcW w:w="1799" w:type="dxa"/>
            <w:tcBorders>
              <w:top w:val="nil"/>
              <w:left w:val="nil"/>
              <w:bottom w:val="single" w:sz="4" w:space="0" w:color="auto"/>
            </w:tcBorders>
            <w:shd w:val="clear" w:color="auto" w:fill="auto"/>
          </w:tcPr>
          <w:p w14:paraId="362591B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64.8</w:t>
            </w:r>
          </w:p>
        </w:tc>
      </w:tr>
      <w:tr w:rsidR="00A83CF6" w:rsidRPr="009057A1" w14:paraId="70561FD6" w14:textId="77777777" w:rsidTr="006C4058">
        <w:trPr>
          <w:trHeight w:val="300"/>
          <w:jc w:val="center"/>
        </w:trPr>
        <w:tc>
          <w:tcPr>
            <w:tcW w:w="2225" w:type="dxa"/>
            <w:vMerge w:val="restart"/>
            <w:tcBorders>
              <w:bottom w:val="nil"/>
              <w:right w:val="nil"/>
            </w:tcBorders>
            <w:shd w:val="clear" w:color="auto" w:fill="auto"/>
          </w:tcPr>
          <w:p w14:paraId="47A1F54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Epidemic</w:t>
            </w:r>
          </w:p>
        </w:tc>
        <w:tc>
          <w:tcPr>
            <w:tcW w:w="392" w:type="dxa"/>
            <w:tcBorders>
              <w:left w:val="nil"/>
              <w:bottom w:val="nil"/>
              <w:right w:val="nil"/>
            </w:tcBorders>
            <w:shd w:val="clear" w:color="auto" w:fill="auto"/>
          </w:tcPr>
          <w:p w14:paraId="2B4B271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7D28759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143373C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879</w:t>
            </w:r>
          </w:p>
        </w:tc>
        <w:tc>
          <w:tcPr>
            <w:tcW w:w="1799" w:type="dxa"/>
            <w:tcBorders>
              <w:left w:val="nil"/>
              <w:bottom w:val="nil"/>
            </w:tcBorders>
            <w:shd w:val="clear" w:color="auto" w:fill="auto"/>
          </w:tcPr>
          <w:p w14:paraId="14ED580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81.1</w:t>
            </w:r>
          </w:p>
        </w:tc>
      </w:tr>
      <w:tr w:rsidR="00A83CF6" w:rsidRPr="009057A1" w14:paraId="3D686E67" w14:textId="77777777" w:rsidTr="006C4058">
        <w:trPr>
          <w:trHeight w:val="143"/>
          <w:jc w:val="center"/>
        </w:trPr>
        <w:tc>
          <w:tcPr>
            <w:tcW w:w="2225" w:type="dxa"/>
            <w:vMerge/>
            <w:tcBorders>
              <w:top w:val="nil"/>
              <w:bottom w:val="nil"/>
              <w:right w:val="nil"/>
            </w:tcBorders>
            <w:shd w:val="clear" w:color="auto" w:fill="auto"/>
          </w:tcPr>
          <w:p w14:paraId="33105026"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13DFA1F1"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05544FC1"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0E84513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22</w:t>
            </w:r>
          </w:p>
        </w:tc>
        <w:tc>
          <w:tcPr>
            <w:tcW w:w="1799" w:type="dxa"/>
            <w:tcBorders>
              <w:top w:val="nil"/>
              <w:left w:val="nil"/>
              <w:bottom w:val="nil"/>
            </w:tcBorders>
            <w:shd w:val="clear" w:color="auto" w:fill="auto"/>
          </w:tcPr>
          <w:p w14:paraId="052D7ED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r>
      <w:tr w:rsidR="00A83CF6" w:rsidRPr="009057A1" w14:paraId="7DE8F506" w14:textId="77777777" w:rsidTr="006C4058">
        <w:trPr>
          <w:trHeight w:val="143"/>
          <w:jc w:val="center"/>
        </w:trPr>
        <w:tc>
          <w:tcPr>
            <w:tcW w:w="2225" w:type="dxa"/>
            <w:vMerge/>
            <w:tcBorders>
              <w:top w:val="nil"/>
              <w:bottom w:val="nil"/>
              <w:right w:val="nil"/>
            </w:tcBorders>
            <w:shd w:val="clear" w:color="auto" w:fill="auto"/>
          </w:tcPr>
          <w:p w14:paraId="6A602CE6"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06A7585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5CF49A7B"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2ED7463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425</w:t>
            </w:r>
          </w:p>
        </w:tc>
        <w:tc>
          <w:tcPr>
            <w:tcW w:w="1799" w:type="dxa"/>
            <w:tcBorders>
              <w:top w:val="nil"/>
              <w:left w:val="nil"/>
              <w:bottom w:val="nil"/>
            </w:tcBorders>
            <w:shd w:val="clear" w:color="auto" w:fill="auto"/>
          </w:tcPr>
          <w:p w14:paraId="13AD642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39.2</w:t>
            </w:r>
          </w:p>
        </w:tc>
      </w:tr>
      <w:tr w:rsidR="00A83CF6" w:rsidRPr="009057A1" w14:paraId="6B45FB5C" w14:textId="77777777" w:rsidTr="006C4058">
        <w:trPr>
          <w:trHeight w:val="143"/>
          <w:jc w:val="center"/>
        </w:trPr>
        <w:tc>
          <w:tcPr>
            <w:tcW w:w="2225" w:type="dxa"/>
            <w:vMerge/>
            <w:tcBorders>
              <w:top w:val="nil"/>
              <w:bottom w:val="nil"/>
              <w:right w:val="nil"/>
            </w:tcBorders>
            <w:shd w:val="clear" w:color="auto" w:fill="auto"/>
          </w:tcPr>
          <w:p w14:paraId="6D0CEFD9"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245A3DA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34FC508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4EAA974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121</w:t>
            </w:r>
          </w:p>
        </w:tc>
        <w:tc>
          <w:tcPr>
            <w:tcW w:w="1799" w:type="dxa"/>
            <w:tcBorders>
              <w:top w:val="nil"/>
              <w:left w:val="nil"/>
              <w:bottom w:val="nil"/>
            </w:tcBorders>
            <w:shd w:val="clear" w:color="auto" w:fill="auto"/>
          </w:tcPr>
          <w:p w14:paraId="017B1E4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11.2</w:t>
            </w:r>
          </w:p>
        </w:tc>
      </w:tr>
      <w:tr w:rsidR="00A83CF6" w:rsidRPr="009057A1" w14:paraId="7F8A123C" w14:textId="77777777" w:rsidTr="006C4058">
        <w:trPr>
          <w:trHeight w:val="143"/>
          <w:jc w:val="center"/>
        </w:trPr>
        <w:tc>
          <w:tcPr>
            <w:tcW w:w="2225" w:type="dxa"/>
            <w:vMerge/>
            <w:tcBorders>
              <w:top w:val="nil"/>
              <w:bottom w:val="single" w:sz="4" w:space="0" w:color="auto"/>
              <w:right w:val="nil"/>
            </w:tcBorders>
            <w:shd w:val="clear" w:color="auto" w:fill="auto"/>
          </w:tcPr>
          <w:p w14:paraId="76C8E9A3"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14:paraId="14B8094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14:paraId="7348B46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14:paraId="473D6B1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1033</w:t>
            </w:r>
          </w:p>
        </w:tc>
        <w:tc>
          <w:tcPr>
            <w:tcW w:w="1799" w:type="dxa"/>
            <w:tcBorders>
              <w:top w:val="nil"/>
              <w:left w:val="nil"/>
              <w:bottom w:val="single" w:sz="4" w:space="0" w:color="auto"/>
            </w:tcBorders>
            <w:shd w:val="clear" w:color="auto" w:fill="auto"/>
          </w:tcPr>
          <w:p w14:paraId="1A4260D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95.3</w:t>
            </w:r>
          </w:p>
        </w:tc>
      </w:tr>
      <w:tr w:rsidR="00A83CF6" w:rsidRPr="009057A1" w14:paraId="0176F306" w14:textId="77777777" w:rsidTr="006C4058">
        <w:trPr>
          <w:trHeight w:val="300"/>
          <w:jc w:val="center"/>
        </w:trPr>
        <w:tc>
          <w:tcPr>
            <w:tcW w:w="2225" w:type="dxa"/>
            <w:vMerge w:val="restart"/>
            <w:tcBorders>
              <w:bottom w:val="nil"/>
              <w:right w:val="nil"/>
            </w:tcBorders>
            <w:shd w:val="clear" w:color="auto" w:fill="auto"/>
          </w:tcPr>
          <w:p w14:paraId="6EEA8AD8"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Windstorm</w:t>
            </w:r>
          </w:p>
        </w:tc>
        <w:tc>
          <w:tcPr>
            <w:tcW w:w="392" w:type="dxa"/>
            <w:tcBorders>
              <w:left w:val="nil"/>
              <w:bottom w:val="nil"/>
              <w:right w:val="nil"/>
            </w:tcBorders>
            <w:shd w:val="clear" w:color="auto" w:fill="auto"/>
          </w:tcPr>
          <w:p w14:paraId="36DD74D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68D7ECA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3E9F151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459</w:t>
            </w:r>
          </w:p>
        </w:tc>
        <w:tc>
          <w:tcPr>
            <w:tcW w:w="1799" w:type="dxa"/>
            <w:tcBorders>
              <w:left w:val="nil"/>
              <w:bottom w:val="nil"/>
            </w:tcBorders>
            <w:shd w:val="clear" w:color="auto" w:fill="auto"/>
          </w:tcPr>
          <w:p w14:paraId="77F808C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42.3</w:t>
            </w:r>
          </w:p>
        </w:tc>
      </w:tr>
      <w:tr w:rsidR="00A83CF6" w:rsidRPr="009057A1" w14:paraId="7453A7B9" w14:textId="77777777" w:rsidTr="006C4058">
        <w:trPr>
          <w:trHeight w:val="143"/>
          <w:jc w:val="center"/>
        </w:trPr>
        <w:tc>
          <w:tcPr>
            <w:tcW w:w="2225" w:type="dxa"/>
            <w:vMerge/>
            <w:tcBorders>
              <w:top w:val="nil"/>
              <w:bottom w:val="nil"/>
              <w:right w:val="nil"/>
            </w:tcBorders>
            <w:shd w:val="clear" w:color="auto" w:fill="auto"/>
          </w:tcPr>
          <w:p w14:paraId="4B55F08A"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3AF9C34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1AC5B511"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2DC0161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821</w:t>
            </w:r>
          </w:p>
        </w:tc>
        <w:tc>
          <w:tcPr>
            <w:tcW w:w="1799" w:type="dxa"/>
            <w:tcBorders>
              <w:top w:val="nil"/>
              <w:left w:val="nil"/>
              <w:bottom w:val="nil"/>
            </w:tcBorders>
            <w:shd w:val="clear" w:color="auto" w:fill="auto"/>
          </w:tcPr>
          <w:p w14:paraId="3D1BF35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75.7</w:t>
            </w:r>
          </w:p>
        </w:tc>
      </w:tr>
      <w:tr w:rsidR="00A83CF6" w:rsidRPr="009057A1" w14:paraId="6C745E50" w14:textId="77777777" w:rsidTr="006C4058">
        <w:trPr>
          <w:trHeight w:val="143"/>
          <w:jc w:val="center"/>
        </w:trPr>
        <w:tc>
          <w:tcPr>
            <w:tcW w:w="2225" w:type="dxa"/>
            <w:vMerge/>
            <w:tcBorders>
              <w:top w:val="nil"/>
              <w:bottom w:val="nil"/>
              <w:right w:val="nil"/>
            </w:tcBorders>
            <w:shd w:val="clear" w:color="auto" w:fill="auto"/>
          </w:tcPr>
          <w:p w14:paraId="485650DA"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3268A3B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735DB29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6C99488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492</w:t>
            </w:r>
          </w:p>
        </w:tc>
        <w:tc>
          <w:tcPr>
            <w:tcW w:w="1799" w:type="dxa"/>
            <w:tcBorders>
              <w:top w:val="nil"/>
              <w:left w:val="nil"/>
              <w:bottom w:val="nil"/>
            </w:tcBorders>
            <w:shd w:val="clear" w:color="auto" w:fill="auto"/>
          </w:tcPr>
          <w:p w14:paraId="4F7F949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45.4</w:t>
            </w:r>
          </w:p>
        </w:tc>
      </w:tr>
      <w:tr w:rsidR="00A83CF6" w:rsidRPr="009057A1" w14:paraId="04CC88D0" w14:textId="77777777" w:rsidTr="006C4058">
        <w:trPr>
          <w:trHeight w:val="143"/>
          <w:jc w:val="center"/>
        </w:trPr>
        <w:tc>
          <w:tcPr>
            <w:tcW w:w="2225" w:type="dxa"/>
            <w:vMerge/>
            <w:tcBorders>
              <w:top w:val="nil"/>
              <w:bottom w:val="nil"/>
              <w:right w:val="nil"/>
            </w:tcBorders>
            <w:shd w:val="clear" w:color="auto" w:fill="auto"/>
          </w:tcPr>
          <w:p w14:paraId="47530DC3"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5843BE7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39EFBAA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3CD821B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204</w:t>
            </w:r>
          </w:p>
        </w:tc>
        <w:tc>
          <w:tcPr>
            <w:tcW w:w="1799" w:type="dxa"/>
            <w:tcBorders>
              <w:top w:val="nil"/>
              <w:left w:val="nil"/>
              <w:bottom w:val="nil"/>
            </w:tcBorders>
            <w:shd w:val="clear" w:color="auto" w:fill="auto"/>
          </w:tcPr>
          <w:p w14:paraId="4A93025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18.8</w:t>
            </w:r>
          </w:p>
        </w:tc>
      </w:tr>
      <w:tr w:rsidR="00A83CF6" w:rsidRPr="009057A1" w14:paraId="48CACE1F" w14:textId="77777777" w:rsidTr="006C4058">
        <w:trPr>
          <w:trHeight w:val="143"/>
          <w:jc w:val="center"/>
        </w:trPr>
        <w:tc>
          <w:tcPr>
            <w:tcW w:w="2225" w:type="dxa"/>
            <w:vMerge/>
            <w:tcBorders>
              <w:top w:val="nil"/>
              <w:bottom w:val="single" w:sz="4" w:space="0" w:color="auto"/>
              <w:right w:val="nil"/>
            </w:tcBorders>
            <w:shd w:val="clear" w:color="auto" w:fill="auto"/>
          </w:tcPr>
          <w:p w14:paraId="35A94D8F"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14:paraId="3B11310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14:paraId="1D93B23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14:paraId="4628B07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201</w:t>
            </w:r>
          </w:p>
        </w:tc>
        <w:tc>
          <w:tcPr>
            <w:tcW w:w="1799" w:type="dxa"/>
            <w:tcBorders>
              <w:top w:val="nil"/>
              <w:left w:val="nil"/>
              <w:bottom w:val="single" w:sz="4" w:space="0" w:color="auto"/>
            </w:tcBorders>
            <w:shd w:val="clear" w:color="auto" w:fill="auto"/>
          </w:tcPr>
          <w:p w14:paraId="220584F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18.5</w:t>
            </w:r>
          </w:p>
        </w:tc>
      </w:tr>
      <w:tr w:rsidR="00A83CF6" w:rsidRPr="009057A1" w14:paraId="2D079866" w14:textId="77777777" w:rsidTr="006C4058">
        <w:trPr>
          <w:trHeight w:val="300"/>
          <w:jc w:val="center"/>
        </w:trPr>
        <w:tc>
          <w:tcPr>
            <w:tcW w:w="2225" w:type="dxa"/>
            <w:vMerge w:val="restart"/>
            <w:tcBorders>
              <w:bottom w:val="nil"/>
              <w:right w:val="nil"/>
            </w:tcBorders>
            <w:shd w:val="clear" w:color="auto" w:fill="auto"/>
          </w:tcPr>
          <w:p w14:paraId="275265A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Boko Haram/Communal Clashes</w:t>
            </w:r>
          </w:p>
        </w:tc>
        <w:tc>
          <w:tcPr>
            <w:tcW w:w="392" w:type="dxa"/>
            <w:tcBorders>
              <w:left w:val="nil"/>
              <w:bottom w:val="nil"/>
              <w:right w:val="nil"/>
            </w:tcBorders>
            <w:shd w:val="clear" w:color="auto" w:fill="auto"/>
          </w:tcPr>
          <w:p w14:paraId="1F12DB8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317CFA20"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229471E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1051</w:t>
            </w:r>
          </w:p>
        </w:tc>
        <w:tc>
          <w:tcPr>
            <w:tcW w:w="1799" w:type="dxa"/>
            <w:tcBorders>
              <w:left w:val="nil"/>
              <w:bottom w:val="nil"/>
            </w:tcBorders>
            <w:shd w:val="clear" w:color="auto" w:fill="auto"/>
          </w:tcPr>
          <w:p w14:paraId="33E32B7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96.9</w:t>
            </w:r>
          </w:p>
        </w:tc>
      </w:tr>
      <w:tr w:rsidR="00A83CF6" w:rsidRPr="009057A1" w14:paraId="58BAE160" w14:textId="77777777" w:rsidTr="006C4058">
        <w:trPr>
          <w:trHeight w:val="143"/>
          <w:jc w:val="center"/>
        </w:trPr>
        <w:tc>
          <w:tcPr>
            <w:tcW w:w="2225" w:type="dxa"/>
            <w:vMerge/>
            <w:tcBorders>
              <w:top w:val="nil"/>
              <w:bottom w:val="nil"/>
              <w:right w:val="nil"/>
            </w:tcBorders>
            <w:shd w:val="clear" w:color="auto" w:fill="auto"/>
          </w:tcPr>
          <w:p w14:paraId="176E59EC"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F7C768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64DC9B18"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7E36D76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1017</w:t>
            </w:r>
          </w:p>
        </w:tc>
        <w:tc>
          <w:tcPr>
            <w:tcW w:w="1799" w:type="dxa"/>
            <w:tcBorders>
              <w:top w:val="nil"/>
              <w:left w:val="nil"/>
              <w:bottom w:val="nil"/>
            </w:tcBorders>
            <w:shd w:val="clear" w:color="auto" w:fill="auto"/>
          </w:tcPr>
          <w:p w14:paraId="18F3B6D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93.8</w:t>
            </w:r>
          </w:p>
        </w:tc>
      </w:tr>
      <w:tr w:rsidR="00A83CF6" w:rsidRPr="009057A1" w14:paraId="5FC9ABF3" w14:textId="77777777" w:rsidTr="006C4058">
        <w:trPr>
          <w:trHeight w:val="143"/>
          <w:jc w:val="center"/>
        </w:trPr>
        <w:tc>
          <w:tcPr>
            <w:tcW w:w="2225" w:type="dxa"/>
            <w:vMerge/>
            <w:tcBorders>
              <w:top w:val="nil"/>
              <w:bottom w:val="nil"/>
              <w:right w:val="nil"/>
            </w:tcBorders>
            <w:shd w:val="clear" w:color="auto" w:fill="auto"/>
          </w:tcPr>
          <w:p w14:paraId="1464F658"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004B58F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65A11B7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70A7FB0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1009</w:t>
            </w:r>
          </w:p>
        </w:tc>
        <w:tc>
          <w:tcPr>
            <w:tcW w:w="1799" w:type="dxa"/>
            <w:tcBorders>
              <w:top w:val="nil"/>
              <w:left w:val="nil"/>
              <w:bottom w:val="nil"/>
            </w:tcBorders>
            <w:shd w:val="clear" w:color="auto" w:fill="auto"/>
          </w:tcPr>
          <w:p w14:paraId="775700E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93.1</w:t>
            </w:r>
          </w:p>
        </w:tc>
      </w:tr>
      <w:tr w:rsidR="00A83CF6" w:rsidRPr="009057A1" w14:paraId="51E362DD" w14:textId="77777777" w:rsidTr="006C4058">
        <w:trPr>
          <w:trHeight w:val="143"/>
          <w:jc w:val="center"/>
        </w:trPr>
        <w:tc>
          <w:tcPr>
            <w:tcW w:w="2225" w:type="dxa"/>
            <w:vMerge/>
            <w:tcBorders>
              <w:top w:val="nil"/>
              <w:bottom w:val="nil"/>
              <w:right w:val="nil"/>
            </w:tcBorders>
            <w:shd w:val="clear" w:color="auto" w:fill="auto"/>
          </w:tcPr>
          <w:p w14:paraId="56D67EFD"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DD2977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130964C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6A6B26B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1031</w:t>
            </w:r>
          </w:p>
        </w:tc>
        <w:tc>
          <w:tcPr>
            <w:tcW w:w="1799" w:type="dxa"/>
            <w:tcBorders>
              <w:top w:val="nil"/>
              <w:left w:val="nil"/>
              <w:bottom w:val="nil"/>
            </w:tcBorders>
            <w:shd w:val="clear" w:color="auto" w:fill="auto"/>
          </w:tcPr>
          <w:p w14:paraId="2BB8215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95.1</w:t>
            </w:r>
          </w:p>
        </w:tc>
      </w:tr>
      <w:tr w:rsidR="00A83CF6" w:rsidRPr="009057A1" w14:paraId="78D09081" w14:textId="77777777" w:rsidTr="006C4058">
        <w:trPr>
          <w:trHeight w:val="143"/>
          <w:jc w:val="center"/>
        </w:trPr>
        <w:tc>
          <w:tcPr>
            <w:tcW w:w="2225" w:type="dxa"/>
            <w:vMerge/>
            <w:tcBorders>
              <w:top w:val="nil"/>
              <w:bottom w:val="single" w:sz="4" w:space="0" w:color="auto"/>
              <w:right w:val="nil"/>
            </w:tcBorders>
            <w:shd w:val="clear" w:color="auto" w:fill="auto"/>
          </w:tcPr>
          <w:p w14:paraId="1B549FD7"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single" w:sz="4" w:space="0" w:color="auto"/>
              <w:right w:val="nil"/>
            </w:tcBorders>
            <w:shd w:val="clear" w:color="auto" w:fill="auto"/>
          </w:tcPr>
          <w:p w14:paraId="1884AFA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bottom w:val="single" w:sz="4" w:space="0" w:color="auto"/>
              <w:right w:val="nil"/>
            </w:tcBorders>
            <w:shd w:val="clear" w:color="auto" w:fill="auto"/>
          </w:tcPr>
          <w:p w14:paraId="355299FE"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bottom w:val="single" w:sz="4" w:space="0" w:color="auto"/>
              <w:right w:val="nil"/>
            </w:tcBorders>
            <w:shd w:val="clear" w:color="auto" w:fill="auto"/>
          </w:tcPr>
          <w:p w14:paraId="3CEA6B5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872</w:t>
            </w:r>
          </w:p>
        </w:tc>
        <w:tc>
          <w:tcPr>
            <w:tcW w:w="1799" w:type="dxa"/>
            <w:tcBorders>
              <w:top w:val="nil"/>
              <w:left w:val="nil"/>
              <w:bottom w:val="single" w:sz="4" w:space="0" w:color="auto"/>
            </w:tcBorders>
            <w:shd w:val="clear" w:color="auto" w:fill="auto"/>
          </w:tcPr>
          <w:p w14:paraId="08246F5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80.4</w:t>
            </w:r>
          </w:p>
        </w:tc>
      </w:tr>
      <w:tr w:rsidR="00A83CF6" w:rsidRPr="009057A1" w14:paraId="3059833D" w14:textId="77777777" w:rsidTr="006C4058">
        <w:trPr>
          <w:trHeight w:val="300"/>
          <w:jc w:val="center"/>
        </w:trPr>
        <w:tc>
          <w:tcPr>
            <w:tcW w:w="2225" w:type="dxa"/>
            <w:vMerge w:val="restart"/>
            <w:tcBorders>
              <w:bottom w:val="nil"/>
              <w:right w:val="nil"/>
            </w:tcBorders>
            <w:shd w:val="clear" w:color="auto" w:fill="auto"/>
          </w:tcPr>
          <w:p w14:paraId="7444A9A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Fire Outbreak</w:t>
            </w:r>
          </w:p>
        </w:tc>
        <w:tc>
          <w:tcPr>
            <w:tcW w:w="392" w:type="dxa"/>
            <w:tcBorders>
              <w:left w:val="nil"/>
              <w:bottom w:val="nil"/>
              <w:right w:val="nil"/>
            </w:tcBorders>
            <w:shd w:val="clear" w:color="auto" w:fill="auto"/>
          </w:tcPr>
          <w:p w14:paraId="092CA6F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1</w:t>
            </w:r>
          </w:p>
        </w:tc>
        <w:tc>
          <w:tcPr>
            <w:tcW w:w="3101" w:type="dxa"/>
            <w:tcBorders>
              <w:left w:val="nil"/>
              <w:bottom w:val="nil"/>
              <w:right w:val="nil"/>
            </w:tcBorders>
            <w:shd w:val="clear" w:color="auto" w:fill="auto"/>
          </w:tcPr>
          <w:p w14:paraId="110DEFA1"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Loss of lives</w:t>
            </w:r>
          </w:p>
        </w:tc>
        <w:tc>
          <w:tcPr>
            <w:tcW w:w="1799" w:type="dxa"/>
            <w:tcBorders>
              <w:left w:val="nil"/>
              <w:bottom w:val="nil"/>
              <w:right w:val="nil"/>
            </w:tcBorders>
            <w:shd w:val="clear" w:color="auto" w:fill="auto"/>
          </w:tcPr>
          <w:p w14:paraId="5EAEB92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871</w:t>
            </w:r>
          </w:p>
        </w:tc>
        <w:tc>
          <w:tcPr>
            <w:tcW w:w="1799" w:type="dxa"/>
            <w:tcBorders>
              <w:left w:val="nil"/>
              <w:bottom w:val="nil"/>
            </w:tcBorders>
            <w:shd w:val="clear" w:color="auto" w:fill="auto"/>
          </w:tcPr>
          <w:p w14:paraId="7002A3F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80.4</w:t>
            </w:r>
          </w:p>
        </w:tc>
      </w:tr>
      <w:tr w:rsidR="00A83CF6" w:rsidRPr="009057A1" w14:paraId="60AE58EE" w14:textId="77777777" w:rsidTr="006C4058">
        <w:trPr>
          <w:trHeight w:val="143"/>
          <w:jc w:val="center"/>
        </w:trPr>
        <w:tc>
          <w:tcPr>
            <w:tcW w:w="2225" w:type="dxa"/>
            <w:vMerge/>
            <w:tcBorders>
              <w:top w:val="nil"/>
              <w:bottom w:val="nil"/>
              <w:right w:val="nil"/>
            </w:tcBorders>
            <w:shd w:val="clear" w:color="auto" w:fill="auto"/>
          </w:tcPr>
          <w:p w14:paraId="750C97B2"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F246E0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2</w:t>
            </w:r>
          </w:p>
        </w:tc>
        <w:tc>
          <w:tcPr>
            <w:tcW w:w="3101" w:type="dxa"/>
            <w:tcBorders>
              <w:top w:val="nil"/>
              <w:left w:val="nil"/>
              <w:bottom w:val="nil"/>
              <w:right w:val="nil"/>
            </w:tcBorders>
            <w:shd w:val="clear" w:color="auto" w:fill="auto"/>
          </w:tcPr>
          <w:p w14:paraId="339D6E1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Property damage</w:t>
            </w:r>
          </w:p>
        </w:tc>
        <w:tc>
          <w:tcPr>
            <w:tcW w:w="1799" w:type="dxa"/>
            <w:tcBorders>
              <w:top w:val="nil"/>
              <w:left w:val="nil"/>
              <w:bottom w:val="nil"/>
              <w:right w:val="nil"/>
            </w:tcBorders>
            <w:shd w:val="clear" w:color="auto" w:fill="auto"/>
          </w:tcPr>
          <w:p w14:paraId="39952BB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972</w:t>
            </w:r>
          </w:p>
        </w:tc>
        <w:tc>
          <w:tcPr>
            <w:tcW w:w="1799" w:type="dxa"/>
            <w:tcBorders>
              <w:top w:val="nil"/>
              <w:left w:val="nil"/>
              <w:bottom w:val="nil"/>
            </w:tcBorders>
            <w:shd w:val="clear" w:color="auto" w:fill="auto"/>
          </w:tcPr>
          <w:p w14:paraId="2ABAF0A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89.7</w:t>
            </w:r>
          </w:p>
        </w:tc>
      </w:tr>
      <w:tr w:rsidR="00A83CF6" w:rsidRPr="009057A1" w14:paraId="75D51E4D" w14:textId="77777777" w:rsidTr="006C4058">
        <w:trPr>
          <w:trHeight w:val="143"/>
          <w:jc w:val="center"/>
        </w:trPr>
        <w:tc>
          <w:tcPr>
            <w:tcW w:w="2225" w:type="dxa"/>
            <w:vMerge/>
            <w:tcBorders>
              <w:top w:val="nil"/>
              <w:bottom w:val="nil"/>
              <w:right w:val="nil"/>
            </w:tcBorders>
            <w:shd w:val="clear" w:color="auto" w:fill="auto"/>
          </w:tcPr>
          <w:p w14:paraId="1B9699C0"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7B9514D1"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3</w:t>
            </w:r>
          </w:p>
        </w:tc>
        <w:tc>
          <w:tcPr>
            <w:tcW w:w="3101" w:type="dxa"/>
            <w:tcBorders>
              <w:top w:val="nil"/>
              <w:left w:val="nil"/>
              <w:bottom w:val="nil"/>
              <w:right w:val="nil"/>
            </w:tcBorders>
            <w:shd w:val="clear" w:color="auto" w:fill="auto"/>
          </w:tcPr>
          <w:p w14:paraId="214C8D5D"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Livelihood disruption</w:t>
            </w:r>
          </w:p>
        </w:tc>
        <w:tc>
          <w:tcPr>
            <w:tcW w:w="1799" w:type="dxa"/>
            <w:tcBorders>
              <w:top w:val="nil"/>
              <w:left w:val="nil"/>
              <w:bottom w:val="nil"/>
              <w:right w:val="nil"/>
            </w:tcBorders>
            <w:shd w:val="clear" w:color="auto" w:fill="auto"/>
          </w:tcPr>
          <w:p w14:paraId="10D7F0F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369</w:t>
            </w:r>
          </w:p>
        </w:tc>
        <w:tc>
          <w:tcPr>
            <w:tcW w:w="1799" w:type="dxa"/>
            <w:tcBorders>
              <w:top w:val="nil"/>
              <w:left w:val="nil"/>
              <w:bottom w:val="nil"/>
            </w:tcBorders>
            <w:shd w:val="clear" w:color="auto" w:fill="auto"/>
          </w:tcPr>
          <w:p w14:paraId="4743245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34.0</w:t>
            </w:r>
          </w:p>
        </w:tc>
      </w:tr>
      <w:tr w:rsidR="00A83CF6" w:rsidRPr="009057A1" w14:paraId="1C1792C4" w14:textId="77777777" w:rsidTr="006C4058">
        <w:trPr>
          <w:trHeight w:val="143"/>
          <w:jc w:val="center"/>
        </w:trPr>
        <w:tc>
          <w:tcPr>
            <w:tcW w:w="2225" w:type="dxa"/>
            <w:vMerge/>
            <w:tcBorders>
              <w:top w:val="nil"/>
              <w:bottom w:val="nil"/>
              <w:right w:val="nil"/>
            </w:tcBorders>
            <w:shd w:val="clear" w:color="auto" w:fill="auto"/>
          </w:tcPr>
          <w:p w14:paraId="0BF858E0"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bottom w:val="nil"/>
              <w:right w:val="nil"/>
            </w:tcBorders>
            <w:shd w:val="clear" w:color="auto" w:fill="auto"/>
          </w:tcPr>
          <w:p w14:paraId="5176483D"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4</w:t>
            </w:r>
          </w:p>
        </w:tc>
        <w:tc>
          <w:tcPr>
            <w:tcW w:w="3101" w:type="dxa"/>
            <w:tcBorders>
              <w:top w:val="nil"/>
              <w:left w:val="nil"/>
              <w:bottom w:val="nil"/>
              <w:right w:val="nil"/>
            </w:tcBorders>
            <w:shd w:val="clear" w:color="auto" w:fill="auto"/>
          </w:tcPr>
          <w:p w14:paraId="41BE353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Displacement</w:t>
            </w:r>
          </w:p>
        </w:tc>
        <w:tc>
          <w:tcPr>
            <w:tcW w:w="1799" w:type="dxa"/>
            <w:tcBorders>
              <w:top w:val="nil"/>
              <w:left w:val="nil"/>
              <w:bottom w:val="nil"/>
              <w:right w:val="nil"/>
            </w:tcBorders>
            <w:shd w:val="clear" w:color="auto" w:fill="auto"/>
          </w:tcPr>
          <w:p w14:paraId="390C256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634</w:t>
            </w:r>
          </w:p>
        </w:tc>
        <w:tc>
          <w:tcPr>
            <w:tcW w:w="1799" w:type="dxa"/>
            <w:tcBorders>
              <w:top w:val="nil"/>
              <w:left w:val="nil"/>
              <w:bottom w:val="nil"/>
            </w:tcBorders>
            <w:shd w:val="clear" w:color="auto" w:fill="auto"/>
          </w:tcPr>
          <w:p w14:paraId="22045AA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58.5</w:t>
            </w:r>
          </w:p>
        </w:tc>
      </w:tr>
      <w:tr w:rsidR="00A83CF6" w:rsidRPr="009057A1" w14:paraId="3FD4E721" w14:textId="77777777" w:rsidTr="006C4058">
        <w:trPr>
          <w:trHeight w:val="143"/>
          <w:jc w:val="center"/>
        </w:trPr>
        <w:tc>
          <w:tcPr>
            <w:tcW w:w="2225" w:type="dxa"/>
            <w:vMerge/>
            <w:tcBorders>
              <w:top w:val="nil"/>
              <w:right w:val="nil"/>
            </w:tcBorders>
            <w:shd w:val="clear" w:color="auto" w:fill="auto"/>
          </w:tcPr>
          <w:p w14:paraId="4F661C9A" w14:textId="77777777" w:rsidR="00A83CF6" w:rsidRPr="009057A1" w:rsidRDefault="00A83CF6" w:rsidP="006C4058">
            <w:pPr>
              <w:spacing w:after="0" w:line="240" w:lineRule="auto"/>
              <w:jc w:val="both"/>
              <w:rPr>
                <w:rFonts w:ascii="Times New Roman" w:eastAsia="Calibri" w:hAnsi="Times New Roman"/>
                <w:sz w:val="24"/>
                <w:szCs w:val="24"/>
              </w:rPr>
            </w:pPr>
          </w:p>
        </w:tc>
        <w:tc>
          <w:tcPr>
            <w:tcW w:w="392" w:type="dxa"/>
            <w:tcBorders>
              <w:top w:val="nil"/>
              <w:left w:val="nil"/>
              <w:right w:val="nil"/>
            </w:tcBorders>
            <w:shd w:val="clear" w:color="auto" w:fill="auto"/>
          </w:tcPr>
          <w:p w14:paraId="1B64310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5</w:t>
            </w:r>
          </w:p>
        </w:tc>
        <w:tc>
          <w:tcPr>
            <w:tcW w:w="3101" w:type="dxa"/>
            <w:tcBorders>
              <w:top w:val="nil"/>
              <w:left w:val="nil"/>
              <w:right w:val="nil"/>
            </w:tcBorders>
            <w:shd w:val="clear" w:color="auto" w:fill="auto"/>
          </w:tcPr>
          <w:p w14:paraId="6DB91D99"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Health impact</w:t>
            </w:r>
          </w:p>
        </w:tc>
        <w:tc>
          <w:tcPr>
            <w:tcW w:w="1799" w:type="dxa"/>
            <w:tcBorders>
              <w:top w:val="nil"/>
              <w:left w:val="nil"/>
              <w:right w:val="nil"/>
            </w:tcBorders>
            <w:shd w:val="clear" w:color="auto" w:fill="auto"/>
          </w:tcPr>
          <w:p w14:paraId="71B16AC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341</w:t>
            </w:r>
          </w:p>
        </w:tc>
        <w:tc>
          <w:tcPr>
            <w:tcW w:w="1799" w:type="dxa"/>
            <w:tcBorders>
              <w:top w:val="nil"/>
              <w:left w:val="nil"/>
            </w:tcBorders>
            <w:shd w:val="clear" w:color="auto" w:fill="auto"/>
          </w:tcPr>
          <w:p w14:paraId="3E5AE37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31.5</w:t>
            </w:r>
          </w:p>
        </w:tc>
      </w:tr>
    </w:tbl>
    <w:p w14:paraId="65B3BED8"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3BAD46DA"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Flooding and Boko Haram attacks emerged as the most destructive, with over 90% reporting property damage, displacement, and loss of lives. Epidemics had the highest health impact (95.3%), while drought predominantly disrupted livelihoods (85.2%). This underscores the varying intensity and effect pathways of different hazards on community well-being.</w:t>
      </w:r>
    </w:p>
    <w:p w14:paraId="0183DFA2"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 xml:space="preserve">6 </w:t>
      </w:r>
      <w:r w:rsidRPr="009052AD">
        <w:rPr>
          <w:rFonts w:ascii="Times New Roman" w:hAnsi="Times New Roman"/>
          <w:sz w:val="24"/>
          <w:szCs w:val="24"/>
        </w:rPr>
        <w:t>was conducted to statistically test differences in hazard impacts across socioeconomic groups using ANOVA.</w:t>
      </w:r>
    </w:p>
    <w:p w14:paraId="3B26F370" w14:textId="77777777"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lastRenderedPageBreak/>
        <w:t xml:space="preserve">Table 6: ANOVA results or differences in hazards impacts across socio economic groups </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045"/>
        <w:gridCol w:w="1512"/>
        <w:gridCol w:w="1600"/>
        <w:gridCol w:w="1600"/>
        <w:gridCol w:w="1423"/>
        <w:gridCol w:w="1067"/>
      </w:tblGrid>
      <w:tr w:rsidR="00A83CF6" w:rsidRPr="009057A1" w14:paraId="6B58B421" w14:textId="77777777" w:rsidTr="006C4058">
        <w:trPr>
          <w:trHeight w:val="764"/>
        </w:trPr>
        <w:tc>
          <w:tcPr>
            <w:tcW w:w="2045" w:type="dxa"/>
            <w:tcBorders>
              <w:top w:val="single" w:sz="4" w:space="0" w:color="auto"/>
              <w:bottom w:val="single" w:sz="4" w:space="0" w:color="auto"/>
            </w:tcBorders>
            <w:shd w:val="clear" w:color="auto" w:fill="auto"/>
            <w:vAlign w:val="center"/>
          </w:tcPr>
          <w:p w14:paraId="6055E242"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Source of Variation</w:t>
            </w:r>
          </w:p>
        </w:tc>
        <w:tc>
          <w:tcPr>
            <w:tcW w:w="1512" w:type="dxa"/>
            <w:tcBorders>
              <w:top w:val="single" w:sz="4" w:space="0" w:color="auto"/>
              <w:bottom w:val="single" w:sz="4" w:space="0" w:color="auto"/>
            </w:tcBorders>
            <w:shd w:val="clear" w:color="auto" w:fill="auto"/>
            <w:vAlign w:val="center"/>
          </w:tcPr>
          <w:p w14:paraId="59D5E9B9"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Sum of Squares (SS)</w:t>
            </w:r>
          </w:p>
        </w:tc>
        <w:tc>
          <w:tcPr>
            <w:tcW w:w="1600" w:type="dxa"/>
            <w:tcBorders>
              <w:top w:val="single" w:sz="4" w:space="0" w:color="auto"/>
              <w:bottom w:val="single" w:sz="4" w:space="0" w:color="auto"/>
            </w:tcBorders>
            <w:shd w:val="clear" w:color="auto" w:fill="auto"/>
            <w:vAlign w:val="center"/>
          </w:tcPr>
          <w:p w14:paraId="7E743FAF"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Degree of Freedom (df)</w:t>
            </w:r>
          </w:p>
        </w:tc>
        <w:tc>
          <w:tcPr>
            <w:tcW w:w="1600" w:type="dxa"/>
            <w:tcBorders>
              <w:top w:val="single" w:sz="4" w:space="0" w:color="auto"/>
              <w:bottom w:val="single" w:sz="4" w:space="0" w:color="auto"/>
            </w:tcBorders>
            <w:shd w:val="clear" w:color="auto" w:fill="auto"/>
            <w:vAlign w:val="center"/>
          </w:tcPr>
          <w:p w14:paraId="4CBC28D7"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Mean Square (MS)</w:t>
            </w:r>
          </w:p>
        </w:tc>
        <w:tc>
          <w:tcPr>
            <w:tcW w:w="1423" w:type="dxa"/>
            <w:tcBorders>
              <w:top w:val="single" w:sz="4" w:space="0" w:color="auto"/>
              <w:bottom w:val="single" w:sz="4" w:space="0" w:color="auto"/>
            </w:tcBorders>
            <w:shd w:val="clear" w:color="auto" w:fill="auto"/>
            <w:vAlign w:val="center"/>
          </w:tcPr>
          <w:p w14:paraId="69779B24"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F-Statistics</w:t>
            </w:r>
          </w:p>
        </w:tc>
        <w:tc>
          <w:tcPr>
            <w:tcW w:w="1067" w:type="dxa"/>
            <w:tcBorders>
              <w:top w:val="single" w:sz="4" w:space="0" w:color="auto"/>
              <w:bottom w:val="single" w:sz="4" w:space="0" w:color="auto"/>
            </w:tcBorders>
            <w:shd w:val="clear" w:color="auto" w:fill="auto"/>
            <w:vAlign w:val="center"/>
          </w:tcPr>
          <w:p w14:paraId="2C87A885"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r>
      <w:tr w:rsidR="00A83CF6" w:rsidRPr="009057A1" w14:paraId="51D56156" w14:textId="77777777" w:rsidTr="006C4058">
        <w:trPr>
          <w:trHeight w:val="370"/>
        </w:trPr>
        <w:tc>
          <w:tcPr>
            <w:tcW w:w="2045" w:type="dxa"/>
            <w:tcBorders>
              <w:top w:val="single" w:sz="4" w:space="0" w:color="auto"/>
            </w:tcBorders>
            <w:shd w:val="clear" w:color="auto" w:fill="auto"/>
          </w:tcPr>
          <w:p w14:paraId="45035092"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Between groups</w:t>
            </w:r>
          </w:p>
        </w:tc>
        <w:tc>
          <w:tcPr>
            <w:tcW w:w="1512" w:type="dxa"/>
            <w:tcBorders>
              <w:top w:val="single" w:sz="4" w:space="0" w:color="auto"/>
            </w:tcBorders>
            <w:shd w:val="clear" w:color="auto" w:fill="auto"/>
          </w:tcPr>
          <w:p w14:paraId="2B36D12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427.85</w:t>
            </w:r>
          </w:p>
        </w:tc>
        <w:tc>
          <w:tcPr>
            <w:tcW w:w="1600" w:type="dxa"/>
            <w:tcBorders>
              <w:top w:val="single" w:sz="4" w:space="0" w:color="auto"/>
            </w:tcBorders>
            <w:shd w:val="clear" w:color="auto" w:fill="auto"/>
          </w:tcPr>
          <w:p w14:paraId="7103608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w:t>
            </w:r>
          </w:p>
        </w:tc>
        <w:tc>
          <w:tcPr>
            <w:tcW w:w="1600" w:type="dxa"/>
            <w:tcBorders>
              <w:top w:val="single" w:sz="4" w:space="0" w:color="auto"/>
            </w:tcBorders>
            <w:shd w:val="clear" w:color="auto" w:fill="auto"/>
          </w:tcPr>
          <w:p w14:paraId="299BB35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61.12</w:t>
            </w:r>
          </w:p>
        </w:tc>
        <w:tc>
          <w:tcPr>
            <w:tcW w:w="1423" w:type="dxa"/>
            <w:tcBorders>
              <w:top w:val="single" w:sz="4" w:space="0" w:color="auto"/>
            </w:tcBorders>
            <w:shd w:val="clear" w:color="auto" w:fill="auto"/>
          </w:tcPr>
          <w:p w14:paraId="553C4B1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9.73</w:t>
            </w:r>
          </w:p>
        </w:tc>
        <w:tc>
          <w:tcPr>
            <w:tcW w:w="1067" w:type="dxa"/>
            <w:tcBorders>
              <w:top w:val="single" w:sz="4" w:space="0" w:color="auto"/>
            </w:tcBorders>
            <w:shd w:val="clear" w:color="auto" w:fill="auto"/>
          </w:tcPr>
          <w:p w14:paraId="051A024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r>
      <w:tr w:rsidR="00A83CF6" w:rsidRPr="009057A1" w14:paraId="535E5A12" w14:textId="77777777" w:rsidTr="006C4058">
        <w:trPr>
          <w:trHeight w:val="370"/>
        </w:trPr>
        <w:tc>
          <w:tcPr>
            <w:tcW w:w="2045" w:type="dxa"/>
            <w:tcBorders>
              <w:bottom w:val="single" w:sz="4" w:space="0" w:color="auto"/>
            </w:tcBorders>
            <w:shd w:val="clear" w:color="auto" w:fill="auto"/>
          </w:tcPr>
          <w:p w14:paraId="0204056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Within groups </w:t>
            </w:r>
          </w:p>
        </w:tc>
        <w:tc>
          <w:tcPr>
            <w:tcW w:w="1512" w:type="dxa"/>
            <w:tcBorders>
              <w:bottom w:val="single" w:sz="4" w:space="0" w:color="auto"/>
            </w:tcBorders>
            <w:shd w:val="clear" w:color="auto" w:fill="auto"/>
          </w:tcPr>
          <w:p w14:paraId="6F4FD5C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6,712.43</w:t>
            </w:r>
          </w:p>
        </w:tc>
        <w:tc>
          <w:tcPr>
            <w:tcW w:w="1600" w:type="dxa"/>
            <w:tcBorders>
              <w:bottom w:val="single" w:sz="4" w:space="0" w:color="auto"/>
            </w:tcBorders>
            <w:shd w:val="clear" w:color="auto" w:fill="auto"/>
          </w:tcPr>
          <w:p w14:paraId="64C8DDD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1076</w:t>
            </w:r>
          </w:p>
        </w:tc>
        <w:tc>
          <w:tcPr>
            <w:tcW w:w="1600" w:type="dxa"/>
            <w:tcBorders>
              <w:bottom w:val="single" w:sz="4" w:space="0" w:color="auto"/>
            </w:tcBorders>
            <w:shd w:val="clear" w:color="auto" w:fill="auto"/>
          </w:tcPr>
          <w:p w14:paraId="08F3EBB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6.24</w:t>
            </w:r>
          </w:p>
        </w:tc>
        <w:tc>
          <w:tcPr>
            <w:tcW w:w="1423" w:type="dxa"/>
            <w:tcBorders>
              <w:bottom w:val="single" w:sz="4" w:space="0" w:color="auto"/>
            </w:tcBorders>
            <w:shd w:val="clear" w:color="auto" w:fill="auto"/>
          </w:tcPr>
          <w:p w14:paraId="10A64DBB" w14:textId="77777777" w:rsidR="00A83CF6" w:rsidRPr="009057A1" w:rsidRDefault="00A83CF6" w:rsidP="006C4058">
            <w:pPr>
              <w:spacing w:after="0" w:line="240" w:lineRule="auto"/>
              <w:jc w:val="center"/>
              <w:rPr>
                <w:rFonts w:ascii="Times New Roman" w:eastAsia="Calibri" w:hAnsi="Times New Roman"/>
                <w:sz w:val="24"/>
                <w:szCs w:val="24"/>
              </w:rPr>
            </w:pPr>
          </w:p>
        </w:tc>
        <w:tc>
          <w:tcPr>
            <w:tcW w:w="1067" w:type="dxa"/>
            <w:tcBorders>
              <w:bottom w:val="single" w:sz="4" w:space="0" w:color="auto"/>
            </w:tcBorders>
            <w:shd w:val="clear" w:color="auto" w:fill="auto"/>
          </w:tcPr>
          <w:p w14:paraId="5700C3A4" w14:textId="77777777" w:rsidR="00A83CF6" w:rsidRPr="009057A1" w:rsidRDefault="00A83CF6" w:rsidP="006C4058">
            <w:pPr>
              <w:spacing w:after="0" w:line="240" w:lineRule="auto"/>
              <w:jc w:val="center"/>
              <w:rPr>
                <w:rFonts w:ascii="Times New Roman" w:eastAsia="Calibri" w:hAnsi="Times New Roman"/>
                <w:sz w:val="24"/>
                <w:szCs w:val="24"/>
              </w:rPr>
            </w:pPr>
          </w:p>
        </w:tc>
      </w:tr>
      <w:tr w:rsidR="00A83CF6" w:rsidRPr="009057A1" w14:paraId="5CFB05F5" w14:textId="77777777" w:rsidTr="006C4058">
        <w:trPr>
          <w:trHeight w:val="244"/>
        </w:trPr>
        <w:tc>
          <w:tcPr>
            <w:tcW w:w="2045" w:type="dxa"/>
            <w:tcBorders>
              <w:top w:val="single" w:sz="4" w:space="0" w:color="auto"/>
              <w:bottom w:val="single" w:sz="4" w:space="0" w:color="auto"/>
            </w:tcBorders>
            <w:shd w:val="clear" w:color="auto" w:fill="auto"/>
          </w:tcPr>
          <w:p w14:paraId="65B2492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Total</w:t>
            </w:r>
          </w:p>
        </w:tc>
        <w:tc>
          <w:tcPr>
            <w:tcW w:w="1512" w:type="dxa"/>
            <w:tcBorders>
              <w:top w:val="single" w:sz="4" w:space="0" w:color="auto"/>
              <w:bottom w:val="single" w:sz="4" w:space="0" w:color="auto"/>
            </w:tcBorders>
            <w:shd w:val="clear" w:color="auto" w:fill="auto"/>
          </w:tcPr>
          <w:p w14:paraId="03ADCE4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7,140.28</w:t>
            </w:r>
          </w:p>
        </w:tc>
        <w:tc>
          <w:tcPr>
            <w:tcW w:w="1600" w:type="dxa"/>
            <w:tcBorders>
              <w:top w:val="single" w:sz="4" w:space="0" w:color="auto"/>
              <w:bottom w:val="single" w:sz="4" w:space="0" w:color="auto"/>
            </w:tcBorders>
            <w:shd w:val="clear" w:color="auto" w:fill="auto"/>
          </w:tcPr>
          <w:p w14:paraId="3DCFB44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1083</w:t>
            </w:r>
          </w:p>
        </w:tc>
        <w:tc>
          <w:tcPr>
            <w:tcW w:w="1600" w:type="dxa"/>
            <w:tcBorders>
              <w:top w:val="single" w:sz="4" w:space="0" w:color="auto"/>
              <w:bottom w:val="single" w:sz="4" w:space="0" w:color="auto"/>
            </w:tcBorders>
            <w:shd w:val="clear" w:color="auto" w:fill="auto"/>
          </w:tcPr>
          <w:p w14:paraId="644458B1" w14:textId="77777777" w:rsidR="00A83CF6" w:rsidRPr="009057A1" w:rsidRDefault="00A83CF6" w:rsidP="006C4058">
            <w:pPr>
              <w:spacing w:after="0" w:line="240" w:lineRule="auto"/>
              <w:jc w:val="center"/>
              <w:rPr>
                <w:rFonts w:ascii="Times New Roman" w:eastAsia="Calibri" w:hAnsi="Times New Roman"/>
                <w:sz w:val="24"/>
                <w:szCs w:val="24"/>
              </w:rPr>
            </w:pPr>
          </w:p>
        </w:tc>
        <w:tc>
          <w:tcPr>
            <w:tcW w:w="1423" w:type="dxa"/>
            <w:tcBorders>
              <w:top w:val="single" w:sz="4" w:space="0" w:color="auto"/>
              <w:bottom w:val="single" w:sz="4" w:space="0" w:color="auto"/>
            </w:tcBorders>
            <w:shd w:val="clear" w:color="auto" w:fill="auto"/>
          </w:tcPr>
          <w:p w14:paraId="2D0B6807" w14:textId="77777777" w:rsidR="00A83CF6" w:rsidRPr="009057A1" w:rsidRDefault="00A83CF6" w:rsidP="006C4058">
            <w:pPr>
              <w:spacing w:after="0" w:line="240" w:lineRule="auto"/>
              <w:jc w:val="center"/>
              <w:rPr>
                <w:rFonts w:ascii="Times New Roman" w:eastAsia="Calibri" w:hAnsi="Times New Roman"/>
                <w:sz w:val="24"/>
                <w:szCs w:val="24"/>
              </w:rPr>
            </w:pPr>
          </w:p>
        </w:tc>
        <w:tc>
          <w:tcPr>
            <w:tcW w:w="1067" w:type="dxa"/>
            <w:tcBorders>
              <w:top w:val="single" w:sz="4" w:space="0" w:color="auto"/>
              <w:bottom w:val="single" w:sz="4" w:space="0" w:color="auto"/>
            </w:tcBorders>
            <w:shd w:val="clear" w:color="auto" w:fill="auto"/>
          </w:tcPr>
          <w:p w14:paraId="29A29356" w14:textId="77777777" w:rsidR="00A83CF6" w:rsidRPr="009057A1" w:rsidRDefault="00A83CF6" w:rsidP="006C4058">
            <w:pPr>
              <w:spacing w:after="0" w:line="240" w:lineRule="auto"/>
              <w:jc w:val="center"/>
              <w:rPr>
                <w:rFonts w:ascii="Times New Roman" w:eastAsia="Calibri" w:hAnsi="Times New Roman"/>
                <w:sz w:val="24"/>
                <w:szCs w:val="24"/>
              </w:rPr>
            </w:pPr>
          </w:p>
        </w:tc>
      </w:tr>
    </w:tbl>
    <w:p w14:paraId="25207F4B"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Source: Computed by Authors, 2025.</w:t>
      </w:r>
    </w:p>
    <w:p w14:paraId="6AC01A50"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The significant F-statistic (F=9.73, p&lt;0.001) reveals that the impacts of hazards vary significantly among different socioeconomic groups, emphasizing the need for stratified intervention strategies.</w:t>
      </w:r>
    </w:p>
    <w:p w14:paraId="66BE667F"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7 </w:t>
      </w:r>
      <w:r w:rsidRPr="009052AD">
        <w:rPr>
          <w:rFonts w:ascii="Times New Roman" w:hAnsi="Times New Roman"/>
          <w:sz w:val="24"/>
          <w:szCs w:val="24"/>
        </w:rPr>
        <w:t>was produced to identify the key predictors of household-level disaster impact severity through regression modeling.</w:t>
      </w:r>
    </w:p>
    <w:p w14:paraId="316F0482" w14:textId="77777777"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Table 7: Multiple linear regression result for predictors of disaster impact</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90"/>
        <w:gridCol w:w="2340"/>
        <w:gridCol w:w="1890"/>
        <w:gridCol w:w="1170"/>
        <w:gridCol w:w="1080"/>
      </w:tblGrid>
      <w:tr w:rsidR="00A83CF6" w:rsidRPr="009057A1" w14:paraId="472D5E4E" w14:textId="77777777" w:rsidTr="006C4058">
        <w:trPr>
          <w:trHeight w:val="536"/>
        </w:trPr>
        <w:tc>
          <w:tcPr>
            <w:tcW w:w="2790" w:type="dxa"/>
            <w:tcBorders>
              <w:bottom w:val="single" w:sz="4" w:space="0" w:color="auto"/>
              <w:right w:val="nil"/>
            </w:tcBorders>
            <w:shd w:val="clear" w:color="auto" w:fill="auto"/>
            <w:vAlign w:val="center"/>
          </w:tcPr>
          <w:p w14:paraId="0B0CB80F"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Variable</w:t>
            </w:r>
          </w:p>
        </w:tc>
        <w:tc>
          <w:tcPr>
            <w:tcW w:w="2340" w:type="dxa"/>
            <w:tcBorders>
              <w:left w:val="nil"/>
              <w:bottom w:val="single" w:sz="4" w:space="0" w:color="auto"/>
              <w:right w:val="nil"/>
            </w:tcBorders>
            <w:shd w:val="clear" w:color="auto" w:fill="auto"/>
            <w:vAlign w:val="center"/>
          </w:tcPr>
          <w:p w14:paraId="01FDE035"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Unstandardized Coefficients (B)</w:t>
            </w:r>
          </w:p>
        </w:tc>
        <w:tc>
          <w:tcPr>
            <w:tcW w:w="1890" w:type="dxa"/>
            <w:tcBorders>
              <w:left w:val="nil"/>
              <w:bottom w:val="single" w:sz="4" w:space="0" w:color="auto"/>
              <w:right w:val="nil"/>
            </w:tcBorders>
            <w:shd w:val="clear" w:color="auto" w:fill="auto"/>
            <w:vAlign w:val="center"/>
          </w:tcPr>
          <w:p w14:paraId="038F130C"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Standard Error (SE)</w:t>
            </w:r>
          </w:p>
        </w:tc>
        <w:tc>
          <w:tcPr>
            <w:tcW w:w="1170" w:type="dxa"/>
            <w:tcBorders>
              <w:left w:val="nil"/>
              <w:bottom w:val="single" w:sz="4" w:space="0" w:color="auto"/>
              <w:right w:val="nil"/>
            </w:tcBorders>
            <w:shd w:val="clear" w:color="auto" w:fill="auto"/>
            <w:vAlign w:val="center"/>
          </w:tcPr>
          <w:p w14:paraId="22DA52E9"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t-value</w:t>
            </w:r>
          </w:p>
        </w:tc>
        <w:tc>
          <w:tcPr>
            <w:tcW w:w="1080" w:type="dxa"/>
            <w:tcBorders>
              <w:left w:val="nil"/>
              <w:bottom w:val="single" w:sz="4" w:space="0" w:color="auto"/>
            </w:tcBorders>
            <w:shd w:val="clear" w:color="auto" w:fill="auto"/>
            <w:vAlign w:val="center"/>
          </w:tcPr>
          <w:p w14:paraId="2CAB6ACF"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r>
      <w:tr w:rsidR="00A83CF6" w:rsidRPr="009057A1" w14:paraId="5085D0F9" w14:textId="77777777" w:rsidTr="006C4058">
        <w:trPr>
          <w:trHeight w:val="296"/>
        </w:trPr>
        <w:tc>
          <w:tcPr>
            <w:tcW w:w="2790" w:type="dxa"/>
            <w:tcBorders>
              <w:bottom w:val="nil"/>
              <w:right w:val="nil"/>
            </w:tcBorders>
            <w:shd w:val="clear" w:color="auto" w:fill="auto"/>
          </w:tcPr>
          <w:p w14:paraId="3287A307"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Income level</w:t>
            </w:r>
          </w:p>
        </w:tc>
        <w:tc>
          <w:tcPr>
            <w:tcW w:w="2340" w:type="dxa"/>
            <w:tcBorders>
              <w:left w:val="nil"/>
              <w:bottom w:val="nil"/>
              <w:right w:val="nil"/>
            </w:tcBorders>
            <w:shd w:val="clear" w:color="auto" w:fill="auto"/>
          </w:tcPr>
          <w:p w14:paraId="188606A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-0.42</w:t>
            </w:r>
          </w:p>
        </w:tc>
        <w:tc>
          <w:tcPr>
            <w:tcW w:w="1890" w:type="dxa"/>
            <w:tcBorders>
              <w:left w:val="nil"/>
              <w:bottom w:val="nil"/>
              <w:right w:val="nil"/>
            </w:tcBorders>
            <w:shd w:val="clear" w:color="auto" w:fill="auto"/>
          </w:tcPr>
          <w:p w14:paraId="68BB117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w:t>
            </w:r>
          </w:p>
        </w:tc>
        <w:tc>
          <w:tcPr>
            <w:tcW w:w="1170" w:type="dxa"/>
            <w:tcBorders>
              <w:left w:val="nil"/>
              <w:bottom w:val="nil"/>
              <w:right w:val="nil"/>
            </w:tcBorders>
            <w:shd w:val="clear" w:color="auto" w:fill="auto"/>
          </w:tcPr>
          <w:p w14:paraId="6B99A3F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-8.40</w:t>
            </w:r>
          </w:p>
        </w:tc>
        <w:tc>
          <w:tcPr>
            <w:tcW w:w="1080" w:type="dxa"/>
            <w:tcBorders>
              <w:left w:val="nil"/>
              <w:bottom w:val="nil"/>
            </w:tcBorders>
            <w:shd w:val="clear" w:color="auto" w:fill="auto"/>
          </w:tcPr>
          <w:p w14:paraId="0033711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r>
      <w:tr w:rsidR="00A83CF6" w:rsidRPr="009057A1" w14:paraId="47A94C2C" w14:textId="77777777" w:rsidTr="006C4058">
        <w:trPr>
          <w:trHeight w:val="259"/>
        </w:trPr>
        <w:tc>
          <w:tcPr>
            <w:tcW w:w="2790" w:type="dxa"/>
            <w:tcBorders>
              <w:top w:val="nil"/>
              <w:bottom w:val="nil"/>
              <w:right w:val="nil"/>
            </w:tcBorders>
            <w:shd w:val="clear" w:color="auto" w:fill="auto"/>
          </w:tcPr>
          <w:p w14:paraId="38AECFF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 xml:space="preserve">Educational level </w:t>
            </w:r>
          </w:p>
        </w:tc>
        <w:tc>
          <w:tcPr>
            <w:tcW w:w="2340" w:type="dxa"/>
            <w:tcBorders>
              <w:top w:val="nil"/>
              <w:left w:val="nil"/>
              <w:bottom w:val="nil"/>
              <w:right w:val="nil"/>
            </w:tcBorders>
            <w:shd w:val="clear" w:color="auto" w:fill="auto"/>
          </w:tcPr>
          <w:p w14:paraId="256C904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-0.31</w:t>
            </w:r>
          </w:p>
        </w:tc>
        <w:tc>
          <w:tcPr>
            <w:tcW w:w="1890" w:type="dxa"/>
            <w:tcBorders>
              <w:top w:val="nil"/>
              <w:left w:val="nil"/>
              <w:bottom w:val="nil"/>
              <w:right w:val="nil"/>
            </w:tcBorders>
            <w:shd w:val="clear" w:color="auto" w:fill="auto"/>
          </w:tcPr>
          <w:p w14:paraId="50E8601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0.07</w:t>
            </w:r>
          </w:p>
        </w:tc>
        <w:tc>
          <w:tcPr>
            <w:tcW w:w="1170" w:type="dxa"/>
            <w:tcBorders>
              <w:top w:val="nil"/>
              <w:left w:val="nil"/>
              <w:bottom w:val="nil"/>
              <w:right w:val="nil"/>
            </w:tcBorders>
            <w:shd w:val="clear" w:color="auto" w:fill="auto"/>
          </w:tcPr>
          <w:p w14:paraId="7DBC34B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-4.43</w:t>
            </w:r>
          </w:p>
        </w:tc>
        <w:tc>
          <w:tcPr>
            <w:tcW w:w="1080" w:type="dxa"/>
            <w:tcBorders>
              <w:top w:val="nil"/>
              <w:left w:val="nil"/>
              <w:bottom w:val="nil"/>
            </w:tcBorders>
            <w:shd w:val="clear" w:color="auto" w:fill="auto"/>
          </w:tcPr>
          <w:p w14:paraId="383E4351" w14:textId="77777777" w:rsidR="00A83CF6" w:rsidRPr="009057A1" w:rsidRDefault="00A83CF6" w:rsidP="006C4058">
            <w:pPr>
              <w:spacing w:after="0" w:line="240" w:lineRule="auto"/>
              <w:jc w:val="center"/>
              <w:rPr>
                <w:rFonts w:eastAsia="Calibri"/>
                <w:sz w:val="24"/>
                <w:szCs w:val="24"/>
              </w:rPr>
            </w:pPr>
            <w:r w:rsidRPr="009057A1">
              <w:rPr>
                <w:rFonts w:ascii="Times New Roman" w:eastAsia="Calibri" w:hAnsi="Times New Roman"/>
                <w:sz w:val="24"/>
                <w:szCs w:val="24"/>
              </w:rPr>
              <w:t>&lt;0.001</w:t>
            </w:r>
          </w:p>
        </w:tc>
      </w:tr>
      <w:tr w:rsidR="00A83CF6" w:rsidRPr="009057A1" w14:paraId="4A667235" w14:textId="77777777" w:rsidTr="006C4058">
        <w:trPr>
          <w:trHeight w:val="278"/>
        </w:trPr>
        <w:tc>
          <w:tcPr>
            <w:tcW w:w="2790" w:type="dxa"/>
            <w:tcBorders>
              <w:top w:val="nil"/>
              <w:bottom w:val="single" w:sz="4" w:space="0" w:color="auto"/>
              <w:right w:val="nil"/>
            </w:tcBorders>
            <w:shd w:val="clear" w:color="auto" w:fill="auto"/>
          </w:tcPr>
          <w:p w14:paraId="44DC145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Frequency of hazards</w:t>
            </w:r>
          </w:p>
        </w:tc>
        <w:tc>
          <w:tcPr>
            <w:tcW w:w="2340" w:type="dxa"/>
            <w:tcBorders>
              <w:top w:val="nil"/>
              <w:left w:val="nil"/>
              <w:bottom w:val="single" w:sz="4" w:space="0" w:color="auto"/>
              <w:right w:val="nil"/>
            </w:tcBorders>
            <w:shd w:val="clear" w:color="auto" w:fill="auto"/>
          </w:tcPr>
          <w:p w14:paraId="4A053E1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0.87</w:t>
            </w:r>
          </w:p>
        </w:tc>
        <w:tc>
          <w:tcPr>
            <w:tcW w:w="1890" w:type="dxa"/>
            <w:tcBorders>
              <w:top w:val="nil"/>
              <w:left w:val="nil"/>
              <w:bottom w:val="single" w:sz="4" w:space="0" w:color="auto"/>
              <w:right w:val="nil"/>
            </w:tcBorders>
            <w:shd w:val="clear" w:color="auto" w:fill="auto"/>
          </w:tcPr>
          <w:p w14:paraId="462B2B0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w:t>
            </w:r>
          </w:p>
        </w:tc>
        <w:tc>
          <w:tcPr>
            <w:tcW w:w="1170" w:type="dxa"/>
            <w:tcBorders>
              <w:top w:val="nil"/>
              <w:left w:val="nil"/>
              <w:bottom w:val="single" w:sz="4" w:space="0" w:color="auto"/>
              <w:right w:val="nil"/>
            </w:tcBorders>
            <w:shd w:val="clear" w:color="auto" w:fill="auto"/>
          </w:tcPr>
          <w:p w14:paraId="011E9A5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9.67</w:t>
            </w:r>
          </w:p>
        </w:tc>
        <w:tc>
          <w:tcPr>
            <w:tcW w:w="1080" w:type="dxa"/>
            <w:tcBorders>
              <w:top w:val="nil"/>
              <w:left w:val="nil"/>
              <w:bottom w:val="single" w:sz="4" w:space="0" w:color="auto"/>
            </w:tcBorders>
            <w:shd w:val="clear" w:color="auto" w:fill="auto"/>
          </w:tcPr>
          <w:p w14:paraId="0E14AE11" w14:textId="77777777" w:rsidR="00A83CF6" w:rsidRPr="009057A1" w:rsidRDefault="00A83CF6" w:rsidP="006C4058">
            <w:pPr>
              <w:spacing w:after="0" w:line="240" w:lineRule="auto"/>
              <w:jc w:val="center"/>
              <w:rPr>
                <w:rFonts w:eastAsia="Calibri"/>
                <w:sz w:val="24"/>
                <w:szCs w:val="24"/>
              </w:rPr>
            </w:pPr>
            <w:r w:rsidRPr="009057A1">
              <w:rPr>
                <w:rFonts w:ascii="Times New Roman" w:eastAsia="Calibri" w:hAnsi="Times New Roman"/>
                <w:sz w:val="24"/>
                <w:szCs w:val="24"/>
              </w:rPr>
              <w:t>&lt;0.001</w:t>
            </w:r>
          </w:p>
        </w:tc>
      </w:tr>
      <w:tr w:rsidR="00A83CF6" w:rsidRPr="009057A1" w14:paraId="2B7560E8" w14:textId="77777777" w:rsidTr="006C4058">
        <w:trPr>
          <w:trHeight w:val="278"/>
        </w:trPr>
        <w:tc>
          <w:tcPr>
            <w:tcW w:w="2790" w:type="dxa"/>
            <w:tcBorders>
              <w:right w:val="nil"/>
            </w:tcBorders>
            <w:shd w:val="clear" w:color="auto" w:fill="auto"/>
          </w:tcPr>
          <w:p w14:paraId="57382ACA" w14:textId="77777777" w:rsidR="00A83CF6" w:rsidRPr="009057A1" w:rsidRDefault="00A83CF6" w:rsidP="006C4058">
            <w:pPr>
              <w:spacing w:after="0" w:line="240" w:lineRule="auto"/>
              <w:jc w:val="center"/>
              <w:rPr>
                <w:rFonts w:ascii="Times New Roman" w:eastAsia="Calibri" w:hAnsi="Times New Roman"/>
                <w:i/>
                <w:sz w:val="24"/>
                <w:szCs w:val="24"/>
              </w:rPr>
            </w:pPr>
            <w:r w:rsidRPr="009057A1">
              <w:rPr>
                <w:rFonts w:ascii="Times New Roman" w:eastAsia="Calibri" w:hAnsi="Times New Roman"/>
                <w:i/>
                <w:sz w:val="24"/>
                <w:szCs w:val="24"/>
              </w:rPr>
              <w:t>(Constant)</w:t>
            </w:r>
          </w:p>
        </w:tc>
        <w:tc>
          <w:tcPr>
            <w:tcW w:w="2340" w:type="dxa"/>
            <w:tcBorders>
              <w:left w:val="nil"/>
              <w:right w:val="nil"/>
            </w:tcBorders>
            <w:shd w:val="clear" w:color="auto" w:fill="auto"/>
          </w:tcPr>
          <w:p w14:paraId="20CE6D2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3.15</w:t>
            </w:r>
          </w:p>
        </w:tc>
        <w:tc>
          <w:tcPr>
            <w:tcW w:w="1890" w:type="dxa"/>
            <w:tcBorders>
              <w:left w:val="nil"/>
              <w:right w:val="nil"/>
            </w:tcBorders>
            <w:shd w:val="clear" w:color="auto" w:fill="auto"/>
          </w:tcPr>
          <w:p w14:paraId="2A3DA4D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0.21</w:t>
            </w:r>
          </w:p>
        </w:tc>
        <w:tc>
          <w:tcPr>
            <w:tcW w:w="1170" w:type="dxa"/>
            <w:tcBorders>
              <w:left w:val="nil"/>
              <w:right w:val="nil"/>
            </w:tcBorders>
            <w:shd w:val="clear" w:color="auto" w:fill="auto"/>
          </w:tcPr>
          <w:p w14:paraId="19E8BC3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15.00</w:t>
            </w:r>
          </w:p>
        </w:tc>
        <w:tc>
          <w:tcPr>
            <w:tcW w:w="1080" w:type="dxa"/>
            <w:tcBorders>
              <w:left w:val="nil"/>
            </w:tcBorders>
            <w:shd w:val="clear" w:color="auto" w:fill="auto"/>
          </w:tcPr>
          <w:p w14:paraId="108A79F5" w14:textId="77777777" w:rsidR="00A83CF6" w:rsidRPr="009057A1" w:rsidRDefault="00A83CF6" w:rsidP="006C4058">
            <w:pPr>
              <w:spacing w:after="0" w:line="240" w:lineRule="auto"/>
              <w:jc w:val="center"/>
              <w:rPr>
                <w:rFonts w:eastAsia="Calibri"/>
                <w:sz w:val="24"/>
                <w:szCs w:val="24"/>
              </w:rPr>
            </w:pPr>
            <w:r w:rsidRPr="009057A1">
              <w:rPr>
                <w:rFonts w:ascii="Times New Roman" w:eastAsia="Calibri" w:hAnsi="Times New Roman"/>
                <w:sz w:val="24"/>
                <w:szCs w:val="24"/>
              </w:rPr>
              <w:t>&lt;0.001</w:t>
            </w:r>
          </w:p>
        </w:tc>
      </w:tr>
    </w:tbl>
    <w:p w14:paraId="511360E6"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Source: Computed by Authors, 2025.</w:t>
      </w:r>
    </w:p>
    <w:p w14:paraId="6F792F5E"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R</w:t>
      </w:r>
      <w:r w:rsidRPr="009057A1">
        <w:rPr>
          <w:rFonts w:ascii="Times New Roman" w:hAnsi="Times New Roman"/>
          <w:sz w:val="24"/>
          <w:szCs w:val="24"/>
          <w:vertAlign w:val="superscript"/>
        </w:rPr>
        <w:t>2</w:t>
      </w:r>
      <w:r w:rsidRPr="009057A1">
        <w:rPr>
          <w:rFonts w:ascii="Times New Roman" w:hAnsi="Times New Roman"/>
          <w:sz w:val="24"/>
          <w:szCs w:val="24"/>
        </w:rPr>
        <w:t xml:space="preserve"> = 0.58; Adjusted R</w:t>
      </w:r>
      <w:r w:rsidRPr="009057A1">
        <w:rPr>
          <w:rFonts w:ascii="Times New Roman" w:hAnsi="Times New Roman"/>
          <w:sz w:val="24"/>
          <w:szCs w:val="24"/>
          <w:vertAlign w:val="superscript"/>
        </w:rPr>
        <w:t xml:space="preserve">2 </w:t>
      </w:r>
      <w:r w:rsidRPr="009057A1">
        <w:rPr>
          <w:rFonts w:ascii="Times New Roman" w:hAnsi="Times New Roman"/>
          <w:sz w:val="24"/>
          <w:szCs w:val="24"/>
        </w:rPr>
        <w:t xml:space="preserve">= 0.57; </w:t>
      </w:r>
      <w:r w:rsidRPr="009057A1">
        <w:rPr>
          <w:rFonts w:ascii="Times New Roman" w:hAnsi="Times New Roman"/>
          <w:i/>
          <w:sz w:val="24"/>
          <w:szCs w:val="24"/>
        </w:rPr>
        <w:t>F</w:t>
      </w:r>
      <w:r w:rsidRPr="009057A1">
        <w:rPr>
          <w:rFonts w:ascii="Times New Roman" w:hAnsi="Times New Roman"/>
          <w:sz w:val="24"/>
          <w:szCs w:val="24"/>
        </w:rPr>
        <w:t xml:space="preserve"> (3, 1080) = p &lt; 0.001</w:t>
      </w:r>
    </w:p>
    <w:p w14:paraId="171B24DC"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Results show that lower income and educational levels significantly predict higher disaster impacts (p&lt;0.001), while frequency of hazards correlates positively with impact levels (β=0.87). The model explains 58% of the variance (Adjusted R²=0.57).</w:t>
      </w:r>
    </w:p>
    <w:p w14:paraId="0761BB35"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3.3 SLF-Based Vulnerability Mapping</w:t>
      </w:r>
    </w:p>
    <w:p w14:paraId="4B5784F8" w14:textId="77777777"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 xml:space="preserve">This section employs the Sustainable Livelihood Framework (SLF) to assess vulnerability across five livelihood capitals: human, social, natural, physical, and financial. The framework allows for an integrated understanding of how resource availability, institutional support, and infrastructure shape community resilience. Both static and dynamic mapping approaches are used to reveal not only structural weaknesses but also spatial variations in vulnerability across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xml:space="preserve"> town.</w:t>
      </w:r>
    </w:p>
    <w:p w14:paraId="7794F814"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3.3.1 Framework Analysis Using the Sustainable Livelihood Framework (SLF)</w:t>
      </w:r>
    </w:p>
    <w:p w14:paraId="28FE1D3D"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This framework analysis is based on the Sustainable Livelihood Framework (SLF), structured around five livelihood capitals: human, social, natural, physical, and financial. The table categorizes findings from the Focus Group Discussion (FGD) and provides interpretations for each capital in relation to community vulnerability and resilience.</w:t>
      </w:r>
    </w:p>
    <w:p w14:paraId="37B47E4F"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lastRenderedPageBreak/>
        <w:t>Th</w:t>
      </w:r>
      <w:r>
        <w:rPr>
          <w:rFonts w:ascii="Times New Roman" w:hAnsi="Times New Roman"/>
          <w:sz w:val="24"/>
          <w:szCs w:val="24"/>
        </w:rPr>
        <w:t>e 8</w:t>
      </w:r>
      <w:r w:rsidRPr="009052AD">
        <w:rPr>
          <w:rFonts w:ascii="Times New Roman" w:hAnsi="Times New Roman"/>
          <w:sz w:val="24"/>
          <w:szCs w:val="24"/>
        </w:rPr>
        <w:t xml:space="preserve"> table was constructed to interpret household vulnerability using the </w:t>
      </w:r>
      <w:r>
        <w:rPr>
          <w:rFonts w:ascii="Times New Roman" w:hAnsi="Times New Roman"/>
          <w:sz w:val="24"/>
          <w:szCs w:val="24"/>
        </w:rPr>
        <w:t>SLF</w:t>
      </w:r>
      <w:r w:rsidRPr="009052AD">
        <w:rPr>
          <w:rFonts w:ascii="Times New Roman" w:hAnsi="Times New Roman"/>
          <w:sz w:val="24"/>
          <w:szCs w:val="24"/>
        </w:rPr>
        <w:t xml:space="preserve"> across five capitals</w:t>
      </w:r>
      <w:r>
        <w:rPr>
          <w:rFonts w:ascii="Times New Roman" w:hAnsi="Times New Roman"/>
          <w:sz w:val="24"/>
          <w:szCs w:val="24"/>
        </w:rPr>
        <w:t>; human, social, natural, physical, and financial respectively</w:t>
      </w:r>
      <w:r w:rsidRPr="009052AD">
        <w:rPr>
          <w:rFonts w:ascii="Times New Roman" w:hAnsi="Times New Roman"/>
          <w:sz w:val="24"/>
          <w:szCs w:val="24"/>
        </w:rPr>
        <w:t>.</w:t>
      </w:r>
    </w:p>
    <w:p w14:paraId="225E6BAD" w14:textId="77777777"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 xml:space="preserve">Table 8: Framework analysis using the </w:t>
      </w:r>
      <w:r>
        <w:rPr>
          <w:rFonts w:ascii="Times New Roman" w:hAnsi="Times New Roman"/>
          <w:sz w:val="24"/>
          <w:szCs w:val="24"/>
        </w:rPr>
        <w:t>SLF</w:t>
      </w:r>
    </w:p>
    <w:tbl>
      <w:tblPr>
        <w:tblW w:w="0" w:type="auto"/>
        <w:tblInd w:w="19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40"/>
        <w:gridCol w:w="2790"/>
        <w:gridCol w:w="5148"/>
      </w:tblGrid>
      <w:tr w:rsidR="00A83CF6" w:rsidRPr="009057A1" w14:paraId="764A9EDB" w14:textId="77777777" w:rsidTr="006C4058">
        <w:trPr>
          <w:trHeight w:val="467"/>
        </w:trPr>
        <w:tc>
          <w:tcPr>
            <w:tcW w:w="1440" w:type="dxa"/>
            <w:tcBorders>
              <w:bottom w:val="single" w:sz="4" w:space="0" w:color="auto"/>
              <w:right w:val="nil"/>
            </w:tcBorders>
            <w:shd w:val="clear" w:color="auto" w:fill="auto"/>
            <w:vAlign w:val="center"/>
          </w:tcPr>
          <w:p w14:paraId="1B55908F"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Livelihood Capital</w:t>
            </w:r>
          </w:p>
        </w:tc>
        <w:tc>
          <w:tcPr>
            <w:tcW w:w="2790" w:type="dxa"/>
            <w:tcBorders>
              <w:left w:val="nil"/>
              <w:bottom w:val="single" w:sz="4" w:space="0" w:color="auto"/>
              <w:right w:val="nil"/>
            </w:tcBorders>
            <w:shd w:val="clear" w:color="auto" w:fill="auto"/>
            <w:vAlign w:val="center"/>
          </w:tcPr>
          <w:p w14:paraId="3C978714"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Key Findings </w:t>
            </w:r>
          </w:p>
        </w:tc>
        <w:tc>
          <w:tcPr>
            <w:tcW w:w="5148" w:type="dxa"/>
            <w:tcBorders>
              <w:left w:val="nil"/>
              <w:bottom w:val="single" w:sz="4" w:space="0" w:color="auto"/>
            </w:tcBorders>
            <w:shd w:val="clear" w:color="auto" w:fill="auto"/>
            <w:vAlign w:val="center"/>
          </w:tcPr>
          <w:p w14:paraId="1C25EEE6"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Interpretation</w:t>
            </w:r>
          </w:p>
        </w:tc>
      </w:tr>
      <w:tr w:rsidR="00A83CF6" w:rsidRPr="009057A1" w14:paraId="4D1A026B" w14:textId="77777777" w:rsidTr="006C4058">
        <w:trPr>
          <w:trHeight w:val="144"/>
        </w:trPr>
        <w:tc>
          <w:tcPr>
            <w:tcW w:w="1440" w:type="dxa"/>
            <w:tcBorders>
              <w:bottom w:val="nil"/>
              <w:right w:val="nil"/>
            </w:tcBorders>
            <w:shd w:val="clear" w:color="auto" w:fill="auto"/>
          </w:tcPr>
          <w:p w14:paraId="27BD2555"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Human Capital</w:t>
            </w:r>
          </w:p>
        </w:tc>
        <w:tc>
          <w:tcPr>
            <w:tcW w:w="2790" w:type="dxa"/>
            <w:tcBorders>
              <w:left w:val="nil"/>
              <w:bottom w:val="nil"/>
              <w:right w:val="nil"/>
            </w:tcBorders>
            <w:shd w:val="clear" w:color="auto" w:fill="auto"/>
          </w:tcPr>
          <w:p w14:paraId="1E4DE567"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Low levels of community training; limited access to technical knowledge and formal education.</w:t>
            </w:r>
          </w:p>
        </w:tc>
        <w:tc>
          <w:tcPr>
            <w:tcW w:w="5148" w:type="dxa"/>
            <w:tcBorders>
              <w:left w:val="nil"/>
              <w:bottom w:val="nil"/>
            </w:tcBorders>
            <w:shd w:val="clear" w:color="auto" w:fill="auto"/>
          </w:tcPr>
          <w:p w14:paraId="2D666AC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Skills and knowledge for disaster preparedness are constrained, reducing adaptive capacity. Human health is also affected during epidemics and hazard events, straining household resilience.</w:t>
            </w:r>
          </w:p>
        </w:tc>
      </w:tr>
      <w:tr w:rsidR="00A83CF6" w:rsidRPr="009057A1" w14:paraId="7732626A" w14:textId="77777777" w:rsidTr="006C4058">
        <w:trPr>
          <w:trHeight w:val="144"/>
        </w:trPr>
        <w:tc>
          <w:tcPr>
            <w:tcW w:w="1440" w:type="dxa"/>
            <w:tcBorders>
              <w:top w:val="nil"/>
              <w:bottom w:val="nil"/>
              <w:right w:val="nil"/>
            </w:tcBorders>
            <w:shd w:val="clear" w:color="auto" w:fill="auto"/>
          </w:tcPr>
          <w:p w14:paraId="79DBA55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Social Capital</w:t>
            </w:r>
          </w:p>
        </w:tc>
        <w:tc>
          <w:tcPr>
            <w:tcW w:w="2790" w:type="dxa"/>
            <w:tcBorders>
              <w:top w:val="nil"/>
              <w:left w:val="nil"/>
              <w:bottom w:val="nil"/>
              <w:right w:val="nil"/>
            </w:tcBorders>
            <w:shd w:val="clear" w:color="auto" w:fill="auto"/>
          </w:tcPr>
          <w:p w14:paraId="7A6254E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Limited government support; uneven NGO outreach; dependence on divine intervention.</w:t>
            </w:r>
          </w:p>
        </w:tc>
        <w:tc>
          <w:tcPr>
            <w:tcW w:w="5148" w:type="dxa"/>
            <w:tcBorders>
              <w:top w:val="nil"/>
              <w:left w:val="nil"/>
              <w:bottom w:val="nil"/>
            </w:tcBorders>
            <w:shd w:val="clear" w:color="auto" w:fill="auto"/>
          </w:tcPr>
          <w:p w14:paraId="2960874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Weak institutional linkages and inadequate social networks undermine collective resilience and community-based response mechanisms.</w:t>
            </w:r>
          </w:p>
        </w:tc>
      </w:tr>
      <w:tr w:rsidR="00A83CF6" w:rsidRPr="009057A1" w14:paraId="2661FAC5" w14:textId="77777777" w:rsidTr="006C4058">
        <w:trPr>
          <w:trHeight w:val="144"/>
        </w:trPr>
        <w:tc>
          <w:tcPr>
            <w:tcW w:w="1440" w:type="dxa"/>
            <w:tcBorders>
              <w:top w:val="nil"/>
              <w:bottom w:val="nil"/>
              <w:right w:val="nil"/>
            </w:tcBorders>
            <w:shd w:val="clear" w:color="auto" w:fill="auto"/>
          </w:tcPr>
          <w:p w14:paraId="62F6827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Natural Capital</w:t>
            </w:r>
          </w:p>
        </w:tc>
        <w:tc>
          <w:tcPr>
            <w:tcW w:w="2790" w:type="dxa"/>
            <w:tcBorders>
              <w:top w:val="nil"/>
              <w:left w:val="nil"/>
              <w:bottom w:val="nil"/>
              <w:right w:val="nil"/>
            </w:tcBorders>
            <w:shd w:val="clear" w:color="auto" w:fill="auto"/>
          </w:tcPr>
          <w:p w14:paraId="25F879D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Increased frequency and intensity of floods, droughts, and windstorms.</w:t>
            </w:r>
          </w:p>
        </w:tc>
        <w:tc>
          <w:tcPr>
            <w:tcW w:w="5148" w:type="dxa"/>
            <w:tcBorders>
              <w:top w:val="nil"/>
              <w:left w:val="nil"/>
              <w:bottom w:val="nil"/>
            </w:tcBorders>
            <w:shd w:val="clear" w:color="auto" w:fill="auto"/>
          </w:tcPr>
          <w:p w14:paraId="4866AF5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Degradation of natural resources and climatic unpredictability are intensifying livelihood risks and reducing agricultural productivity and water security.</w:t>
            </w:r>
          </w:p>
        </w:tc>
      </w:tr>
      <w:tr w:rsidR="00A83CF6" w:rsidRPr="009057A1" w14:paraId="1D5B956B" w14:textId="77777777" w:rsidTr="006C4058">
        <w:trPr>
          <w:trHeight w:val="144"/>
        </w:trPr>
        <w:tc>
          <w:tcPr>
            <w:tcW w:w="1440" w:type="dxa"/>
            <w:tcBorders>
              <w:top w:val="nil"/>
              <w:bottom w:val="nil"/>
              <w:right w:val="nil"/>
            </w:tcBorders>
            <w:shd w:val="clear" w:color="auto" w:fill="auto"/>
          </w:tcPr>
          <w:p w14:paraId="17DE20B3"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Physical Capital</w:t>
            </w:r>
          </w:p>
        </w:tc>
        <w:tc>
          <w:tcPr>
            <w:tcW w:w="2790" w:type="dxa"/>
            <w:tcBorders>
              <w:top w:val="nil"/>
              <w:left w:val="nil"/>
              <w:bottom w:val="nil"/>
              <w:right w:val="nil"/>
            </w:tcBorders>
            <w:shd w:val="clear" w:color="auto" w:fill="auto"/>
          </w:tcPr>
          <w:p w14:paraId="3F99314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Poor infrastructure: roads, drainage, hospitals, and housing.</w:t>
            </w:r>
          </w:p>
        </w:tc>
        <w:tc>
          <w:tcPr>
            <w:tcW w:w="5148" w:type="dxa"/>
            <w:tcBorders>
              <w:top w:val="nil"/>
              <w:left w:val="nil"/>
              <w:bottom w:val="nil"/>
            </w:tcBorders>
            <w:shd w:val="clear" w:color="auto" w:fill="auto"/>
          </w:tcPr>
          <w:p w14:paraId="7304E1E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Inadequate physical assets heighten exposure to hazards and hinder timely evacuation and recovery efforts, contributing to prolonged vulnerability.</w:t>
            </w:r>
          </w:p>
        </w:tc>
      </w:tr>
      <w:tr w:rsidR="00A83CF6" w:rsidRPr="009057A1" w14:paraId="5D0E0149" w14:textId="77777777" w:rsidTr="006C4058">
        <w:trPr>
          <w:trHeight w:val="144"/>
        </w:trPr>
        <w:tc>
          <w:tcPr>
            <w:tcW w:w="1440" w:type="dxa"/>
            <w:tcBorders>
              <w:top w:val="nil"/>
              <w:right w:val="nil"/>
            </w:tcBorders>
            <w:shd w:val="clear" w:color="auto" w:fill="auto"/>
          </w:tcPr>
          <w:p w14:paraId="5D7FE16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Financial Capital</w:t>
            </w:r>
          </w:p>
        </w:tc>
        <w:tc>
          <w:tcPr>
            <w:tcW w:w="2790" w:type="dxa"/>
            <w:tcBorders>
              <w:top w:val="nil"/>
              <w:left w:val="nil"/>
              <w:right w:val="nil"/>
            </w:tcBorders>
            <w:shd w:val="clear" w:color="auto" w:fill="auto"/>
          </w:tcPr>
          <w:p w14:paraId="0DF6AA0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Limited financial resources; income disparities; inability to rebuild after disasters.</w:t>
            </w:r>
          </w:p>
        </w:tc>
        <w:tc>
          <w:tcPr>
            <w:tcW w:w="5148" w:type="dxa"/>
            <w:tcBorders>
              <w:top w:val="nil"/>
              <w:left w:val="nil"/>
            </w:tcBorders>
            <w:shd w:val="clear" w:color="auto" w:fill="auto"/>
          </w:tcPr>
          <w:p w14:paraId="4AE562D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Economic insecurity constrains access to hazard mitigation measures and slows post-disaster recovery, especially among low-income households.</w:t>
            </w:r>
          </w:p>
        </w:tc>
      </w:tr>
    </w:tbl>
    <w:p w14:paraId="7D544148"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24595959"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Findings indicate that weak human and financial capital</w:t>
      </w:r>
      <w:r>
        <w:rPr>
          <w:rFonts w:ascii="Times New Roman" w:hAnsi="Times New Roman"/>
          <w:sz w:val="24"/>
          <w:szCs w:val="24"/>
        </w:rPr>
        <w:t xml:space="preserve"> which </w:t>
      </w:r>
      <w:r w:rsidRPr="009057A1">
        <w:rPr>
          <w:rFonts w:ascii="Times New Roman" w:hAnsi="Times New Roman"/>
          <w:sz w:val="24"/>
          <w:szCs w:val="24"/>
        </w:rPr>
        <w:t>manifested as low training and poverty</w:t>
      </w:r>
      <w:r>
        <w:rPr>
          <w:rFonts w:ascii="Times New Roman" w:hAnsi="Times New Roman"/>
          <w:sz w:val="24"/>
          <w:szCs w:val="24"/>
        </w:rPr>
        <w:t xml:space="preserve"> that </w:t>
      </w:r>
      <w:r w:rsidRPr="009057A1">
        <w:rPr>
          <w:rFonts w:ascii="Times New Roman" w:hAnsi="Times New Roman"/>
          <w:sz w:val="24"/>
          <w:szCs w:val="24"/>
        </w:rPr>
        <w:t>are critical determinants of vulnerability. Natural hazards intensify due to fragile physical infrastructure and degraded environmental capital.</w:t>
      </w:r>
    </w:p>
    <w:p w14:paraId="12C57E48"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3.3.2 Dynamic Qualitative Livelihood Mapping Using SLF Capitals </w:t>
      </w:r>
    </w:p>
    <w:p w14:paraId="3D8A468E"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The table 9 shows the spatially and thematically embedded nature of vulnerability in </w:t>
      </w:r>
      <w:proofErr w:type="spellStart"/>
      <w:r w:rsidRPr="009057A1">
        <w:rPr>
          <w:rFonts w:ascii="Times New Roman" w:hAnsi="Times New Roman"/>
          <w:sz w:val="24"/>
          <w:szCs w:val="24"/>
        </w:rPr>
        <w:t>Damaturu</w:t>
      </w:r>
      <w:proofErr w:type="spellEnd"/>
      <w:r w:rsidRPr="009057A1">
        <w:rPr>
          <w:rFonts w:ascii="Times New Roman" w:hAnsi="Times New Roman"/>
          <w:sz w:val="24"/>
          <w:szCs w:val="24"/>
        </w:rPr>
        <w:t xml:space="preserve"> town. The table below uses the SLF to assess livelihood vulnerability across five capital types: human, social, natural, physical, and financial capital in response to key hazards including drought, flooding, epidemic, windstorm, Boko Haram/communal clashes, and fire outbreak.  </w:t>
      </w:r>
    </w:p>
    <w:p w14:paraId="7CC18A7A"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9 </w:t>
      </w:r>
      <w:r w:rsidRPr="009052AD">
        <w:rPr>
          <w:rFonts w:ascii="Times New Roman" w:hAnsi="Times New Roman"/>
          <w:sz w:val="24"/>
          <w:szCs w:val="24"/>
        </w:rPr>
        <w:t xml:space="preserve">was developed to dynamically map livelihood vulnerabilities across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xml:space="preserve"> town using SLF capitals in relation to specific hazards.</w:t>
      </w:r>
    </w:p>
    <w:p w14:paraId="27EA62CF" w14:textId="77777777" w:rsidR="00A83CF6" w:rsidRPr="009057A1" w:rsidRDefault="00A83CF6" w:rsidP="00A83CF6">
      <w:pPr>
        <w:spacing w:after="0" w:line="240" w:lineRule="auto"/>
        <w:jc w:val="both"/>
        <w:rPr>
          <w:rFonts w:ascii="Times New Roman" w:hAnsi="Times New Roman"/>
          <w:sz w:val="24"/>
          <w:szCs w:val="24"/>
        </w:rPr>
      </w:pPr>
      <w:r w:rsidRPr="009057A1">
        <w:rPr>
          <w:rFonts w:ascii="Times New Roman" w:hAnsi="Times New Roman"/>
          <w:sz w:val="24"/>
          <w:szCs w:val="24"/>
        </w:rPr>
        <w:t xml:space="preserve">Table 9. Dynamic qualitative livelihood mapping using SLF capitals in </w:t>
      </w:r>
      <w:proofErr w:type="spellStart"/>
      <w:r w:rsidRPr="009057A1">
        <w:rPr>
          <w:rFonts w:ascii="Times New Roman" w:hAnsi="Times New Roman"/>
          <w:sz w:val="24"/>
          <w:szCs w:val="24"/>
        </w:rPr>
        <w:t>Damaturu</w:t>
      </w:r>
      <w:proofErr w:type="spellEnd"/>
      <w:r w:rsidRPr="009057A1">
        <w:rPr>
          <w:rFonts w:ascii="Times New Roman" w:hAnsi="Times New Roman"/>
          <w:sz w:val="24"/>
          <w:szCs w:val="24"/>
        </w:rPr>
        <w:t xml:space="preserve"> town</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710"/>
        <w:gridCol w:w="1440"/>
        <w:gridCol w:w="1620"/>
        <w:gridCol w:w="3447"/>
      </w:tblGrid>
      <w:tr w:rsidR="00A83CF6" w:rsidRPr="009057A1" w14:paraId="10CF8050" w14:textId="77777777" w:rsidTr="006C4058">
        <w:trPr>
          <w:trHeight w:val="746"/>
          <w:jc w:val="center"/>
        </w:trPr>
        <w:tc>
          <w:tcPr>
            <w:tcW w:w="1197" w:type="dxa"/>
            <w:tcBorders>
              <w:bottom w:val="single" w:sz="4" w:space="0" w:color="auto"/>
              <w:right w:val="nil"/>
            </w:tcBorders>
            <w:shd w:val="clear" w:color="auto" w:fill="auto"/>
            <w:vAlign w:val="center"/>
          </w:tcPr>
          <w:p w14:paraId="65DD55AC"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Capital</w:t>
            </w:r>
          </w:p>
        </w:tc>
        <w:tc>
          <w:tcPr>
            <w:tcW w:w="1710" w:type="dxa"/>
            <w:tcBorders>
              <w:left w:val="nil"/>
              <w:bottom w:val="single" w:sz="4" w:space="0" w:color="auto"/>
              <w:right w:val="nil"/>
            </w:tcBorders>
            <w:shd w:val="clear" w:color="auto" w:fill="auto"/>
            <w:vAlign w:val="center"/>
          </w:tcPr>
          <w:p w14:paraId="772C8358"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Theme/ Subtheme</w:t>
            </w:r>
          </w:p>
        </w:tc>
        <w:tc>
          <w:tcPr>
            <w:tcW w:w="1440" w:type="dxa"/>
            <w:tcBorders>
              <w:left w:val="nil"/>
              <w:bottom w:val="single" w:sz="4" w:space="0" w:color="auto"/>
              <w:right w:val="nil"/>
            </w:tcBorders>
            <w:shd w:val="clear" w:color="auto" w:fill="auto"/>
            <w:vAlign w:val="center"/>
          </w:tcPr>
          <w:p w14:paraId="01B7BB56"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620" w:type="dxa"/>
            <w:tcBorders>
              <w:left w:val="nil"/>
              <w:bottom w:val="single" w:sz="4" w:space="0" w:color="auto"/>
              <w:right w:val="nil"/>
            </w:tcBorders>
            <w:shd w:val="clear" w:color="auto" w:fill="auto"/>
            <w:vAlign w:val="center"/>
          </w:tcPr>
          <w:p w14:paraId="009A892B"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Level of Vulnerability (1–5)</w:t>
            </w:r>
          </w:p>
        </w:tc>
        <w:tc>
          <w:tcPr>
            <w:tcW w:w="3447" w:type="dxa"/>
            <w:tcBorders>
              <w:left w:val="nil"/>
              <w:bottom w:val="single" w:sz="4" w:space="0" w:color="auto"/>
            </w:tcBorders>
            <w:shd w:val="clear" w:color="auto" w:fill="auto"/>
            <w:vAlign w:val="center"/>
          </w:tcPr>
          <w:p w14:paraId="438CEF92"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Representative Quotes</w:t>
            </w:r>
          </w:p>
        </w:tc>
      </w:tr>
      <w:tr w:rsidR="00A83CF6" w:rsidRPr="009057A1" w14:paraId="05356206" w14:textId="77777777" w:rsidTr="006C4058">
        <w:trPr>
          <w:jc w:val="center"/>
        </w:trPr>
        <w:tc>
          <w:tcPr>
            <w:tcW w:w="1197" w:type="dxa"/>
            <w:vMerge w:val="restart"/>
            <w:tcBorders>
              <w:bottom w:val="single" w:sz="4" w:space="0" w:color="auto"/>
              <w:right w:val="nil"/>
            </w:tcBorders>
            <w:shd w:val="clear" w:color="auto" w:fill="auto"/>
          </w:tcPr>
          <w:p w14:paraId="037A405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Human Capital</w:t>
            </w:r>
          </w:p>
        </w:tc>
        <w:tc>
          <w:tcPr>
            <w:tcW w:w="1710" w:type="dxa"/>
            <w:tcBorders>
              <w:left w:val="nil"/>
              <w:bottom w:val="single" w:sz="4" w:space="0" w:color="auto"/>
              <w:right w:val="nil"/>
            </w:tcBorders>
            <w:shd w:val="clear" w:color="auto" w:fill="auto"/>
          </w:tcPr>
          <w:p w14:paraId="0403748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Lack of training and health capacity</w:t>
            </w:r>
          </w:p>
        </w:tc>
        <w:tc>
          <w:tcPr>
            <w:tcW w:w="1440" w:type="dxa"/>
            <w:tcBorders>
              <w:left w:val="nil"/>
              <w:bottom w:val="single" w:sz="4" w:space="0" w:color="auto"/>
              <w:right w:val="nil"/>
            </w:tcBorders>
            <w:shd w:val="clear" w:color="auto" w:fill="auto"/>
          </w:tcPr>
          <w:p w14:paraId="1399D22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w:t>
            </w:r>
          </w:p>
        </w:tc>
        <w:tc>
          <w:tcPr>
            <w:tcW w:w="1620" w:type="dxa"/>
            <w:tcBorders>
              <w:left w:val="nil"/>
              <w:bottom w:val="single" w:sz="4" w:space="0" w:color="auto"/>
              <w:right w:val="nil"/>
            </w:tcBorders>
            <w:shd w:val="clear" w:color="auto" w:fill="auto"/>
          </w:tcPr>
          <w:p w14:paraId="0F20191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14:paraId="5D6EF83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“When epidemic hits, the hospitals bed spaces finishes within blink of an eye.”</w:t>
            </w:r>
          </w:p>
        </w:tc>
      </w:tr>
      <w:tr w:rsidR="00A83CF6" w:rsidRPr="009057A1" w14:paraId="38948B71" w14:textId="77777777" w:rsidTr="006C4058">
        <w:trPr>
          <w:jc w:val="center"/>
        </w:trPr>
        <w:tc>
          <w:tcPr>
            <w:tcW w:w="1197" w:type="dxa"/>
            <w:vMerge/>
            <w:tcBorders>
              <w:top w:val="single" w:sz="4" w:space="0" w:color="auto"/>
              <w:bottom w:val="single" w:sz="4" w:space="0" w:color="auto"/>
              <w:right w:val="nil"/>
            </w:tcBorders>
            <w:shd w:val="clear" w:color="auto" w:fill="auto"/>
          </w:tcPr>
          <w:p w14:paraId="6BFE464F" w14:textId="77777777" w:rsidR="00A83CF6" w:rsidRPr="009057A1" w:rsidRDefault="00A83CF6" w:rsidP="006C4058">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14:paraId="14DC458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Inadequate disaster awareness</w:t>
            </w:r>
          </w:p>
        </w:tc>
        <w:tc>
          <w:tcPr>
            <w:tcW w:w="1440" w:type="dxa"/>
            <w:tcBorders>
              <w:top w:val="single" w:sz="4" w:space="0" w:color="auto"/>
              <w:left w:val="nil"/>
              <w:bottom w:val="single" w:sz="4" w:space="0" w:color="auto"/>
              <w:right w:val="nil"/>
            </w:tcBorders>
            <w:shd w:val="clear" w:color="auto" w:fill="auto"/>
          </w:tcPr>
          <w:p w14:paraId="616322A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Windstorm, Fire</w:t>
            </w:r>
          </w:p>
        </w:tc>
        <w:tc>
          <w:tcPr>
            <w:tcW w:w="1620" w:type="dxa"/>
            <w:tcBorders>
              <w:top w:val="single" w:sz="4" w:space="0" w:color="auto"/>
              <w:left w:val="nil"/>
              <w:bottom w:val="single" w:sz="4" w:space="0" w:color="auto"/>
              <w:right w:val="nil"/>
            </w:tcBorders>
            <w:shd w:val="clear" w:color="auto" w:fill="auto"/>
          </w:tcPr>
          <w:p w14:paraId="3334603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14:paraId="7B5CF79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rarely get warning”; “Some of us are learned, they know all these technicalities.”</w:t>
            </w:r>
          </w:p>
        </w:tc>
      </w:tr>
      <w:tr w:rsidR="00A83CF6" w:rsidRPr="009057A1" w14:paraId="6801671B" w14:textId="77777777" w:rsidTr="006C4058">
        <w:trPr>
          <w:trHeight w:val="953"/>
          <w:jc w:val="center"/>
        </w:trPr>
        <w:tc>
          <w:tcPr>
            <w:tcW w:w="1197" w:type="dxa"/>
            <w:vMerge w:val="restart"/>
            <w:tcBorders>
              <w:bottom w:val="nil"/>
              <w:right w:val="nil"/>
            </w:tcBorders>
            <w:shd w:val="clear" w:color="auto" w:fill="auto"/>
          </w:tcPr>
          <w:p w14:paraId="35B6517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Social Capital</w:t>
            </w:r>
          </w:p>
        </w:tc>
        <w:tc>
          <w:tcPr>
            <w:tcW w:w="1710" w:type="dxa"/>
            <w:tcBorders>
              <w:left w:val="nil"/>
              <w:bottom w:val="single" w:sz="4" w:space="0" w:color="auto"/>
              <w:right w:val="nil"/>
            </w:tcBorders>
            <w:shd w:val="clear" w:color="auto" w:fill="auto"/>
          </w:tcPr>
          <w:p w14:paraId="2E60B6F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Weak institutional support</w:t>
            </w:r>
          </w:p>
        </w:tc>
        <w:tc>
          <w:tcPr>
            <w:tcW w:w="1440" w:type="dxa"/>
            <w:tcBorders>
              <w:left w:val="nil"/>
              <w:bottom w:val="single" w:sz="4" w:space="0" w:color="auto"/>
              <w:right w:val="nil"/>
            </w:tcBorders>
            <w:shd w:val="clear" w:color="auto" w:fill="auto"/>
          </w:tcPr>
          <w:p w14:paraId="4F5744E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 Flooding</w:t>
            </w:r>
          </w:p>
        </w:tc>
        <w:tc>
          <w:tcPr>
            <w:tcW w:w="1620" w:type="dxa"/>
            <w:tcBorders>
              <w:left w:val="nil"/>
              <w:bottom w:val="single" w:sz="4" w:space="0" w:color="auto"/>
              <w:right w:val="nil"/>
            </w:tcBorders>
            <w:shd w:val="clear" w:color="auto" w:fill="auto"/>
          </w:tcPr>
          <w:p w14:paraId="61FADD0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14:paraId="6FFD6B1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“Yes, they do come (Gov’t.) but sometimes they don’t come back after they left.”</w:t>
            </w:r>
          </w:p>
        </w:tc>
      </w:tr>
      <w:tr w:rsidR="00A83CF6" w:rsidRPr="009057A1" w14:paraId="280E7B9F" w14:textId="77777777" w:rsidTr="006C4058">
        <w:trPr>
          <w:jc w:val="center"/>
        </w:trPr>
        <w:tc>
          <w:tcPr>
            <w:tcW w:w="1197" w:type="dxa"/>
            <w:vMerge/>
            <w:tcBorders>
              <w:top w:val="nil"/>
              <w:bottom w:val="single" w:sz="4" w:space="0" w:color="auto"/>
              <w:right w:val="nil"/>
            </w:tcBorders>
            <w:shd w:val="clear" w:color="auto" w:fill="auto"/>
          </w:tcPr>
          <w:p w14:paraId="18DD616F" w14:textId="77777777" w:rsidR="00A83CF6" w:rsidRPr="009057A1" w:rsidRDefault="00A83CF6" w:rsidP="006C4058">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14:paraId="7FEFA50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Gender and group vulnerability</w:t>
            </w:r>
          </w:p>
        </w:tc>
        <w:tc>
          <w:tcPr>
            <w:tcW w:w="1440" w:type="dxa"/>
            <w:tcBorders>
              <w:top w:val="single" w:sz="4" w:space="0" w:color="auto"/>
              <w:left w:val="nil"/>
              <w:bottom w:val="single" w:sz="4" w:space="0" w:color="auto"/>
              <w:right w:val="nil"/>
            </w:tcBorders>
            <w:shd w:val="clear" w:color="auto" w:fill="auto"/>
          </w:tcPr>
          <w:p w14:paraId="279A14B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 Clashes</w:t>
            </w:r>
          </w:p>
        </w:tc>
        <w:tc>
          <w:tcPr>
            <w:tcW w:w="1620" w:type="dxa"/>
            <w:tcBorders>
              <w:top w:val="single" w:sz="4" w:space="0" w:color="auto"/>
              <w:left w:val="nil"/>
              <w:bottom w:val="single" w:sz="4" w:space="0" w:color="auto"/>
              <w:right w:val="nil"/>
            </w:tcBorders>
            <w:shd w:val="clear" w:color="auto" w:fill="auto"/>
          </w:tcPr>
          <w:p w14:paraId="5D19AC5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14:paraId="3CF542B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“During hazards, women and children suffer most because of the lack of shelter.”</w:t>
            </w:r>
          </w:p>
        </w:tc>
      </w:tr>
      <w:tr w:rsidR="00A83CF6" w:rsidRPr="009057A1" w14:paraId="41117A5C" w14:textId="77777777" w:rsidTr="006C4058">
        <w:trPr>
          <w:jc w:val="center"/>
        </w:trPr>
        <w:tc>
          <w:tcPr>
            <w:tcW w:w="1197" w:type="dxa"/>
            <w:vMerge w:val="restart"/>
            <w:tcBorders>
              <w:bottom w:val="nil"/>
              <w:right w:val="nil"/>
            </w:tcBorders>
            <w:shd w:val="clear" w:color="auto" w:fill="auto"/>
          </w:tcPr>
          <w:p w14:paraId="4EA93B4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Natural Capital</w:t>
            </w:r>
          </w:p>
        </w:tc>
        <w:tc>
          <w:tcPr>
            <w:tcW w:w="1710" w:type="dxa"/>
            <w:tcBorders>
              <w:left w:val="nil"/>
              <w:bottom w:val="single" w:sz="4" w:space="0" w:color="auto"/>
              <w:right w:val="nil"/>
            </w:tcBorders>
            <w:shd w:val="clear" w:color="auto" w:fill="auto"/>
          </w:tcPr>
          <w:p w14:paraId="4D532B2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Environmental degradation</w:t>
            </w:r>
          </w:p>
        </w:tc>
        <w:tc>
          <w:tcPr>
            <w:tcW w:w="1440" w:type="dxa"/>
            <w:tcBorders>
              <w:left w:val="nil"/>
              <w:bottom w:val="single" w:sz="4" w:space="0" w:color="auto"/>
              <w:right w:val="nil"/>
            </w:tcBorders>
            <w:shd w:val="clear" w:color="auto" w:fill="auto"/>
          </w:tcPr>
          <w:p w14:paraId="0AABE27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Flooding</w:t>
            </w:r>
          </w:p>
        </w:tc>
        <w:tc>
          <w:tcPr>
            <w:tcW w:w="1620" w:type="dxa"/>
            <w:tcBorders>
              <w:left w:val="nil"/>
              <w:bottom w:val="single" w:sz="4" w:space="0" w:color="auto"/>
              <w:right w:val="nil"/>
            </w:tcBorders>
            <w:shd w:val="clear" w:color="auto" w:fill="auto"/>
          </w:tcPr>
          <w:p w14:paraId="7F1AF06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14:paraId="47847F3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 drought, sandstorm and fire outbreak become more frequent lately.”</w:t>
            </w:r>
          </w:p>
        </w:tc>
      </w:tr>
      <w:tr w:rsidR="00A83CF6" w:rsidRPr="009057A1" w14:paraId="2222E9BC" w14:textId="77777777" w:rsidTr="006C4058">
        <w:trPr>
          <w:jc w:val="center"/>
        </w:trPr>
        <w:tc>
          <w:tcPr>
            <w:tcW w:w="1197" w:type="dxa"/>
            <w:vMerge/>
            <w:tcBorders>
              <w:top w:val="nil"/>
              <w:bottom w:val="single" w:sz="4" w:space="0" w:color="auto"/>
              <w:right w:val="nil"/>
            </w:tcBorders>
            <w:shd w:val="clear" w:color="auto" w:fill="auto"/>
          </w:tcPr>
          <w:p w14:paraId="568FEE4B" w14:textId="77777777" w:rsidR="00A83CF6" w:rsidRPr="009057A1" w:rsidRDefault="00A83CF6" w:rsidP="006C4058">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14:paraId="6AB5890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Unpredictable climate pattern</w:t>
            </w:r>
          </w:p>
        </w:tc>
        <w:tc>
          <w:tcPr>
            <w:tcW w:w="1440" w:type="dxa"/>
            <w:tcBorders>
              <w:top w:val="single" w:sz="4" w:space="0" w:color="auto"/>
              <w:left w:val="nil"/>
              <w:bottom w:val="single" w:sz="4" w:space="0" w:color="auto"/>
              <w:right w:val="nil"/>
            </w:tcBorders>
            <w:shd w:val="clear" w:color="auto" w:fill="auto"/>
          </w:tcPr>
          <w:p w14:paraId="51571DA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 Fire</w:t>
            </w:r>
          </w:p>
        </w:tc>
        <w:tc>
          <w:tcPr>
            <w:tcW w:w="1620" w:type="dxa"/>
            <w:tcBorders>
              <w:top w:val="single" w:sz="4" w:space="0" w:color="auto"/>
              <w:left w:val="nil"/>
              <w:bottom w:val="single" w:sz="4" w:space="0" w:color="auto"/>
              <w:right w:val="nil"/>
            </w:tcBorders>
            <w:shd w:val="clear" w:color="auto" w:fill="auto"/>
          </w:tcPr>
          <w:p w14:paraId="16193B0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14:paraId="60FB4214"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“It is mainly accident”; “Sometimes it comes suddenly with heavy wind.”</w:t>
            </w:r>
          </w:p>
        </w:tc>
      </w:tr>
      <w:tr w:rsidR="00A83CF6" w:rsidRPr="009057A1" w14:paraId="0CCE1850" w14:textId="77777777" w:rsidTr="006C4058">
        <w:trPr>
          <w:jc w:val="center"/>
        </w:trPr>
        <w:tc>
          <w:tcPr>
            <w:tcW w:w="1197" w:type="dxa"/>
            <w:vMerge w:val="restart"/>
            <w:tcBorders>
              <w:bottom w:val="single" w:sz="4" w:space="0" w:color="auto"/>
              <w:right w:val="nil"/>
            </w:tcBorders>
            <w:shd w:val="clear" w:color="auto" w:fill="auto"/>
          </w:tcPr>
          <w:p w14:paraId="306D9D6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Physical Capital</w:t>
            </w:r>
          </w:p>
        </w:tc>
        <w:tc>
          <w:tcPr>
            <w:tcW w:w="1710" w:type="dxa"/>
            <w:tcBorders>
              <w:left w:val="nil"/>
              <w:bottom w:val="single" w:sz="4" w:space="0" w:color="auto"/>
              <w:right w:val="nil"/>
            </w:tcBorders>
            <w:shd w:val="clear" w:color="auto" w:fill="auto"/>
          </w:tcPr>
          <w:p w14:paraId="783D270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Fragile infrastructure</w:t>
            </w:r>
          </w:p>
        </w:tc>
        <w:tc>
          <w:tcPr>
            <w:tcW w:w="1440" w:type="dxa"/>
            <w:tcBorders>
              <w:left w:val="nil"/>
              <w:bottom w:val="single" w:sz="4" w:space="0" w:color="auto"/>
              <w:right w:val="nil"/>
            </w:tcBorders>
            <w:shd w:val="clear" w:color="auto" w:fill="auto"/>
          </w:tcPr>
          <w:p w14:paraId="5D10105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 Epidemic</w:t>
            </w:r>
          </w:p>
        </w:tc>
        <w:tc>
          <w:tcPr>
            <w:tcW w:w="1620" w:type="dxa"/>
            <w:tcBorders>
              <w:left w:val="nil"/>
              <w:bottom w:val="single" w:sz="4" w:space="0" w:color="auto"/>
              <w:right w:val="nil"/>
            </w:tcBorders>
            <w:shd w:val="clear" w:color="auto" w:fill="auto"/>
          </w:tcPr>
          <w:p w14:paraId="4C50965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14:paraId="4AA3E67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“Our roads and drainage systems… cannot handle heavy downpour.”</w:t>
            </w:r>
          </w:p>
        </w:tc>
      </w:tr>
      <w:tr w:rsidR="00A83CF6" w:rsidRPr="009057A1" w14:paraId="0702E2F3" w14:textId="77777777" w:rsidTr="006C4058">
        <w:trPr>
          <w:jc w:val="center"/>
        </w:trPr>
        <w:tc>
          <w:tcPr>
            <w:tcW w:w="1197" w:type="dxa"/>
            <w:vMerge/>
            <w:tcBorders>
              <w:top w:val="single" w:sz="4" w:space="0" w:color="auto"/>
              <w:bottom w:val="single" w:sz="4" w:space="0" w:color="auto"/>
              <w:right w:val="nil"/>
            </w:tcBorders>
            <w:shd w:val="clear" w:color="auto" w:fill="auto"/>
          </w:tcPr>
          <w:p w14:paraId="598772CD" w14:textId="77777777" w:rsidR="00A83CF6" w:rsidRPr="009057A1" w:rsidRDefault="00A83CF6" w:rsidP="006C4058">
            <w:pPr>
              <w:spacing w:after="0" w:line="240" w:lineRule="auto"/>
              <w:rPr>
                <w:rFonts w:ascii="Times New Roman" w:eastAsia="Calibri" w:hAnsi="Times New Roman"/>
                <w:sz w:val="24"/>
                <w:szCs w:val="24"/>
              </w:rPr>
            </w:pPr>
          </w:p>
        </w:tc>
        <w:tc>
          <w:tcPr>
            <w:tcW w:w="1710" w:type="dxa"/>
            <w:tcBorders>
              <w:top w:val="single" w:sz="4" w:space="0" w:color="auto"/>
              <w:left w:val="nil"/>
              <w:bottom w:val="single" w:sz="4" w:space="0" w:color="auto"/>
              <w:right w:val="nil"/>
            </w:tcBorders>
            <w:shd w:val="clear" w:color="auto" w:fill="auto"/>
          </w:tcPr>
          <w:p w14:paraId="3C4C161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Substandard housing</w:t>
            </w:r>
          </w:p>
        </w:tc>
        <w:tc>
          <w:tcPr>
            <w:tcW w:w="1440" w:type="dxa"/>
            <w:tcBorders>
              <w:top w:val="single" w:sz="4" w:space="0" w:color="auto"/>
              <w:left w:val="nil"/>
              <w:bottom w:val="single" w:sz="4" w:space="0" w:color="auto"/>
              <w:right w:val="nil"/>
            </w:tcBorders>
            <w:shd w:val="clear" w:color="auto" w:fill="auto"/>
          </w:tcPr>
          <w:p w14:paraId="4DF82E3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Clashes</w:t>
            </w:r>
          </w:p>
        </w:tc>
        <w:tc>
          <w:tcPr>
            <w:tcW w:w="1620" w:type="dxa"/>
            <w:tcBorders>
              <w:top w:val="single" w:sz="4" w:space="0" w:color="auto"/>
              <w:left w:val="nil"/>
              <w:bottom w:val="single" w:sz="4" w:space="0" w:color="auto"/>
              <w:right w:val="nil"/>
            </w:tcBorders>
            <w:shd w:val="clear" w:color="auto" w:fill="auto"/>
          </w:tcPr>
          <w:p w14:paraId="4513021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3447" w:type="dxa"/>
            <w:tcBorders>
              <w:top w:val="single" w:sz="4" w:space="0" w:color="auto"/>
              <w:left w:val="nil"/>
              <w:bottom w:val="single" w:sz="4" w:space="0" w:color="auto"/>
            </w:tcBorders>
            <w:shd w:val="clear" w:color="auto" w:fill="auto"/>
          </w:tcPr>
          <w:p w14:paraId="05436EE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cannot afford to rebuild quickly like the others after the disaster.”</w:t>
            </w:r>
          </w:p>
        </w:tc>
      </w:tr>
      <w:tr w:rsidR="00A83CF6" w:rsidRPr="009057A1" w14:paraId="64CD51C3" w14:textId="77777777" w:rsidTr="006C4058">
        <w:trPr>
          <w:jc w:val="center"/>
        </w:trPr>
        <w:tc>
          <w:tcPr>
            <w:tcW w:w="1197" w:type="dxa"/>
            <w:vMerge w:val="restart"/>
            <w:tcBorders>
              <w:bottom w:val="single" w:sz="4" w:space="0" w:color="auto"/>
              <w:right w:val="nil"/>
            </w:tcBorders>
            <w:shd w:val="clear" w:color="auto" w:fill="auto"/>
          </w:tcPr>
          <w:p w14:paraId="14C932E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Financial Capital</w:t>
            </w:r>
          </w:p>
        </w:tc>
        <w:tc>
          <w:tcPr>
            <w:tcW w:w="1710" w:type="dxa"/>
            <w:tcBorders>
              <w:left w:val="nil"/>
              <w:bottom w:val="single" w:sz="4" w:space="0" w:color="auto"/>
              <w:right w:val="nil"/>
            </w:tcBorders>
            <w:shd w:val="clear" w:color="auto" w:fill="auto"/>
          </w:tcPr>
          <w:p w14:paraId="05B1E13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Poverty and income inequality</w:t>
            </w:r>
          </w:p>
        </w:tc>
        <w:tc>
          <w:tcPr>
            <w:tcW w:w="1440" w:type="dxa"/>
            <w:tcBorders>
              <w:left w:val="nil"/>
              <w:bottom w:val="single" w:sz="4" w:space="0" w:color="auto"/>
              <w:right w:val="nil"/>
            </w:tcBorders>
            <w:shd w:val="clear" w:color="auto" w:fill="auto"/>
          </w:tcPr>
          <w:p w14:paraId="1418ED8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All Hazards</w:t>
            </w:r>
          </w:p>
        </w:tc>
        <w:tc>
          <w:tcPr>
            <w:tcW w:w="1620" w:type="dxa"/>
            <w:tcBorders>
              <w:left w:val="nil"/>
              <w:bottom w:val="single" w:sz="4" w:space="0" w:color="auto"/>
              <w:right w:val="nil"/>
            </w:tcBorders>
            <w:shd w:val="clear" w:color="auto" w:fill="auto"/>
          </w:tcPr>
          <w:p w14:paraId="1B5CBD3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left w:val="nil"/>
              <w:bottom w:val="single" w:sz="4" w:space="0" w:color="auto"/>
            </w:tcBorders>
            <w:shd w:val="clear" w:color="auto" w:fill="auto"/>
          </w:tcPr>
          <w:p w14:paraId="4FD2CB47"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“Some of us that hardly eat 3 meals a day talk less of building modern homes.”</w:t>
            </w:r>
          </w:p>
        </w:tc>
      </w:tr>
      <w:tr w:rsidR="00A83CF6" w:rsidRPr="009057A1" w14:paraId="72273F9F" w14:textId="77777777" w:rsidTr="006C4058">
        <w:trPr>
          <w:jc w:val="center"/>
        </w:trPr>
        <w:tc>
          <w:tcPr>
            <w:tcW w:w="1197" w:type="dxa"/>
            <w:vMerge/>
            <w:tcBorders>
              <w:top w:val="single" w:sz="4" w:space="0" w:color="auto"/>
              <w:right w:val="nil"/>
            </w:tcBorders>
            <w:shd w:val="clear" w:color="auto" w:fill="auto"/>
          </w:tcPr>
          <w:p w14:paraId="33C6800E" w14:textId="77777777" w:rsidR="00A83CF6" w:rsidRPr="009057A1" w:rsidRDefault="00A83CF6" w:rsidP="006C4058">
            <w:pPr>
              <w:spacing w:after="0" w:line="240" w:lineRule="auto"/>
              <w:rPr>
                <w:rFonts w:ascii="Times New Roman" w:eastAsia="Calibri" w:hAnsi="Times New Roman"/>
                <w:sz w:val="24"/>
                <w:szCs w:val="24"/>
              </w:rPr>
            </w:pPr>
          </w:p>
        </w:tc>
        <w:tc>
          <w:tcPr>
            <w:tcW w:w="1710" w:type="dxa"/>
            <w:tcBorders>
              <w:top w:val="single" w:sz="4" w:space="0" w:color="auto"/>
              <w:left w:val="nil"/>
              <w:right w:val="nil"/>
            </w:tcBorders>
            <w:shd w:val="clear" w:color="auto" w:fill="auto"/>
          </w:tcPr>
          <w:p w14:paraId="612B673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Low financial resilience</w:t>
            </w:r>
          </w:p>
        </w:tc>
        <w:tc>
          <w:tcPr>
            <w:tcW w:w="1440" w:type="dxa"/>
            <w:tcBorders>
              <w:top w:val="single" w:sz="4" w:space="0" w:color="auto"/>
              <w:left w:val="nil"/>
              <w:right w:val="nil"/>
            </w:tcBorders>
            <w:shd w:val="clear" w:color="auto" w:fill="auto"/>
          </w:tcPr>
          <w:p w14:paraId="592453F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 Boko Haram</w:t>
            </w:r>
          </w:p>
        </w:tc>
        <w:tc>
          <w:tcPr>
            <w:tcW w:w="1620" w:type="dxa"/>
            <w:tcBorders>
              <w:top w:val="single" w:sz="4" w:space="0" w:color="auto"/>
              <w:left w:val="nil"/>
              <w:right w:val="nil"/>
            </w:tcBorders>
            <w:shd w:val="clear" w:color="auto" w:fill="auto"/>
          </w:tcPr>
          <w:p w14:paraId="61B53B0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3447" w:type="dxa"/>
            <w:tcBorders>
              <w:top w:val="single" w:sz="4" w:space="0" w:color="auto"/>
              <w:left w:val="nil"/>
            </w:tcBorders>
            <w:shd w:val="clear" w:color="auto" w:fill="auto"/>
          </w:tcPr>
          <w:p w14:paraId="00A5C29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“We don’t have the money to repair our homes or prepare for disasters.”</w:t>
            </w:r>
          </w:p>
        </w:tc>
      </w:tr>
    </w:tbl>
    <w:p w14:paraId="66C0A102"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06EDC4D6" w14:textId="77777777" w:rsidR="00A83CF6" w:rsidRPr="009057A1" w:rsidRDefault="00A83CF6" w:rsidP="00A83CF6">
      <w:pPr>
        <w:tabs>
          <w:tab w:val="left" w:pos="2520"/>
        </w:tabs>
        <w:spacing w:line="240" w:lineRule="auto"/>
        <w:jc w:val="both"/>
        <w:rPr>
          <w:rFonts w:ascii="Times New Roman" w:hAnsi="Times New Roman"/>
          <w:sz w:val="24"/>
          <w:szCs w:val="24"/>
        </w:rPr>
      </w:pPr>
      <w:r w:rsidRPr="009057A1">
        <w:rPr>
          <w:rFonts w:ascii="Times New Roman" w:hAnsi="Times New Roman"/>
          <w:sz w:val="24"/>
          <w:szCs w:val="24"/>
        </w:rPr>
        <w:t>Extreme vulnerabilities were noted under human, physical, and financial capitals for hazards like epidemics, drought, and Boko Haram. The qualitative mapping revealed uneven risk exposure and the compounding effects of poverty, weak institu</w:t>
      </w:r>
      <w:r>
        <w:rPr>
          <w:rFonts w:ascii="Times New Roman" w:hAnsi="Times New Roman"/>
          <w:sz w:val="24"/>
          <w:szCs w:val="24"/>
        </w:rPr>
        <w:t xml:space="preserve">tions, and infrastructure gaps. </w:t>
      </w:r>
    </w:p>
    <w:p w14:paraId="6AA509ED"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 xml:space="preserve">3.4 </w:t>
      </w:r>
      <w:proofErr w:type="spellStart"/>
      <w:r w:rsidRPr="009057A1">
        <w:rPr>
          <w:rFonts w:ascii="Times New Roman" w:hAnsi="Times New Roman"/>
          <w:b/>
          <w:sz w:val="24"/>
          <w:szCs w:val="24"/>
        </w:rPr>
        <w:t>Spatio</w:t>
      </w:r>
      <w:proofErr w:type="spellEnd"/>
      <w:r w:rsidRPr="009057A1">
        <w:rPr>
          <w:rFonts w:ascii="Times New Roman" w:hAnsi="Times New Roman"/>
          <w:b/>
          <w:sz w:val="24"/>
          <w:szCs w:val="24"/>
        </w:rPr>
        <w:t xml:space="preserve">-Temporal and Probabilistic Hazard Modeling </w:t>
      </w:r>
    </w:p>
    <w:p w14:paraId="587AAE2D" w14:textId="77777777"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 xml:space="preserve">This section examines hazards in terms of their spatial distribution, seasonal occurrence, and probabilistic patterns. By integrating frequency, severity, and location-specific data, it provides a comprehensive profile of hazard dynamics in </w:t>
      </w:r>
      <w:proofErr w:type="spellStart"/>
      <w:r w:rsidRPr="009052AD">
        <w:rPr>
          <w:rFonts w:ascii="Times New Roman" w:hAnsi="Times New Roman"/>
          <w:sz w:val="24"/>
          <w:szCs w:val="24"/>
        </w:rPr>
        <w:t>Damaturu</w:t>
      </w:r>
      <w:proofErr w:type="spellEnd"/>
      <w:r w:rsidRPr="009052AD">
        <w:rPr>
          <w:rFonts w:ascii="Times New Roman" w:hAnsi="Times New Roman"/>
          <w:sz w:val="24"/>
          <w:szCs w:val="24"/>
        </w:rPr>
        <w:t>. Seasonal analyses capture temporal patterns critical for preparedness, while Bayesian modeling strengthens predictive reliability under uncertainty, offering actionable insights for disaster risk reduction.</w:t>
      </w:r>
    </w:p>
    <w:p w14:paraId="7578CF75"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10 </w:t>
      </w:r>
      <w:r w:rsidRPr="009052AD">
        <w:rPr>
          <w:rFonts w:ascii="Times New Roman" w:hAnsi="Times New Roman"/>
          <w:sz w:val="24"/>
          <w:szCs w:val="24"/>
        </w:rPr>
        <w:t>was con</w:t>
      </w:r>
      <w:r>
        <w:rPr>
          <w:rFonts w:ascii="Times New Roman" w:hAnsi="Times New Roman"/>
          <w:sz w:val="24"/>
          <w:szCs w:val="24"/>
        </w:rPr>
        <w:t>structed</w:t>
      </w:r>
      <w:r w:rsidRPr="009052AD">
        <w:rPr>
          <w:rFonts w:ascii="Times New Roman" w:hAnsi="Times New Roman"/>
          <w:sz w:val="24"/>
          <w:szCs w:val="24"/>
        </w:rPr>
        <w:t xml:space="preserve"> to profile </w:t>
      </w:r>
      <w:r>
        <w:rPr>
          <w:rFonts w:ascii="Times New Roman" w:hAnsi="Times New Roman"/>
          <w:sz w:val="24"/>
          <w:szCs w:val="24"/>
        </w:rPr>
        <w:t xml:space="preserve">the </w:t>
      </w:r>
      <w:r w:rsidRPr="009052AD">
        <w:rPr>
          <w:rFonts w:ascii="Times New Roman" w:hAnsi="Times New Roman"/>
          <w:sz w:val="24"/>
          <w:szCs w:val="24"/>
        </w:rPr>
        <w:t xml:space="preserve">hazards in terms of frequency, severity, and seasonal patterns across </w:t>
      </w:r>
      <w:proofErr w:type="spellStart"/>
      <w:r w:rsidRPr="009052AD">
        <w:rPr>
          <w:rFonts w:ascii="Times New Roman" w:hAnsi="Times New Roman"/>
          <w:sz w:val="24"/>
          <w:szCs w:val="24"/>
        </w:rPr>
        <w:t>Damaturu</w:t>
      </w:r>
      <w:proofErr w:type="spellEnd"/>
      <w:r>
        <w:rPr>
          <w:rFonts w:ascii="Times New Roman" w:hAnsi="Times New Roman"/>
          <w:sz w:val="24"/>
          <w:szCs w:val="24"/>
        </w:rPr>
        <w:t xml:space="preserve"> town</w:t>
      </w:r>
      <w:r w:rsidRPr="009052AD">
        <w:rPr>
          <w:rFonts w:ascii="Times New Roman" w:hAnsi="Times New Roman"/>
          <w:sz w:val="24"/>
          <w:szCs w:val="24"/>
        </w:rPr>
        <w:t>.</w:t>
      </w:r>
      <w:r>
        <w:rPr>
          <w:rFonts w:ascii="Times New Roman" w:hAnsi="Times New Roman"/>
          <w:sz w:val="24"/>
          <w:szCs w:val="24"/>
        </w:rPr>
        <w:t xml:space="preserve"> </w:t>
      </w:r>
    </w:p>
    <w:p w14:paraId="36BBB6E9" w14:textId="77777777" w:rsidR="00A83CF6" w:rsidRPr="009057A1" w:rsidRDefault="00A83CF6" w:rsidP="00A83CF6">
      <w:pPr>
        <w:keepNext/>
        <w:keepLines/>
        <w:spacing w:after="0" w:line="240" w:lineRule="auto"/>
        <w:jc w:val="both"/>
        <w:outlineLvl w:val="1"/>
        <w:rPr>
          <w:rFonts w:ascii="Times New Roman" w:eastAsia="MS Gothic" w:hAnsi="Times New Roman"/>
          <w:bCs/>
          <w:sz w:val="24"/>
          <w:szCs w:val="24"/>
        </w:rPr>
      </w:pPr>
      <w:r w:rsidRPr="009057A1">
        <w:rPr>
          <w:rFonts w:ascii="Times New Roman" w:eastAsia="MS Gothic" w:hAnsi="Times New Roman"/>
          <w:bCs/>
          <w:sz w:val="24"/>
          <w:szCs w:val="24"/>
        </w:rPr>
        <w:t xml:space="preserve">Table 10: Hazard profile by frequency, location, severity, and season  </w:t>
      </w:r>
    </w:p>
    <w:tbl>
      <w:tblPr>
        <w:tblW w:w="9383" w:type="dxa"/>
        <w:tblInd w:w="19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68"/>
        <w:gridCol w:w="1366"/>
        <w:gridCol w:w="2187"/>
        <w:gridCol w:w="1458"/>
        <w:gridCol w:w="2004"/>
      </w:tblGrid>
      <w:tr w:rsidR="00A83CF6" w:rsidRPr="009057A1" w14:paraId="3F310FD5" w14:textId="77777777" w:rsidTr="006C4058">
        <w:trPr>
          <w:trHeight w:val="560"/>
        </w:trPr>
        <w:tc>
          <w:tcPr>
            <w:tcW w:w="2368" w:type="dxa"/>
            <w:tcBorders>
              <w:bottom w:val="single" w:sz="4" w:space="0" w:color="auto"/>
              <w:right w:val="nil"/>
            </w:tcBorders>
            <w:shd w:val="clear" w:color="auto" w:fill="auto"/>
            <w:vAlign w:val="center"/>
          </w:tcPr>
          <w:p w14:paraId="5A64E8C7"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366" w:type="dxa"/>
            <w:tcBorders>
              <w:left w:val="nil"/>
              <w:bottom w:val="single" w:sz="4" w:space="0" w:color="auto"/>
              <w:right w:val="nil"/>
            </w:tcBorders>
            <w:shd w:val="clear" w:color="auto" w:fill="auto"/>
            <w:vAlign w:val="center"/>
          </w:tcPr>
          <w:p w14:paraId="6C42F5DA"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(Year)</w:t>
            </w:r>
          </w:p>
        </w:tc>
        <w:tc>
          <w:tcPr>
            <w:tcW w:w="2187" w:type="dxa"/>
            <w:tcBorders>
              <w:left w:val="nil"/>
              <w:bottom w:val="single" w:sz="4" w:space="0" w:color="auto"/>
              <w:right w:val="nil"/>
            </w:tcBorders>
            <w:shd w:val="clear" w:color="auto" w:fill="auto"/>
            <w:vAlign w:val="center"/>
          </w:tcPr>
          <w:p w14:paraId="5FDEAB0C"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Most Affected Area(s)</w:t>
            </w:r>
          </w:p>
        </w:tc>
        <w:tc>
          <w:tcPr>
            <w:tcW w:w="1458" w:type="dxa"/>
            <w:tcBorders>
              <w:left w:val="nil"/>
              <w:bottom w:val="single" w:sz="4" w:space="0" w:color="auto"/>
              <w:right w:val="nil"/>
            </w:tcBorders>
            <w:shd w:val="clear" w:color="auto" w:fill="auto"/>
            <w:vAlign w:val="center"/>
          </w:tcPr>
          <w:p w14:paraId="7C54D920"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Severity Level (1–5)</w:t>
            </w:r>
          </w:p>
        </w:tc>
        <w:tc>
          <w:tcPr>
            <w:tcW w:w="2004" w:type="dxa"/>
            <w:tcBorders>
              <w:left w:val="nil"/>
              <w:bottom w:val="single" w:sz="4" w:space="0" w:color="auto"/>
            </w:tcBorders>
            <w:shd w:val="clear" w:color="auto" w:fill="auto"/>
            <w:vAlign w:val="center"/>
          </w:tcPr>
          <w:p w14:paraId="5E1AA4CC"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Seasonal Pattern</w:t>
            </w:r>
          </w:p>
        </w:tc>
      </w:tr>
      <w:tr w:rsidR="00A83CF6" w:rsidRPr="009057A1" w14:paraId="32027798" w14:textId="77777777" w:rsidTr="006C4058">
        <w:trPr>
          <w:trHeight w:val="541"/>
        </w:trPr>
        <w:tc>
          <w:tcPr>
            <w:tcW w:w="2368" w:type="dxa"/>
            <w:tcBorders>
              <w:bottom w:val="nil"/>
              <w:right w:val="nil"/>
            </w:tcBorders>
            <w:shd w:val="clear" w:color="auto" w:fill="auto"/>
          </w:tcPr>
          <w:p w14:paraId="58394388"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lastRenderedPageBreak/>
              <w:t>Flooding</w:t>
            </w:r>
          </w:p>
        </w:tc>
        <w:tc>
          <w:tcPr>
            <w:tcW w:w="1366" w:type="dxa"/>
            <w:tcBorders>
              <w:left w:val="nil"/>
              <w:bottom w:val="nil"/>
              <w:right w:val="nil"/>
            </w:tcBorders>
            <w:shd w:val="clear" w:color="auto" w:fill="auto"/>
          </w:tcPr>
          <w:p w14:paraId="27E09A7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2187" w:type="dxa"/>
            <w:tcBorders>
              <w:left w:val="nil"/>
              <w:bottom w:val="nil"/>
              <w:right w:val="nil"/>
            </w:tcBorders>
            <w:shd w:val="clear" w:color="auto" w:fill="auto"/>
          </w:tcPr>
          <w:p w14:paraId="6E937E5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1458" w:type="dxa"/>
            <w:tcBorders>
              <w:left w:val="nil"/>
              <w:bottom w:val="nil"/>
              <w:right w:val="nil"/>
            </w:tcBorders>
            <w:shd w:val="clear" w:color="auto" w:fill="auto"/>
          </w:tcPr>
          <w:p w14:paraId="2B62635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2004" w:type="dxa"/>
            <w:tcBorders>
              <w:left w:val="nil"/>
              <w:bottom w:val="nil"/>
            </w:tcBorders>
            <w:shd w:val="clear" w:color="auto" w:fill="auto"/>
          </w:tcPr>
          <w:p w14:paraId="7888C53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July–September</w:t>
            </w:r>
          </w:p>
        </w:tc>
      </w:tr>
      <w:tr w:rsidR="00A83CF6" w:rsidRPr="009057A1" w14:paraId="74E58516" w14:textId="77777777" w:rsidTr="006C4058">
        <w:trPr>
          <w:trHeight w:val="541"/>
        </w:trPr>
        <w:tc>
          <w:tcPr>
            <w:tcW w:w="2368" w:type="dxa"/>
            <w:tcBorders>
              <w:top w:val="nil"/>
              <w:bottom w:val="nil"/>
              <w:right w:val="nil"/>
            </w:tcBorders>
            <w:shd w:val="clear" w:color="auto" w:fill="auto"/>
          </w:tcPr>
          <w:p w14:paraId="23B2C714"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Windstorm</w:t>
            </w:r>
          </w:p>
        </w:tc>
        <w:tc>
          <w:tcPr>
            <w:tcW w:w="1366" w:type="dxa"/>
            <w:tcBorders>
              <w:top w:val="nil"/>
              <w:left w:val="nil"/>
              <w:bottom w:val="nil"/>
              <w:right w:val="nil"/>
            </w:tcBorders>
            <w:shd w:val="clear" w:color="auto" w:fill="auto"/>
          </w:tcPr>
          <w:p w14:paraId="1C8C215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c>
          <w:tcPr>
            <w:tcW w:w="2187" w:type="dxa"/>
            <w:tcBorders>
              <w:top w:val="nil"/>
              <w:left w:val="nil"/>
              <w:bottom w:val="nil"/>
              <w:right w:val="nil"/>
            </w:tcBorders>
            <w:shd w:val="clear" w:color="auto" w:fill="auto"/>
          </w:tcPr>
          <w:p w14:paraId="46E79644"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Pompomari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Gwange</w:t>
            </w:r>
            <w:proofErr w:type="spellEnd"/>
          </w:p>
        </w:tc>
        <w:tc>
          <w:tcPr>
            <w:tcW w:w="1458" w:type="dxa"/>
            <w:tcBorders>
              <w:top w:val="nil"/>
              <w:left w:val="nil"/>
              <w:bottom w:val="nil"/>
              <w:right w:val="nil"/>
            </w:tcBorders>
            <w:shd w:val="clear" w:color="auto" w:fill="auto"/>
          </w:tcPr>
          <w:p w14:paraId="3D7C871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2004" w:type="dxa"/>
            <w:tcBorders>
              <w:top w:val="nil"/>
              <w:left w:val="nil"/>
              <w:bottom w:val="nil"/>
            </w:tcBorders>
            <w:shd w:val="clear" w:color="auto" w:fill="auto"/>
          </w:tcPr>
          <w:p w14:paraId="6D58709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March–May</w:t>
            </w:r>
          </w:p>
        </w:tc>
      </w:tr>
      <w:tr w:rsidR="00A83CF6" w:rsidRPr="009057A1" w14:paraId="426D3ADE" w14:textId="77777777" w:rsidTr="006C4058">
        <w:trPr>
          <w:trHeight w:val="541"/>
        </w:trPr>
        <w:tc>
          <w:tcPr>
            <w:tcW w:w="2368" w:type="dxa"/>
            <w:tcBorders>
              <w:top w:val="nil"/>
              <w:bottom w:val="nil"/>
              <w:right w:val="nil"/>
            </w:tcBorders>
            <w:shd w:val="clear" w:color="auto" w:fill="auto"/>
          </w:tcPr>
          <w:p w14:paraId="242F8A9D"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Drought</w:t>
            </w:r>
          </w:p>
        </w:tc>
        <w:tc>
          <w:tcPr>
            <w:tcW w:w="1366" w:type="dxa"/>
            <w:tcBorders>
              <w:top w:val="nil"/>
              <w:left w:val="nil"/>
              <w:bottom w:val="nil"/>
              <w:right w:val="nil"/>
            </w:tcBorders>
            <w:shd w:val="clear" w:color="auto" w:fill="auto"/>
          </w:tcPr>
          <w:p w14:paraId="4EE578F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1.0</w:t>
            </w:r>
          </w:p>
        </w:tc>
        <w:tc>
          <w:tcPr>
            <w:tcW w:w="2187" w:type="dxa"/>
            <w:tcBorders>
              <w:top w:val="nil"/>
              <w:left w:val="nil"/>
              <w:bottom w:val="nil"/>
              <w:right w:val="nil"/>
            </w:tcBorders>
            <w:shd w:val="clear" w:color="auto" w:fill="auto"/>
          </w:tcPr>
          <w:p w14:paraId="545F2E1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Outskirts (farmlands)</w:t>
            </w:r>
          </w:p>
        </w:tc>
        <w:tc>
          <w:tcPr>
            <w:tcW w:w="1458" w:type="dxa"/>
            <w:tcBorders>
              <w:top w:val="nil"/>
              <w:left w:val="nil"/>
              <w:bottom w:val="nil"/>
              <w:right w:val="nil"/>
            </w:tcBorders>
            <w:shd w:val="clear" w:color="auto" w:fill="auto"/>
          </w:tcPr>
          <w:p w14:paraId="6279152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2004" w:type="dxa"/>
            <w:tcBorders>
              <w:top w:val="nil"/>
              <w:left w:val="nil"/>
              <w:bottom w:val="nil"/>
            </w:tcBorders>
            <w:shd w:val="clear" w:color="auto" w:fill="auto"/>
          </w:tcPr>
          <w:p w14:paraId="5A2E6F3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October–May</w:t>
            </w:r>
          </w:p>
        </w:tc>
      </w:tr>
      <w:tr w:rsidR="00A83CF6" w:rsidRPr="009057A1" w14:paraId="35D3041B" w14:textId="77777777" w:rsidTr="006C4058">
        <w:trPr>
          <w:trHeight w:val="505"/>
        </w:trPr>
        <w:tc>
          <w:tcPr>
            <w:tcW w:w="2368" w:type="dxa"/>
            <w:tcBorders>
              <w:top w:val="nil"/>
              <w:bottom w:val="nil"/>
              <w:right w:val="nil"/>
            </w:tcBorders>
            <w:shd w:val="clear" w:color="auto" w:fill="auto"/>
          </w:tcPr>
          <w:p w14:paraId="73781EB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Fire Outbreak</w:t>
            </w:r>
          </w:p>
        </w:tc>
        <w:tc>
          <w:tcPr>
            <w:tcW w:w="1366" w:type="dxa"/>
            <w:tcBorders>
              <w:top w:val="nil"/>
              <w:left w:val="nil"/>
              <w:bottom w:val="nil"/>
              <w:right w:val="nil"/>
            </w:tcBorders>
            <w:shd w:val="clear" w:color="auto" w:fill="auto"/>
          </w:tcPr>
          <w:p w14:paraId="623FBBB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2187" w:type="dxa"/>
            <w:tcBorders>
              <w:top w:val="nil"/>
              <w:left w:val="nil"/>
              <w:bottom w:val="nil"/>
              <w:right w:val="nil"/>
            </w:tcBorders>
            <w:shd w:val="clear" w:color="auto" w:fill="auto"/>
          </w:tcPr>
          <w:p w14:paraId="4211E002"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Damaturu</w:t>
            </w:r>
            <w:proofErr w:type="spellEnd"/>
            <w:r w:rsidRPr="009057A1">
              <w:rPr>
                <w:rFonts w:ascii="Times New Roman" w:eastAsia="Calibri" w:hAnsi="Times New Roman"/>
                <w:sz w:val="24"/>
                <w:szCs w:val="24"/>
              </w:rPr>
              <w:t xml:space="preserve"> Market, Jerusalem</w:t>
            </w:r>
          </w:p>
        </w:tc>
        <w:tc>
          <w:tcPr>
            <w:tcW w:w="1458" w:type="dxa"/>
            <w:tcBorders>
              <w:top w:val="nil"/>
              <w:left w:val="nil"/>
              <w:bottom w:val="nil"/>
              <w:right w:val="nil"/>
            </w:tcBorders>
            <w:shd w:val="clear" w:color="auto" w:fill="auto"/>
          </w:tcPr>
          <w:p w14:paraId="42CB75D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004" w:type="dxa"/>
            <w:tcBorders>
              <w:top w:val="nil"/>
              <w:left w:val="nil"/>
              <w:bottom w:val="nil"/>
            </w:tcBorders>
            <w:shd w:val="clear" w:color="auto" w:fill="auto"/>
          </w:tcPr>
          <w:p w14:paraId="1275373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November–March</w:t>
            </w:r>
          </w:p>
        </w:tc>
      </w:tr>
      <w:tr w:rsidR="00A83CF6" w:rsidRPr="009057A1" w14:paraId="683553A9" w14:textId="77777777" w:rsidTr="006C4058">
        <w:trPr>
          <w:trHeight w:val="497"/>
        </w:trPr>
        <w:tc>
          <w:tcPr>
            <w:tcW w:w="2368" w:type="dxa"/>
            <w:tcBorders>
              <w:top w:val="nil"/>
              <w:bottom w:val="nil"/>
              <w:right w:val="nil"/>
            </w:tcBorders>
            <w:shd w:val="clear" w:color="auto" w:fill="auto"/>
          </w:tcPr>
          <w:p w14:paraId="7B514736"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Boko Haram/</w:t>
            </w:r>
          </w:p>
          <w:p w14:paraId="7825E6CA"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Communal Clashes</w:t>
            </w:r>
          </w:p>
        </w:tc>
        <w:tc>
          <w:tcPr>
            <w:tcW w:w="1366" w:type="dxa"/>
            <w:tcBorders>
              <w:top w:val="nil"/>
              <w:left w:val="nil"/>
              <w:bottom w:val="nil"/>
              <w:right w:val="nil"/>
            </w:tcBorders>
            <w:shd w:val="clear" w:color="auto" w:fill="auto"/>
          </w:tcPr>
          <w:p w14:paraId="6113BD1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w:t>
            </w:r>
          </w:p>
        </w:tc>
        <w:tc>
          <w:tcPr>
            <w:tcW w:w="2187" w:type="dxa"/>
            <w:tcBorders>
              <w:top w:val="nil"/>
              <w:left w:val="nil"/>
              <w:bottom w:val="nil"/>
              <w:right w:val="nil"/>
            </w:tcBorders>
            <w:shd w:val="clear" w:color="auto" w:fill="auto"/>
          </w:tcPr>
          <w:p w14:paraId="4D4A9A0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Fringe settlements</w:t>
            </w:r>
          </w:p>
        </w:tc>
        <w:tc>
          <w:tcPr>
            <w:tcW w:w="1458" w:type="dxa"/>
            <w:tcBorders>
              <w:top w:val="nil"/>
              <w:left w:val="nil"/>
              <w:bottom w:val="nil"/>
              <w:right w:val="nil"/>
            </w:tcBorders>
            <w:shd w:val="clear" w:color="auto" w:fill="auto"/>
          </w:tcPr>
          <w:p w14:paraId="4204345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2004" w:type="dxa"/>
            <w:tcBorders>
              <w:top w:val="nil"/>
              <w:left w:val="nil"/>
              <w:bottom w:val="nil"/>
            </w:tcBorders>
            <w:shd w:val="clear" w:color="auto" w:fill="auto"/>
          </w:tcPr>
          <w:p w14:paraId="3657FA97"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No clear pattern</w:t>
            </w:r>
          </w:p>
        </w:tc>
      </w:tr>
      <w:tr w:rsidR="00A83CF6" w:rsidRPr="009057A1" w14:paraId="0E5BF3FF" w14:textId="77777777" w:rsidTr="006C4058">
        <w:trPr>
          <w:trHeight w:val="541"/>
        </w:trPr>
        <w:tc>
          <w:tcPr>
            <w:tcW w:w="2368" w:type="dxa"/>
            <w:tcBorders>
              <w:top w:val="nil"/>
              <w:right w:val="nil"/>
            </w:tcBorders>
            <w:shd w:val="clear" w:color="auto" w:fill="auto"/>
          </w:tcPr>
          <w:p w14:paraId="60D76E4F" w14:textId="77777777" w:rsidR="00A83CF6" w:rsidRPr="009057A1" w:rsidRDefault="00A83CF6" w:rsidP="006C4058">
            <w:pPr>
              <w:spacing w:after="0" w:line="240" w:lineRule="auto"/>
              <w:jc w:val="both"/>
              <w:rPr>
                <w:rFonts w:ascii="Times New Roman" w:eastAsia="Calibri" w:hAnsi="Times New Roman"/>
                <w:sz w:val="24"/>
                <w:szCs w:val="24"/>
              </w:rPr>
            </w:pPr>
            <w:r w:rsidRPr="009057A1">
              <w:rPr>
                <w:rFonts w:ascii="Times New Roman" w:eastAsia="Calibri" w:hAnsi="Times New Roman"/>
                <w:sz w:val="24"/>
                <w:szCs w:val="24"/>
              </w:rPr>
              <w:t>Epidemics (Cholera)</w:t>
            </w:r>
          </w:p>
        </w:tc>
        <w:tc>
          <w:tcPr>
            <w:tcW w:w="1366" w:type="dxa"/>
            <w:tcBorders>
              <w:top w:val="nil"/>
              <w:left w:val="nil"/>
              <w:right w:val="nil"/>
            </w:tcBorders>
            <w:shd w:val="clear" w:color="auto" w:fill="auto"/>
          </w:tcPr>
          <w:p w14:paraId="43AFA67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w:t>
            </w:r>
          </w:p>
        </w:tc>
        <w:tc>
          <w:tcPr>
            <w:tcW w:w="2187" w:type="dxa"/>
            <w:tcBorders>
              <w:top w:val="nil"/>
              <w:left w:val="nil"/>
              <w:right w:val="nil"/>
            </w:tcBorders>
            <w:shd w:val="clear" w:color="auto" w:fill="auto"/>
          </w:tcPr>
          <w:p w14:paraId="4491EDEF"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Maisandari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Ajari</w:t>
            </w:r>
            <w:proofErr w:type="spellEnd"/>
          </w:p>
        </w:tc>
        <w:tc>
          <w:tcPr>
            <w:tcW w:w="1458" w:type="dxa"/>
            <w:tcBorders>
              <w:top w:val="nil"/>
              <w:left w:val="nil"/>
              <w:right w:val="nil"/>
            </w:tcBorders>
            <w:shd w:val="clear" w:color="auto" w:fill="auto"/>
          </w:tcPr>
          <w:p w14:paraId="2D61C75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2004" w:type="dxa"/>
            <w:tcBorders>
              <w:top w:val="nil"/>
              <w:left w:val="nil"/>
            </w:tcBorders>
            <w:shd w:val="clear" w:color="auto" w:fill="auto"/>
          </w:tcPr>
          <w:p w14:paraId="1B28FC1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June–October (rainy season)</w:t>
            </w:r>
          </w:p>
        </w:tc>
      </w:tr>
    </w:tbl>
    <w:p w14:paraId="78AC37DA"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01E7AB92"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Drought and flooding were the most frequent and severe, particularly affecting farmlands and urban settlements. Epidemics were highly seasonal, peaking during rainy months, while Boko Haram incidents were sporadic but deadly.</w:t>
      </w:r>
    </w:p>
    <w:p w14:paraId="2FADBFCE" w14:textId="77777777" w:rsidR="00A83CF6" w:rsidRPr="009057A1" w:rsidRDefault="00A83CF6" w:rsidP="00A83CF6">
      <w:pPr>
        <w:spacing w:line="240" w:lineRule="auto"/>
        <w:rPr>
          <w:rFonts w:ascii="Times New Roman" w:hAnsi="Times New Roman"/>
          <w:b/>
          <w:sz w:val="24"/>
          <w:szCs w:val="24"/>
        </w:rPr>
      </w:pPr>
      <w:r>
        <w:rPr>
          <w:rFonts w:ascii="Times New Roman" w:hAnsi="Times New Roman"/>
          <w:sz w:val="24"/>
          <w:szCs w:val="24"/>
        </w:rPr>
        <w:t>T</w:t>
      </w:r>
      <w:r w:rsidRPr="009052AD">
        <w:rPr>
          <w:rFonts w:ascii="Times New Roman" w:hAnsi="Times New Roman"/>
          <w:sz w:val="24"/>
          <w:szCs w:val="24"/>
        </w:rPr>
        <w: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 xml:space="preserve">11 showed the results of the </w:t>
      </w:r>
      <w:r w:rsidRPr="009052AD">
        <w:rPr>
          <w:rFonts w:ascii="Times New Roman" w:hAnsi="Times New Roman"/>
          <w:sz w:val="24"/>
          <w:szCs w:val="24"/>
        </w:rPr>
        <w:t>spatial analy</w:t>
      </w:r>
      <w:r>
        <w:rPr>
          <w:rFonts w:ascii="Times New Roman" w:hAnsi="Times New Roman"/>
          <w:sz w:val="24"/>
          <w:szCs w:val="24"/>
        </w:rPr>
        <w:t xml:space="preserve">sis of </w:t>
      </w:r>
      <w:r w:rsidRPr="009052AD">
        <w:rPr>
          <w:rFonts w:ascii="Times New Roman" w:hAnsi="Times New Roman"/>
          <w:sz w:val="24"/>
          <w:szCs w:val="24"/>
        </w:rPr>
        <w:t>the distribution and intensity of hazards across affected areas</w:t>
      </w:r>
      <w:r>
        <w:rPr>
          <w:rFonts w:ascii="Times New Roman" w:hAnsi="Times New Roman"/>
          <w:sz w:val="24"/>
          <w:szCs w:val="24"/>
        </w:rPr>
        <w:t xml:space="preserve"> in </w:t>
      </w:r>
      <w:proofErr w:type="spellStart"/>
      <w:r>
        <w:rPr>
          <w:rFonts w:ascii="Times New Roman" w:hAnsi="Times New Roman"/>
          <w:sz w:val="24"/>
          <w:szCs w:val="24"/>
        </w:rPr>
        <w:t>Damaturu</w:t>
      </w:r>
      <w:proofErr w:type="spellEnd"/>
      <w:r>
        <w:rPr>
          <w:rFonts w:ascii="Times New Roman" w:hAnsi="Times New Roman"/>
          <w:sz w:val="24"/>
          <w:szCs w:val="24"/>
        </w:rPr>
        <w:t xml:space="preserve"> town</w:t>
      </w:r>
      <w:r w:rsidRPr="009052AD">
        <w:rPr>
          <w:rFonts w:ascii="Times New Roman" w:hAnsi="Times New Roman"/>
          <w:sz w:val="24"/>
          <w:szCs w:val="24"/>
        </w:rPr>
        <w:t>.</w:t>
      </w:r>
      <w:r>
        <w:rPr>
          <w:rFonts w:ascii="Times New Roman" w:hAnsi="Times New Roman"/>
          <w:b/>
          <w:sz w:val="24"/>
          <w:szCs w:val="24"/>
        </w:rPr>
        <w:t xml:space="preserve"> </w:t>
      </w:r>
    </w:p>
    <w:p w14:paraId="37A40B6B" w14:textId="77777777" w:rsidR="00A83CF6" w:rsidRPr="004A0357" w:rsidRDefault="00A83CF6" w:rsidP="00A83CF6">
      <w:pPr>
        <w:spacing w:line="240" w:lineRule="auto"/>
        <w:jc w:val="both"/>
        <w:rPr>
          <w:rFonts w:ascii="Times New Roman" w:hAnsi="Times New Roman"/>
          <w:sz w:val="24"/>
          <w:szCs w:val="24"/>
        </w:rPr>
      </w:pPr>
      <w:r w:rsidRPr="004A0357">
        <w:rPr>
          <w:rFonts w:ascii="Times New Roman" w:hAnsi="Times New Roman"/>
          <w:sz w:val="24"/>
          <w:szCs w:val="24"/>
        </w:rPr>
        <w:t xml:space="preserve">Table 11. </w:t>
      </w:r>
      <w:r>
        <w:rPr>
          <w:rFonts w:ascii="Times New Roman" w:hAnsi="Times New Roman"/>
          <w:sz w:val="24"/>
          <w:szCs w:val="24"/>
        </w:rPr>
        <w:t>A</w:t>
      </w:r>
      <w:r w:rsidRPr="004A0357">
        <w:rPr>
          <w:rFonts w:ascii="Times New Roman" w:hAnsi="Times New Roman"/>
          <w:sz w:val="24"/>
          <w:szCs w:val="24"/>
        </w:rPr>
        <w:t xml:space="preserve">rea specific hazard vulnerability ranking </w:t>
      </w:r>
      <w:r>
        <w:rPr>
          <w:rFonts w:ascii="Times New Roman" w:hAnsi="Times New Roman"/>
          <w:sz w:val="24"/>
          <w:szCs w:val="24"/>
        </w:rPr>
        <w:t xml:space="preserve">in </w:t>
      </w:r>
      <w:proofErr w:type="spellStart"/>
      <w:r>
        <w:rPr>
          <w:rFonts w:ascii="Times New Roman" w:hAnsi="Times New Roman"/>
          <w:sz w:val="24"/>
          <w:szCs w:val="24"/>
        </w:rPr>
        <w:t>Damaturu</w:t>
      </w:r>
      <w:proofErr w:type="spellEnd"/>
    </w:p>
    <w:tbl>
      <w:tblPr>
        <w:tblW w:w="9521" w:type="dxa"/>
        <w:tblInd w:w="93" w:type="dxa"/>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691"/>
        <w:gridCol w:w="2215"/>
        <w:gridCol w:w="2769"/>
        <w:gridCol w:w="1846"/>
      </w:tblGrid>
      <w:tr w:rsidR="00A83CF6" w:rsidRPr="009057A1" w14:paraId="35662FC0" w14:textId="77777777" w:rsidTr="006C4058">
        <w:trPr>
          <w:trHeight w:val="330"/>
        </w:trPr>
        <w:tc>
          <w:tcPr>
            <w:tcW w:w="2691" w:type="dxa"/>
            <w:tcBorders>
              <w:top w:val="single" w:sz="8" w:space="0" w:color="auto"/>
              <w:bottom w:val="single" w:sz="4" w:space="0" w:color="auto"/>
              <w:right w:val="nil"/>
            </w:tcBorders>
            <w:shd w:val="clear" w:color="auto" w:fill="auto"/>
            <w:vAlign w:val="center"/>
            <w:hideMark/>
          </w:tcPr>
          <w:p w14:paraId="2B56E096" w14:textId="77777777" w:rsidR="00A83CF6" w:rsidRPr="009057A1" w:rsidRDefault="00A83CF6" w:rsidP="006C4058">
            <w:pPr>
              <w:spacing w:after="0" w:line="240" w:lineRule="auto"/>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Hazard Type</w:t>
            </w:r>
          </w:p>
        </w:tc>
        <w:tc>
          <w:tcPr>
            <w:tcW w:w="2215" w:type="dxa"/>
            <w:tcBorders>
              <w:top w:val="single" w:sz="8" w:space="0" w:color="auto"/>
              <w:left w:val="nil"/>
              <w:bottom w:val="single" w:sz="4" w:space="0" w:color="auto"/>
              <w:right w:val="nil"/>
            </w:tcBorders>
            <w:shd w:val="clear" w:color="auto" w:fill="auto"/>
            <w:vAlign w:val="center"/>
            <w:hideMark/>
          </w:tcPr>
          <w:p w14:paraId="3EF2B6BB" w14:textId="77777777" w:rsidR="00A83CF6" w:rsidRPr="009057A1" w:rsidRDefault="00A83CF6" w:rsidP="006C4058">
            <w:pPr>
              <w:spacing w:after="0" w:line="240" w:lineRule="auto"/>
              <w:jc w:val="center"/>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Frequency</w:t>
            </w:r>
            <w:r>
              <w:rPr>
                <w:rFonts w:ascii="Times New Roman" w:eastAsia="Times New Roman" w:hAnsi="Times New Roman"/>
                <w:b/>
                <w:bCs/>
                <w:color w:val="000000"/>
                <w:sz w:val="24"/>
                <w:szCs w:val="24"/>
              </w:rPr>
              <w:t xml:space="preserve"> </w:t>
            </w:r>
            <w:r w:rsidRPr="009057A1">
              <w:rPr>
                <w:rFonts w:ascii="Times New Roman" w:eastAsia="Times New Roman" w:hAnsi="Times New Roman"/>
                <w:b/>
                <w:bCs/>
                <w:color w:val="000000"/>
                <w:sz w:val="24"/>
                <w:szCs w:val="24"/>
              </w:rPr>
              <w:t>(Year)</w:t>
            </w:r>
          </w:p>
        </w:tc>
        <w:tc>
          <w:tcPr>
            <w:tcW w:w="2769" w:type="dxa"/>
            <w:tcBorders>
              <w:top w:val="single" w:sz="8" w:space="0" w:color="auto"/>
              <w:left w:val="nil"/>
              <w:bottom w:val="single" w:sz="4" w:space="0" w:color="auto"/>
              <w:right w:val="nil"/>
            </w:tcBorders>
            <w:shd w:val="clear" w:color="auto" w:fill="auto"/>
            <w:vAlign w:val="center"/>
            <w:hideMark/>
          </w:tcPr>
          <w:p w14:paraId="0058EE6B" w14:textId="77777777" w:rsidR="00A83CF6" w:rsidRPr="009057A1" w:rsidRDefault="00A83CF6" w:rsidP="006C4058">
            <w:pPr>
              <w:spacing w:after="0" w:line="240" w:lineRule="auto"/>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Most Affected Area(s)</w:t>
            </w:r>
          </w:p>
        </w:tc>
        <w:tc>
          <w:tcPr>
            <w:tcW w:w="1846" w:type="dxa"/>
            <w:tcBorders>
              <w:top w:val="single" w:sz="8" w:space="0" w:color="auto"/>
              <w:left w:val="nil"/>
              <w:bottom w:val="single" w:sz="4" w:space="0" w:color="auto"/>
            </w:tcBorders>
            <w:shd w:val="clear" w:color="auto" w:fill="auto"/>
            <w:vAlign w:val="center"/>
            <w:hideMark/>
          </w:tcPr>
          <w:p w14:paraId="6EBF211C" w14:textId="77777777" w:rsidR="00A83CF6" w:rsidRPr="009057A1" w:rsidRDefault="00A83CF6" w:rsidP="006C4058">
            <w:pPr>
              <w:spacing w:after="0" w:line="240" w:lineRule="auto"/>
              <w:jc w:val="center"/>
              <w:rPr>
                <w:rFonts w:ascii="Times New Roman" w:eastAsia="Times New Roman" w:hAnsi="Times New Roman"/>
                <w:b/>
                <w:bCs/>
                <w:color w:val="000000"/>
                <w:sz w:val="24"/>
                <w:szCs w:val="24"/>
              </w:rPr>
            </w:pPr>
            <w:r w:rsidRPr="009057A1">
              <w:rPr>
                <w:rFonts w:ascii="Times New Roman" w:eastAsia="Times New Roman" w:hAnsi="Times New Roman"/>
                <w:b/>
                <w:bCs/>
                <w:color w:val="000000"/>
                <w:sz w:val="24"/>
                <w:szCs w:val="24"/>
              </w:rPr>
              <w:t>Severity Level (1–5)</w:t>
            </w:r>
          </w:p>
        </w:tc>
      </w:tr>
      <w:tr w:rsidR="00A83CF6" w:rsidRPr="009057A1" w14:paraId="4DA12642" w14:textId="77777777" w:rsidTr="006C4058">
        <w:trPr>
          <w:trHeight w:val="250"/>
        </w:trPr>
        <w:tc>
          <w:tcPr>
            <w:tcW w:w="2691" w:type="dxa"/>
            <w:tcBorders>
              <w:top w:val="single" w:sz="4" w:space="0" w:color="auto"/>
              <w:bottom w:val="nil"/>
              <w:right w:val="nil"/>
            </w:tcBorders>
            <w:shd w:val="clear" w:color="auto" w:fill="auto"/>
            <w:vAlign w:val="center"/>
            <w:hideMark/>
          </w:tcPr>
          <w:p w14:paraId="2C42B54A"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Drought</w:t>
            </w:r>
          </w:p>
        </w:tc>
        <w:tc>
          <w:tcPr>
            <w:tcW w:w="2215" w:type="dxa"/>
            <w:tcBorders>
              <w:top w:val="single" w:sz="4" w:space="0" w:color="auto"/>
              <w:left w:val="nil"/>
              <w:bottom w:val="nil"/>
              <w:right w:val="nil"/>
            </w:tcBorders>
            <w:shd w:val="clear" w:color="auto" w:fill="auto"/>
            <w:vAlign w:val="center"/>
            <w:hideMark/>
          </w:tcPr>
          <w:p w14:paraId="163197E0"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1</w:t>
            </w:r>
          </w:p>
        </w:tc>
        <w:tc>
          <w:tcPr>
            <w:tcW w:w="2769" w:type="dxa"/>
            <w:tcBorders>
              <w:top w:val="single" w:sz="4" w:space="0" w:color="auto"/>
              <w:left w:val="nil"/>
              <w:bottom w:val="nil"/>
              <w:right w:val="nil"/>
            </w:tcBorders>
            <w:shd w:val="clear" w:color="auto" w:fill="auto"/>
            <w:vAlign w:val="center"/>
            <w:hideMark/>
          </w:tcPr>
          <w:p w14:paraId="079C2480"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Outskirts (farmlands)</w:t>
            </w:r>
          </w:p>
        </w:tc>
        <w:tc>
          <w:tcPr>
            <w:tcW w:w="1846" w:type="dxa"/>
            <w:tcBorders>
              <w:top w:val="single" w:sz="4" w:space="0" w:color="auto"/>
              <w:left w:val="nil"/>
              <w:bottom w:val="nil"/>
            </w:tcBorders>
            <w:shd w:val="clear" w:color="auto" w:fill="auto"/>
            <w:vAlign w:val="center"/>
            <w:hideMark/>
          </w:tcPr>
          <w:p w14:paraId="0C30F7DA"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5</w:t>
            </w:r>
          </w:p>
        </w:tc>
      </w:tr>
      <w:tr w:rsidR="00A83CF6" w:rsidRPr="009057A1" w14:paraId="2C5EF186" w14:textId="77777777" w:rsidTr="006C4058">
        <w:trPr>
          <w:trHeight w:val="250"/>
        </w:trPr>
        <w:tc>
          <w:tcPr>
            <w:tcW w:w="2691" w:type="dxa"/>
            <w:tcBorders>
              <w:top w:val="nil"/>
              <w:bottom w:val="nil"/>
              <w:right w:val="nil"/>
            </w:tcBorders>
            <w:shd w:val="clear" w:color="auto" w:fill="auto"/>
            <w:vAlign w:val="center"/>
            <w:hideMark/>
          </w:tcPr>
          <w:p w14:paraId="3A45976E"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Flooding</w:t>
            </w:r>
          </w:p>
        </w:tc>
        <w:tc>
          <w:tcPr>
            <w:tcW w:w="2215" w:type="dxa"/>
            <w:tcBorders>
              <w:top w:val="nil"/>
              <w:left w:val="nil"/>
              <w:bottom w:val="nil"/>
              <w:right w:val="nil"/>
            </w:tcBorders>
            <w:shd w:val="clear" w:color="auto" w:fill="auto"/>
            <w:vAlign w:val="center"/>
            <w:hideMark/>
          </w:tcPr>
          <w:p w14:paraId="1ACF2E8E"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c>
          <w:tcPr>
            <w:tcW w:w="2769" w:type="dxa"/>
            <w:tcBorders>
              <w:top w:val="nil"/>
              <w:left w:val="nil"/>
              <w:bottom w:val="nil"/>
              <w:right w:val="nil"/>
            </w:tcBorders>
            <w:shd w:val="clear" w:color="auto" w:fill="auto"/>
            <w:vAlign w:val="center"/>
            <w:hideMark/>
          </w:tcPr>
          <w:p w14:paraId="1939BE07"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 xml:space="preserve">Sabon </w:t>
            </w:r>
            <w:proofErr w:type="spellStart"/>
            <w:r w:rsidRPr="009057A1">
              <w:rPr>
                <w:rFonts w:ascii="Times New Roman" w:eastAsia="Times New Roman" w:hAnsi="Times New Roman"/>
                <w:color w:val="000000"/>
                <w:sz w:val="24"/>
                <w:szCs w:val="24"/>
              </w:rPr>
              <w:t>Pegi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Nayinawa</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Gwange</w:t>
            </w:r>
            <w:proofErr w:type="spellEnd"/>
          </w:p>
        </w:tc>
        <w:tc>
          <w:tcPr>
            <w:tcW w:w="1846" w:type="dxa"/>
            <w:tcBorders>
              <w:top w:val="nil"/>
              <w:left w:val="nil"/>
              <w:bottom w:val="nil"/>
            </w:tcBorders>
            <w:shd w:val="clear" w:color="auto" w:fill="auto"/>
            <w:vAlign w:val="center"/>
            <w:hideMark/>
          </w:tcPr>
          <w:p w14:paraId="573BCE1C"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4</w:t>
            </w:r>
          </w:p>
        </w:tc>
      </w:tr>
      <w:tr w:rsidR="00A83CF6" w:rsidRPr="009057A1" w14:paraId="0AE77F92" w14:textId="77777777" w:rsidTr="006C4058">
        <w:trPr>
          <w:trHeight w:val="250"/>
        </w:trPr>
        <w:tc>
          <w:tcPr>
            <w:tcW w:w="2691" w:type="dxa"/>
            <w:tcBorders>
              <w:top w:val="nil"/>
              <w:bottom w:val="nil"/>
              <w:right w:val="nil"/>
            </w:tcBorders>
            <w:shd w:val="clear" w:color="auto" w:fill="auto"/>
            <w:vAlign w:val="center"/>
            <w:hideMark/>
          </w:tcPr>
          <w:p w14:paraId="516463FE"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Epidemics (Cholera)</w:t>
            </w:r>
          </w:p>
        </w:tc>
        <w:tc>
          <w:tcPr>
            <w:tcW w:w="2215" w:type="dxa"/>
            <w:tcBorders>
              <w:top w:val="nil"/>
              <w:left w:val="nil"/>
              <w:bottom w:val="nil"/>
              <w:right w:val="nil"/>
            </w:tcBorders>
            <w:shd w:val="clear" w:color="auto" w:fill="auto"/>
            <w:vAlign w:val="center"/>
            <w:hideMark/>
          </w:tcPr>
          <w:p w14:paraId="135CD79A"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0.8</w:t>
            </w:r>
          </w:p>
        </w:tc>
        <w:tc>
          <w:tcPr>
            <w:tcW w:w="2769" w:type="dxa"/>
            <w:tcBorders>
              <w:top w:val="nil"/>
              <w:left w:val="nil"/>
              <w:bottom w:val="nil"/>
              <w:right w:val="nil"/>
            </w:tcBorders>
            <w:shd w:val="clear" w:color="auto" w:fill="auto"/>
            <w:vAlign w:val="center"/>
            <w:hideMark/>
          </w:tcPr>
          <w:p w14:paraId="6BC7D7A1" w14:textId="77777777" w:rsidR="00A83CF6" w:rsidRPr="009057A1" w:rsidRDefault="00A83CF6" w:rsidP="006C4058">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Maisandari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Ajari</w:t>
            </w:r>
            <w:proofErr w:type="spellEnd"/>
          </w:p>
        </w:tc>
        <w:tc>
          <w:tcPr>
            <w:tcW w:w="1846" w:type="dxa"/>
            <w:tcBorders>
              <w:top w:val="nil"/>
              <w:left w:val="nil"/>
              <w:bottom w:val="nil"/>
            </w:tcBorders>
            <w:shd w:val="clear" w:color="auto" w:fill="auto"/>
            <w:vAlign w:val="center"/>
            <w:hideMark/>
          </w:tcPr>
          <w:p w14:paraId="6CA82D87"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4</w:t>
            </w:r>
          </w:p>
        </w:tc>
      </w:tr>
      <w:tr w:rsidR="00A83CF6" w:rsidRPr="009057A1" w14:paraId="1D5E0074" w14:textId="77777777" w:rsidTr="006C4058">
        <w:trPr>
          <w:trHeight w:val="250"/>
        </w:trPr>
        <w:tc>
          <w:tcPr>
            <w:tcW w:w="2691" w:type="dxa"/>
            <w:tcBorders>
              <w:top w:val="nil"/>
              <w:bottom w:val="nil"/>
              <w:right w:val="nil"/>
            </w:tcBorders>
            <w:shd w:val="clear" w:color="auto" w:fill="auto"/>
            <w:vAlign w:val="center"/>
            <w:hideMark/>
          </w:tcPr>
          <w:p w14:paraId="6E15AA53"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Windstorm</w:t>
            </w:r>
          </w:p>
        </w:tc>
        <w:tc>
          <w:tcPr>
            <w:tcW w:w="2215" w:type="dxa"/>
            <w:tcBorders>
              <w:top w:val="nil"/>
              <w:left w:val="nil"/>
              <w:bottom w:val="nil"/>
              <w:right w:val="nil"/>
            </w:tcBorders>
            <w:shd w:val="clear" w:color="auto" w:fill="auto"/>
            <w:vAlign w:val="center"/>
            <w:hideMark/>
          </w:tcPr>
          <w:p w14:paraId="50342B63"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2</w:t>
            </w:r>
          </w:p>
        </w:tc>
        <w:tc>
          <w:tcPr>
            <w:tcW w:w="2769" w:type="dxa"/>
            <w:tcBorders>
              <w:top w:val="nil"/>
              <w:left w:val="nil"/>
              <w:bottom w:val="nil"/>
              <w:right w:val="nil"/>
            </w:tcBorders>
            <w:shd w:val="clear" w:color="auto" w:fill="auto"/>
            <w:vAlign w:val="center"/>
            <w:hideMark/>
          </w:tcPr>
          <w:p w14:paraId="7C714AE7" w14:textId="77777777" w:rsidR="00A83CF6" w:rsidRPr="009057A1" w:rsidRDefault="00A83CF6" w:rsidP="006C4058">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Pompomari</w:t>
            </w:r>
            <w:proofErr w:type="spellEnd"/>
            <w:r w:rsidRPr="009057A1">
              <w:rPr>
                <w:rFonts w:ascii="Times New Roman" w:eastAsia="Times New Roman" w:hAnsi="Times New Roman"/>
                <w:color w:val="000000"/>
                <w:sz w:val="24"/>
                <w:szCs w:val="24"/>
              </w:rPr>
              <w:t xml:space="preserve">, </w:t>
            </w:r>
            <w:proofErr w:type="spellStart"/>
            <w:r w:rsidRPr="009057A1">
              <w:rPr>
                <w:rFonts w:ascii="Times New Roman" w:eastAsia="Times New Roman" w:hAnsi="Times New Roman"/>
                <w:color w:val="000000"/>
                <w:sz w:val="24"/>
                <w:szCs w:val="24"/>
              </w:rPr>
              <w:t>Gwange</w:t>
            </w:r>
            <w:proofErr w:type="spellEnd"/>
          </w:p>
        </w:tc>
        <w:tc>
          <w:tcPr>
            <w:tcW w:w="1846" w:type="dxa"/>
            <w:tcBorders>
              <w:top w:val="nil"/>
              <w:left w:val="nil"/>
              <w:bottom w:val="nil"/>
            </w:tcBorders>
            <w:shd w:val="clear" w:color="auto" w:fill="auto"/>
            <w:vAlign w:val="center"/>
            <w:hideMark/>
          </w:tcPr>
          <w:p w14:paraId="21538D3C"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r>
      <w:tr w:rsidR="00A83CF6" w:rsidRPr="009057A1" w14:paraId="3D2A9C31" w14:textId="77777777" w:rsidTr="006C4058">
        <w:trPr>
          <w:trHeight w:val="330"/>
        </w:trPr>
        <w:tc>
          <w:tcPr>
            <w:tcW w:w="2691" w:type="dxa"/>
            <w:tcBorders>
              <w:top w:val="nil"/>
              <w:bottom w:val="nil"/>
              <w:right w:val="nil"/>
            </w:tcBorders>
            <w:shd w:val="clear" w:color="auto" w:fill="auto"/>
            <w:vAlign w:val="center"/>
            <w:hideMark/>
          </w:tcPr>
          <w:p w14:paraId="3A442AD2"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Boko Haram/Communal Clashes</w:t>
            </w:r>
          </w:p>
        </w:tc>
        <w:tc>
          <w:tcPr>
            <w:tcW w:w="2215" w:type="dxa"/>
            <w:tcBorders>
              <w:top w:val="nil"/>
              <w:left w:val="nil"/>
              <w:bottom w:val="nil"/>
              <w:right w:val="nil"/>
            </w:tcBorders>
            <w:shd w:val="clear" w:color="auto" w:fill="auto"/>
            <w:vAlign w:val="center"/>
            <w:hideMark/>
          </w:tcPr>
          <w:p w14:paraId="642B9B78"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0.2</w:t>
            </w:r>
          </w:p>
        </w:tc>
        <w:tc>
          <w:tcPr>
            <w:tcW w:w="2769" w:type="dxa"/>
            <w:tcBorders>
              <w:top w:val="nil"/>
              <w:left w:val="nil"/>
              <w:bottom w:val="nil"/>
              <w:right w:val="nil"/>
            </w:tcBorders>
            <w:shd w:val="clear" w:color="auto" w:fill="auto"/>
            <w:vAlign w:val="center"/>
            <w:hideMark/>
          </w:tcPr>
          <w:p w14:paraId="77F83AFC"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Fringe settlements</w:t>
            </w:r>
          </w:p>
        </w:tc>
        <w:tc>
          <w:tcPr>
            <w:tcW w:w="1846" w:type="dxa"/>
            <w:tcBorders>
              <w:top w:val="nil"/>
              <w:left w:val="nil"/>
              <w:bottom w:val="nil"/>
            </w:tcBorders>
            <w:shd w:val="clear" w:color="auto" w:fill="auto"/>
            <w:vAlign w:val="center"/>
            <w:hideMark/>
          </w:tcPr>
          <w:p w14:paraId="08FBC113"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3</w:t>
            </w:r>
          </w:p>
        </w:tc>
      </w:tr>
      <w:tr w:rsidR="00A83CF6" w:rsidRPr="009057A1" w14:paraId="4CDE0045" w14:textId="77777777" w:rsidTr="006C4058">
        <w:trPr>
          <w:trHeight w:val="250"/>
        </w:trPr>
        <w:tc>
          <w:tcPr>
            <w:tcW w:w="2691" w:type="dxa"/>
            <w:tcBorders>
              <w:top w:val="nil"/>
              <w:bottom w:val="single" w:sz="8" w:space="0" w:color="auto"/>
              <w:right w:val="nil"/>
            </w:tcBorders>
            <w:shd w:val="clear" w:color="auto" w:fill="auto"/>
            <w:vAlign w:val="center"/>
            <w:hideMark/>
          </w:tcPr>
          <w:p w14:paraId="26B6D6AC" w14:textId="77777777" w:rsidR="00A83CF6" w:rsidRPr="009057A1" w:rsidRDefault="00A83CF6" w:rsidP="006C4058">
            <w:pPr>
              <w:spacing w:after="0" w:line="240" w:lineRule="auto"/>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Fire Outbreak</w:t>
            </w:r>
          </w:p>
        </w:tc>
        <w:tc>
          <w:tcPr>
            <w:tcW w:w="2215" w:type="dxa"/>
            <w:tcBorders>
              <w:top w:val="nil"/>
              <w:left w:val="nil"/>
              <w:bottom w:val="single" w:sz="8" w:space="0" w:color="auto"/>
              <w:right w:val="nil"/>
            </w:tcBorders>
            <w:shd w:val="clear" w:color="auto" w:fill="auto"/>
            <w:vAlign w:val="center"/>
            <w:hideMark/>
          </w:tcPr>
          <w:p w14:paraId="4F565A47"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1.5</w:t>
            </w:r>
          </w:p>
        </w:tc>
        <w:tc>
          <w:tcPr>
            <w:tcW w:w="2769" w:type="dxa"/>
            <w:tcBorders>
              <w:top w:val="nil"/>
              <w:left w:val="nil"/>
              <w:bottom w:val="single" w:sz="8" w:space="0" w:color="auto"/>
              <w:right w:val="nil"/>
            </w:tcBorders>
            <w:shd w:val="clear" w:color="auto" w:fill="auto"/>
            <w:vAlign w:val="center"/>
            <w:hideMark/>
          </w:tcPr>
          <w:p w14:paraId="3ED22ECF" w14:textId="77777777" w:rsidR="00A83CF6" w:rsidRPr="009057A1" w:rsidRDefault="00A83CF6" w:rsidP="006C4058">
            <w:pPr>
              <w:spacing w:after="0" w:line="240" w:lineRule="auto"/>
              <w:rPr>
                <w:rFonts w:ascii="Times New Roman" w:eastAsia="Times New Roman" w:hAnsi="Times New Roman"/>
                <w:color w:val="000000"/>
                <w:sz w:val="24"/>
                <w:szCs w:val="24"/>
              </w:rPr>
            </w:pPr>
            <w:proofErr w:type="spellStart"/>
            <w:r w:rsidRPr="009057A1">
              <w:rPr>
                <w:rFonts w:ascii="Times New Roman" w:eastAsia="Times New Roman" w:hAnsi="Times New Roman"/>
                <w:color w:val="000000"/>
                <w:sz w:val="24"/>
                <w:szCs w:val="24"/>
              </w:rPr>
              <w:t>Damaturu</w:t>
            </w:r>
            <w:proofErr w:type="spellEnd"/>
            <w:r w:rsidRPr="009057A1">
              <w:rPr>
                <w:rFonts w:ascii="Times New Roman" w:eastAsia="Times New Roman" w:hAnsi="Times New Roman"/>
                <w:color w:val="000000"/>
                <w:sz w:val="24"/>
                <w:szCs w:val="24"/>
              </w:rPr>
              <w:t xml:space="preserve"> Market, Jerusalem</w:t>
            </w:r>
          </w:p>
        </w:tc>
        <w:tc>
          <w:tcPr>
            <w:tcW w:w="1846" w:type="dxa"/>
            <w:tcBorders>
              <w:top w:val="nil"/>
              <w:left w:val="nil"/>
              <w:bottom w:val="single" w:sz="8" w:space="0" w:color="auto"/>
            </w:tcBorders>
            <w:shd w:val="clear" w:color="auto" w:fill="auto"/>
            <w:vAlign w:val="center"/>
            <w:hideMark/>
          </w:tcPr>
          <w:p w14:paraId="205A8CF3" w14:textId="77777777" w:rsidR="00A83CF6" w:rsidRPr="009057A1" w:rsidRDefault="00A83CF6" w:rsidP="006C4058">
            <w:pPr>
              <w:spacing w:after="0" w:line="240" w:lineRule="auto"/>
              <w:jc w:val="center"/>
              <w:rPr>
                <w:rFonts w:ascii="Times New Roman" w:eastAsia="Times New Roman" w:hAnsi="Times New Roman"/>
                <w:color w:val="000000"/>
                <w:sz w:val="24"/>
                <w:szCs w:val="24"/>
              </w:rPr>
            </w:pPr>
            <w:r w:rsidRPr="009057A1">
              <w:rPr>
                <w:rFonts w:ascii="Times New Roman" w:eastAsia="Times New Roman" w:hAnsi="Times New Roman"/>
                <w:color w:val="000000"/>
                <w:sz w:val="24"/>
                <w:szCs w:val="24"/>
              </w:rPr>
              <w:t>2</w:t>
            </w:r>
          </w:p>
        </w:tc>
      </w:tr>
    </w:tbl>
    <w:p w14:paraId="7BBD4788"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276E1EE6"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Drought, flooding, and epidemics showed the highest severity scores across multiple wards, reflecting both natural and socio-political hazard profiles. </w:t>
      </w:r>
      <w:proofErr w:type="spellStart"/>
      <w:r w:rsidRPr="009057A1">
        <w:rPr>
          <w:rFonts w:ascii="Times New Roman" w:hAnsi="Times New Roman"/>
          <w:sz w:val="24"/>
          <w:szCs w:val="24"/>
        </w:rPr>
        <w:t>Damaturu’s</w:t>
      </w:r>
      <w:proofErr w:type="spellEnd"/>
      <w:r w:rsidRPr="009057A1">
        <w:rPr>
          <w:rFonts w:ascii="Times New Roman" w:hAnsi="Times New Roman"/>
          <w:sz w:val="24"/>
          <w:szCs w:val="24"/>
        </w:rPr>
        <w:t xml:space="preserve"> spatial vulnerability is concentrated in underserved peripheries.</w:t>
      </w:r>
    </w:p>
    <w:p w14:paraId="46A42603"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12 </w:t>
      </w:r>
      <w:r w:rsidRPr="009052AD">
        <w:rPr>
          <w:rFonts w:ascii="Times New Roman" w:hAnsi="Times New Roman"/>
          <w:sz w:val="24"/>
          <w:szCs w:val="24"/>
        </w:rPr>
        <w:t>presented t</w:t>
      </w:r>
      <w:r>
        <w:rPr>
          <w:rFonts w:ascii="Times New Roman" w:hAnsi="Times New Roman"/>
          <w:sz w:val="24"/>
          <w:szCs w:val="24"/>
        </w:rPr>
        <w:t xml:space="preserve">he </w:t>
      </w:r>
      <w:r w:rsidRPr="009052AD">
        <w:rPr>
          <w:rFonts w:ascii="Times New Roman" w:hAnsi="Times New Roman"/>
          <w:sz w:val="24"/>
          <w:szCs w:val="24"/>
        </w:rPr>
        <w:t>combine</w:t>
      </w:r>
      <w:r>
        <w:rPr>
          <w:rFonts w:ascii="Times New Roman" w:hAnsi="Times New Roman"/>
          <w:sz w:val="24"/>
          <w:szCs w:val="24"/>
        </w:rPr>
        <w:t>d</w:t>
      </w:r>
      <w:r w:rsidRPr="009052AD">
        <w:rPr>
          <w:rFonts w:ascii="Times New Roman" w:hAnsi="Times New Roman"/>
          <w:sz w:val="24"/>
          <w:szCs w:val="24"/>
        </w:rPr>
        <w:t xml:space="preserve"> hazard frequency and severity into an integrated impact score for localized risk assessment.</w:t>
      </w:r>
      <w:r>
        <w:rPr>
          <w:rFonts w:ascii="Times New Roman" w:hAnsi="Times New Roman"/>
          <w:sz w:val="24"/>
          <w:szCs w:val="24"/>
        </w:rPr>
        <w:t xml:space="preserve"> </w:t>
      </w:r>
    </w:p>
    <w:p w14:paraId="22530D5E" w14:textId="77777777" w:rsidR="00A83CF6" w:rsidRPr="009057A1" w:rsidRDefault="00A83CF6" w:rsidP="00A83CF6">
      <w:pPr>
        <w:keepNext/>
        <w:keepLines/>
        <w:spacing w:after="0" w:line="240" w:lineRule="auto"/>
        <w:outlineLvl w:val="0"/>
        <w:rPr>
          <w:rFonts w:ascii="Times New Roman" w:eastAsia="Times New Roman" w:hAnsi="Times New Roman"/>
          <w:bCs/>
          <w:sz w:val="24"/>
          <w:szCs w:val="24"/>
        </w:rPr>
      </w:pPr>
      <w:r w:rsidRPr="009057A1">
        <w:rPr>
          <w:rFonts w:ascii="Times New Roman" w:eastAsia="Times New Roman" w:hAnsi="Times New Roman"/>
          <w:bCs/>
          <w:sz w:val="24"/>
          <w:szCs w:val="24"/>
        </w:rPr>
        <w:t>Table 12: Affected areas with combined frequency and severity of hazards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83"/>
        <w:gridCol w:w="1883"/>
        <w:gridCol w:w="1883"/>
        <w:gridCol w:w="1883"/>
        <w:gridCol w:w="1883"/>
      </w:tblGrid>
      <w:tr w:rsidR="00A83CF6" w:rsidRPr="009057A1" w14:paraId="2F8865A1" w14:textId="77777777" w:rsidTr="006C4058">
        <w:trPr>
          <w:trHeight w:val="441"/>
        </w:trPr>
        <w:tc>
          <w:tcPr>
            <w:tcW w:w="1883" w:type="dxa"/>
            <w:tcBorders>
              <w:bottom w:val="single" w:sz="4" w:space="0" w:color="auto"/>
              <w:right w:val="nil"/>
            </w:tcBorders>
            <w:shd w:val="clear" w:color="auto" w:fill="auto"/>
            <w:vAlign w:val="center"/>
            <w:hideMark/>
          </w:tcPr>
          <w:p w14:paraId="6734A58A"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1883" w:type="dxa"/>
            <w:tcBorders>
              <w:left w:val="nil"/>
              <w:bottom w:val="single" w:sz="4" w:space="0" w:color="auto"/>
              <w:right w:val="nil"/>
            </w:tcBorders>
            <w:shd w:val="clear" w:color="auto" w:fill="auto"/>
            <w:vAlign w:val="center"/>
            <w:hideMark/>
          </w:tcPr>
          <w:p w14:paraId="69BF8987"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Affected Area(s)</w:t>
            </w:r>
          </w:p>
        </w:tc>
        <w:tc>
          <w:tcPr>
            <w:tcW w:w="1883" w:type="dxa"/>
            <w:tcBorders>
              <w:left w:val="nil"/>
              <w:bottom w:val="single" w:sz="4" w:space="0" w:color="auto"/>
              <w:right w:val="nil"/>
            </w:tcBorders>
            <w:shd w:val="clear" w:color="auto" w:fill="auto"/>
            <w:vAlign w:val="center"/>
            <w:hideMark/>
          </w:tcPr>
          <w:p w14:paraId="740BFD8C"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Frequency (Annual Avg.)</w:t>
            </w:r>
          </w:p>
        </w:tc>
        <w:tc>
          <w:tcPr>
            <w:tcW w:w="1883" w:type="dxa"/>
            <w:tcBorders>
              <w:left w:val="nil"/>
              <w:bottom w:val="single" w:sz="4" w:space="0" w:color="auto"/>
              <w:right w:val="nil"/>
            </w:tcBorders>
            <w:shd w:val="clear" w:color="auto" w:fill="auto"/>
            <w:vAlign w:val="center"/>
            <w:hideMark/>
          </w:tcPr>
          <w:p w14:paraId="0B0AC738" w14:textId="77777777" w:rsidR="00A83CF6"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 xml:space="preserve">Severity </w:t>
            </w:r>
          </w:p>
          <w:p w14:paraId="37895D6D"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(Scale 1–5)</w:t>
            </w:r>
          </w:p>
        </w:tc>
        <w:tc>
          <w:tcPr>
            <w:tcW w:w="1883" w:type="dxa"/>
            <w:tcBorders>
              <w:left w:val="nil"/>
              <w:bottom w:val="single" w:sz="4" w:space="0" w:color="auto"/>
            </w:tcBorders>
            <w:shd w:val="clear" w:color="auto" w:fill="auto"/>
            <w:vAlign w:val="center"/>
            <w:hideMark/>
          </w:tcPr>
          <w:p w14:paraId="2BD1ED46"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Combined Impact Score</w:t>
            </w:r>
          </w:p>
        </w:tc>
      </w:tr>
      <w:tr w:rsidR="00A83CF6" w:rsidRPr="009057A1" w14:paraId="35B4790D" w14:textId="77777777" w:rsidTr="006C4058">
        <w:trPr>
          <w:trHeight w:val="645"/>
        </w:trPr>
        <w:tc>
          <w:tcPr>
            <w:tcW w:w="1883" w:type="dxa"/>
            <w:tcBorders>
              <w:bottom w:val="nil"/>
              <w:right w:val="nil"/>
            </w:tcBorders>
            <w:shd w:val="clear" w:color="auto" w:fill="auto"/>
            <w:hideMark/>
          </w:tcPr>
          <w:p w14:paraId="1EAFAB1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lastRenderedPageBreak/>
              <w:t>Flooding</w:t>
            </w:r>
          </w:p>
        </w:tc>
        <w:tc>
          <w:tcPr>
            <w:tcW w:w="1883" w:type="dxa"/>
            <w:tcBorders>
              <w:left w:val="nil"/>
              <w:bottom w:val="nil"/>
              <w:right w:val="nil"/>
            </w:tcBorders>
            <w:shd w:val="clear" w:color="auto" w:fill="auto"/>
            <w:hideMark/>
          </w:tcPr>
          <w:p w14:paraId="5443E79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1883" w:type="dxa"/>
            <w:tcBorders>
              <w:left w:val="nil"/>
              <w:bottom w:val="nil"/>
              <w:right w:val="nil"/>
            </w:tcBorders>
            <w:shd w:val="clear" w:color="auto" w:fill="auto"/>
            <w:hideMark/>
          </w:tcPr>
          <w:p w14:paraId="4C17D82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1883" w:type="dxa"/>
            <w:tcBorders>
              <w:left w:val="nil"/>
              <w:bottom w:val="nil"/>
              <w:right w:val="nil"/>
            </w:tcBorders>
            <w:shd w:val="clear" w:color="auto" w:fill="auto"/>
            <w:hideMark/>
          </w:tcPr>
          <w:p w14:paraId="49CC43A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w:t>
            </w:r>
          </w:p>
        </w:tc>
        <w:tc>
          <w:tcPr>
            <w:tcW w:w="1883" w:type="dxa"/>
            <w:tcBorders>
              <w:left w:val="nil"/>
              <w:bottom w:val="nil"/>
            </w:tcBorders>
            <w:shd w:val="clear" w:color="auto" w:fill="auto"/>
            <w:hideMark/>
          </w:tcPr>
          <w:p w14:paraId="3C4B742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w:t>
            </w:r>
          </w:p>
        </w:tc>
      </w:tr>
      <w:tr w:rsidR="00A83CF6" w:rsidRPr="009057A1" w14:paraId="7FAFDE89" w14:textId="77777777" w:rsidTr="006C4058">
        <w:trPr>
          <w:trHeight w:val="424"/>
        </w:trPr>
        <w:tc>
          <w:tcPr>
            <w:tcW w:w="1883" w:type="dxa"/>
            <w:tcBorders>
              <w:top w:val="nil"/>
              <w:bottom w:val="nil"/>
              <w:right w:val="nil"/>
            </w:tcBorders>
            <w:shd w:val="clear" w:color="auto" w:fill="auto"/>
            <w:hideMark/>
          </w:tcPr>
          <w:p w14:paraId="6794C2F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1883" w:type="dxa"/>
            <w:tcBorders>
              <w:top w:val="nil"/>
              <w:left w:val="nil"/>
              <w:bottom w:val="nil"/>
              <w:right w:val="nil"/>
            </w:tcBorders>
            <w:shd w:val="clear" w:color="auto" w:fill="auto"/>
            <w:hideMark/>
          </w:tcPr>
          <w:p w14:paraId="51092087"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1883" w:type="dxa"/>
            <w:tcBorders>
              <w:top w:val="nil"/>
              <w:left w:val="nil"/>
              <w:bottom w:val="nil"/>
              <w:right w:val="nil"/>
            </w:tcBorders>
            <w:shd w:val="clear" w:color="auto" w:fill="auto"/>
            <w:hideMark/>
          </w:tcPr>
          <w:p w14:paraId="6631B2D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1883" w:type="dxa"/>
            <w:tcBorders>
              <w:top w:val="nil"/>
              <w:left w:val="nil"/>
              <w:bottom w:val="nil"/>
              <w:right w:val="nil"/>
            </w:tcBorders>
            <w:shd w:val="clear" w:color="auto" w:fill="auto"/>
            <w:hideMark/>
          </w:tcPr>
          <w:p w14:paraId="1BA7774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bottom w:val="nil"/>
            </w:tcBorders>
            <w:shd w:val="clear" w:color="auto" w:fill="auto"/>
            <w:hideMark/>
          </w:tcPr>
          <w:p w14:paraId="0297414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r>
      <w:tr w:rsidR="00A83CF6" w:rsidRPr="009057A1" w14:paraId="0A5463D8" w14:textId="77777777" w:rsidTr="006C4058">
        <w:trPr>
          <w:trHeight w:val="424"/>
        </w:trPr>
        <w:tc>
          <w:tcPr>
            <w:tcW w:w="1883" w:type="dxa"/>
            <w:tcBorders>
              <w:top w:val="nil"/>
              <w:bottom w:val="nil"/>
              <w:right w:val="nil"/>
            </w:tcBorders>
            <w:shd w:val="clear" w:color="auto" w:fill="auto"/>
            <w:hideMark/>
          </w:tcPr>
          <w:p w14:paraId="18F9323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1883" w:type="dxa"/>
            <w:tcBorders>
              <w:top w:val="nil"/>
              <w:left w:val="nil"/>
              <w:bottom w:val="nil"/>
              <w:right w:val="nil"/>
            </w:tcBorders>
            <w:shd w:val="clear" w:color="auto" w:fill="auto"/>
            <w:hideMark/>
          </w:tcPr>
          <w:p w14:paraId="2B096AD6" w14:textId="77777777" w:rsidR="00A83CF6" w:rsidRPr="009057A1" w:rsidRDefault="00907EBD" w:rsidP="006C4058">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 </w:t>
            </w:r>
            <w:proofErr w:type="spellStart"/>
            <w:r w:rsidR="00A83CF6" w:rsidRPr="009057A1">
              <w:rPr>
                <w:rFonts w:ascii="Times New Roman" w:eastAsia="Calibri" w:hAnsi="Times New Roman"/>
                <w:sz w:val="24"/>
                <w:szCs w:val="24"/>
              </w:rPr>
              <w:t>Bindigari</w:t>
            </w:r>
            <w:proofErr w:type="spellEnd"/>
          </w:p>
        </w:tc>
        <w:tc>
          <w:tcPr>
            <w:tcW w:w="1883" w:type="dxa"/>
            <w:tcBorders>
              <w:top w:val="nil"/>
              <w:left w:val="nil"/>
              <w:bottom w:val="nil"/>
              <w:right w:val="nil"/>
            </w:tcBorders>
            <w:shd w:val="clear" w:color="auto" w:fill="auto"/>
            <w:hideMark/>
          </w:tcPr>
          <w:p w14:paraId="2354665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bottom w:val="nil"/>
              <w:right w:val="nil"/>
            </w:tcBorders>
            <w:shd w:val="clear" w:color="auto" w:fill="auto"/>
            <w:hideMark/>
          </w:tcPr>
          <w:p w14:paraId="77E5EB5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14:paraId="4A82787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w:t>
            </w:r>
          </w:p>
        </w:tc>
      </w:tr>
      <w:tr w:rsidR="00A83CF6" w:rsidRPr="009057A1" w14:paraId="0B46D452" w14:textId="77777777" w:rsidTr="006C4058">
        <w:trPr>
          <w:trHeight w:val="424"/>
        </w:trPr>
        <w:tc>
          <w:tcPr>
            <w:tcW w:w="1883" w:type="dxa"/>
            <w:tcBorders>
              <w:top w:val="nil"/>
              <w:bottom w:val="nil"/>
              <w:right w:val="nil"/>
            </w:tcBorders>
            <w:shd w:val="clear" w:color="auto" w:fill="auto"/>
            <w:hideMark/>
          </w:tcPr>
          <w:p w14:paraId="62871D8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1883" w:type="dxa"/>
            <w:tcBorders>
              <w:top w:val="nil"/>
              <w:left w:val="nil"/>
              <w:bottom w:val="nil"/>
              <w:right w:val="nil"/>
            </w:tcBorders>
            <w:shd w:val="clear" w:color="auto" w:fill="auto"/>
            <w:hideMark/>
          </w:tcPr>
          <w:p w14:paraId="74857A0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Jerusalem, </w:t>
            </w:r>
            <w:proofErr w:type="spellStart"/>
            <w:r w:rsidRPr="009057A1">
              <w:rPr>
                <w:rFonts w:ascii="Times New Roman" w:eastAsia="Calibri" w:hAnsi="Times New Roman"/>
                <w:sz w:val="24"/>
                <w:szCs w:val="24"/>
              </w:rPr>
              <w:t>Maisandari</w:t>
            </w:r>
            <w:proofErr w:type="spellEnd"/>
          </w:p>
        </w:tc>
        <w:tc>
          <w:tcPr>
            <w:tcW w:w="1883" w:type="dxa"/>
            <w:tcBorders>
              <w:top w:val="nil"/>
              <w:left w:val="nil"/>
              <w:bottom w:val="nil"/>
              <w:right w:val="nil"/>
            </w:tcBorders>
            <w:shd w:val="clear" w:color="auto" w:fill="auto"/>
            <w:hideMark/>
          </w:tcPr>
          <w:p w14:paraId="3FA6FCD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1883" w:type="dxa"/>
            <w:tcBorders>
              <w:top w:val="nil"/>
              <w:left w:val="nil"/>
              <w:bottom w:val="nil"/>
              <w:right w:val="nil"/>
            </w:tcBorders>
            <w:shd w:val="clear" w:color="auto" w:fill="auto"/>
            <w:hideMark/>
          </w:tcPr>
          <w:p w14:paraId="043DA01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14:paraId="4B3354B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r>
      <w:tr w:rsidR="00A83CF6" w:rsidRPr="009057A1" w14:paraId="14EDE283" w14:textId="77777777" w:rsidTr="006C4058">
        <w:trPr>
          <w:trHeight w:val="424"/>
        </w:trPr>
        <w:tc>
          <w:tcPr>
            <w:tcW w:w="1883" w:type="dxa"/>
            <w:tcBorders>
              <w:top w:val="nil"/>
              <w:bottom w:val="nil"/>
              <w:right w:val="nil"/>
            </w:tcBorders>
            <w:shd w:val="clear" w:color="auto" w:fill="auto"/>
            <w:hideMark/>
          </w:tcPr>
          <w:p w14:paraId="374BF25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Haram/Clashes</w:t>
            </w:r>
          </w:p>
        </w:tc>
        <w:tc>
          <w:tcPr>
            <w:tcW w:w="1883" w:type="dxa"/>
            <w:tcBorders>
              <w:top w:val="nil"/>
              <w:left w:val="nil"/>
              <w:bottom w:val="nil"/>
              <w:right w:val="nil"/>
            </w:tcBorders>
            <w:shd w:val="clear" w:color="auto" w:fill="auto"/>
            <w:hideMark/>
          </w:tcPr>
          <w:p w14:paraId="779D591C"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Pawari</w:t>
            </w:r>
            <w:proofErr w:type="spellEnd"/>
          </w:p>
        </w:tc>
        <w:tc>
          <w:tcPr>
            <w:tcW w:w="1883" w:type="dxa"/>
            <w:tcBorders>
              <w:top w:val="nil"/>
              <w:left w:val="nil"/>
              <w:bottom w:val="nil"/>
              <w:right w:val="nil"/>
            </w:tcBorders>
            <w:shd w:val="clear" w:color="auto" w:fill="auto"/>
            <w:hideMark/>
          </w:tcPr>
          <w:p w14:paraId="6A706F0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1883" w:type="dxa"/>
            <w:tcBorders>
              <w:top w:val="nil"/>
              <w:left w:val="nil"/>
              <w:bottom w:val="nil"/>
              <w:right w:val="nil"/>
            </w:tcBorders>
            <w:shd w:val="clear" w:color="auto" w:fill="auto"/>
            <w:hideMark/>
          </w:tcPr>
          <w:p w14:paraId="766009B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w:t>
            </w:r>
          </w:p>
        </w:tc>
        <w:tc>
          <w:tcPr>
            <w:tcW w:w="1883" w:type="dxa"/>
            <w:tcBorders>
              <w:top w:val="nil"/>
              <w:left w:val="nil"/>
              <w:bottom w:val="nil"/>
            </w:tcBorders>
            <w:shd w:val="clear" w:color="auto" w:fill="auto"/>
            <w:hideMark/>
          </w:tcPr>
          <w:p w14:paraId="5D62088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w:t>
            </w:r>
          </w:p>
        </w:tc>
      </w:tr>
      <w:tr w:rsidR="00A83CF6" w:rsidRPr="009057A1" w14:paraId="516A23F2" w14:textId="77777777" w:rsidTr="006C4058">
        <w:trPr>
          <w:trHeight w:val="441"/>
        </w:trPr>
        <w:tc>
          <w:tcPr>
            <w:tcW w:w="1883" w:type="dxa"/>
            <w:tcBorders>
              <w:top w:val="nil"/>
              <w:right w:val="nil"/>
            </w:tcBorders>
            <w:shd w:val="clear" w:color="auto" w:fill="auto"/>
            <w:hideMark/>
          </w:tcPr>
          <w:p w14:paraId="0517694D"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1883" w:type="dxa"/>
            <w:tcBorders>
              <w:top w:val="nil"/>
              <w:left w:val="nil"/>
              <w:right w:val="nil"/>
            </w:tcBorders>
            <w:shd w:val="clear" w:color="auto" w:fill="auto"/>
            <w:hideMark/>
          </w:tcPr>
          <w:p w14:paraId="6E2F5ACE"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1883" w:type="dxa"/>
            <w:tcBorders>
              <w:top w:val="nil"/>
              <w:left w:val="nil"/>
              <w:right w:val="nil"/>
            </w:tcBorders>
            <w:shd w:val="clear" w:color="auto" w:fill="auto"/>
            <w:hideMark/>
          </w:tcPr>
          <w:p w14:paraId="29BB74A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w:t>
            </w:r>
          </w:p>
        </w:tc>
        <w:tc>
          <w:tcPr>
            <w:tcW w:w="1883" w:type="dxa"/>
            <w:tcBorders>
              <w:top w:val="nil"/>
              <w:left w:val="nil"/>
              <w:right w:val="nil"/>
            </w:tcBorders>
            <w:shd w:val="clear" w:color="auto" w:fill="auto"/>
            <w:hideMark/>
          </w:tcPr>
          <w:p w14:paraId="17768F5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w:t>
            </w:r>
          </w:p>
        </w:tc>
        <w:tc>
          <w:tcPr>
            <w:tcW w:w="1883" w:type="dxa"/>
            <w:tcBorders>
              <w:top w:val="nil"/>
              <w:left w:val="nil"/>
            </w:tcBorders>
            <w:shd w:val="clear" w:color="auto" w:fill="auto"/>
            <w:hideMark/>
          </w:tcPr>
          <w:p w14:paraId="3A650B2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r>
    </w:tbl>
    <w:p w14:paraId="6FF1E503"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2DEB85B9"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Sabon </w:t>
      </w:r>
      <w:proofErr w:type="spellStart"/>
      <w:r w:rsidRPr="009057A1">
        <w:rPr>
          <w:rFonts w:ascii="Times New Roman" w:hAnsi="Times New Roman"/>
          <w:sz w:val="24"/>
          <w:szCs w:val="24"/>
        </w:rPr>
        <w:t>Pegi</w:t>
      </w:r>
      <w:proofErr w:type="spellEnd"/>
      <w:r w:rsidRPr="009057A1">
        <w:rPr>
          <w:rFonts w:ascii="Times New Roman" w:hAnsi="Times New Roman"/>
          <w:sz w:val="24"/>
          <w:szCs w:val="24"/>
        </w:rPr>
        <w:t xml:space="preserve"> and </w:t>
      </w:r>
      <w:proofErr w:type="spellStart"/>
      <w:r w:rsidRPr="009057A1">
        <w:rPr>
          <w:rFonts w:ascii="Times New Roman" w:hAnsi="Times New Roman"/>
          <w:sz w:val="24"/>
          <w:szCs w:val="24"/>
        </w:rPr>
        <w:t>Nayinawa</w:t>
      </w:r>
      <w:proofErr w:type="spellEnd"/>
      <w:r w:rsidRPr="009057A1">
        <w:rPr>
          <w:rFonts w:ascii="Times New Roman" w:hAnsi="Times New Roman"/>
          <w:sz w:val="24"/>
          <w:szCs w:val="24"/>
        </w:rPr>
        <w:t xml:space="preserve"> had the highest combined impact scores, with flooding being the most dominant hazard. The integrated impact metric offers a more robust indicator of localized risk.</w:t>
      </w:r>
    </w:p>
    <w:p w14:paraId="3F75D7C2"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13 showed the result of </w:t>
      </w:r>
      <w:r w:rsidRPr="009052AD">
        <w:rPr>
          <w:rFonts w:ascii="Times New Roman" w:hAnsi="Times New Roman"/>
          <w:sz w:val="24"/>
          <w:szCs w:val="24"/>
        </w:rPr>
        <w:t>the seasonal patterns of hazards across different wards and months.</w:t>
      </w:r>
    </w:p>
    <w:p w14:paraId="26E3073E" w14:textId="77777777" w:rsidR="00A83CF6" w:rsidRPr="009057A1" w:rsidRDefault="00A83CF6" w:rsidP="00A83CF6">
      <w:pPr>
        <w:keepNext/>
        <w:keepLines/>
        <w:spacing w:after="0"/>
        <w:outlineLvl w:val="0"/>
        <w:rPr>
          <w:rFonts w:ascii="Times New Roman" w:eastAsia="Times New Roman" w:hAnsi="Times New Roman"/>
          <w:bCs/>
          <w:sz w:val="24"/>
          <w:szCs w:val="24"/>
        </w:rPr>
      </w:pPr>
      <w:r w:rsidRPr="009057A1">
        <w:rPr>
          <w:rFonts w:ascii="Times New Roman" w:eastAsia="Times New Roman" w:hAnsi="Times New Roman"/>
          <w:bCs/>
          <w:sz w:val="24"/>
          <w:szCs w:val="24"/>
        </w:rPr>
        <w:t>Table 13: Seasonal patterns of hazards by affected areas and months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85"/>
        <w:gridCol w:w="2250"/>
        <w:gridCol w:w="2250"/>
        <w:gridCol w:w="2385"/>
      </w:tblGrid>
      <w:tr w:rsidR="00A83CF6" w:rsidRPr="009057A1" w14:paraId="5890F416" w14:textId="77777777" w:rsidTr="006C4058">
        <w:trPr>
          <w:jc w:val="center"/>
        </w:trPr>
        <w:tc>
          <w:tcPr>
            <w:tcW w:w="2385" w:type="dxa"/>
            <w:tcBorders>
              <w:bottom w:val="single" w:sz="4" w:space="0" w:color="auto"/>
              <w:right w:val="nil"/>
            </w:tcBorders>
            <w:shd w:val="clear" w:color="auto" w:fill="auto"/>
            <w:vAlign w:val="center"/>
            <w:hideMark/>
          </w:tcPr>
          <w:p w14:paraId="6E99A039"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 Type</w:t>
            </w:r>
          </w:p>
        </w:tc>
        <w:tc>
          <w:tcPr>
            <w:tcW w:w="2250" w:type="dxa"/>
            <w:tcBorders>
              <w:left w:val="nil"/>
              <w:bottom w:val="single" w:sz="4" w:space="0" w:color="auto"/>
              <w:right w:val="nil"/>
            </w:tcBorders>
            <w:shd w:val="clear" w:color="auto" w:fill="auto"/>
            <w:vAlign w:val="center"/>
            <w:hideMark/>
          </w:tcPr>
          <w:p w14:paraId="16A4AE95"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Affected Area(s)</w:t>
            </w:r>
          </w:p>
        </w:tc>
        <w:tc>
          <w:tcPr>
            <w:tcW w:w="2250" w:type="dxa"/>
            <w:tcBorders>
              <w:left w:val="nil"/>
              <w:bottom w:val="single" w:sz="4" w:space="0" w:color="auto"/>
              <w:right w:val="nil"/>
            </w:tcBorders>
            <w:shd w:val="clear" w:color="auto" w:fill="auto"/>
            <w:vAlign w:val="center"/>
            <w:hideMark/>
          </w:tcPr>
          <w:p w14:paraId="46CA57FB"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Peak Season (Months)</w:t>
            </w:r>
          </w:p>
        </w:tc>
        <w:tc>
          <w:tcPr>
            <w:tcW w:w="2385" w:type="dxa"/>
            <w:tcBorders>
              <w:left w:val="nil"/>
              <w:bottom w:val="single" w:sz="4" w:space="0" w:color="auto"/>
            </w:tcBorders>
            <w:shd w:val="clear" w:color="auto" w:fill="auto"/>
            <w:vAlign w:val="center"/>
            <w:hideMark/>
          </w:tcPr>
          <w:p w14:paraId="5B9E0775"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Seasonal Occurrence (Quantified)</w:t>
            </w:r>
          </w:p>
        </w:tc>
      </w:tr>
      <w:tr w:rsidR="00A83CF6" w:rsidRPr="009057A1" w14:paraId="679D94CB" w14:textId="77777777" w:rsidTr="006C4058">
        <w:trPr>
          <w:jc w:val="center"/>
        </w:trPr>
        <w:tc>
          <w:tcPr>
            <w:tcW w:w="2385" w:type="dxa"/>
            <w:tcBorders>
              <w:bottom w:val="nil"/>
              <w:right w:val="nil"/>
            </w:tcBorders>
            <w:shd w:val="clear" w:color="auto" w:fill="auto"/>
            <w:hideMark/>
          </w:tcPr>
          <w:p w14:paraId="4BF0CF0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w:t>
            </w:r>
          </w:p>
        </w:tc>
        <w:tc>
          <w:tcPr>
            <w:tcW w:w="2250" w:type="dxa"/>
            <w:tcBorders>
              <w:left w:val="nil"/>
              <w:bottom w:val="nil"/>
              <w:right w:val="nil"/>
            </w:tcBorders>
            <w:shd w:val="clear" w:color="auto" w:fill="auto"/>
            <w:hideMark/>
          </w:tcPr>
          <w:p w14:paraId="7042192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Nayinawa</w:t>
            </w:r>
            <w:proofErr w:type="spellEnd"/>
          </w:p>
        </w:tc>
        <w:tc>
          <w:tcPr>
            <w:tcW w:w="2250" w:type="dxa"/>
            <w:tcBorders>
              <w:left w:val="nil"/>
              <w:bottom w:val="nil"/>
              <w:right w:val="nil"/>
            </w:tcBorders>
            <w:shd w:val="clear" w:color="auto" w:fill="auto"/>
            <w:hideMark/>
          </w:tcPr>
          <w:p w14:paraId="32CAD09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July – September (Rainy Season)</w:t>
            </w:r>
          </w:p>
        </w:tc>
        <w:tc>
          <w:tcPr>
            <w:tcW w:w="2385" w:type="dxa"/>
            <w:tcBorders>
              <w:left w:val="nil"/>
              <w:bottom w:val="nil"/>
            </w:tcBorders>
            <w:shd w:val="clear" w:color="auto" w:fill="auto"/>
            <w:hideMark/>
          </w:tcPr>
          <w:p w14:paraId="29B032E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 months</w:t>
            </w:r>
          </w:p>
        </w:tc>
      </w:tr>
      <w:tr w:rsidR="00A83CF6" w:rsidRPr="009057A1" w14:paraId="5269998B" w14:textId="77777777" w:rsidTr="006C4058">
        <w:trPr>
          <w:jc w:val="center"/>
        </w:trPr>
        <w:tc>
          <w:tcPr>
            <w:tcW w:w="2385" w:type="dxa"/>
            <w:tcBorders>
              <w:top w:val="nil"/>
              <w:bottom w:val="nil"/>
              <w:right w:val="nil"/>
            </w:tcBorders>
            <w:shd w:val="clear" w:color="auto" w:fill="auto"/>
            <w:hideMark/>
          </w:tcPr>
          <w:p w14:paraId="2362178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2250" w:type="dxa"/>
            <w:tcBorders>
              <w:top w:val="nil"/>
              <w:left w:val="nil"/>
              <w:bottom w:val="nil"/>
              <w:right w:val="nil"/>
            </w:tcBorders>
            <w:shd w:val="clear" w:color="auto" w:fill="auto"/>
            <w:hideMark/>
          </w:tcPr>
          <w:p w14:paraId="052D391D"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2250" w:type="dxa"/>
            <w:tcBorders>
              <w:top w:val="nil"/>
              <w:left w:val="nil"/>
              <w:bottom w:val="nil"/>
              <w:right w:val="nil"/>
            </w:tcBorders>
            <w:shd w:val="clear" w:color="auto" w:fill="auto"/>
            <w:hideMark/>
          </w:tcPr>
          <w:p w14:paraId="32F4C15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March – May</w:t>
            </w:r>
          </w:p>
          <w:p w14:paraId="72A8E13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(Pre-Rain)</w:t>
            </w:r>
          </w:p>
        </w:tc>
        <w:tc>
          <w:tcPr>
            <w:tcW w:w="2385" w:type="dxa"/>
            <w:tcBorders>
              <w:top w:val="nil"/>
              <w:left w:val="nil"/>
              <w:bottom w:val="nil"/>
            </w:tcBorders>
            <w:shd w:val="clear" w:color="auto" w:fill="auto"/>
            <w:hideMark/>
          </w:tcPr>
          <w:p w14:paraId="53D5F6C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 months</w:t>
            </w:r>
          </w:p>
        </w:tc>
      </w:tr>
      <w:tr w:rsidR="00A83CF6" w:rsidRPr="009057A1" w14:paraId="1DB78969" w14:textId="77777777" w:rsidTr="006C4058">
        <w:trPr>
          <w:jc w:val="center"/>
        </w:trPr>
        <w:tc>
          <w:tcPr>
            <w:tcW w:w="2385" w:type="dxa"/>
            <w:tcBorders>
              <w:top w:val="nil"/>
              <w:bottom w:val="nil"/>
              <w:right w:val="nil"/>
            </w:tcBorders>
            <w:shd w:val="clear" w:color="auto" w:fill="auto"/>
            <w:hideMark/>
          </w:tcPr>
          <w:p w14:paraId="3834547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2250" w:type="dxa"/>
            <w:tcBorders>
              <w:top w:val="nil"/>
              <w:left w:val="nil"/>
              <w:bottom w:val="nil"/>
              <w:right w:val="nil"/>
            </w:tcBorders>
            <w:shd w:val="clear" w:color="auto" w:fill="auto"/>
            <w:hideMark/>
          </w:tcPr>
          <w:p w14:paraId="4A9A4E4C" w14:textId="77777777" w:rsidR="00A83CF6" w:rsidRPr="009057A1" w:rsidRDefault="00907EBD" w:rsidP="006C4058">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 </w:t>
            </w:r>
            <w:proofErr w:type="spellStart"/>
            <w:r w:rsidR="00A83CF6" w:rsidRPr="009057A1">
              <w:rPr>
                <w:rFonts w:ascii="Times New Roman" w:eastAsia="Calibri" w:hAnsi="Times New Roman"/>
                <w:sz w:val="24"/>
                <w:szCs w:val="24"/>
              </w:rPr>
              <w:t>Bindigari</w:t>
            </w:r>
            <w:proofErr w:type="spellEnd"/>
          </w:p>
        </w:tc>
        <w:tc>
          <w:tcPr>
            <w:tcW w:w="2250" w:type="dxa"/>
            <w:tcBorders>
              <w:top w:val="nil"/>
              <w:left w:val="nil"/>
              <w:bottom w:val="nil"/>
              <w:right w:val="nil"/>
            </w:tcBorders>
            <w:shd w:val="clear" w:color="auto" w:fill="auto"/>
            <w:hideMark/>
          </w:tcPr>
          <w:p w14:paraId="1CBAA25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November – March (Dry Season)</w:t>
            </w:r>
          </w:p>
        </w:tc>
        <w:tc>
          <w:tcPr>
            <w:tcW w:w="2385" w:type="dxa"/>
            <w:tcBorders>
              <w:top w:val="nil"/>
              <w:left w:val="nil"/>
              <w:bottom w:val="nil"/>
            </w:tcBorders>
            <w:shd w:val="clear" w:color="auto" w:fill="auto"/>
            <w:hideMark/>
          </w:tcPr>
          <w:p w14:paraId="3EF37AB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 months</w:t>
            </w:r>
          </w:p>
        </w:tc>
      </w:tr>
      <w:tr w:rsidR="00A83CF6" w:rsidRPr="009057A1" w14:paraId="466E2E89" w14:textId="77777777" w:rsidTr="006C4058">
        <w:trPr>
          <w:jc w:val="center"/>
        </w:trPr>
        <w:tc>
          <w:tcPr>
            <w:tcW w:w="2385" w:type="dxa"/>
            <w:tcBorders>
              <w:top w:val="nil"/>
              <w:bottom w:val="nil"/>
              <w:right w:val="nil"/>
            </w:tcBorders>
            <w:shd w:val="clear" w:color="auto" w:fill="auto"/>
            <w:hideMark/>
          </w:tcPr>
          <w:p w14:paraId="251F4D3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2250" w:type="dxa"/>
            <w:tcBorders>
              <w:top w:val="nil"/>
              <w:left w:val="nil"/>
              <w:bottom w:val="nil"/>
              <w:right w:val="nil"/>
            </w:tcBorders>
            <w:shd w:val="clear" w:color="auto" w:fill="auto"/>
            <w:hideMark/>
          </w:tcPr>
          <w:p w14:paraId="3CE15F04"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Jerusalem, </w:t>
            </w:r>
            <w:proofErr w:type="spellStart"/>
            <w:r w:rsidRPr="009057A1">
              <w:rPr>
                <w:rFonts w:ascii="Times New Roman" w:eastAsia="Calibri" w:hAnsi="Times New Roman"/>
                <w:sz w:val="24"/>
                <w:szCs w:val="24"/>
              </w:rPr>
              <w:t>Maisandari</w:t>
            </w:r>
            <w:proofErr w:type="spellEnd"/>
          </w:p>
        </w:tc>
        <w:tc>
          <w:tcPr>
            <w:tcW w:w="2250" w:type="dxa"/>
            <w:tcBorders>
              <w:top w:val="nil"/>
              <w:left w:val="nil"/>
              <w:bottom w:val="nil"/>
              <w:right w:val="nil"/>
            </w:tcBorders>
            <w:shd w:val="clear" w:color="auto" w:fill="auto"/>
            <w:hideMark/>
          </w:tcPr>
          <w:p w14:paraId="2D06ECD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December – April (Harmattan)</w:t>
            </w:r>
          </w:p>
        </w:tc>
        <w:tc>
          <w:tcPr>
            <w:tcW w:w="2385" w:type="dxa"/>
            <w:tcBorders>
              <w:top w:val="nil"/>
              <w:left w:val="nil"/>
              <w:bottom w:val="nil"/>
            </w:tcBorders>
            <w:shd w:val="clear" w:color="auto" w:fill="auto"/>
            <w:hideMark/>
          </w:tcPr>
          <w:p w14:paraId="7DB93D3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5 months</w:t>
            </w:r>
          </w:p>
        </w:tc>
      </w:tr>
      <w:tr w:rsidR="00A83CF6" w:rsidRPr="009057A1" w14:paraId="6EED419D" w14:textId="77777777" w:rsidTr="006C4058">
        <w:trPr>
          <w:jc w:val="center"/>
        </w:trPr>
        <w:tc>
          <w:tcPr>
            <w:tcW w:w="2385" w:type="dxa"/>
            <w:tcBorders>
              <w:top w:val="nil"/>
              <w:bottom w:val="nil"/>
              <w:right w:val="nil"/>
            </w:tcBorders>
            <w:shd w:val="clear" w:color="auto" w:fill="auto"/>
            <w:hideMark/>
          </w:tcPr>
          <w:p w14:paraId="0BFC299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Boko Haram/Clashes</w:t>
            </w:r>
          </w:p>
        </w:tc>
        <w:tc>
          <w:tcPr>
            <w:tcW w:w="2250" w:type="dxa"/>
            <w:tcBorders>
              <w:top w:val="nil"/>
              <w:left w:val="nil"/>
              <w:bottom w:val="nil"/>
              <w:right w:val="nil"/>
            </w:tcBorders>
            <w:shd w:val="clear" w:color="auto" w:fill="auto"/>
            <w:hideMark/>
          </w:tcPr>
          <w:p w14:paraId="63D46E4E"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Pawari</w:t>
            </w:r>
            <w:proofErr w:type="spellEnd"/>
          </w:p>
        </w:tc>
        <w:tc>
          <w:tcPr>
            <w:tcW w:w="2250" w:type="dxa"/>
            <w:tcBorders>
              <w:top w:val="nil"/>
              <w:left w:val="nil"/>
              <w:bottom w:val="nil"/>
              <w:right w:val="nil"/>
            </w:tcBorders>
            <w:shd w:val="clear" w:color="auto" w:fill="auto"/>
            <w:hideMark/>
          </w:tcPr>
          <w:p w14:paraId="6798881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May/October (Unpredictable)</w:t>
            </w:r>
          </w:p>
        </w:tc>
        <w:tc>
          <w:tcPr>
            <w:tcW w:w="2385" w:type="dxa"/>
            <w:tcBorders>
              <w:top w:val="nil"/>
              <w:left w:val="nil"/>
              <w:bottom w:val="nil"/>
            </w:tcBorders>
            <w:shd w:val="clear" w:color="auto" w:fill="auto"/>
            <w:hideMark/>
          </w:tcPr>
          <w:p w14:paraId="61AAC24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 months</w:t>
            </w:r>
          </w:p>
        </w:tc>
      </w:tr>
      <w:tr w:rsidR="00A83CF6" w:rsidRPr="009057A1" w14:paraId="4F96CE5A" w14:textId="77777777" w:rsidTr="006C4058">
        <w:trPr>
          <w:jc w:val="center"/>
        </w:trPr>
        <w:tc>
          <w:tcPr>
            <w:tcW w:w="2385" w:type="dxa"/>
            <w:tcBorders>
              <w:top w:val="nil"/>
              <w:right w:val="nil"/>
            </w:tcBorders>
            <w:shd w:val="clear" w:color="auto" w:fill="auto"/>
            <w:hideMark/>
          </w:tcPr>
          <w:p w14:paraId="1EFB19F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2250" w:type="dxa"/>
            <w:tcBorders>
              <w:top w:val="nil"/>
              <w:left w:val="nil"/>
              <w:right w:val="nil"/>
            </w:tcBorders>
            <w:shd w:val="clear" w:color="auto" w:fill="auto"/>
            <w:hideMark/>
          </w:tcPr>
          <w:p w14:paraId="22203BB4"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r w:rsidRPr="009057A1">
              <w:rPr>
                <w:rFonts w:ascii="Times New Roman" w:eastAsia="Calibri" w:hAnsi="Times New Roman"/>
                <w:sz w:val="24"/>
                <w:szCs w:val="24"/>
              </w:rPr>
              <w:t xml:space="preserve">, </w:t>
            </w:r>
            <w:proofErr w:type="spellStart"/>
            <w:r w:rsidRPr="009057A1">
              <w:rPr>
                <w:rFonts w:ascii="Times New Roman" w:eastAsia="Calibri" w:hAnsi="Times New Roman"/>
                <w:sz w:val="24"/>
                <w:szCs w:val="24"/>
              </w:rPr>
              <w:t>Pompomari</w:t>
            </w:r>
            <w:proofErr w:type="spellEnd"/>
          </w:p>
        </w:tc>
        <w:tc>
          <w:tcPr>
            <w:tcW w:w="2250" w:type="dxa"/>
            <w:tcBorders>
              <w:top w:val="nil"/>
              <w:left w:val="nil"/>
              <w:right w:val="nil"/>
            </w:tcBorders>
            <w:shd w:val="clear" w:color="auto" w:fill="auto"/>
            <w:hideMark/>
          </w:tcPr>
          <w:p w14:paraId="499F1E7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August – November (Post-Rain)</w:t>
            </w:r>
          </w:p>
        </w:tc>
        <w:tc>
          <w:tcPr>
            <w:tcW w:w="2385" w:type="dxa"/>
            <w:tcBorders>
              <w:top w:val="nil"/>
              <w:left w:val="nil"/>
            </w:tcBorders>
            <w:shd w:val="clear" w:color="auto" w:fill="auto"/>
            <w:hideMark/>
          </w:tcPr>
          <w:p w14:paraId="786180C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 months</w:t>
            </w:r>
          </w:p>
        </w:tc>
      </w:tr>
    </w:tbl>
    <w:p w14:paraId="67772E08"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622DD2DA"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Drought and fir</w:t>
      </w:r>
      <w:r>
        <w:rPr>
          <w:rFonts w:ascii="Times New Roman" w:hAnsi="Times New Roman"/>
          <w:sz w:val="24"/>
          <w:szCs w:val="24"/>
        </w:rPr>
        <w:t>e outbreaks peak during the dry-h</w:t>
      </w:r>
      <w:r w:rsidRPr="009057A1">
        <w:rPr>
          <w:rFonts w:ascii="Times New Roman" w:hAnsi="Times New Roman"/>
          <w:sz w:val="24"/>
          <w:szCs w:val="24"/>
        </w:rPr>
        <w:t>armattan months, while flooding and epidemics are concentrated in the rainy season. This seasonal distribution is crucial for early-warning and resource allocation.</w:t>
      </w:r>
    </w:p>
    <w:p w14:paraId="12FEEF42" w14:textId="77777777" w:rsidR="00A83CF6" w:rsidRDefault="00A83CF6" w:rsidP="00A83CF6">
      <w:pPr>
        <w:jc w:val="both"/>
        <w:rPr>
          <w:rFonts w:ascii="Times New Roman" w:eastAsia="Calibri"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14 is</w:t>
      </w:r>
      <w:r w:rsidRPr="009052AD">
        <w:rPr>
          <w:rFonts w:ascii="Times New Roman" w:hAnsi="Times New Roman"/>
          <w:sz w:val="24"/>
          <w:szCs w:val="24"/>
        </w:rPr>
        <w:t xml:space="preserve"> </w:t>
      </w:r>
      <w:r>
        <w:rPr>
          <w:rFonts w:ascii="Times New Roman" w:hAnsi="Times New Roman"/>
          <w:sz w:val="24"/>
          <w:szCs w:val="24"/>
        </w:rPr>
        <w:t xml:space="preserve">the result of the </w:t>
      </w:r>
      <w:r w:rsidRPr="009052AD">
        <w:rPr>
          <w:rFonts w:ascii="Times New Roman" w:hAnsi="Times New Roman"/>
          <w:sz w:val="24"/>
          <w:szCs w:val="24"/>
        </w:rPr>
        <w:t>affected areas by combined hazard impact and severity, highlighting hotspots of vulnerability.</w:t>
      </w:r>
      <w:r>
        <w:rPr>
          <w:rFonts w:ascii="Times New Roman" w:hAnsi="Times New Roman"/>
          <w:sz w:val="24"/>
          <w:szCs w:val="24"/>
        </w:rPr>
        <w:t xml:space="preserve"> </w:t>
      </w:r>
    </w:p>
    <w:p w14:paraId="592D6654" w14:textId="77777777" w:rsidR="00A83CF6" w:rsidRPr="009057A1" w:rsidRDefault="00A83CF6" w:rsidP="00A83CF6">
      <w:pPr>
        <w:rPr>
          <w:rFonts w:ascii="Times New Roman" w:eastAsia="Calibri" w:hAnsi="Times New Roman"/>
          <w:sz w:val="24"/>
          <w:szCs w:val="24"/>
        </w:rPr>
      </w:pPr>
      <w:r w:rsidRPr="009057A1">
        <w:rPr>
          <w:rFonts w:ascii="Times New Roman" w:eastAsia="Calibri" w:hAnsi="Times New Roman"/>
          <w:sz w:val="24"/>
          <w:szCs w:val="24"/>
        </w:rPr>
        <w:t xml:space="preserve">Table 14. </w:t>
      </w:r>
      <w:r w:rsidRPr="009057A1">
        <w:rPr>
          <w:rFonts w:ascii="Times New Roman" w:hAnsi="Times New Roman"/>
          <w:sz w:val="24"/>
          <w:szCs w:val="24"/>
        </w:rPr>
        <w:t>Ranking of affected areas by combined impact and severity</w:t>
      </w:r>
    </w:p>
    <w:tbl>
      <w:tblPr>
        <w:tblW w:w="4840" w:type="pct"/>
        <w:tblInd w:w="108" w:type="dxa"/>
        <w:tblLook w:val="0020" w:firstRow="1" w:lastRow="0" w:firstColumn="0" w:lastColumn="0" w:noHBand="0" w:noVBand="0"/>
      </w:tblPr>
      <w:tblGrid>
        <w:gridCol w:w="778"/>
        <w:gridCol w:w="2538"/>
        <w:gridCol w:w="2041"/>
        <w:gridCol w:w="2137"/>
        <w:gridCol w:w="1776"/>
      </w:tblGrid>
      <w:tr w:rsidR="00A83CF6" w:rsidRPr="009057A1" w14:paraId="27CB3880" w14:textId="77777777" w:rsidTr="006C4058">
        <w:trPr>
          <w:trHeight w:val="548"/>
          <w:tblHeader/>
        </w:trPr>
        <w:tc>
          <w:tcPr>
            <w:tcW w:w="778" w:type="dxa"/>
            <w:tcBorders>
              <w:top w:val="single" w:sz="4" w:space="0" w:color="auto"/>
              <w:bottom w:val="single" w:sz="0" w:space="0" w:color="auto"/>
            </w:tcBorders>
            <w:shd w:val="clear" w:color="auto" w:fill="auto"/>
            <w:vAlign w:val="center"/>
          </w:tcPr>
          <w:p w14:paraId="3DBB9CED"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lastRenderedPageBreak/>
              <w:t>Rank</w:t>
            </w:r>
          </w:p>
        </w:tc>
        <w:tc>
          <w:tcPr>
            <w:tcW w:w="2538" w:type="dxa"/>
            <w:tcBorders>
              <w:top w:val="single" w:sz="4" w:space="0" w:color="auto"/>
              <w:bottom w:val="single" w:sz="0" w:space="0" w:color="auto"/>
            </w:tcBorders>
            <w:shd w:val="clear" w:color="auto" w:fill="auto"/>
            <w:vAlign w:val="center"/>
          </w:tcPr>
          <w:p w14:paraId="618005F7"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 xml:space="preserve">Affected </w:t>
            </w:r>
          </w:p>
          <w:p w14:paraId="0771B4B8"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Area</w:t>
            </w:r>
          </w:p>
        </w:tc>
        <w:tc>
          <w:tcPr>
            <w:tcW w:w="2041" w:type="dxa"/>
            <w:tcBorders>
              <w:top w:val="single" w:sz="4" w:space="0" w:color="auto"/>
              <w:bottom w:val="single" w:sz="0" w:space="0" w:color="auto"/>
            </w:tcBorders>
            <w:shd w:val="clear" w:color="auto" w:fill="auto"/>
            <w:vAlign w:val="center"/>
          </w:tcPr>
          <w:p w14:paraId="302E9E1C"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No. of Hazard Types</w:t>
            </w:r>
          </w:p>
        </w:tc>
        <w:tc>
          <w:tcPr>
            <w:tcW w:w="2137" w:type="dxa"/>
            <w:tcBorders>
              <w:top w:val="single" w:sz="4" w:space="0" w:color="auto"/>
              <w:bottom w:val="single" w:sz="0" w:space="0" w:color="auto"/>
            </w:tcBorders>
            <w:shd w:val="clear" w:color="auto" w:fill="auto"/>
            <w:vAlign w:val="center"/>
          </w:tcPr>
          <w:p w14:paraId="0774528B"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Combined Impact Score</w:t>
            </w:r>
          </w:p>
        </w:tc>
        <w:tc>
          <w:tcPr>
            <w:tcW w:w="1776" w:type="dxa"/>
            <w:tcBorders>
              <w:top w:val="single" w:sz="4" w:space="0" w:color="auto"/>
              <w:bottom w:val="single" w:sz="0" w:space="0" w:color="auto"/>
            </w:tcBorders>
            <w:shd w:val="clear" w:color="auto" w:fill="auto"/>
            <w:vAlign w:val="center"/>
          </w:tcPr>
          <w:p w14:paraId="148F6515"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Severity</w:t>
            </w:r>
          </w:p>
          <w:p w14:paraId="5C258E26"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Scale</w:t>
            </w:r>
          </w:p>
        </w:tc>
      </w:tr>
      <w:tr w:rsidR="00A83CF6" w:rsidRPr="009057A1" w14:paraId="34715078" w14:textId="77777777" w:rsidTr="006C4058">
        <w:tc>
          <w:tcPr>
            <w:tcW w:w="778" w:type="dxa"/>
            <w:shd w:val="clear" w:color="auto" w:fill="auto"/>
          </w:tcPr>
          <w:p w14:paraId="3A43412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1</w:t>
            </w:r>
          </w:p>
        </w:tc>
        <w:tc>
          <w:tcPr>
            <w:tcW w:w="2538" w:type="dxa"/>
            <w:shd w:val="clear" w:color="auto" w:fill="auto"/>
          </w:tcPr>
          <w:p w14:paraId="4127F114"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Nayinawa</w:t>
            </w:r>
            <w:proofErr w:type="spellEnd"/>
          </w:p>
        </w:tc>
        <w:tc>
          <w:tcPr>
            <w:tcW w:w="2041" w:type="dxa"/>
            <w:shd w:val="clear" w:color="auto" w:fill="auto"/>
          </w:tcPr>
          <w:p w14:paraId="345859A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137" w:type="dxa"/>
            <w:shd w:val="clear" w:color="auto" w:fill="auto"/>
          </w:tcPr>
          <w:p w14:paraId="3C74C0F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13.5</w:t>
            </w:r>
          </w:p>
        </w:tc>
        <w:tc>
          <w:tcPr>
            <w:tcW w:w="1776" w:type="dxa"/>
            <w:shd w:val="clear" w:color="auto" w:fill="auto"/>
          </w:tcPr>
          <w:p w14:paraId="661AFD3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High</w:t>
            </w:r>
          </w:p>
        </w:tc>
      </w:tr>
      <w:tr w:rsidR="00A83CF6" w:rsidRPr="009057A1" w14:paraId="73CAA0F0" w14:textId="77777777" w:rsidTr="006C4058">
        <w:tc>
          <w:tcPr>
            <w:tcW w:w="778" w:type="dxa"/>
            <w:shd w:val="clear" w:color="auto" w:fill="auto"/>
          </w:tcPr>
          <w:p w14:paraId="7A28E07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2</w:t>
            </w:r>
          </w:p>
        </w:tc>
        <w:tc>
          <w:tcPr>
            <w:tcW w:w="2538" w:type="dxa"/>
            <w:shd w:val="clear" w:color="auto" w:fill="auto"/>
          </w:tcPr>
          <w:p w14:paraId="0D38ED8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 xml:space="preserve">Sabon </w:t>
            </w:r>
            <w:proofErr w:type="spellStart"/>
            <w:r w:rsidRPr="009057A1">
              <w:rPr>
                <w:rFonts w:ascii="Times New Roman" w:eastAsia="Calibri" w:hAnsi="Times New Roman"/>
                <w:sz w:val="24"/>
                <w:szCs w:val="24"/>
              </w:rPr>
              <w:t>Pegi</w:t>
            </w:r>
            <w:proofErr w:type="spellEnd"/>
          </w:p>
        </w:tc>
        <w:tc>
          <w:tcPr>
            <w:tcW w:w="2041" w:type="dxa"/>
            <w:shd w:val="clear" w:color="auto" w:fill="auto"/>
          </w:tcPr>
          <w:p w14:paraId="5BFD573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2108C16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12.5</w:t>
            </w:r>
          </w:p>
        </w:tc>
        <w:tc>
          <w:tcPr>
            <w:tcW w:w="1776" w:type="dxa"/>
            <w:shd w:val="clear" w:color="auto" w:fill="auto"/>
          </w:tcPr>
          <w:p w14:paraId="67EFC0F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High</w:t>
            </w:r>
          </w:p>
        </w:tc>
      </w:tr>
      <w:tr w:rsidR="00A83CF6" w:rsidRPr="009057A1" w14:paraId="78C3A9D2" w14:textId="77777777" w:rsidTr="006C4058">
        <w:tc>
          <w:tcPr>
            <w:tcW w:w="778" w:type="dxa"/>
            <w:shd w:val="clear" w:color="auto" w:fill="auto"/>
          </w:tcPr>
          <w:p w14:paraId="3F8D15E4"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3</w:t>
            </w:r>
          </w:p>
        </w:tc>
        <w:tc>
          <w:tcPr>
            <w:tcW w:w="2538" w:type="dxa"/>
            <w:shd w:val="clear" w:color="auto" w:fill="auto"/>
          </w:tcPr>
          <w:p w14:paraId="228DABAA" w14:textId="77777777" w:rsidR="00A83CF6" w:rsidRPr="009057A1" w:rsidRDefault="00907EBD" w:rsidP="006C4058">
            <w:pPr>
              <w:spacing w:after="0" w:line="240" w:lineRule="auto"/>
              <w:rPr>
                <w:rFonts w:ascii="Times New Roman" w:eastAsia="Calibri" w:hAnsi="Times New Roman"/>
                <w:sz w:val="24"/>
                <w:szCs w:val="24"/>
              </w:rPr>
            </w:pPr>
            <w:proofErr w:type="spellStart"/>
            <w:r>
              <w:rPr>
                <w:rFonts w:ascii="Times New Roman" w:eastAsia="Calibri" w:hAnsi="Times New Roman"/>
                <w:sz w:val="24"/>
                <w:szCs w:val="24"/>
              </w:rPr>
              <w:t>Gashua</w:t>
            </w:r>
            <w:proofErr w:type="spellEnd"/>
            <w:r w:rsidR="00A83CF6" w:rsidRPr="009057A1">
              <w:rPr>
                <w:rFonts w:ascii="Times New Roman" w:eastAsia="Calibri" w:hAnsi="Times New Roman"/>
                <w:sz w:val="24"/>
                <w:szCs w:val="24"/>
              </w:rPr>
              <w:t xml:space="preserve"> Road</w:t>
            </w:r>
          </w:p>
        </w:tc>
        <w:tc>
          <w:tcPr>
            <w:tcW w:w="2041" w:type="dxa"/>
            <w:shd w:val="clear" w:color="auto" w:fill="auto"/>
          </w:tcPr>
          <w:p w14:paraId="2FFF587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71F0F66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6.0</w:t>
            </w:r>
          </w:p>
        </w:tc>
        <w:tc>
          <w:tcPr>
            <w:tcW w:w="1776" w:type="dxa"/>
            <w:shd w:val="clear" w:color="auto" w:fill="auto"/>
          </w:tcPr>
          <w:p w14:paraId="4429202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r>
      <w:tr w:rsidR="00A83CF6" w:rsidRPr="009057A1" w14:paraId="415FE222" w14:textId="77777777" w:rsidTr="006C4058">
        <w:tc>
          <w:tcPr>
            <w:tcW w:w="778" w:type="dxa"/>
            <w:shd w:val="clear" w:color="auto" w:fill="auto"/>
          </w:tcPr>
          <w:p w14:paraId="0556D0D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3</w:t>
            </w:r>
          </w:p>
        </w:tc>
        <w:tc>
          <w:tcPr>
            <w:tcW w:w="2538" w:type="dxa"/>
            <w:shd w:val="clear" w:color="auto" w:fill="auto"/>
          </w:tcPr>
          <w:p w14:paraId="6E963273"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Bindigari</w:t>
            </w:r>
            <w:proofErr w:type="spellEnd"/>
          </w:p>
        </w:tc>
        <w:tc>
          <w:tcPr>
            <w:tcW w:w="2041" w:type="dxa"/>
            <w:shd w:val="clear" w:color="auto" w:fill="auto"/>
          </w:tcPr>
          <w:p w14:paraId="131A530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73EFE0B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6.0</w:t>
            </w:r>
          </w:p>
        </w:tc>
        <w:tc>
          <w:tcPr>
            <w:tcW w:w="1776" w:type="dxa"/>
            <w:shd w:val="clear" w:color="auto" w:fill="auto"/>
          </w:tcPr>
          <w:p w14:paraId="548D075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Moderate</w:t>
            </w:r>
          </w:p>
        </w:tc>
      </w:tr>
      <w:tr w:rsidR="00A83CF6" w:rsidRPr="009057A1" w14:paraId="26453FBC" w14:textId="77777777" w:rsidTr="006C4058">
        <w:tc>
          <w:tcPr>
            <w:tcW w:w="778" w:type="dxa"/>
            <w:shd w:val="clear" w:color="auto" w:fill="auto"/>
          </w:tcPr>
          <w:p w14:paraId="16731569"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14:paraId="58091590"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Pompomari</w:t>
            </w:r>
            <w:proofErr w:type="spellEnd"/>
          </w:p>
        </w:tc>
        <w:tc>
          <w:tcPr>
            <w:tcW w:w="2041" w:type="dxa"/>
            <w:shd w:val="clear" w:color="auto" w:fill="auto"/>
          </w:tcPr>
          <w:p w14:paraId="6F8D2CE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w:t>
            </w:r>
          </w:p>
        </w:tc>
        <w:tc>
          <w:tcPr>
            <w:tcW w:w="2137" w:type="dxa"/>
            <w:shd w:val="clear" w:color="auto" w:fill="auto"/>
          </w:tcPr>
          <w:p w14:paraId="1600498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14:paraId="2410742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14:paraId="00D6A862" w14:textId="77777777" w:rsidTr="006C4058">
        <w:tc>
          <w:tcPr>
            <w:tcW w:w="778" w:type="dxa"/>
            <w:shd w:val="clear" w:color="auto" w:fill="auto"/>
          </w:tcPr>
          <w:p w14:paraId="49AAC5E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14:paraId="3777B22C"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Gwange</w:t>
            </w:r>
            <w:proofErr w:type="spellEnd"/>
          </w:p>
        </w:tc>
        <w:tc>
          <w:tcPr>
            <w:tcW w:w="2041" w:type="dxa"/>
            <w:shd w:val="clear" w:color="auto" w:fill="auto"/>
          </w:tcPr>
          <w:p w14:paraId="05FB07B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0A64E1F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14:paraId="5B3E51D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14:paraId="2DCC4E81" w14:textId="77777777" w:rsidTr="006C4058">
        <w:tc>
          <w:tcPr>
            <w:tcW w:w="778" w:type="dxa"/>
            <w:shd w:val="clear" w:color="auto" w:fill="auto"/>
          </w:tcPr>
          <w:p w14:paraId="4606741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4</w:t>
            </w:r>
          </w:p>
        </w:tc>
        <w:tc>
          <w:tcPr>
            <w:tcW w:w="2538" w:type="dxa"/>
            <w:shd w:val="clear" w:color="auto" w:fill="auto"/>
          </w:tcPr>
          <w:p w14:paraId="009FA06C"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Pawari</w:t>
            </w:r>
            <w:proofErr w:type="spellEnd"/>
          </w:p>
        </w:tc>
        <w:tc>
          <w:tcPr>
            <w:tcW w:w="2041" w:type="dxa"/>
            <w:shd w:val="clear" w:color="auto" w:fill="auto"/>
          </w:tcPr>
          <w:p w14:paraId="06DA11E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76EE578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3.0</w:t>
            </w:r>
          </w:p>
        </w:tc>
        <w:tc>
          <w:tcPr>
            <w:tcW w:w="1776" w:type="dxa"/>
            <w:shd w:val="clear" w:color="auto" w:fill="auto"/>
          </w:tcPr>
          <w:p w14:paraId="30A10F1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Low</w:t>
            </w:r>
          </w:p>
        </w:tc>
      </w:tr>
      <w:tr w:rsidR="00A83CF6" w:rsidRPr="009057A1" w14:paraId="133B6BD4" w14:textId="77777777" w:rsidTr="006C4058">
        <w:tc>
          <w:tcPr>
            <w:tcW w:w="778" w:type="dxa"/>
            <w:shd w:val="clear" w:color="auto" w:fill="auto"/>
          </w:tcPr>
          <w:p w14:paraId="11EC7558"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5</w:t>
            </w:r>
          </w:p>
        </w:tc>
        <w:tc>
          <w:tcPr>
            <w:tcW w:w="2538" w:type="dxa"/>
            <w:shd w:val="clear" w:color="auto" w:fill="auto"/>
          </w:tcPr>
          <w:p w14:paraId="375E7993"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Ajari</w:t>
            </w:r>
            <w:proofErr w:type="spellEnd"/>
          </w:p>
        </w:tc>
        <w:tc>
          <w:tcPr>
            <w:tcW w:w="2041" w:type="dxa"/>
            <w:shd w:val="clear" w:color="auto" w:fill="auto"/>
          </w:tcPr>
          <w:p w14:paraId="3E6AD69E"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23B8398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w:t>
            </w:r>
          </w:p>
        </w:tc>
        <w:tc>
          <w:tcPr>
            <w:tcW w:w="1776" w:type="dxa"/>
            <w:shd w:val="clear" w:color="auto" w:fill="auto"/>
          </w:tcPr>
          <w:p w14:paraId="6D849B0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r w:rsidR="00A83CF6" w:rsidRPr="009057A1" w14:paraId="4459024F" w14:textId="77777777" w:rsidTr="006C4058">
        <w:tc>
          <w:tcPr>
            <w:tcW w:w="778" w:type="dxa"/>
            <w:shd w:val="clear" w:color="auto" w:fill="auto"/>
          </w:tcPr>
          <w:p w14:paraId="69A45E3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6</w:t>
            </w:r>
          </w:p>
        </w:tc>
        <w:tc>
          <w:tcPr>
            <w:tcW w:w="2538" w:type="dxa"/>
            <w:shd w:val="clear" w:color="auto" w:fill="auto"/>
          </w:tcPr>
          <w:p w14:paraId="61C002C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Jerusalem</w:t>
            </w:r>
          </w:p>
        </w:tc>
        <w:tc>
          <w:tcPr>
            <w:tcW w:w="2041" w:type="dxa"/>
            <w:shd w:val="clear" w:color="auto" w:fill="auto"/>
          </w:tcPr>
          <w:p w14:paraId="1E387EF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shd w:val="clear" w:color="auto" w:fill="auto"/>
          </w:tcPr>
          <w:p w14:paraId="786B934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1776" w:type="dxa"/>
            <w:shd w:val="clear" w:color="auto" w:fill="auto"/>
          </w:tcPr>
          <w:p w14:paraId="51FF25C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r w:rsidR="00A83CF6" w:rsidRPr="009057A1" w14:paraId="38649D0D" w14:textId="77777777" w:rsidTr="006C4058">
        <w:tc>
          <w:tcPr>
            <w:tcW w:w="778" w:type="dxa"/>
            <w:tcBorders>
              <w:bottom w:val="single" w:sz="4" w:space="0" w:color="auto"/>
            </w:tcBorders>
            <w:shd w:val="clear" w:color="auto" w:fill="auto"/>
          </w:tcPr>
          <w:p w14:paraId="25BA6153"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6</w:t>
            </w:r>
          </w:p>
        </w:tc>
        <w:tc>
          <w:tcPr>
            <w:tcW w:w="2538" w:type="dxa"/>
            <w:tcBorders>
              <w:bottom w:val="single" w:sz="4" w:space="0" w:color="auto"/>
            </w:tcBorders>
            <w:shd w:val="clear" w:color="auto" w:fill="auto"/>
          </w:tcPr>
          <w:p w14:paraId="7A3471B5" w14:textId="77777777" w:rsidR="00A83CF6" w:rsidRPr="009057A1" w:rsidRDefault="00A83CF6" w:rsidP="006C4058">
            <w:pPr>
              <w:spacing w:after="0" w:line="240" w:lineRule="auto"/>
              <w:rPr>
                <w:rFonts w:ascii="Times New Roman" w:eastAsia="Calibri" w:hAnsi="Times New Roman"/>
                <w:sz w:val="24"/>
                <w:szCs w:val="24"/>
              </w:rPr>
            </w:pPr>
            <w:proofErr w:type="spellStart"/>
            <w:r w:rsidRPr="009057A1">
              <w:rPr>
                <w:rFonts w:ascii="Times New Roman" w:eastAsia="Calibri" w:hAnsi="Times New Roman"/>
                <w:sz w:val="24"/>
                <w:szCs w:val="24"/>
              </w:rPr>
              <w:t>Maisandari</w:t>
            </w:r>
            <w:proofErr w:type="spellEnd"/>
          </w:p>
        </w:tc>
        <w:tc>
          <w:tcPr>
            <w:tcW w:w="2041" w:type="dxa"/>
            <w:tcBorders>
              <w:bottom w:val="single" w:sz="4" w:space="0" w:color="auto"/>
            </w:tcBorders>
            <w:shd w:val="clear" w:color="auto" w:fill="auto"/>
          </w:tcPr>
          <w:p w14:paraId="48FB34A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w:t>
            </w:r>
          </w:p>
        </w:tc>
        <w:tc>
          <w:tcPr>
            <w:tcW w:w="2137" w:type="dxa"/>
            <w:tcBorders>
              <w:bottom w:val="single" w:sz="4" w:space="0" w:color="auto"/>
            </w:tcBorders>
            <w:shd w:val="clear" w:color="auto" w:fill="auto"/>
          </w:tcPr>
          <w:p w14:paraId="6820978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1.5</w:t>
            </w:r>
          </w:p>
        </w:tc>
        <w:tc>
          <w:tcPr>
            <w:tcW w:w="1776" w:type="dxa"/>
            <w:tcBorders>
              <w:bottom w:val="single" w:sz="4" w:space="0" w:color="auto"/>
            </w:tcBorders>
            <w:shd w:val="clear" w:color="auto" w:fill="auto"/>
          </w:tcPr>
          <w:p w14:paraId="456114B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Very Low</w:t>
            </w:r>
          </w:p>
        </w:tc>
      </w:tr>
    </w:tbl>
    <w:p w14:paraId="06E9DD22"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Source: Survey, 2025. </w:t>
      </w:r>
    </w:p>
    <w:p w14:paraId="54D519EC" w14:textId="77777777" w:rsidR="00A83CF6" w:rsidRDefault="00A83CF6" w:rsidP="00A83CF6">
      <w:pPr>
        <w:spacing w:line="240" w:lineRule="auto"/>
        <w:jc w:val="both"/>
        <w:rPr>
          <w:rFonts w:ascii="Times New Roman" w:hAnsi="Times New Roman"/>
          <w:sz w:val="24"/>
          <w:szCs w:val="24"/>
        </w:rPr>
      </w:pPr>
      <w:proofErr w:type="spellStart"/>
      <w:r w:rsidRPr="009057A1">
        <w:rPr>
          <w:rFonts w:ascii="Times New Roman" w:hAnsi="Times New Roman"/>
          <w:sz w:val="24"/>
          <w:szCs w:val="24"/>
        </w:rPr>
        <w:t>Nayinawa</w:t>
      </w:r>
      <w:proofErr w:type="spellEnd"/>
      <w:r w:rsidRPr="009057A1">
        <w:rPr>
          <w:rFonts w:ascii="Times New Roman" w:hAnsi="Times New Roman"/>
          <w:sz w:val="24"/>
          <w:szCs w:val="24"/>
        </w:rPr>
        <w:t xml:space="preserve"> and Sabon </w:t>
      </w:r>
      <w:proofErr w:type="spellStart"/>
      <w:r w:rsidRPr="009057A1">
        <w:rPr>
          <w:rFonts w:ascii="Times New Roman" w:hAnsi="Times New Roman"/>
          <w:sz w:val="24"/>
          <w:szCs w:val="24"/>
        </w:rPr>
        <w:t>Pegi</w:t>
      </w:r>
      <w:proofErr w:type="spellEnd"/>
      <w:r w:rsidRPr="009057A1">
        <w:rPr>
          <w:rFonts w:ascii="Times New Roman" w:hAnsi="Times New Roman"/>
          <w:sz w:val="24"/>
          <w:szCs w:val="24"/>
        </w:rPr>
        <w:t xml:space="preserve"> emerged as the most impacted areas, necessitating targeted mitigation and adaptation planning. Areas like </w:t>
      </w:r>
      <w:proofErr w:type="spellStart"/>
      <w:r w:rsidRPr="009057A1">
        <w:rPr>
          <w:rFonts w:ascii="Times New Roman" w:hAnsi="Times New Roman"/>
          <w:sz w:val="24"/>
          <w:szCs w:val="24"/>
        </w:rPr>
        <w:t>Ajari</w:t>
      </w:r>
      <w:proofErr w:type="spellEnd"/>
      <w:r w:rsidRPr="009057A1">
        <w:rPr>
          <w:rFonts w:ascii="Times New Roman" w:hAnsi="Times New Roman"/>
          <w:sz w:val="24"/>
          <w:szCs w:val="24"/>
        </w:rPr>
        <w:t xml:space="preserve"> and Jerusalem had very low severity but are still at risk due to systemic vulnerabilities. </w:t>
      </w:r>
    </w:p>
    <w:p w14:paraId="0E5051E6" w14:textId="77777777" w:rsidR="006C5FD6" w:rsidRPr="00C06377" w:rsidRDefault="00366606" w:rsidP="00A83CF6">
      <w:pPr>
        <w:spacing w:line="240" w:lineRule="auto"/>
        <w:jc w:val="both"/>
        <w:rPr>
          <w:rFonts w:ascii="Times New Roman" w:hAnsi="Times New Roman"/>
          <w:i/>
          <w:sz w:val="24"/>
          <w:szCs w:val="24"/>
        </w:rPr>
      </w:pPr>
      <w:r>
        <w:rPr>
          <w:rFonts w:ascii="Times New Roman" w:hAnsi="Times New Roman"/>
          <w:i/>
          <w:noProof/>
          <w:sz w:val="24"/>
          <w:szCs w:val="24"/>
          <w:lang w:eastAsia="en-US"/>
        </w:rPr>
        <w:drawing>
          <wp:inline distT="0" distB="0" distL="0" distR="0" wp14:anchorId="1A927CD7" wp14:editId="00CC08E5">
            <wp:extent cx="5949537" cy="3930733"/>
            <wp:effectExtent l="0" t="0" r="0" b="0"/>
            <wp:docPr id="67" name="Picture 67" descr="C:\Users\dell\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26811"/>
                    </a:xfrm>
                    <a:prstGeom prst="rect">
                      <a:avLst/>
                    </a:prstGeom>
                    <a:noFill/>
                    <a:ln>
                      <a:noFill/>
                    </a:ln>
                  </pic:spPr>
                </pic:pic>
              </a:graphicData>
            </a:graphic>
          </wp:inline>
        </w:drawing>
      </w:r>
    </w:p>
    <w:p w14:paraId="3A628BE5" w14:textId="77777777" w:rsidR="006C5FD6" w:rsidRDefault="00320A04" w:rsidP="00A83CF6">
      <w:pPr>
        <w:spacing w:line="240" w:lineRule="auto"/>
        <w:jc w:val="both"/>
        <w:rPr>
          <w:rFonts w:ascii="Times New Roman" w:hAnsi="Times New Roman"/>
          <w:sz w:val="24"/>
          <w:szCs w:val="24"/>
        </w:rPr>
      </w:pPr>
      <w:r w:rsidRPr="00C62A57">
        <w:rPr>
          <w:rFonts w:ascii="Times New Roman" w:hAnsi="Times New Roman"/>
          <w:sz w:val="24"/>
          <w:szCs w:val="24"/>
        </w:rPr>
        <w:t xml:space="preserve">Figure 2. </w:t>
      </w:r>
      <w:r w:rsidR="006C5FD6" w:rsidRPr="00C62A57">
        <w:rPr>
          <w:rFonts w:ascii="Times New Roman" w:hAnsi="Times New Roman"/>
          <w:sz w:val="24"/>
          <w:szCs w:val="24"/>
        </w:rPr>
        <w:t>Map of</w:t>
      </w:r>
      <w:r w:rsidRPr="00C62A57">
        <w:rPr>
          <w:rFonts w:ascii="Times New Roman" w:hAnsi="Times New Roman"/>
          <w:sz w:val="24"/>
          <w:szCs w:val="24"/>
        </w:rPr>
        <w:t xml:space="preserve"> </w:t>
      </w:r>
      <w:proofErr w:type="spellStart"/>
      <w:r w:rsidRPr="00C62A57">
        <w:rPr>
          <w:rFonts w:ascii="Times New Roman" w:hAnsi="Times New Roman"/>
          <w:sz w:val="24"/>
          <w:szCs w:val="24"/>
        </w:rPr>
        <w:t>Damatur</w:t>
      </w:r>
      <w:r w:rsidR="006C5FD6" w:rsidRPr="00C62A57">
        <w:rPr>
          <w:rFonts w:ascii="Times New Roman" w:hAnsi="Times New Roman"/>
          <w:sz w:val="24"/>
          <w:szCs w:val="24"/>
        </w:rPr>
        <w:t>u</w:t>
      </w:r>
      <w:proofErr w:type="spellEnd"/>
      <w:r w:rsidR="006C5FD6" w:rsidRPr="00C62A57">
        <w:rPr>
          <w:rFonts w:ascii="Times New Roman" w:hAnsi="Times New Roman"/>
          <w:sz w:val="24"/>
          <w:szCs w:val="24"/>
        </w:rPr>
        <w:t xml:space="preserve"> </w:t>
      </w:r>
      <w:r w:rsidRPr="00C62A57">
        <w:rPr>
          <w:rFonts w:ascii="Times New Roman" w:hAnsi="Times New Roman"/>
          <w:sz w:val="24"/>
          <w:szCs w:val="24"/>
        </w:rPr>
        <w:t>T</w:t>
      </w:r>
      <w:r w:rsidR="006C5FD6" w:rsidRPr="00C62A57">
        <w:rPr>
          <w:rFonts w:ascii="Times New Roman" w:hAnsi="Times New Roman"/>
          <w:sz w:val="24"/>
          <w:szCs w:val="24"/>
        </w:rPr>
        <w:t xml:space="preserve">own </w:t>
      </w:r>
      <w:r w:rsidRPr="00C62A57">
        <w:rPr>
          <w:rFonts w:ascii="Times New Roman" w:hAnsi="Times New Roman"/>
          <w:sz w:val="24"/>
          <w:szCs w:val="24"/>
        </w:rPr>
        <w:t>S</w:t>
      </w:r>
      <w:r w:rsidR="006C5FD6" w:rsidRPr="00C62A57">
        <w:rPr>
          <w:rFonts w:ascii="Times New Roman" w:hAnsi="Times New Roman"/>
          <w:sz w:val="24"/>
          <w:szCs w:val="24"/>
        </w:rPr>
        <w:t xml:space="preserve">howing </w:t>
      </w:r>
      <w:r w:rsidRPr="00C62A57">
        <w:rPr>
          <w:rFonts w:ascii="Times New Roman" w:hAnsi="Times New Roman"/>
          <w:sz w:val="24"/>
          <w:szCs w:val="24"/>
        </w:rPr>
        <w:t>H</w:t>
      </w:r>
      <w:r w:rsidR="006C5FD6" w:rsidRPr="00C62A57">
        <w:rPr>
          <w:rFonts w:ascii="Times New Roman" w:hAnsi="Times New Roman"/>
          <w:sz w:val="24"/>
          <w:szCs w:val="24"/>
        </w:rPr>
        <w:t xml:space="preserve">azard </w:t>
      </w:r>
      <w:r w:rsidRPr="00C62A57">
        <w:rPr>
          <w:rFonts w:ascii="Times New Roman" w:hAnsi="Times New Roman"/>
          <w:sz w:val="24"/>
          <w:szCs w:val="24"/>
        </w:rPr>
        <w:t>C</w:t>
      </w:r>
      <w:r w:rsidR="006C5FD6" w:rsidRPr="00C62A57">
        <w:rPr>
          <w:rFonts w:ascii="Times New Roman" w:hAnsi="Times New Roman"/>
          <w:sz w:val="24"/>
          <w:szCs w:val="24"/>
        </w:rPr>
        <w:t xml:space="preserve">ombined </w:t>
      </w:r>
      <w:r w:rsidRPr="00C62A57">
        <w:rPr>
          <w:rFonts w:ascii="Times New Roman" w:hAnsi="Times New Roman"/>
          <w:sz w:val="24"/>
          <w:szCs w:val="24"/>
        </w:rPr>
        <w:t>Impact and S</w:t>
      </w:r>
      <w:r w:rsidR="006C5FD6" w:rsidRPr="00C62A57">
        <w:rPr>
          <w:rFonts w:ascii="Times New Roman" w:hAnsi="Times New Roman"/>
          <w:sz w:val="24"/>
          <w:szCs w:val="24"/>
        </w:rPr>
        <w:t>everity</w:t>
      </w:r>
    </w:p>
    <w:p w14:paraId="719D9187" w14:textId="77777777" w:rsidR="00725BF6" w:rsidRPr="00C62A57" w:rsidRDefault="00725BF6" w:rsidP="00A83CF6">
      <w:pPr>
        <w:spacing w:line="240" w:lineRule="auto"/>
        <w:jc w:val="both"/>
        <w:rPr>
          <w:rFonts w:ascii="Times New Roman" w:hAnsi="Times New Roman"/>
          <w:sz w:val="24"/>
          <w:szCs w:val="24"/>
        </w:rPr>
      </w:pPr>
      <w:r w:rsidRPr="00EA574E">
        <w:rPr>
          <w:rFonts w:ascii="Times New Roman" w:hAnsi="Times New Roman"/>
          <w:sz w:val="24"/>
          <w:szCs w:val="24"/>
        </w:rPr>
        <w:t xml:space="preserve">Figure 2 illustrates the spatial distribution of hazard combined impact and severity across </w:t>
      </w:r>
      <w:proofErr w:type="spellStart"/>
      <w:r w:rsidRPr="00EA574E">
        <w:rPr>
          <w:rFonts w:ascii="Times New Roman" w:hAnsi="Times New Roman"/>
          <w:sz w:val="24"/>
          <w:szCs w:val="24"/>
        </w:rPr>
        <w:t>Damaturu</w:t>
      </w:r>
      <w:proofErr w:type="spellEnd"/>
      <w:r w:rsidRPr="00EA574E">
        <w:rPr>
          <w:rFonts w:ascii="Times New Roman" w:hAnsi="Times New Roman"/>
          <w:sz w:val="24"/>
          <w:szCs w:val="24"/>
        </w:rPr>
        <w:t xml:space="preserve"> town. The map reveals distinct variations in hazard intensity, with high-severity zones concentrated in the central and low-lying areas, where population density and infrastructure exposure are greatest. Moderate impact zones extend towards the peri-urban fringe, reflecting </w:t>
      </w:r>
      <w:r w:rsidRPr="00EA574E">
        <w:rPr>
          <w:rFonts w:ascii="Times New Roman" w:hAnsi="Times New Roman"/>
          <w:sz w:val="24"/>
          <w:szCs w:val="24"/>
        </w:rPr>
        <w:lastRenderedPageBreak/>
        <w:t>transitional areas of settlement and land use. Low-severity zones are mainly located on the outskirts of the town, particularly in areas with higher elevation and reduced human activities. Overall, the pattern highlights the spatial clustering of hazards in vulnerable urban zones, underscoring areas where risk management and mitigation measures are most urgently required.</w:t>
      </w:r>
    </w:p>
    <w:p w14:paraId="44E4D0DE"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15 is the result of </w:t>
      </w:r>
      <w:r w:rsidRPr="009052AD">
        <w:rPr>
          <w:rFonts w:ascii="Times New Roman" w:hAnsi="Times New Roman"/>
          <w:sz w:val="24"/>
          <w:szCs w:val="24"/>
        </w:rPr>
        <w:t>hazard occurrence probabilities using Bayesian hierarchical hazard modeling, thereby strengthening predictive analysis.</w:t>
      </w:r>
      <w:r>
        <w:rPr>
          <w:rFonts w:ascii="Times New Roman" w:hAnsi="Times New Roman"/>
          <w:sz w:val="24"/>
          <w:szCs w:val="24"/>
        </w:rPr>
        <w:t xml:space="preserve"> </w:t>
      </w:r>
    </w:p>
    <w:p w14:paraId="192DB2FC"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Table 15. Hazard frequency and </w:t>
      </w:r>
      <w:r>
        <w:rPr>
          <w:rFonts w:ascii="Times New Roman" w:hAnsi="Times New Roman"/>
          <w:sz w:val="24"/>
          <w:szCs w:val="24"/>
        </w:rPr>
        <w:t>B</w:t>
      </w:r>
      <w:r w:rsidRPr="009057A1">
        <w:rPr>
          <w:rFonts w:ascii="Times New Roman" w:hAnsi="Times New Roman"/>
          <w:sz w:val="24"/>
          <w:szCs w:val="24"/>
        </w:rPr>
        <w:t>ayesian predicted probability</w:t>
      </w:r>
    </w:p>
    <w:tbl>
      <w:tblPr>
        <w:tblW w:w="927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00"/>
        <w:gridCol w:w="3240"/>
        <w:gridCol w:w="4230"/>
      </w:tblGrid>
      <w:tr w:rsidR="00A83CF6" w:rsidRPr="009057A1" w14:paraId="63A687E3" w14:textId="77777777" w:rsidTr="006C4058">
        <w:trPr>
          <w:trHeight w:val="519"/>
        </w:trPr>
        <w:tc>
          <w:tcPr>
            <w:tcW w:w="1800" w:type="dxa"/>
            <w:tcBorders>
              <w:bottom w:val="single" w:sz="4" w:space="0" w:color="auto"/>
              <w:right w:val="nil"/>
            </w:tcBorders>
            <w:shd w:val="clear" w:color="auto" w:fill="auto"/>
            <w:vAlign w:val="center"/>
          </w:tcPr>
          <w:p w14:paraId="09383B53"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Hazard</w:t>
            </w:r>
          </w:p>
        </w:tc>
        <w:tc>
          <w:tcPr>
            <w:tcW w:w="3240" w:type="dxa"/>
            <w:tcBorders>
              <w:left w:val="nil"/>
              <w:bottom w:val="single" w:sz="4" w:space="0" w:color="auto"/>
              <w:right w:val="nil"/>
            </w:tcBorders>
            <w:shd w:val="clear" w:color="auto" w:fill="auto"/>
            <w:vAlign w:val="center"/>
          </w:tcPr>
          <w:p w14:paraId="4D48A775"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Observed Frequency</w:t>
            </w:r>
          </w:p>
        </w:tc>
        <w:tc>
          <w:tcPr>
            <w:tcW w:w="4230" w:type="dxa"/>
            <w:tcBorders>
              <w:left w:val="nil"/>
              <w:bottom w:val="single" w:sz="4" w:space="0" w:color="auto"/>
            </w:tcBorders>
            <w:shd w:val="clear" w:color="auto" w:fill="auto"/>
            <w:vAlign w:val="center"/>
          </w:tcPr>
          <w:p w14:paraId="774D1834"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BHHM Probability (mean ± 95% CI)</w:t>
            </w:r>
          </w:p>
        </w:tc>
      </w:tr>
      <w:tr w:rsidR="00A83CF6" w:rsidRPr="009057A1" w14:paraId="5486251C" w14:textId="77777777" w:rsidTr="006C4058">
        <w:trPr>
          <w:trHeight w:val="337"/>
        </w:trPr>
        <w:tc>
          <w:tcPr>
            <w:tcW w:w="1800" w:type="dxa"/>
            <w:tcBorders>
              <w:bottom w:val="nil"/>
              <w:right w:val="nil"/>
            </w:tcBorders>
            <w:shd w:val="clear" w:color="auto" w:fill="auto"/>
            <w:vAlign w:val="center"/>
          </w:tcPr>
          <w:p w14:paraId="06B7F93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Flooding</w:t>
            </w:r>
          </w:p>
        </w:tc>
        <w:tc>
          <w:tcPr>
            <w:tcW w:w="3240" w:type="dxa"/>
            <w:tcBorders>
              <w:left w:val="nil"/>
              <w:bottom w:val="nil"/>
              <w:right w:val="nil"/>
            </w:tcBorders>
            <w:shd w:val="clear" w:color="auto" w:fill="auto"/>
            <w:vAlign w:val="center"/>
          </w:tcPr>
          <w:p w14:paraId="5ADF8B9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High</w:t>
            </w:r>
            <w:r w:rsidRPr="009057A1">
              <w:rPr>
                <w:rFonts w:ascii="Times New Roman" w:eastAsia="Calibri" w:hAnsi="Times New Roman"/>
                <w:sz w:val="24"/>
                <w:szCs w:val="24"/>
              </w:rPr>
              <w:t xml:space="preserve"> (multiple/year)</w:t>
            </w:r>
          </w:p>
        </w:tc>
        <w:tc>
          <w:tcPr>
            <w:tcW w:w="4230" w:type="dxa"/>
            <w:tcBorders>
              <w:left w:val="nil"/>
              <w:bottom w:val="nil"/>
            </w:tcBorders>
            <w:shd w:val="clear" w:color="auto" w:fill="auto"/>
            <w:vAlign w:val="center"/>
          </w:tcPr>
          <w:p w14:paraId="4CFB01F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0.30</w:t>
            </w:r>
            <w:r w:rsidRPr="009057A1">
              <w:rPr>
                <w:rFonts w:ascii="Times New Roman" w:eastAsia="Calibri" w:hAnsi="Times New Roman"/>
                <w:sz w:val="24"/>
                <w:szCs w:val="24"/>
              </w:rPr>
              <w:t xml:space="preserve"> (0.25–0.35)</w:t>
            </w:r>
          </w:p>
        </w:tc>
      </w:tr>
      <w:tr w:rsidR="00A83CF6" w:rsidRPr="009057A1" w14:paraId="76009693" w14:textId="77777777" w:rsidTr="006C4058">
        <w:trPr>
          <w:trHeight w:val="361"/>
        </w:trPr>
        <w:tc>
          <w:tcPr>
            <w:tcW w:w="1800" w:type="dxa"/>
            <w:tcBorders>
              <w:top w:val="nil"/>
              <w:bottom w:val="nil"/>
              <w:right w:val="nil"/>
            </w:tcBorders>
            <w:shd w:val="clear" w:color="auto" w:fill="auto"/>
            <w:vAlign w:val="center"/>
          </w:tcPr>
          <w:p w14:paraId="394A839B"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Windstorm</w:t>
            </w:r>
          </w:p>
        </w:tc>
        <w:tc>
          <w:tcPr>
            <w:tcW w:w="3240" w:type="dxa"/>
            <w:tcBorders>
              <w:top w:val="nil"/>
              <w:left w:val="nil"/>
              <w:bottom w:val="nil"/>
              <w:right w:val="nil"/>
            </w:tcBorders>
            <w:shd w:val="clear" w:color="auto" w:fill="auto"/>
            <w:vAlign w:val="center"/>
          </w:tcPr>
          <w:p w14:paraId="7AA7A26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Moderate </w:t>
            </w:r>
            <w:r w:rsidRPr="009057A1">
              <w:rPr>
                <w:rFonts w:ascii="Times New Roman" w:eastAsia="Calibri" w:hAnsi="Times New Roman"/>
                <w:sz w:val="24"/>
                <w:szCs w:val="24"/>
              </w:rPr>
              <w:t>(~1/year)</w:t>
            </w:r>
          </w:p>
        </w:tc>
        <w:tc>
          <w:tcPr>
            <w:tcW w:w="4230" w:type="dxa"/>
            <w:tcBorders>
              <w:top w:val="nil"/>
              <w:left w:val="nil"/>
              <w:bottom w:val="nil"/>
            </w:tcBorders>
            <w:shd w:val="clear" w:color="auto" w:fill="auto"/>
            <w:vAlign w:val="center"/>
          </w:tcPr>
          <w:p w14:paraId="0C0D519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0.08</w:t>
            </w:r>
            <w:r w:rsidRPr="009057A1">
              <w:rPr>
                <w:rFonts w:ascii="Times New Roman" w:eastAsia="Calibri" w:hAnsi="Times New Roman"/>
                <w:sz w:val="24"/>
                <w:szCs w:val="24"/>
              </w:rPr>
              <w:t xml:space="preserve"> (0.05–0.12)</w:t>
            </w:r>
          </w:p>
        </w:tc>
      </w:tr>
      <w:tr w:rsidR="00A83CF6" w:rsidRPr="009057A1" w14:paraId="5A24A441" w14:textId="77777777" w:rsidTr="006C4058">
        <w:trPr>
          <w:trHeight w:val="337"/>
        </w:trPr>
        <w:tc>
          <w:tcPr>
            <w:tcW w:w="1800" w:type="dxa"/>
            <w:tcBorders>
              <w:top w:val="nil"/>
              <w:bottom w:val="nil"/>
              <w:right w:val="nil"/>
            </w:tcBorders>
            <w:shd w:val="clear" w:color="auto" w:fill="auto"/>
            <w:vAlign w:val="center"/>
          </w:tcPr>
          <w:p w14:paraId="0F9D7B7E"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Drought</w:t>
            </w:r>
          </w:p>
        </w:tc>
        <w:tc>
          <w:tcPr>
            <w:tcW w:w="3240" w:type="dxa"/>
            <w:tcBorders>
              <w:top w:val="nil"/>
              <w:left w:val="nil"/>
              <w:bottom w:val="nil"/>
              <w:right w:val="nil"/>
            </w:tcBorders>
            <w:shd w:val="clear" w:color="auto" w:fill="auto"/>
            <w:vAlign w:val="center"/>
          </w:tcPr>
          <w:p w14:paraId="27974E7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Recurrent </w:t>
            </w:r>
            <w:r w:rsidRPr="009057A1">
              <w:rPr>
                <w:rFonts w:ascii="Times New Roman" w:eastAsia="Calibri" w:hAnsi="Times New Roman"/>
                <w:sz w:val="24"/>
                <w:szCs w:val="24"/>
              </w:rPr>
              <w:t>(annual)</w:t>
            </w:r>
          </w:p>
        </w:tc>
        <w:tc>
          <w:tcPr>
            <w:tcW w:w="4230" w:type="dxa"/>
            <w:tcBorders>
              <w:top w:val="nil"/>
              <w:left w:val="nil"/>
              <w:bottom w:val="nil"/>
            </w:tcBorders>
            <w:shd w:val="clear" w:color="auto" w:fill="auto"/>
            <w:vAlign w:val="center"/>
          </w:tcPr>
          <w:p w14:paraId="72A90B5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0.25</w:t>
            </w:r>
            <w:r w:rsidRPr="009057A1">
              <w:rPr>
                <w:rFonts w:ascii="Times New Roman" w:eastAsia="Calibri" w:hAnsi="Times New Roman"/>
                <w:sz w:val="24"/>
                <w:szCs w:val="24"/>
              </w:rPr>
              <w:t xml:space="preserve"> (0.20–0.30)</w:t>
            </w:r>
          </w:p>
        </w:tc>
      </w:tr>
      <w:tr w:rsidR="00A83CF6" w:rsidRPr="009057A1" w14:paraId="4C9F17C7" w14:textId="77777777" w:rsidTr="006C4058">
        <w:trPr>
          <w:trHeight w:val="337"/>
        </w:trPr>
        <w:tc>
          <w:tcPr>
            <w:tcW w:w="1800" w:type="dxa"/>
            <w:tcBorders>
              <w:top w:val="nil"/>
              <w:bottom w:val="nil"/>
              <w:right w:val="nil"/>
            </w:tcBorders>
            <w:shd w:val="clear" w:color="auto" w:fill="auto"/>
            <w:vAlign w:val="center"/>
          </w:tcPr>
          <w:p w14:paraId="4ABE2C8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Fire Outbreak</w:t>
            </w:r>
          </w:p>
        </w:tc>
        <w:tc>
          <w:tcPr>
            <w:tcW w:w="3240" w:type="dxa"/>
            <w:tcBorders>
              <w:top w:val="nil"/>
              <w:left w:val="nil"/>
              <w:bottom w:val="nil"/>
              <w:right w:val="nil"/>
            </w:tcBorders>
            <w:shd w:val="clear" w:color="auto" w:fill="auto"/>
            <w:vAlign w:val="center"/>
          </w:tcPr>
          <w:p w14:paraId="7CBE110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Moderate </w:t>
            </w:r>
            <w:r w:rsidRPr="009057A1">
              <w:rPr>
                <w:rFonts w:ascii="Times New Roman" w:eastAsia="Calibri" w:hAnsi="Times New Roman"/>
                <w:sz w:val="24"/>
                <w:szCs w:val="24"/>
              </w:rPr>
              <w:t>(~1/year)</w:t>
            </w:r>
          </w:p>
        </w:tc>
        <w:tc>
          <w:tcPr>
            <w:tcW w:w="4230" w:type="dxa"/>
            <w:tcBorders>
              <w:top w:val="nil"/>
              <w:left w:val="nil"/>
              <w:bottom w:val="nil"/>
            </w:tcBorders>
            <w:shd w:val="clear" w:color="auto" w:fill="auto"/>
            <w:vAlign w:val="center"/>
          </w:tcPr>
          <w:p w14:paraId="229F196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0.10</w:t>
            </w:r>
            <w:r w:rsidRPr="009057A1">
              <w:rPr>
                <w:rFonts w:ascii="Times New Roman" w:eastAsia="Calibri" w:hAnsi="Times New Roman"/>
                <w:sz w:val="24"/>
                <w:szCs w:val="24"/>
              </w:rPr>
              <w:t xml:space="preserve"> (0.07–0.14)</w:t>
            </w:r>
          </w:p>
        </w:tc>
      </w:tr>
      <w:tr w:rsidR="00A83CF6" w:rsidRPr="009057A1" w14:paraId="1A6ED637" w14:textId="77777777" w:rsidTr="006C4058">
        <w:trPr>
          <w:trHeight w:val="361"/>
        </w:trPr>
        <w:tc>
          <w:tcPr>
            <w:tcW w:w="1800" w:type="dxa"/>
            <w:tcBorders>
              <w:top w:val="nil"/>
              <w:bottom w:val="nil"/>
              <w:right w:val="nil"/>
            </w:tcBorders>
            <w:shd w:val="clear" w:color="auto" w:fill="auto"/>
            <w:vAlign w:val="center"/>
          </w:tcPr>
          <w:p w14:paraId="0E601B71"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Clashes</w:t>
            </w:r>
          </w:p>
        </w:tc>
        <w:tc>
          <w:tcPr>
            <w:tcW w:w="3240" w:type="dxa"/>
            <w:tcBorders>
              <w:top w:val="nil"/>
              <w:left w:val="nil"/>
              <w:bottom w:val="nil"/>
              <w:right w:val="nil"/>
            </w:tcBorders>
            <w:shd w:val="clear" w:color="auto" w:fill="auto"/>
            <w:vAlign w:val="center"/>
          </w:tcPr>
          <w:p w14:paraId="180971F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Occasional </w:t>
            </w:r>
            <w:r w:rsidRPr="009057A1">
              <w:rPr>
                <w:rFonts w:ascii="Times New Roman" w:eastAsia="Calibri" w:hAnsi="Times New Roman"/>
                <w:sz w:val="24"/>
                <w:szCs w:val="24"/>
              </w:rPr>
              <w:t>(sporadic)</w:t>
            </w:r>
          </w:p>
        </w:tc>
        <w:tc>
          <w:tcPr>
            <w:tcW w:w="4230" w:type="dxa"/>
            <w:tcBorders>
              <w:top w:val="nil"/>
              <w:left w:val="nil"/>
              <w:bottom w:val="nil"/>
            </w:tcBorders>
            <w:shd w:val="clear" w:color="auto" w:fill="auto"/>
            <w:vAlign w:val="center"/>
          </w:tcPr>
          <w:p w14:paraId="3D6658F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0.12</w:t>
            </w:r>
            <w:r w:rsidRPr="009057A1">
              <w:rPr>
                <w:rFonts w:ascii="Times New Roman" w:eastAsia="Calibri" w:hAnsi="Times New Roman"/>
                <w:sz w:val="24"/>
                <w:szCs w:val="24"/>
              </w:rPr>
              <w:t xml:space="preserve"> (0.08–0.16)</w:t>
            </w:r>
          </w:p>
        </w:tc>
      </w:tr>
      <w:tr w:rsidR="00A83CF6" w:rsidRPr="009057A1" w14:paraId="229C4F5C" w14:textId="77777777" w:rsidTr="006C4058">
        <w:trPr>
          <w:trHeight w:val="337"/>
        </w:trPr>
        <w:tc>
          <w:tcPr>
            <w:tcW w:w="1800" w:type="dxa"/>
            <w:tcBorders>
              <w:top w:val="nil"/>
              <w:right w:val="nil"/>
            </w:tcBorders>
            <w:shd w:val="clear" w:color="auto" w:fill="auto"/>
            <w:vAlign w:val="center"/>
          </w:tcPr>
          <w:p w14:paraId="291CCC7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Epidemics</w:t>
            </w:r>
          </w:p>
        </w:tc>
        <w:tc>
          <w:tcPr>
            <w:tcW w:w="3240" w:type="dxa"/>
            <w:tcBorders>
              <w:top w:val="nil"/>
              <w:left w:val="nil"/>
              <w:right w:val="nil"/>
            </w:tcBorders>
            <w:shd w:val="clear" w:color="auto" w:fill="auto"/>
            <w:vAlign w:val="center"/>
          </w:tcPr>
          <w:p w14:paraId="50DC5B2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 xml:space="preserve">Rare </w:t>
            </w:r>
            <w:r w:rsidRPr="009057A1">
              <w:rPr>
                <w:rFonts w:ascii="Times New Roman" w:eastAsia="Calibri" w:hAnsi="Times New Roman"/>
                <w:sz w:val="24"/>
                <w:szCs w:val="24"/>
              </w:rPr>
              <w:t>(decadal)</w:t>
            </w:r>
          </w:p>
        </w:tc>
        <w:tc>
          <w:tcPr>
            <w:tcW w:w="4230" w:type="dxa"/>
            <w:tcBorders>
              <w:top w:val="nil"/>
              <w:left w:val="nil"/>
            </w:tcBorders>
            <w:shd w:val="clear" w:color="auto" w:fill="auto"/>
            <w:vAlign w:val="center"/>
          </w:tcPr>
          <w:p w14:paraId="30A0C46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b/>
                <w:sz w:val="24"/>
                <w:szCs w:val="24"/>
              </w:rPr>
              <w:t>0.05</w:t>
            </w:r>
            <w:r w:rsidRPr="009057A1">
              <w:rPr>
                <w:rFonts w:ascii="Times New Roman" w:eastAsia="Calibri" w:hAnsi="Times New Roman"/>
                <w:sz w:val="24"/>
                <w:szCs w:val="24"/>
              </w:rPr>
              <w:t xml:space="preserve"> (0.02–0.09)</w:t>
            </w:r>
          </w:p>
        </w:tc>
      </w:tr>
    </w:tbl>
    <w:p w14:paraId="619D3404" w14:textId="77777777" w:rsidR="00A83CF6" w:rsidRPr="009057A1" w:rsidRDefault="00A83CF6" w:rsidP="00A83CF6">
      <w:pPr>
        <w:spacing w:before="240" w:line="240" w:lineRule="auto"/>
        <w:jc w:val="both"/>
        <w:rPr>
          <w:rFonts w:ascii="Times New Roman" w:hAnsi="Times New Roman"/>
          <w:sz w:val="24"/>
          <w:szCs w:val="24"/>
        </w:rPr>
      </w:pPr>
      <w:r w:rsidRPr="009057A1">
        <w:rPr>
          <w:rFonts w:ascii="Times New Roman" w:hAnsi="Times New Roman"/>
          <w:sz w:val="24"/>
          <w:szCs w:val="24"/>
        </w:rPr>
        <w:t>Flooding showed the highest predicted probability (0.30), while epidemics had the lowest (0.05). The BHHM approach provides a probabilistic framework for prioritizing interventions under uncertainty.</w:t>
      </w:r>
    </w:p>
    <w:p w14:paraId="66E1751D" w14:textId="77777777" w:rsidR="00A83CF6" w:rsidRPr="009057A1" w:rsidRDefault="00A83CF6" w:rsidP="00A83CF6">
      <w:pPr>
        <w:spacing w:line="240" w:lineRule="auto"/>
        <w:jc w:val="both"/>
        <w:rPr>
          <w:rFonts w:ascii="Times New Roman" w:hAnsi="Times New Roman"/>
          <w:b/>
          <w:sz w:val="24"/>
          <w:szCs w:val="24"/>
        </w:rPr>
      </w:pPr>
      <w:r w:rsidRPr="009057A1">
        <w:rPr>
          <w:rFonts w:ascii="Times New Roman" w:hAnsi="Times New Roman"/>
          <w:b/>
          <w:sz w:val="24"/>
          <w:szCs w:val="24"/>
        </w:rPr>
        <w:t>3.5 Bayesian and Spatial Models</w:t>
      </w:r>
    </w:p>
    <w:p w14:paraId="7256B672" w14:textId="77777777" w:rsidR="00A83CF6" w:rsidRPr="009052AD"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This section applies advanced statistical approaches, including logistic regression, Bayesian inference, and spatially explicit models, to refine hazard impact prediction. These models account for both temporal frequency and spatial clustering, producing robust estimates of risk drivers. The integration of Bayesian spatial analysis highlights localized hazard hotspots, thereby improving the precision of vulnerability assessments and informing place-based resilience strategies.</w:t>
      </w:r>
    </w:p>
    <w:p w14:paraId="03A21640" w14:textId="77777777" w:rsidR="00A83CF6" w:rsidRDefault="00A83CF6" w:rsidP="00A83CF6">
      <w:pPr>
        <w:spacing w:line="240" w:lineRule="auto"/>
        <w:jc w:val="center"/>
        <w:rPr>
          <w:rFonts w:ascii="Times New Roman" w:hAnsi="Times New Roman"/>
          <w:sz w:val="24"/>
          <w:szCs w:val="24"/>
        </w:rPr>
      </w:pPr>
      <w:r w:rsidRPr="00EC39F6">
        <w:rPr>
          <w:rFonts w:ascii="Times New Roman" w:hAnsi="Times New Roman"/>
          <w:noProof/>
          <w:lang w:eastAsia="en-US"/>
        </w:rPr>
        <w:lastRenderedPageBreak/>
        <w:drawing>
          <wp:inline distT="0" distB="0" distL="0" distR="0" wp14:anchorId="2E7DE2EE" wp14:editId="2E777E9C">
            <wp:extent cx="5913912" cy="2838202"/>
            <wp:effectExtent l="0" t="0" r="10795"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3C38D6"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Figure </w:t>
      </w:r>
      <w:r w:rsidR="00C46AC3">
        <w:rPr>
          <w:rFonts w:ascii="Times New Roman" w:hAnsi="Times New Roman"/>
          <w:sz w:val="24"/>
          <w:szCs w:val="24"/>
        </w:rPr>
        <w:t>3.</w:t>
      </w:r>
      <w:r w:rsidRPr="009057A1">
        <w:rPr>
          <w:rFonts w:ascii="Times New Roman" w:hAnsi="Times New Roman"/>
          <w:sz w:val="24"/>
          <w:szCs w:val="24"/>
        </w:rPr>
        <w:t xml:space="preserve"> </w:t>
      </w:r>
      <w:r>
        <w:rPr>
          <w:rFonts w:ascii="Times New Roman" w:hAnsi="Times New Roman"/>
          <w:sz w:val="24"/>
          <w:szCs w:val="24"/>
        </w:rPr>
        <w:t xml:space="preserve">Average </w:t>
      </w:r>
      <w:r w:rsidR="00C46AC3">
        <w:rPr>
          <w:rFonts w:ascii="Times New Roman" w:hAnsi="Times New Roman"/>
          <w:sz w:val="24"/>
          <w:szCs w:val="24"/>
        </w:rPr>
        <w:t>M</w:t>
      </w:r>
      <w:r w:rsidRPr="009057A1">
        <w:rPr>
          <w:rFonts w:ascii="Times New Roman" w:hAnsi="Times New Roman"/>
          <w:sz w:val="24"/>
          <w:szCs w:val="24"/>
        </w:rPr>
        <w:t xml:space="preserve">onthly </w:t>
      </w:r>
      <w:r w:rsidR="00C46AC3">
        <w:rPr>
          <w:rFonts w:ascii="Times New Roman" w:hAnsi="Times New Roman"/>
          <w:sz w:val="24"/>
          <w:szCs w:val="24"/>
        </w:rPr>
        <w:t>O</w:t>
      </w:r>
      <w:r w:rsidRPr="009057A1">
        <w:rPr>
          <w:rFonts w:ascii="Times New Roman" w:hAnsi="Times New Roman"/>
          <w:sz w:val="24"/>
          <w:szCs w:val="24"/>
        </w:rPr>
        <w:t xml:space="preserve">ccurrence of </w:t>
      </w:r>
      <w:r w:rsidR="00C46AC3">
        <w:rPr>
          <w:rFonts w:ascii="Times New Roman" w:hAnsi="Times New Roman"/>
          <w:sz w:val="24"/>
          <w:szCs w:val="24"/>
        </w:rPr>
        <w:t>Hazard</w:t>
      </w:r>
      <w:r w:rsidRPr="009057A1">
        <w:rPr>
          <w:rFonts w:ascii="Times New Roman" w:hAnsi="Times New Roman"/>
          <w:sz w:val="24"/>
          <w:szCs w:val="24"/>
        </w:rPr>
        <w:t>s</w:t>
      </w:r>
    </w:p>
    <w:p w14:paraId="2D5D74A9"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 xml:space="preserve">This figure </w:t>
      </w:r>
      <w:r w:rsidR="00190D15">
        <w:rPr>
          <w:rFonts w:ascii="Times New Roman" w:hAnsi="Times New Roman"/>
          <w:sz w:val="24"/>
          <w:szCs w:val="24"/>
        </w:rPr>
        <w:t xml:space="preserve">3 </w:t>
      </w:r>
      <w:r w:rsidRPr="009057A1">
        <w:rPr>
          <w:rFonts w:ascii="Times New Roman" w:hAnsi="Times New Roman"/>
          <w:sz w:val="24"/>
          <w:szCs w:val="24"/>
        </w:rPr>
        <w:t xml:space="preserve">summarizes the </w:t>
      </w:r>
      <w:r>
        <w:rPr>
          <w:rFonts w:ascii="Times New Roman" w:hAnsi="Times New Roman"/>
          <w:sz w:val="24"/>
          <w:szCs w:val="24"/>
        </w:rPr>
        <w:t xml:space="preserve">average </w:t>
      </w:r>
      <w:r w:rsidRPr="009057A1">
        <w:rPr>
          <w:rFonts w:ascii="Times New Roman" w:hAnsi="Times New Roman"/>
          <w:sz w:val="24"/>
          <w:szCs w:val="24"/>
        </w:rPr>
        <w:t xml:space="preserve">temporal distribution of hazard </w:t>
      </w:r>
      <w:r>
        <w:rPr>
          <w:rFonts w:ascii="Times New Roman" w:hAnsi="Times New Roman"/>
          <w:sz w:val="24"/>
          <w:szCs w:val="24"/>
        </w:rPr>
        <w:t xml:space="preserve">types across the calendar year. He result showed that </w:t>
      </w:r>
      <w:r w:rsidRPr="009057A1">
        <w:rPr>
          <w:rFonts w:ascii="Times New Roman" w:hAnsi="Times New Roman"/>
          <w:sz w:val="24"/>
          <w:szCs w:val="24"/>
        </w:rPr>
        <w:t xml:space="preserve">March recorded the highest hazard frequency, while June had the least. </w:t>
      </w:r>
      <w:r>
        <w:rPr>
          <w:rFonts w:ascii="Times New Roman" w:hAnsi="Times New Roman"/>
          <w:sz w:val="24"/>
          <w:szCs w:val="24"/>
        </w:rPr>
        <w:t>However, h</w:t>
      </w:r>
      <w:r w:rsidRPr="009057A1">
        <w:rPr>
          <w:rFonts w:ascii="Times New Roman" w:hAnsi="Times New Roman"/>
          <w:sz w:val="24"/>
          <w:szCs w:val="24"/>
        </w:rPr>
        <w:t>azard events are distributed across all months, with higher clustering during transitional weather periods.</w:t>
      </w:r>
      <w:r>
        <w:rPr>
          <w:rFonts w:ascii="Times New Roman" w:hAnsi="Times New Roman"/>
          <w:sz w:val="24"/>
          <w:szCs w:val="24"/>
        </w:rPr>
        <w:t xml:space="preserve"> </w:t>
      </w:r>
    </w:p>
    <w:p w14:paraId="7551483D"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e</w:t>
      </w:r>
      <w:r w:rsidRPr="009052AD">
        <w:rPr>
          <w:rFonts w:ascii="Times New Roman" w:hAnsi="Times New Roman"/>
          <w:sz w:val="24"/>
          <w:szCs w:val="24"/>
        </w:rPr>
        <w:t xml:space="preserve"> table </w:t>
      </w:r>
      <w:r>
        <w:rPr>
          <w:rFonts w:ascii="Times New Roman" w:hAnsi="Times New Roman"/>
          <w:sz w:val="24"/>
          <w:szCs w:val="24"/>
        </w:rPr>
        <w:t xml:space="preserve">16 showed the result of the </w:t>
      </w:r>
      <w:r w:rsidRPr="009052AD">
        <w:rPr>
          <w:rFonts w:ascii="Times New Roman" w:hAnsi="Times New Roman"/>
          <w:sz w:val="24"/>
          <w:szCs w:val="24"/>
        </w:rPr>
        <w:t xml:space="preserve">logistic regression </w:t>
      </w:r>
      <w:r>
        <w:rPr>
          <w:rFonts w:ascii="Times New Roman" w:hAnsi="Times New Roman"/>
          <w:sz w:val="24"/>
          <w:szCs w:val="24"/>
        </w:rPr>
        <w:t>that was used i</w:t>
      </w:r>
      <w:r w:rsidRPr="009052AD">
        <w:rPr>
          <w:rFonts w:ascii="Times New Roman" w:hAnsi="Times New Roman"/>
          <w:sz w:val="24"/>
          <w:szCs w:val="24"/>
        </w:rPr>
        <w:t>n predicting hazard occurrence and severity based on frequency, season, and intensity.</w:t>
      </w:r>
    </w:p>
    <w:p w14:paraId="4A4D4BFD"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Table 16. Logistic regression for hazard impact prediction</w:t>
      </w:r>
    </w:p>
    <w:tbl>
      <w:tblPr>
        <w:tblW w:w="9360"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0"/>
        <w:gridCol w:w="1506"/>
        <w:gridCol w:w="1506"/>
        <w:gridCol w:w="1329"/>
        <w:gridCol w:w="1242"/>
        <w:gridCol w:w="2007"/>
      </w:tblGrid>
      <w:tr w:rsidR="00A83CF6" w:rsidRPr="009057A1" w14:paraId="5F3343BA" w14:textId="77777777" w:rsidTr="006C4058">
        <w:trPr>
          <w:trHeight w:val="476"/>
        </w:trPr>
        <w:tc>
          <w:tcPr>
            <w:tcW w:w="1770" w:type="dxa"/>
            <w:tcBorders>
              <w:bottom w:val="single" w:sz="4" w:space="0" w:color="auto"/>
              <w:right w:val="nil"/>
            </w:tcBorders>
            <w:shd w:val="clear" w:color="auto" w:fill="auto"/>
            <w:vAlign w:val="center"/>
          </w:tcPr>
          <w:p w14:paraId="1268FE42"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Predictor</w:t>
            </w:r>
          </w:p>
        </w:tc>
        <w:tc>
          <w:tcPr>
            <w:tcW w:w="1506" w:type="dxa"/>
            <w:tcBorders>
              <w:left w:val="nil"/>
              <w:bottom w:val="single" w:sz="4" w:space="0" w:color="auto"/>
              <w:right w:val="nil"/>
            </w:tcBorders>
            <w:shd w:val="clear" w:color="auto" w:fill="auto"/>
            <w:vAlign w:val="center"/>
          </w:tcPr>
          <w:p w14:paraId="60EED92E"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Coefficient</w:t>
            </w:r>
          </w:p>
        </w:tc>
        <w:tc>
          <w:tcPr>
            <w:tcW w:w="1506" w:type="dxa"/>
            <w:tcBorders>
              <w:left w:val="nil"/>
              <w:bottom w:val="single" w:sz="4" w:space="0" w:color="auto"/>
              <w:right w:val="nil"/>
            </w:tcBorders>
            <w:shd w:val="clear" w:color="auto" w:fill="auto"/>
            <w:vAlign w:val="center"/>
          </w:tcPr>
          <w:p w14:paraId="460EA42F"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Std. Error</w:t>
            </w:r>
          </w:p>
        </w:tc>
        <w:tc>
          <w:tcPr>
            <w:tcW w:w="1329" w:type="dxa"/>
            <w:tcBorders>
              <w:left w:val="nil"/>
              <w:bottom w:val="single" w:sz="4" w:space="0" w:color="auto"/>
              <w:right w:val="nil"/>
            </w:tcBorders>
            <w:shd w:val="clear" w:color="auto" w:fill="auto"/>
            <w:vAlign w:val="center"/>
          </w:tcPr>
          <w:p w14:paraId="3ABD7D2F"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z-value</w:t>
            </w:r>
          </w:p>
        </w:tc>
        <w:tc>
          <w:tcPr>
            <w:tcW w:w="1242" w:type="dxa"/>
            <w:tcBorders>
              <w:left w:val="nil"/>
              <w:bottom w:val="single" w:sz="4" w:space="0" w:color="auto"/>
              <w:right w:val="nil"/>
            </w:tcBorders>
            <w:shd w:val="clear" w:color="auto" w:fill="auto"/>
            <w:vAlign w:val="center"/>
          </w:tcPr>
          <w:p w14:paraId="12785350"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p-value</w:t>
            </w:r>
          </w:p>
        </w:tc>
        <w:tc>
          <w:tcPr>
            <w:tcW w:w="2007" w:type="dxa"/>
            <w:tcBorders>
              <w:left w:val="nil"/>
              <w:bottom w:val="single" w:sz="4" w:space="0" w:color="auto"/>
            </w:tcBorders>
            <w:shd w:val="clear" w:color="auto" w:fill="auto"/>
            <w:vAlign w:val="center"/>
          </w:tcPr>
          <w:p w14:paraId="2D20D25F"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95% CI</w:t>
            </w:r>
          </w:p>
        </w:tc>
      </w:tr>
      <w:tr w:rsidR="00A83CF6" w:rsidRPr="009057A1" w14:paraId="197ED22A" w14:textId="77777777" w:rsidTr="006C4058">
        <w:trPr>
          <w:trHeight w:val="340"/>
        </w:trPr>
        <w:tc>
          <w:tcPr>
            <w:tcW w:w="1770" w:type="dxa"/>
            <w:tcBorders>
              <w:bottom w:val="nil"/>
              <w:right w:val="nil"/>
            </w:tcBorders>
            <w:shd w:val="clear" w:color="auto" w:fill="auto"/>
            <w:vAlign w:val="center"/>
          </w:tcPr>
          <w:p w14:paraId="4CBA1FC5"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Intercept</w:t>
            </w:r>
          </w:p>
        </w:tc>
        <w:tc>
          <w:tcPr>
            <w:tcW w:w="1506" w:type="dxa"/>
            <w:tcBorders>
              <w:left w:val="nil"/>
              <w:bottom w:val="nil"/>
              <w:right w:val="nil"/>
            </w:tcBorders>
            <w:shd w:val="clear" w:color="auto" w:fill="auto"/>
            <w:vAlign w:val="center"/>
          </w:tcPr>
          <w:p w14:paraId="1B61A34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-3.646</w:t>
            </w:r>
          </w:p>
        </w:tc>
        <w:tc>
          <w:tcPr>
            <w:tcW w:w="1506" w:type="dxa"/>
            <w:tcBorders>
              <w:left w:val="nil"/>
              <w:bottom w:val="nil"/>
              <w:right w:val="nil"/>
            </w:tcBorders>
            <w:shd w:val="clear" w:color="auto" w:fill="auto"/>
            <w:vAlign w:val="center"/>
          </w:tcPr>
          <w:p w14:paraId="0BC2BFE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0.279</w:t>
            </w:r>
          </w:p>
        </w:tc>
        <w:tc>
          <w:tcPr>
            <w:tcW w:w="1329" w:type="dxa"/>
            <w:tcBorders>
              <w:left w:val="nil"/>
              <w:bottom w:val="nil"/>
              <w:right w:val="nil"/>
            </w:tcBorders>
            <w:shd w:val="clear" w:color="auto" w:fill="auto"/>
            <w:vAlign w:val="center"/>
          </w:tcPr>
          <w:p w14:paraId="4948CF3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-13.09</w:t>
            </w:r>
          </w:p>
        </w:tc>
        <w:tc>
          <w:tcPr>
            <w:tcW w:w="1242" w:type="dxa"/>
            <w:tcBorders>
              <w:left w:val="nil"/>
              <w:bottom w:val="nil"/>
              <w:right w:val="nil"/>
            </w:tcBorders>
            <w:shd w:val="clear" w:color="auto" w:fill="auto"/>
            <w:vAlign w:val="center"/>
          </w:tcPr>
          <w:p w14:paraId="09426A1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left w:val="nil"/>
              <w:bottom w:val="nil"/>
            </w:tcBorders>
            <w:shd w:val="clear" w:color="auto" w:fill="auto"/>
            <w:vAlign w:val="center"/>
          </w:tcPr>
          <w:p w14:paraId="53EBD60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[-4.192, -3.100]</w:t>
            </w:r>
          </w:p>
        </w:tc>
      </w:tr>
      <w:tr w:rsidR="00A83CF6" w:rsidRPr="009057A1" w14:paraId="0F779F77" w14:textId="77777777" w:rsidTr="006C4058">
        <w:trPr>
          <w:trHeight w:val="340"/>
        </w:trPr>
        <w:tc>
          <w:tcPr>
            <w:tcW w:w="1770" w:type="dxa"/>
            <w:tcBorders>
              <w:top w:val="nil"/>
              <w:bottom w:val="nil"/>
              <w:right w:val="nil"/>
            </w:tcBorders>
            <w:shd w:val="clear" w:color="auto" w:fill="auto"/>
            <w:vAlign w:val="center"/>
          </w:tcPr>
          <w:p w14:paraId="3151664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Season (None)</w:t>
            </w:r>
          </w:p>
        </w:tc>
        <w:tc>
          <w:tcPr>
            <w:tcW w:w="1506" w:type="dxa"/>
            <w:tcBorders>
              <w:top w:val="nil"/>
              <w:left w:val="nil"/>
              <w:bottom w:val="nil"/>
              <w:right w:val="nil"/>
            </w:tcBorders>
            <w:shd w:val="clear" w:color="auto" w:fill="auto"/>
            <w:vAlign w:val="center"/>
          </w:tcPr>
          <w:p w14:paraId="1ACCB304"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-0.920</w:t>
            </w:r>
          </w:p>
        </w:tc>
        <w:tc>
          <w:tcPr>
            <w:tcW w:w="1506" w:type="dxa"/>
            <w:tcBorders>
              <w:top w:val="nil"/>
              <w:left w:val="nil"/>
              <w:bottom w:val="nil"/>
              <w:right w:val="nil"/>
            </w:tcBorders>
            <w:shd w:val="clear" w:color="auto" w:fill="auto"/>
            <w:vAlign w:val="center"/>
          </w:tcPr>
          <w:p w14:paraId="39FC6D6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0.458</w:t>
            </w:r>
          </w:p>
        </w:tc>
        <w:tc>
          <w:tcPr>
            <w:tcW w:w="1329" w:type="dxa"/>
            <w:tcBorders>
              <w:top w:val="nil"/>
              <w:left w:val="nil"/>
              <w:bottom w:val="nil"/>
              <w:right w:val="nil"/>
            </w:tcBorders>
            <w:shd w:val="clear" w:color="auto" w:fill="auto"/>
            <w:vAlign w:val="center"/>
          </w:tcPr>
          <w:p w14:paraId="23FDF72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-2.01</w:t>
            </w:r>
          </w:p>
        </w:tc>
        <w:tc>
          <w:tcPr>
            <w:tcW w:w="1242" w:type="dxa"/>
            <w:tcBorders>
              <w:top w:val="nil"/>
              <w:left w:val="nil"/>
              <w:bottom w:val="nil"/>
              <w:right w:val="nil"/>
            </w:tcBorders>
            <w:shd w:val="clear" w:color="auto" w:fill="auto"/>
            <w:vAlign w:val="center"/>
          </w:tcPr>
          <w:p w14:paraId="60FFCB9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0.044</w:t>
            </w:r>
          </w:p>
        </w:tc>
        <w:tc>
          <w:tcPr>
            <w:tcW w:w="2007" w:type="dxa"/>
            <w:tcBorders>
              <w:top w:val="nil"/>
              <w:left w:val="nil"/>
              <w:bottom w:val="nil"/>
            </w:tcBorders>
            <w:shd w:val="clear" w:color="auto" w:fill="auto"/>
            <w:vAlign w:val="center"/>
          </w:tcPr>
          <w:p w14:paraId="5031543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[-1.818, -0.023]</w:t>
            </w:r>
          </w:p>
        </w:tc>
      </w:tr>
      <w:tr w:rsidR="00A83CF6" w:rsidRPr="009057A1" w14:paraId="625095FD" w14:textId="77777777" w:rsidTr="006C4058">
        <w:trPr>
          <w:trHeight w:val="340"/>
        </w:trPr>
        <w:tc>
          <w:tcPr>
            <w:tcW w:w="1770" w:type="dxa"/>
            <w:tcBorders>
              <w:top w:val="nil"/>
              <w:bottom w:val="nil"/>
              <w:right w:val="nil"/>
            </w:tcBorders>
            <w:shd w:val="clear" w:color="auto" w:fill="auto"/>
            <w:vAlign w:val="center"/>
          </w:tcPr>
          <w:p w14:paraId="7B2D4C87"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Season (Rainy)</w:t>
            </w:r>
          </w:p>
        </w:tc>
        <w:tc>
          <w:tcPr>
            <w:tcW w:w="1506" w:type="dxa"/>
            <w:tcBorders>
              <w:top w:val="nil"/>
              <w:left w:val="nil"/>
              <w:bottom w:val="nil"/>
              <w:right w:val="nil"/>
            </w:tcBorders>
            <w:shd w:val="clear" w:color="auto" w:fill="auto"/>
            <w:vAlign w:val="center"/>
          </w:tcPr>
          <w:p w14:paraId="13DDCF0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-0.162</w:t>
            </w:r>
          </w:p>
        </w:tc>
        <w:tc>
          <w:tcPr>
            <w:tcW w:w="1506" w:type="dxa"/>
            <w:tcBorders>
              <w:top w:val="nil"/>
              <w:left w:val="nil"/>
              <w:bottom w:val="nil"/>
              <w:right w:val="nil"/>
            </w:tcBorders>
            <w:shd w:val="clear" w:color="auto" w:fill="auto"/>
            <w:vAlign w:val="center"/>
          </w:tcPr>
          <w:p w14:paraId="3F5B2BD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0.096</w:t>
            </w:r>
          </w:p>
        </w:tc>
        <w:tc>
          <w:tcPr>
            <w:tcW w:w="1329" w:type="dxa"/>
            <w:tcBorders>
              <w:top w:val="nil"/>
              <w:left w:val="nil"/>
              <w:bottom w:val="nil"/>
              <w:right w:val="nil"/>
            </w:tcBorders>
            <w:shd w:val="clear" w:color="auto" w:fill="auto"/>
            <w:vAlign w:val="center"/>
          </w:tcPr>
          <w:p w14:paraId="27AE703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-1.68</w:t>
            </w:r>
          </w:p>
        </w:tc>
        <w:tc>
          <w:tcPr>
            <w:tcW w:w="1242" w:type="dxa"/>
            <w:tcBorders>
              <w:top w:val="nil"/>
              <w:left w:val="nil"/>
              <w:bottom w:val="nil"/>
              <w:right w:val="nil"/>
            </w:tcBorders>
            <w:shd w:val="clear" w:color="auto" w:fill="auto"/>
            <w:vAlign w:val="center"/>
          </w:tcPr>
          <w:p w14:paraId="6A149B6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0.092</w:t>
            </w:r>
          </w:p>
        </w:tc>
        <w:tc>
          <w:tcPr>
            <w:tcW w:w="2007" w:type="dxa"/>
            <w:tcBorders>
              <w:top w:val="nil"/>
              <w:left w:val="nil"/>
              <w:bottom w:val="nil"/>
            </w:tcBorders>
            <w:shd w:val="clear" w:color="auto" w:fill="auto"/>
            <w:vAlign w:val="center"/>
          </w:tcPr>
          <w:p w14:paraId="339B27B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[-0.350, 0.027]</w:t>
            </w:r>
          </w:p>
        </w:tc>
      </w:tr>
      <w:tr w:rsidR="00A83CF6" w:rsidRPr="009057A1" w14:paraId="7E9934C5" w14:textId="77777777" w:rsidTr="006C4058">
        <w:trPr>
          <w:trHeight w:val="340"/>
        </w:trPr>
        <w:tc>
          <w:tcPr>
            <w:tcW w:w="1770" w:type="dxa"/>
            <w:tcBorders>
              <w:top w:val="nil"/>
              <w:bottom w:val="nil"/>
              <w:right w:val="nil"/>
            </w:tcBorders>
            <w:shd w:val="clear" w:color="auto" w:fill="auto"/>
            <w:vAlign w:val="center"/>
          </w:tcPr>
          <w:p w14:paraId="4896EF50"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Frequency</w:t>
            </w:r>
          </w:p>
        </w:tc>
        <w:tc>
          <w:tcPr>
            <w:tcW w:w="1506" w:type="dxa"/>
            <w:tcBorders>
              <w:top w:val="nil"/>
              <w:left w:val="nil"/>
              <w:bottom w:val="nil"/>
              <w:right w:val="nil"/>
            </w:tcBorders>
            <w:shd w:val="clear" w:color="auto" w:fill="auto"/>
            <w:vAlign w:val="center"/>
          </w:tcPr>
          <w:p w14:paraId="6167B92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0.242</w:t>
            </w:r>
          </w:p>
        </w:tc>
        <w:tc>
          <w:tcPr>
            <w:tcW w:w="1506" w:type="dxa"/>
            <w:tcBorders>
              <w:top w:val="nil"/>
              <w:left w:val="nil"/>
              <w:bottom w:val="nil"/>
              <w:right w:val="nil"/>
            </w:tcBorders>
            <w:shd w:val="clear" w:color="auto" w:fill="auto"/>
            <w:vAlign w:val="center"/>
          </w:tcPr>
          <w:p w14:paraId="63383A35"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0.056</w:t>
            </w:r>
          </w:p>
        </w:tc>
        <w:tc>
          <w:tcPr>
            <w:tcW w:w="1329" w:type="dxa"/>
            <w:tcBorders>
              <w:top w:val="nil"/>
              <w:left w:val="nil"/>
              <w:bottom w:val="nil"/>
              <w:right w:val="nil"/>
            </w:tcBorders>
            <w:shd w:val="clear" w:color="auto" w:fill="auto"/>
            <w:vAlign w:val="center"/>
          </w:tcPr>
          <w:p w14:paraId="7F1DDFF0"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4.35</w:t>
            </w:r>
          </w:p>
        </w:tc>
        <w:tc>
          <w:tcPr>
            <w:tcW w:w="1242" w:type="dxa"/>
            <w:tcBorders>
              <w:top w:val="nil"/>
              <w:left w:val="nil"/>
              <w:bottom w:val="nil"/>
              <w:right w:val="nil"/>
            </w:tcBorders>
            <w:shd w:val="clear" w:color="auto" w:fill="auto"/>
            <w:vAlign w:val="center"/>
          </w:tcPr>
          <w:p w14:paraId="3824EE7A"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top w:val="nil"/>
              <w:left w:val="nil"/>
              <w:bottom w:val="nil"/>
            </w:tcBorders>
            <w:shd w:val="clear" w:color="auto" w:fill="auto"/>
            <w:vAlign w:val="center"/>
          </w:tcPr>
          <w:p w14:paraId="7BDD948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[0.133, 0.351]</w:t>
            </w:r>
          </w:p>
        </w:tc>
      </w:tr>
      <w:tr w:rsidR="00A83CF6" w:rsidRPr="009057A1" w14:paraId="457904E4" w14:textId="77777777" w:rsidTr="006C4058">
        <w:trPr>
          <w:trHeight w:val="352"/>
        </w:trPr>
        <w:tc>
          <w:tcPr>
            <w:tcW w:w="1770" w:type="dxa"/>
            <w:tcBorders>
              <w:top w:val="nil"/>
              <w:right w:val="nil"/>
            </w:tcBorders>
            <w:shd w:val="clear" w:color="auto" w:fill="auto"/>
            <w:vAlign w:val="center"/>
          </w:tcPr>
          <w:p w14:paraId="568A6F76"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Severity</w:t>
            </w:r>
          </w:p>
        </w:tc>
        <w:tc>
          <w:tcPr>
            <w:tcW w:w="1506" w:type="dxa"/>
            <w:tcBorders>
              <w:top w:val="nil"/>
              <w:left w:val="nil"/>
              <w:right w:val="nil"/>
            </w:tcBorders>
            <w:shd w:val="clear" w:color="auto" w:fill="auto"/>
            <w:vAlign w:val="center"/>
          </w:tcPr>
          <w:p w14:paraId="17E2F27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0.506</w:t>
            </w:r>
          </w:p>
        </w:tc>
        <w:tc>
          <w:tcPr>
            <w:tcW w:w="1506" w:type="dxa"/>
            <w:tcBorders>
              <w:top w:val="nil"/>
              <w:left w:val="nil"/>
              <w:right w:val="nil"/>
            </w:tcBorders>
            <w:shd w:val="clear" w:color="auto" w:fill="auto"/>
            <w:vAlign w:val="center"/>
          </w:tcPr>
          <w:p w14:paraId="787D591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0.054</w:t>
            </w:r>
          </w:p>
        </w:tc>
        <w:tc>
          <w:tcPr>
            <w:tcW w:w="1329" w:type="dxa"/>
            <w:tcBorders>
              <w:top w:val="nil"/>
              <w:left w:val="nil"/>
              <w:right w:val="nil"/>
            </w:tcBorders>
            <w:shd w:val="clear" w:color="auto" w:fill="auto"/>
            <w:vAlign w:val="center"/>
          </w:tcPr>
          <w:p w14:paraId="7BD06DBF"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9.42</w:t>
            </w:r>
          </w:p>
        </w:tc>
        <w:tc>
          <w:tcPr>
            <w:tcW w:w="1242" w:type="dxa"/>
            <w:tcBorders>
              <w:top w:val="nil"/>
              <w:left w:val="nil"/>
              <w:right w:val="nil"/>
            </w:tcBorders>
            <w:shd w:val="clear" w:color="auto" w:fill="auto"/>
            <w:vAlign w:val="center"/>
          </w:tcPr>
          <w:p w14:paraId="060F2BD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&lt;0.001</w:t>
            </w:r>
          </w:p>
        </w:tc>
        <w:tc>
          <w:tcPr>
            <w:tcW w:w="2007" w:type="dxa"/>
            <w:tcBorders>
              <w:top w:val="nil"/>
              <w:left w:val="nil"/>
            </w:tcBorders>
            <w:shd w:val="clear" w:color="auto" w:fill="auto"/>
            <w:vAlign w:val="center"/>
          </w:tcPr>
          <w:p w14:paraId="0F122097"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[0.401, 0.612]</w:t>
            </w:r>
          </w:p>
        </w:tc>
      </w:tr>
    </w:tbl>
    <w:p w14:paraId="4EBD75F8"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Deviance: 0.000482   |   Pseudo R² (Cragg-</w:t>
      </w:r>
      <w:proofErr w:type="spellStart"/>
      <w:r w:rsidRPr="009057A1">
        <w:rPr>
          <w:rFonts w:ascii="Times New Roman" w:hAnsi="Times New Roman"/>
          <w:sz w:val="24"/>
          <w:szCs w:val="24"/>
        </w:rPr>
        <w:t>Uhler</w:t>
      </w:r>
      <w:proofErr w:type="spellEnd"/>
      <w:r w:rsidRPr="009057A1">
        <w:rPr>
          <w:rFonts w:ascii="Times New Roman" w:hAnsi="Times New Roman"/>
          <w:sz w:val="24"/>
          <w:szCs w:val="24"/>
        </w:rPr>
        <w:t>): ≈1.00   |   Log-Likelihood: 16.898</w:t>
      </w:r>
    </w:p>
    <w:p w14:paraId="55638E73"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Both frequency and severity significantly predicted hazard impact (p&lt;0.001), with seasonality (non-rainy periods) associated with lower odds. The high pseudo R² validates the model’s predictive reliability.</w:t>
      </w:r>
    </w:p>
    <w:p w14:paraId="675CA612" w14:textId="77777777" w:rsidR="00A83CF6" w:rsidRPr="009057A1"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17 i</w:t>
      </w:r>
      <w:r w:rsidRPr="009052AD">
        <w:rPr>
          <w:rFonts w:ascii="Times New Roman" w:hAnsi="Times New Roman"/>
          <w:sz w:val="24"/>
          <w:szCs w:val="24"/>
        </w:rPr>
        <w:t xml:space="preserve">s </w:t>
      </w:r>
      <w:r>
        <w:rPr>
          <w:rFonts w:ascii="Times New Roman" w:hAnsi="Times New Roman"/>
          <w:sz w:val="24"/>
          <w:szCs w:val="24"/>
        </w:rPr>
        <w:t xml:space="preserve">the result that was used </w:t>
      </w:r>
      <w:r w:rsidRPr="009052AD">
        <w:rPr>
          <w:rFonts w:ascii="Times New Roman" w:hAnsi="Times New Roman"/>
          <w:sz w:val="24"/>
          <w:szCs w:val="24"/>
        </w:rPr>
        <w:t xml:space="preserve">to generate </w:t>
      </w:r>
      <w:r>
        <w:rPr>
          <w:rFonts w:ascii="Times New Roman" w:hAnsi="Times New Roman"/>
          <w:sz w:val="24"/>
          <w:szCs w:val="24"/>
        </w:rPr>
        <w:t>B</w:t>
      </w:r>
      <w:r w:rsidRPr="009052AD">
        <w:rPr>
          <w:rFonts w:ascii="Times New Roman" w:hAnsi="Times New Roman"/>
          <w:sz w:val="24"/>
          <w:szCs w:val="24"/>
        </w:rPr>
        <w:t>ayesian posterior estimates, quantifying the effects of frequency and severity on hazard impacts.</w:t>
      </w:r>
    </w:p>
    <w:p w14:paraId="685BE7A3" w14:textId="77777777" w:rsidR="00A83CF6" w:rsidRPr="009057A1" w:rsidRDefault="00A83CF6" w:rsidP="00A83CF6">
      <w:pPr>
        <w:keepNext/>
        <w:keepLines/>
        <w:spacing w:before="200" w:after="0"/>
        <w:jc w:val="both"/>
        <w:outlineLvl w:val="2"/>
        <w:rPr>
          <w:rFonts w:ascii="Times New Roman" w:eastAsia="Times New Roman" w:hAnsi="Times New Roman"/>
          <w:bCs/>
          <w:sz w:val="24"/>
          <w:szCs w:val="24"/>
        </w:rPr>
      </w:pPr>
      <w:r w:rsidRPr="009057A1">
        <w:rPr>
          <w:rFonts w:ascii="Times New Roman" w:eastAsia="Times New Roman" w:hAnsi="Times New Roman"/>
          <w:bCs/>
          <w:sz w:val="24"/>
          <w:szCs w:val="24"/>
        </w:rPr>
        <w:lastRenderedPageBreak/>
        <w:t>Table 17. Key posterior estimates</w:t>
      </w:r>
    </w:p>
    <w:tbl>
      <w:tblPr>
        <w:tblW w:w="0" w:type="auto"/>
        <w:tblInd w:w="1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73"/>
        <w:gridCol w:w="996"/>
        <w:gridCol w:w="2625"/>
        <w:gridCol w:w="3712"/>
      </w:tblGrid>
      <w:tr w:rsidR="00A83CF6" w:rsidRPr="009057A1" w14:paraId="0C669F40" w14:textId="77777777" w:rsidTr="006C4058">
        <w:trPr>
          <w:trHeight w:val="404"/>
        </w:trPr>
        <w:tc>
          <w:tcPr>
            <w:tcW w:w="2173" w:type="dxa"/>
            <w:tcBorders>
              <w:bottom w:val="single" w:sz="4" w:space="0" w:color="auto"/>
              <w:right w:val="nil"/>
            </w:tcBorders>
            <w:shd w:val="clear" w:color="auto" w:fill="auto"/>
            <w:vAlign w:val="center"/>
          </w:tcPr>
          <w:p w14:paraId="28D25605" w14:textId="77777777" w:rsidR="00A83CF6" w:rsidRPr="009057A1" w:rsidRDefault="00A83CF6" w:rsidP="006C4058">
            <w:pPr>
              <w:spacing w:after="0"/>
              <w:rPr>
                <w:rFonts w:ascii="Times New Roman" w:eastAsia="Calibri" w:hAnsi="Times New Roman"/>
                <w:b/>
                <w:sz w:val="24"/>
                <w:szCs w:val="24"/>
              </w:rPr>
            </w:pPr>
            <w:r w:rsidRPr="009057A1">
              <w:rPr>
                <w:rFonts w:ascii="Times New Roman" w:eastAsia="Calibri" w:hAnsi="Times New Roman"/>
                <w:b/>
                <w:sz w:val="24"/>
                <w:szCs w:val="24"/>
              </w:rPr>
              <w:t>Parameter</w:t>
            </w:r>
          </w:p>
        </w:tc>
        <w:tc>
          <w:tcPr>
            <w:tcW w:w="996" w:type="dxa"/>
            <w:tcBorders>
              <w:left w:val="nil"/>
              <w:bottom w:val="single" w:sz="4" w:space="0" w:color="auto"/>
              <w:right w:val="nil"/>
            </w:tcBorders>
            <w:shd w:val="clear" w:color="auto" w:fill="auto"/>
            <w:vAlign w:val="center"/>
          </w:tcPr>
          <w:p w14:paraId="283AD6AF" w14:textId="77777777" w:rsidR="00A83CF6" w:rsidRPr="009057A1" w:rsidRDefault="00A83CF6" w:rsidP="006C4058">
            <w:pPr>
              <w:spacing w:after="0"/>
              <w:jc w:val="center"/>
              <w:rPr>
                <w:rFonts w:ascii="Times New Roman" w:eastAsia="Calibri" w:hAnsi="Times New Roman"/>
                <w:b/>
                <w:sz w:val="24"/>
                <w:szCs w:val="24"/>
              </w:rPr>
            </w:pPr>
            <w:r w:rsidRPr="009057A1">
              <w:rPr>
                <w:rFonts w:ascii="Times New Roman" w:eastAsia="Calibri" w:hAnsi="Times New Roman"/>
                <w:b/>
                <w:sz w:val="24"/>
                <w:szCs w:val="24"/>
              </w:rPr>
              <w:t>Mean</w:t>
            </w:r>
          </w:p>
        </w:tc>
        <w:tc>
          <w:tcPr>
            <w:tcW w:w="2625" w:type="dxa"/>
            <w:tcBorders>
              <w:left w:val="nil"/>
              <w:bottom w:val="single" w:sz="4" w:space="0" w:color="auto"/>
              <w:right w:val="nil"/>
            </w:tcBorders>
            <w:shd w:val="clear" w:color="auto" w:fill="auto"/>
            <w:vAlign w:val="center"/>
          </w:tcPr>
          <w:p w14:paraId="744ABB62" w14:textId="77777777" w:rsidR="00A83CF6" w:rsidRPr="009057A1" w:rsidRDefault="00A83CF6" w:rsidP="006C4058">
            <w:pPr>
              <w:spacing w:after="0"/>
              <w:jc w:val="center"/>
              <w:rPr>
                <w:rFonts w:ascii="Times New Roman" w:eastAsia="Calibri" w:hAnsi="Times New Roman"/>
                <w:b/>
                <w:sz w:val="24"/>
                <w:szCs w:val="24"/>
              </w:rPr>
            </w:pPr>
            <w:r w:rsidRPr="009057A1">
              <w:rPr>
                <w:rFonts w:ascii="Times New Roman" w:eastAsia="Calibri" w:hAnsi="Times New Roman"/>
                <w:b/>
                <w:sz w:val="24"/>
                <w:szCs w:val="24"/>
              </w:rPr>
              <w:t>95 % Credible Interval</w:t>
            </w:r>
          </w:p>
        </w:tc>
        <w:tc>
          <w:tcPr>
            <w:tcW w:w="3712" w:type="dxa"/>
            <w:tcBorders>
              <w:left w:val="nil"/>
              <w:bottom w:val="single" w:sz="4" w:space="0" w:color="auto"/>
            </w:tcBorders>
            <w:shd w:val="clear" w:color="auto" w:fill="auto"/>
            <w:vAlign w:val="center"/>
          </w:tcPr>
          <w:p w14:paraId="72038733" w14:textId="77777777" w:rsidR="00A83CF6" w:rsidRPr="009057A1" w:rsidRDefault="00A83CF6" w:rsidP="006C4058">
            <w:pPr>
              <w:spacing w:after="0"/>
              <w:rPr>
                <w:rFonts w:ascii="Times New Roman" w:eastAsia="Calibri" w:hAnsi="Times New Roman"/>
                <w:b/>
                <w:sz w:val="24"/>
                <w:szCs w:val="24"/>
              </w:rPr>
            </w:pPr>
            <w:r w:rsidRPr="009057A1">
              <w:rPr>
                <w:rFonts w:ascii="Times New Roman" w:eastAsia="Calibri" w:hAnsi="Times New Roman"/>
                <w:b/>
                <w:sz w:val="24"/>
                <w:szCs w:val="24"/>
              </w:rPr>
              <w:t>Interpretation</w:t>
            </w:r>
          </w:p>
        </w:tc>
      </w:tr>
      <w:tr w:rsidR="00A83CF6" w:rsidRPr="009057A1" w14:paraId="7C535113" w14:textId="77777777" w:rsidTr="006C4058">
        <w:trPr>
          <w:trHeight w:val="497"/>
        </w:trPr>
        <w:tc>
          <w:tcPr>
            <w:tcW w:w="2173" w:type="dxa"/>
            <w:tcBorders>
              <w:bottom w:val="nil"/>
              <w:right w:val="nil"/>
            </w:tcBorders>
            <w:shd w:val="clear" w:color="auto" w:fill="auto"/>
          </w:tcPr>
          <w:p w14:paraId="57F80722" w14:textId="77777777" w:rsidR="00A83CF6" w:rsidRPr="009057A1" w:rsidRDefault="00A83CF6" w:rsidP="006C4058">
            <w:pPr>
              <w:spacing w:after="0"/>
              <w:jc w:val="both"/>
              <w:rPr>
                <w:rFonts w:ascii="Times New Roman" w:eastAsia="Calibri" w:hAnsi="Times New Roman"/>
                <w:sz w:val="24"/>
                <w:szCs w:val="24"/>
              </w:rPr>
            </w:pPr>
            <w:r w:rsidRPr="009057A1">
              <w:rPr>
                <w:rFonts w:ascii="Times New Roman" w:eastAsia="Calibri" w:hAnsi="Times New Roman"/>
                <w:sz w:val="24"/>
                <w:szCs w:val="24"/>
              </w:rPr>
              <w:t>α₁ (Frequency)</w:t>
            </w:r>
          </w:p>
        </w:tc>
        <w:tc>
          <w:tcPr>
            <w:tcW w:w="996" w:type="dxa"/>
            <w:tcBorders>
              <w:left w:val="nil"/>
              <w:bottom w:val="nil"/>
              <w:right w:val="nil"/>
            </w:tcBorders>
            <w:shd w:val="clear" w:color="auto" w:fill="auto"/>
          </w:tcPr>
          <w:p w14:paraId="6136759F"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1.52</w:t>
            </w:r>
          </w:p>
        </w:tc>
        <w:tc>
          <w:tcPr>
            <w:tcW w:w="2625" w:type="dxa"/>
            <w:tcBorders>
              <w:left w:val="nil"/>
              <w:bottom w:val="nil"/>
              <w:right w:val="nil"/>
            </w:tcBorders>
            <w:shd w:val="clear" w:color="auto" w:fill="auto"/>
          </w:tcPr>
          <w:p w14:paraId="014B3F8A"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0.46 – 2.83</w:t>
            </w:r>
          </w:p>
        </w:tc>
        <w:tc>
          <w:tcPr>
            <w:tcW w:w="3712" w:type="dxa"/>
            <w:tcBorders>
              <w:left w:val="nil"/>
              <w:bottom w:val="nil"/>
            </w:tcBorders>
            <w:shd w:val="clear" w:color="auto" w:fill="auto"/>
          </w:tcPr>
          <w:p w14:paraId="3ED13E64" w14:textId="77777777" w:rsidR="00A83CF6" w:rsidRPr="009057A1" w:rsidRDefault="00A83CF6" w:rsidP="006C4058">
            <w:pPr>
              <w:spacing w:after="0"/>
              <w:rPr>
                <w:rFonts w:ascii="Times New Roman" w:eastAsia="Calibri" w:hAnsi="Times New Roman"/>
                <w:sz w:val="24"/>
                <w:szCs w:val="24"/>
              </w:rPr>
            </w:pPr>
            <w:r w:rsidRPr="009057A1">
              <w:rPr>
                <w:rFonts w:ascii="Times New Roman" w:eastAsia="Calibri" w:hAnsi="Times New Roman"/>
                <w:sz w:val="24"/>
                <w:szCs w:val="24"/>
              </w:rPr>
              <w:t>Hazards with +1 event yr⁻¹ have 4.6× higher odds of occurring.</w:t>
            </w:r>
          </w:p>
        </w:tc>
      </w:tr>
      <w:tr w:rsidR="00A83CF6" w:rsidRPr="009057A1" w14:paraId="5CC03651" w14:textId="77777777" w:rsidTr="006C4058">
        <w:trPr>
          <w:trHeight w:val="458"/>
        </w:trPr>
        <w:tc>
          <w:tcPr>
            <w:tcW w:w="2173" w:type="dxa"/>
            <w:tcBorders>
              <w:top w:val="nil"/>
              <w:bottom w:val="nil"/>
              <w:right w:val="nil"/>
            </w:tcBorders>
            <w:shd w:val="clear" w:color="auto" w:fill="auto"/>
          </w:tcPr>
          <w:p w14:paraId="235A4DE6" w14:textId="77777777" w:rsidR="00A83CF6" w:rsidRPr="009057A1" w:rsidRDefault="00A83CF6" w:rsidP="006C4058">
            <w:pPr>
              <w:spacing w:after="0"/>
              <w:jc w:val="both"/>
              <w:rPr>
                <w:rFonts w:ascii="Times New Roman" w:eastAsia="Calibri" w:hAnsi="Times New Roman"/>
                <w:sz w:val="24"/>
                <w:szCs w:val="24"/>
              </w:rPr>
            </w:pPr>
            <w:r w:rsidRPr="009057A1">
              <w:rPr>
                <w:rFonts w:ascii="Times New Roman" w:eastAsia="Calibri" w:hAnsi="Times New Roman"/>
                <w:sz w:val="24"/>
                <w:szCs w:val="24"/>
              </w:rPr>
              <w:t>α₂ (Severity)</w:t>
            </w:r>
          </w:p>
        </w:tc>
        <w:tc>
          <w:tcPr>
            <w:tcW w:w="996" w:type="dxa"/>
            <w:tcBorders>
              <w:top w:val="nil"/>
              <w:left w:val="nil"/>
              <w:bottom w:val="nil"/>
              <w:right w:val="nil"/>
            </w:tcBorders>
            <w:shd w:val="clear" w:color="auto" w:fill="auto"/>
          </w:tcPr>
          <w:p w14:paraId="5A6B3E1B"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0.88</w:t>
            </w:r>
          </w:p>
        </w:tc>
        <w:tc>
          <w:tcPr>
            <w:tcW w:w="2625" w:type="dxa"/>
            <w:tcBorders>
              <w:top w:val="nil"/>
              <w:left w:val="nil"/>
              <w:bottom w:val="nil"/>
              <w:right w:val="nil"/>
            </w:tcBorders>
            <w:shd w:val="clear" w:color="auto" w:fill="auto"/>
          </w:tcPr>
          <w:p w14:paraId="5F3A6B92"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0.17 – 1.65</w:t>
            </w:r>
          </w:p>
        </w:tc>
        <w:tc>
          <w:tcPr>
            <w:tcW w:w="3712" w:type="dxa"/>
            <w:tcBorders>
              <w:top w:val="nil"/>
              <w:left w:val="nil"/>
              <w:bottom w:val="nil"/>
            </w:tcBorders>
            <w:shd w:val="clear" w:color="auto" w:fill="auto"/>
          </w:tcPr>
          <w:p w14:paraId="5F3DB11B" w14:textId="77777777" w:rsidR="00A83CF6" w:rsidRPr="009057A1" w:rsidRDefault="00A83CF6" w:rsidP="006C4058">
            <w:pPr>
              <w:spacing w:after="0"/>
              <w:rPr>
                <w:rFonts w:ascii="Times New Roman" w:eastAsia="Calibri" w:hAnsi="Times New Roman"/>
                <w:sz w:val="24"/>
                <w:szCs w:val="24"/>
              </w:rPr>
            </w:pPr>
            <w:r w:rsidRPr="009057A1">
              <w:rPr>
                <w:rFonts w:ascii="Times New Roman" w:eastAsia="Calibri" w:hAnsi="Times New Roman"/>
                <w:sz w:val="24"/>
                <w:szCs w:val="24"/>
              </w:rPr>
              <w:t>Each unit rise in severity doubles the odds of any impact.</w:t>
            </w:r>
          </w:p>
        </w:tc>
      </w:tr>
      <w:tr w:rsidR="00A83CF6" w:rsidRPr="009057A1" w14:paraId="4EE38F19" w14:textId="77777777" w:rsidTr="006C4058">
        <w:trPr>
          <w:trHeight w:val="521"/>
        </w:trPr>
        <w:tc>
          <w:tcPr>
            <w:tcW w:w="2173" w:type="dxa"/>
            <w:tcBorders>
              <w:top w:val="nil"/>
              <w:bottom w:val="nil"/>
              <w:right w:val="nil"/>
            </w:tcBorders>
            <w:shd w:val="clear" w:color="auto" w:fill="auto"/>
          </w:tcPr>
          <w:p w14:paraId="54F0B5A3" w14:textId="77777777" w:rsidR="00A83CF6" w:rsidRPr="009057A1" w:rsidRDefault="00A83CF6" w:rsidP="006C4058">
            <w:pPr>
              <w:spacing w:after="0"/>
              <w:jc w:val="both"/>
              <w:rPr>
                <w:rFonts w:ascii="Times New Roman" w:eastAsia="Calibri" w:hAnsi="Times New Roman"/>
                <w:sz w:val="24"/>
                <w:szCs w:val="24"/>
              </w:rPr>
            </w:pPr>
            <w:r w:rsidRPr="009057A1">
              <w:rPr>
                <w:rFonts w:ascii="Times New Roman" w:eastAsia="Calibri" w:hAnsi="Times New Roman"/>
                <w:sz w:val="24"/>
                <w:szCs w:val="24"/>
              </w:rPr>
              <w:t>β₁ (Frequency)</w:t>
            </w:r>
          </w:p>
        </w:tc>
        <w:tc>
          <w:tcPr>
            <w:tcW w:w="996" w:type="dxa"/>
            <w:tcBorders>
              <w:top w:val="nil"/>
              <w:left w:val="nil"/>
              <w:bottom w:val="nil"/>
              <w:right w:val="nil"/>
            </w:tcBorders>
            <w:shd w:val="clear" w:color="auto" w:fill="auto"/>
          </w:tcPr>
          <w:p w14:paraId="317523DA"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0.29</w:t>
            </w:r>
          </w:p>
        </w:tc>
        <w:tc>
          <w:tcPr>
            <w:tcW w:w="2625" w:type="dxa"/>
            <w:tcBorders>
              <w:top w:val="nil"/>
              <w:left w:val="nil"/>
              <w:bottom w:val="nil"/>
              <w:right w:val="nil"/>
            </w:tcBorders>
            <w:shd w:val="clear" w:color="auto" w:fill="auto"/>
          </w:tcPr>
          <w:p w14:paraId="75ED42C6"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0.11 – 0.47</w:t>
            </w:r>
          </w:p>
        </w:tc>
        <w:tc>
          <w:tcPr>
            <w:tcW w:w="3712" w:type="dxa"/>
            <w:tcBorders>
              <w:top w:val="nil"/>
              <w:left w:val="nil"/>
              <w:bottom w:val="nil"/>
            </w:tcBorders>
            <w:shd w:val="clear" w:color="auto" w:fill="auto"/>
          </w:tcPr>
          <w:p w14:paraId="2A27AB4E" w14:textId="77777777" w:rsidR="00A83CF6" w:rsidRPr="009057A1" w:rsidRDefault="00A83CF6" w:rsidP="006C4058">
            <w:pPr>
              <w:spacing w:after="0"/>
              <w:rPr>
                <w:rFonts w:ascii="Times New Roman" w:eastAsia="Calibri" w:hAnsi="Times New Roman"/>
                <w:sz w:val="24"/>
                <w:szCs w:val="24"/>
              </w:rPr>
            </w:pPr>
            <w:r w:rsidRPr="009057A1">
              <w:rPr>
                <w:rFonts w:ascii="Times New Roman" w:eastAsia="Calibri" w:hAnsi="Times New Roman"/>
                <w:sz w:val="24"/>
                <w:szCs w:val="24"/>
              </w:rPr>
              <w:t>Given occurrence, counts rise 34 % per extra event yr⁻¹.</w:t>
            </w:r>
          </w:p>
        </w:tc>
      </w:tr>
      <w:tr w:rsidR="00A83CF6" w:rsidRPr="009057A1" w14:paraId="14EFAC3A" w14:textId="77777777" w:rsidTr="006C4058">
        <w:trPr>
          <w:trHeight w:val="473"/>
        </w:trPr>
        <w:tc>
          <w:tcPr>
            <w:tcW w:w="2173" w:type="dxa"/>
            <w:tcBorders>
              <w:top w:val="nil"/>
              <w:bottom w:val="nil"/>
              <w:right w:val="nil"/>
            </w:tcBorders>
            <w:shd w:val="clear" w:color="auto" w:fill="auto"/>
          </w:tcPr>
          <w:p w14:paraId="0AF5A207" w14:textId="77777777" w:rsidR="00A83CF6" w:rsidRPr="009057A1" w:rsidRDefault="00A83CF6" w:rsidP="006C4058">
            <w:pPr>
              <w:spacing w:after="0"/>
              <w:jc w:val="both"/>
              <w:rPr>
                <w:rFonts w:ascii="Times New Roman" w:eastAsia="Calibri" w:hAnsi="Times New Roman"/>
                <w:sz w:val="24"/>
                <w:szCs w:val="24"/>
              </w:rPr>
            </w:pPr>
            <w:r w:rsidRPr="009057A1">
              <w:rPr>
                <w:rFonts w:ascii="Times New Roman" w:eastAsia="Calibri" w:hAnsi="Times New Roman"/>
                <w:sz w:val="24"/>
                <w:szCs w:val="24"/>
              </w:rPr>
              <w:t>β₂ (Severity)</w:t>
            </w:r>
          </w:p>
        </w:tc>
        <w:tc>
          <w:tcPr>
            <w:tcW w:w="996" w:type="dxa"/>
            <w:tcBorders>
              <w:top w:val="nil"/>
              <w:left w:val="nil"/>
              <w:bottom w:val="nil"/>
              <w:right w:val="nil"/>
            </w:tcBorders>
            <w:shd w:val="clear" w:color="auto" w:fill="auto"/>
          </w:tcPr>
          <w:p w14:paraId="0C55A842"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0.61</w:t>
            </w:r>
          </w:p>
        </w:tc>
        <w:tc>
          <w:tcPr>
            <w:tcW w:w="2625" w:type="dxa"/>
            <w:tcBorders>
              <w:top w:val="nil"/>
              <w:left w:val="nil"/>
              <w:bottom w:val="nil"/>
              <w:right w:val="nil"/>
            </w:tcBorders>
            <w:shd w:val="clear" w:color="auto" w:fill="auto"/>
          </w:tcPr>
          <w:p w14:paraId="4D24AAEA"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0.36 – 0.86</w:t>
            </w:r>
          </w:p>
        </w:tc>
        <w:tc>
          <w:tcPr>
            <w:tcW w:w="3712" w:type="dxa"/>
            <w:tcBorders>
              <w:top w:val="nil"/>
              <w:left w:val="nil"/>
              <w:bottom w:val="nil"/>
            </w:tcBorders>
            <w:shd w:val="clear" w:color="auto" w:fill="auto"/>
          </w:tcPr>
          <w:p w14:paraId="12BDC307" w14:textId="77777777" w:rsidR="00A83CF6" w:rsidRPr="009057A1" w:rsidRDefault="00A83CF6" w:rsidP="006C4058">
            <w:pPr>
              <w:spacing w:after="0"/>
              <w:rPr>
                <w:rFonts w:ascii="Times New Roman" w:eastAsia="Calibri" w:hAnsi="Times New Roman"/>
                <w:sz w:val="24"/>
                <w:szCs w:val="24"/>
              </w:rPr>
            </w:pPr>
            <w:r w:rsidRPr="009057A1">
              <w:rPr>
                <w:rFonts w:ascii="Times New Roman" w:eastAsia="Calibri" w:hAnsi="Times New Roman"/>
                <w:sz w:val="24"/>
                <w:szCs w:val="24"/>
              </w:rPr>
              <w:t>Impact counts grow 84 % per severity unit.</w:t>
            </w:r>
          </w:p>
        </w:tc>
      </w:tr>
      <w:tr w:rsidR="00A83CF6" w:rsidRPr="009057A1" w14:paraId="25846729" w14:textId="77777777" w:rsidTr="006C4058">
        <w:trPr>
          <w:trHeight w:val="295"/>
        </w:trPr>
        <w:tc>
          <w:tcPr>
            <w:tcW w:w="2173" w:type="dxa"/>
            <w:tcBorders>
              <w:top w:val="nil"/>
              <w:right w:val="nil"/>
            </w:tcBorders>
            <w:shd w:val="clear" w:color="auto" w:fill="auto"/>
          </w:tcPr>
          <w:p w14:paraId="49AEE7E4" w14:textId="77777777" w:rsidR="00A83CF6" w:rsidRPr="009057A1" w:rsidRDefault="00A83CF6" w:rsidP="006C4058">
            <w:pPr>
              <w:spacing w:after="0"/>
              <w:jc w:val="both"/>
              <w:rPr>
                <w:rFonts w:ascii="Times New Roman" w:eastAsia="Calibri" w:hAnsi="Times New Roman"/>
                <w:sz w:val="24"/>
                <w:szCs w:val="24"/>
              </w:rPr>
            </w:pPr>
            <w:r w:rsidRPr="009057A1">
              <w:rPr>
                <w:rFonts w:ascii="Times New Roman" w:eastAsia="Calibri" w:hAnsi="Times New Roman"/>
                <w:sz w:val="24"/>
                <w:szCs w:val="24"/>
              </w:rPr>
              <w:t>Over-dispersion (θ)</w:t>
            </w:r>
          </w:p>
        </w:tc>
        <w:tc>
          <w:tcPr>
            <w:tcW w:w="996" w:type="dxa"/>
            <w:tcBorders>
              <w:top w:val="nil"/>
              <w:left w:val="nil"/>
              <w:right w:val="nil"/>
            </w:tcBorders>
            <w:shd w:val="clear" w:color="auto" w:fill="auto"/>
          </w:tcPr>
          <w:p w14:paraId="5602DFDB"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1.97</w:t>
            </w:r>
          </w:p>
        </w:tc>
        <w:tc>
          <w:tcPr>
            <w:tcW w:w="2625" w:type="dxa"/>
            <w:tcBorders>
              <w:top w:val="nil"/>
              <w:left w:val="nil"/>
              <w:right w:val="nil"/>
            </w:tcBorders>
            <w:shd w:val="clear" w:color="auto" w:fill="auto"/>
          </w:tcPr>
          <w:p w14:paraId="4752C015" w14:textId="77777777" w:rsidR="00A83CF6" w:rsidRPr="009057A1" w:rsidRDefault="00A83CF6" w:rsidP="006C4058">
            <w:pPr>
              <w:spacing w:after="0"/>
              <w:jc w:val="center"/>
              <w:rPr>
                <w:rFonts w:ascii="Times New Roman" w:eastAsia="Calibri" w:hAnsi="Times New Roman"/>
                <w:sz w:val="24"/>
                <w:szCs w:val="24"/>
              </w:rPr>
            </w:pPr>
            <w:r w:rsidRPr="009057A1">
              <w:rPr>
                <w:rFonts w:ascii="Times New Roman" w:eastAsia="Calibri" w:hAnsi="Times New Roman"/>
                <w:sz w:val="24"/>
                <w:szCs w:val="24"/>
              </w:rPr>
              <w:t>1.10 – 3.85</w:t>
            </w:r>
          </w:p>
        </w:tc>
        <w:tc>
          <w:tcPr>
            <w:tcW w:w="3712" w:type="dxa"/>
            <w:tcBorders>
              <w:top w:val="nil"/>
              <w:left w:val="nil"/>
            </w:tcBorders>
            <w:shd w:val="clear" w:color="auto" w:fill="auto"/>
          </w:tcPr>
          <w:p w14:paraId="4C9FB235" w14:textId="77777777" w:rsidR="00A83CF6" w:rsidRPr="009057A1" w:rsidRDefault="00A83CF6" w:rsidP="006C4058">
            <w:pPr>
              <w:spacing w:after="0"/>
              <w:rPr>
                <w:rFonts w:ascii="Times New Roman" w:eastAsia="Calibri" w:hAnsi="Times New Roman"/>
                <w:sz w:val="24"/>
                <w:szCs w:val="24"/>
              </w:rPr>
            </w:pPr>
            <w:r w:rsidRPr="009057A1">
              <w:rPr>
                <w:rFonts w:ascii="Times New Roman" w:eastAsia="Calibri" w:hAnsi="Times New Roman"/>
                <w:sz w:val="24"/>
                <w:szCs w:val="24"/>
              </w:rPr>
              <w:t>Validates NB rather than Poisson.</w:t>
            </w:r>
          </w:p>
        </w:tc>
      </w:tr>
    </w:tbl>
    <w:p w14:paraId="63764372"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 xml:space="preserve">Summaries from 4 × 10,000 MCMC iterations; R̂ &lt;1.01, ESS &gt; 1,500. </w:t>
      </w:r>
    </w:p>
    <w:p w14:paraId="4B06450E" w14:textId="77777777" w:rsidR="00A83CF6" w:rsidRPr="009057A1"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A one-unit increase in frequency increased impact odds by 4.6×. Severity doubled the odds of impact per unit rise. The model confirms over-dispersion and supports a negative binomial distribution.</w:t>
      </w:r>
    </w:p>
    <w:p w14:paraId="4A93FF5B" w14:textId="77777777" w:rsidR="00A83CF6" w:rsidRDefault="00A83CF6" w:rsidP="00A83CF6">
      <w:pPr>
        <w:spacing w:line="240" w:lineRule="auto"/>
        <w:jc w:val="both"/>
        <w:rPr>
          <w:rFonts w:ascii="Times New Roman" w:hAnsi="Times New Roman"/>
          <w:sz w:val="24"/>
          <w:szCs w:val="24"/>
        </w:rPr>
      </w:pPr>
      <w:r w:rsidRPr="009052AD">
        <w:rPr>
          <w:rFonts w:ascii="Times New Roman" w:hAnsi="Times New Roman"/>
          <w:sz w:val="24"/>
          <w:szCs w:val="24"/>
        </w:rPr>
        <w:t>Th</w:t>
      </w:r>
      <w:r>
        <w:rPr>
          <w:rFonts w:ascii="Times New Roman" w:hAnsi="Times New Roman"/>
          <w:sz w:val="24"/>
          <w:szCs w:val="24"/>
        </w:rPr>
        <w:t xml:space="preserve">e </w:t>
      </w:r>
      <w:r w:rsidRPr="009052AD">
        <w:rPr>
          <w:rFonts w:ascii="Times New Roman" w:hAnsi="Times New Roman"/>
          <w:sz w:val="24"/>
          <w:szCs w:val="24"/>
        </w:rPr>
        <w:t xml:space="preserve">table </w:t>
      </w:r>
      <w:r>
        <w:rPr>
          <w:rFonts w:ascii="Times New Roman" w:hAnsi="Times New Roman"/>
          <w:sz w:val="24"/>
          <w:szCs w:val="24"/>
        </w:rPr>
        <w:t>18 i</w:t>
      </w:r>
      <w:r w:rsidRPr="009052AD">
        <w:rPr>
          <w:rFonts w:ascii="Times New Roman" w:hAnsi="Times New Roman"/>
          <w:sz w:val="24"/>
          <w:szCs w:val="24"/>
        </w:rPr>
        <w:t xml:space="preserve">s </w:t>
      </w:r>
      <w:r>
        <w:rPr>
          <w:rFonts w:ascii="Times New Roman" w:hAnsi="Times New Roman"/>
          <w:sz w:val="24"/>
          <w:szCs w:val="24"/>
        </w:rPr>
        <w:t xml:space="preserve">the </w:t>
      </w:r>
      <w:r w:rsidRPr="009052AD">
        <w:rPr>
          <w:rFonts w:ascii="Times New Roman" w:hAnsi="Times New Roman"/>
          <w:sz w:val="24"/>
          <w:szCs w:val="24"/>
        </w:rPr>
        <w:t>summarize</w:t>
      </w:r>
      <w:r>
        <w:rPr>
          <w:rFonts w:ascii="Times New Roman" w:hAnsi="Times New Roman"/>
          <w:sz w:val="24"/>
          <w:szCs w:val="24"/>
        </w:rPr>
        <w:t>d</w:t>
      </w:r>
      <w:r w:rsidRPr="009052AD">
        <w:rPr>
          <w:rFonts w:ascii="Times New Roman" w:hAnsi="Times New Roman"/>
          <w:sz w:val="24"/>
          <w:szCs w:val="24"/>
        </w:rPr>
        <w:t xml:space="preserve"> results from a spatial Bayesian model, highlighting the spatial clustering and localized variation in hazard risks.</w:t>
      </w:r>
    </w:p>
    <w:p w14:paraId="2AB814A9" w14:textId="77777777" w:rsidR="00A83CF6" w:rsidRPr="009057A1" w:rsidRDefault="00A83CF6" w:rsidP="00A83CF6">
      <w:pPr>
        <w:keepNext/>
        <w:keepLines/>
        <w:spacing w:before="200" w:after="0"/>
        <w:jc w:val="both"/>
        <w:outlineLvl w:val="2"/>
        <w:rPr>
          <w:rFonts w:ascii="Times New Roman" w:eastAsia="Times New Roman" w:hAnsi="Times New Roman"/>
          <w:bCs/>
          <w:sz w:val="24"/>
          <w:szCs w:val="24"/>
        </w:rPr>
      </w:pPr>
      <w:r w:rsidRPr="009057A1">
        <w:rPr>
          <w:rFonts w:ascii="Times New Roman" w:eastAsia="Times New Roman" w:hAnsi="Times New Roman"/>
          <w:bCs/>
          <w:sz w:val="24"/>
          <w:szCs w:val="24"/>
        </w:rPr>
        <w:t>Table 18. Posterior highlights</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7"/>
        <w:gridCol w:w="2356"/>
        <w:gridCol w:w="2356"/>
        <w:gridCol w:w="2356"/>
      </w:tblGrid>
      <w:tr w:rsidR="00A83CF6" w:rsidRPr="009057A1" w14:paraId="37F07ABB" w14:textId="77777777" w:rsidTr="006C4058">
        <w:trPr>
          <w:trHeight w:val="422"/>
        </w:trPr>
        <w:tc>
          <w:tcPr>
            <w:tcW w:w="2237" w:type="dxa"/>
            <w:tcBorders>
              <w:bottom w:val="single" w:sz="4" w:space="0" w:color="auto"/>
              <w:right w:val="nil"/>
            </w:tcBorders>
            <w:shd w:val="clear" w:color="auto" w:fill="auto"/>
            <w:vAlign w:val="center"/>
          </w:tcPr>
          <w:p w14:paraId="72FD5F9F" w14:textId="77777777" w:rsidR="00A83CF6" w:rsidRPr="009057A1" w:rsidRDefault="00A83CF6" w:rsidP="006C4058">
            <w:pPr>
              <w:spacing w:after="0" w:line="240" w:lineRule="auto"/>
              <w:rPr>
                <w:rFonts w:ascii="Times New Roman" w:eastAsia="Calibri" w:hAnsi="Times New Roman"/>
                <w:b/>
                <w:sz w:val="24"/>
                <w:szCs w:val="24"/>
              </w:rPr>
            </w:pPr>
            <w:r w:rsidRPr="009057A1">
              <w:rPr>
                <w:rFonts w:ascii="Times New Roman" w:eastAsia="Calibri" w:hAnsi="Times New Roman"/>
                <w:b/>
                <w:sz w:val="24"/>
                <w:szCs w:val="24"/>
              </w:rPr>
              <w:t>Effect</w:t>
            </w:r>
          </w:p>
        </w:tc>
        <w:tc>
          <w:tcPr>
            <w:tcW w:w="2356" w:type="dxa"/>
            <w:tcBorders>
              <w:left w:val="nil"/>
              <w:bottom w:val="single" w:sz="4" w:space="0" w:color="auto"/>
              <w:right w:val="nil"/>
            </w:tcBorders>
            <w:shd w:val="clear" w:color="auto" w:fill="auto"/>
            <w:vAlign w:val="center"/>
          </w:tcPr>
          <w:p w14:paraId="7D4A5ADB"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Mean (μ)</w:t>
            </w:r>
          </w:p>
        </w:tc>
        <w:tc>
          <w:tcPr>
            <w:tcW w:w="2356" w:type="dxa"/>
            <w:tcBorders>
              <w:left w:val="nil"/>
              <w:bottom w:val="single" w:sz="4" w:space="0" w:color="auto"/>
              <w:right w:val="nil"/>
            </w:tcBorders>
            <w:shd w:val="clear" w:color="auto" w:fill="auto"/>
            <w:vAlign w:val="center"/>
          </w:tcPr>
          <w:p w14:paraId="288C8CC1"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95 % Cred. Int.</w:t>
            </w:r>
          </w:p>
        </w:tc>
        <w:tc>
          <w:tcPr>
            <w:tcW w:w="2356" w:type="dxa"/>
            <w:tcBorders>
              <w:left w:val="nil"/>
              <w:bottom w:val="single" w:sz="4" w:space="0" w:color="auto"/>
            </w:tcBorders>
            <w:shd w:val="clear" w:color="auto" w:fill="auto"/>
            <w:vAlign w:val="center"/>
          </w:tcPr>
          <w:p w14:paraId="33009212" w14:textId="77777777" w:rsidR="00A83CF6" w:rsidRPr="009057A1" w:rsidRDefault="00A83CF6" w:rsidP="006C4058">
            <w:pPr>
              <w:spacing w:after="0" w:line="240" w:lineRule="auto"/>
              <w:jc w:val="center"/>
              <w:rPr>
                <w:rFonts w:ascii="Times New Roman" w:eastAsia="Calibri" w:hAnsi="Times New Roman"/>
                <w:b/>
                <w:sz w:val="24"/>
                <w:szCs w:val="24"/>
              </w:rPr>
            </w:pPr>
            <w:r w:rsidRPr="009057A1">
              <w:rPr>
                <w:rFonts w:ascii="Times New Roman" w:eastAsia="Calibri" w:hAnsi="Times New Roman"/>
                <w:b/>
                <w:sz w:val="24"/>
                <w:szCs w:val="24"/>
              </w:rPr>
              <w:t>WAIC Δ</w:t>
            </w:r>
          </w:p>
        </w:tc>
      </w:tr>
      <w:tr w:rsidR="00A83CF6" w:rsidRPr="009057A1" w14:paraId="510DF854" w14:textId="77777777" w:rsidTr="006C4058">
        <w:trPr>
          <w:trHeight w:val="310"/>
        </w:trPr>
        <w:tc>
          <w:tcPr>
            <w:tcW w:w="2237" w:type="dxa"/>
            <w:tcBorders>
              <w:bottom w:val="nil"/>
              <w:right w:val="nil"/>
            </w:tcBorders>
            <w:shd w:val="clear" w:color="auto" w:fill="auto"/>
            <w:vAlign w:val="center"/>
          </w:tcPr>
          <w:p w14:paraId="1FA128A2"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γ₁ (Frequency)</w:t>
            </w:r>
          </w:p>
        </w:tc>
        <w:tc>
          <w:tcPr>
            <w:tcW w:w="2356" w:type="dxa"/>
            <w:tcBorders>
              <w:left w:val="nil"/>
              <w:bottom w:val="nil"/>
              <w:right w:val="nil"/>
            </w:tcBorders>
            <w:shd w:val="clear" w:color="auto" w:fill="auto"/>
            <w:vAlign w:val="center"/>
          </w:tcPr>
          <w:p w14:paraId="04A09A62"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0.26</w:t>
            </w:r>
          </w:p>
        </w:tc>
        <w:tc>
          <w:tcPr>
            <w:tcW w:w="2356" w:type="dxa"/>
            <w:tcBorders>
              <w:left w:val="nil"/>
              <w:bottom w:val="nil"/>
              <w:right w:val="nil"/>
            </w:tcBorders>
            <w:shd w:val="clear" w:color="auto" w:fill="auto"/>
            <w:vAlign w:val="center"/>
          </w:tcPr>
          <w:p w14:paraId="204F58A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0.09 – 0.43</w:t>
            </w:r>
          </w:p>
        </w:tc>
        <w:tc>
          <w:tcPr>
            <w:tcW w:w="2356" w:type="dxa"/>
            <w:tcBorders>
              <w:left w:val="nil"/>
              <w:bottom w:val="nil"/>
            </w:tcBorders>
            <w:shd w:val="clear" w:color="auto" w:fill="auto"/>
            <w:vAlign w:val="center"/>
          </w:tcPr>
          <w:p w14:paraId="1F09ABBB"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+12.7</w:t>
            </w:r>
          </w:p>
        </w:tc>
      </w:tr>
      <w:tr w:rsidR="00A83CF6" w:rsidRPr="009057A1" w14:paraId="4CA3C05B" w14:textId="77777777" w:rsidTr="006C4058">
        <w:trPr>
          <w:trHeight w:val="310"/>
        </w:trPr>
        <w:tc>
          <w:tcPr>
            <w:tcW w:w="2237" w:type="dxa"/>
            <w:tcBorders>
              <w:top w:val="nil"/>
              <w:bottom w:val="nil"/>
              <w:right w:val="nil"/>
            </w:tcBorders>
            <w:shd w:val="clear" w:color="auto" w:fill="auto"/>
            <w:vAlign w:val="center"/>
          </w:tcPr>
          <w:p w14:paraId="1FFC8EBA"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γ₂ (Severity)</w:t>
            </w:r>
          </w:p>
        </w:tc>
        <w:tc>
          <w:tcPr>
            <w:tcW w:w="2356" w:type="dxa"/>
            <w:tcBorders>
              <w:top w:val="nil"/>
              <w:left w:val="nil"/>
              <w:bottom w:val="nil"/>
              <w:right w:val="nil"/>
            </w:tcBorders>
            <w:shd w:val="clear" w:color="auto" w:fill="auto"/>
            <w:vAlign w:val="center"/>
          </w:tcPr>
          <w:p w14:paraId="36FC31BD"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0.55</w:t>
            </w:r>
          </w:p>
        </w:tc>
        <w:tc>
          <w:tcPr>
            <w:tcW w:w="2356" w:type="dxa"/>
            <w:tcBorders>
              <w:top w:val="nil"/>
              <w:left w:val="nil"/>
              <w:bottom w:val="nil"/>
              <w:right w:val="nil"/>
            </w:tcBorders>
            <w:shd w:val="clear" w:color="auto" w:fill="auto"/>
            <w:vAlign w:val="center"/>
          </w:tcPr>
          <w:p w14:paraId="040CF40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0.33 – 0.79</w:t>
            </w:r>
          </w:p>
        </w:tc>
        <w:tc>
          <w:tcPr>
            <w:tcW w:w="2356" w:type="dxa"/>
            <w:tcBorders>
              <w:top w:val="nil"/>
              <w:left w:val="nil"/>
              <w:bottom w:val="nil"/>
            </w:tcBorders>
            <w:shd w:val="clear" w:color="auto" w:fill="auto"/>
            <w:vAlign w:val="center"/>
          </w:tcPr>
          <w:p w14:paraId="7FFA9E9C"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+25.9</w:t>
            </w:r>
          </w:p>
        </w:tc>
      </w:tr>
      <w:tr w:rsidR="00A83CF6" w:rsidRPr="009057A1" w14:paraId="0886D586" w14:textId="77777777" w:rsidTr="006C4058">
        <w:trPr>
          <w:trHeight w:val="336"/>
        </w:trPr>
        <w:tc>
          <w:tcPr>
            <w:tcW w:w="2237" w:type="dxa"/>
            <w:tcBorders>
              <w:top w:val="nil"/>
              <w:bottom w:val="nil"/>
              <w:right w:val="nil"/>
            </w:tcBorders>
            <w:shd w:val="clear" w:color="auto" w:fill="auto"/>
            <w:vAlign w:val="center"/>
          </w:tcPr>
          <w:p w14:paraId="41173C4C"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Spatial range (km)</w:t>
            </w:r>
          </w:p>
        </w:tc>
        <w:tc>
          <w:tcPr>
            <w:tcW w:w="2356" w:type="dxa"/>
            <w:tcBorders>
              <w:top w:val="nil"/>
              <w:left w:val="nil"/>
              <w:bottom w:val="nil"/>
              <w:right w:val="nil"/>
            </w:tcBorders>
            <w:shd w:val="clear" w:color="auto" w:fill="auto"/>
            <w:vAlign w:val="center"/>
          </w:tcPr>
          <w:p w14:paraId="3371164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2.1</w:t>
            </w:r>
          </w:p>
        </w:tc>
        <w:tc>
          <w:tcPr>
            <w:tcW w:w="2356" w:type="dxa"/>
            <w:tcBorders>
              <w:top w:val="nil"/>
              <w:left w:val="nil"/>
              <w:bottom w:val="nil"/>
              <w:right w:val="nil"/>
            </w:tcBorders>
            <w:shd w:val="clear" w:color="auto" w:fill="auto"/>
            <w:vAlign w:val="center"/>
          </w:tcPr>
          <w:p w14:paraId="146FDC56"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0.8 – 4.3</w:t>
            </w:r>
          </w:p>
        </w:tc>
        <w:tc>
          <w:tcPr>
            <w:tcW w:w="2356" w:type="dxa"/>
            <w:tcBorders>
              <w:top w:val="nil"/>
              <w:left w:val="nil"/>
              <w:bottom w:val="nil"/>
            </w:tcBorders>
            <w:shd w:val="clear" w:color="auto" w:fill="auto"/>
            <w:vAlign w:val="center"/>
          </w:tcPr>
          <w:p w14:paraId="22649A79"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w:t>
            </w:r>
          </w:p>
        </w:tc>
      </w:tr>
      <w:tr w:rsidR="00A83CF6" w:rsidRPr="009057A1" w14:paraId="24233D2E" w14:textId="77777777" w:rsidTr="006C4058">
        <w:trPr>
          <w:trHeight w:val="310"/>
        </w:trPr>
        <w:tc>
          <w:tcPr>
            <w:tcW w:w="2237" w:type="dxa"/>
            <w:tcBorders>
              <w:top w:val="nil"/>
              <w:right w:val="nil"/>
            </w:tcBorders>
            <w:shd w:val="clear" w:color="auto" w:fill="auto"/>
            <w:vAlign w:val="center"/>
          </w:tcPr>
          <w:p w14:paraId="37BA26AF" w14:textId="77777777" w:rsidR="00A83CF6" w:rsidRPr="009057A1" w:rsidRDefault="00A83CF6" w:rsidP="006C4058">
            <w:pPr>
              <w:spacing w:after="0" w:line="240" w:lineRule="auto"/>
              <w:rPr>
                <w:rFonts w:ascii="Times New Roman" w:eastAsia="Calibri" w:hAnsi="Times New Roman"/>
                <w:sz w:val="24"/>
                <w:szCs w:val="24"/>
              </w:rPr>
            </w:pPr>
            <w:r w:rsidRPr="009057A1">
              <w:rPr>
                <w:rFonts w:ascii="Times New Roman" w:eastAsia="Calibri" w:hAnsi="Times New Roman"/>
                <w:sz w:val="24"/>
                <w:szCs w:val="24"/>
              </w:rPr>
              <w:t>σ²_w (field var.)</w:t>
            </w:r>
          </w:p>
        </w:tc>
        <w:tc>
          <w:tcPr>
            <w:tcW w:w="2356" w:type="dxa"/>
            <w:tcBorders>
              <w:top w:val="nil"/>
              <w:left w:val="nil"/>
              <w:right w:val="nil"/>
            </w:tcBorders>
            <w:shd w:val="clear" w:color="auto" w:fill="auto"/>
            <w:vAlign w:val="center"/>
          </w:tcPr>
          <w:p w14:paraId="7B6AD978"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0.18</w:t>
            </w:r>
          </w:p>
        </w:tc>
        <w:tc>
          <w:tcPr>
            <w:tcW w:w="2356" w:type="dxa"/>
            <w:tcBorders>
              <w:top w:val="nil"/>
              <w:left w:val="nil"/>
              <w:right w:val="nil"/>
            </w:tcBorders>
            <w:shd w:val="clear" w:color="auto" w:fill="auto"/>
            <w:vAlign w:val="center"/>
          </w:tcPr>
          <w:p w14:paraId="4D25BEE3"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0.05 – 0.36</w:t>
            </w:r>
          </w:p>
        </w:tc>
        <w:tc>
          <w:tcPr>
            <w:tcW w:w="2356" w:type="dxa"/>
            <w:tcBorders>
              <w:top w:val="nil"/>
              <w:left w:val="nil"/>
            </w:tcBorders>
            <w:shd w:val="clear" w:color="auto" w:fill="auto"/>
            <w:vAlign w:val="center"/>
          </w:tcPr>
          <w:p w14:paraId="3C18F2B1" w14:textId="77777777" w:rsidR="00A83CF6" w:rsidRPr="009057A1" w:rsidRDefault="00A83CF6" w:rsidP="006C4058">
            <w:pPr>
              <w:spacing w:after="0" w:line="240" w:lineRule="auto"/>
              <w:jc w:val="center"/>
              <w:rPr>
                <w:rFonts w:ascii="Times New Roman" w:eastAsia="Calibri" w:hAnsi="Times New Roman"/>
                <w:sz w:val="24"/>
                <w:szCs w:val="24"/>
              </w:rPr>
            </w:pPr>
            <w:r w:rsidRPr="009057A1">
              <w:rPr>
                <w:rFonts w:ascii="Times New Roman" w:eastAsia="Calibri" w:hAnsi="Times New Roman"/>
                <w:sz w:val="24"/>
                <w:szCs w:val="24"/>
              </w:rPr>
              <w:t>–</w:t>
            </w:r>
          </w:p>
        </w:tc>
      </w:tr>
    </w:tbl>
    <w:p w14:paraId="76EECF1F" w14:textId="77777777" w:rsidR="00A83CF6" w:rsidRPr="009057A1" w:rsidRDefault="00A83CF6" w:rsidP="00A83CF6">
      <w:pPr>
        <w:jc w:val="both"/>
        <w:rPr>
          <w:rFonts w:ascii="Times New Roman" w:hAnsi="Times New Roman"/>
          <w:sz w:val="24"/>
          <w:szCs w:val="24"/>
        </w:rPr>
      </w:pPr>
      <w:r w:rsidRPr="009057A1">
        <w:rPr>
          <w:rFonts w:ascii="Times New Roman" w:hAnsi="Times New Roman"/>
          <w:sz w:val="24"/>
          <w:szCs w:val="24"/>
        </w:rPr>
        <w:t>Model with lowest WAIC compared to non-spatial GAMLSS and simple GLM.</w:t>
      </w:r>
    </w:p>
    <w:p w14:paraId="428CC80E" w14:textId="77777777" w:rsidR="00A83CF6" w:rsidRDefault="00A83CF6" w:rsidP="00A83CF6">
      <w:pPr>
        <w:spacing w:line="240" w:lineRule="auto"/>
        <w:jc w:val="both"/>
        <w:rPr>
          <w:rFonts w:ascii="Times New Roman" w:hAnsi="Times New Roman"/>
          <w:sz w:val="24"/>
          <w:szCs w:val="24"/>
        </w:rPr>
      </w:pPr>
      <w:r w:rsidRPr="009057A1">
        <w:rPr>
          <w:rFonts w:ascii="Times New Roman" w:hAnsi="Times New Roman"/>
          <w:sz w:val="24"/>
          <w:szCs w:val="24"/>
        </w:rPr>
        <w:t>Severity had the strongest effect on hazard risk, followed by frequency. The spatial range of 2.1 km underscores loc</w:t>
      </w:r>
      <w:r w:rsidRPr="00AA484F">
        <w:rPr>
          <w:rFonts w:ascii="Times New Roman" w:hAnsi="Times New Roman"/>
          <w:sz w:val="24"/>
          <w:szCs w:val="24"/>
        </w:rPr>
        <w:t>alized clustering, with spatial variance ref</w:t>
      </w:r>
      <w:r>
        <w:rPr>
          <w:rFonts w:ascii="Times New Roman" w:hAnsi="Times New Roman"/>
          <w:sz w:val="24"/>
          <w:szCs w:val="24"/>
        </w:rPr>
        <w:t xml:space="preserve">lecting uneven hazard exposure. </w:t>
      </w:r>
    </w:p>
    <w:p w14:paraId="2DE39B3A" w14:textId="77777777" w:rsidR="00A5396C" w:rsidRDefault="00A5396C" w:rsidP="00A5396C">
      <w:pPr>
        <w:pStyle w:val="ListParagraph"/>
        <w:numPr>
          <w:ilvl w:val="0"/>
          <w:numId w:val="1"/>
        </w:numPr>
        <w:spacing w:line="240" w:lineRule="auto"/>
        <w:jc w:val="both"/>
        <w:rPr>
          <w:rFonts w:ascii="Times New Roman" w:hAnsi="Times New Roman"/>
          <w:b/>
          <w:sz w:val="24"/>
          <w:szCs w:val="24"/>
        </w:rPr>
      </w:pPr>
      <w:r w:rsidRPr="00FA5889">
        <w:rPr>
          <w:rFonts w:ascii="Times New Roman" w:hAnsi="Times New Roman"/>
          <w:b/>
          <w:sz w:val="24"/>
          <w:szCs w:val="24"/>
        </w:rPr>
        <w:t>Discussions</w:t>
      </w:r>
    </w:p>
    <w:p w14:paraId="0FC6C741" w14:textId="77777777" w:rsidR="00643032" w:rsidRPr="00643032" w:rsidRDefault="00643032" w:rsidP="00643032">
      <w:pPr>
        <w:spacing w:line="240" w:lineRule="auto"/>
        <w:jc w:val="both"/>
        <w:rPr>
          <w:rFonts w:ascii="Times New Roman" w:hAnsi="Times New Roman"/>
          <w:b/>
          <w:sz w:val="24"/>
          <w:szCs w:val="24"/>
        </w:rPr>
      </w:pPr>
      <w:r w:rsidRPr="00643032">
        <w:rPr>
          <w:rFonts w:ascii="Times New Roman" w:hAnsi="Times New Roman"/>
          <w:b/>
          <w:sz w:val="24"/>
          <w:szCs w:val="24"/>
        </w:rPr>
        <w:t>4.1 Major Hazards and Seasonal Patterns</w:t>
      </w:r>
    </w:p>
    <w:p w14:paraId="57D6D184" w14:textId="77777777" w:rsidR="00717D73"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 xml:space="preserve">The analysis identified flooding, drought, epidemics, windstorms, fire outbreaks, and Boko Haram insurgency as the dominant hazards affecting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Among these, flooding and insurgency emerged as the most destructive, with over 90% of households reporting displacement, property loss, and fatalities. Epidemics, particularly cholera, recorded the highest health burden, while drought primarily disrupted livelihoods. Seasonal analysis showed clear cyclical patterns: floods peaked in the rainy season (July–September), droughts and fire outbreaks intensified during the dry Harmattan period (November–March), and epidemics coincided with rainy months due to contaminated water sources. These findings corroborate earlier studies in the Sahel which emphasize the duality of hydrological and climatic extremes </w:t>
      </w:r>
      <w:r w:rsidRPr="005C0121">
        <w:rPr>
          <w:rFonts w:ascii="Times New Roman" w:hAnsi="Times New Roman"/>
          <w:sz w:val="24"/>
          <w:szCs w:val="24"/>
        </w:rPr>
        <w:lastRenderedPageBreak/>
        <w:t>(</w:t>
      </w:r>
      <w:proofErr w:type="spellStart"/>
      <w:r w:rsidRPr="005C0121">
        <w:rPr>
          <w:rFonts w:ascii="Times New Roman" w:hAnsi="Times New Roman"/>
          <w:sz w:val="24"/>
          <w:szCs w:val="24"/>
        </w:rPr>
        <w:t>Niang</w:t>
      </w:r>
      <w:proofErr w:type="spellEnd"/>
      <w:r w:rsidRPr="005C0121">
        <w:rPr>
          <w:rFonts w:ascii="Times New Roman" w:hAnsi="Times New Roman"/>
          <w:sz w:val="24"/>
          <w:szCs w:val="24"/>
        </w:rPr>
        <w:t xml:space="preserve"> et al., 2014). The seasonality of hazards highlights the necessity for anticipatory disaster planning synchronized with climatic cycles.</w:t>
      </w:r>
    </w:p>
    <w:p w14:paraId="6730AB0A" w14:textId="77777777" w:rsidR="00717D73" w:rsidRPr="00717D73" w:rsidRDefault="00643032" w:rsidP="00643032">
      <w:pPr>
        <w:spacing w:line="240" w:lineRule="auto"/>
        <w:jc w:val="both"/>
        <w:rPr>
          <w:rFonts w:ascii="Times New Roman" w:hAnsi="Times New Roman"/>
          <w:b/>
          <w:sz w:val="24"/>
          <w:szCs w:val="24"/>
        </w:rPr>
      </w:pPr>
      <w:r w:rsidRPr="00717D73">
        <w:rPr>
          <w:rFonts w:ascii="Times New Roman" w:hAnsi="Times New Roman"/>
          <w:b/>
          <w:sz w:val="24"/>
          <w:szCs w:val="24"/>
        </w:rPr>
        <w:t>4.2 Spatial Distribution and Severity of Hazard Impacts</w:t>
      </w:r>
    </w:p>
    <w:p w14:paraId="511E82A9" w14:textId="77777777" w:rsidR="00B56D2A"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 xml:space="preserve">Spatial analyses revealed that hazards are not uniformly distributed across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but are clustered in high-risk wards such as </w:t>
      </w:r>
      <w:proofErr w:type="spellStart"/>
      <w:r w:rsidRPr="005C0121">
        <w:rPr>
          <w:rFonts w:ascii="Times New Roman" w:hAnsi="Times New Roman"/>
          <w:sz w:val="24"/>
          <w:szCs w:val="24"/>
        </w:rPr>
        <w:t>Nayinawa</w:t>
      </w:r>
      <w:proofErr w:type="spellEnd"/>
      <w:r w:rsidRPr="005C0121">
        <w:rPr>
          <w:rFonts w:ascii="Times New Roman" w:hAnsi="Times New Roman"/>
          <w:sz w:val="24"/>
          <w:szCs w:val="24"/>
        </w:rPr>
        <w:t xml:space="preserve">, Sabon </w:t>
      </w:r>
      <w:proofErr w:type="spellStart"/>
      <w:r w:rsidRPr="005C0121">
        <w:rPr>
          <w:rFonts w:ascii="Times New Roman" w:hAnsi="Times New Roman"/>
          <w:sz w:val="24"/>
          <w:szCs w:val="24"/>
        </w:rPr>
        <w:t>Pegi</w:t>
      </w:r>
      <w:proofErr w:type="spellEnd"/>
      <w:r w:rsidRPr="005C0121">
        <w:rPr>
          <w:rFonts w:ascii="Times New Roman" w:hAnsi="Times New Roman"/>
          <w:sz w:val="24"/>
          <w:szCs w:val="24"/>
        </w:rPr>
        <w:t xml:space="preserve">, and </w:t>
      </w:r>
      <w:proofErr w:type="spellStart"/>
      <w:r w:rsidRPr="005C0121">
        <w:rPr>
          <w:rFonts w:ascii="Times New Roman" w:hAnsi="Times New Roman"/>
          <w:sz w:val="24"/>
          <w:szCs w:val="24"/>
        </w:rPr>
        <w:t>Gwange</w:t>
      </w:r>
      <w:proofErr w:type="spellEnd"/>
      <w:r w:rsidRPr="005C0121">
        <w:rPr>
          <w:rFonts w:ascii="Times New Roman" w:hAnsi="Times New Roman"/>
          <w:sz w:val="24"/>
          <w:szCs w:val="24"/>
        </w:rPr>
        <w:t xml:space="preserve">. Flooding was concentrated in low-lying settlements with poor drainage, while drought impacts were most severe in the agricultural outskirts. The Bayesian spatial model indicated localized clustering within a 2.1 km radius, underscoring the need for micro-scale vulnerability assessments. Severity ranking further positioned </w:t>
      </w:r>
      <w:proofErr w:type="spellStart"/>
      <w:r w:rsidRPr="005C0121">
        <w:rPr>
          <w:rFonts w:ascii="Times New Roman" w:hAnsi="Times New Roman"/>
          <w:sz w:val="24"/>
          <w:szCs w:val="24"/>
        </w:rPr>
        <w:t>Nayinawa</w:t>
      </w:r>
      <w:proofErr w:type="spellEnd"/>
      <w:r w:rsidRPr="005C0121">
        <w:rPr>
          <w:rFonts w:ascii="Times New Roman" w:hAnsi="Times New Roman"/>
          <w:sz w:val="24"/>
          <w:szCs w:val="24"/>
        </w:rPr>
        <w:t xml:space="preserve"> and Sabon </w:t>
      </w:r>
      <w:proofErr w:type="spellStart"/>
      <w:r w:rsidRPr="005C0121">
        <w:rPr>
          <w:rFonts w:ascii="Times New Roman" w:hAnsi="Times New Roman"/>
          <w:sz w:val="24"/>
          <w:szCs w:val="24"/>
        </w:rPr>
        <w:t>Pegi</w:t>
      </w:r>
      <w:proofErr w:type="spellEnd"/>
      <w:r w:rsidRPr="005C0121">
        <w:rPr>
          <w:rFonts w:ascii="Times New Roman" w:hAnsi="Times New Roman"/>
          <w:sz w:val="24"/>
          <w:szCs w:val="24"/>
        </w:rPr>
        <w:t xml:space="preserve"> as hotspots, recording the highest combined hazard impact scores. These patterns align with Cutter et al.’s (2003) concept of place-based vulnerability, where social and environmental conditions amplify risks in specific locations.</w:t>
      </w:r>
    </w:p>
    <w:p w14:paraId="1A877A0B" w14:textId="77777777" w:rsidR="00B56D2A" w:rsidRPr="00B56D2A" w:rsidRDefault="00643032" w:rsidP="00B56D2A">
      <w:pPr>
        <w:pStyle w:val="ListParagraph"/>
        <w:numPr>
          <w:ilvl w:val="1"/>
          <w:numId w:val="1"/>
        </w:numPr>
        <w:spacing w:line="240" w:lineRule="auto"/>
        <w:jc w:val="both"/>
        <w:rPr>
          <w:rFonts w:ascii="Times New Roman" w:hAnsi="Times New Roman"/>
          <w:b/>
          <w:sz w:val="24"/>
          <w:szCs w:val="24"/>
        </w:rPr>
      </w:pPr>
      <w:r w:rsidRPr="00B56D2A">
        <w:rPr>
          <w:rFonts w:ascii="Times New Roman" w:hAnsi="Times New Roman"/>
          <w:b/>
          <w:sz w:val="24"/>
          <w:szCs w:val="24"/>
        </w:rPr>
        <w:t>Socio-Economic Vulnerabilities</w:t>
      </w:r>
    </w:p>
    <w:p w14:paraId="5A61BA02" w14:textId="77777777" w:rsidR="00B56D2A" w:rsidRDefault="00643032" w:rsidP="00B56D2A">
      <w:pPr>
        <w:spacing w:line="240" w:lineRule="auto"/>
        <w:jc w:val="both"/>
        <w:rPr>
          <w:rFonts w:ascii="Times New Roman" w:hAnsi="Times New Roman"/>
          <w:sz w:val="24"/>
          <w:szCs w:val="24"/>
        </w:rPr>
      </w:pPr>
      <w:r w:rsidRPr="00B56D2A">
        <w:rPr>
          <w:rFonts w:ascii="Times New Roman" w:hAnsi="Times New Roman"/>
          <w:sz w:val="24"/>
          <w:szCs w:val="24"/>
        </w:rPr>
        <w:t xml:space="preserve">Socioeconomic disparities strongly shaped hazard outcomes. Regression and ANOVA results demonstrated that income and educational levels were significant predictors of disaster impacts (p&lt;0.001). Households with lower income and limited education reported higher displacement, slower recovery, and reduced access to coping strategies. Over 50% of respondents had no formal education, and poverty constrained their ability to invest in risk-reducing measures. Such findings are consistent with global vulnerability frameworks (Wisner et al., 2004; Blaikie et al., 1994), which underscore how structural inequalities heighten disaster risk. In </w:t>
      </w:r>
      <w:proofErr w:type="spellStart"/>
      <w:r w:rsidRPr="00B56D2A">
        <w:rPr>
          <w:rFonts w:ascii="Times New Roman" w:hAnsi="Times New Roman"/>
          <w:sz w:val="24"/>
          <w:szCs w:val="24"/>
        </w:rPr>
        <w:t>Damaturu</w:t>
      </w:r>
      <w:proofErr w:type="spellEnd"/>
      <w:r w:rsidRPr="00B56D2A">
        <w:rPr>
          <w:rFonts w:ascii="Times New Roman" w:hAnsi="Times New Roman"/>
          <w:sz w:val="24"/>
          <w:szCs w:val="24"/>
        </w:rPr>
        <w:t>, the lack of financial and human capital compounded vulnerability, leaving marginalized groups disproportionately exposed.</w:t>
      </w:r>
    </w:p>
    <w:p w14:paraId="7229B989" w14:textId="77777777" w:rsidR="00B56D2A" w:rsidRPr="00B56D2A" w:rsidRDefault="00643032" w:rsidP="00B56D2A">
      <w:pPr>
        <w:pStyle w:val="ListParagraph"/>
        <w:numPr>
          <w:ilvl w:val="1"/>
          <w:numId w:val="1"/>
        </w:numPr>
        <w:spacing w:line="240" w:lineRule="auto"/>
        <w:jc w:val="both"/>
        <w:rPr>
          <w:rFonts w:ascii="Times New Roman" w:hAnsi="Times New Roman"/>
          <w:b/>
          <w:sz w:val="24"/>
          <w:szCs w:val="24"/>
        </w:rPr>
      </w:pPr>
      <w:r w:rsidRPr="00B56D2A">
        <w:rPr>
          <w:rFonts w:ascii="Times New Roman" w:hAnsi="Times New Roman"/>
          <w:b/>
          <w:sz w:val="24"/>
          <w:szCs w:val="24"/>
        </w:rPr>
        <w:t>Local Perceptions and Barriers to Preparedness</w:t>
      </w:r>
    </w:p>
    <w:p w14:paraId="45BFC2AB" w14:textId="77777777" w:rsidR="00B56D2A" w:rsidRDefault="00643032" w:rsidP="00B56D2A">
      <w:pPr>
        <w:spacing w:line="240" w:lineRule="auto"/>
        <w:jc w:val="both"/>
        <w:rPr>
          <w:rFonts w:ascii="Times New Roman" w:hAnsi="Times New Roman"/>
          <w:sz w:val="24"/>
          <w:szCs w:val="24"/>
        </w:rPr>
      </w:pPr>
      <w:r w:rsidRPr="00B56D2A">
        <w:rPr>
          <w:rFonts w:ascii="Times New Roman" w:hAnsi="Times New Roman"/>
          <w:sz w:val="24"/>
          <w:szCs w:val="24"/>
        </w:rPr>
        <w:t xml:space="preserve">Focus group discussions revealed critical insights into community perceptions. Participants emphasized increasing hazard frequency and intensity, consistent with broader meteorological observations in the Sahel. Yet, preparedness was constrained by limited financial resources, poor infrastructure, and weak early warning systems. Residents expressed reliance on divine intervention, reflecting both cultural perspectives and institutional deficiencies. Women and children were consistently identified as the most at-risk groups during hazard events, revealing gendered disparities in vulnerability. These insights confirm findings by </w:t>
      </w:r>
      <w:proofErr w:type="spellStart"/>
      <w:r w:rsidRPr="00B56D2A">
        <w:rPr>
          <w:rFonts w:ascii="Times New Roman" w:hAnsi="Times New Roman"/>
          <w:sz w:val="24"/>
          <w:szCs w:val="24"/>
        </w:rPr>
        <w:t>Adelekan</w:t>
      </w:r>
      <w:proofErr w:type="spellEnd"/>
      <w:r w:rsidRPr="00B56D2A">
        <w:rPr>
          <w:rFonts w:ascii="Times New Roman" w:hAnsi="Times New Roman"/>
          <w:sz w:val="24"/>
          <w:szCs w:val="24"/>
        </w:rPr>
        <w:t xml:space="preserve"> (2010; 2016), who highlighted that infrastructural and institutional weaknesses are central barriers to resilience in African cities.</w:t>
      </w:r>
    </w:p>
    <w:p w14:paraId="689BE45F" w14:textId="77777777" w:rsidR="00B56D2A" w:rsidRPr="00B56D2A" w:rsidRDefault="00643032" w:rsidP="00B56D2A">
      <w:pPr>
        <w:pStyle w:val="ListParagraph"/>
        <w:numPr>
          <w:ilvl w:val="1"/>
          <w:numId w:val="1"/>
        </w:numPr>
        <w:spacing w:line="240" w:lineRule="auto"/>
        <w:jc w:val="both"/>
        <w:rPr>
          <w:rFonts w:ascii="Times New Roman" w:hAnsi="Times New Roman"/>
          <w:b/>
          <w:sz w:val="24"/>
          <w:szCs w:val="24"/>
        </w:rPr>
      </w:pPr>
      <w:r w:rsidRPr="00B56D2A">
        <w:rPr>
          <w:rFonts w:ascii="Times New Roman" w:hAnsi="Times New Roman"/>
          <w:b/>
          <w:sz w:val="24"/>
          <w:szCs w:val="24"/>
        </w:rPr>
        <w:t>Evidence-Based and Spatially Targeted Strategies</w:t>
      </w:r>
    </w:p>
    <w:p w14:paraId="3F9510F0" w14:textId="77777777" w:rsidR="00B56D2A" w:rsidRDefault="00643032" w:rsidP="00B56D2A">
      <w:pPr>
        <w:spacing w:line="240" w:lineRule="auto"/>
        <w:jc w:val="both"/>
        <w:rPr>
          <w:rFonts w:ascii="Times New Roman" w:hAnsi="Times New Roman"/>
          <w:sz w:val="24"/>
          <w:szCs w:val="24"/>
        </w:rPr>
      </w:pPr>
      <w:r w:rsidRPr="00B56D2A">
        <w:rPr>
          <w:rFonts w:ascii="Times New Roman" w:hAnsi="Times New Roman"/>
          <w:sz w:val="24"/>
          <w:szCs w:val="24"/>
        </w:rPr>
        <w:t xml:space="preserve">The study underscores the importance of evidence-driven, spatially sensitive disaster risk reduction strategies. </w:t>
      </w:r>
      <w:r w:rsidR="006E53BC" w:rsidRPr="00B56D2A">
        <w:rPr>
          <w:rFonts w:ascii="Times New Roman" w:hAnsi="Times New Roman"/>
          <w:sz w:val="24"/>
          <w:szCs w:val="24"/>
        </w:rPr>
        <w:t>Crucial</w:t>
      </w:r>
      <w:r w:rsidRPr="00B56D2A">
        <w:rPr>
          <w:rFonts w:ascii="Times New Roman" w:hAnsi="Times New Roman"/>
          <w:sz w:val="24"/>
          <w:szCs w:val="24"/>
        </w:rPr>
        <w:t xml:space="preserve"> recommendations include: prioritizing high-risk wards such as </w:t>
      </w:r>
      <w:proofErr w:type="spellStart"/>
      <w:r w:rsidRPr="00B56D2A">
        <w:rPr>
          <w:rFonts w:ascii="Times New Roman" w:hAnsi="Times New Roman"/>
          <w:sz w:val="24"/>
          <w:szCs w:val="24"/>
        </w:rPr>
        <w:t>Nayinawa</w:t>
      </w:r>
      <w:proofErr w:type="spellEnd"/>
      <w:r w:rsidRPr="00B56D2A">
        <w:rPr>
          <w:rFonts w:ascii="Times New Roman" w:hAnsi="Times New Roman"/>
          <w:sz w:val="24"/>
          <w:szCs w:val="24"/>
        </w:rPr>
        <w:t xml:space="preserve"> and Sabon </w:t>
      </w:r>
      <w:proofErr w:type="spellStart"/>
      <w:r w:rsidRPr="00B56D2A">
        <w:rPr>
          <w:rFonts w:ascii="Times New Roman" w:hAnsi="Times New Roman"/>
          <w:sz w:val="24"/>
          <w:szCs w:val="24"/>
        </w:rPr>
        <w:t>Pegi</w:t>
      </w:r>
      <w:proofErr w:type="spellEnd"/>
      <w:r w:rsidRPr="00B56D2A">
        <w:rPr>
          <w:rFonts w:ascii="Times New Roman" w:hAnsi="Times New Roman"/>
          <w:sz w:val="24"/>
          <w:szCs w:val="24"/>
        </w:rPr>
        <w:t xml:space="preserve"> for targeted interventions, strengthening early warning systems and communication channels, investing in drainage infrastructure and resilient housing, enhancing livelihood diversification and income-generating programs to reduce economic vulnerability, and integrating community-based resilience training with formal education initiatives. Bayesian predictive modeling provides a valuable decision-support tool, allowing policymakers to anticipate hazard probabilities and allocate resources more effectively. Such location-specific </w:t>
      </w:r>
      <w:r w:rsidRPr="00B56D2A">
        <w:rPr>
          <w:rFonts w:ascii="Times New Roman" w:hAnsi="Times New Roman"/>
          <w:sz w:val="24"/>
          <w:szCs w:val="24"/>
        </w:rPr>
        <w:lastRenderedPageBreak/>
        <w:t>and participatory strategies align with the Sendai Framework (UNDRR, 2015) and SDG 11 and 13 goals for sustainable cities and climate resilience.</w:t>
      </w:r>
    </w:p>
    <w:p w14:paraId="54B7ADC3" w14:textId="77777777" w:rsidR="00643032" w:rsidRPr="005C0121" w:rsidRDefault="00643032" w:rsidP="00643032">
      <w:pPr>
        <w:spacing w:line="240" w:lineRule="auto"/>
        <w:jc w:val="both"/>
        <w:rPr>
          <w:rFonts w:ascii="Times New Roman" w:hAnsi="Times New Roman"/>
          <w:sz w:val="24"/>
          <w:szCs w:val="24"/>
        </w:rPr>
      </w:pPr>
      <w:r w:rsidRPr="00B56D2A">
        <w:rPr>
          <w:rFonts w:ascii="Times New Roman" w:hAnsi="Times New Roman"/>
          <w:sz w:val="24"/>
          <w:szCs w:val="24"/>
        </w:rPr>
        <w:t xml:space="preserve">In summary, hazard risk in </w:t>
      </w:r>
      <w:proofErr w:type="spellStart"/>
      <w:r w:rsidRPr="00B56D2A">
        <w:rPr>
          <w:rFonts w:ascii="Times New Roman" w:hAnsi="Times New Roman"/>
          <w:sz w:val="24"/>
          <w:szCs w:val="24"/>
        </w:rPr>
        <w:t>Damaturu</w:t>
      </w:r>
      <w:proofErr w:type="spellEnd"/>
      <w:r w:rsidRPr="00B56D2A">
        <w:rPr>
          <w:rFonts w:ascii="Times New Roman" w:hAnsi="Times New Roman"/>
          <w:sz w:val="24"/>
          <w:szCs w:val="24"/>
        </w:rPr>
        <w:t xml:space="preserve"> is shaped by a combination of seasonal climatic cycles, spatial clustering, socio-economic disparities, and institutional weaknesses. Addressing these vulnerabilities requires integrated, spatially targeted interventions that combine infrastructural development, poverty alleviation, and participatory governance. By aligning local realities with global disaster risk frameworks, this study provides a roadmap for advancing resilience in fragile urban environments of the Sahel.</w:t>
      </w:r>
      <w:r w:rsidR="005A7932">
        <w:rPr>
          <w:rFonts w:ascii="Times New Roman" w:hAnsi="Times New Roman"/>
          <w:sz w:val="24"/>
          <w:szCs w:val="24"/>
        </w:rPr>
        <w:t xml:space="preserve"> </w:t>
      </w:r>
      <w:r w:rsidRPr="005C0121">
        <w:rPr>
          <w:rFonts w:ascii="Times New Roman" w:hAnsi="Times New Roman"/>
          <w:sz w:val="24"/>
          <w:szCs w:val="24"/>
        </w:rPr>
        <w:t xml:space="preserve">This study provides a multidimensional perspective on hazard impacts, vulnerability, preparedness, and resilience in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town by integrating quantitative, qualitative, and spatial analyses. The findings demonstrate that socioeconomic disparities strongly influence household susceptibility to disasters, with income and education emerging as critical determinants of adaptive capacity. The demographic profile of respondents revealed a predominance of low-income and low-education groups, consistent with global literature that underscores the role of structural inequalities in shaping disaster risk and recovery potential (Wisner et al., 2004; Blaikie et al., 1994). These conditions restrict access to information, risk-reducing infrastructure, and emergency support services, thereby compounding vulnerability in the study area.</w:t>
      </w:r>
    </w:p>
    <w:p w14:paraId="2592053B" w14:textId="77777777" w:rsidR="00643032" w:rsidRPr="005C0121"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The analysis of hazard impacts shows that flooding and Boko Haram insurgency are the most destructive, with over 90% of households reporting displacement and property loss. These findings mirror reports by UNDRR (2020), which emphasize that hydrological hazards and conflict often converge to create complex emergencies in sub-Saharan Africa. Epidemics, particularly cholera, also registered severe health consequences, especially in poorly serviced settlements. Statistical testing confirmed significant differences in hazard impacts across socioeconomic groups (F=9.73, p&lt;0.001), reinforcing the vulnerability theory which posits that the poorest and least educated segments of society carry a disproportionate disaster burden (Chambers &amp; Conway, 1992; Cutter et al., 2003).</w:t>
      </w:r>
      <w:r w:rsidR="005A7932">
        <w:rPr>
          <w:rFonts w:ascii="Times New Roman" w:hAnsi="Times New Roman"/>
          <w:sz w:val="24"/>
          <w:szCs w:val="24"/>
        </w:rPr>
        <w:t xml:space="preserve"> </w:t>
      </w:r>
      <w:r w:rsidRPr="005C0121">
        <w:rPr>
          <w:rFonts w:ascii="Times New Roman" w:hAnsi="Times New Roman"/>
          <w:sz w:val="24"/>
          <w:szCs w:val="24"/>
        </w:rPr>
        <w:t>Regression analysis further revealed that income, education, and hazard frequency are strong predictors of disaster impact, aligning with earlier studies in rural African contexts (</w:t>
      </w:r>
      <w:proofErr w:type="spellStart"/>
      <w:r w:rsidRPr="005C0121">
        <w:rPr>
          <w:rFonts w:ascii="Times New Roman" w:hAnsi="Times New Roman"/>
          <w:sz w:val="24"/>
          <w:szCs w:val="24"/>
        </w:rPr>
        <w:t>Ologunorisa</w:t>
      </w:r>
      <w:proofErr w:type="spellEnd"/>
      <w:r w:rsidRPr="005C0121">
        <w:rPr>
          <w:rFonts w:ascii="Times New Roman" w:hAnsi="Times New Roman"/>
          <w:sz w:val="24"/>
          <w:szCs w:val="24"/>
        </w:rPr>
        <w:t xml:space="preserve"> &amp; Adeyemo, 2005). The finding that low income and limited education significantly increase vulnerability highlights the urgent need for integrated socio-economic development strategies as part of disaster risk reduction. These results are consistent with observations by </w:t>
      </w:r>
      <w:proofErr w:type="spellStart"/>
      <w:r w:rsidRPr="005C0121">
        <w:rPr>
          <w:rFonts w:ascii="Times New Roman" w:hAnsi="Times New Roman"/>
          <w:sz w:val="24"/>
          <w:szCs w:val="24"/>
        </w:rPr>
        <w:t>Mashi</w:t>
      </w:r>
      <w:proofErr w:type="spellEnd"/>
      <w:r w:rsidRPr="005C0121">
        <w:rPr>
          <w:rFonts w:ascii="Times New Roman" w:hAnsi="Times New Roman"/>
          <w:sz w:val="24"/>
          <w:szCs w:val="24"/>
        </w:rPr>
        <w:t xml:space="preserve"> et al. (2014), who linked poverty and environmental degradation with heightened hazard exposure in northern Nigeria.</w:t>
      </w:r>
    </w:p>
    <w:p w14:paraId="6DDF77C8" w14:textId="77777777" w:rsidR="00643032" w:rsidRPr="005C0121"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Insights from focus group discussions deepened this understanding by revealing community perceptions of hazards and the barriers to preparedness. Participants frequently emphasized the rising frequency and intensity of floods, droughts, and windstorms, which is consistent with meteorological studies reporting increased climate variability in the Sahel (</w:t>
      </w:r>
      <w:proofErr w:type="spellStart"/>
      <w:r w:rsidRPr="005C0121">
        <w:rPr>
          <w:rFonts w:ascii="Times New Roman" w:hAnsi="Times New Roman"/>
          <w:sz w:val="24"/>
          <w:szCs w:val="24"/>
        </w:rPr>
        <w:t>Niang</w:t>
      </w:r>
      <w:proofErr w:type="spellEnd"/>
      <w:r w:rsidRPr="005C0121">
        <w:rPr>
          <w:rFonts w:ascii="Times New Roman" w:hAnsi="Times New Roman"/>
          <w:sz w:val="24"/>
          <w:szCs w:val="24"/>
        </w:rPr>
        <w:t xml:space="preserve"> et al., 2014). Respondents cited poor infrastructure, weak early warning systems, and inadequate government support as key challenges. Such institutional and infrastructural gaps have also been identified in previous African urban studies as major impediments to building disaster resilience (</w:t>
      </w:r>
      <w:proofErr w:type="spellStart"/>
      <w:r w:rsidRPr="005C0121">
        <w:rPr>
          <w:rFonts w:ascii="Times New Roman" w:hAnsi="Times New Roman"/>
          <w:sz w:val="24"/>
          <w:szCs w:val="24"/>
        </w:rPr>
        <w:t>Adelekan</w:t>
      </w:r>
      <w:proofErr w:type="spellEnd"/>
      <w:r w:rsidRPr="005C0121">
        <w:rPr>
          <w:rFonts w:ascii="Times New Roman" w:hAnsi="Times New Roman"/>
          <w:sz w:val="24"/>
          <w:szCs w:val="24"/>
        </w:rPr>
        <w:t>, 2010; 2016).</w:t>
      </w:r>
      <w:r w:rsidR="005A7932">
        <w:rPr>
          <w:rFonts w:ascii="Times New Roman" w:hAnsi="Times New Roman"/>
          <w:sz w:val="24"/>
          <w:szCs w:val="24"/>
        </w:rPr>
        <w:t xml:space="preserve"> </w:t>
      </w:r>
      <w:r w:rsidRPr="005C0121">
        <w:rPr>
          <w:rFonts w:ascii="Times New Roman" w:hAnsi="Times New Roman"/>
          <w:sz w:val="24"/>
          <w:szCs w:val="24"/>
        </w:rPr>
        <w:t xml:space="preserve">Spatial and seasonal analyses highlighted the uneven distribution of hazards across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Areas such as </w:t>
      </w:r>
      <w:proofErr w:type="spellStart"/>
      <w:r w:rsidRPr="005C0121">
        <w:rPr>
          <w:rFonts w:ascii="Times New Roman" w:hAnsi="Times New Roman"/>
          <w:sz w:val="24"/>
          <w:szCs w:val="24"/>
        </w:rPr>
        <w:t>Nayinawa</w:t>
      </w:r>
      <w:proofErr w:type="spellEnd"/>
      <w:r w:rsidRPr="005C0121">
        <w:rPr>
          <w:rFonts w:ascii="Times New Roman" w:hAnsi="Times New Roman"/>
          <w:sz w:val="24"/>
          <w:szCs w:val="24"/>
        </w:rPr>
        <w:t xml:space="preserve"> and Sabon </w:t>
      </w:r>
      <w:proofErr w:type="spellStart"/>
      <w:r w:rsidRPr="005C0121">
        <w:rPr>
          <w:rFonts w:ascii="Times New Roman" w:hAnsi="Times New Roman"/>
          <w:sz w:val="24"/>
          <w:szCs w:val="24"/>
        </w:rPr>
        <w:t>Pegi</w:t>
      </w:r>
      <w:proofErr w:type="spellEnd"/>
      <w:r w:rsidRPr="005C0121">
        <w:rPr>
          <w:rFonts w:ascii="Times New Roman" w:hAnsi="Times New Roman"/>
          <w:sz w:val="24"/>
          <w:szCs w:val="24"/>
        </w:rPr>
        <w:t xml:space="preserve"> emerged as hotspots, particularly for flooding, reflecting Cutter et al.’s (2003) argument that vulnerability is often concentrated in specific locations due to underlying social and physical conditions. Seasonal variations aligned with expected climatic cycles, with floods peaking during the rainy season and droughts and fire </w:t>
      </w:r>
      <w:r w:rsidRPr="005C0121">
        <w:rPr>
          <w:rFonts w:ascii="Times New Roman" w:hAnsi="Times New Roman"/>
          <w:sz w:val="24"/>
          <w:szCs w:val="24"/>
        </w:rPr>
        <w:lastRenderedPageBreak/>
        <w:t>outbreaks intensifying during the dry Harmattan months. These cyclical patterns emphasize the need for anticipatory planning and resource pre-positioning to alleviate seasonal stressors.</w:t>
      </w:r>
    </w:p>
    <w:p w14:paraId="31031B35" w14:textId="77777777" w:rsidR="00643032" w:rsidRPr="005C0121"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Advanced statistical modeling provided further evidence of the drivers of hazard impacts. Logistic regression and Bayesian analyses demonstrated that frequency and severity significantly increase both the likelihood and magnitude of disaster impacts, a finding consistent with Burton et al. (1993), who described risk amplification under repeated exposures. The spatial Bayesian model additionally identified vulnerability hotspots within a 2.1 km radius, underscoring micro-scale disparities in resilience even within a single urban locality. This highlights the importance of localized risk assessments rather than broad, city-wide generalizations.</w:t>
      </w:r>
      <w:r w:rsidR="005A7932">
        <w:rPr>
          <w:rFonts w:ascii="Times New Roman" w:hAnsi="Times New Roman"/>
          <w:sz w:val="24"/>
          <w:szCs w:val="24"/>
        </w:rPr>
        <w:t xml:space="preserve"> </w:t>
      </w:r>
      <w:r w:rsidRPr="005C0121">
        <w:rPr>
          <w:rFonts w:ascii="Times New Roman" w:hAnsi="Times New Roman"/>
          <w:sz w:val="24"/>
          <w:szCs w:val="24"/>
        </w:rPr>
        <w:t xml:space="preserve">Finally, the hazard ranking exercises offered decision-makers practical tools for prioritizing interventions. The alignment between observed data and Bayesian posterior probabilities strengthens the validity of the findings, with flooding emerging as the hazard with the highest predicted occurrence probability (0.30). These prioritization metrics echo calls in the literature for locally calibrated early warning systems and context-specific adaptation frameworks (Few et al., 2006; </w:t>
      </w:r>
      <w:proofErr w:type="spellStart"/>
      <w:r w:rsidRPr="005C0121">
        <w:rPr>
          <w:rFonts w:ascii="Times New Roman" w:hAnsi="Times New Roman"/>
          <w:sz w:val="24"/>
          <w:szCs w:val="24"/>
        </w:rPr>
        <w:t>Birkmann</w:t>
      </w:r>
      <w:proofErr w:type="spellEnd"/>
      <w:r w:rsidRPr="005C0121">
        <w:rPr>
          <w:rFonts w:ascii="Times New Roman" w:hAnsi="Times New Roman"/>
          <w:sz w:val="24"/>
          <w:szCs w:val="24"/>
        </w:rPr>
        <w:t>, 2006).</w:t>
      </w:r>
    </w:p>
    <w:p w14:paraId="5F379B4A" w14:textId="77777777" w:rsidR="00643032" w:rsidRPr="005C0121"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 xml:space="preserve">Overall, the study underscores the necessity of integrated and evidence-based disaster risk reduction (DRR) strategies in resource-constrained settings like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By combining statistical rigor with local knowledge and participatory assessments, the research highlights how hazards intersect with poverty, weak infrastructure, and political insecurity to exacerbate vulnerability. Importantly, the findings suggest that interventions should not adopt a one-size-fits-all approach but rather be tailored to the specific socioeconomic and spatial vulnerabilities of different groups and neighborhoods. Such a multidimensional perspective is crucial for advancing resilience in fragile contexts where hazards are recurrent and adaptive capacity is unevenly distributed. </w:t>
      </w:r>
    </w:p>
    <w:p w14:paraId="734D5A52" w14:textId="77777777" w:rsidR="00643032" w:rsidRPr="005C0121" w:rsidRDefault="00643032" w:rsidP="00643032">
      <w:pPr>
        <w:spacing w:line="240" w:lineRule="auto"/>
        <w:jc w:val="both"/>
        <w:rPr>
          <w:rFonts w:ascii="Times New Roman" w:hAnsi="Times New Roman"/>
          <w:sz w:val="24"/>
          <w:szCs w:val="24"/>
        </w:rPr>
      </w:pPr>
      <w:r w:rsidRPr="005C0121">
        <w:rPr>
          <w:rFonts w:ascii="Times New Roman" w:hAnsi="Times New Roman"/>
          <w:sz w:val="24"/>
          <w:szCs w:val="24"/>
        </w:rPr>
        <w:t xml:space="preserve">In sum, the study highlights that disaster risk in </w:t>
      </w:r>
      <w:proofErr w:type="spellStart"/>
      <w:r w:rsidRPr="005C0121">
        <w:rPr>
          <w:rFonts w:ascii="Times New Roman" w:hAnsi="Times New Roman"/>
          <w:sz w:val="24"/>
          <w:szCs w:val="24"/>
        </w:rPr>
        <w:t>Damaturu</w:t>
      </w:r>
      <w:proofErr w:type="spellEnd"/>
      <w:r w:rsidRPr="005C0121">
        <w:rPr>
          <w:rFonts w:ascii="Times New Roman" w:hAnsi="Times New Roman"/>
          <w:sz w:val="24"/>
          <w:szCs w:val="24"/>
        </w:rPr>
        <w:t xml:space="preserve"> is shaped not only by the frequency and severity of hazards but also by entrenched socioeconomic inequalities and spatial disparities in exposure. These findings underscore the urgent need for locally tailored disaster risk reduction policies that integrate poverty alleviation, education, and infrastructure development with early warning and preparedness systems. For policymakers, the evidence suggests that interventions should prioritize the most vulnerable wards and households, particularly those with low income, limited education, and inadequate physical assets. Future research should build on these insights by employing longitudinal data and high-resolution spatial modeling to capture changing hazard dynamics under climate variability and insecurity. Such evidence-driven, context-specific approaches are essential for advancing resilience in fragile urban environments across Nigeria and the wider Sahel. </w:t>
      </w:r>
    </w:p>
    <w:p w14:paraId="798EDFF7" w14:textId="77777777" w:rsidR="00A5396C" w:rsidRPr="00FA5889" w:rsidRDefault="00A5396C" w:rsidP="00A5396C">
      <w:pPr>
        <w:pStyle w:val="ListParagraph"/>
        <w:numPr>
          <w:ilvl w:val="0"/>
          <w:numId w:val="1"/>
        </w:numPr>
        <w:spacing w:line="240" w:lineRule="auto"/>
        <w:jc w:val="both"/>
        <w:rPr>
          <w:rFonts w:ascii="Times New Roman" w:hAnsi="Times New Roman"/>
          <w:b/>
          <w:sz w:val="24"/>
          <w:szCs w:val="24"/>
        </w:rPr>
      </w:pPr>
      <w:r w:rsidRPr="00FA5889">
        <w:rPr>
          <w:rFonts w:ascii="Times New Roman" w:hAnsi="Times New Roman"/>
          <w:b/>
          <w:sz w:val="24"/>
          <w:szCs w:val="24"/>
        </w:rPr>
        <w:t>Conclusion</w:t>
      </w:r>
    </w:p>
    <w:p w14:paraId="79330163" w14:textId="77777777" w:rsidR="00A5396C" w:rsidRPr="00D41E34" w:rsidRDefault="00A5396C" w:rsidP="00A5396C">
      <w:pPr>
        <w:spacing w:line="240" w:lineRule="auto"/>
        <w:jc w:val="both"/>
        <w:rPr>
          <w:rFonts w:ascii="Times New Roman" w:hAnsi="Times New Roman"/>
          <w:sz w:val="24"/>
          <w:szCs w:val="24"/>
        </w:rPr>
      </w:pPr>
      <w:r w:rsidRPr="00D41E34">
        <w:rPr>
          <w:rFonts w:ascii="Times New Roman" w:hAnsi="Times New Roman"/>
          <w:sz w:val="24"/>
          <w:szCs w:val="24"/>
        </w:rPr>
        <w:t xml:space="preserve">This study set out to examine the impacts of multiple hazards on households in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w:t>
      </w:r>
      <w:proofErr w:type="spellStart"/>
      <w:r w:rsidRPr="00D41E34">
        <w:rPr>
          <w:rFonts w:ascii="Times New Roman" w:hAnsi="Times New Roman"/>
          <w:sz w:val="24"/>
          <w:szCs w:val="24"/>
        </w:rPr>
        <w:t>Yobe</w:t>
      </w:r>
      <w:proofErr w:type="spellEnd"/>
      <w:r w:rsidRPr="00D41E34">
        <w:rPr>
          <w:rFonts w:ascii="Times New Roman" w:hAnsi="Times New Roman"/>
          <w:sz w:val="24"/>
          <w:szCs w:val="24"/>
        </w:rPr>
        <w:t xml:space="preserve"> State, with a focus on vulnerability, preparedness, and resilience. By adopting a mixed-methods approach, the research integrated household surveys, focus group discussions, spatial analyses, and advanced statistical models to provide a multidimensional understanding of disaster risk. The findings demonstrate that hazards such as flooding, drought, epidemics, windstorms, fire outbreaks, and conflict-related violence significantly disrupt livelihoods, health, and settlement stability, with flooding and Boko Haram insurgency emerging as the most destructive. </w:t>
      </w:r>
      <w:r w:rsidRPr="00D41E34">
        <w:rPr>
          <w:rFonts w:ascii="Times New Roman" w:hAnsi="Times New Roman"/>
          <w:sz w:val="24"/>
          <w:szCs w:val="24"/>
        </w:rPr>
        <w:lastRenderedPageBreak/>
        <w:t>Socioeconomic factors, particularly income and education, were found to be strong predictors of disaster impact, while weak infrastructure, poor institutional support, and limited early warning systems further compounded community vulnerability.</w:t>
      </w:r>
    </w:p>
    <w:p w14:paraId="34C91A24" w14:textId="77777777" w:rsidR="00A5396C" w:rsidRPr="00D41E34" w:rsidRDefault="00A5396C" w:rsidP="00A5396C">
      <w:pPr>
        <w:spacing w:line="240" w:lineRule="auto"/>
        <w:jc w:val="both"/>
        <w:rPr>
          <w:rFonts w:ascii="Times New Roman" w:hAnsi="Times New Roman"/>
          <w:sz w:val="24"/>
          <w:szCs w:val="24"/>
        </w:rPr>
      </w:pPr>
      <w:r w:rsidRPr="00D41E34">
        <w:rPr>
          <w:rFonts w:ascii="Times New Roman" w:hAnsi="Times New Roman"/>
          <w:sz w:val="24"/>
          <w:szCs w:val="24"/>
        </w:rPr>
        <w:t xml:space="preserve">The analysis also revealed that hazard impacts are not evenly distributed, but instead cluster in specific wards such as </w:t>
      </w:r>
      <w:proofErr w:type="spellStart"/>
      <w:r w:rsidRPr="00D41E34">
        <w:rPr>
          <w:rFonts w:ascii="Times New Roman" w:hAnsi="Times New Roman"/>
          <w:sz w:val="24"/>
          <w:szCs w:val="24"/>
        </w:rPr>
        <w:t>Nayinawa</w:t>
      </w:r>
      <w:proofErr w:type="spellEnd"/>
      <w:r w:rsidRPr="00D41E34">
        <w:rPr>
          <w:rFonts w:ascii="Times New Roman" w:hAnsi="Times New Roman"/>
          <w:sz w:val="24"/>
          <w:szCs w:val="24"/>
        </w:rPr>
        <w:t xml:space="preserve"> and Sabon </w:t>
      </w:r>
      <w:proofErr w:type="spellStart"/>
      <w:r w:rsidRPr="00D41E34">
        <w:rPr>
          <w:rFonts w:ascii="Times New Roman" w:hAnsi="Times New Roman"/>
          <w:sz w:val="24"/>
          <w:szCs w:val="24"/>
        </w:rPr>
        <w:t>Pegi</w:t>
      </w:r>
      <w:proofErr w:type="spellEnd"/>
      <w:r w:rsidRPr="00D41E34">
        <w:rPr>
          <w:rFonts w:ascii="Times New Roman" w:hAnsi="Times New Roman"/>
          <w:sz w:val="24"/>
          <w:szCs w:val="24"/>
        </w:rPr>
        <w:t xml:space="preserve">, underscoring the importance of spatially sensitive interventions. Seasonal patterns showed cyclical stressors, with floods peaking during the rainy season and droughts and fire outbreaks dominating the dry months, emphasizing the need for anticipatory resource allocation. Bayesian and spatial models further strengthened predictive insights, highlighting both the probabilistic nature of hazards and the micro-scale disparities in exposure across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w:t>
      </w:r>
      <w:r>
        <w:rPr>
          <w:rFonts w:ascii="Times New Roman" w:hAnsi="Times New Roman"/>
          <w:sz w:val="24"/>
          <w:szCs w:val="24"/>
        </w:rPr>
        <w:t xml:space="preserve"> </w:t>
      </w:r>
      <w:r w:rsidRPr="00D41E34">
        <w:rPr>
          <w:rFonts w:ascii="Times New Roman" w:hAnsi="Times New Roman"/>
          <w:sz w:val="24"/>
          <w:szCs w:val="24"/>
        </w:rPr>
        <w:t>Taken together, the study underscores that disaster risk in resource-constrained settings is shaped by the convergence of environmental, social, and political stressors. The findings highlight the need for integrated disaster risk reduction strategies that combine poverty alleviation, education, infrastructure development, and locally calibrated early warning systems. Policymakers should prioritize interventions in high-risk communities, tailoring strategies to specific vulnerabilities rather than relying on generalized solutions.</w:t>
      </w:r>
    </w:p>
    <w:p w14:paraId="21FCB591" w14:textId="7797E051" w:rsidR="00ED48C4" w:rsidRDefault="00A5396C" w:rsidP="00082308">
      <w:pPr>
        <w:spacing w:line="240" w:lineRule="auto"/>
        <w:jc w:val="both"/>
        <w:rPr>
          <w:rFonts w:ascii="Times New Roman" w:hAnsi="Times New Roman"/>
          <w:sz w:val="24"/>
          <w:szCs w:val="24"/>
        </w:rPr>
      </w:pPr>
      <w:r w:rsidRPr="00D41E34">
        <w:rPr>
          <w:rFonts w:ascii="Times New Roman" w:hAnsi="Times New Roman"/>
          <w:sz w:val="24"/>
          <w:szCs w:val="24"/>
        </w:rPr>
        <w:t xml:space="preserve">While this study provides a robust cross-sectional analysis, future research should extend its scope through longitudinal assessments and climate-sensitive modeling to capture evolving risk dynamics in the Sahel. Strengthening community resilience in contexts like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requires not only technical solutions but also participatory governance and sustained investment in human and social capital. Such efforts are vital to reducing vulnerability, enhancing adaptive capacity, and safeguarding livelihoods in an era of increasing environmental and security challenges.</w:t>
      </w:r>
      <w:r>
        <w:rPr>
          <w:rFonts w:ascii="Times New Roman" w:hAnsi="Times New Roman"/>
          <w:sz w:val="24"/>
          <w:szCs w:val="24"/>
        </w:rPr>
        <w:t xml:space="preserve"> </w:t>
      </w:r>
      <w:r w:rsidRPr="00D41E34">
        <w:rPr>
          <w:rFonts w:ascii="Times New Roman" w:hAnsi="Times New Roman"/>
          <w:sz w:val="24"/>
          <w:szCs w:val="24"/>
        </w:rPr>
        <w:t xml:space="preserve">This study shows that disaster risk reduction in </w:t>
      </w:r>
      <w:proofErr w:type="spellStart"/>
      <w:r w:rsidRPr="00D41E34">
        <w:rPr>
          <w:rFonts w:ascii="Times New Roman" w:hAnsi="Times New Roman"/>
          <w:sz w:val="24"/>
          <w:szCs w:val="24"/>
        </w:rPr>
        <w:t>Damaturu</w:t>
      </w:r>
      <w:proofErr w:type="spellEnd"/>
      <w:r w:rsidRPr="00D41E34">
        <w:rPr>
          <w:rFonts w:ascii="Times New Roman" w:hAnsi="Times New Roman"/>
          <w:sz w:val="24"/>
          <w:szCs w:val="24"/>
        </w:rPr>
        <w:t xml:space="preserve"> must go beyond emergency response and be integrated into broader socio-economic development. Targeted investments in education, livelihood diversification, and basic infrastructure; particularly in high-risk wards like </w:t>
      </w:r>
      <w:proofErr w:type="spellStart"/>
      <w:r w:rsidRPr="00D41E34">
        <w:rPr>
          <w:rFonts w:ascii="Times New Roman" w:hAnsi="Times New Roman"/>
          <w:sz w:val="24"/>
          <w:szCs w:val="24"/>
        </w:rPr>
        <w:t>Nayinawa</w:t>
      </w:r>
      <w:proofErr w:type="spellEnd"/>
      <w:r w:rsidRPr="00D41E34">
        <w:rPr>
          <w:rFonts w:ascii="Times New Roman" w:hAnsi="Times New Roman"/>
          <w:sz w:val="24"/>
          <w:szCs w:val="24"/>
        </w:rPr>
        <w:t xml:space="preserve"> and Sabon </w:t>
      </w:r>
      <w:proofErr w:type="spellStart"/>
      <w:r w:rsidRPr="00D41E34">
        <w:rPr>
          <w:rFonts w:ascii="Times New Roman" w:hAnsi="Times New Roman"/>
          <w:sz w:val="24"/>
          <w:szCs w:val="24"/>
        </w:rPr>
        <w:t>Pegi</w:t>
      </w:r>
      <w:proofErr w:type="spellEnd"/>
      <w:r w:rsidRPr="00D41E34">
        <w:rPr>
          <w:rFonts w:ascii="Times New Roman" w:hAnsi="Times New Roman"/>
          <w:sz w:val="24"/>
          <w:szCs w:val="24"/>
        </w:rPr>
        <w:t xml:space="preserve"> can significantly reduce vulnerability. Strengthening community-based early warning systems and applying probabilistic models for risk forecasting will also enable more inclusive, evidence-driven, and location-specific interventions.</w:t>
      </w:r>
    </w:p>
    <w:p w14:paraId="188572EC" w14:textId="529693C9" w:rsidR="00FE5853" w:rsidRPr="00FE5853" w:rsidRDefault="00FE5853" w:rsidP="00082308">
      <w:pPr>
        <w:spacing w:line="240" w:lineRule="auto"/>
        <w:jc w:val="both"/>
        <w:rPr>
          <w:rFonts w:ascii="Times New Roman" w:hAnsi="Times New Roman"/>
          <w:b/>
          <w:sz w:val="24"/>
          <w:szCs w:val="24"/>
        </w:rPr>
      </w:pPr>
    </w:p>
    <w:p w14:paraId="6B6C3119" w14:textId="7460A52E" w:rsidR="00FE5853" w:rsidRPr="00FE5853" w:rsidRDefault="00FE5853" w:rsidP="00FE5853">
      <w:pPr>
        <w:spacing w:line="240" w:lineRule="auto"/>
        <w:jc w:val="both"/>
        <w:rPr>
          <w:rFonts w:ascii="Times New Roman" w:hAnsi="Times New Roman"/>
          <w:b/>
          <w:sz w:val="28"/>
          <w:szCs w:val="24"/>
        </w:rPr>
      </w:pPr>
      <w:r w:rsidRPr="00FE5853">
        <w:rPr>
          <w:rFonts w:ascii="Times New Roman" w:hAnsi="Times New Roman"/>
          <w:b/>
          <w:sz w:val="28"/>
          <w:szCs w:val="24"/>
        </w:rPr>
        <w:t>Ethical Considerations</w:t>
      </w:r>
      <w:r>
        <w:rPr>
          <w:rFonts w:ascii="Times New Roman" w:hAnsi="Times New Roman"/>
          <w:b/>
          <w:sz w:val="28"/>
          <w:szCs w:val="24"/>
        </w:rPr>
        <w:t xml:space="preserve"> and consent</w:t>
      </w:r>
    </w:p>
    <w:p w14:paraId="75B06DDE" w14:textId="30A476DB" w:rsidR="00FE5853" w:rsidRDefault="00FE5853" w:rsidP="00FE5853">
      <w:pPr>
        <w:spacing w:line="240" w:lineRule="auto"/>
        <w:jc w:val="both"/>
        <w:rPr>
          <w:rFonts w:ascii="Times New Roman" w:hAnsi="Times New Roman"/>
          <w:sz w:val="24"/>
          <w:szCs w:val="24"/>
        </w:rPr>
      </w:pPr>
      <w:r w:rsidRPr="00FE5853">
        <w:rPr>
          <w:rFonts w:ascii="Times New Roman" w:hAnsi="Times New Roman"/>
          <w:sz w:val="24"/>
          <w:szCs w:val="24"/>
        </w:rPr>
        <w:t>This subsection was included to demonstrate adherence to research ethics, ensuring participant rights, confidentiality, and compliance with international research standards. Ethical protocols were strictly adhered to throughout the study. Informed consent was obtained from all participants prior to data collection, and confidentiality was maintained by anonymizing identifiable information during both analysis and reporting. These measures ensured compliance with research ethics standards and safeguarded the rights and dignity of participants.</w:t>
      </w:r>
    </w:p>
    <w:p w14:paraId="76CE3106" w14:textId="77777777" w:rsidR="00324D59" w:rsidRDefault="00324D59" w:rsidP="00082308">
      <w:pPr>
        <w:spacing w:line="240" w:lineRule="auto"/>
        <w:jc w:val="both"/>
        <w:rPr>
          <w:rFonts w:ascii="Times New Roman" w:hAnsi="Times New Roman"/>
          <w:sz w:val="24"/>
          <w:szCs w:val="24"/>
        </w:rPr>
      </w:pPr>
    </w:p>
    <w:p w14:paraId="5F3B999B" w14:textId="77777777" w:rsidR="00324D59" w:rsidRPr="00FC42CE" w:rsidRDefault="00324D59" w:rsidP="004F6D0A">
      <w:pPr>
        <w:jc w:val="both"/>
        <w:rPr>
          <w:rFonts w:ascii="Times New Roman" w:eastAsia="Calibri" w:hAnsi="Times New Roman"/>
          <w:b/>
          <w:kern w:val="2"/>
          <w:sz w:val="24"/>
          <w:szCs w:val="24"/>
        </w:rPr>
      </w:pPr>
      <w:bookmarkStart w:id="0" w:name="_Hlk201835975"/>
      <w:bookmarkStart w:id="1" w:name="_Hlk193540946"/>
      <w:bookmarkStart w:id="2" w:name="_Hlk180402183"/>
      <w:bookmarkStart w:id="3" w:name="_Hlk183680988"/>
      <w:bookmarkStart w:id="4" w:name="_Hlk197173371"/>
      <w:r w:rsidRPr="00FC42CE">
        <w:rPr>
          <w:rFonts w:ascii="Times New Roman" w:eastAsia="Calibri" w:hAnsi="Times New Roman"/>
          <w:b/>
          <w:kern w:val="2"/>
          <w:sz w:val="24"/>
          <w:szCs w:val="24"/>
        </w:rPr>
        <w:t>Disclaimer (Artificial intelligence)</w:t>
      </w:r>
    </w:p>
    <w:bookmarkEnd w:id="0"/>
    <w:bookmarkEnd w:id="1"/>
    <w:bookmarkEnd w:id="2"/>
    <w:bookmarkEnd w:id="3"/>
    <w:bookmarkEnd w:id="4"/>
    <w:p w14:paraId="6D7BDEA6" w14:textId="28BFC985" w:rsidR="0084163B" w:rsidRPr="00B95C95" w:rsidRDefault="0084163B" w:rsidP="00082308">
      <w:pPr>
        <w:spacing w:line="240" w:lineRule="auto"/>
        <w:jc w:val="both"/>
        <w:rPr>
          <w:rFonts w:ascii="Times New Roman" w:eastAsia="Calibri" w:hAnsi="Times New Roman"/>
          <w:kern w:val="2"/>
          <w:sz w:val="24"/>
          <w:szCs w:val="24"/>
        </w:rPr>
      </w:pPr>
      <w:r w:rsidRPr="0084163B">
        <w:rPr>
          <w:rFonts w:ascii="Times New Roman" w:eastAsia="Calibri" w:hAnsi="Times New Roman"/>
          <w:kern w:val="2"/>
          <w:sz w:val="24"/>
          <w:szCs w:val="24"/>
        </w:rPr>
        <w:t>Author(s) hereby declare that NO generative AI technologies such as Large Language Models (</w:t>
      </w:r>
      <w:proofErr w:type="spellStart"/>
      <w:r w:rsidRPr="0084163B">
        <w:rPr>
          <w:rFonts w:ascii="Times New Roman" w:eastAsia="Calibri" w:hAnsi="Times New Roman"/>
          <w:kern w:val="2"/>
          <w:sz w:val="24"/>
          <w:szCs w:val="24"/>
        </w:rPr>
        <w:t>ChatGPT</w:t>
      </w:r>
      <w:proofErr w:type="spellEnd"/>
      <w:r w:rsidRPr="0084163B">
        <w:rPr>
          <w:rFonts w:ascii="Times New Roman" w:eastAsia="Calibri" w:hAnsi="Times New Roman"/>
          <w:kern w:val="2"/>
          <w:sz w:val="24"/>
          <w:szCs w:val="24"/>
        </w:rPr>
        <w:t>, COPILOT, etc.) and text-to-image generators have been used during the writing or editing of this manuscript.</w:t>
      </w:r>
      <w:bookmarkStart w:id="5" w:name="_GoBack"/>
      <w:bookmarkEnd w:id="5"/>
    </w:p>
    <w:p w14:paraId="47FCF0A7" w14:textId="77777777" w:rsidR="00CE1578" w:rsidRDefault="00361592" w:rsidP="00CE1578">
      <w:pPr>
        <w:spacing w:line="240" w:lineRule="auto"/>
        <w:jc w:val="both"/>
        <w:rPr>
          <w:rFonts w:ascii="Times New Roman" w:hAnsi="Times New Roman"/>
          <w:b/>
          <w:sz w:val="24"/>
          <w:szCs w:val="24"/>
        </w:rPr>
      </w:pPr>
      <w:r>
        <w:rPr>
          <w:rFonts w:ascii="Times New Roman" w:hAnsi="Times New Roman"/>
          <w:b/>
          <w:sz w:val="24"/>
          <w:szCs w:val="24"/>
        </w:rPr>
        <w:lastRenderedPageBreak/>
        <w:t xml:space="preserve">Acknowledgement </w:t>
      </w:r>
    </w:p>
    <w:p w14:paraId="344EB552" w14:textId="49143EF3" w:rsidR="0084163B" w:rsidRPr="00E66856" w:rsidRDefault="00E66856" w:rsidP="00CE1578">
      <w:pPr>
        <w:spacing w:line="240" w:lineRule="auto"/>
        <w:jc w:val="both"/>
        <w:rPr>
          <w:rFonts w:ascii="Times New Roman" w:hAnsi="Times New Roman"/>
          <w:sz w:val="24"/>
          <w:szCs w:val="24"/>
        </w:rPr>
      </w:pPr>
      <w:r>
        <w:rPr>
          <w:rFonts w:ascii="Times New Roman" w:hAnsi="Times New Roman"/>
          <w:sz w:val="24"/>
          <w:szCs w:val="24"/>
        </w:rPr>
        <w:t xml:space="preserve">We sincerely acknowledged the support of </w:t>
      </w:r>
      <w:proofErr w:type="spellStart"/>
      <w:r>
        <w:rPr>
          <w:rFonts w:ascii="Times New Roman" w:hAnsi="Times New Roman"/>
          <w:sz w:val="24"/>
          <w:szCs w:val="24"/>
        </w:rPr>
        <w:t>TetFund</w:t>
      </w:r>
      <w:proofErr w:type="spellEnd"/>
      <w:r>
        <w:rPr>
          <w:rFonts w:ascii="Times New Roman" w:hAnsi="Times New Roman"/>
          <w:sz w:val="24"/>
          <w:szCs w:val="24"/>
        </w:rPr>
        <w:t xml:space="preserve"> for funding this research project and the management of Federal University </w:t>
      </w:r>
      <w:proofErr w:type="spellStart"/>
      <w:r>
        <w:rPr>
          <w:rFonts w:ascii="Times New Roman" w:hAnsi="Times New Roman"/>
          <w:sz w:val="24"/>
          <w:szCs w:val="24"/>
        </w:rPr>
        <w:t>Gashua</w:t>
      </w:r>
      <w:proofErr w:type="spellEnd"/>
      <w:r>
        <w:rPr>
          <w:rFonts w:ascii="Times New Roman" w:hAnsi="Times New Roman"/>
          <w:sz w:val="24"/>
          <w:szCs w:val="24"/>
        </w:rPr>
        <w:t xml:space="preserve"> under the able leadership of Professor </w:t>
      </w:r>
      <w:proofErr w:type="spellStart"/>
      <w:r>
        <w:rPr>
          <w:rFonts w:ascii="Times New Roman" w:hAnsi="Times New Roman"/>
          <w:sz w:val="24"/>
          <w:szCs w:val="24"/>
        </w:rPr>
        <w:t>Maimuna</w:t>
      </w:r>
      <w:proofErr w:type="spellEnd"/>
      <w:r>
        <w:rPr>
          <w:rFonts w:ascii="Times New Roman" w:hAnsi="Times New Roman"/>
          <w:sz w:val="24"/>
          <w:szCs w:val="24"/>
        </w:rPr>
        <w:t xml:space="preserve"> Waziri for their invaluable encouragement. </w:t>
      </w:r>
    </w:p>
    <w:p w14:paraId="6B2FEE48" w14:textId="77777777" w:rsidR="00CE1578" w:rsidRPr="00CE1578" w:rsidRDefault="00CE1578" w:rsidP="00CE1578">
      <w:pPr>
        <w:spacing w:line="240" w:lineRule="auto"/>
        <w:jc w:val="both"/>
        <w:rPr>
          <w:rFonts w:ascii="Times New Roman" w:hAnsi="Times New Roman"/>
          <w:sz w:val="24"/>
          <w:szCs w:val="24"/>
        </w:rPr>
      </w:pPr>
    </w:p>
    <w:p w14:paraId="28D53A97" w14:textId="77777777" w:rsidR="003C425E" w:rsidRPr="00AF7B8A" w:rsidRDefault="003C425E" w:rsidP="003C425E">
      <w:pPr>
        <w:spacing w:line="240" w:lineRule="auto"/>
        <w:jc w:val="both"/>
        <w:rPr>
          <w:rFonts w:ascii="Times New Roman" w:hAnsi="Times New Roman"/>
          <w:b/>
          <w:sz w:val="24"/>
          <w:szCs w:val="24"/>
        </w:rPr>
      </w:pPr>
      <w:r w:rsidRPr="00AF7B8A">
        <w:rPr>
          <w:rFonts w:ascii="Times New Roman" w:hAnsi="Times New Roman"/>
          <w:b/>
          <w:sz w:val="24"/>
          <w:szCs w:val="24"/>
        </w:rPr>
        <w:t>References</w:t>
      </w:r>
    </w:p>
    <w:p w14:paraId="17358534" w14:textId="77777777" w:rsidR="00A01163" w:rsidRPr="003348A4" w:rsidRDefault="00A01163" w:rsidP="00A01163">
      <w:pPr>
        <w:pStyle w:val="ListParagraph"/>
        <w:numPr>
          <w:ilvl w:val="0"/>
          <w:numId w:val="12"/>
        </w:numPr>
        <w:spacing w:line="240" w:lineRule="auto"/>
        <w:jc w:val="both"/>
        <w:rPr>
          <w:rFonts w:ascii="Times New Roman" w:hAnsi="Times New Roman"/>
          <w:sz w:val="24"/>
          <w:szCs w:val="24"/>
        </w:rPr>
      </w:pPr>
      <w:r w:rsidRPr="003348A4">
        <w:rPr>
          <w:rFonts w:ascii="Times New Roman" w:hAnsi="Times New Roman"/>
          <w:sz w:val="24"/>
          <w:szCs w:val="24"/>
        </w:rPr>
        <w:t xml:space="preserve">Abba, B. M., </w:t>
      </w:r>
      <w:proofErr w:type="spellStart"/>
      <w:r w:rsidRPr="003348A4">
        <w:rPr>
          <w:rFonts w:ascii="Times New Roman" w:hAnsi="Times New Roman"/>
          <w:sz w:val="24"/>
          <w:szCs w:val="24"/>
        </w:rPr>
        <w:t>Maina</w:t>
      </w:r>
      <w:proofErr w:type="spellEnd"/>
      <w:r w:rsidRPr="003348A4">
        <w:rPr>
          <w:rFonts w:ascii="Times New Roman" w:hAnsi="Times New Roman"/>
          <w:sz w:val="24"/>
          <w:szCs w:val="24"/>
        </w:rPr>
        <w:t xml:space="preserve">, M. B., &amp; </w:t>
      </w:r>
      <w:proofErr w:type="spellStart"/>
      <w:r w:rsidRPr="003348A4">
        <w:rPr>
          <w:rFonts w:ascii="Times New Roman" w:hAnsi="Times New Roman"/>
          <w:sz w:val="24"/>
          <w:szCs w:val="24"/>
        </w:rPr>
        <w:t>Maiva</w:t>
      </w:r>
      <w:proofErr w:type="spellEnd"/>
      <w:r w:rsidRPr="003348A4">
        <w:rPr>
          <w:rFonts w:ascii="Times New Roman" w:hAnsi="Times New Roman"/>
          <w:sz w:val="24"/>
          <w:szCs w:val="24"/>
        </w:rPr>
        <w:t xml:space="preserve">, I. M. (2022). Assessment of flood incidence and its socio-economic implications in </w:t>
      </w:r>
      <w:proofErr w:type="spellStart"/>
      <w:r w:rsidRPr="003348A4">
        <w:rPr>
          <w:rFonts w:ascii="Times New Roman" w:hAnsi="Times New Roman"/>
          <w:sz w:val="24"/>
          <w:szCs w:val="24"/>
        </w:rPr>
        <w:t>Damaturu</w:t>
      </w:r>
      <w:proofErr w:type="spellEnd"/>
      <w:r w:rsidRPr="003348A4">
        <w:rPr>
          <w:rFonts w:ascii="Times New Roman" w:hAnsi="Times New Roman"/>
          <w:sz w:val="24"/>
          <w:szCs w:val="24"/>
        </w:rPr>
        <w:t xml:space="preserve">, </w:t>
      </w:r>
      <w:proofErr w:type="spellStart"/>
      <w:r w:rsidRPr="003348A4">
        <w:rPr>
          <w:rFonts w:ascii="Times New Roman" w:hAnsi="Times New Roman"/>
          <w:sz w:val="24"/>
          <w:szCs w:val="24"/>
        </w:rPr>
        <w:t>Yobe</w:t>
      </w:r>
      <w:proofErr w:type="spellEnd"/>
      <w:r w:rsidRPr="003348A4">
        <w:rPr>
          <w:rFonts w:ascii="Times New Roman" w:hAnsi="Times New Roman"/>
          <w:sz w:val="24"/>
          <w:szCs w:val="24"/>
        </w:rPr>
        <w:t xml:space="preserve"> State, Nigeria. FUDMA Journal of Sciences, 6(3), 206–213. https://doi.org/10.33003/fjs-2022-0603-995</w:t>
      </w:r>
    </w:p>
    <w:p w14:paraId="7B43E744"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proofErr w:type="spellStart"/>
      <w:r w:rsidRPr="00FC42CE">
        <w:rPr>
          <w:rFonts w:ascii="Times New Roman" w:hAnsi="Times New Roman"/>
          <w:sz w:val="24"/>
          <w:szCs w:val="24"/>
        </w:rPr>
        <w:t>Adelekan</w:t>
      </w:r>
      <w:proofErr w:type="spellEnd"/>
      <w:r w:rsidRPr="00FC42CE">
        <w:rPr>
          <w:rFonts w:ascii="Times New Roman" w:hAnsi="Times New Roman"/>
          <w:sz w:val="24"/>
          <w:szCs w:val="24"/>
        </w:rPr>
        <w:t xml:space="preserve">, I. O. (2010). Vulnerability of poor urban coastal communities to climate change in Lagos, Nigeria. Environment and Urbanization, 22(2), 433–450. </w:t>
      </w:r>
    </w:p>
    <w:p w14:paraId="770C1190"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proofErr w:type="spellStart"/>
      <w:r w:rsidRPr="00FC42CE">
        <w:rPr>
          <w:rFonts w:ascii="Times New Roman" w:hAnsi="Times New Roman"/>
          <w:sz w:val="24"/>
          <w:szCs w:val="24"/>
        </w:rPr>
        <w:t>Adelekan</w:t>
      </w:r>
      <w:proofErr w:type="spellEnd"/>
      <w:r w:rsidRPr="00FC42CE">
        <w:rPr>
          <w:rFonts w:ascii="Times New Roman" w:hAnsi="Times New Roman"/>
          <w:sz w:val="24"/>
          <w:szCs w:val="24"/>
        </w:rPr>
        <w:t xml:space="preserve">, I. O. (2016). Disaster risk reduction and climate change adaptation: A view from sub-Saharan Africa. International Journal of Disaster Risk Science, 7(4), 329–335. </w:t>
      </w:r>
    </w:p>
    <w:p w14:paraId="250AB6E1" w14:textId="77777777" w:rsidR="00CB6461" w:rsidRPr="00835F83" w:rsidRDefault="00CB6461" w:rsidP="00CB6461">
      <w:pPr>
        <w:pStyle w:val="ListParagraph"/>
        <w:numPr>
          <w:ilvl w:val="0"/>
          <w:numId w:val="12"/>
        </w:numPr>
        <w:spacing w:line="240" w:lineRule="auto"/>
        <w:jc w:val="both"/>
        <w:rPr>
          <w:rFonts w:ascii="Times New Roman" w:hAnsi="Times New Roman"/>
          <w:sz w:val="24"/>
          <w:szCs w:val="24"/>
        </w:rPr>
      </w:pPr>
      <w:proofErr w:type="spellStart"/>
      <w:r w:rsidRPr="00835F83">
        <w:rPr>
          <w:rFonts w:ascii="Times New Roman" w:hAnsi="Times New Roman"/>
          <w:sz w:val="24"/>
          <w:szCs w:val="24"/>
        </w:rPr>
        <w:t>Agoha</w:t>
      </w:r>
      <w:proofErr w:type="spellEnd"/>
      <w:r w:rsidRPr="00835F83">
        <w:rPr>
          <w:rFonts w:ascii="Times New Roman" w:hAnsi="Times New Roman"/>
          <w:sz w:val="24"/>
          <w:szCs w:val="24"/>
        </w:rPr>
        <w:t xml:space="preserve">, R. N., Obafemi, A. A., &amp; </w:t>
      </w:r>
      <w:proofErr w:type="spellStart"/>
      <w:r w:rsidRPr="00835F83">
        <w:rPr>
          <w:rFonts w:ascii="Times New Roman" w:hAnsi="Times New Roman"/>
          <w:sz w:val="24"/>
          <w:szCs w:val="24"/>
        </w:rPr>
        <w:t>Eludoyin</w:t>
      </w:r>
      <w:proofErr w:type="spellEnd"/>
      <w:r w:rsidRPr="00835F83">
        <w:rPr>
          <w:rFonts w:ascii="Times New Roman" w:hAnsi="Times New Roman"/>
          <w:sz w:val="24"/>
          <w:szCs w:val="24"/>
        </w:rPr>
        <w:t xml:space="preserve">, O. S. (2023). Flood vulnerability assessment of communities in </w:t>
      </w:r>
      <w:proofErr w:type="spellStart"/>
      <w:r w:rsidRPr="00835F83">
        <w:rPr>
          <w:rFonts w:ascii="Times New Roman" w:hAnsi="Times New Roman"/>
          <w:sz w:val="24"/>
          <w:szCs w:val="24"/>
        </w:rPr>
        <w:t>Akwa</w:t>
      </w:r>
      <w:proofErr w:type="spellEnd"/>
      <w:r w:rsidRPr="00835F83">
        <w:rPr>
          <w:rFonts w:ascii="Times New Roman" w:hAnsi="Times New Roman"/>
          <w:sz w:val="24"/>
          <w:szCs w:val="24"/>
        </w:rPr>
        <w:t xml:space="preserve"> Ibom, Nigeria. Asian Journal of Advanced Research and Reports, 17(8), 88–105. https://doi.org/10.9734/ajarr/2023/v17i8507</w:t>
      </w:r>
    </w:p>
    <w:p w14:paraId="27168911"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Alonso-</w:t>
      </w:r>
      <w:proofErr w:type="spellStart"/>
      <w:r w:rsidRPr="00FC42CE">
        <w:rPr>
          <w:rFonts w:ascii="Times New Roman" w:hAnsi="Times New Roman"/>
          <w:sz w:val="24"/>
          <w:szCs w:val="24"/>
        </w:rPr>
        <w:t>Sarria</w:t>
      </w:r>
      <w:proofErr w:type="spellEnd"/>
      <w:r w:rsidRPr="00FC42CE">
        <w:rPr>
          <w:rFonts w:ascii="Times New Roman" w:hAnsi="Times New Roman"/>
          <w:sz w:val="24"/>
          <w:szCs w:val="24"/>
        </w:rPr>
        <w:t xml:space="preserve">, F., Belmonte-Serrato, F., &amp; others. (2025). Detecting flooded areas using Sentinel-1 SAR imagery: Lessons from semi-arid environments. Remote Sensing, 17(8), 1368. </w:t>
      </w:r>
    </w:p>
    <w:p w14:paraId="269514EA"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Belay, H., </w:t>
      </w:r>
      <w:proofErr w:type="spellStart"/>
      <w:r w:rsidRPr="00FC42CE">
        <w:rPr>
          <w:rFonts w:ascii="Times New Roman" w:hAnsi="Times New Roman"/>
          <w:sz w:val="24"/>
          <w:szCs w:val="24"/>
        </w:rPr>
        <w:t>Melesse</w:t>
      </w:r>
      <w:proofErr w:type="spellEnd"/>
      <w:r w:rsidRPr="00FC42CE">
        <w:rPr>
          <w:rFonts w:ascii="Times New Roman" w:hAnsi="Times New Roman"/>
          <w:sz w:val="24"/>
          <w:szCs w:val="24"/>
        </w:rPr>
        <w:t xml:space="preserve">, A. M., </w:t>
      </w:r>
      <w:proofErr w:type="spellStart"/>
      <w:r w:rsidRPr="00FC42CE">
        <w:rPr>
          <w:rFonts w:ascii="Times New Roman" w:hAnsi="Times New Roman"/>
          <w:sz w:val="24"/>
          <w:szCs w:val="24"/>
        </w:rPr>
        <w:t>Tegegne</w:t>
      </w:r>
      <w:proofErr w:type="spellEnd"/>
      <w:r w:rsidRPr="00FC42CE">
        <w:rPr>
          <w:rFonts w:ascii="Times New Roman" w:hAnsi="Times New Roman"/>
          <w:sz w:val="24"/>
          <w:szCs w:val="24"/>
        </w:rPr>
        <w:t xml:space="preserve">, G., &amp; </w:t>
      </w:r>
      <w:proofErr w:type="spellStart"/>
      <w:r w:rsidRPr="00FC42CE">
        <w:rPr>
          <w:rFonts w:ascii="Times New Roman" w:hAnsi="Times New Roman"/>
          <w:sz w:val="24"/>
          <w:szCs w:val="24"/>
        </w:rPr>
        <w:t>Kassaye</w:t>
      </w:r>
      <w:proofErr w:type="spellEnd"/>
      <w:r w:rsidRPr="00FC42CE">
        <w:rPr>
          <w:rFonts w:ascii="Times New Roman" w:hAnsi="Times New Roman"/>
          <w:sz w:val="24"/>
          <w:szCs w:val="24"/>
        </w:rPr>
        <w:t xml:space="preserve">, S. M. (2025). Flood inundation mapping using Google Earth Engine and HEC-RAS under LULC and climate changes in the </w:t>
      </w:r>
      <w:proofErr w:type="spellStart"/>
      <w:r w:rsidRPr="00FC42CE">
        <w:rPr>
          <w:rFonts w:ascii="Times New Roman" w:hAnsi="Times New Roman"/>
          <w:sz w:val="24"/>
          <w:szCs w:val="24"/>
        </w:rPr>
        <w:t>Gumara</w:t>
      </w:r>
      <w:proofErr w:type="spellEnd"/>
      <w:r w:rsidRPr="00FC42CE">
        <w:rPr>
          <w:rFonts w:ascii="Times New Roman" w:hAnsi="Times New Roman"/>
          <w:sz w:val="24"/>
          <w:szCs w:val="24"/>
        </w:rPr>
        <w:t xml:space="preserve"> Watershed, Ethiopia. Remote Sensing, 17(7), 1283. </w:t>
      </w:r>
    </w:p>
    <w:p w14:paraId="40501047"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proofErr w:type="spellStart"/>
      <w:r w:rsidRPr="00FC42CE">
        <w:rPr>
          <w:rFonts w:ascii="Times New Roman" w:hAnsi="Times New Roman"/>
          <w:sz w:val="24"/>
          <w:szCs w:val="24"/>
        </w:rPr>
        <w:t>Birkmann</w:t>
      </w:r>
      <w:proofErr w:type="spellEnd"/>
      <w:r w:rsidRPr="00FC42CE">
        <w:rPr>
          <w:rFonts w:ascii="Times New Roman" w:hAnsi="Times New Roman"/>
          <w:sz w:val="24"/>
          <w:szCs w:val="24"/>
        </w:rPr>
        <w:t xml:space="preserve">, J. (2006). Measuring vulnerability to promote disaster-resilient societies: Conceptual frameworks and definitions. In J. </w:t>
      </w:r>
      <w:proofErr w:type="spellStart"/>
      <w:r w:rsidRPr="00FC42CE">
        <w:rPr>
          <w:rFonts w:ascii="Times New Roman" w:hAnsi="Times New Roman"/>
          <w:sz w:val="24"/>
          <w:szCs w:val="24"/>
        </w:rPr>
        <w:t>Birkmann</w:t>
      </w:r>
      <w:proofErr w:type="spellEnd"/>
      <w:r w:rsidRPr="00FC42CE">
        <w:rPr>
          <w:rFonts w:ascii="Times New Roman" w:hAnsi="Times New Roman"/>
          <w:sz w:val="24"/>
          <w:szCs w:val="24"/>
        </w:rPr>
        <w:t xml:space="preserve"> (Ed.), Measuring vulnerability to natural hazards: Towards disaster resilient societies (pp. 9–54). United Nations University Press.</w:t>
      </w:r>
    </w:p>
    <w:p w14:paraId="5A8D4144"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Blaikie, P., Cannon, T., Davis, I., &amp; Wisner, B. (1994). At risk: Natural hazards, people’s vulnerability and disasters. Routledge.</w:t>
      </w:r>
    </w:p>
    <w:p w14:paraId="780DC6DC"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Burton, I., Kates, R. W., &amp; White, G. F. (1993). The environment as hazard (2nd ed.). The Guilford Press.</w:t>
      </w:r>
    </w:p>
    <w:p w14:paraId="4392DB1C"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Chambers, R., &amp; Conway, G. R. (1992). Sustainable rural livelihoods: Practical concepts for the 21st century. IDS Discussion Paper, No. 296. Institute of Development Studies, Brighton.</w:t>
      </w:r>
    </w:p>
    <w:p w14:paraId="73EC9E4E"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Cutter, S. L., </w:t>
      </w:r>
      <w:proofErr w:type="spellStart"/>
      <w:r w:rsidRPr="00FC42CE">
        <w:rPr>
          <w:rFonts w:ascii="Times New Roman" w:hAnsi="Times New Roman"/>
          <w:sz w:val="24"/>
          <w:szCs w:val="24"/>
        </w:rPr>
        <w:t>Boruff</w:t>
      </w:r>
      <w:proofErr w:type="spellEnd"/>
      <w:r w:rsidRPr="00FC42CE">
        <w:rPr>
          <w:rFonts w:ascii="Times New Roman" w:hAnsi="Times New Roman"/>
          <w:sz w:val="24"/>
          <w:szCs w:val="24"/>
        </w:rPr>
        <w:t>, B. J., &amp; Shirley, W. L. (2003). Social vulnerability to environmental hazards. Social Science Quarterly, 84(2), 242–261.</w:t>
      </w:r>
    </w:p>
    <w:p w14:paraId="57820E12"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DFID. (1999). Sustainable livelihoods guidance sheets. Department for International Development (UK). </w:t>
      </w:r>
    </w:p>
    <w:p w14:paraId="3362AC92"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Few, R., Ahern, M., </w:t>
      </w:r>
      <w:proofErr w:type="spellStart"/>
      <w:r w:rsidRPr="00FC42CE">
        <w:rPr>
          <w:rFonts w:ascii="Times New Roman" w:hAnsi="Times New Roman"/>
          <w:sz w:val="24"/>
          <w:szCs w:val="24"/>
        </w:rPr>
        <w:t>Matthies</w:t>
      </w:r>
      <w:proofErr w:type="spellEnd"/>
      <w:r w:rsidRPr="00FC42CE">
        <w:rPr>
          <w:rFonts w:ascii="Times New Roman" w:hAnsi="Times New Roman"/>
          <w:sz w:val="24"/>
          <w:szCs w:val="24"/>
        </w:rPr>
        <w:t xml:space="preserve">, F., &amp; </w:t>
      </w:r>
      <w:proofErr w:type="spellStart"/>
      <w:r w:rsidRPr="00FC42CE">
        <w:rPr>
          <w:rFonts w:ascii="Times New Roman" w:hAnsi="Times New Roman"/>
          <w:sz w:val="24"/>
          <w:szCs w:val="24"/>
        </w:rPr>
        <w:t>Kovats</w:t>
      </w:r>
      <w:proofErr w:type="spellEnd"/>
      <w:r w:rsidRPr="00FC42CE">
        <w:rPr>
          <w:rFonts w:ascii="Times New Roman" w:hAnsi="Times New Roman"/>
          <w:sz w:val="24"/>
          <w:szCs w:val="24"/>
        </w:rPr>
        <w:t>, S. (2006). Floods, health and climate change: A strategic review. Tyndall Centre for Climate Change Research.</w:t>
      </w:r>
    </w:p>
    <w:p w14:paraId="6B832352"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Gelman, A., Carlin, J. B., Stern, H. S., Dunson, D. B., </w:t>
      </w:r>
      <w:proofErr w:type="spellStart"/>
      <w:r w:rsidRPr="00FC42CE">
        <w:rPr>
          <w:rFonts w:ascii="Times New Roman" w:hAnsi="Times New Roman"/>
          <w:sz w:val="24"/>
          <w:szCs w:val="24"/>
        </w:rPr>
        <w:t>Vehtari</w:t>
      </w:r>
      <w:proofErr w:type="spellEnd"/>
      <w:r w:rsidRPr="00FC42CE">
        <w:rPr>
          <w:rFonts w:ascii="Times New Roman" w:hAnsi="Times New Roman"/>
          <w:sz w:val="24"/>
          <w:szCs w:val="24"/>
        </w:rPr>
        <w:t>, A., &amp; Rubin, D. B. (2013). Bayesian data analysis (3rd ed.). CRC Press.</w:t>
      </w:r>
    </w:p>
    <w:p w14:paraId="20EEE92B"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Ho, Y.-H., &amp; </w:t>
      </w:r>
      <w:proofErr w:type="spellStart"/>
      <w:r w:rsidRPr="00FC42CE">
        <w:rPr>
          <w:rFonts w:ascii="Times New Roman" w:hAnsi="Times New Roman"/>
          <w:sz w:val="24"/>
          <w:szCs w:val="24"/>
        </w:rPr>
        <w:t>Mostafavi</w:t>
      </w:r>
      <w:proofErr w:type="spellEnd"/>
      <w:r w:rsidRPr="00FC42CE">
        <w:rPr>
          <w:rFonts w:ascii="Times New Roman" w:hAnsi="Times New Roman"/>
          <w:sz w:val="24"/>
          <w:szCs w:val="24"/>
        </w:rPr>
        <w:t>, A. (2025). Flood-</w:t>
      </w:r>
      <w:proofErr w:type="spellStart"/>
      <w:r w:rsidRPr="00FC42CE">
        <w:rPr>
          <w:rFonts w:ascii="Times New Roman" w:hAnsi="Times New Roman"/>
          <w:sz w:val="24"/>
          <w:szCs w:val="24"/>
        </w:rPr>
        <w:t>DamageSense</w:t>
      </w:r>
      <w:proofErr w:type="spellEnd"/>
      <w:r w:rsidRPr="00FC42CE">
        <w:rPr>
          <w:rFonts w:ascii="Times New Roman" w:hAnsi="Times New Roman"/>
          <w:sz w:val="24"/>
          <w:szCs w:val="24"/>
        </w:rPr>
        <w:t xml:space="preserve">: Multimodal Mamba with multitask learning for building flood damage assessment using SAR remote sensing imagery. </w:t>
      </w:r>
      <w:proofErr w:type="spellStart"/>
      <w:r w:rsidRPr="00FC42CE">
        <w:rPr>
          <w:rFonts w:ascii="Times New Roman" w:hAnsi="Times New Roman"/>
          <w:sz w:val="24"/>
          <w:szCs w:val="24"/>
        </w:rPr>
        <w:t>arXiv</w:t>
      </w:r>
      <w:proofErr w:type="spellEnd"/>
      <w:r w:rsidRPr="00FC42CE">
        <w:rPr>
          <w:rFonts w:ascii="Times New Roman" w:hAnsi="Times New Roman"/>
          <w:sz w:val="24"/>
          <w:szCs w:val="24"/>
        </w:rPr>
        <w:t>.</w:t>
      </w:r>
    </w:p>
    <w:p w14:paraId="0873CB26" w14:textId="77777777" w:rsidR="00CB6461" w:rsidRPr="00835F83" w:rsidRDefault="00CB6461" w:rsidP="00CB6461">
      <w:pPr>
        <w:pStyle w:val="ListParagraph"/>
        <w:numPr>
          <w:ilvl w:val="0"/>
          <w:numId w:val="12"/>
        </w:numPr>
        <w:spacing w:line="240" w:lineRule="auto"/>
        <w:jc w:val="both"/>
        <w:rPr>
          <w:rFonts w:ascii="Times New Roman" w:hAnsi="Times New Roman"/>
          <w:sz w:val="24"/>
          <w:szCs w:val="24"/>
        </w:rPr>
      </w:pPr>
      <w:proofErr w:type="spellStart"/>
      <w:r w:rsidRPr="00835F83">
        <w:rPr>
          <w:rFonts w:ascii="Times New Roman" w:hAnsi="Times New Roman"/>
          <w:sz w:val="24"/>
          <w:szCs w:val="24"/>
        </w:rPr>
        <w:lastRenderedPageBreak/>
        <w:t>Yisa</w:t>
      </w:r>
      <w:proofErr w:type="spellEnd"/>
      <w:r w:rsidRPr="00835F83">
        <w:rPr>
          <w:rFonts w:ascii="Times New Roman" w:hAnsi="Times New Roman"/>
          <w:sz w:val="24"/>
          <w:szCs w:val="24"/>
        </w:rPr>
        <w:t xml:space="preserve">, A., &amp; Musa, H. (2025). Geospatial analysis of flood vulnerability in </w:t>
      </w:r>
      <w:proofErr w:type="spellStart"/>
      <w:r w:rsidRPr="00835F83">
        <w:rPr>
          <w:rFonts w:ascii="Times New Roman" w:hAnsi="Times New Roman"/>
          <w:sz w:val="24"/>
          <w:szCs w:val="24"/>
        </w:rPr>
        <w:t>Jalingo</w:t>
      </w:r>
      <w:proofErr w:type="spellEnd"/>
      <w:r w:rsidRPr="00835F83">
        <w:rPr>
          <w:rFonts w:ascii="Times New Roman" w:hAnsi="Times New Roman"/>
          <w:sz w:val="24"/>
          <w:szCs w:val="24"/>
        </w:rPr>
        <w:t xml:space="preserve"> Metropolis, Taraba State, Nigeria. Allied Sciences Journal, 7(1), 1-15. https://zapjournals.com/Journals/index.php/Allied-Sciences/article/view/2307</w:t>
      </w:r>
    </w:p>
    <w:p w14:paraId="5D4530F1"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proofErr w:type="spellStart"/>
      <w:r w:rsidRPr="00FC42CE">
        <w:rPr>
          <w:rFonts w:ascii="Times New Roman" w:hAnsi="Times New Roman"/>
          <w:sz w:val="24"/>
          <w:szCs w:val="24"/>
        </w:rPr>
        <w:t>Niang</w:t>
      </w:r>
      <w:proofErr w:type="spellEnd"/>
      <w:r w:rsidRPr="00FC42CE">
        <w:rPr>
          <w:rFonts w:ascii="Times New Roman" w:hAnsi="Times New Roman"/>
          <w:sz w:val="24"/>
          <w:szCs w:val="24"/>
        </w:rPr>
        <w:t xml:space="preserve">, I., Ruppel, O. C., </w:t>
      </w:r>
      <w:proofErr w:type="spellStart"/>
      <w:r w:rsidRPr="00FC42CE">
        <w:rPr>
          <w:rFonts w:ascii="Times New Roman" w:hAnsi="Times New Roman"/>
          <w:sz w:val="24"/>
          <w:szCs w:val="24"/>
        </w:rPr>
        <w:t>Abdrabo</w:t>
      </w:r>
      <w:proofErr w:type="spellEnd"/>
      <w:r w:rsidRPr="00FC42CE">
        <w:rPr>
          <w:rFonts w:ascii="Times New Roman" w:hAnsi="Times New Roman"/>
          <w:sz w:val="24"/>
          <w:szCs w:val="24"/>
        </w:rPr>
        <w:t xml:space="preserve">, M. A., </w:t>
      </w:r>
      <w:proofErr w:type="spellStart"/>
      <w:r w:rsidRPr="00FC42CE">
        <w:rPr>
          <w:rFonts w:ascii="Times New Roman" w:hAnsi="Times New Roman"/>
          <w:sz w:val="24"/>
          <w:szCs w:val="24"/>
        </w:rPr>
        <w:t>Essel</w:t>
      </w:r>
      <w:proofErr w:type="spellEnd"/>
      <w:r w:rsidRPr="00FC42CE">
        <w:rPr>
          <w:rFonts w:ascii="Times New Roman" w:hAnsi="Times New Roman"/>
          <w:sz w:val="24"/>
          <w:szCs w:val="24"/>
        </w:rPr>
        <w:t>, A., Lennard, C. J., Padgham, J., &amp; Urquhart, P. (2014). Africa. In V. R. Barros et al. (Eds.), Climate Change 2014: Impacts, Adaptation, and Vulnerability (pp. 1199–1265). IPCC Working Group II Contribution to the Fifth Assessment Report.</w:t>
      </w:r>
    </w:p>
    <w:p w14:paraId="427379F9" w14:textId="77777777" w:rsidR="0053791F" w:rsidRPr="00835F83" w:rsidRDefault="0053791F" w:rsidP="0053791F">
      <w:pPr>
        <w:pStyle w:val="ListParagraph"/>
        <w:numPr>
          <w:ilvl w:val="0"/>
          <w:numId w:val="12"/>
        </w:numPr>
        <w:spacing w:line="240" w:lineRule="auto"/>
        <w:jc w:val="both"/>
        <w:rPr>
          <w:rFonts w:ascii="Times New Roman" w:hAnsi="Times New Roman"/>
          <w:sz w:val="24"/>
          <w:szCs w:val="24"/>
        </w:rPr>
      </w:pPr>
      <w:proofErr w:type="spellStart"/>
      <w:r w:rsidRPr="00835F83">
        <w:rPr>
          <w:rFonts w:ascii="Times New Roman" w:hAnsi="Times New Roman"/>
          <w:sz w:val="24"/>
          <w:szCs w:val="24"/>
        </w:rPr>
        <w:t>Gana</w:t>
      </w:r>
      <w:proofErr w:type="spellEnd"/>
      <w:r w:rsidRPr="00835F83">
        <w:rPr>
          <w:rFonts w:ascii="Times New Roman" w:hAnsi="Times New Roman"/>
          <w:sz w:val="24"/>
          <w:szCs w:val="24"/>
        </w:rPr>
        <w:t xml:space="preserve">, M. A., &amp; </w:t>
      </w:r>
      <w:proofErr w:type="spellStart"/>
      <w:r w:rsidRPr="00835F83">
        <w:rPr>
          <w:rFonts w:ascii="Times New Roman" w:hAnsi="Times New Roman"/>
          <w:sz w:val="24"/>
          <w:szCs w:val="24"/>
        </w:rPr>
        <w:t>Kabiru</w:t>
      </w:r>
      <w:proofErr w:type="spellEnd"/>
      <w:r w:rsidRPr="00835F83">
        <w:rPr>
          <w:rFonts w:ascii="Times New Roman" w:hAnsi="Times New Roman"/>
          <w:sz w:val="24"/>
          <w:szCs w:val="24"/>
        </w:rPr>
        <w:t xml:space="preserve">, I. A. (2020). Assessing the effects of the 2019 flood in </w:t>
      </w:r>
      <w:proofErr w:type="spellStart"/>
      <w:r w:rsidRPr="00835F83">
        <w:rPr>
          <w:rFonts w:ascii="Times New Roman" w:hAnsi="Times New Roman"/>
          <w:sz w:val="24"/>
          <w:szCs w:val="24"/>
        </w:rPr>
        <w:t>Yobe</w:t>
      </w:r>
      <w:proofErr w:type="spellEnd"/>
      <w:r w:rsidRPr="00835F83">
        <w:rPr>
          <w:rFonts w:ascii="Times New Roman" w:hAnsi="Times New Roman"/>
          <w:sz w:val="24"/>
          <w:szCs w:val="24"/>
        </w:rPr>
        <w:t xml:space="preserve"> State communities and possible mitigation approach. FUDMA Journal of Sciences, 4(3), 656–662. https://doi.org/10.33003/fjs-2020-0403-428</w:t>
      </w:r>
    </w:p>
    <w:p w14:paraId="631B18ED"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proofErr w:type="spellStart"/>
      <w:r w:rsidRPr="00FC42CE">
        <w:rPr>
          <w:rFonts w:ascii="Times New Roman" w:hAnsi="Times New Roman"/>
          <w:sz w:val="24"/>
          <w:szCs w:val="24"/>
        </w:rPr>
        <w:t>Ologunorisa</w:t>
      </w:r>
      <w:proofErr w:type="spellEnd"/>
      <w:r w:rsidRPr="00FC42CE">
        <w:rPr>
          <w:rFonts w:ascii="Times New Roman" w:hAnsi="Times New Roman"/>
          <w:sz w:val="24"/>
          <w:szCs w:val="24"/>
        </w:rPr>
        <w:t xml:space="preserve">, E. T., &amp; Adeyemo, A. (2005). Public perception of flood hazard in the Niger Delta, Nigeria. The Environmentalist, 25(1), 39–45. </w:t>
      </w:r>
    </w:p>
    <w:p w14:paraId="21982347" w14:textId="77777777" w:rsidR="0053791F" w:rsidRPr="00835F83" w:rsidRDefault="0053791F" w:rsidP="0053791F">
      <w:pPr>
        <w:pStyle w:val="ListParagraph"/>
        <w:numPr>
          <w:ilvl w:val="0"/>
          <w:numId w:val="12"/>
        </w:numPr>
        <w:spacing w:line="240" w:lineRule="auto"/>
        <w:jc w:val="both"/>
        <w:rPr>
          <w:rFonts w:ascii="Times New Roman" w:hAnsi="Times New Roman"/>
          <w:sz w:val="24"/>
          <w:szCs w:val="24"/>
        </w:rPr>
      </w:pPr>
      <w:proofErr w:type="spellStart"/>
      <w:r w:rsidRPr="00835F83">
        <w:rPr>
          <w:rFonts w:ascii="Times New Roman" w:hAnsi="Times New Roman"/>
          <w:sz w:val="24"/>
          <w:szCs w:val="24"/>
        </w:rPr>
        <w:t>Adeoti</w:t>
      </w:r>
      <w:proofErr w:type="spellEnd"/>
      <w:r w:rsidRPr="00835F83">
        <w:rPr>
          <w:rFonts w:ascii="Times New Roman" w:hAnsi="Times New Roman"/>
          <w:sz w:val="24"/>
          <w:szCs w:val="24"/>
        </w:rPr>
        <w:t>, A. I., &amp; Adeola, F. O. (2015). Climate change and economic growth in Africa: An econometric analysis. African Economic Review, 7(2), 145–168.</w:t>
      </w:r>
    </w:p>
    <w:p w14:paraId="648E12D6" w14:textId="77777777" w:rsidR="0053791F" w:rsidRPr="00835F83" w:rsidRDefault="0053791F" w:rsidP="0053791F">
      <w:pPr>
        <w:pStyle w:val="ListParagraph"/>
        <w:numPr>
          <w:ilvl w:val="0"/>
          <w:numId w:val="12"/>
        </w:numPr>
        <w:spacing w:line="240" w:lineRule="auto"/>
        <w:jc w:val="both"/>
        <w:rPr>
          <w:rFonts w:ascii="Times New Roman" w:hAnsi="Times New Roman"/>
          <w:sz w:val="24"/>
          <w:szCs w:val="24"/>
        </w:rPr>
      </w:pPr>
      <w:r w:rsidRPr="00835F83">
        <w:rPr>
          <w:rFonts w:ascii="Times New Roman" w:hAnsi="Times New Roman"/>
          <w:sz w:val="24"/>
          <w:szCs w:val="24"/>
        </w:rPr>
        <w:t>National Emergency Management Agency (NEMA). (2024). Federal government launches 2024 hazard risk countrywide analysis for disaster preparedness and mitigation. https://www.nema.gov.ng/state-house-press-release-fg-launches-hazard-risk-analysis-for-disaster-preparedness-mitigation/</w:t>
      </w:r>
    </w:p>
    <w:p w14:paraId="397596DA" w14:textId="77777777" w:rsidR="0053791F" w:rsidRPr="00835F83" w:rsidRDefault="0053791F" w:rsidP="0053791F">
      <w:pPr>
        <w:pStyle w:val="ListParagraph"/>
        <w:numPr>
          <w:ilvl w:val="0"/>
          <w:numId w:val="12"/>
        </w:numPr>
        <w:spacing w:line="240" w:lineRule="auto"/>
        <w:jc w:val="both"/>
        <w:rPr>
          <w:rFonts w:ascii="Times New Roman" w:hAnsi="Times New Roman"/>
          <w:sz w:val="24"/>
          <w:szCs w:val="24"/>
        </w:rPr>
      </w:pPr>
      <w:r w:rsidRPr="00835F83">
        <w:rPr>
          <w:rFonts w:ascii="Times New Roman" w:hAnsi="Times New Roman"/>
          <w:sz w:val="24"/>
          <w:szCs w:val="24"/>
        </w:rPr>
        <w:t>Amnesty International Nigeria. (2025). Nigeria: Mounting death toll and looming humanitarian crisis amid unchecked attacks by armed groups. https://www.amnesty.org.ng/2025/05/28/nigeria-mounting-death-toll-and-looming-humanitarian-crisis-amid-unchecked-attacks-by-armed-groups/</w:t>
      </w:r>
    </w:p>
    <w:p w14:paraId="6F28ED61"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Satterthwaite, D., Archer, D., </w:t>
      </w:r>
      <w:proofErr w:type="spellStart"/>
      <w:r w:rsidRPr="00FC42CE">
        <w:rPr>
          <w:rFonts w:ascii="Times New Roman" w:hAnsi="Times New Roman"/>
          <w:sz w:val="24"/>
          <w:szCs w:val="24"/>
        </w:rPr>
        <w:t>Colenbrander</w:t>
      </w:r>
      <w:proofErr w:type="spellEnd"/>
      <w:r w:rsidRPr="00FC42CE">
        <w:rPr>
          <w:rFonts w:ascii="Times New Roman" w:hAnsi="Times New Roman"/>
          <w:sz w:val="24"/>
          <w:szCs w:val="24"/>
        </w:rPr>
        <w:t xml:space="preserve">, S., Dodman, D., </w:t>
      </w:r>
      <w:proofErr w:type="spellStart"/>
      <w:r w:rsidRPr="00FC42CE">
        <w:rPr>
          <w:rFonts w:ascii="Times New Roman" w:hAnsi="Times New Roman"/>
          <w:sz w:val="24"/>
          <w:szCs w:val="24"/>
        </w:rPr>
        <w:t>Hardoy</w:t>
      </w:r>
      <w:proofErr w:type="spellEnd"/>
      <w:r w:rsidRPr="00FC42CE">
        <w:rPr>
          <w:rFonts w:ascii="Times New Roman" w:hAnsi="Times New Roman"/>
          <w:sz w:val="24"/>
          <w:szCs w:val="24"/>
        </w:rPr>
        <w:t xml:space="preserve">, J., </w:t>
      </w:r>
      <w:proofErr w:type="spellStart"/>
      <w:r w:rsidRPr="00FC42CE">
        <w:rPr>
          <w:rFonts w:ascii="Times New Roman" w:hAnsi="Times New Roman"/>
          <w:sz w:val="24"/>
          <w:szCs w:val="24"/>
        </w:rPr>
        <w:t>Mitlin</w:t>
      </w:r>
      <w:proofErr w:type="spellEnd"/>
      <w:r w:rsidRPr="00FC42CE">
        <w:rPr>
          <w:rFonts w:ascii="Times New Roman" w:hAnsi="Times New Roman"/>
          <w:sz w:val="24"/>
          <w:szCs w:val="24"/>
        </w:rPr>
        <w:t xml:space="preserve">, D., &amp; Patel, S. (2020). Building resilience to climate change in informal settlements. One Earth, 2(2), 143–156. </w:t>
      </w:r>
    </w:p>
    <w:p w14:paraId="10278752"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Smith, K., </w:t>
      </w:r>
      <w:proofErr w:type="spellStart"/>
      <w:r w:rsidRPr="00FC42CE">
        <w:rPr>
          <w:rFonts w:ascii="Times New Roman" w:hAnsi="Times New Roman"/>
          <w:sz w:val="24"/>
          <w:szCs w:val="24"/>
        </w:rPr>
        <w:t>Petley</w:t>
      </w:r>
      <w:proofErr w:type="spellEnd"/>
      <w:r w:rsidRPr="00FC42CE">
        <w:rPr>
          <w:rFonts w:ascii="Times New Roman" w:hAnsi="Times New Roman"/>
          <w:sz w:val="24"/>
          <w:szCs w:val="24"/>
        </w:rPr>
        <w:t>, D. N., &amp; Alexander, D. (2017). Environmental hazards: Assessing risk and reducing disaster (6th ed.). Routledge.</w:t>
      </w:r>
    </w:p>
    <w:p w14:paraId="577F099D"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UNDRR. (2015). Sendai Framework for Disaster Risk Reduction 2015–2030. United Nations Office for Disaster Risk Reduction. </w:t>
      </w:r>
    </w:p>
    <w:p w14:paraId="3FA0A80C"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UNDRR. (2020). The human cost of disasters: An overview of the last 20 years (2000–2019). United Nations Office for Disaster Risk Reduction. </w:t>
      </w:r>
    </w:p>
    <w:p w14:paraId="115BB04D"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UNDRR. (2022). Global assessment report on disaster risk reduction. United Nations Office for Disaster Risk Reduction. </w:t>
      </w:r>
    </w:p>
    <w:p w14:paraId="05872895"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Wang, J., Xuan, W., Qi, H., Liu, Z., Liu, K., Wu, Y., Chen, H., Song, J., Xia, J., Zheng, Z., &amp; </w:t>
      </w:r>
      <w:proofErr w:type="spellStart"/>
      <w:r w:rsidRPr="00FC42CE">
        <w:rPr>
          <w:rFonts w:ascii="Times New Roman" w:hAnsi="Times New Roman"/>
          <w:sz w:val="24"/>
          <w:szCs w:val="24"/>
        </w:rPr>
        <w:t>Yokoya</w:t>
      </w:r>
      <w:proofErr w:type="spellEnd"/>
      <w:r w:rsidRPr="00FC42CE">
        <w:rPr>
          <w:rFonts w:ascii="Times New Roman" w:hAnsi="Times New Roman"/>
          <w:sz w:val="24"/>
          <w:szCs w:val="24"/>
        </w:rPr>
        <w:t xml:space="preserve">, N. (2025). DisasterM3: A remote sensing vision-language dataset for disaster damage assessment and response. </w:t>
      </w:r>
      <w:proofErr w:type="spellStart"/>
      <w:r w:rsidRPr="00FC42CE">
        <w:rPr>
          <w:rFonts w:ascii="Times New Roman" w:hAnsi="Times New Roman"/>
          <w:sz w:val="24"/>
          <w:szCs w:val="24"/>
        </w:rPr>
        <w:t>arXiv</w:t>
      </w:r>
      <w:proofErr w:type="spellEnd"/>
      <w:r w:rsidRPr="00FC42CE">
        <w:rPr>
          <w:rFonts w:ascii="Times New Roman" w:hAnsi="Times New Roman"/>
          <w:sz w:val="24"/>
          <w:szCs w:val="24"/>
        </w:rPr>
        <w:t>.</w:t>
      </w:r>
    </w:p>
    <w:p w14:paraId="2D2C8EDB"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Wisner, B., Blaikie, P., Cannon, T., &amp; Davis, I. (2004). At risk: Natural hazards, people’s vulnerability and disasters (2nd ed.). Routledge. </w:t>
      </w:r>
    </w:p>
    <w:p w14:paraId="21714047" w14:textId="77777777" w:rsidR="009D42FD" w:rsidRPr="00FC42CE" w:rsidRDefault="009D42FD" w:rsidP="00FC42CE">
      <w:pPr>
        <w:pStyle w:val="ListParagraph"/>
        <w:numPr>
          <w:ilvl w:val="0"/>
          <w:numId w:val="12"/>
        </w:numPr>
        <w:spacing w:after="0" w:line="240" w:lineRule="auto"/>
        <w:jc w:val="both"/>
        <w:rPr>
          <w:rFonts w:ascii="Times New Roman" w:hAnsi="Times New Roman"/>
          <w:sz w:val="24"/>
          <w:szCs w:val="24"/>
        </w:rPr>
      </w:pPr>
      <w:r w:rsidRPr="00FC42CE">
        <w:rPr>
          <w:rFonts w:ascii="Times New Roman" w:hAnsi="Times New Roman"/>
          <w:sz w:val="24"/>
          <w:szCs w:val="24"/>
        </w:rPr>
        <w:t xml:space="preserve">Zhang, M., Chen, Z., Wang, J., Kar, B., Pierce, M., </w:t>
      </w:r>
      <w:proofErr w:type="spellStart"/>
      <w:r w:rsidRPr="00FC42CE">
        <w:rPr>
          <w:rFonts w:ascii="Times New Roman" w:hAnsi="Times New Roman"/>
          <w:sz w:val="24"/>
          <w:szCs w:val="24"/>
        </w:rPr>
        <w:t>Tiampo</w:t>
      </w:r>
      <w:proofErr w:type="spellEnd"/>
      <w:r w:rsidRPr="00FC42CE">
        <w:rPr>
          <w:rFonts w:ascii="Times New Roman" w:hAnsi="Times New Roman"/>
          <w:sz w:val="24"/>
          <w:szCs w:val="24"/>
        </w:rPr>
        <w:t xml:space="preserve">, K., </w:t>
      </w:r>
      <w:proofErr w:type="spellStart"/>
      <w:r w:rsidRPr="00FC42CE">
        <w:rPr>
          <w:rFonts w:ascii="Times New Roman" w:hAnsi="Times New Roman"/>
          <w:sz w:val="24"/>
          <w:szCs w:val="24"/>
        </w:rPr>
        <w:t>Eguchi</w:t>
      </w:r>
      <w:proofErr w:type="spellEnd"/>
      <w:r w:rsidRPr="00FC42CE">
        <w:rPr>
          <w:rFonts w:ascii="Times New Roman" w:hAnsi="Times New Roman"/>
          <w:sz w:val="24"/>
          <w:szCs w:val="24"/>
        </w:rPr>
        <w:t xml:space="preserve">, R., &amp; </w:t>
      </w:r>
      <w:proofErr w:type="spellStart"/>
      <w:r w:rsidRPr="00FC42CE">
        <w:rPr>
          <w:rFonts w:ascii="Times New Roman" w:hAnsi="Times New Roman"/>
          <w:sz w:val="24"/>
          <w:szCs w:val="24"/>
        </w:rPr>
        <w:t>Glasscoe</w:t>
      </w:r>
      <w:proofErr w:type="spellEnd"/>
      <w:r w:rsidRPr="00FC42CE">
        <w:rPr>
          <w:rFonts w:ascii="Times New Roman" w:hAnsi="Times New Roman"/>
          <w:sz w:val="24"/>
          <w:szCs w:val="24"/>
        </w:rPr>
        <w:t xml:space="preserve">, M. (2025). Optical remote sensing for global flood disaster mapping: A critical review toward operational readiness. Remote Sensing, 17(11), 1886. </w:t>
      </w:r>
    </w:p>
    <w:p w14:paraId="10BB99AB" w14:textId="77777777" w:rsidR="00FE6645" w:rsidRDefault="00FE6645" w:rsidP="00134A7E">
      <w:pPr>
        <w:spacing w:line="240" w:lineRule="auto"/>
        <w:jc w:val="both"/>
        <w:rPr>
          <w:rFonts w:ascii="Times New Roman" w:hAnsi="Times New Roman"/>
          <w:sz w:val="24"/>
          <w:szCs w:val="24"/>
        </w:rPr>
      </w:pPr>
    </w:p>
    <w:p w14:paraId="0802FF9B" w14:textId="77777777" w:rsidR="00B71A0A" w:rsidRDefault="00B71A0A" w:rsidP="00134A7E">
      <w:pPr>
        <w:spacing w:line="240" w:lineRule="auto"/>
        <w:jc w:val="both"/>
        <w:rPr>
          <w:rFonts w:ascii="Times New Roman" w:hAnsi="Times New Roman"/>
          <w:sz w:val="24"/>
          <w:szCs w:val="24"/>
        </w:rPr>
      </w:pPr>
    </w:p>
    <w:sectPr w:rsidR="00B71A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5EF6" w14:textId="77777777" w:rsidR="00890BB6" w:rsidRDefault="00890BB6" w:rsidP="00812AB9">
      <w:pPr>
        <w:spacing w:after="0" w:line="240" w:lineRule="auto"/>
      </w:pPr>
      <w:r>
        <w:separator/>
      </w:r>
    </w:p>
  </w:endnote>
  <w:endnote w:type="continuationSeparator" w:id="0">
    <w:p w14:paraId="2C0E44F2" w14:textId="77777777" w:rsidR="00890BB6" w:rsidRDefault="00890BB6" w:rsidP="0081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B933" w14:textId="77777777" w:rsidR="006C4058" w:rsidRDefault="006C4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43C5" w14:textId="77777777" w:rsidR="006C4058" w:rsidRDefault="006C4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B430" w14:textId="77777777" w:rsidR="006C4058" w:rsidRDefault="006C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35C39" w14:textId="77777777" w:rsidR="00890BB6" w:rsidRDefault="00890BB6" w:rsidP="00812AB9">
      <w:pPr>
        <w:spacing w:after="0" w:line="240" w:lineRule="auto"/>
      </w:pPr>
      <w:r>
        <w:separator/>
      </w:r>
    </w:p>
  </w:footnote>
  <w:footnote w:type="continuationSeparator" w:id="0">
    <w:p w14:paraId="4F4A11ED" w14:textId="77777777" w:rsidR="00890BB6" w:rsidRDefault="00890BB6" w:rsidP="00812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88A6" w14:textId="77777777" w:rsidR="006C4058" w:rsidRDefault="00890BB6">
    <w:pPr>
      <w:pStyle w:val="Header"/>
    </w:pPr>
    <w:r>
      <w:rPr>
        <w:noProof/>
      </w:rPr>
      <w:pict w14:anchorId="43AC7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A98FF" w14:textId="77777777" w:rsidR="006C4058" w:rsidRDefault="00890BB6">
    <w:pPr>
      <w:pStyle w:val="Header"/>
    </w:pPr>
    <w:r>
      <w:rPr>
        <w:noProof/>
      </w:rPr>
      <w:pict w14:anchorId="4A695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6B97" w14:textId="77777777" w:rsidR="006C4058" w:rsidRDefault="00890BB6">
    <w:pPr>
      <w:pStyle w:val="Header"/>
    </w:pPr>
    <w:r>
      <w:rPr>
        <w:noProof/>
      </w:rPr>
      <w:pict w14:anchorId="45DDC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336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B10"/>
    <w:multiLevelType w:val="hybridMultilevel"/>
    <w:tmpl w:val="3EB64F58"/>
    <w:lvl w:ilvl="0" w:tplc="83ACE5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4A5070"/>
    <w:multiLevelType w:val="multilevel"/>
    <w:tmpl w:val="35C88704"/>
    <w:lvl w:ilvl="0">
      <w:start w:val="3"/>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982935"/>
    <w:multiLevelType w:val="multilevel"/>
    <w:tmpl w:val="3E4A324E"/>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BDA7533"/>
    <w:multiLevelType w:val="hybridMultilevel"/>
    <w:tmpl w:val="D3503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22E64"/>
    <w:multiLevelType w:val="hybridMultilevel"/>
    <w:tmpl w:val="FE964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4069C"/>
    <w:multiLevelType w:val="hybridMultilevel"/>
    <w:tmpl w:val="57F4A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88044B"/>
    <w:multiLevelType w:val="hybridMultilevel"/>
    <w:tmpl w:val="DCE4B366"/>
    <w:lvl w:ilvl="0" w:tplc="DD3499C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C23E8E"/>
    <w:multiLevelType w:val="hybridMultilevel"/>
    <w:tmpl w:val="0AC20ED4"/>
    <w:lvl w:ilvl="0" w:tplc="E6BEA6A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CD4520"/>
    <w:multiLevelType w:val="hybridMultilevel"/>
    <w:tmpl w:val="3DF65FE0"/>
    <w:lvl w:ilvl="0" w:tplc="E6BEA6AE">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A815EA"/>
    <w:multiLevelType w:val="hybridMultilevel"/>
    <w:tmpl w:val="E6BC53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5608E6"/>
    <w:multiLevelType w:val="hybridMultilevel"/>
    <w:tmpl w:val="3E40A440"/>
    <w:lvl w:ilvl="0" w:tplc="C4B4E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71123"/>
    <w:multiLevelType w:val="multilevel"/>
    <w:tmpl w:val="99FAA5CE"/>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6"/>
  </w:num>
  <w:num w:numId="3">
    <w:abstractNumId w:val="5"/>
  </w:num>
  <w:num w:numId="4">
    <w:abstractNumId w:val="9"/>
  </w:num>
  <w:num w:numId="5">
    <w:abstractNumId w:val="10"/>
  </w:num>
  <w:num w:numId="6">
    <w:abstractNumId w:val="8"/>
  </w:num>
  <w:num w:numId="7">
    <w:abstractNumId w:val="7"/>
  </w:num>
  <w:num w:numId="8">
    <w:abstractNumId w:val="3"/>
  </w:num>
  <w:num w:numId="9">
    <w:abstractNumId w:val="0"/>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24"/>
    <w:rsid w:val="0002684E"/>
    <w:rsid w:val="00030253"/>
    <w:rsid w:val="00051455"/>
    <w:rsid w:val="00054FEF"/>
    <w:rsid w:val="00057B80"/>
    <w:rsid w:val="000765A2"/>
    <w:rsid w:val="00082308"/>
    <w:rsid w:val="0008491D"/>
    <w:rsid w:val="000B3A1D"/>
    <w:rsid w:val="00103261"/>
    <w:rsid w:val="00134A7E"/>
    <w:rsid w:val="001462D7"/>
    <w:rsid w:val="001537CB"/>
    <w:rsid w:val="00190D15"/>
    <w:rsid w:val="001C15E3"/>
    <w:rsid w:val="001D057B"/>
    <w:rsid w:val="001D19BF"/>
    <w:rsid w:val="001E7E2B"/>
    <w:rsid w:val="002A7787"/>
    <w:rsid w:val="002C7156"/>
    <w:rsid w:val="002C7823"/>
    <w:rsid w:val="002D15A1"/>
    <w:rsid w:val="002D6003"/>
    <w:rsid w:val="003050A2"/>
    <w:rsid w:val="00320A04"/>
    <w:rsid w:val="00324D59"/>
    <w:rsid w:val="003348A4"/>
    <w:rsid w:val="00361592"/>
    <w:rsid w:val="00366606"/>
    <w:rsid w:val="003C425E"/>
    <w:rsid w:val="00401E85"/>
    <w:rsid w:val="004367EB"/>
    <w:rsid w:val="004F6D0A"/>
    <w:rsid w:val="00506ED4"/>
    <w:rsid w:val="0053791F"/>
    <w:rsid w:val="00540E1E"/>
    <w:rsid w:val="00572B9F"/>
    <w:rsid w:val="00573621"/>
    <w:rsid w:val="005A7932"/>
    <w:rsid w:val="005C3C83"/>
    <w:rsid w:val="005C7EAE"/>
    <w:rsid w:val="005F6286"/>
    <w:rsid w:val="00614CEA"/>
    <w:rsid w:val="00643032"/>
    <w:rsid w:val="00674B66"/>
    <w:rsid w:val="006C4058"/>
    <w:rsid w:val="006C5FD6"/>
    <w:rsid w:val="006E2AC7"/>
    <w:rsid w:val="006E53BC"/>
    <w:rsid w:val="00717D73"/>
    <w:rsid w:val="00725BF6"/>
    <w:rsid w:val="00774766"/>
    <w:rsid w:val="00792993"/>
    <w:rsid w:val="007D7882"/>
    <w:rsid w:val="00812AB9"/>
    <w:rsid w:val="00820E24"/>
    <w:rsid w:val="00825D92"/>
    <w:rsid w:val="00835F83"/>
    <w:rsid w:val="0084163B"/>
    <w:rsid w:val="008504C4"/>
    <w:rsid w:val="00890BB6"/>
    <w:rsid w:val="008B62CC"/>
    <w:rsid w:val="008D433F"/>
    <w:rsid w:val="00907EBD"/>
    <w:rsid w:val="009D42FD"/>
    <w:rsid w:val="00A0108D"/>
    <w:rsid w:val="00A01163"/>
    <w:rsid w:val="00A05CC6"/>
    <w:rsid w:val="00A5396C"/>
    <w:rsid w:val="00A83CF6"/>
    <w:rsid w:val="00A9778D"/>
    <w:rsid w:val="00AF1A4E"/>
    <w:rsid w:val="00B56D2A"/>
    <w:rsid w:val="00B71A0A"/>
    <w:rsid w:val="00B95C95"/>
    <w:rsid w:val="00BA05F7"/>
    <w:rsid w:val="00BB2402"/>
    <w:rsid w:val="00BB79BC"/>
    <w:rsid w:val="00BC5BDB"/>
    <w:rsid w:val="00C06377"/>
    <w:rsid w:val="00C06A01"/>
    <w:rsid w:val="00C46AC3"/>
    <w:rsid w:val="00C62A57"/>
    <w:rsid w:val="00CB6461"/>
    <w:rsid w:val="00CC030C"/>
    <w:rsid w:val="00CC2090"/>
    <w:rsid w:val="00CE1578"/>
    <w:rsid w:val="00CE1D78"/>
    <w:rsid w:val="00CF2509"/>
    <w:rsid w:val="00D11570"/>
    <w:rsid w:val="00D24642"/>
    <w:rsid w:val="00D51295"/>
    <w:rsid w:val="00D73790"/>
    <w:rsid w:val="00D84D53"/>
    <w:rsid w:val="00D96F59"/>
    <w:rsid w:val="00DB0AB4"/>
    <w:rsid w:val="00DB7CDD"/>
    <w:rsid w:val="00DC6F16"/>
    <w:rsid w:val="00DC7E79"/>
    <w:rsid w:val="00DD01C4"/>
    <w:rsid w:val="00E66856"/>
    <w:rsid w:val="00E82FB6"/>
    <w:rsid w:val="00EB6CFF"/>
    <w:rsid w:val="00ED48C4"/>
    <w:rsid w:val="00F362D1"/>
    <w:rsid w:val="00F60801"/>
    <w:rsid w:val="00F7362F"/>
    <w:rsid w:val="00F749F0"/>
    <w:rsid w:val="00FC42CE"/>
    <w:rsid w:val="00FE5853"/>
    <w:rsid w:val="00FE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7BB49"/>
  <w15:docId w15:val="{7B63A43B-FC02-42D9-A45B-A07D96A0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308"/>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2308"/>
    <w:rPr>
      <w:color w:val="0000FF"/>
      <w:u w:val="single"/>
    </w:rPr>
  </w:style>
  <w:style w:type="paragraph" w:styleId="ListParagraph">
    <w:name w:val="List Paragraph"/>
    <w:basedOn w:val="Normal"/>
    <w:uiPriority w:val="34"/>
    <w:qFormat/>
    <w:rsid w:val="00082308"/>
    <w:pPr>
      <w:ind w:left="720"/>
      <w:contextualSpacing/>
    </w:pPr>
  </w:style>
  <w:style w:type="paragraph" w:styleId="BalloonText">
    <w:name w:val="Balloon Text"/>
    <w:basedOn w:val="Normal"/>
    <w:link w:val="BalloonTextChar"/>
    <w:uiPriority w:val="99"/>
    <w:semiHidden/>
    <w:unhideWhenUsed/>
    <w:rsid w:val="00C0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A01"/>
    <w:rPr>
      <w:rFonts w:ascii="Tahoma" w:eastAsia="SimSun" w:hAnsi="Tahoma" w:cs="Tahoma"/>
      <w:sz w:val="16"/>
      <w:szCs w:val="16"/>
      <w:lang w:eastAsia="zh-CN"/>
    </w:rPr>
  </w:style>
  <w:style w:type="paragraph" w:styleId="Header">
    <w:name w:val="header"/>
    <w:basedOn w:val="Normal"/>
    <w:link w:val="HeaderChar"/>
    <w:uiPriority w:val="99"/>
    <w:unhideWhenUsed/>
    <w:rsid w:val="00812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AB9"/>
    <w:rPr>
      <w:rFonts w:ascii="Calibri" w:eastAsia="SimSun" w:hAnsi="Calibri" w:cs="Times New Roman"/>
      <w:lang w:eastAsia="zh-CN"/>
    </w:rPr>
  </w:style>
  <w:style w:type="paragraph" w:styleId="Footer">
    <w:name w:val="footer"/>
    <w:basedOn w:val="Normal"/>
    <w:link w:val="FooterChar"/>
    <w:uiPriority w:val="99"/>
    <w:unhideWhenUsed/>
    <w:rsid w:val="00812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AB9"/>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935508">
      <w:bodyDiv w:val="1"/>
      <w:marLeft w:val="0"/>
      <w:marRight w:val="0"/>
      <w:marTop w:val="0"/>
      <w:marBottom w:val="0"/>
      <w:divBdr>
        <w:top w:val="none" w:sz="0" w:space="0" w:color="auto"/>
        <w:left w:val="none" w:sz="0" w:space="0" w:color="auto"/>
        <w:bottom w:val="none" w:sz="0" w:space="0" w:color="auto"/>
        <w:right w:val="none" w:sz="0" w:space="0" w:color="auto"/>
      </w:divBdr>
    </w:div>
    <w:div w:id="1289240281">
      <w:bodyDiv w:val="1"/>
      <w:marLeft w:val="0"/>
      <w:marRight w:val="0"/>
      <w:marTop w:val="0"/>
      <w:marBottom w:val="0"/>
      <w:divBdr>
        <w:top w:val="none" w:sz="0" w:space="0" w:color="auto"/>
        <w:left w:val="none" w:sz="0" w:space="0" w:color="auto"/>
        <w:bottom w:val="none" w:sz="0" w:space="0" w:color="auto"/>
        <w:right w:val="none" w:sz="0" w:space="0" w:color="auto"/>
      </w:divBdr>
    </w:div>
    <w:div w:id="17828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'[Chart in Microsoft Word]Sheet1'!$A$12</c:f>
              <c:strCache>
                <c:ptCount val="1"/>
                <c:pt idx="0">
                  <c:v>Hazard Count</c:v>
                </c:pt>
              </c:strCache>
            </c:strRef>
          </c:tx>
          <c:invertIfNegative val="0"/>
          <c:dLbls>
            <c:delete val="1"/>
          </c:dLbls>
          <c:cat>
            <c:strRef>
              <c:f>'[Chart in Microsoft Word]Sheet1'!$B$11:$M$11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'[Chart in Microsoft Word]Sheet1'!$B$12:$M$12</c:f>
              <c:numCache>
                <c:formatCode>General</c:formatCode>
                <c:ptCount val="12"/>
                <c:pt idx="0">
                  <c:v>2</c:v>
                </c:pt>
                <c:pt idx="1">
                  <c:v>2</c:v>
                </c:pt>
                <c:pt idx="2">
                  <c:v>3</c:v>
                </c:pt>
                <c:pt idx="3">
                  <c:v>2</c:v>
                </c:pt>
                <c:pt idx="4">
                  <c:v>2</c:v>
                </c:pt>
                <c:pt idx="5">
                  <c:v>0</c:v>
                </c:pt>
                <c:pt idx="6">
                  <c:v>1</c:v>
                </c:pt>
                <c:pt idx="7">
                  <c:v>2</c:v>
                </c:pt>
                <c:pt idx="8">
                  <c:v>2</c:v>
                </c:pt>
                <c:pt idx="9">
                  <c:v>2</c:v>
                </c:pt>
                <c:pt idx="10">
                  <c:v>2</c:v>
                </c:pt>
                <c:pt idx="11">
                  <c:v>2</c:v>
                </c:pt>
              </c:numCache>
            </c:numRef>
          </c:val>
          <c:extLst>
            <c:ext xmlns:c16="http://schemas.microsoft.com/office/drawing/2014/chart" uri="{C3380CC4-5D6E-409C-BE32-E72D297353CC}">
              <c16:uniqueId val="{00000000-5168-4F1B-89D8-E918DA3D6150}"/>
            </c:ext>
          </c:extLst>
        </c:ser>
        <c:dLbls>
          <c:showLegendKey val="0"/>
          <c:showVal val="1"/>
          <c:showCatName val="0"/>
          <c:showSerName val="0"/>
          <c:showPercent val="0"/>
          <c:showBubbleSize val="0"/>
        </c:dLbls>
        <c:gapWidth val="150"/>
        <c:axId val="266279168"/>
        <c:axId val="266638080"/>
      </c:barChart>
      <c:catAx>
        <c:axId val="266279168"/>
        <c:scaling>
          <c:orientation val="minMax"/>
        </c:scaling>
        <c:delete val="0"/>
        <c:axPos val="b"/>
        <c:numFmt formatCode="General" sourceLinked="0"/>
        <c:majorTickMark val="none"/>
        <c:minorTickMark val="none"/>
        <c:tickLblPos val="nextTo"/>
        <c:crossAx val="266638080"/>
        <c:crosses val="autoZero"/>
        <c:auto val="1"/>
        <c:lblAlgn val="ctr"/>
        <c:lblOffset val="100"/>
        <c:noMultiLvlLbl val="0"/>
      </c:catAx>
      <c:valAx>
        <c:axId val="266638080"/>
        <c:scaling>
          <c:orientation val="minMax"/>
        </c:scaling>
        <c:delete val="0"/>
        <c:axPos val="l"/>
        <c:majorGridlines/>
        <c:numFmt formatCode="General" sourceLinked="1"/>
        <c:majorTickMark val="none"/>
        <c:minorTickMark val="none"/>
        <c:tickLblPos val="nextTo"/>
        <c:crossAx val="2662791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4294967270</TotalTime>
  <Pages>25</Pages>
  <Words>9340</Words>
  <Characters>53242</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1158</cp:lastModifiedBy>
  <cp:revision>111</cp:revision>
  <cp:lastPrinted>2025-09-10T05:56:00Z</cp:lastPrinted>
  <dcterms:created xsi:type="dcterms:W3CDTF">2024-11-06T12:35:00Z</dcterms:created>
  <dcterms:modified xsi:type="dcterms:W3CDTF">2025-09-13T10:37:00Z</dcterms:modified>
</cp:coreProperties>
</file>