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ADA59" w14:textId="27CD335E" w:rsidR="00B21E20" w:rsidRPr="00790ADA" w:rsidRDefault="00897907" w:rsidP="00897907">
      <w:pPr>
        <w:pStyle w:val="Author"/>
        <w:spacing w:line="240" w:lineRule="auto"/>
        <w:rPr>
          <w:rFonts w:ascii="Arial" w:hAnsi="Arial" w:cs="Arial"/>
          <w:sz w:val="36"/>
        </w:rPr>
      </w:pPr>
      <w:r w:rsidRPr="00897907">
        <w:rPr>
          <w:rFonts w:ascii="Arial" w:hAnsi="Arial" w:cs="Arial"/>
          <w:sz w:val="36"/>
        </w:rPr>
        <w:t>Impact of NICRA interventions on Psycho-Social Dimensions of Women Empowerment in Murshidabad, West Bengal</w:t>
      </w:r>
    </w:p>
    <w:p w14:paraId="168D1D58" w14:textId="3890F396" w:rsidR="00B21E20" w:rsidRDefault="00B21E20" w:rsidP="00441B6F">
      <w:pPr>
        <w:pStyle w:val="Affiliation"/>
        <w:spacing w:after="0" w:line="240" w:lineRule="auto"/>
        <w:rPr>
          <w:rFonts w:ascii="Arial" w:hAnsi="Arial" w:cs="Arial"/>
        </w:rPr>
      </w:pPr>
    </w:p>
    <w:p w14:paraId="3EAB8685" w14:textId="77777777" w:rsidR="002C57D2" w:rsidRPr="00FB3A86" w:rsidRDefault="002C57D2" w:rsidP="00441B6F">
      <w:pPr>
        <w:pStyle w:val="Affiliation"/>
        <w:spacing w:after="0" w:line="240" w:lineRule="auto"/>
        <w:jc w:val="both"/>
        <w:rPr>
          <w:rFonts w:ascii="Arial" w:hAnsi="Arial" w:cs="Arial"/>
        </w:rPr>
      </w:pPr>
    </w:p>
    <w:p w14:paraId="55547614" w14:textId="77777777" w:rsidR="00B01FCD" w:rsidRPr="00FB3A86" w:rsidRDefault="00DA4993" w:rsidP="00441B6F">
      <w:pPr>
        <w:pStyle w:val="Copyright"/>
        <w:spacing w:after="0" w:line="240" w:lineRule="auto"/>
        <w:jc w:val="both"/>
        <w:rPr>
          <w:rFonts w:ascii="Arial" w:hAnsi="Arial" w:cs="Arial"/>
        </w:rPr>
        <w:sectPr w:rsidR="00B01FCD" w:rsidRPr="00FB3A86" w:rsidSect="006578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2EC105D" wp14:editId="753CA2B0">
                <wp:extent cx="5303520" cy="635"/>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534F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442CE56"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1F2706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121C7522" w14:textId="77777777" w:rsidTr="001E44FE">
        <w:tc>
          <w:tcPr>
            <w:tcW w:w="9576" w:type="dxa"/>
            <w:shd w:val="clear" w:color="auto" w:fill="F2F2F2"/>
          </w:tcPr>
          <w:p w14:paraId="3CCE7A2E" w14:textId="2F51A896" w:rsidR="00B200F6" w:rsidRPr="00E175D9" w:rsidRDefault="00B200F6" w:rsidP="00DA4993">
            <w:pPr>
              <w:pStyle w:val="Body"/>
              <w:spacing w:after="0" w:line="276" w:lineRule="auto"/>
              <w:rPr>
                <w:rFonts w:ascii="Arial" w:eastAsia="Calibri" w:hAnsi="Arial" w:cs="Arial"/>
                <w:sz w:val="22"/>
                <w:szCs w:val="22"/>
                <w:lang w:val="en-IN"/>
              </w:rPr>
            </w:pPr>
            <w:r w:rsidRPr="00E175D9">
              <w:rPr>
                <w:rFonts w:ascii="Arial" w:eastAsia="Calibri" w:hAnsi="Arial" w:cs="Arial"/>
                <w:sz w:val="22"/>
                <w:szCs w:val="22"/>
                <w:lang w:val="en-IN"/>
              </w:rPr>
              <w:t xml:space="preserve">In the face of escalating climate variability, empowering rural women through adaptive agricultural practices is vital for building resilient farming communities. The present study, conducted in 2024-25, assessed the impact of climate-resilient agricultural interventions under the National Innovations on Climate Resilient Agriculture (NICRA) project on women's empowerment in Murshidabad district, West Bengal. The primary objective was to evaluate how NICRA initiatives influenced </w:t>
            </w:r>
            <w:r w:rsidR="00B83570" w:rsidRPr="00B83570">
              <w:rPr>
                <w:rFonts w:ascii="Arial" w:eastAsia="Calibri" w:hAnsi="Arial" w:cs="Arial"/>
                <w:sz w:val="22"/>
                <w:szCs w:val="22"/>
                <w:lang w:val="en-IN"/>
              </w:rPr>
              <w:t xml:space="preserve">Psycho-Social </w:t>
            </w:r>
            <w:r w:rsidRPr="00E175D9">
              <w:rPr>
                <w:rFonts w:ascii="Arial" w:eastAsia="Calibri" w:hAnsi="Arial" w:cs="Arial"/>
                <w:sz w:val="22"/>
                <w:szCs w:val="22"/>
                <w:lang w:val="en-IN"/>
              </w:rPr>
              <w:t>indicators of empowerment among rural women. A total of 120 respondents from four NICRA villages were selected using proportionate random sampling. Data were collected through structured interviews and analyzed using descriptive statistics and correlation analysis. The results revealed high levels of scientific orientation (mean score 3.35), economic motivation (3.28), and risk orientation (3.32) among respondents, while social participation showed the lowest mean (0.78) and highest variability (111.54%). Significant positive correlations were found between empowerment and variables such as scientific orientation, cognitive development, and psychomotor development. The findings suggest that NICRA interventions enhanced individual competencies but highlighted a gap in collective and institutional engagement. The study concluded that while NICRA successfully fostered individual empowerment traits essential for climate adaptation, targeted efforts in group mobilization and institutional support are critical for achieving holistic and sustainable women's empowerment in climate-vulnerable regions.</w:t>
            </w:r>
          </w:p>
          <w:p w14:paraId="583205FC" w14:textId="77777777" w:rsidR="00505F06" w:rsidRPr="00BA1B01" w:rsidRDefault="00505F06" w:rsidP="00441B6F">
            <w:pPr>
              <w:pStyle w:val="Body"/>
              <w:spacing w:after="0"/>
              <w:rPr>
                <w:rFonts w:ascii="Arial" w:eastAsia="Calibri" w:hAnsi="Arial" w:cs="Arial"/>
                <w:szCs w:val="22"/>
              </w:rPr>
            </w:pPr>
          </w:p>
        </w:tc>
      </w:tr>
    </w:tbl>
    <w:p w14:paraId="68C651FF" w14:textId="77777777" w:rsidR="00636EB2" w:rsidRDefault="00636EB2" w:rsidP="00441B6F">
      <w:pPr>
        <w:pStyle w:val="Body"/>
        <w:spacing w:after="0"/>
        <w:rPr>
          <w:rFonts w:ascii="Arial" w:hAnsi="Arial" w:cs="Arial"/>
          <w:i/>
        </w:rPr>
      </w:pPr>
    </w:p>
    <w:p w14:paraId="1B4489C4" w14:textId="5705ABB5" w:rsidR="0024282C" w:rsidRPr="004D7BFA" w:rsidRDefault="00A24E7E" w:rsidP="00DA4993">
      <w:pPr>
        <w:pStyle w:val="Body"/>
        <w:rPr>
          <w:rFonts w:ascii="Arial" w:hAnsi="Arial" w:cs="Arial"/>
          <w:i/>
          <w:lang w:val="en-IN"/>
        </w:rPr>
      </w:pPr>
      <w:r w:rsidRPr="004D7BFA">
        <w:rPr>
          <w:rFonts w:ascii="Arial" w:hAnsi="Arial" w:cs="Arial"/>
          <w:i/>
        </w:rPr>
        <w:t>Keywords</w:t>
      </w:r>
      <w:r w:rsidR="00DA4993" w:rsidRPr="004D7BFA">
        <w:rPr>
          <w:rFonts w:ascii="Arial" w:hAnsi="Arial" w:cs="Arial"/>
          <w:i/>
        </w:rPr>
        <w:t xml:space="preserve">: </w:t>
      </w:r>
      <w:r w:rsidR="00E43E3D" w:rsidRPr="004D7BFA">
        <w:rPr>
          <w:rFonts w:ascii="Arial" w:hAnsi="Arial" w:cs="Arial"/>
          <w:i/>
          <w:lang w:val="en-IN"/>
        </w:rPr>
        <w:t>Women Empowerment</w:t>
      </w:r>
      <w:r w:rsidR="00DA4993" w:rsidRPr="004D7BFA">
        <w:rPr>
          <w:rFonts w:ascii="Arial" w:hAnsi="Arial" w:cs="Arial"/>
          <w:i/>
          <w:lang w:val="en-IN"/>
        </w:rPr>
        <w:t>,</w:t>
      </w:r>
      <w:r w:rsidR="00E43E3D" w:rsidRPr="004D7BFA">
        <w:rPr>
          <w:rFonts w:ascii="Arial" w:hAnsi="Arial" w:cs="Arial"/>
          <w:i/>
          <w:lang w:val="en-IN"/>
        </w:rPr>
        <w:t xml:space="preserve"> NICRA, Scientific Orientation</w:t>
      </w:r>
      <w:r w:rsidR="0050604B" w:rsidRPr="004D7BFA">
        <w:rPr>
          <w:rFonts w:ascii="Arial" w:hAnsi="Arial" w:cs="Arial"/>
          <w:i/>
          <w:lang w:val="en-IN"/>
        </w:rPr>
        <w:t>, Social</w:t>
      </w:r>
      <w:r w:rsidR="00DA4993" w:rsidRPr="004D7BFA">
        <w:rPr>
          <w:rFonts w:ascii="Arial" w:hAnsi="Arial" w:cs="Arial"/>
          <w:i/>
          <w:lang w:val="en-IN"/>
        </w:rPr>
        <w:t xml:space="preserve"> Participation, Murshidabad.</w:t>
      </w:r>
    </w:p>
    <w:p w14:paraId="2F65EDC9" w14:textId="77777777" w:rsidR="00505F06" w:rsidRPr="00A24E7E" w:rsidRDefault="00505F06" w:rsidP="00441B6F">
      <w:pPr>
        <w:pStyle w:val="Body"/>
        <w:spacing w:after="0"/>
        <w:rPr>
          <w:rFonts w:ascii="Arial" w:hAnsi="Arial" w:cs="Arial"/>
          <w:i/>
        </w:rPr>
      </w:pPr>
    </w:p>
    <w:p w14:paraId="745FF9B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FC603D"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 xml:space="preserve">Indian agriculture is highly affected by climate variability, and women, as key contributors within rural agrarian communities, often bear a disproportionate burden due to both socio-economic and ecological vulnerabilities (Chattopadhyay &amp; Dutta, 2019). Women contribute significantly to agricultural labour, livestock care, natural resource management, and post-harvest operations. </w:t>
      </w:r>
      <w:r w:rsidR="001E66FD" w:rsidRPr="001E66FD">
        <w:rPr>
          <w:rFonts w:ascii="Arial" w:hAnsi="Arial" w:cs="Arial"/>
          <w:lang w:val="en-IN"/>
        </w:rPr>
        <w:t xml:space="preserve">Although central to </w:t>
      </w:r>
      <w:r w:rsidR="001E66FD">
        <w:rPr>
          <w:rFonts w:ascii="Arial" w:hAnsi="Arial" w:cs="Arial"/>
          <w:lang w:val="en-IN"/>
        </w:rPr>
        <w:t xml:space="preserve">farm based </w:t>
      </w:r>
      <w:r w:rsidR="001E66FD" w:rsidRPr="001E66FD">
        <w:rPr>
          <w:rFonts w:ascii="Arial" w:hAnsi="Arial" w:cs="Arial"/>
          <w:lang w:val="en-IN"/>
        </w:rPr>
        <w:t>livelihoods, women frequently face restricted</w:t>
      </w:r>
      <w:r w:rsidR="001E66FD">
        <w:rPr>
          <w:rFonts w:ascii="Arial" w:hAnsi="Arial" w:cs="Arial"/>
          <w:lang w:val="en-IN"/>
        </w:rPr>
        <w:t xml:space="preserve"> agency in decision-making and less </w:t>
      </w:r>
      <w:r w:rsidR="001E66FD" w:rsidRPr="001E66FD">
        <w:rPr>
          <w:rFonts w:ascii="Arial" w:hAnsi="Arial" w:cs="Arial"/>
          <w:lang w:val="en-IN"/>
        </w:rPr>
        <w:t>access to land, fina</w:t>
      </w:r>
      <w:r w:rsidR="001E66FD">
        <w:rPr>
          <w:rFonts w:ascii="Arial" w:hAnsi="Arial" w:cs="Arial"/>
          <w:lang w:val="en-IN"/>
        </w:rPr>
        <w:t>ncial credit, extension support</w:t>
      </w:r>
      <w:r w:rsidR="001E66FD" w:rsidRPr="001E66FD">
        <w:rPr>
          <w:rFonts w:ascii="Arial" w:hAnsi="Arial" w:cs="Arial"/>
          <w:lang w:val="en-IN"/>
        </w:rPr>
        <w:t xml:space="preserve"> an</w:t>
      </w:r>
      <w:r w:rsidR="001E66FD">
        <w:rPr>
          <w:rFonts w:ascii="Arial" w:hAnsi="Arial" w:cs="Arial"/>
          <w:lang w:val="en-IN"/>
        </w:rPr>
        <w:t xml:space="preserve">d climate-adaptive technologies </w:t>
      </w:r>
      <w:r w:rsidRPr="007B75FB">
        <w:rPr>
          <w:rFonts w:ascii="Arial" w:hAnsi="Arial" w:cs="Arial"/>
          <w:lang w:val="en-IN"/>
        </w:rPr>
        <w:t>(Agarwal, 1994; Meinzen-Dick et al., 2011).</w:t>
      </w:r>
    </w:p>
    <w:p w14:paraId="0D04CDD1"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In recent year</w:t>
      </w:r>
      <w:r>
        <w:rPr>
          <w:rFonts w:ascii="Arial" w:hAnsi="Arial" w:cs="Arial"/>
          <w:lang w:val="en-IN"/>
        </w:rPr>
        <w:t xml:space="preserve">s, the impact of climate change - </w:t>
      </w:r>
      <w:r w:rsidRPr="007B75FB">
        <w:rPr>
          <w:rFonts w:ascii="Arial" w:hAnsi="Arial" w:cs="Arial"/>
          <w:lang w:val="en-IN"/>
        </w:rPr>
        <w:t>manifesting through erratic rainfall, rising temperatures</w:t>
      </w:r>
      <w:r>
        <w:rPr>
          <w:rFonts w:ascii="Arial" w:hAnsi="Arial" w:cs="Arial"/>
          <w:lang w:val="en-IN"/>
        </w:rPr>
        <w:t xml:space="preserve">, and increased pest incidences </w:t>
      </w:r>
      <w:r w:rsidRPr="007B75FB">
        <w:rPr>
          <w:rFonts w:ascii="Arial" w:hAnsi="Arial" w:cs="Arial"/>
          <w:lang w:val="en-IN"/>
        </w:rPr>
        <w:t xml:space="preserve">has intensified livelihood risks for smallholder farmers, especially women in marginal and climate-vulnerable regions like Murshidabad, West Bengal (ICAR, 2019). Recognizing the need for a proactive response, the Indian Council of Agricultural Research (ICAR) launched the </w:t>
      </w:r>
      <w:r w:rsidRPr="007B75FB">
        <w:rPr>
          <w:rFonts w:ascii="Arial" w:hAnsi="Arial" w:cs="Arial"/>
          <w:bCs/>
          <w:lang w:val="en-IN"/>
        </w:rPr>
        <w:t>National Innovations on Climate Resilient Agriculture (NICRA)</w:t>
      </w:r>
      <w:r w:rsidRPr="007B75FB">
        <w:rPr>
          <w:rFonts w:ascii="Arial" w:hAnsi="Arial" w:cs="Arial"/>
          <w:lang w:val="en-IN"/>
        </w:rPr>
        <w:t xml:space="preserve"> project in 2011. This initiative focuses on developing and implementing climate-smart technologies and building adaptive capacities in vulnerable districts (ICAR, 2019).</w:t>
      </w:r>
    </w:p>
    <w:p w14:paraId="0C58939C"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lastRenderedPageBreak/>
        <w:t xml:space="preserve">NICRA’s emphasis on </w:t>
      </w:r>
      <w:r w:rsidRPr="007B75FB">
        <w:rPr>
          <w:rFonts w:ascii="Arial" w:hAnsi="Arial" w:cs="Arial"/>
          <w:bCs/>
          <w:lang w:val="en-IN"/>
        </w:rPr>
        <w:t>climate-resilient village models</w:t>
      </w:r>
      <w:r w:rsidRPr="007B75FB">
        <w:rPr>
          <w:rFonts w:ascii="Arial" w:hAnsi="Arial" w:cs="Arial"/>
          <w:lang w:val="en-IN"/>
        </w:rPr>
        <w:t>, including water harvesting, integrated farming systems, drought/flood-tolerant crop varieties, and institutional innovations such as community seed banks, has opened pathways for women’s participation in local adaptive strategies. Furthermore, through group-based training, financial inclusion, and resource access, NICRA aims</w:t>
      </w:r>
      <w:r>
        <w:rPr>
          <w:rFonts w:ascii="Arial" w:hAnsi="Arial" w:cs="Arial"/>
          <w:lang w:val="en-IN"/>
        </w:rPr>
        <w:t xml:space="preserve"> to enhance women’s empowerment - </w:t>
      </w:r>
      <w:r w:rsidRPr="007B75FB">
        <w:rPr>
          <w:rFonts w:ascii="Arial" w:hAnsi="Arial" w:cs="Arial"/>
          <w:lang w:val="en-IN"/>
        </w:rPr>
        <w:t>a multidimensional concept involving access to knowledge, agency, assets, and institutional spaces (Kabeer, 1999; Meinzen-Dick et al., 2011).</w:t>
      </w:r>
    </w:p>
    <w:p w14:paraId="3D23827E" w14:textId="79A08069" w:rsidR="007B75FB" w:rsidRPr="007B75FB" w:rsidRDefault="007B75FB" w:rsidP="007B75FB">
      <w:pPr>
        <w:pStyle w:val="Body"/>
        <w:spacing w:after="0"/>
        <w:rPr>
          <w:rFonts w:ascii="Arial" w:hAnsi="Arial" w:cs="Arial"/>
          <w:lang w:val="en-IN"/>
        </w:rPr>
      </w:pPr>
      <w:r w:rsidRPr="007B75FB">
        <w:rPr>
          <w:rFonts w:ascii="Arial" w:hAnsi="Arial" w:cs="Arial"/>
          <w:lang w:val="en-IN"/>
        </w:rPr>
        <w:t>This study seeks to assess how NICRA interventions have influenced women's empowerment in the Murshidabad district by examining key variables such as scientific orientation, economic motivation, risk orientation, and social participation (</w:t>
      </w:r>
      <w:r w:rsidR="000E5ACB">
        <w:rPr>
          <w:rFonts w:ascii="Arial" w:hAnsi="Arial" w:cs="Arial"/>
          <w:lang w:val="en-IN"/>
        </w:rPr>
        <w:t>Ahuja et al., 2016</w:t>
      </w:r>
      <w:r w:rsidRPr="007B75FB">
        <w:rPr>
          <w:rFonts w:ascii="Arial" w:hAnsi="Arial" w:cs="Arial"/>
          <w:lang w:val="en-IN"/>
        </w:rPr>
        <w:t>). The findings will contribute to understanding the intersections of gender, agriculture, and climate adaptation within an inclusive rural development framework.</w:t>
      </w:r>
    </w:p>
    <w:p w14:paraId="1651E5CE" w14:textId="77777777" w:rsidR="00790ADA" w:rsidRPr="00FB3A86" w:rsidRDefault="00790ADA" w:rsidP="007B75FB">
      <w:pPr>
        <w:pStyle w:val="Body"/>
        <w:spacing w:after="0" w:line="276" w:lineRule="auto"/>
        <w:rPr>
          <w:rFonts w:ascii="Arial" w:hAnsi="Arial" w:cs="Arial"/>
        </w:rPr>
      </w:pPr>
    </w:p>
    <w:p w14:paraId="5EE9D4F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B75FB">
        <w:rPr>
          <w:rFonts w:ascii="Arial" w:hAnsi="Arial" w:cs="Arial"/>
        </w:rPr>
        <w:t xml:space="preserve"> </w:t>
      </w:r>
    </w:p>
    <w:p w14:paraId="4B9D0737" w14:textId="77777777" w:rsidR="00790ADA" w:rsidRPr="00FB3A86" w:rsidRDefault="00790ADA" w:rsidP="00441B6F">
      <w:pPr>
        <w:pStyle w:val="AbstHead"/>
        <w:spacing w:after="0"/>
        <w:jc w:val="both"/>
        <w:rPr>
          <w:rFonts w:ascii="Arial" w:hAnsi="Arial" w:cs="Arial"/>
        </w:rPr>
      </w:pPr>
    </w:p>
    <w:p w14:paraId="622A94E2" w14:textId="56C38696" w:rsidR="007B75FB" w:rsidRPr="007B75FB" w:rsidRDefault="007B75FB" w:rsidP="007B75FB">
      <w:pPr>
        <w:pStyle w:val="Body"/>
        <w:spacing w:after="0"/>
        <w:rPr>
          <w:rFonts w:ascii="Arial" w:hAnsi="Arial" w:cs="Arial"/>
          <w:lang w:val="en-IN"/>
        </w:rPr>
      </w:pPr>
      <w:r w:rsidRPr="007B75FB">
        <w:rPr>
          <w:rFonts w:ascii="Arial" w:hAnsi="Arial" w:cs="Arial"/>
          <w:lang w:val="en-IN"/>
        </w:rPr>
        <w:t>The present study was conducted in the Murshidabad district of West Bengal, a region identified as vulnerable to climatic variability under the National Innovations on Climate Resilient Agriculture (NICRA) framework (ICAR, 201</w:t>
      </w:r>
      <w:r w:rsidR="00C131C8">
        <w:rPr>
          <w:rFonts w:ascii="Arial" w:hAnsi="Arial" w:cs="Arial"/>
          <w:lang w:val="en-IN"/>
        </w:rPr>
        <w:t xml:space="preserve">9). Two NICRA-intervened blocks - Beldanga and Khargram- </w:t>
      </w:r>
      <w:r w:rsidRPr="007B75FB">
        <w:rPr>
          <w:rFonts w:ascii="Arial" w:hAnsi="Arial" w:cs="Arial"/>
          <w:lang w:val="en-IN"/>
        </w:rPr>
        <w:t>were purposively selected based on the intensity and continuity of project interventions. From each block, one Gram Panchayat (GP) and subsequently one NICRA-adopted village were randomly chosen, resulting in four selected villages: Dayanagar, Ratanpur, Gurulia, and Ninoor.</w:t>
      </w:r>
    </w:p>
    <w:p w14:paraId="169E7C05" w14:textId="77777777" w:rsidR="007B75FB" w:rsidRDefault="007B75FB" w:rsidP="007B75FB">
      <w:pPr>
        <w:pStyle w:val="Body"/>
        <w:spacing w:after="0"/>
        <w:rPr>
          <w:rFonts w:ascii="Arial" w:hAnsi="Arial" w:cs="Arial"/>
          <w:lang w:val="en-IN"/>
        </w:rPr>
      </w:pPr>
      <w:r w:rsidRPr="007B75FB">
        <w:rPr>
          <w:rFonts w:ascii="Arial" w:hAnsi="Arial" w:cs="Arial"/>
          <w:lang w:val="en-IN"/>
        </w:rPr>
        <w:t>Through proportionate random sampling, 120 rural women (30 from each of the four villages) were selected. Their involvement centered on NICRA’s climate-resilient agricultural activities, including crop production, animal husbandry and participation in training sessions.</w:t>
      </w:r>
    </w:p>
    <w:p w14:paraId="59087E18" w14:textId="77777777" w:rsidR="007B75FB" w:rsidRDefault="007B75FB" w:rsidP="007B75FB">
      <w:pPr>
        <w:pStyle w:val="Body"/>
        <w:spacing w:after="0"/>
        <w:rPr>
          <w:rFonts w:ascii="Arial" w:hAnsi="Arial" w:cs="Arial"/>
          <w:lang w:val="en-IN"/>
        </w:rPr>
      </w:pPr>
    </w:p>
    <w:p w14:paraId="35DA33FD" w14:textId="77777777" w:rsidR="007B75FB" w:rsidRDefault="007B75FB" w:rsidP="007B75FB">
      <w:pPr>
        <w:pStyle w:val="Body"/>
        <w:spacing w:after="0"/>
        <w:rPr>
          <w:rFonts w:ascii="Arial" w:hAnsi="Arial" w:cs="Arial"/>
          <w:lang w:val="en-IN"/>
        </w:rPr>
      </w:pPr>
      <w:r>
        <w:rPr>
          <w:rFonts w:ascii="Times New Roman" w:hAnsi="Times New Roman"/>
          <w:noProof/>
          <w:sz w:val="24"/>
          <w:szCs w:val="24"/>
          <w:lang w:val="en-IN" w:eastAsia="en-IN"/>
        </w:rPr>
        <w:drawing>
          <wp:anchor distT="0" distB="0" distL="114300" distR="114300" simplePos="0" relativeHeight="251659264" behindDoc="1" locked="0" layoutInCell="1" allowOverlap="1" wp14:anchorId="323A3126" wp14:editId="7D7C5857">
            <wp:simplePos x="0" y="0"/>
            <wp:positionH relativeFrom="margin">
              <wp:align>center</wp:align>
            </wp:positionH>
            <wp:positionV relativeFrom="paragraph">
              <wp:posOffset>8890</wp:posOffset>
            </wp:positionV>
            <wp:extent cx="3112770" cy="2217420"/>
            <wp:effectExtent l="0" t="0" r="0" b="0"/>
            <wp:wrapThrough wrapText="bothSides">
              <wp:wrapPolygon edited="0">
                <wp:start x="0" y="0"/>
                <wp:lineTo x="0" y="21340"/>
                <wp:lineTo x="21415" y="21340"/>
                <wp:lineTo x="21415" y="0"/>
                <wp:lineTo x="0" y="0"/>
              </wp:wrapPolygon>
            </wp:wrapThrough>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3112770" cy="2217420"/>
                    </a:xfrm>
                    <a:prstGeom prst="rect">
                      <a:avLst/>
                    </a:prstGeom>
                  </pic:spPr>
                </pic:pic>
              </a:graphicData>
            </a:graphic>
            <wp14:sizeRelH relativeFrom="margin">
              <wp14:pctWidth>0</wp14:pctWidth>
            </wp14:sizeRelH>
            <wp14:sizeRelV relativeFrom="margin">
              <wp14:pctHeight>0</wp14:pctHeight>
            </wp14:sizeRelV>
          </wp:anchor>
        </w:drawing>
      </w:r>
    </w:p>
    <w:p w14:paraId="0F093F83" w14:textId="77777777" w:rsidR="007B75FB" w:rsidRDefault="007B75FB" w:rsidP="007B75FB">
      <w:pPr>
        <w:pStyle w:val="Body"/>
        <w:spacing w:after="0"/>
        <w:rPr>
          <w:rFonts w:ascii="Arial" w:hAnsi="Arial" w:cs="Arial"/>
          <w:lang w:val="en-IN"/>
        </w:rPr>
      </w:pPr>
    </w:p>
    <w:p w14:paraId="70D64CD1" w14:textId="77777777" w:rsidR="007B75FB" w:rsidRDefault="007B75FB" w:rsidP="007B75FB">
      <w:pPr>
        <w:pStyle w:val="Body"/>
        <w:spacing w:after="0"/>
        <w:rPr>
          <w:rFonts w:ascii="Arial" w:hAnsi="Arial" w:cs="Arial"/>
          <w:lang w:val="en-IN"/>
        </w:rPr>
      </w:pPr>
    </w:p>
    <w:p w14:paraId="684DF206" w14:textId="77777777" w:rsidR="007B75FB" w:rsidRDefault="007B75FB" w:rsidP="007B75FB">
      <w:pPr>
        <w:pStyle w:val="Body"/>
        <w:spacing w:after="0"/>
        <w:rPr>
          <w:rFonts w:ascii="Arial" w:hAnsi="Arial" w:cs="Arial"/>
          <w:lang w:val="en-IN"/>
        </w:rPr>
      </w:pPr>
    </w:p>
    <w:p w14:paraId="114AB303" w14:textId="77777777" w:rsidR="007B75FB" w:rsidRDefault="007B75FB" w:rsidP="007B75FB">
      <w:pPr>
        <w:pStyle w:val="Body"/>
        <w:spacing w:after="0"/>
        <w:rPr>
          <w:rFonts w:ascii="Arial" w:hAnsi="Arial" w:cs="Arial"/>
          <w:lang w:val="en-IN"/>
        </w:rPr>
      </w:pPr>
    </w:p>
    <w:p w14:paraId="79C243F7" w14:textId="77777777" w:rsidR="007B75FB" w:rsidRDefault="007B75FB" w:rsidP="007B75FB">
      <w:pPr>
        <w:pStyle w:val="Body"/>
        <w:spacing w:after="0"/>
        <w:rPr>
          <w:rFonts w:ascii="Arial" w:hAnsi="Arial" w:cs="Arial"/>
          <w:lang w:val="en-IN"/>
        </w:rPr>
      </w:pPr>
    </w:p>
    <w:p w14:paraId="2CB65EAE" w14:textId="77777777" w:rsidR="007B75FB" w:rsidRDefault="007B75FB" w:rsidP="007B75FB">
      <w:pPr>
        <w:pStyle w:val="Body"/>
        <w:spacing w:after="0"/>
        <w:rPr>
          <w:rFonts w:ascii="Arial" w:hAnsi="Arial" w:cs="Arial"/>
          <w:lang w:val="en-IN"/>
        </w:rPr>
      </w:pPr>
    </w:p>
    <w:p w14:paraId="6B5B0E1A" w14:textId="77777777" w:rsidR="007B75FB" w:rsidRDefault="007B75FB" w:rsidP="007B75FB">
      <w:pPr>
        <w:pStyle w:val="Body"/>
        <w:spacing w:after="0"/>
        <w:rPr>
          <w:rFonts w:ascii="Arial" w:hAnsi="Arial" w:cs="Arial"/>
          <w:lang w:val="en-IN"/>
        </w:rPr>
      </w:pPr>
    </w:p>
    <w:p w14:paraId="1F38F3EF" w14:textId="77777777" w:rsidR="007B75FB" w:rsidRDefault="007B75FB" w:rsidP="007B75FB">
      <w:pPr>
        <w:pStyle w:val="Body"/>
        <w:spacing w:after="0"/>
        <w:rPr>
          <w:rFonts w:ascii="Arial" w:hAnsi="Arial" w:cs="Arial"/>
          <w:lang w:val="en-IN"/>
        </w:rPr>
      </w:pPr>
    </w:p>
    <w:p w14:paraId="66F2CE4C" w14:textId="77777777" w:rsidR="007B75FB" w:rsidRDefault="007B75FB" w:rsidP="007B75FB">
      <w:pPr>
        <w:pStyle w:val="Body"/>
        <w:spacing w:after="0"/>
        <w:rPr>
          <w:rFonts w:ascii="Arial" w:hAnsi="Arial" w:cs="Arial"/>
          <w:lang w:val="en-IN"/>
        </w:rPr>
      </w:pPr>
    </w:p>
    <w:p w14:paraId="0BE1157A" w14:textId="77777777" w:rsidR="007B75FB" w:rsidRDefault="007B75FB" w:rsidP="007B75FB">
      <w:pPr>
        <w:pStyle w:val="Body"/>
        <w:spacing w:after="0"/>
        <w:rPr>
          <w:rFonts w:ascii="Arial" w:hAnsi="Arial" w:cs="Arial"/>
          <w:lang w:val="en-IN"/>
        </w:rPr>
      </w:pPr>
    </w:p>
    <w:p w14:paraId="550190F5" w14:textId="77777777" w:rsidR="007B75FB" w:rsidRDefault="007B75FB" w:rsidP="007B75FB">
      <w:pPr>
        <w:pStyle w:val="Body"/>
        <w:spacing w:after="0"/>
        <w:rPr>
          <w:rFonts w:ascii="Arial" w:hAnsi="Arial" w:cs="Arial"/>
          <w:lang w:val="en-IN"/>
        </w:rPr>
      </w:pPr>
    </w:p>
    <w:p w14:paraId="3822E437" w14:textId="77777777" w:rsidR="007B75FB" w:rsidRDefault="007B75FB" w:rsidP="007B75FB">
      <w:pPr>
        <w:pStyle w:val="Body"/>
        <w:spacing w:after="0"/>
        <w:rPr>
          <w:rFonts w:ascii="Arial" w:hAnsi="Arial" w:cs="Arial"/>
          <w:lang w:val="en-IN"/>
        </w:rPr>
      </w:pPr>
    </w:p>
    <w:p w14:paraId="2D99EA53" w14:textId="77777777" w:rsidR="007B75FB" w:rsidRDefault="007B75FB" w:rsidP="007B75FB">
      <w:pPr>
        <w:pStyle w:val="Body"/>
        <w:spacing w:after="0"/>
        <w:rPr>
          <w:rFonts w:ascii="Arial" w:hAnsi="Arial" w:cs="Arial"/>
          <w:lang w:val="en-IN"/>
        </w:rPr>
      </w:pPr>
    </w:p>
    <w:p w14:paraId="04BF2B8D" w14:textId="77777777" w:rsidR="007B75FB" w:rsidRDefault="007B75FB" w:rsidP="007B75FB">
      <w:pPr>
        <w:pStyle w:val="Body"/>
        <w:spacing w:after="0"/>
        <w:rPr>
          <w:rFonts w:ascii="Arial" w:hAnsi="Arial" w:cs="Arial"/>
          <w:lang w:val="en-IN"/>
        </w:rPr>
      </w:pPr>
    </w:p>
    <w:p w14:paraId="34F678F2" w14:textId="77777777" w:rsidR="007B75FB" w:rsidRDefault="007B75FB" w:rsidP="007B75FB">
      <w:pPr>
        <w:pStyle w:val="Body"/>
        <w:spacing w:after="0"/>
        <w:rPr>
          <w:rFonts w:ascii="Arial" w:hAnsi="Arial" w:cs="Arial"/>
          <w:lang w:val="en-IN"/>
        </w:rPr>
      </w:pPr>
    </w:p>
    <w:p w14:paraId="6E8AA2A5" w14:textId="77777777" w:rsidR="007B75FB" w:rsidRPr="007B75FB" w:rsidRDefault="007B75FB" w:rsidP="007B75FB">
      <w:pPr>
        <w:pStyle w:val="Body"/>
        <w:spacing w:after="0"/>
        <w:jc w:val="center"/>
        <w:rPr>
          <w:rFonts w:ascii="Arial" w:hAnsi="Arial" w:cs="Arial"/>
          <w:b/>
          <w:i/>
          <w:lang w:val="en-IN"/>
        </w:rPr>
      </w:pPr>
      <w:r w:rsidRPr="007B75FB">
        <w:rPr>
          <w:rFonts w:ascii="Arial" w:hAnsi="Arial" w:cs="Arial"/>
          <w:b/>
          <w:i/>
          <w:lang w:val="en-IN"/>
        </w:rPr>
        <w:t>Figure No. 01 - Location map of study area</w:t>
      </w:r>
    </w:p>
    <w:p w14:paraId="578E7FC3" w14:textId="77777777" w:rsidR="007B75FB" w:rsidRDefault="007B75FB" w:rsidP="007B75FB">
      <w:pPr>
        <w:pStyle w:val="Body"/>
        <w:spacing w:after="0"/>
        <w:rPr>
          <w:rFonts w:ascii="Arial" w:hAnsi="Arial" w:cs="Arial"/>
          <w:lang w:val="en-IN"/>
        </w:rPr>
      </w:pPr>
    </w:p>
    <w:p w14:paraId="10C8445E"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A structured and pre-tested interview schedule covering socio-personal, economic, and psychological aspects was used for data collection. The psychological indicators of empowerment included scientific orientation, economic motivation, risk orientation, social participation and information inquisitiveness (Sailaja, 2002).</w:t>
      </w:r>
      <w:r w:rsidR="00957522" w:rsidRPr="00957522">
        <w:t xml:space="preserve"> </w:t>
      </w:r>
      <w:r w:rsidR="00957522" w:rsidRPr="00957522">
        <w:rPr>
          <w:rFonts w:ascii="Arial" w:hAnsi="Arial" w:cs="Arial"/>
          <w:lang w:val="en-IN"/>
        </w:rPr>
        <w:t>The study employed a five-point Likert</w:t>
      </w:r>
      <w:r w:rsidR="00957522">
        <w:rPr>
          <w:rFonts w:ascii="Arial" w:hAnsi="Arial" w:cs="Arial"/>
          <w:lang w:val="en-IN"/>
        </w:rPr>
        <w:t xml:space="preserve"> scale to measure the variables</w:t>
      </w:r>
      <w:r w:rsidRPr="007B75FB">
        <w:rPr>
          <w:rFonts w:ascii="Arial" w:hAnsi="Arial" w:cs="Arial"/>
          <w:lang w:val="en-IN"/>
        </w:rPr>
        <w:t>, adapted from standardized instruments commonly applied in rural and extension research (Boone &amp; Boone, 2012; Ray, 2011).</w:t>
      </w:r>
    </w:p>
    <w:p w14:paraId="6DF38C88" w14:textId="77777777" w:rsidR="007B75FB" w:rsidRPr="007B75FB" w:rsidRDefault="007B75FB" w:rsidP="007B75FB">
      <w:pPr>
        <w:pStyle w:val="Body"/>
        <w:spacing w:after="0"/>
        <w:rPr>
          <w:rFonts w:ascii="Arial" w:hAnsi="Arial" w:cs="Arial"/>
          <w:bCs/>
          <w:lang w:val="en-IN"/>
        </w:rPr>
      </w:pPr>
      <w:r w:rsidRPr="007B75FB">
        <w:rPr>
          <w:rFonts w:ascii="Arial" w:hAnsi="Arial" w:cs="Arial"/>
          <w:bCs/>
          <w:lang w:val="en-IN"/>
        </w:rPr>
        <w:t xml:space="preserve">The data were analyzed using descriptive statistics, including mean, standard deviation, and coefficient of variation. Respondent classification </w:t>
      </w:r>
      <w:r w:rsidR="00B35142" w:rsidRPr="007B75FB">
        <w:rPr>
          <w:rFonts w:ascii="Arial" w:hAnsi="Arial" w:cs="Arial"/>
          <w:bCs/>
          <w:lang w:val="en-IN"/>
        </w:rPr>
        <w:t>was</w:t>
      </w:r>
      <w:r w:rsidR="00B35142">
        <w:rPr>
          <w:rFonts w:ascii="Arial" w:hAnsi="Arial" w:cs="Arial"/>
          <w:bCs/>
          <w:lang w:val="en-IN"/>
        </w:rPr>
        <w:t xml:space="preserve"> </w:t>
      </w:r>
      <w:r w:rsidR="00B35142" w:rsidRPr="007B75FB">
        <w:rPr>
          <w:rFonts w:ascii="Arial" w:hAnsi="Arial" w:cs="Arial"/>
          <w:bCs/>
          <w:lang w:val="en-IN"/>
        </w:rPr>
        <w:t>done</w:t>
      </w:r>
      <w:r w:rsidRPr="007B75FB">
        <w:rPr>
          <w:rFonts w:ascii="Arial" w:hAnsi="Arial" w:cs="Arial"/>
          <w:bCs/>
          <w:lang w:val="en-IN"/>
        </w:rPr>
        <w:t xml:space="preserve"> through the Equal Interval Method, which grouped scores into low, medium, and high categories. MS Excel and SPSS were utilized for the analysis. </w:t>
      </w:r>
    </w:p>
    <w:p w14:paraId="33633B10" w14:textId="77777777" w:rsidR="00A03B96" w:rsidRDefault="00A03B96" w:rsidP="00441B6F">
      <w:pPr>
        <w:pStyle w:val="Body"/>
        <w:spacing w:after="0"/>
        <w:rPr>
          <w:rFonts w:ascii="Arial" w:hAnsi="Arial" w:cs="Arial"/>
        </w:rPr>
      </w:pPr>
    </w:p>
    <w:p w14:paraId="00DD9FD2" w14:textId="77777777" w:rsidR="00790ADA" w:rsidRPr="00FB3A86" w:rsidRDefault="00790ADA" w:rsidP="00441B6F">
      <w:pPr>
        <w:pStyle w:val="Body"/>
        <w:spacing w:after="0"/>
        <w:rPr>
          <w:rFonts w:ascii="Arial" w:hAnsi="Arial" w:cs="Arial"/>
        </w:rPr>
      </w:pPr>
    </w:p>
    <w:p w14:paraId="5148E7F2" w14:textId="77777777"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4F712A4" w14:textId="7586B4A0" w:rsidR="00527752" w:rsidRDefault="00527752" w:rsidP="00527752">
      <w:pPr>
        <w:spacing w:before="100" w:beforeAutospacing="1" w:after="100" w:afterAutospacing="1"/>
        <w:jc w:val="both"/>
        <w:rPr>
          <w:rFonts w:ascii="Arial" w:hAnsi="Arial" w:cs="Arial"/>
          <w:lang w:eastAsia="en-IN"/>
        </w:rPr>
      </w:pPr>
      <w:r w:rsidRPr="00934BC1">
        <w:rPr>
          <w:rFonts w:ascii="Arial" w:hAnsi="Arial" w:cs="Arial"/>
          <w:lang w:eastAsia="en-IN"/>
        </w:rPr>
        <w:t xml:space="preserve">The study assessed selected </w:t>
      </w:r>
      <w:r w:rsidR="001D4C13" w:rsidRPr="00B21E20">
        <w:rPr>
          <w:rFonts w:ascii="Arial" w:hAnsi="Arial" w:cs="Arial"/>
        </w:rPr>
        <w:t xml:space="preserve">psycho-social </w:t>
      </w:r>
      <w:r w:rsidRPr="00934BC1">
        <w:rPr>
          <w:rFonts w:ascii="Arial" w:hAnsi="Arial" w:cs="Arial"/>
          <w:lang w:eastAsia="en-IN"/>
        </w:rPr>
        <w:t xml:space="preserve">indicators of women participating in NICRA interventions across four villages in Murshidabad. The mean scores were fairly high for scientific orientation (mean = 3.35, SD = 0.94), risk orientation (mean = 3.32, SD = 0.95), and economic motivation (mean = 3.28, SD = 0.95), but much lower for information inquisitiveness (mean = 2.53, SD = 1.47) and social participation (mean = 0.78, SD = 0.87). Approximately 50.83% of respondents had </w:t>
      </w:r>
      <w:r w:rsidRPr="00934BC1">
        <w:rPr>
          <w:rFonts w:ascii="Arial" w:hAnsi="Arial" w:cs="Arial"/>
          <w:i/>
          <w:iCs/>
          <w:lang w:eastAsia="en-IN"/>
        </w:rPr>
        <w:t>high</w:t>
      </w:r>
      <w:r w:rsidRPr="00934BC1">
        <w:rPr>
          <w:rFonts w:ascii="Arial" w:hAnsi="Arial" w:cs="Arial"/>
          <w:lang w:eastAsia="en-IN"/>
        </w:rPr>
        <w:t xml:space="preserve"> scientific orientation, and similarly high percentages had elevated economic motivation (44.17%) and risk orientation (42.50%). In stark contrast, half the sample (50.83%) scored </w:t>
      </w:r>
      <w:r w:rsidRPr="00934BC1">
        <w:rPr>
          <w:rFonts w:ascii="Arial" w:hAnsi="Arial" w:cs="Arial"/>
          <w:i/>
          <w:iCs/>
          <w:lang w:eastAsia="en-IN"/>
        </w:rPr>
        <w:t>low</w:t>
      </w:r>
      <w:r w:rsidRPr="00934BC1">
        <w:rPr>
          <w:rFonts w:ascii="Arial" w:hAnsi="Arial" w:cs="Arial"/>
          <w:lang w:eastAsia="en-IN"/>
        </w:rPr>
        <w:t xml:space="preserve"> on social participation, reflecting very limited group or institutional involvement. These differences are underscored by large coefficients of variation (CV): social participation had a CV of 111.5%, degree of participation (in groups) 83.96%, and information inquisitiveness 58.07%. In other words, engagement and curiosity varied widely across households. Such high CVs imply that only a few women were highly active, while many were disengaged. In summary, women showed strong individual orientations (science, risk, economic) but uneven collective engagement. We next examine how these </w:t>
      </w:r>
      <w:r w:rsidR="009E2B9E" w:rsidRPr="009E2B9E">
        <w:rPr>
          <w:rFonts w:ascii="Arial" w:hAnsi="Arial" w:cs="Arial"/>
          <w:lang w:eastAsia="en-IN"/>
        </w:rPr>
        <w:t xml:space="preserve">psycho-social </w:t>
      </w:r>
      <w:r w:rsidRPr="00934BC1">
        <w:rPr>
          <w:rFonts w:ascii="Arial" w:hAnsi="Arial" w:cs="Arial"/>
          <w:lang w:eastAsia="en-IN"/>
        </w:rPr>
        <w:t>l traits relate to three empowerment outcomes: social empowerment (Y1), economic empowerment (Y2), and overall women’s empowerment (Y3).</w:t>
      </w:r>
    </w:p>
    <w:p w14:paraId="4593202E" w14:textId="77777777" w:rsidR="000C7017" w:rsidRDefault="000C7017" w:rsidP="00FB1737">
      <w:pPr>
        <w:tabs>
          <w:tab w:val="left" w:pos="1080"/>
        </w:tabs>
        <w:jc w:val="both"/>
        <w:rPr>
          <w:rFonts w:ascii="Arial" w:hAnsi="Arial"/>
          <w:b/>
        </w:rPr>
      </w:pPr>
    </w:p>
    <w:p w14:paraId="38464F44" w14:textId="18697BF2" w:rsidR="000C7017" w:rsidRDefault="000C7017" w:rsidP="00FB1737">
      <w:pPr>
        <w:tabs>
          <w:tab w:val="left" w:pos="1080"/>
        </w:tabs>
        <w:jc w:val="both"/>
        <w:rPr>
          <w:rFonts w:ascii="Arial" w:hAnsi="Arial"/>
          <w:b/>
        </w:rPr>
      </w:pPr>
    </w:p>
    <w:p w14:paraId="1277A1C0" w14:textId="77777777" w:rsidR="00BD1D00" w:rsidRDefault="00BD1D00" w:rsidP="00BD1D00">
      <w:pPr>
        <w:tabs>
          <w:tab w:val="left" w:pos="1080"/>
        </w:tabs>
        <w:jc w:val="both"/>
        <w:rPr>
          <w:rFonts w:ascii="Arial" w:hAnsi="Arial"/>
          <w:b/>
          <w:i/>
          <w:iCs/>
        </w:rPr>
      </w:pPr>
      <w:r>
        <w:rPr>
          <w:rFonts w:ascii="Arial" w:hAnsi="Arial"/>
          <w:b/>
        </w:rPr>
        <w:t xml:space="preserve">Table 1. </w:t>
      </w:r>
      <w:r w:rsidRPr="005C5C88">
        <w:rPr>
          <w:rFonts w:ascii="Arial" w:hAnsi="Arial"/>
          <w:b/>
          <w:i/>
          <w:iCs/>
        </w:rPr>
        <w:t>Coefficient of Correlation (r): Social Empowerment-Y1 vs. 19 Independent variables (X1-X19)</w:t>
      </w:r>
    </w:p>
    <w:p w14:paraId="21C4B59A" w14:textId="77777777" w:rsidR="00BD1D00" w:rsidRDefault="00BD1D00" w:rsidP="00FB1737">
      <w:pPr>
        <w:tabs>
          <w:tab w:val="left" w:pos="1080"/>
        </w:tabs>
        <w:jc w:val="both"/>
        <w:rPr>
          <w:rFonts w:ascii="Arial" w:hAnsi="Arial"/>
          <w:b/>
        </w:rPr>
      </w:pPr>
    </w:p>
    <w:p w14:paraId="7C5BB346" w14:textId="77777777" w:rsidR="000C7017" w:rsidRDefault="000C7017" w:rsidP="00FB1737">
      <w:pPr>
        <w:tabs>
          <w:tab w:val="left" w:pos="1080"/>
        </w:tabs>
        <w:jc w:val="both"/>
        <w:rPr>
          <w:rFonts w:ascii="Arial" w:hAnsi="Arial"/>
          <w:b/>
        </w:rPr>
      </w:pPr>
    </w:p>
    <w:p w14:paraId="64F980E2" w14:textId="77777777" w:rsidR="000C7017" w:rsidRDefault="000C7017" w:rsidP="00FB1737">
      <w:pPr>
        <w:tabs>
          <w:tab w:val="left" w:pos="1080"/>
        </w:tabs>
        <w:jc w:val="both"/>
        <w:rPr>
          <w:rFonts w:ascii="Arial" w:hAnsi="Arial"/>
          <w:b/>
        </w:rPr>
      </w:pPr>
    </w:p>
    <w:p w14:paraId="52D25310" w14:textId="77777777" w:rsidR="000C7017" w:rsidRDefault="000C7017" w:rsidP="00FB1737">
      <w:pPr>
        <w:tabs>
          <w:tab w:val="left" w:pos="1080"/>
        </w:tabs>
        <w:jc w:val="both"/>
        <w:rPr>
          <w:rFonts w:ascii="Arial" w:hAnsi="Arial"/>
          <w:b/>
        </w:rPr>
      </w:pPr>
    </w:p>
    <w:p w14:paraId="69C97B68" w14:textId="77777777" w:rsidR="000C7017" w:rsidRDefault="000C7017" w:rsidP="00FB1737">
      <w:pPr>
        <w:tabs>
          <w:tab w:val="left" w:pos="1080"/>
        </w:tabs>
        <w:jc w:val="both"/>
        <w:rPr>
          <w:rFonts w:ascii="Arial" w:hAnsi="Arial"/>
          <w:b/>
        </w:rPr>
      </w:pPr>
    </w:p>
    <w:p w14:paraId="71902284" w14:textId="77777777" w:rsidR="000C7017" w:rsidRDefault="000C7017" w:rsidP="00FB1737">
      <w:pPr>
        <w:tabs>
          <w:tab w:val="left" w:pos="1080"/>
        </w:tabs>
        <w:jc w:val="both"/>
        <w:rPr>
          <w:rFonts w:ascii="Arial" w:hAnsi="Arial"/>
          <w:b/>
        </w:rPr>
      </w:pPr>
    </w:p>
    <w:p w14:paraId="418904B5" w14:textId="77777777" w:rsidR="000C7017" w:rsidRDefault="000C7017" w:rsidP="00FB1737">
      <w:pPr>
        <w:tabs>
          <w:tab w:val="left" w:pos="1080"/>
        </w:tabs>
        <w:jc w:val="both"/>
        <w:rPr>
          <w:rFonts w:ascii="Arial" w:hAnsi="Arial"/>
          <w:b/>
        </w:rPr>
      </w:pPr>
    </w:p>
    <w:p w14:paraId="40867D2E" w14:textId="77777777" w:rsidR="000C7017" w:rsidRDefault="000C7017" w:rsidP="00FB1737">
      <w:pPr>
        <w:tabs>
          <w:tab w:val="left" w:pos="1080"/>
        </w:tabs>
        <w:jc w:val="both"/>
        <w:rPr>
          <w:rFonts w:ascii="Arial" w:hAnsi="Arial"/>
          <w:b/>
        </w:rPr>
      </w:pPr>
    </w:p>
    <w:p w14:paraId="027D16FF" w14:textId="338F3824" w:rsidR="00FB1737" w:rsidRDefault="00FB1737" w:rsidP="00FB1737">
      <w:pPr>
        <w:tabs>
          <w:tab w:val="left" w:pos="1080"/>
        </w:tabs>
        <w:jc w:val="both"/>
        <w:rPr>
          <w:rFonts w:ascii="Arial" w:hAnsi="Arial"/>
          <w:b/>
          <w:i/>
          <w:iCs/>
        </w:rPr>
      </w:pPr>
    </w:p>
    <w:tbl>
      <w:tblPr>
        <w:tblStyle w:val="PlainTable41"/>
        <w:tblpPr w:leftFromText="180" w:rightFromText="180" w:vertAnchor="page" w:horzAnchor="margin" w:tblpY="6856"/>
        <w:tblW w:w="9067" w:type="dxa"/>
        <w:tblLook w:val="04A0" w:firstRow="1" w:lastRow="0" w:firstColumn="1" w:lastColumn="0" w:noHBand="0" w:noVBand="1"/>
      </w:tblPr>
      <w:tblGrid>
        <w:gridCol w:w="1407"/>
        <w:gridCol w:w="2565"/>
        <w:gridCol w:w="1657"/>
        <w:gridCol w:w="3438"/>
      </w:tblGrid>
      <w:tr w:rsidR="000C7017" w:rsidRPr="000C7017" w14:paraId="3609C121" w14:textId="77777777" w:rsidTr="00BD1D00">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407" w:type="dxa"/>
          </w:tcPr>
          <w:p w14:paraId="13E7DA7B" w14:textId="77777777" w:rsidR="000C7017" w:rsidRPr="000C7017" w:rsidRDefault="000C7017" w:rsidP="00BD1D00">
            <w:pPr>
              <w:jc w:val="center"/>
              <w:rPr>
                <w:rFonts w:ascii="Arial" w:hAnsi="Arial" w:cs="Arial"/>
              </w:rPr>
            </w:pPr>
            <w:r w:rsidRPr="000C7017">
              <w:rPr>
                <w:rFonts w:ascii="Arial" w:hAnsi="Arial" w:cs="Arial"/>
                <w:b w:val="0"/>
              </w:rPr>
              <w:t>Variable</w:t>
            </w:r>
          </w:p>
          <w:p w14:paraId="40B549BF" w14:textId="77777777" w:rsidR="000C7017" w:rsidRPr="000C7017" w:rsidRDefault="000C7017" w:rsidP="00BD1D00">
            <w:pPr>
              <w:jc w:val="center"/>
              <w:rPr>
                <w:rFonts w:ascii="Arial" w:hAnsi="Arial" w:cs="Arial"/>
              </w:rPr>
            </w:pPr>
            <w:r w:rsidRPr="000C7017">
              <w:rPr>
                <w:rFonts w:ascii="Arial" w:hAnsi="Arial" w:cs="Arial"/>
                <w:b w:val="0"/>
              </w:rPr>
              <w:t>No.</w:t>
            </w:r>
          </w:p>
        </w:tc>
        <w:tc>
          <w:tcPr>
            <w:tcW w:w="2565" w:type="dxa"/>
          </w:tcPr>
          <w:p w14:paraId="05DB038D" w14:textId="77777777" w:rsidR="000C7017" w:rsidRPr="000C7017" w:rsidRDefault="000C7017" w:rsidP="00BD1D0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Independent Variables</w:t>
            </w:r>
          </w:p>
        </w:tc>
        <w:tc>
          <w:tcPr>
            <w:tcW w:w="1657" w:type="dxa"/>
          </w:tcPr>
          <w:p w14:paraId="3E23DF8F" w14:textId="77777777" w:rsidR="000C7017" w:rsidRPr="000C7017" w:rsidRDefault="000C7017" w:rsidP="00BD1D0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‘R’ Value</w:t>
            </w:r>
          </w:p>
        </w:tc>
        <w:tc>
          <w:tcPr>
            <w:tcW w:w="3438" w:type="dxa"/>
          </w:tcPr>
          <w:p w14:paraId="014458A7" w14:textId="77777777" w:rsidR="000C7017" w:rsidRPr="000C7017" w:rsidRDefault="000C7017" w:rsidP="00BD1D0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Remarks ** significant at the 0.01 level *significant at the 0.05 level</w:t>
            </w:r>
          </w:p>
        </w:tc>
      </w:tr>
      <w:tr w:rsidR="000C7017" w:rsidRPr="000C7017" w14:paraId="05CF4193" w14:textId="77777777" w:rsidTr="00BD1D0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2F42ED40"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X4</w:t>
            </w:r>
          </w:p>
        </w:tc>
        <w:tc>
          <w:tcPr>
            <w:tcW w:w="2565" w:type="dxa"/>
          </w:tcPr>
          <w:p w14:paraId="35948286"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 xml:space="preserve">Family Type </w:t>
            </w:r>
          </w:p>
        </w:tc>
        <w:tc>
          <w:tcPr>
            <w:tcW w:w="1657" w:type="dxa"/>
          </w:tcPr>
          <w:p w14:paraId="1D601317"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-0.1973</w:t>
            </w:r>
          </w:p>
        </w:tc>
        <w:tc>
          <w:tcPr>
            <w:tcW w:w="3438" w:type="dxa"/>
          </w:tcPr>
          <w:p w14:paraId="09C92CFB"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197C534" w14:textId="77777777" w:rsidTr="00BD1D00">
        <w:trPr>
          <w:trHeight w:val="127"/>
        </w:trPr>
        <w:tc>
          <w:tcPr>
            <w:cnfStyle w:val="001000000000" w:firstRow="0" w:lastRow="0" w:firstColumn="1" w:lastColumn="0" w:oddVBand="0" w:evenVBand="0" w:oddHBand="0" w:evenHBand="0" w:firstRowFirstColumn="0" w:firstRowLastColumn="0" w:lastRowFirstColumn="0" w:lastRowLastColumn="0"/>
            <w:tcW w:w="1407" w:type="dxa"/>
          </w:tcPr>
          <w:p w14:paraId="7B135434"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X5</w:t>
            </w:r>
          </w:p>
        </w:tc>
        <w:tc>
          <w:tcPr>
            <w:tcW w:w="2565" w:type="dxa"/>
          </w:tcPr>
          <w:p w14:paraId="2F924AC0"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 xml:space="preserve">Family Size </w:t>
            </w:r>
          </w:p>
        </w:tc>
        <w:tc>
          <w:tcPr>
            <w:tcW w:w="1657" w:type="dxa"/>
          </w:tcPr>
          <w:p w14:paraId="1A4A64F8"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-0.2012</w:t>
            </w:r>
          </w:p>
        </w:tc>
        <w:tc>
          <w:tcPr>
            <w:tcW w:w="3438" w:type="dxa"/>
          </w:tcPr>
          <w:p w14:paraId="331040EE"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79265F2A" w14:textId="77777777" w:rsidTr="00BD1D0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07" w:type="dxa"/>
          </w:tcPr>
          <w:p w14:paraId="06750E19"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X9</w:t>
            </w:r>
          </w:p>
        </w:tc>
        <w:tc>
          <w:tcPr>
            <w:tcW w:w="2565" w:type="dxa"/>
          </w:tcPr>
          <w:p w14:paraId="53AA7D05"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Operational Land Holding</w:t>
            </w:r>
          </w:p>
        </w:tc>
        <w:tc>
          <w:tcPr>
            <w:tcW w:w="1657" w:type="dxa"/>
          </w:tcPr>
          <w:p w14:paraId="4E8AFB89"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-0.0174</w:t>
            </w:r>
          </w:p>
        </w:tc>
        <w:tc>
          <w:tcPr>
            <w:tcW w:w="3438" w:type="dxa"/>
          </w:tcPr>
          <w:p w14:paraId="44E0A4FD"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5A461B3" w14:textId="77777777" w:rsidTr="00BD1D00">
        <w:trPr>
          <w:trHeight w:val="127"/>
        </w:trPr>
        <w:tc>
          <w:tcPr>
            <w:cnfStyle w:val="001000000000" w:firstRow="0" w:lastRow="0" w:firstColumn="1" w:lastColumn="0" w:oddVBand="0" w:evenVBand="0" w:oddHBand="0" w:evenHBand="0" w:firstRowFirstColumn="0" w:firstRowLastColumn="0" w:lastRowFirstColumn="0" w:lastRowLastColumn="0"/>
            <w:tcW w:w="1407" w:type="dxa"/>
          </w:tcPr>
          <w:p w14:paraId="501DC59E"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X11</w:t>
            </w:r>
          </w:p>
        </w:tc>
        <w:tc>
          <w:tcPr>
            <w:tcW w:w="2565" w:type="dxa"/>
          </w:tcPr>
          <w:p w14:paraId="213325E0"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Scientific Orientation</w:t>
            </w:r>
          </w:p>
        </w:tc>
        <w:tc>
          <w:tcPr>
            <w:tcW w:w="1657" w:type="dxa"/>
          </w:tcPr>
          <w:p w14:paraId="4240D64B"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0.22023</w:t>
            </w:r>
          </w:p>
        </w:tc>
        <w:tc>
          <w:tcPr>
            <w:tcW w:w="3438" w:type="dxa"/>
          </w:tcPr>
          <w:p w14:paraId="4C69E5DE"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0DE0D9FF" w14:textId="77777777" w:rsidTr="00BD1D0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5E44C0A7"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X12</w:t>
            </w:r>
          </w:p>
        </w:tc>
        <w:tc>
          <w:tcPr>
            <w:tcW w:w="2565" w:type="dxa"/>
          </w:tcPr>
          <w:p w14:paraId="0E9FC274"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Risk Orientation</w:t>
            </w:r>
          </w:p>
        </w:tc>
        <w:tc>
          <w:tcPr>
            <w:tcW w:w="1657" w:type="dxa"/>
          </w:tcPr>
          <w:p w14:paraId="21F39251"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0.23032</w:t>
            </w:r>
          </w:p>
        </w:tc>
        <w:tc>
          <w:tcPr>
            <w:tcW w:w="3438" w:type="dxa"/>
          </w:tcPr>
          <w:p w14:paraId="1840ED6B"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77710898" w14:textId="77777777" w:rsidTr="00BD1D00">
        <w:trPr>
          <w:trHeight w:val="255"/>
        </w:trPr>
        <w:tc>
          <w:tcPr>
            <w:cnfStyle w:val="001000000000" w:firstRow="0" w:lastRow="0" w:firstColumn="1" w:lastColumn="0" w:oddVBand="0" w:evenVBand="0" w:oddHBand="0" w:evenHBand="0" w:firstRowFirstColumn="0" w:firstRowLastColumn="0" w:lastRowFirstColumn="0" w:lastRowLastColumn="0"/>
            <w:tcW w:w="1407" w:type="dxa"/>
          </w:tcPr>
          <w:p w14:paraId="0617C0FD" w14:textId="77777777" w:rsidR="000C7017" w:rsidRPr="000C7017" w:rsidRDefault="000C7017" w:rsidP="00BD1D00">
            <w:pPr>
              <w:jc w:val="center"/>
              <w:rPr>
                <w:rFonts w:ascii="Arial" w:hAnsi="Arial" w:cs="Arial"/>
              </w:rPr>
            </w:pPr>
            <w:r w:rsidRPr="000C7017">
              <w:rPr>
                <w:rFonts w:ascii="Arial" w:hAnsi="Arial" w:cs="Arial"/>
                <w:b w:val="0"/>
                <w:color w:val="000000"/>
                <w:kern w:val="24"/>
                <w:lang w:eastAsia="en-IN" w:bidi="bn-IN"/>
              </w:rPr>
              <w:t>X16</w:t>
            </w:r>
          </w:p>
        </w:tc>
        <w:tc>
          <w:tcPr>
            <w:tcW w:w="2565" w:type="dxa"/>
          </w:tcPr>
          <w:p w14:paraId="585369F9"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Information Inquisitiveness</w:t>
            </w:r>
          </w:p>
        </w:tc>
        <w:tc>
          <w:tcPr>
            <w:tcW w:w="1657" w:type="dxa"/>
          </w:tcPr>
          <w:p w14:paraId="13155AEA"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0.30106</w:t>
            </w:r>
          </w:p>
        </w:tc>
        <w:tc>
          <w:tcPr>
            <w:tcW w:w="3438" w:type="dxa"/>
          </w:tcPr>
          <w:p w14:paraId="354D743D"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45F7E5AA" w14:textId="77777777" w:rsidTr="00BD1D0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4663B783" w14:textId="77777777" w:rsidR="000C7017" w:rsidRPr="000C7017" w:rsidRDefault="000C7017" w:rsidP="00BD1D00">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X17</w:t>
            </w:r>
          </w:p>
        </w:tc>
        <w:tc>
          <w:tcPr>
            <w:tcW w:w="2565" w:type="dxa"/>
          </w:tcPr>
          <w:p w14:paraId="7A840603"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Cognitive Development</w:t>
            </w:r>
          </w:p>
        </w:tc>
        <w:tc>
          <w:tcPr>
            <w:tcW w:w="1657" w:type="dxa"/>
          </w:tcPr>
          <w:p w14:paraId="35E790BC"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0.31693</w:t>
            </w:r>
          </w:p>
        </w:tc>
        <w:tc>
          <w:tcPr>
            <w:tcW w:w="3438" w:type="dxa"/>
          </w:tcPr>
          <w:p w14:paraId="0FA848A7"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2DAA5BC" w14:textId="77777777" w:rsidTr="00BD1D00">
        <w:trPr>
          <w:trHeight w:val="252"/>
        </w:trPr>
        <w:tc>
          <w:tcPr>
            <w:cnfStyle w:val="001000000000" w:firstRow="0" w:lastRow="0" w:firstColumn="1" w:lastColumn="0" w:oddVBand="0" w:evenVBand="0" w:oddHBand="0" w:evenHBand="0" w:firstRowFirstColumn="0" w:firstRowLastColumn="0" w:lastRowFirstColumn="0" w:lastRowLastColumn="0"/>
            <w:tcW w:w="1407" w:type="dxa"/>
          </w:tcPr>
          <w:p w14:paraId="52329109" w14:textId="77777777" w:rsidR="000C7017" w:rsidRPr="000C7017" w:rsidRDefault="000C7017" w:rsidP="00BD1D00">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X18</w:t>
            </w:r>
          </w:p>
        </w:tc>
        <w:tc>
          <w:tcPr>
            <w:tcW w:w="2565" w:type="dxa"/>
          </w:tcPr>
          <w:p w14:paraId="78F2DDC8"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Psychomotor Development</w:t>
            </w:r>
          </w:p>
        </w:tc>
        <w:tc>
          <w:tcPr>
            <w:tcW w:w="1657" w:type="dxa"/>
          </w:tcPr>
          <w:p w14:paraId="183347DB"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kern w:val="24"/>
              </w:rPr>
            </w:pPr>
            <w:r w:rsidRPr="000C7017">
              <w:rPr>
                <w:rFonts w:ascii="Arial" w:hAnsi="Arial" w:cs="Arial"/>
                <w:color w:val="000000"/>
              </w:rPr>
              <w:t>0.32456</w:t>
            </w:r>
          </w:p>
        </w:tc>
        <w:tc>
          <w:tcPr>
            <w:tcW w:w="3438" w:type="dxa"/>
          </w:tcPr>
          <w:p w14:paraId="02585C54" w14:textId="77777777" w:rsidR="000C7017" w:rsidRPr="000C7017" w:rsidRDefault="000C7017" w:rsidP="00BD1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35F670B5" w14:textId="77777777" w:rsidTr="00BD1D0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6914DF02" w14:textId="77777777" w:rsidR="000C7017" w:rsidRPr="000C7017" w:rsidRDefault="000C7017" w:rsidP="00BD1D00">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X19</w:t>
            </w:r>
          </w:p>
        </w:tc>
        <w:tc>
          <w:tcPr>
            <w:tcW w:w="2565" w:type="dxa"/>
          </w:tcPr>
          <w:p w14:paraId="60BC4C08"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Affective Change and Adoption</w:t>
            </w:r>
          </w:p>
        </w:tc>
        <w:tc>
          <w:tcPr>
            <w:tcW w:w="1657" w:type="dxa"/>
          </w:tcPr>
          <w:p w14:paraId="32BDB5DC"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rPr>
            </w:pPr>
            <w:r w:rsidRPr="000C7017">
              <w:rPr>
                <w:rFonts w:ascii="Arial" w:hAnsi="Arial" w:cs="Arial"/>
                <w:color w:val="000000"/>
              </w:rPr>
              <w:t>0.197872</w:t>
            </w:r>
          </w:p>
        </w:tc>
        <w:tc>
          <w:tcPr>
            <w:tcW w:w="3438" w:type="dxa"/>
          </w:tcPr>
          <w:p w14:paraId="32F6826D" w14:textId="77777777" w:rsidR="000C7017" w:rsidRPr="000C7017" w:rsidRDefault="000C7017" w:rsidP="00BD1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bl>
    <w:p w14:paraId="43632535" w14:textId="1284FD32" w:rsidR="000C7017" w:rsidRDefault="000C7017" w:rsidP="00527752">
      <w:pPr>
        <w:spacing w:before="100" w:beforeAutospacing="1" w:after="100" w:afterAutospacing="1"/>
        <w:jc w:val="both"/>
        <w:rPr>
          <w:rFonts w:ascii="Arial" w:hAnsi="Arial" w:cs="Arial"/>
          <w:lang w:eastAsia="en-IN"/>
        </w:rPr>
      </w:pPr>
    </w:p>
    <w:p w14:paraId="4D972E75" w14:textId="77777777" w:rsidR="003F6DB3" w:rsidRPr="008D49CF" w:rsidRDefault="003F6DB3" w:rsidP="003F6DB3">
      <w:pPr>
        <w:rPr>
          <w:b/>
          <w:i/>
          <w:iCs/>
          <w:lang w:val="en-IN"/>
        </w:rPr>
      </w:pPr>
      <w:r w:rsidRPr="008D49CF">
        <w:rPr>
          <w:b/>
          <w:i/>
          <w:iCs/>
          <w:lang w:val="en-IN"/>
        </w:rPr>
        <w:t>Table 2</w:t>
      </w:r>
      <w:r w:rsidRPr="008D49CF">
        <w:rPr>
          <w:b/>
          <w:i/>
          <w:iCs/>
        </w:rPr>
        <w:t>: Coefficient of Correlation (r): Economic Empowerment-Y2 vs. 19 Independent variables (X1-X19)</w:t>
      </w:r>
    </w:p>
    <w:tbl>
      <w:tblPr>
        <w:tblStyle w:val="PlainTable4"/>
        <w:tblW w:w="9067" w:type="dxa"/>
        <w:tblLook w:val="04A0" w:firstRow="1" w:lastRow="0" w:firstColumn="1" w:lastColumn="0" w:noHBand="0" w:noVBand="1"/>
      </w:tblPr>
      <w:tblGrid>
        <w:gridCol w:w="1555"/>
        <w:gridCol w:w="2835"/>
        <w:gridCol w:w="1832"/>
        <w:gridCol w:w="2845"/>
      </w:tblGrid>
      <w:tr w:rsidR="00BE1FE0" w:rsidRPr="002E0D47" w14:paraId="7822CA7A" w14:textId="77777777" w:rsidTr="00492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DE0DEE" w14:textId="77777777" w:rsidR="00BE1FE0" w:rsidRPr="002E0D47" w:rsidRDefault="00BE1FE0" w:rsidP="004922B1">
            <w:pPr>
              <w:rPr>
                <w:b w:val="0"/>
                <w:sz w:val="22"/>
                <w:szCs w:val="22"/>
                <w:lang w:val="en-IN"/>
              </w:rPr>
            </w:pPr>
            <w:bookmarkStart w:id="0" w:name="_Hlk203339297"/>
            <w:r w:rsidRPr="002E0D47">
              <w:rPr>
                <w:b w:val="0"/>
                <w:sz w:val="22"/>
                <w:szCs w:val="22"/>
                <w:lang w:val="en-IN"/>
              </w:rPr>
              <w:t>Variable</w:t>
            </w:r>
          </w:p>
          <w:p w14:paraId="50C92B9E" w14:textId="77777777" w:rsidR="00BE1FE0" w:rsidRPr="002E0D47" w:rsidRDefault="00BE1FE0" w:rsidP="004922B1">
            <w:pPr>
              <w:rPr>
                <w:b w:val="0"/>
                <w:sz w:val="22"/>
                <w:szCs w:val="22"/>
                <w:lang w:val="en-IN"/>
              </w:rPr>
            </w:pPr>
            <w:r w:rsidRPr="002E0D47">
              <w:rPr>
                <w:b w:val="0"/>
                <w:sz w:val="22"/>
                <w:szCs w:val="22"/>
                <w:lang w:val="en-IN"/>
              </w:rPr>
              <w:t>No.</w:t>
            </w:r>
          </w:p>
        </w:tc>
        <w:tc>
          <w:tcPr>
            <w:tcW w:w="2835" w:type="dxa"/>
          </w:tcPr>
          <w:p w14:paraId="509B232A"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Independent Variables</w:t>
            </w:r>
          </w:p>
        </w:tc>
        <w:tc>
          <w:tcPr>
            <w:tcW w:w="1832" w:type="dxa"/>
          </w:tcPr>
          <w:p w14:paraId="6AA0E922"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‘R’ Value</w:t>
            </w:r>
          </w:p>
        </w:tc>
        <w:tc>
          <w:tcPr>
            <w:tcW w:w="2845" w:type="dxa"/>
          </w:tcPr>
          <w:p w14:paraId="3A1CA640"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Remarks ** significant at the 0.01 level *significant at the 0.05 level</w:t>
            </w:r>
          </w:p>
        </w:tc>
      </w:tr>
      <w:tr w:rsidR="00BE1FE0" w:rsidRPr="002E0D47" w14:paraId="55CE1B7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9BE935E" w14:textId="77777777" w:rsidR="00BE1FE0" w:rsidRPr="002E0D47" w:rsidRDefault="00BE1FE0" w:rsidP="004922B1">
            <w:pPr>
              <w:rPr>
                <w:b w:val="0"/>
                <w:sz w:val="22"/>
                <w:szCs w:val="22"/>
                <w:lang w:val="en-IN"/>
              </w:rPr>
            </w:pPr>
            <w:r w:rsidRPr="002E0D47">
              <w:rPr>
                <w:b w:val="0"/>
                <w:sz w:val="22"/>
                <w:szCs w:val="22"/>
                <w:lang w:val="en-IN"/>
              </w:rPr>
              <w:t>X1</w:t>
            </w:r>
          </w:p>
        </w:tc>
        <w:tc>
          <w:tcPr>
            <w:tcW w:w="2835" w:type="dxa"/>
          </w:tcPr>
          <w:p w14:paraId="4F287076"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Age</w:t>
            </w:r>
          </w:p>
        </w:tc>
        <w:tc>
          <w:tcPr>
            <w:tcW w:w="1832" w:type="dxa"/>
          </w:tcPr>
          <w:p w14:paraId="5D6F4D9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-0.468</w:t>
            </w:r>
          </w:p>
        </w:tc>
        <w:tc>
          <w:tcPr>
            <w:tcW w:w="2845" w:type="dxa"/>
          </w:tcPr>
          <w:p w14:paraId="12014559"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C2524CC"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5F0127B5" w14:textId="77777777" w:rsidR="00BE1FE0" w:rsidRPr="002E0D47" w:rsidRDefault="00BE1FE0" w:rsidP="004922B1">
            <w:pPr>
              <w:rPr>
                <w:b w:val="0"/>
                <w:sz w:val="22"/>
                <w:szCs w:val="22"/>
                <w:lang w:val="en-IN"/>
              </w:rPr>
            </w:pPr>
            <w:r w:rsidRPr="002E0D47">
              <w:rPr>
                <w:b w:val="0"/>
                <w:sz w:val="22"/>
                <w:szCs w:val="22"/>
                <w:lang w:val="en-IN"/>
              </w:rPr>
              <w:t>X2</w:t>
            </w:r>
          </w:p>
        </w:tc>
        <w:tc>
          <w:tcPr>
            <w:tcW w:w="2835" w:type="dxa"/>
          </w:tcPr>
          <w:p w14:paraId="4A5D256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Caste</w:t>
            </w:r>
          </w:p>
        </w:tc>
        <w:tc>
          <w:tcPr>
            <w:tcW w:w="1832" w:type="dxa"/>
          </w:tcPr>
          <w:p w14:paraId="72714B7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0.2561</w:t>
            </w:r>
          </w:p>
        </w:tc>
        <w:tc>
          <w:tcPr>
            <w:tcW w:w="2845" w:type="dxa"/>
          </w:tcPr>
          <w:p w14:paraId="7F690D03"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0420F72"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0197ED" w14:textId="77777777" w:rsidR="00BE1FE0" w:rsidRPr="002E0D47" w:rsidRDefault="00BE1FE0" w:rsidP="004922B1">
            <w:pPr>
              <w:rPr>
                <w:b w:val="0"/>
                <w:sz w:val="22"/>
                <w:szCs w:val="22"/>
                <w:lang w:val="en-IN"/>
              </w:rPr>
            </w:pPr>
            <w:r w:rsidRPr="002E0D47">
              <w:rPr>
                <w:b w:val="0"/>
                <w:sz w:val="22"/>
                <w:szCs w:val="22"/>
                <w:lang w:val="en-IN"/>
              </w:rPr>
              <w:t>X3</w:t>
            </w:r>
          </w:p>
        </w:tc>
        <w:tc>
          <w:tcPr>
            <w:tcW w:w="2835" w:type="dxa"/>
          </w:tcPr>
          <w:p w14:paraId="302E35A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Level of Education</w:t>
            </w:r>
          </w:p>
        </w:tc>
        <w:tc>
          <w:tcPr>
            <w:tcW w:w="1832" w:type="dxa"/>
          </w:tcPr>
          <w:p w14:paraId="77CCA68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0.7573</w:t>
            </w:r>
          </w:p>
        </w:tc>
        <w:tc>
          <w:tcPr>
            <w:tcW w:w="2845" w:type="dxa"/>
          </w:tcPr>
          <w:p w14:paraId="011E3E2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3CFBC253"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01573647" w14:textId="77777777" w:rsidR="00BE1FE0" w:rsidRPr="002E0D47" w:rsidRDefault="00BE1FE0" w:rsidP="004922B1">
            <w:pPr>
              <w:rPr>
                <w:b w:val="0"/>
                <w:sz w:val="22"/>
                <w:szCs w:val="22"/>
                <w:lang w:val="en-IN"/>
              </w:rPr>
            </w:pPr>
            <w:r w:rsidRPr="002E0D47">
              <w:rPr>
                <w:b w:val="0"/>
                <w:sz w:val="22"/>
                <w:szCs w:val="22"/>
                <w:lang w:val="en-IN"/>
              </w:rPr>
              <w:lastRenderedPageBreak/>
              <w:t>X4</w:t>
            </w:r>
          </w:p>
        </w:tc>
        <w:tc>
          <w:tcPr>
            <w:tcW w:w="2835" w:type="dxa"/>
          </w:tcPr>
          <w:p w14:paraId="09C9E0B4"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Family Type</w:t>
            </w:r>
          </w:p>
        </w:tc>
        <w:tc>
          <w:tcPr>
            <w:tcW w:w="1832" w:type="dxa"/>
          </w:tcPr>
          <w:p w14:paraId="20BE091F"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-0.397</w:t>
            </w:r>
          </w:p>
        </w:tc>
        <w:tc>
          <w:tcPr>
            <w:tcW w:w="2845" w:type="dxa"/>
          </w:tcPr>
          <w:p w14:paraId="3570A1C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C92EC05"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5AB695" w14:textId="77777777" w:rsidR="00BE1FE0" w:rsidRPr="002E0D47" w:rsidRDefault="00BE1FE0" w:rsidP="004922B1">
            <w:pPr>
              <w:rPr>
                <w:b w:val="0"/>
                <w:sz w:val="22"/>
                <w:szCs w:val="22"/>
                <w:lang w:val="en-IN"/>
              </w:rPr>
            </w:pPr>
            <w:r w:rsidRPr="002E0D47">
              <w:rPr>
                <w:b w:val="0"/>
                <w:sz w:val="22"/>
                <w:szCs w:val="22"/>
                <w:lang w:val="en-IN"/>
              </w:rPr>
              <w:t>X5</w:t>
            </w:r>
          </w:p>
        </w:tc>
        <w:tc>
          <w:tcPr>
            <w:tcW w:w="2835" w:type="dxa"/>
          </w:tcPr>
          <w:p w14:paraId="301B3019"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Family Size</w:t>
            </w:r>
          </w:p>
        </w:tc>
        <w:tc>
          <w:tcPr>
            <w:tcW w:w="1832" w:type="dxa"/>
          </w:tcPr>
          <w:p w14:paraId="1E10EAE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-0.376</w:t>
            </w:r>
          </w:p>
        </w:tc>
        <w:tc>
          <w:tcPr>
            <w:tcW w:w="2845" w:type="dxa"/>
          </w:tcPr>
          <w:p w14:paraId="0A0F6B45"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E15B262"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7B7526E6" w14:textId="77777777" w:rsidR="00BE1FE0" w:rsidRPr="002E0D47" w:rsidRDefault="00BE1FE0" w:rsidP="004922B1">
            <w:pPr>
              <w:rPr>
                <w:b w:val="0"/>
                <w:sz w:val="22"/>
                <w:szCs w:val="22"/>
                <w:lang w:val="en-IN"/>
              </w:rPr>
            </w:pPr>
            <w:r w:rsidRPr="002E0D47">
              <w:rPr>
                <w:b w:val="0"/>
                <w:sz w:val="22"/>
                <w:szCs w:val="22"/>
                <w:lang w:val="en-IN"/>
              </w:rPr>
              <w:t>X6</w:t>
            </w:r>
          </w:p>
        </w:tc>
        <w:tc>
          <w:tcPr>
            <w:tcW w:w="2835" w:type="dxa"/>
          </w:tcPr>
          <w:p w14:paraId="5862306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Occupation</w:t>
            </w:r>
          </w:p>
        </w:tc>
        <w:tc>
          <w:tcPr>
            <w:tcW w:w="1832" w:type="dxa"/>
          </w:tcPr>
          <w:p w14:paraId="49E7BA2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0.5571</w:t>
            </w:r>
          </w:p>
        </w:tc>
        <w:tc>
          <w:tcPr>
            <w:tcW w:w="2845" w:type="dxa"/>
          </w:tcPr>
          <w:p w14:paraId="59DD691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23DF98A4"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692C53" w14:textId="77777777" w:rsidR="00BE1FE0" w:rsidRPr="002E0D47" w:rsidRDefault="00BE1FE0" w:rsidP="004922B1">
            <w:pPr>
              <w:rPr>
                <w:b w:val="0"/>
                <w:sz w:val="22"/>
                <w:szCs w:val="22"/>
                <w:lang w:val="en-IN"/>
              </w:rPr>
            </w:pPr>
            <w:r w:rsidRPr="002E0D47">
              <w:rPr>
                <w:b w:val="0"/>
                <w:sz w:val="22"/>
                <w:szCs w:val="22"/>
                <w:lang w:val="en-IN"/>
              </w:rPr>
              <w:t>X7</w:t>
            </w:r>
          </w:p>
        </w:tc>
        <w:tc>
          <w:tcPr>
            <w:tcW w:w="2835" w:type="dxa"/>
          </w:tcPr>
          <w:p w14:paraId="7AD6340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Annual Income</w:t>
            </w:r>
          </w:p>
        </w:tc>
        <w:tc>
          <w:tcPr>
            <w:tcW w:w="1832" w:type="dxa"/>
          </w:tcPr>
          <w:p w14:paraId="069611FD"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0.6954</w:t>
            </w:r>
          </w:p>
        </w:tc>
        <w:tc>
          <w:tcPr>
            <w:tcW w:w="2845" w:type="dxa"/>
          </w:tcPr>
          <w:p w14:paraId="463CC1B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303B29FF" w14:textId="77777777" w:rsidTr="004922B1">
        <w:trPr>
          <w:trHeight w:val="540"/>
        </w:trPr>
        <w:tc>
          <w:tcPr>
            <w:cnfStyle w:val="001000000000" w:firstRow="0" w:lastRow="0" w:firstColumn="1" w:lastColumn="0" w:oddVBand="0" w:evenVBand="0" w:oddHBand="0" w:evenHBand="0" w:firstRowFirstColumn="0" w:firstRowLastColumn="0" w:lastRowFirstColumn="0" w:lastRowLastColumn="0"/>
            <w:tcW w:w="1555" w:type="dxa"/>
          </w:tcPr>
          <w:p w14:paraId="53EF9049" w14:textId="77777777" w:rsidR="00BE1FE0" w:rsidRPr="002E0D47" w:rsidRDefault="00BE1FE0" w:rsidP="004922B1">
            <w:pPr>
              <w:rPr>
                <w:b w:val="0"/>
                <w:sz w:val="22"/>
                <w:szCs w:val="22"/>
                <w:lang w:val="en-IN"/>
              </w:rPr>
            </w:pPr>
            <w:r w:rsidRPr="002E0D47">
              <w:rPr>
                <w:b w:val="0"/>
                <w:sz w:val="22"/>
                <w:szCs w:val="22"/>
                <w:lang w:val="en-IN"/>
              </w:rPr>
              <w:t>X8</w:t>
            </w:r>
          </w:p>
        </w:tc>
        <w:tc>
          <w:tcPr>
            <w:tcW w:w="2835" w:type="dxa"/>
          </w:tcPr>
          <w:p w14:paraId="287F3004"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Land Ownership</w:t>
            </w:r>
          </w:p>
        </w:tc>
        <w:tc>
          <w:tcPr>
            <w:tcW w:w="1832" w:type="dxa"/>
          </w:tcPr>
          <w:p w14:paraId="3261C7B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0.0321</w:t>
            </w:r>
          </w:p>
        </w:tc>
        <w:tc>
          <w:tcPr>
            <w:tcW w:w="2845" w:type="dxa"/>
          </w:tcPr>
          <w:p w14:paraId="6C37B58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9B43B39"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C6F985" w14:textId="77777777" w:rsidR="00BE1FE0" w:rsidRPr="002E0D47" w:rsidRDefault="00BE1FE0" w:rsidP="004922B1">
            <w:pPr>
              <w:rPr>
                <w:b w:val="0"/>
                <w:sz w:val="22"/>
                <w:szCs w:val="22"/>
                <w:lang w:val="en-IN"/>
              </w:rPr>
            </w:pPr>
            <w:r w:rsidRPr="002E0D47">
              <w:rPr>
                <w:b w:val="0"/>
                <w:sz w:val="22"/>
                <w:szCs w:val="22"/>
                <w:lang w:val="en-IN"/>
              </w:rPr>
              <w:t>X9</w:t>
            </w:r>
          </w:p>
        </w:tc>
        <w:tc>
          <w:tcPr>
            <w:tcW w:w="2835" w:type="dxa"/>
          </w:tcPr>
          <w:p w14:paraId="345F540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Operational Land Holding</w:t>
            </w:r>
          </w:p>
        </w:tc>
        <w:tc>
          <w:tcPr>
            <w:tcW w:w="1832" w:type="dxa"/>
          </w:tcPr>
          <w:p w14:paraId="4826B1C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0.1935</w:t>
            </w:r>
          </w:p>
        </w:tc>
        <w:tc>
          <w:tcPr>
            <w:tcW w:w="2845" w:type="dxa"/>
          </w:tcPr>
          <w:p w14:paraId="0F7E41F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B1FC2FE"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1250EBE7" w14:textId="77777777" w:rsidR="00BE1FE0" w:rsidRPr="002E0D47" w:rsidRDefault="00BE1FE0" w:rsidP="004922B1">
            <w:pPr>
              <w:rPr>
                <w:b w:val="0"/>
                <w:sz w:val="22"/>
                <w:szCs w:val="22"/>
                <w:lang w:val="en-IN"/>
              </w:rPr>
            </w:pPr>
            <w:r w:rsidRPr="002E0D47">
              <w:rPr>
                <w:b w:val="0"/>
                <w:sz w:val="22"/>
                <w:szCs w:val="22"/>
                <w:lang w:val="en-IN"/>
              </w:rPr>
              <w:t>X10</w:t>
            </w:r>
          </w:p>
        </w:tc>
        <w:tc>
          <w:tcPr>
            <w:tcW w:w="2835" w:type="dxa"/>
          </w:tcPr>
          <w:p w14:paraId="4576A980"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House Type</w:t>
            </w:r>
          </w:p>
        </w:tc>
        <w:tc>
          <w:tcPr>
            <w:tcW w:w="1832" w:type="dxa"/>
          </w:tcPr>
          <w:p w14:paraId="7451704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0.5329</w:t>
            </w:r>
          </w:p>
        </w:tc>
        <w:tc>
          <w:tcPr>
            <w:tcW w:w="2845" w:type="dxa"/>
          </w:tcPr>
          <w:p w14:paraId="734C8F3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E4670D1"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C886E27" w14:textId="77777777" w:rsidR="00BE1FE0" w:rsidRPr="002E0D47" w:rsidRDefault="00BE1FE0" w:rsidP="004922B1">
            <w:pPr>
              <w:rPr>
                <w:b w:val="0"/>
                <w:sz w:val="22"/>
                <w:szCs w:val="22"/>
                <w:lang w:val="en-IN"/>
              </w:rPr>
            </w:pPr>
            <w:r w:rsidRPr="002E0D47">
              <w:rPr>
                <w:b w:val="0"/>
                <w:sz w:val="22"/>
                <w:szCs w:val="22"/>
                <w:lang w:val="en-IN"/>
              </w:rPr>
              <w:t>X11</w:t>
            </w:r>
          </w:p>
        </w:tc>
        <w:tc>
          <w:tcPr>
            <w:tcW w:w="2835" w:type="dxa"/>
          </w:tcPr>
          <w:p w14:paraId="48F6ACE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Scientific Orientation</w:t>
            </w:r>
          </w:p>
        </w:tc>
        <w:tc>
          <w:tcPr>
            <w:tcW w:w="1832" w:type="dxa"/>
          </w:tcPr>
          <w:p w14:paraId="3A52FDFE"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0.9072</w:t>
            </w:r>
          </w:p>
        </w:tc>
        <w:tc>
          <w:tcPr>
            <w:tcW w:w="2845" w:type="dxa"/>
          </w:tcPr>
          <w:p w14:paraId="1CE6D357"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4534768A"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4F62F551" w14:textId="77777777" w:rsidR="00BE1FE0" w:rsidRPr="002E0D47" w:rsidRDefault="00BE1FE0" w:rsidP="004922B1">
            <w:pPr>
              <w:rPr>
                <w:b w:val="0"/>
                <w:sz w:val="22"/>
                <w:szCs w:val="22"/>
                <w:lang w:val="en-IN"/>
              </w:rPr>
            </w:pPr>
            <w:r w:rsidRPr="002E0D47">
              <w:rPr>
                <w:b w:val="0"/>
                <w:sz w:val="22"/>
                <w:szCs w:val="22"/>
                <w:lang w:val="en-IN"/>
              </w:rPr>
              <w:t>X12</w:t>
            </w:r>
          </w:p>
        </w:tc>
        <w:tc>
          <w:tcPr>
            <w:tcW w:w="2835" w:type="dxa"/>
          </w:tcPr>
          <w:p w14:paraId="2269F3C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Risk Orientation</w:t>
            </w:r>
          </w:p>
        </w:tc>
        <w:tc>
          <w:tcPr>
            <w:tcW w:w="1832" w:type="dxa"/>
          </w:tcPr>
          <w:p w14:paraId="55B9DA7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0.84</w:t>
            </w:r>
          </w:p>
        </w:tc>
        <w:tc>
          <w:tcPr>
            <w:tcW w:w="2845" w:type="dxa"/>
          </w:tcPr>
          <w:p w14:paraId="55FF7B9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013617E"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B4788F" w14:textId="77777777" w:rsidR="00BE1FE0" w:rsidRPr="002E0D47" w:rsidRDefault="00BE1FE0" w:rsidP="004922B1">
            <w:pPr>
              <w:rPr>
                <w:b w:val="0"/>
                <w:sz w:val="22"/>
                <w:szCs w:val="22"/>
                <w:lang w:val="en-IN"/>
              </w:rPr>
            </w:pPr>
            <w:r w:rsidRPr="002E0D47">
              <w:rPr>
                <w:b w:val="0"/>
                <w:sz w:val="22"/>
                <w:szCs w:val="22"/>
                <w:lang w:val="en-IN"/>
              </w:rPr>
              <w:t>X13</w:t>
            </w:r>
          </w:p>
        </w:tc>
        <w:tc>
          <w:tcPr>
            <w:tcW w:w="2835" w:type="dxa"/>
          </w:tcPr>
          <w:p w14:paraId="0E81B30F"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Economic Motivation</w:t>
            </w:r>
          </w:p>
        </w:tc>
        <w:tc>
          <w:tcPr>
            <w:tcW w:w="1832" w:type="dxa"/>
          </w:tcPr>
          <w:p w14:paraId="20BF074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0.7477</w:t>
            </w:r>
          </w:p>
        </w:tc>
        <w:tc>
          <w:tcPr>
            <w:tcW w:w="2845" w:type="dxa"/>
          </w:tcPr>
          <w:p w14:paraId="5B8673C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5210D2A"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12900953" w14:textId="77777777" w:rsidR="00BE1FE0" w:rsidRPr="002E0D47" w:rsidRDefault="00BE1FE0" w:rsidP="004922B1">
            <w:pPr>
              <w:rPr>
                <w:b w:val="0"/>
                <w:sz w:val="22"/>
                <w:szCs w:val="22"/>
                <w:lang w:val="en-IN"/>
              </w:rPr>
            </w:pPr>
            <w:r w:rsidRPr="002E0D47">
              <w:rPr>
                <w:b w:val="0"/>
                <w:sz w:val="22"/>
                <w:szCs w:val="22"/>
                <w:lang w:val="en-IN"/>
              </w:rPr>
              <w:t>X14</w:t>
            </w:r>
          </w:p>
        </w:tc>
        <w:tc>
          <w:tcPr>
            <w:tcW w:w="2835" w:type="dxa"/>
          </w:tcPr>
          <w:p w14:paraId="3AC273DE"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Social Participation</w:t>
            </w:r>
          </w:p>
        </w:tc>
        <w:tc>
          <w:tcPr>
            <w:tcW w:w="1832" w:type="dxa"/>
          </w:tcPr>
          <w:p w14:paraId="50E3E6C3"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0.7013</w:t>
            </w:r>
          </w:p>
        </w:tc>
        <w:tc>
          <w:tcPr>
            <w:tcW w:w="2845" w:type="dxa"/>
          </w:tcPr>
          <w:p w14:paraId="52189BE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000EF3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02B27D" w14:textId="77777777" w:rsidR="00BE1FE0" w:rsidRPr="002E0D47" w:rsidRDefault="00BE1FE0" w:rsidP="004922B1">
            <w:pPr>
              <w:rPr>
                <w:b w:val="0"/>
                <w:sz w:val="22"/>
                <w:szCs w:val="22"/>
                <w:lang w:val="en-IN"/>
              </w:rPr>
            </w:pPr>
            <w:r w:rsidRPr="002E0D47">
              <w:rPr>
                <w:b w:val="0"/>
                <w:sz w:val="22"/>
                <w:szCs w:val="22"/>
                <w:lang w:val="en-IN"/>
              </w:rPr>
              <w:t>X15</w:t>
            </w:r>
          </w:p>
        </w:tc>
        <w:tc>
          <w:tcPr>
            <w:tcW w:w="2835" w:type="dxa"/>
          </w:tcPr>
          <w:p w14:paraId="72864205"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Degree of Participation</w:t>
            </w:r>
          </w:p>
        </w:tc>
        <w:tc>
          <w:tcPr>
            <w:tcW w:w="1832" w:type="dxa"/>
          </w:tcPr>
          <w:p w14:paraId="239FA72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0.8132</w:t>
            </w:r>
          </w:p>
        </w:tc>
        <w:tc>
          <w:tcPr>
            <w:tcW w:w="2845" w:type="dxa"/>
          </w:tcPr>
          <w:p w14:paraId="3EDBC427"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7988258"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0EE63C7F" w14:textId="77777777" w:rsidR="00BE1FE0" w:rsidRPr="002E0D47" w:rsidRDefault="00BE1FE0" w:rsidP="004922B1">
            <w:pPr>
              <w:rPr>
                <w:b w:val="0"/>
                <w:sz w:val="22"/>
                <w:szCs w:val="22"/>
                <w:lang w:val="en-IN"/>
              </w:rPr>
            </w:pPr>
            <w:r w:rsidRPr="002E0D47">
              <w:rPr>
                <w:b w:val="0"/>
                <w:sz w:val="22"/>
                <w:szCs w:val="22"/>
                <w:lang w:val="en-IN"/>
              </w:rPr>
              <w:t>X16</w:t>
            </w:r>
          </w:p>
        </w:tc>
        <w:tc>
          <w:tcPr>
            <w:tcW w:w="2835" w:type="dxa"/>
          </w:tcPr>
          <w:p w14:paraId="31AB7EFF"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Information Inquisitiveness</w:t>
            </w:r>
          </w:p>
        </w:tc>
        <w:tc>
          <w:tcPr>
            <w:tcW w:w="1832" w:type="dxa"/>
          </w:tcPr>
          <w:p w14:paraId="1B33D295"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0.6833</w:t>
            </w:r>
          </w:p>
        </w:tc>
        <w:tc>
          <w:tcPr>
            <w:tcW w:w="2845" w:type="dxa"/>
          </w:tcPr>
          <w:p w14:paraId="2E225EB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C314B6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CD7171" w14:textId="77777777" w:rsidR="00BE1FE0" w:rsidRPr="002E0D47" w:rsidRDefault="00BE1FE0" w:rsidP="004922B1">
            <w:pPr>
              <w:rPr>
                <w:b w:val="0"/>
                <w:sz w:val="22"/>
                <w:szCs w:val="22"/>
                <w:lang w:val="en-IN"/>
              </w:rPr>
            </w:pPr>
            <w:r w:rsidRPr="002E0D47">
              <w:rPr>
                <w:b w:val="0"/>
                <w:sz w:val="22"/>
                <w:szCs w:val="22"/>
                <w:lang w:val="en-IN"/>
              </w:rPr>
              <w:t>X17</w:t>
            </w:r>
          </w:p>
        </w:tc>
        <w:tc>
          <w:tcPr>
            <w:tcW w:w="2835" w:type="dxa"/>
          </w:tcPr>
          <w:p w14:paraId="5485BF1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bCs/>
                <w:sz w:val="22"/>
                <w:szCs w:val="22"/>
                <w:lang w:val="en-IN"/>
              </w:rPr>
              <w:t>Cognitive Development</w:t>
            </w:r>
          </w:p>
        </w:tc>
        <w:tc>
          <w:tcPr>
            <w:tcW w:w="1832" w:type="dxa"/>
          </w:tcPr>
          <w:p w14:paraId="2A0184D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0.8592</w:t>
            </w:r>
          </w:p>
        </w:tc>
        <w:tc>
          <w:tcPr>
            <w:tcW w:w="2845" w:type="dxa"/>
          </w:tcPr>
          <w:p w14:paraId="1751122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CA1C647"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2A26E9AA" w14:textId="77777777" w:rsidR="00BE1FE0" w:rsidRPr="002E0D47" w:rsidRDefault="00BE1FE0" w:rsidP="004922B1">
            <w:pPr>
              <w:rPr>
                <w:b w:val="0"/>
                <w:sz w:val="22"/>
                <w:szCs w:val="22"/>
                <w:lang w:val="en-IN"/>
              </w:rPr>
            </w:pPr>
            <w:r w:rsidRPr="002E0D47">
              <w:rPr>
                <w:b w:val="0"/>
                <w:sz w:val="22"/>
                <w:szCs w:val="22"/>
                <w:lang w:val="en-IN"/>
              </w:rPr>
              <w:t>X18</w:t>
            </w:r>
          </w:p>
        </w:tc>
        <w:tc>
          <w:tcPr>
            <w:tcW w:w="2835" w:type="dxa"/>
          </w:tcPr>
          <w:p w14:paraId="31DEF58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bCs/>
                <w:sz w:val="22"/>
                <w:szCs w:val="22"/>
                <w:lang w:val="en-IN"/>
              </w:rPr>
            </w:pPr>
            <w:r w:rsidRPr="002E0D47">
              <w:rPr>
                <w:bCs/>
                <w:sz w:val="22"/>
                <w:szCs w:val="22"/>
                <w:lang w:val="en-IN"/>
              </w:rPr>
              <w:t>Psychomotor Development</w:t>
            </w:r>
          </w:p>
        </w:tc>
        <w:tc>
          <w:tcPr>
            <w:tcW w:w="1832" w:type="dxa"/>
          </w:tcPr>
          <w:p w14:paraId="517DFC8E"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bCs/>
                <w:sz w:val="22"/>
                <w:szCs w:val="22"/>
                <w:lang w:val="en-IN"/>
              </w:rPr>
            </w:pPr>
            <w:r w:rsidRPr="002E0D47">
              <w:rPr>
                <w:sz w:val="22"/>
                <w:szCs w:val="22"/>
                <w:lang w:val="en-IN"/>
              </w:rPr>
              <w:t>0.88</w:t>
            </w:r>
          </w:p>
        </w:tc>
        <w:tc>
          <w:tcPr>
            <w:tcW w:w="2845" w:type="dxa"/>
          </w:tcPr>
          <w:p w14:paraId="694EBC7C"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A5666EF"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40547B" w14:textId="77777777" w:rsidR="00BE1FE0" w:rsidRPr="002E0D47" w:rsidRDefault="00BE1FE0" w:rsidP="004922B1">
            <w:pPr>
              <w:rPr>
                <w:b w:val="0"/>
                <w:sz w:val="22"/>
                <w:szCs w:val="22"/>
                <w:lang w:val="en-IN"/>
              </w:rPr>
            </w:pPr>
            <w:r w:rsidRPr="002E0D47">
              <w:rPr>
                <w:b w:val="0"/>
                <w:sz w:val="22"/>
                <w:szCs w:val="22"/>
                <w:lang w:val="en-IN"/>
              </w:rPr>
              <w:t>X19</w:t>
            </w:r>
          </w:p>
        </w:tc>
        <w:tc>
          <w:tcPr>
            <w:tcW w:w="2835" w:type="dxa"/>
          </w:tcPr>
          <w:p w14:paraId="7FF5BF7B"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bCs/>
                <w:sz w:val="22"/>
                <w:szCs w:val="22"/>
                <w:lang w:val="en-IN"/>
              </w:rPr>
              <w:t>Affective Change and Adoption</w:t>
            </w:r>
          </w:p>
        </w:tc>
        <w:tc>
          <w:tcPr>
            <w:tcW w:w="1832" w:type="dxa"/>
          </w:tcPr>
          <w:p w14:paraId="11BFD8DB"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sz w:val="22"/>
                <w:szCs w:val="22"/>
                <w:lang w:val="en-IN"/>
              </w:rPr>
              <w:t>0.6455</w:t>
            </w:r>
          </w:p>
        </w:tc>
        <w:tc>
          <w:tcPr>
            <w:tcW w:w="2845" w:type="dxa"/>
          </w:tcPr>
          <w:p w14:paraId="07EF171D"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bookmarkEnd w:id="0"/>
    </w:tbl>
    <w:p w14:paraId="5FB7CFE4" w14:textId="77777777" w:rsidR="000C7017" w:rsidRPr="003F6DB3" w:rsidRDefault="000C7017" w:rsidP="00527752">
      <w:pPr>
        <w:spacing w:before="100" w:beforeAutospacing="1" w:after="100" w:afterAutospacing="1"/>
        <w:jc w:val="both"/>
      </w:pPr>
    </w:p>
    <w:p w14:paraId="29AF3B6A" w14:textId="77777777" w:rsidR="000C7017" w:rsidRPr="00934BC1" w:rsidRDefault="000C7017" w:rsidP="00527752">
      <w:pPr>
        <w:spacing w:before="100" w:beforeAutospacing="1" w:after="100" w:afterAutospacing="1"/>
        <w:jc w:val="both"/>
        <w:rPr>
          <w:rFonts w:ascii="Arial" w:hAnsi="Arial" w:cs="Arial"/>
          <w:lang w:eastAsia="en-IN"/>
        </w:rPr>
      </w:pPr>
    </w:p>
    <w:p w14:paraId="42872654" w14:textId="77777777" w:rsidR="00EF5EA8" w:rsidRPr="00EF5EA8" w:rsidRDefault="00EF5EA8" w:rsidP="00EF5EA8">
      <w:pPr>
        <w:spacing w:before="100" w:beforeAutospacing="1" w:after="100" w:afterAutospacing="1"/>
        <w:jc w:val="both"/>
        <w:rPr>
          <w:rFonts w:ascii="Arial" w:hAnsi="Arial" w:cs="Arial"/>
          <w:b/>
          <w:bCs/>
          <w:lang w:eastAsia="en-IN"/>
        </w:rPr>
      </w:pPr>
    </w:p>
    <w:p w14:paraId="55D62FAB" w14:textId="77777777" w:rsidR="00BE1FE0" w:rsidRDefault="00EF5EA8" w:rsidP="00EF5EA8">
      <w:pPr>
        <w:spacing w:before="100" w:beforeAutospacing="1" w:after="100" w:afterAutospacing="1"/>
        <w:jc w:val="both"/>
        <w:rPr>
          <w:rFonts w:ascii="Arial" w:hAnsi="Arial" w:cs="Arial"/>
          <w:b/>
          <w:bCs/>
          <w:lang w:eastAsia="en-IN"/>
        </w:rPr>
      </w:pPr>
      <w:r w:rsidRPr="00EF5EA8">
        <w:rPr>
          <w:rFonts w:ascii="Arial" w:hAnsi="Arial" w:cs="Arial"/>
          <w:b/>
          <w:bCs/>
          <w:lang w:eastAsia="en-IN"/>
        </w:rPr>
        <w:t>Table 3: Coefficient of Correlation (r): Women Empowerment-Y3 vs. 19 Independent variables (X1-X19)</w:t>
      </w:r>
      <w:r>
        <w:rPr>
          <w:rFonts w:ascii="Arial" w:hAnsi="Arial" w:cs="Arial"/>
          <w:b/>
          <w:bCs/>
          <w:lang w:eastAsia="en-IN"/>
        </w:rPr>
        <w:t xml:space="preserve"> </w:t>
      </w:r>
    </w:p>
    <w:tbl>
      <w:tblPr>
        <w:tblStyle w:val="PlainTable4"/>
        <w:tblW w:w="9072" w:type="dxa"/>
        <w:tblLook w:val="04A0" w:firstRow="1" w:lastRow="0" w:firstColumn="1" w:lastColumn="0" w:noHBand="0" w:noVBand="1"/>
      </w:tblPr>
      <w:tblGrid>
        <w:gridCol w:w="1551"/>
        <w:gridCol w:w="2825"/>
        <w:gridCol w:w="1823"/>
        <w:gridCol w:w="2873"/>
      </w:tblGrid>
      <w:tr w:rsidR="00EF5EA8" w:rsidRPr="00EF5EA8" w14:paraId="4DCCF0DC" w14:textId="77777777" w:rsidTr="00492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14EF9415"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Variable</w:t>
            </w:r>
          </w:p>
          <w:p w14:paraId="46109EC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No.</w:t>
            </w:r>
          </w:p>
        </w:tc>
        <w:tc>
          <w:tcPr>
            <w:tcW w:w="2825" w:type="dxa"/>
          </w:tcPr>
          <w:p w14:paraId="06A723A4"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Independent Variables</w:t>
            </w:r>
          </w:p>
        </w:tc>
        <w:tc>
          <w:tcPr>
            <w:tcW w:w="1823" w:type="dxa"/>
          </w:tcPr>
          <w:p w14:paraId="550EEFAB"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‘R’ Value</w:t>
            </w:r>
          </w:p>
        </w:tc>
        <w:tc>
          <w:tcPr>
            <w:tcW w:w="2873" w:type="dxa"/>
          </w:tcPr>
          <w:p w14:paraId="390D4997"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Remarks ** significant at the 0.01 level *significant at the 0.05 level</w:t>
            </w:r>
          </w:p>
        </w:tc>
      </w:tr>
      <w:tr w:rsidR="00EF5EA8" w:rsidRPr="00EF5EA8" w14:paraId="6DCFA551"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A40FAF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w:t>
            </w:r>
          </w:p>
        </w:tc>
        <w:tc>
          <w:tcPr>
            <w:tcW w:w="2825" w:type="dxa"/>
          </w:tcPr>
          <w:p w14:paraId="39E7D34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Age</w:t>
            </w:r>
          </w:p>
        </w:tc>
        <w:tc>
          <w:tcPr>
            <w:tcW w:w="1823" w:type="dxa"/>
          </w:tcPr>
          <w:p w14:paraId="0DA141EF"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-0.457</w:t>
            </w:r>
          </w:p>
        </w:tc>
        <w:tc>
          <w:tcPr>
            <w:tcW w:w="2873" w:type="dxa"/>
          </w:tcPr>
          <w:p w14:paraId="7E6B19F4"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1DB399E9"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5206020C"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X3</w:t>
            </w:r>
          </w:p>
        </w:tc>
        <w:tc>
          <w:tcPr>
            <w:tcW w:w="2825" w:type="dxa"/>
          </w:tcPr>
          <w:p w14:paraId="4B89564F"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Level of Education</w:t>
            </w:r>
          </w:p>
        </w:tc>
        <w:tc>
          <w:tcPr>
            <w:tcW w:w="1823" w:type="dxa"/>
          </w:tcPr>
          <w:p w14:paraId="6EC0E74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0.7308</w:t>
            </w:r>
          </w:p>
        </w:tc>
        <w:tc>
          <w:tcPr>
            <w:tcW w:w="2873" w:type="dxa"/>
          </w:tcPr>
          <w:p w14:paraId="79752259"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676E976"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E243093"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X4</w:t>
            </w:r>
          </w:p>
        </w:tc>
        <w:tc>
          <w:tcPr>
            <w:tcW w:w="2825" w:type="dxa"/>
          </w:tcPr>
          <w:p w14:paraId="1D68425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Family Type</w:t>
            </w:r>
          </w:p>
        </w:tc>
        <w:tc>
          <w:tcPr>
            <w:tcW w:w="1823" w:type="dxa"/>
          </w:tcPr>
          <w:p w14:paraId="43C582EE"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-0.49</w:t>
            </w:r>
          </w:p>
        </w:tc>
        <w:tc>
          <w:tcPr>
            <w:tcW w:w="2873" w:type="dxa"/>
          </w:tcPr>
          <w:p w14:paraId="0B3CCC5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1898AA6"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0AE729E3"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X5</w:t>
            </w:r>
          </w:p>
        </w:tc>
        <w:tc>
          <w:tcPr>
            <w:tcW w:w="2825" w:type="dxa"/>
          </w:tcPr>
          <w:p w14:paraId="613EB10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Family Size</w:t>
            </w:r>
          </w:p>
        </w:tc>
        <w:tc>
          <w:tcPr>
            <w:tcW w:w="1823" w:type="dxa"/>
          </w:tcPr>
          <w:p w14:paraId="3D19F890"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-0.505</w:t>
            </w:r>
          </w:p>
        </w:tc>
        <w:tc>
          <w:tcPr>
            <w:tcW w:w="2873" w:type="dxa"/>
          </w:tcPr>
          <w:p w14:paraId="28618DCC"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2AE061CF"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498DD57"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X6</w:t>
            </w:r>
          </w:p>
        </w:tc>
        <w:tc>
          <w:tcPr>
            <w:tcW w:w="2825" w:type="dxa"/>
          </w:tcPr>
          <w:p w14:paraId="0770470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Occupation</w:t>
            </w:r>
          </w:p>
        </w:tc>
        <w:tc>
          <w:tcPr>
            <w:tcW w:w="1823" w:type="dxa"/>
          </w:tcPr>
          <w:p w14:paraId="7962552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0.4383</w:t>
            </w:r>
          </w:p>
        </w:tc>
        <w:tc>
          <w:tcPr>
            <w:tcW w:w="2873" w:type="dxa"/>
          </w:tcPr>
          <w:p w14:paraId="4C6A739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9D1FC3D"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7D151DC2"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X7</w:t>
            </w:r>
          </w:p>
        </w:tc>
        <w:tc>
          <w:tcPr>
            <w:tcW w:w="2825" w:type="dxa"/>
          </w:tcPr>
          <w:p w14:paraId="2E239A5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Annual Income</w:t>
            </w:r>
          </w:p>
        </w:tc>
        <w:tc>
          <w:tcPr>
            <w:tcW w:w="1823" w:type="dxa"/>
          </w:tcPr>
          <w:p w14:paraId="26E4764A"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0.6102</w:t>
            </w:r>
          </w:p>
        </w:tc>
        <w:tc>
          <w:tcPr>
            <w:tcW w:w="2873" w:type="dxa"/>
          </w:tcPr>
          <w:p w14:paraId="259AAC5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3D0016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7C69550"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X10</w:t>
            </w:r>
          </w:p>
        </w:tc>
        <w:tc>
          <w:tcPr>
            <w:tcW w:w="2825" w:type="dxa"/>
          </w:tcPr>
          <w:p w14:paraId="285B002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House Type</w:t>
            </w:r>
          </w:p>
        </w:tc>
        <w:tc>
          <w:tcPr>
            <w:tcW w:w="1823" w:type="dxa"/>
          </w:tcPr>
          <w:p w14:paraId="46215C5D"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0.3851</w:t>
            </w:r>
          </w:p>
        </w:tc>
        <w:tc>
          <w:tcPr>
            <w:tcW w:w="2873" w:type="dxa"/>
          </w:tcPr>
          <w:p w14:paraId="08E13C39"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0A55277"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1DD32DE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X11</w:t>
            </w:r>
          </w:p>
        </w:tc>
        <w:tc>
          <w:tcPr>
            <w:tcW w:w="2825" w:type="dxa"/>
          </w:tcPr>
          <w:p w14:paraId="4993D991"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Scientific Orientation</w:t>
            </w:r>
          </w:p>
        </w:tc>
        <w:tc>
          <w:tcPr>
            <w:tcW w:w="1823" w:type="dxa"/>
          </w:tcPr>
          <w:p w14:paraId="480E7EC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0.8147</w:t>
            </w:r>
          </w:p>
        </w:tc>
        <w:tc>
          <w:tcPr>
            <w:tcW w:w="2873" w:type="dxa"/>
          </w:tcPr>
          <w:p w14:paraId="6F2319E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67B61EA2"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15964D7"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X12</w:t>
            </w:r>
          </w:p>
        </w:tc>
        <w:tc>
          <w:tcPr>
            <w:tcW w:w="2825" w:type="dxa"/>
          </w:tcPr>
          <w:p w14:paraId="6D7E5C20"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Risk Orientation</w:t>
            </w:r>
          </w:p>
        </w:tc>
        <w:tc>
          <w:tcPr>
            <w:tcW w:w="1823" w:type="dxa"/>
          </w:tcPr>
          <w:p w14:paraId="23A1378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0.7578</w:t>
            </w:r>
          </w:p>
        </w:tc>
        <w:tc>
          <w:tcPr>
            <w:tcW w:w="2873" w:type="dxa"/>
          </w:tcPr>
          <w:p w14:paraId="7ADC1247"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07BE8FF"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50C21BF8"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X13</w:t>
            </w:r>
          </w:p>
        </w:tc>
        <w:tc>
          <w:tcPr>
            <w:tcW w:w="2825" w:type="dxa"/>
          </w:tcPr>
          <w:p w14:paraId="41B7E13F"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Economic Motivation</w:t>
            </w:r>
          </w:p>
        </w:tc>
        <w:tc>
          <w:tcPr>
            <w:tcW w:w="1823" w:type="dxa"/>
          </w:tcPr>
          <w:p w14:paraId="4648F3C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0.6459</w:t>
            </w:r>
          </w:p>
        </w:tc>
        <w:tc>
          <w:tcPr>
            <w:tcW w:w="2873" w:type="dxa"/>
          </w:tcPr>
          <w:p w14:paraId="77BD9EA4"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3343345"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6CA65C5F"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X14</w:t>
            </w:r>
          </w:p>
        </w:tc>
        <w:tc>
          <w:tcPr>
            <w:tcW w:w="2825" w:type="dxa"/>
          </w:tcPr>
          <w:p w14:paraId="45328B44"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Social Participation</w:t>
            </w:r>
          </w:p>
        </w:tc>
        <w:tc>
          <w:tcPr>
            <w:tcW w:w="1823" w:type="dxa"/>
          </w:tcPr>
          <w:p w14:paraId="3F15992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0.6402</w:t>
            </w:r>
          </w:p>
        </w:tc>
        <w:tc>
          <w:tcPr>
            <w:tcW w:w="2873" w:type="dxa"/>
          </w:tcPr>
          <w:p w14:paraId="3AA0504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1FA944B5"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749FAD7D"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X15</w:t>
            </w:r>
          </w:p>
        </w:tc>
        <w:tc>
          <w:tcPr>
            <w:tcW w:w="2825" w:type="dxa"/>
          </w:tcPr>
          <w:p w14:paraId="2CCF82EE"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Degree of Participation</w:t>
            </w:r>
          </w:p>
        </w:tc>
        <w:tc>
          <w:tcPr>
            <w:tcW w:w="1823" w:type="dxa"/>
          </w:tcPr>
          <w:p w14:paraId="2FDEBB4E"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0.7916</w:t>
            </w:r>
          </w:p>
        </w:tc>
        <w:tc>
          <w:tcPr>
            <w:tcW w:w="2873" w:type="dxa"/>
          </w:tcPr>
          <w:p w14:paraId="0EC466D2"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502478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3BBD92FE"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X16</w:t>
            </w:r>
          </w:p>
        </w:tc>
        <w:tc>
          <w:tcPr>
            <w:tcW w:w="2825" w:type="dxa"/>
          </w:tcPr>
          <w:p w14:paraId="72BCFFC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Information Inquisitiveness</w:t>
            </w:r>
          </w:p>
        </w:tc>
        <w:tc>
          <w:tcPr>
            <w:tcW w:w="1823" w:type="dxa"/>
          </w:tcPr>
          <w:p w14:paraId="57AE3A0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0.6438</w:t>
            </w:r>
          </w:p>
        </w:tc>
        <w:tc>
          <w:tcPr>
            <w:tcW w:w="2873" w:type="dxa"/>
          </w:tcPr>
          <w:p w14:paraId="51F527B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4B34B6F"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037F56B9"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X17</w:t>
            </w:r>
          </w:p>
        </w:tc>
        <w:tc>
          <w:tcPr>
            <w:tcW w:w="2825" w:type="dxa"/>
          </w:tcPr>
          <w:p w14:paraId="472EA5AA"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Cognitive Development</w:t>
            </w:r>
          </w:p>
        </w:tc>
        <w:tc>
          <w:tcPr>
            <w:tcW w:w="1823" w:type="dxa"/>
          </w:tcPr>
          <w:p w14:paraId="639635E9"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0.8105</w:t>
            </w:r>
          </w:p>
        </w:tc>
        <w:tc>
          <w:tcPr>
            <w:tcW w:w="2873" w:type="dxa"/>
          </w:tcPr>
          <w:p w14:paraId="149F0C9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9EEA01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D61B2D8"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X18</w:t>
            </w:r>
          </w:p>
        </w:tc>
        <w:tc>
          <w:tcPr>
            <w:tcW w:w="2825" w:type="dxa"/>
          </w:tcPr>
          <w:p w14:paraId="0816FA4A"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Psychomotor Development</w:t>
            </w:r>
          </w:p>
        </w:tc>
        <w:tc>
          <w:tcPr>
            <w:tcW w:w="1823" w:type="dxa"/>
          </w:tcPr>
          <w:p w14:paraId="748C98F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0.8586</w:t>
            </w:r>
          </w:p>
        </w:tc>
        <w:tc>
          <w:tcPr>
            <w:tcW w:w="2873" w:type="dxa"/>
          </w:tcPr>
          <w:p w14:paraId="50D5ECEA"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E640223"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1280F025"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X19</w:t>
            </w:r>
          </w:p>
        </w:tc>
        <w:tc>
          <w:tcPr>
            <w:tcW w:w="2825" w:type="dxa"/>
          </w:tcPr>
          <w:p w14:paraId="77898817"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Affective Change and Adoption</w:t>
            </w:r>
          </w:p>
        </w:tc>
        <w:tc>
          <w:tcPr>
            <w:tcW w:w="1823" w:type="dxa"/>
          </w:tcPr>
          <w:p w14:paraId="7236D396"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0.6395</w:t>
            </w:r>
          </w:p>
        </w:tc>
        <w:tc>
          <w:tcPr>
            <w:tcW w:w="2873" w:type="dxa"/>
          </w:tcPr>
          <w:p w14:paraId="3C601DCC"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bl>
    <w:p w14:paraId="6DB2C92F" w14:textId="77777777" w:rsidR="00EF5EA8" w:rsidRDefault="00EF5EA8" w:rsidP="00EF5EA8">
      <w:pPr>
        <w:spacing w:before="100" w:beforeAutospacing="1" w:after="100" w:afterAutospacing="1"/>
        <w:jc w:val="both"/>
        <w:rPr>
          <w:rFonts w:ascii="Arial" w:hAnsi="Arial" w:cs="Arial"/>
          <w:b/>
          <w:bCs/>
          <w:lang w:eastAsia="en-IN"/>
        </w:rPr>
      </w:pPr>
    </w:p>
    <w:p w14:paraId="7EDD136C" w14:textId="77777777" w:rsidR="00527752" w:rsidRPr="00307682" w:rsidRDefault="00934BC1" w:rsidP="00527752">
      <w:pPr>
        <w:spacing w:before="100" w:beforeAutospacing="1" w:after="100" w:afterAutospacing="1"/>
        <w:jc w:val="both"/>
        <w:rPr>
          <w:rFonts w:ascii="Arial" w:hAnsi="Arial" w:cs="Arial"/>
          <w:b/>
          <w:bCs/>
          <w:lang w:eastAsia="en-IN"/>
        </w:rPr>
      </w:pPr>
      <w:r>
        <w:rPr>
          <w:rFonts w:ascii="Arial" w:hAnsi="Arial" w:cs="Arial"/>
          <w:b/>
          <w:bCs/>
          <w:lang w:eastAsia="en-IN"/>
        </w:rPr>
        <w:lastRenderedPageBreak/>
        <w:t xml:space="preserve">3.1. </w:t>
      </w:r>
      <w:r w:rsidR="00527752" w:rsidRPr="00934BC1">
        <w:rPr>
          <w:rFonts w:ascii="Arial" w:hAnsi="Arial" w:cs="Arial"/>
          <w:b/>
          <w:bCs/>
          <w:lang w:eastAsia="en-IN"/>
        </w:rPr>
        <w:t>Scientific and Economic Orientation</w:t>
      </w:r>
      <w:r w:rsidR="00307682">
        <w:rPr>
          <w:rFonts w:ascii="Arial" w:hAnsi="Arial" w:cs="Arial"/>
          <w:b/>
          <w:bCs/>
          <w:lang w:eastAsia="en-IN"/>
        </w:rPr>
        <w:t xml:space="preserve">: </w:t>
      </w:r>
      <w:r w:rsidR="00527752" w:rsidRPr="00934BC1">
        <w:rPr>
          <w:rFonts w:ascii="Arial" w:hAnsi="Arial" w:cs="Arial"/>
          <w:lang w:eastAsia="en-IN"/>
        </w:rPr>
        <w:t xml:space="preserve">A growing scientific orientation and economic incentive among women is evident, which is promising for climate-resilient agriculture. Scientific orientation – reflecting openness to new ideas and technologies – was positively correlated with empowerment, but the strength varied by dimension. It had a </w:t>
      </w:r>
      <w:r w:rsidR="00527752" w:rsidRPr="00934BC1">
        <w:rPr>
          <w:rFonts w:ascii="Arial" w:hAnsi="Arial" w:cs="Arial"/>
          <w:i/>
          <w:iCs/>
          <w:lang w:eastAsia="en-IN"/>
        </w:rPr>
        <w:t>moderate</w:t>
      </w:r>
      <w:r w:rsidR="00527752" w:rsidRPr="00934BC1">
        <w:rPr>
          <w:rFonts w:ascii="Arial" w:hAnsi="Arial" w:cs="Arial"/>
          <w:lang w:eastAsia="en-IN"/>
        </w:rPr>
        <w:t xml:space="preserve"> positive correlation with social empowerment (Y1: </w:t>
      </w:r>
      <w:r w:rsidR="00527752" w:rsidRPr="00934BC1">
        <w:rPr>
          <w:rFonts w:ascii="Arial" w:hAnsi="Arial" w:cs="Arial"/>
          <w:b/>
          <w:bCs/>
          <w:lang w:eastAsia="en-IN"/>
        </w:rPr>
        <w:t>r</w:t>
      </w:r>
      <w:r w:rsidR="00527752" w:rsidRPr="00934BC1">
        <w:rPr>
          <w:rFonts w:ascii="Arial" w:hAnsi="Arial" w:cs="Arial"/>
          <w:lang w:eastAsia="en-IN"/>
        </w:rPr>
        <w:t xml:space="preserve"> = 0.220, </w:t>
      </w:r>
      <w:r w:rsidR="00527752" w:rsidRPr="00934BC1">
        <w:rPr>
          <w:rFonts w:ascii="Arial" w:hAnsi="Arial" w:cs="Arial"/>
          <w:i/>
          <w:iCs/>
          <w:lang w:eastAsia="en-IN"/>
        </w:rPr>
        <w:t>p</w:t>
      </w:r>
      <w:r w:rsidR="00527752" w:rsidRPr="00934BC1">
        <w:rPr>
          <w:rFonts w:ascii="Arial" w:hAnsi="Arial" w:cs="Arial"/>
          <w:lang w:eastAsia="en-IN"/>
        </w:rPr>
        <w:t xml:space="preserve">&lt;0.05), but a </w:t>
      </w:r>
      <w:r w:rsidR="00527752" w:rsidRPr="00934BC1">
        <w:rPr>
          <w:rFonts w:ascii="Arial" w:hAnsi="Arial" w:cs="Arial"/>
          <w:i/>
          <w:iCs/>
          <w:lang w:eastAsia="en-IN"/>
        </w:rPr>
        <w:t>very strong</w:t>
      </w:r>
      <w:r w:rsidR="00527752" w:rsidRPr="00934BC1">
        <w:rPr>
          <w:rFonts w:ascii="Arial" w:hAnsi="Arial" w:cs="Arial"/>
          <w:lang w:eastAsia="en-IN"/>
        </w:rPr>
        <w:t xml:space="preserve"> correlation with economic empowerment (Y2: </w:t>
      </w:r>
      <w:r w:rsidR="00527752" w:rsidRPr="00934BC1">
        <w:rPr>
          <w:rFonts w:ascii="Arial" w:hAnsi="Arial" w:cs="Arial"/>
          <w:b/>
          <w:bCs/>
          <w:lang w:eastAsia="en-IN"/>
        </w:rPr>
        <w:t>r</w:t>
      </w:r>
      <w:r w:rsidR="00527752" w:rsidRPr="00934BC1">
        <w:rPr>
          <w:rFonts w:ascii="Arial" w:hAnsi="Arial" w:cs="Arial"/>
          <w:lang w:eastAsia="en-IN"/>
        </w:rPr>
        <w:t xml:space="preserve"> = 0.907, </w:t>
      </w:r>
      <w:r w:rsidR="00527752" w:rsidRPr="00934BC1">
        <w:rPr>
          <w:rFonts w:ascii="Arial" w:hAnsi="Arial" w:cs="Arial"/>
          <w:i/>
          <w:iCs/>
          <w:lang w:eastAsia="en-IN"/>
        </w:rPr>
        <w:t>p</w:t>
      </w:r>
      <w:r w:rsidR="00527752" w:rsidRPr="00934BC1">
        <w:rPr>
          <w:rFonts w:ascii="Arial" w:hAnsi="Arial" w:cs="Arial"/>
          <w:lang w:eastAsia="en-IN"/>
        </w:rPr>
        <w:t xml:space="preserve">&lt;0.01) and with overall empowerment (Y3: </w:t>
      </w:r>
      <w:r w:rsidR="00527752" w:rsidRPr="00934BC1">
        <w:rPr>
          <w:rFonts w:ascii="Arial" w:hAnsi="Arial" w:cs="Arial"/>
          <w:b/>
          <w:bCs/>
          <w:lang w:eastAsia="en-IN"/>
        </w:rPr>
        <w:t>r</w:t>
      </w:r>
      <w:r w:rsidR="00527752" w:rsidRPr="00934BC1">
        <w:rPr>
          <w:rFonts w:ascii="Arial" w:hAnsi="Arial" w:cs="Arial"/>
          <w:lang w:eastAsia="en-IN"/>
        </w:rPr>
        <w:t xml:space="preserve"> = 0.815, </w:t>
      </w:r>
      <w:r w:rsidR="00527752" w:rsidRPr="00934BC1">
        <w:rPr>
          <w:rFonts w:ascii="Arial" w:hAnsi="Arial" w:cs="Arial"/>
          <w:i/>
          <w:iCs/>
          <w:lang w:eastAsia="en-IN"/>
        </w:rPr>
        <w:t>p</w:t>
      </w:r>
      <w:r w:rsidR="00527752" w:rsidRPr="00934BC1">
        <w:rPr>
          <w:rFonts w:ascii="Arial" w:hAnsi="Arial" w:cs="Arial"/>
          <w:lang w:eastAsia="en-IN"/>
        </w:rPr>
        <w:t>&lt;0.01). In other words, variation in scientific orientation explains a large share of the variance in women’s economic and overall empowerment, far more than for social empowerment. This aligns with the relatively stable mean (3.35) and moderate CV (~28%) for scientific orientation: most women scored above average, and those who are more scientifically oriented enjoy substantially higher economic agency. Similarly, economic motivation (mean = 3.28, CV ≈29%) showed strong positive correlations with Y2 (</w:t>
      </w:r>
      <w:r w:rsidR="00527752" w:rsidRPr="00934BC1">
        <w:rPr>
          <w:rFonts w:ascii="Arial" w:hAnsi="Arial" w:cs="Arial"/>
          <w:b/>
          <w:bCs/>
          <w:lang w:eastAsia="en-IN"/>
        </w:rPr>
        <w:t>r</w:t>
      </w:r>
      <w:r w:rsidR="00527752" w:rsidRPr="00934BC1">
        <w:rPr>
          <w:rFonts w:ascii="Arial" w:hAnsi="Arial" w:cs="Arial"/>
          <w:lang w:eastAsia="en-IN"/>
        </w:rPr>
        <w:t xml:space="preserve"> = 0.748, </w:t>
      </w:r>
      <w:r w:rsidR="00527752" w:rsidRPr="00934BC1">
        <w:rPr>
          <w:rFonts w:ascii="Arial" w:hAnsi="Arial" w:cs="Arial"/>
          <w:i/>
          <w:iCs/>
          <w:lang w:eastAsia="en-IN"/>
        </w:rPr>
        <w:t>p</w:t>
      </w:r>
      <w:r w:rsidR="00527752" w:rsidRPr="00934BC1">
        <w:rPr>
          <w:rFonts w:ascii="Arial" w:hAnsi="Arial" w:cs="Arial"/>
          <w:lang w:eastAsia="en-IN"/>
        </w:rPr>
        <w:t>&lt;0.01) and Y3 (</w:t>
      </w:r>
      <w:r w:rsidR="00527752" w:rsidRPr="00934BC1">
        <w:rPr>
          <w:rFonts w:ascii="Arial" w:hAnsi="Arial" w:cs="Arial"/>
          <w:b/>
          <w:bCs/>
          <w:lang w:eastAsia="en-IN"/>
        </w:rPr>
        <w:t>r</w:t>
      </w:r>
      <w:r w:rsidR="00527752" w:rsidRPr="00934BC1">
        <w:rPr>
          <w:rFonts w:ascii="Arial" w:hAnsi="Arial" w:cs="Arial"/>
          <w:lang w:eastAsia="en-IN"/>
        </w:rPr>
        <w:t xml:space="preserve"> = 0.646, </w:t>
      </w:r>
      <w:r w:rsidR="00527752" w:rsidRPr="00934BC1">
        <w:rPr>
          <w:rFonts w:ascii="Arial" w:hAnsi="Arial" w:cs="Arial"/>
          <w:i/>
          <w:iCs/>
          <w:lang w:eastAsia="en-IN"/>
        </w:rPr>
        <w:t>p</w:t>
      </w:r>
      <w:r w:rsidR="00527752" w:rsidRPr="00934BC1">
        <w:rPr>
          <w:rFonts w:ascii="Arial" w:hAnsi="Arial" w:cs="Arial"/>
          <w:lang w:eastAsia="en-IN"/>
        </w:rPr>
        <w:t xml:space="preserve">&lt;0.01). These high </w:t>
      </w:r>
      <w:r w:rsidR="00527752" w:rsidRPr="00934BC1">
        <w:rPr>
          <w:rFonts w:ascii="Arial" w:hAnsi="Arial" w:cs="Arial"/>
          <w:i/>
          <w:iCs/>
          <w:lang w:eastAsia="en-IN"/>
        </w:rPr>
        <w:t>r</w:t>
      </w:r>
      <w:r w:rsidR="00527752" w:rsidRPr="00934BC1">
        <w:rPr>
          <w:rFonts w:ascii="Arial" w:hAnsi="Arial" w:cs="Arial"/>
          <w:lang w:eastAsia="en-IN"/>
        </w:rPr>
        <w:t>-values (&gt;0.7) indicate that women who are highly motivated by economic gain tend to have much higher incomes and decision-making power. By contrast, their impact on social empowerment (Y1) was not significant. In practice, this suggests that knowledge and income aspirations directly translate into tangible economic benefits and overall empowerment for women. These findings echo broader evidence: building women’s technical knowledge and human capital (through training or education) has been shown to reduce poverty and enhance climate resilience</w:t>
      </w:r>
      <w:r w:rsidR="00527752" w:rsidRPr="00934BC1">
        <w:rPr>
          <w:rFonts w:ascii="Arial" w:hAnsi="Arial" w:cs="Arial"/>
        </w:rPr>
        <w:t xml:space="preserve"> (Mohammed et al., 2022)</w:t>
      </w:r>
      <w:r w:rsidR="00527752" w:rsidRPr="00934BC1">
        <w:rPr>
          <w:rFonts w:ascii="Arial" w:hAnsi="Arial" w:cs="Arial"/>
          <w:lang w:eastAsia="en-IN"/>
        </w:rPr>
        <w:t>. For example, Shahbaz et al. (2022) found that women’s decision-making power and innovativeness (akin to scientific orientation) significantly increased the adoption of climate-smart practices. Thus, the high mean and strong correlations suggest that NICRA’s knowledge-driven interventions are reaching women who in turn are leveraging that knowledge to improve their livelihoods and resilience (Bonny et al., 2023).</w:t>
      </w:r>
      <w:r w:rsidR="00527752" w:rsidRPr="00934BC1">
        <w:rPr>
          <w:rFonts w:ascii="Arial" w:hAnsi="Arial" w:cs="Arial"/>
          <w:u w:val="single"/>
          <w:lang w:eastAsia="en-IN"/>
        </w:rPr>
        <w:t xml:space="preserve"> </w:t>
      </w:r>
    </w:p>
    <w:p w14:paraId="023F001D" w14:textId="77777777"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3.2. </w:t>
      </w:r>
      <w:r w:rsidR="00527752" w:rsidRPr="00934BC1">
        <w:rPr>
          <w:rFonts w:ascii="Arial" w:hAnsi="Arial" w:cs="Arial"/>
          <w:b/>
          <w:bCs/>
          <w:lang w:eastAsia="en-IN"/>
        </w:rPr>
        <w:t>Risk Orientation and Information Inquisitiveness</w:t>
      </w:r>
      <w:r w:rsidR="00307682">
        <w:rPr>
          <w:rFonts w:ascii="Arial" w:hAnsi="Arial" w:cs="Arial"/>
          <w:b/>
          <w:bCs/>
          <w:lang w:eastAsia="en-IN"/>
        </w:rPr>
        <w:t>:</w:t>
      </w:r>
      <w:r w:rsidR="00527752" w:rsidRPr="00934BC1">
        <w:rPr>
          <w:rFonts w:ascii="Arial" w:hAnsi="Arial" w:cs="Arial"/>
          <w:lang w:eastAsia="en-IN"/>
        </w:rPr>
        <w:t xml:space="preserve"> Many women exhibited medium to high-risk orientation (mean = 3.32), meaning they are relatively open to trying new practices even under uncertainty. This trait also showed consistently positive correlations with empowerment: </w:t>
      </w:r>
      <w:r w:rsidR="00527752" w:rsidRPr="00934BC1">
        <w:rPr>
          <w:rFonts w:ascii="Arial" w:hAnsi="Arial" w:cs="Arial"/>
          <w:b/>
          <w:bCs/>
          <w:lang w:eastAsia="en-IN"/>
        </w:rPr>
        <w:t>r</w:t>
      </w:r>
      <w:r w:rsidR="00527752" w:rsidRPr="00934BC1">
        <w:rPr>
          <w:rFonts w:ascii="Arial" w:hAnsi="Arial" w:cs="Arial"/>
          <w:lang w:eastAsia="en-IN"/>
        </w:rPr>
        <w:t xml:space="preserve"> = 0.230 (p&lt;0.01) with Y1, </w:t>
      </w:r>
      <w:r w:rsidR="00527752" w:rsidRPr="00934BC1">
        <w:rPr>
          <w:rFonts w:ascii="Arial" w:hAnsi="Arial" w:cs="Arial"/>
          <w:b/>
          <w:bCs/>
          <w:lang w:eastAsia="en-IN"/>
        </w:rPr>
        <w:t>r</w:t>
      </w:r>
      <w:r w:rsidR="00527752" w:rsidRPr="00934BC1">
        <w:rPr>
          <w:rFonts w:ascii="Arial" w:hAnsi="Arial" w:cs="Arial"/>
          <w:lang w:eastAsia="en-IN"/>
        </w:rPr>
        <w:t xml:space="preserve"> = 0.840 (p&lt;0.01) with Y2 and </w:t>
      </w:r>
      <w:r w:rsidR="00527752" w:rsidRPr="00934BC1">
        <w:rPr>
          <w:rFonts w:ascii="Arial" w:hAnsi="Arial" w:cs="Arial"/>
          <w:b/>
          <w:bCs/>
          <w:lang w:eastAsia="en-IN"/>
        </w:rPr>
        <w:t>r</w:t>
      </w:r>
      <w:r w:rsidR="00527752" w:rsidRPr="00934BC1">
        <w:rPr>
          <w:rFonts w:ascii="Arial" w:hAnsi="Arial" w:cs="Arial"/>
          <w:lang w:eastAsia="en-IN"/>
        </w:rPr>
        <w:t xml:space="preserve"> = 0.758 (p&lt;0.01) with Y3. Thus, risk-tolerant women are significantly more empowered, especially economically. In effect, women willing to take chances on innovation reap greater gains. This pattern matches Shahbaz et al. (2022), who reported those women’s empowerment and innovativeness drive adoption of climate-smart strategies (Shahbaz et al., 2022). Information inquisitiveness – essentially a proclivity to seek knowledge – had a lower mean (2.53) and a high SD, resulting in a CV of 58.1%. Despite this variability, inquisitiveness was also positively correlated with all empowerment measures: </w:t>
      </w:r>
      <w:r w:rsidR="00527752" w:rsidRPr="00934BC1">
        <w:rPr>
          <w:rFonts w:ascii="Arial" w:hAnsi="Arial" w:cs="Arial"/>
          <w:b/>
          <w:bCs/>
          <w:lang w:eastAsia="en-IN"/>
        </w:rPr>
        <w:t>r</w:t>
      </w:r>
      <w:r w:rsidR="00527752" w:rsidRPr="00934BC1">
        <w:rPr>
          <w:rFonts w:ascii="Arial" w:hAnsi="Arial" w:cs="Arial"/>
          <w:lang w:eastAsia="en-IN"/>
        </w:rPr>
        <w:t xml:space="preserve"> = 0.301 (p&lt;0.01) with Y1, </w:t>
      </w:r>
      <w:r w:rsidR="00527752" w:rsidRPr="00934BC1">
        <w:rPr>
          <w:rFonts w:ascii="Arial" w:hAnsi="Arial" w:cs="Arial"/>
          <w:b/>
          <w:bCs/>
          <w:lang w:eastAsia="en-IN"/>
        </w:rPr>
        <w:t>r</w:t>
      </w:r>
      <w:r w:rsidR="00527752" w:rsidRPr="00934BC1">
        <w:rPr>
          <w:rFonts w:ascii="Arial" w:hAnsi="Arial" w:cs="Arial"/>
          <w:lang w:eastAsia="en-IN"/>
        </w:rPr>
        <w:t xml:space="preserve"> = 0.683 (p&lt;0.01) with Y2 and </w:t>
      </w:r>
      <w:r w:rsidR="00527752" w:rsidRPr="00934BC1">
        <w:rPr>
          <w:rFonts w:ascii="Arial" w:hAnsi="Arial" w:cs="Arial"/>
          <w:b/>
          <w:bCs/>
          <w:lang w:eastAsia="en-IN"/>
        </w:rPr>
        <w:t>r</w:t>
      </w:r>
      <w:r w:rsidR="00527752" w:rsidRPr="00934BC1">
        <w:rPr>
          <w:rFonts w:ascii="Arial" w:hAnsi="Arial" w:cs="Arial"/>
          <w:lang w:eastAsia="en-IN"/>
        </w:rPr>
        <w:t xml:space="preserve"> = 0.644 (p&lt;0.01) with Y3. In practical terms, women who are more curious and proactive in seeking information report substantially higher economic and overall empowerment. The relatively high </w:t>
      </w:r>
      <w:r w:rsidR="00527752" w:rsidRPr="00934BC1">
        <w:rPr>
          <w:rFonts w:ascii="Arial" w:hAnsi="Arial" w:cs="Arial"/>
          <w:i/>
          <w:iCs/>
          <w:lang w:eastAsia="en-IN"/>
        </w:rPr>
        <w:t>r</w:t>
      </w:r>
      <w:r w:rsidR="00527752" w:rsidRPr="00934BC1">
        <w:rPr>
          <w:rFonts w:ascii="Arial" w:hAnsi="Arial" w:cs="Arial"/>
          <w:lang w:eastAsia="en-IN"/>
        </w:rPr>
        <w:t xml:space="preserve"> values (around 0.64–0.68) despite the low mean indicate that although few women were highly inquisitive, those who were inquisitive gained marked empowerment benefits. This underscores the importance of information access: studies have shown that women’s limited access to climate-smart agricultural information can hinder adoption of new practices</w:t>
      </w:r>
      <w:r w:rsidR="00527752" w:rsidRPr="00934BC1">
        <w:rPr>
          <w:rFonts w:ascii="Arial" w:hAnsi="Arial" w:cs="Arial"/>
        </w:rPr>
        <w:t xml:space="preserve"> (Ringler et al., 2023). </w:t>
      </w:r>
      <w:r w:rsidR="00527752" w:rsidRPr="00934BC1">
        <w:rPr>
          <w:rFonts w:ascii="Arial" w:hAnsi="Arial" w:cs="Arial"/>
          <w:lang w:eastAsia="en-IN"/>
        </w:rPr>
        <w:t>In our sample, improving information flow and supporting inquisitive behaviour could thus disproportionately raise empowerment among those currently less informed.</w:t>
      </w:r>
    </w:p>
    <w:p w14:paraId="45F3FEF9" w14:textId="77777777"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3.3. </w:t>
      </w:r>
      <w:r w:rsidR="00527752" w:rsidRPr="00934BC1">
        <w:rPr>
          <w:rFonts w:ascii="Arial" w:hAnsi="Arial" w:cs="Arial"/>
          <w:b/>
          <w:bCs/>
          <w:lang w:eastAsia="en-IN"/>
        </w:rPr>
        <w:t>Social Participation (Collective Engagement)</w:t>
      </w:r>
      <w:r w:rsidR="00307682">
        <w:rPr>
          <w:rFonts w:ascii="Arial" w:hAnsi="Arial" w:cs="Arial"/>
          <w:b/>
          <w:bCs/>
          <w:lang w:eastAsia="en-IN"/>
        </w:rPr>
        <w:t xml:space="preserve">: </w:t>
      </w:r>
      <w:r w:rsidR="00527752" w:rsidRPr="00934BC1">
        <w:rPr>
          <w:rFonts w:ascii="Arial" w:hAnsi="Arial" w:cs="Arial"/>
          <w:lang w:eastAsia="en-IN"/>
        </w:rPr>
        <w:t xml:space="preserve">Social participation was the weakest area, with mean = 0.78 and extremely high variability (CV = 111.5%), meaning most women had almost no group involvement while a few participated intensively. Nevertheless, social participation was strongly positively associated with empowerment: </w:t>
      </w:r>
      <w:r w:rsidR="00527752" w:rsidRPr="00934BC1">
        <w:rPr>
          <w:rFonts w:ascii="Arial" w:hAnsi="Arial" w:cs="Arial"/>
          <w:b/>
          <w:bCs/>
          <w:lang w:eastAsia="en-IN"/>
        </w:rPr>
        <w:t>r</w:t>
      </w:r>
      <w:r w:rsidR="00527752" w:rsidRPr="00934BC1">
        <w:rPr>
          <w:rFonts w:ascii="Arial" w:hAnsi="Arial" w:cs="Arial"/>
          <w:lang w:eastAsia="en-IN"/>
        </w:rPr>
        <w:t xml:space="preserve"> = 0.701 (p&lt;0.01) with Y2 and </w:t>
      </w:r>
      <w:r w:rsidR="00527752" w:rsidRPr="00934BC1">
        <w:rPr>
          <w:rFonts w:ascii="Arial" w:hAnsi="Arial" w:cs="Arial"/>
          <w:b/>
          <w:bCs/>
          <w:lang w:eastAsia="en-IN"/>
        </w:rPr>
        <w:t>r</w:t>
      </w:r>
      <w:r w:rsidR="00527752" w:rsidRPr="00934BC1">
        <w:rPr>
          <w:rFonts w:ascii="Arial" w:hAnsi="Arial" w:cs="Arial"/>
          <w:lang w:eastAsia="en-IN"/>
        </w:rPr>
        <w:t xml:space="preserve"> = 0.640 (p&lt;0.01) with Y3. These are substantial correlations, indicating that </w:t>
      </w:r>
      <w:r w:rsidR="00527752" w:rsidRPr="00934BC1">
        <w:rPr>
          <w:rFonts w:ascii="Arial" w:hAnsi="Arial" w:cs="Arial"/>
          <w:i/>
          <w:iCs/>
          <w:lang w:eastAsia="en-IN"/>
        </w:rPr>
        <w:t>those</w:t>
      </w:r>
      <w:r w:rsidR="00527752" w:rsidRPr="00934BC1">
        <w:rPr>
          <w:rFonts w:ascii="Arial" w:hAnsi="Arial" w:cs="Arial"/>
          <w:lang w:eastAsia="en-IN"/>
        </w:rPr>
        <w:t xml:space="preserve"> women who do engage in formal groups (such as SHGs or cooperatives) tend to have much higher economic status and overall empowerment. For example, Chaitra and Indira (2024) found that participation in self-help groups allowed over two-thirds of members to take part in farm decision-making and boosted women’s incomes. They emphasize that integrating SHG models with agricultural extension can greatly strengthen women’s economic and social empowerment. Our results support this: the low mean participation suggests many are not engaged, but for those who are, the effect is large. Put differently, a high </w:t>
      </w:r>
      <w:r w:rsidR="00527752" w:rsidRPr="00934BC1">
        <w:rPr>
          <w:rFonts w:ascii="Arial" w:hAnsi="Arial" w:cs="Arial"/>
          <w:i/>
          <w:iCs/>
          <w:lang w:eastAsia="en-IN"/>
        </w:rPr>
        <w:t>r</w:t>
      </w:r>
      <w:r w:rsidR="00527752" w:rsidRPr="00934BC1">
        <w:rPr>
          <w:rFonts w:ascii="Arial" w:hAnsi="Arial" w:cs="Arial"/>
          <w:lang w:eastAsia="en-IN"/>
        </w:rPr>
        <w:t xml:space="preserve"> despite low mean/CV means that marginal increases in participation (bringing more women into groups) could yield outsized empowerment gains. The gap between individual and collective variables hints at a missed opportunity: women are individually motivated but lack cohesive networks. As Meinzen-Dick et al. (2011) argued, institutional participation is central to inclusive </w:t>
      </w:r>
      <w:r w:rsidR="00527752" w:rsidRPr="00934BC1">
        <w:rPr>
          <w:rFonts w:ascii="Arial" w:hAnsi="Arial" w:cs="Arial"/>
          <w:lang w:eastAsia="en-IN"/>
        </w:rPr>
        <w:lastRenderedPageBreak/>
        <w:t>empowerment. Our findings affirm that view in a climate context: strengthening women’s collective action likely amplifies and sustains the benefits from their scientific and economic orientations.</w:t>
      </w:r>
    </w:p>
    <w:p w14:paraId="3C897744" w14:textId="3B0FEFE2"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3.4. </w:t>
      </w:r>
      <w:r w:rsidR="00527752" w:rsidRPr="00934BC1">
        <w:rPr>
          <w:rFonts w:ascii="Arial" w:hAnsi="Arial" w:cs="Arial"/>
          <w:b/>
          <w:bCs/>
          <w:lang w:eastAsia="en-IN"/>
        </w:rPr>
        <w:t>Implications for Climate-Resilient Agriculture and Empowerment</w:t>
      </w:r>
      <w:r w:rsidR="00307682">
        <w:rPr>
          <w:rFonts w:ascii="Arial" w:hAnsi="Arial" w:cs="Arial"/>
          <w:b/>
          <w:bCs/>
          <w:lang w:eastAsia="en-IN"/>
        </w:rPr>
        <w:t xml:space="preserve">: </w:t>
      </w:r>
      <w:r w:rsidR="00527752" w:rsidRPr="00934BC1">
        <w:rPr>
          <w:rFonts w:ascii="Arial" w:hAnsi="Arial" w:cs="Arial"/>
          <w:lang w:eastAsia="en-IN"/>
        </w:rPr>
        <w:t xml:space="preserve"> In sum, women’s </w:t>
      </w:r>
      <w:r w:rsidR="009E2B9E">
        <w:rPr>
          <w:rFonts w:ascii="Arial" w:hAnsi="Arial" w:cs="Arial"/>
          <w:lang w:eastAsia="en-IN"/>
        </w:rPr>
        <w:t>psycho-</w:t>
      </w:r>
      <w:r w:rsidR="00B2477F">
        <w:rPr>
          <w:rFonts w:ascii="Arial" w:hAnsi="Arial" w:cs="Arial"/>
          <w:lang w:eastAsia="en-IN"/>
        </w:rPr>
        <w:t xml:space="preserve">social </w:t>
      </w:r>
      <w:r w:rsidR="00B2477F" w:rsidRPr="00934BC1">
        <w:rPr>
          <w:rFonts w:ascii="Arial" w:hAnsi="Arial" w:cs="Arial"/>
          <w:lang w:eastAsia="en-IN"/>
        </w:rPr>
        <w:t>profiles</w:t>
      </w:r>
      <w:r w:rsidR="00527752" w:rsidRPr="00934BC1">
        <w:rPr>
          <w:rFonts w:ascii="Arial" w:hAnsi="Arial" w:cs="Arial"/>
          <w:lang w:eastAsia="en-IN"/>
        </w:rPr>
        <w:t xml:space="preserve"> in these villages show strong knowledge-driven aspirations (scientific and economic orientation, risk taking) but uneven group engagement. High correlation coefficients (R-values) between orientation variables and empowerment underscore the pivotal role of </w:t>
      </w:r>
      <w:r w:rsidR="009E2B9E">
        <w:rPr>
          <w:rFonts w:ascii="Arial" w:hAnsi="Arial" w:cs="Arial"/>
          <w:lang w:eastAsia="en-IN"/>
        </w:rPr>
        <w:t>psycho-</w:t>
      </w:r>
      <w:r w:rsidR="00B2477F">
        <w:rPr>
          <w:rFonts w:ascii="Arial" w:hAnsi="Arial" w:cs="Arial"/>
          <w:lang w:eastAsia="en-IN"/>
        </w:rPr>
        <w:t xml:space="preserve">social </w:t>
      </w:r>
      <w:r w:rsidR="00B2477F" w:rsidRPr="00934BC1">
        <w:rPr>
          <w:rFonts w:ascii="Arial" w:hAnsi="Arial" w:cs="Arial"/>
          <w:lang w:eastAsia="en-IN"/>
        </w:rPr>
        <w:t>traits</w:t>
      </w:r>
      <w:r w:rsidR="00527752" w:rsidRPr="00934BC1">
        <w:rPr>
          <w:rFonts w:ascii="Arial" w:hAnsi="Arial" w:cs="Arial"/>
          <w:lang w:eastAsia="en-IN"/>
        </w:rPr>
        <w:t xml:space="preserve">. For instance, the near-perfect correlation of scientific orientation with economic empowerment (R ≈ 0.91) indicates that even small increases in knowledge orientation correspond to large economic gains. By contrast, social participation’s lower mean but high </w:t>
      </w:r>
      <w:r w:rsidR="00527752" w:rsidRPr="00934BC1">
        <w:rPr>
          <w:rFonts w:ascii="Arial" w:hAnsi="Arial" w:cs="Arial"/>
          <w:i/>
          <w:iCs/>
          <w:lang w:eastAsia="en-IN"/>
        </w:rPr>
        <w:t>R</w:t>
      </w:r>
      <w:r w:rsidR="00527752" w:rsidRPr="00934BC1">
        <w:rPr>
          <w:rFonts w:ascii="Arial" w:hAnsi="Arial" w:cs="Arial"/>
          <w:lang w:eastAsia="en-IN"/>
        </w:rPr>
        <w:t xml:space="preserve"> (≈0.70 with Y2) suggests that mobilizing group involvement could dramatically elevate empowerment for those currently out of networks. These patterns suggest practical avenues for NICRA: continue to build women’s adaptive knowledge and confidence (which</w:t>
      </w:r>
      <w:r w:rsidR="00B2477F">
        <w:rPr>
          <w:rFonts w:ascii="Arial" w:hAnsi="Arial" w:cs="Arial"/>
          <w:lang w:eastAsia="en-IN"/>
        </w:rPr>
        <w:t xml:space="preserve"> drives individual empowerment)</w:t>
      </w:r>
      <w:r w:rsidR="00527752" w:rsidRPr="00934BC1">
        <w:rPr>
          <w:rFonts w:ascii="Arial" w:hAnsi="Arial" w:cs="Arial"/>
          <w:lang w:eastAsia="en-IN"/>
        </w:rPr>
        <w:t xml:space="preserve"> </w:t>
      </w:r>
      <w:r w:rsidR="00527752" w:rsidRPr="00B2477F">
        <w:rPr>
          <w:rFonts w:ascii="Arial" w:hAnsi="Arial" w:cs="Arial"/>
          <w:bCs/>
          <w:lang w:eastAsia="en-IN"/>
        </w:rPr>
        <w:t>and</w:t>
      </w:r>
      <w:r w:rsidR="00527752" w:rsidRPr="00934BC1">
        <w:rPr>
          <w:rFonts w:ascii="Arial" w:hAnsi="Arial" w:cs="Arial"/>
          <w:lang w:eastAsia="en-IN"/>
        </w:rPr>
        <w:t xml:space="preserve"> intensify group-based strategies (SHGs, cooperatives, participatory planning) to spread those gains. Empowerment must be both individual and collective to be sustainable. Tailoring NICRA interventions to specifically engage non-participating women – for example through group meetings, village councils or peer-led trainings – could reduce the observed disparity (low mean, high CV) and make empowerment uniform. In practice, this might involve linking highly inquisitive or risk-taking women (who already benefit) with peers via SHGs, or using video/ICT tools in group settings as suggested by recent IFPRI work (Rwamigisa et al., 2023;</w:t>
      </w:r>
      <w:r w:rsidR="00A55C4B" w:rsidRPr="00A55C4B">
        <w:t xml:space="preserve"> </w:t>
      </w:r>
      <w:r w:rsidR="00A55C4B" w:rsidRPr="00A55C4B">
        <w:rPr>
          <w:rFonts w:ascii="Arial" w:hAnsi="Arial" w:cs="Arial"/>
          <w:lang w:eastAsia="en-IN"/>
        </w:rPr>
        <w:t>Aladesuru &amp; Ringler, 2022</w:t>
      </w:r>
      <w:r w:rsidR="00527752" w:rsidRPr="00934BC1">
        <w:rPr>
          <w:rFonts w:ascii="Arial" w:hAnsi="Arial" w:cs="Arial"/>
          <w:lang w:eastAsia="en-IN"/>
        </w:rPr>
        <w:t>).</w:t>
      </w:r>
    </w:p>
    <w:p w14:paraId="00B15043" w14:textId="6A6658D0" w:rsidR="00527752" w:rsidRPr="00934BC1" w:rsidRDefault="00527752" w:rsidP="00527752">
      <w:pPr>
        <w:spacing w:before="100" w:beforeAutospacing="1" w:after="100" w:afterAutospacing="1"/>
        <w:jc w:val="both"/>
        <w:rPr>
          <w:rFonts w:ascii="Arial" w:hAnsi="Arial" w:cs="Arial"/>
          <w:lang w:eastAsia="en-IN"/>
        </w:rPr>
      </w:pPr>
      <w:r w:rsidRPr="00934BC1">
        <w:rPr>
          <w:rFonts w:ascii="Arial" w:hAnsi="Arial" w:cs="Arial"/>
          <w:lang w:eastAsia="en-IN"/>
        </w:rPr>
        <w:t xml:space="preserve">Overall, the evidence indicates that </w:t>
      </w:r>
      <w:r w:rsidR="009E2B9E">
        <w:rPr>
          <w:rFonts w:ascii="Arial" w:hAnsi="Arial" w:cs="Arial"/>
          <w:lang w:eastAsia="en-IN"/>
        </w:rPr>
        <w:t>psycho-</w:t>
      </w:r>
      <w:r w:rsidR="00063FF2">
        <w:rPr>
          <w:rFonts w:ascii="Arial" w:hAnsi="Arial" w:cs="Arial"/>
          <w:lang w:eastAsia="en-IN"/>
        </w:rPr>
        <w:t xml:space="preserve">social </w:t>
      </w:r>
      <w:r w:rsidR="00063FF2" w:rsidRPr="00934BC1">
        <w:rPr>
          <w:rFonts w:ascii="Arial" w:hAnsi="Arial" w:cs="Arial"/>
          <w:lang w:eastAsia="en-IN"/>
        </w:rPr>
        <w:t>factors</w:t>
      </w:r>
      <w:r w:rsidRPr="00934BC1">
        <w:rPr>
          <w:rFonts w:ascii="Arial" w:hAnsi="Arial" w:cs="Arial"/>
          <w:lang w:eastAsia="en-IN"/>
        </w:rPr>
        <w:t xml:space="preserve"> are deeply intertwined with women’s empowerment in climate-resilient agriculture. Strengthening scientific orientation and risk-taking (through training, demonstrations and incentives) boosts women’s adoption of resilient practices and their economic agency (Shahbaz et al., 2022). At the same time, fostering information inquisitiveness and social participation – by improving access to information and forging stronger community networks – will enhance collective resilience and inclusion. These findings echo global calls for gender-responsive climate-smart agriculture: empowering women with knowledge and agency not only advances their personal livelihoods, but also builds community resilience (Bonny et al., </w:t>
      </w:r>
      <w:r w:rsidR="000C639C">
        <w:rPr>
          <w:rFonts w:ascii="Arial" w:hAnsi="Arial" w:cs="Arial"/>
          <w:lang w:eastAsia="en-IN"/>
        </w:rPr>
        <w:t>2</w:t>
      </w:r>
      <w:r w:rsidRPr="00934BC1">
        <w:rPr>
          <w:rFonts w:ascii="Arial" w:hAnsi="Arial" w:cs="Arial"/>
          <w:lang w:eastAsia="en-IN"/>
        </w:rPr>
        <w:t xml:space="preserve">; Kironde et al., 2021). Future NICRA programs should therefore monitor these </w:t>
      </w:r>
      <w:r w:rsidR="009E2B9E">
        <w:rPr>
          <w:rFonts w:ascii="Arial" w:hAnsi="Arial" w:cs="Arial"/>
          <w:lang w:eastAsia="en-IN"/>
        </w:rPr>
        <w:t>psycho-</w:t>
      </w:r>
      <w:r w:rsidR="00063FF2">
        <w:rPr>
          <w:rFonts w:ascii="Arial" w:hAnsi="Arial" w:cs="Arial"/>
          <w:lang w:eastAsia="en-IN"/>
        </w:rPr>
        <w:t xml:space="preserve">social </w:t>
      </w:r>
      <w:r w:rsidR="00063FF2" w:rsidRPr="00934BC1">
        <w:rPr>
          <w:rFonts w:ascii="Arial" w:hAnsi="Arial" w:cs="Arial"/>
          <w:lang w:eastAsia="en-IN"/>
        </w:rPr>
        <w:t>indicators</w:t>
      </w:r>
      <w:r w:rsidRPr="00934BC1">
        <w:rPr>
          <w:rFonts w:ascii="Arial" w:hAnsi="Arial" w:cs="Arial"/>
          <w:lang w:eastAsia="en-IN"/>
        </w:rPr>
        <w:t xml:space="preserve"> and emphasize interventions that convert individual gains into group action, ensuring that as women’s scientific and economic motivations rise, so too does their collective empowerment and the sustainability of the agricultural innovations.</w:t>
      </w:r>
    </w:p>
    <w:p w14:paraId="2D60C4AD" w14:textId="77777777" w:rsidR="008D49CF" w:rsidRDefault="008D49CF" w:rsidP="008D49CF">
      <w:pPr>
        <w:tabs>
          <w:tab w:val="left" w:pos="1080"/>
        </w:tabs>
        <w:jc w:val="both"/>
        <w:rPr>
          <w:rFonts w:ascii="Arial" w:hAnsi="Arial"/>
          <w:lang w:val="en-IN"/>
        </w:rPr>
      </w:pPr>
    </w:p>
    <w:p w14:paraId="7465EC60" w14:textId="77777777" w:rsidR="008D49CF" w:rsidRPr="008D49CF" w:rsidRDefault="008D49CF" w:rsidP="008D49CF">
      <w:pPr>
        <w:spacing w:line="360" w:lineRule="auto"/>
        <w:jc w:val="both"/>
        <w:rPr>
          <w:rFonts w:ascii="Arial" w:hAnsi="Arial" w:cs="Arial"/>
          <w:b/>
          <w:sz w:val="22"/>
          <w:szCs w:val="22"/>
        </w:rPr>
      </w:pPr>
      <w:r w:rsidRPr="008D49CF">
        <w:rPr>
          <w:rFonts w:ascii="Arial" w:hAnsi="Arial" w:cs="Arial"/>
          <w:b/>
          <w:sz w:val="22"/>
          <w:szCs w:val="22"/>
          <w:lang w:val="en-IN"/>
        </w:rPr>
        <w:t xml:space="preserve">4. </w:t>
      </w:r>
      <w:r w:rsidRPr="008D49CF">
        <w:rPr>
          <w:rFonts w:ascii="Arial" w:hAnsi="Arial" w:cs="Arial"/>
          <w:b/>
          <w:bCs/>
          <w:sz w:val="22"/>
          <w:szCs w:val="22"/>
          <w:lang w:eastAsia="en-IN" w:bidi="bn-IN"/>
        </w:rPr>
        <w:t>CONCLUSION</w:t>
      </w:r>
    </w:p>
    <w:p w14:paraId="052A07D1" w14:textId="6DD62D95"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t>The findings indicate that National Innovations in Climate Resilient Agriculture (NICRA) interventions have produced positive changes across multiple dimensions of women’s empowerment in Murshidabad’s climate-vulnerable agricultural communities. Murshidabad is recognized as one of West Bengal’s most climate-vulnerable districts, with high exposure to erratic rainfall and limited adaptive capacity</w:t>
      </w:r>
      <w:r w:rsidRPr="00242602">
        <w:rPr>
          <w:rStyle w:val="ms-1"/>
          <w:rFonts w:ascii="Arial" w:hAnsi="Arial" w:cs="Arial"/>
          <w:sz w:val="20"/>
          <w:szCs w:val="20"/>
        </w:rPr>
        <w:t xml:space="preserve"> (</w:t>
      </w:r>
      <w:r w:rsidRPr="00242602">
        <w:rPr>
          <w:rFonts w:ascii="Arial" w:hAnsi="Arial" w:cs="Arial"/>
          <w:color w:val="101214"/>
          <w:sz w:val="20"/>
          <w:szCs w:val="20"/>
          <w:shd w:val="clear" w:color="auto" w:fill="FFFFFF"/>
        </w:rPr>
        <w:t>Maity et al., 2025)</w:t>
      </w:r>
      <w:r w:rsidRPr="00242602">
        <w:rPr>
          <w:rFonts w:ascii="Arial" w:hAnsi="Arial" w:cs="Arial"/>
          <w:sz w:val="20"/>
          <w:szCs w:val="20"/>
        </w:rPr>
        <w:t>. In this context, NICRA’s efforts – through farm technology demonstrations and training – have measurably strengthened individual capacities among rural women</w:t>
      </w:r>
      <w:r w:rsidR="00997576">
        <w:rPr>
          <w:rFonts w:ascii="Arial" w:hAnsi="Arial" w:cs="Arial"/>
          <w:sz w:val="20"/>
          <w:szCs w:val="20"/>
        </w:rPr>
        <w:t xml:space="preserve"> (</w:t>
      </w:r>
      <w:proofErr w:type="spellStart"/>
      <w:r w:rsidR="00997576">
        <w:rPr>
          <w:rFonts w:ascii="Arial" w:hAnsi="Arial" w:cs="Arial"/>
          <w:sz w:val="20"/>
          <w:szCs w:val="20"/>
        </w:rPr>
        <w:t>Shamna</w:t>
      </w:r>
      <w:proofErr w:type="spellEnd"/>
      <w:r w:rsidR="00997576">
        <w:rPr>
          <w:rFonts w:ascii="Arial" w:hAnsi="Arial" w:cs="Arial"/>
          <w:sz w:val="20"/>
          <w:szCs w:val="20"/>
        </w:rPr>
        <w:t xml:space="preserve"> et al., 2022)</w:t>
      </w:r>
      <w:r w:rsidRPr="00242602">
        <w:rPr>
          <w:rFonts w:ascii="Arial" w:hAnsi="Arial" w:cs="Arial"/>
          <w:sz w:val="20"/>
          <w:szCs w:val="20"/>
        </w:rPr>
        <w:t>. Surveyed women showed high scientific orientation, strong economic motivation, and readiness to take risks with new practices. These traits reflect an encouraging shift toward more knowledge-driven, resilient farming methods, suggesting that NICRA has successfully built women’s individual competence in climate adaptation.</w:t>
      </w:r>
    </w:p>
    <w:p w14:paraId="387A8C35" w14:textId="77777777"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t>However, the study also revealed a notable gap in collective empowerment. Social participation scores were low and variable, indicating that many empowered women remain only loosely connected to formal groups or institutions. This is significant because women’s collectives (such as self-help groups or cooperatives) are known to be key drivers of climate-smart agriculture. Our findings suggest that NICRA’s gains in individual skills will be more sustainable if complemented by stronger institutional support. In practice, building robust women’s groups can facilitate peer learning and collective action – helping women share knowledge, access shared resources, and take on leadership in local adaptation initiatives.</w:t>
      </w:r>
    </w:p>
    <w:p w14:paraId="50619855" w14:textId="5CF93E20"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lastRenderedPageBreak/>
        <w:t>Overall, the results underscore the importance of coupling technological interventions with gender-responsive support systems. In other words, climate-resilient technologies must be delivered through extension and policy frameworks that explicitly address women’s needs. International guidance on climate-smart agriculture emphasizes that supportive policies (inclusive agricultural polic</w:t>
      </w:r>
      <w:r w:rsidR="00FE7197">
        <w:rPr>
          <w:rFonts w:ascii="Arial" w:hAnsi="Arial" w:cs="Arial"/>
          <w:sz w:val="20"/>
          <w:szCs w:val="20"/>
        </w:rPr>
        <w:t>ies, incentives, infrastructure</w:t>
      </w:r>
      <w:r w:rsidRPr="00242602">
        <w:rPr>
          <w:rFonts w:ascii="Arial" w:hAnsi="Arial" w:cs="Arial"/>
          <w:sz w:val="20"/>
          <w:szCs w:val="20"/>
        </w:rPr>
        <w:t xml:space="preserve"> </w:t>
      </w:r>
      <w:r w:rsidR="00FE7197" w:rsidRPr="00242602">
        <w:rPr>
          <w:rFonts w:ascii="Arial" w:hAnsi="Arial" w:cs="Arial"/>
          <w:sz w:val="20"/>
          <w:szCs w:val="20"/>
        </w:rPr>
        <w:t>and weather</w:t>
      </w:r>
      <w:r w:rsidRPr="00242602">
        <w:rPr>
          <w:rFonts w:ascii="Arial" w:hAnsi="Arial" w:cs="Arial"/>
          <w:sz w:val="20"/>
          <w:szCs w:val="20"/>
        </w:rPr>
        <w:t xml:space="preserve"> information) and the </w:t>
      </w:r>
      <w:r w:rsidRPr="00307682">
        <w:rPr>
          <w:rStyle w:val="Strong"/>
          <w:rFonts w:ascii="Arial" w:hAnsi="Arial" w:cs="Arial"/>
          <w:b w:val="0"/>
          <w:sz w:val="20"/>
          <w:szCs w:val="20"/>
        </w:rPr>
        <w:t>delivery of gender-responsive extension services</w:t>
      </w:r>
      <w:r w:rsidRPr="00242602">
        <w:rPr>
          <w:rFonts w:ascii="Arial" w:hAnsi="Arial" w:cs="Arial"/>
          <w:sz w:val="20"/>
          <w:szCs w:val="20"/>
        </w:rPr>
        <w:t xml:space="preserve"> are crucial for successful technology adoption</w:t>
      </w:r>
      <w:r w:rsidRPr="00242602">
        <w:rPr>
          <w:rStyle w:val="max-w-full"/>
          <w:rFonts w:ascii="Arial" w:hAnsi="Arial" w:cs="Arial"/>
          <w:color w:val="0000FF"/>
          <w:sz w:val="20"/>
          <w:szCs w:val="20"/>
        </w:rPr>
        <w:t xml:space="preserve"> </w:t>
      </w:r>
      <w:r w:rsidR="003B79BB">
        <w:rPr>
          <w:rStyle w:val="max-w-full"/>
          <w:rFonts w:ascii="Arial" w:hAnsi="Arial" w:cs="Arial"/>
          <w:sz w:val="20"/>
          <w:szCs w:val="20"/>
        </w:rPr>
        <w:t>(FAO, 2025</w:t>
      </w:r>
      <w:r w:rsidRPr="00242602">
        <w:rPr>
          <w:rStyle w:val="max-w-full"/>
          <w:rFonts w:ascii="Arial" w:hAnsi="Arial" w:cs="Arial"/>
          <w:sz w:val="20"/>
          <w:szCs w:val="20"/>
        </w:rPr>
        <w:t xml:space="preserve">). </w:t>
      </w:r>
      <w:r w:rsidRPr="00242602">
        <w:rPr>
          <w:rFonts w:ascii="Arial" w:hAnsi="Arial" w:cs="Arial"/>
          <w:sz w:val="20"/>
          <w:szCs w:val="20"/>
        </w:rPr>
        <w:t>In Murshidabad, this means linking women’s groups to credit, inputs and training programs (ensuring equitable access to land, water, and finance) and formally including women in local decision-making bodies. Strengthening community-level institutions – for example, by integrating women’s collectives into government schemes and market networks – can help sustain individual gains and translate them into broader rural development.</w:t>
      </w:r>
      <w:r w:rsidR="00374A86">
        <w:rPr>
          <w:rFonts w:ascii="Arial" w:hAnsi="Arial" w:cs="Arial"/>
          <w:sz w:val="20"/>
          <w:szCs w:val="20"/>
        </w:rPr>
        <w:t xml:space="preserve"> </w:t>
      </w:r>
      <w:r w:rsidRPr="00242602">
        <w:rPr>
          <w:rFonts w:ascii="Arial" w:hAnsi="Arial" w:cs="Arial"/>
          <w:sz w:val="20"/>
          <w:szCs w:val="20"/>
        </w:rPr>
        <w:t>In conclusion, NICRA has effectively enhanced women’s individual capacities for climate adaptation, but a more balanced approach is now needed. Future programs should expand beyond individual training to actively foster collective participation and institutional support. Empowering women as both skilled farmers and leaders of strong local institutions will create the synergies needed for sustainable rural development. By integrating individual agency and group action, Murshidabad’s villages can build climate adaptation pathways that are both effective and equitable.</w:t>
      </w:r>
    </w:p>
    <w:p w14:paraId="0BB169E2" w14:textId="77777777" w:rsidR="00307682" w:rsidRDefault="00307682" w:rsidP="00BA3DC4">
      <w:pPr>
        <w:tabs>
          <w:tab w:val="left" w:pos="1080"/>
        </w:tabs>
        <w:jc w:val="both"/>
        <w:rPr>
          <w:rFonts w:ascii="Arial" w:hAnsi="Arial"/>
          <w:b/>
          <w:sz w:val="22"/>
          <w:szCs w:val="22"/>
        </w:rPr>
      </w:pPr>
    </w:p>
    <w:p w14:paraId="3037B3F5" w14:textId="77777777" w:rsidR="00307682" w:rsidRDefault="00307682" w:rsidP="00BA3DC4">
      <w:pPr>
        <w:tabs>
          <w:tab w:val="left" w:pos="1080"/>
        </w:tabs>
        <w:jc w:val="both"/>
        <w:rPr>
          <w:rFonts w:ascii="Arial" w:hAnsi="Arial"/>
          <w:b/>
          <w:sz w:val="22"/>
          <w:szCs w:val="22"/>
        </w:rPr>
      </w:pPr>
    </w:p>
    <w:p w14:paraId="31A1864C" w14:textId="77777777" w:rsidR="0085438E" w:rsidRDefault="0085438E" w:rsidP="00BA3DC4">
      <w:pPr>
        <w:tabs>
          <w:tab w:val="left" w:pos="1080"/>
        </w:tabs>
        <w:jc w:val="both"/>
      </w:pPr>
    </w:p>
    <w:p w14:paraId="1CA9D75F" w14:textId="77777777" w:rsidR="0085438E" w:rsidRDefault="0085438E" w:rsidP="00BA3DC4">
      <w:pPr>
        <w:tabs>
          <w:tab w:val="left" w:pos="1080"/>
        </w:tabs>
        <w:jc w:val="both"/>
      </w:pPr>
    </w:p>
    <w:p w14:paraId="3AB80F1C" w14:textId="77777777" w:rsidR="0085438E" w:rsidRDefault="0085438E" w:rsidP="0085438E">
      <w:pPr>
        <w:tabs>
          <w:tab w:val="left" w:pos="1080"/>
        </w:tabs>
        <w:jc w:val="both"/>
        <w:rPr>
          <w:rFonts w:ascii="Arial" w:hAnsi="Arial" w:cs="Arial"/>
          <w:b/>
          <w:sz w:val="22"/>
          <w:szCs w:val="22"/>
        </w:rPr>
      </w:pPr>
      <w:r w:rsidRPr="0085438E">
        <w:rPr>
          <w:rFonts w:ascii="Arial" w:hAnsi="Arial" w:cs="Arial"/>
          <w:b/>
          <w:sz w:val="22"/>
          <w:szCs w:val="22"/>
        </w:rPr>
        <w:t>AI DECLARATION</w:t>
      </w:r>
    </w:p>
    <w:p w14:paraId="42287678" w14:textId="77777777" w:rsidR="0085438E" w:rsidRPr="0085438E" w:rsidRDefault="0085438E" w:rsidP="0085438E">
      <w:pPr>
        <w:tabs>
          <w:tab w:val="left" w:pos="1080"/>
        </w:tabs>
        <w:jc w:val="both"/>
        <w:rPr>
          <w:rFonts w:ascii="Arial" w:hAnsi="Arial" w:cs="Arial"/>
          <w:b/>
          <w:sz w:val="22"/>
          <w:szCs w:val="22"/>
        </w:rPr>
      </w:pPr>
    </w:p>
    <w:p w14:paraId="2555B682" w14:textId="77777777" w:rsidR="0085438E" w:rsidRDefault="0085438E" w:rsidP="0085438E">
      <w:pPr>
        <w:tabs>
          <w:tab w:val="left" w:pos="1080"/>
        </w:tabs>
        <w:jc w:val="both"/>
      </w:pPr>
      <w:r>
        <w:t>The authors acknowledge the use of OpenAI’s ChatGPT-4.0 for language editing and text refinement. No part of the data collection, analysis, or interpretation was performed using AI. The authors take full responsibility for the accuracy and integrity of the final manuscript.</w:t>
      </w:r>
    </w:p>
    <w:p w14:paraId="644755B1" w14:textId="77777777" w:rsidR="00BA3DC4" w:rsidRDefault="00BA3DC4" w:rsidP="00BA3DC4">
      <w:pPr>
        <w:tabs>
          <w:tab w:val="left" w:pos="1080"/>
        </w:tabs>
        <w:jc w:val="both"/>
      </w:pPr>
    </w:p>
    <w:p w14:paraId="09B9995F" w14:textId="77777777" w:rsidR="0085438E" w:rsidRDefault="0085438E" w:rsidP="00441B6F">
      <w:pPr>
        <w:tabs>
          <w:tab w:val="left" w:pos="1080"/>
        </w:tabs>
        <w:jc w:val="both"/>
        <w:rPr>
          <w:rFonts w:ascii="Arial" w:hAnsi="Arial"/>
        </w:rPr>
      </w:pPr>
    </w:p>
    <w:p w14:paraId="303D81B1" w14:textId="77777777" w:rsidR="0085438E" w:rsidRPr="0085438E" w:rsidRDefault="0085438E" w:rsidP="00441B6F">
      <w:pPr>
        <w:tabs>
          <w:tab w:val="left" w:pos="1080"/>
        </w:tabs>
        <w:jc w:val="both"/>
        <w:rPr>
          <w:rFonts w:ascii="Arial" w:hAnsi="Arial"/>
        </w:rPr>
      </w:pPr>
    </w:p>
    <w:p w14:paraId="42A53546" w14:textId="77777777" w:rsidR="00863BD3" w:rsidRDefault="002E0D47" w:rsidP="00441B6F">
      <w:pPr>
        <w:pStyle w:val="BodyText3"/>
        <w:tabs>
          <w:tab w:val="left" w:pos="1080"/>
        </w:tabs>
        <w:spacing w:after="0"/>
        <w:ind w:left="1080" w:hanging="1080"/>
        <w:jc w:val="both"/>
        <w:rPr>
          <w:rFonts w:ascii="Arial" w:hAnsi="Arial"/>
          <w:b/>
          <w:sz w:val="22"/>
          <w:szCs w:val="22"/>
        </w:rPr>
      </w:pPr>
      <w:r w:rsidRPr="002E0D47">
        <w:rPr>
          <w:rFonts w:ascii="Arial" w:hAnsi="Arial"/>
          <w:b/>
          <w:sz w:val="22"/>
          <w:szCs w:val="22"/>
        </w:rPr>
        <w:t>REFERENCES</w:t>
      </w:r>
    </w:p>
    <w:p w14:paraId="3B9BD59A" w14:textId="7909A230" w:rsidR="00762AAE" w:rsidRPr="00762AAE" w:rsidRDefault="00762AAE" w:rsidP="009B5A21">
      <w:pPr>
        <w:autoSpaceDE w:val="0"/>
        <w:autoSpaceDN w:val="0"/>
        <w:adjustRightInd w:val="0"/>
        <w:jc w:val="both"/>
        <w:rPr>
          <w:rFonts w:ascii="Arial" w:hAnsi="Arial" w:cs="Arial"/>
          <w:bCs/>
          <w:lang w:val="en-IN"/>
        </w:rPr>
      </w:pPr>
    </w:p>
    <w:p w14:paraId="645E3D07" w14:textId="719A6EC9" w:rsidR="00762AAE" w:rsidRDefault="00762AAE" w:rsidP="009B5A21">
      <w:pPr>
        <w:pStyle w:val="BodyText3"/>
        <w:tabs>
          <w:tab w:val="left" w:pos="1080"/>
        </w:tabs>
        <w:spacing w:after="0" w:line="276" w:lineRule="auto"/>
        <w:ind w:left="1077" w:hanging="1077"/>
        <w:jc w:val="both"/>
        <w:rPr>
          <w:rFonts w:ascii="Arial" w:hAnsi="Arial" w:cs="Arial"/>
          <w:sz w:val="20"/>
          <w:szCs w:val="20"/>
          <w:lang w:val="en-IN"/>
        </w:rPr>
      </w:pPr>
      <w:r w:rsidRPr="00DC77A8">
        <w:rPr>
          <w:rFonts w:ascii="Arial" w:hAnsi="Arial" w:cs="Arial"/>
          <w:sz w:val="20"/>
          <w:szCs w:val="20"/>
          <w:lang w:val="en-IN"/>
        </w:rPr>
        <w:t xml:space="preserve">Agarwal, B. (1994). </w:t>
      </w:r>
      <w:r w:rsidRPr="00DC77A8">
        <w:rPr>
          <w:rFonts w:ascii="Arial" w:hAnsi="Arial" w:cs="Arial"/>
          <w:i/>
          <w:iCs/>
          <w:sz w:val="20"/>
          <w:szCs w:val="20"/>
          <w:lang w:val="en-IN"/>
        </w:rPr>
        <w:t>A field of one’s own: Gender and land ri</w:t>
      </w:r>
      <w:bookmarkStart w:id="1" w:name="_GoBack"/>
      <w:bookmarkEnd w:id="1"/>
      <w:r w:rsidRPr="00DC77A8">
        <w:rPr>
          <w:rFonts w:ascii="Arial" w:hAnsi="Arial" w:cs="Arial"/>
          <w:i/>
          <w:iCs/>
          <w:sz w:val="20"/>
          <w:szCs w:val="20"/>
          <w:lang w:val="en-IN"/>
        </w:rPr>
        <w:t>ghts in South Asia</w:t>
      </w:r>
      <w:r w:rsidRPr="00DC77A8">
        <w:rPr>
          <w:rFonts w:ascii="Arial" w:hAnsi="Arial" w:cs="Arial"/>
          <w:sz w:val="20"/>
          <w:szCs w:val="20"/>
          <w:lang w:val="en-IN"/>
        </w:rPr>
        <w:t>. Cambridge University Press.</w:t>
      </w:r>
    </w:p>
    <w:p w14:paraId="4C98FFA4" w14:textId="77777777" w:rsidR="00CD38D6" w:rsidRDefault="00CD38D6" w:rsidP="009B5A21">
      <w:pPr>
        <w:pStyle w:val="BodyText3"/>
        <w:tabs>
          <w:tab w:val="left" w:pos="1080"/>
        </w:tabs>
        <w:spacing w:after="0" w:line="276" w:lineRule="auto"/>
        <w:ind w:left="2157" w:hanging="1077"/>
        <w:jc w:val="both"/>
        <w:rPr>
          <w:rFonts w:ascii="Arial" w:hAnsi="Arial" w:cs="Arial"/>
          <w:sz w:val="20"/>
          <w:szCs w:val="20"/>
          <w:lang w:val="en-IN"/>
        </w:rPr>
      </w:pPr>
    </w:p>
    <w:p w14:paraId="65443DE6" w14:textId="249422B4" w:rsidR="00762AAE" w:rsidRDefault="00762AAE" w:rsidP="009B5A21">
      <w:pPr>
        <w:autoSpaceDE w:val="0"/>
        <w:autoSpaceDN w:val="0"/>
        <w:adjustRightInd w:val="0"/>
        <w:ind w:left="1077" w:hanging="1077"/>
        <w:jc w:val="both"/>
        <w:rPr>
          <w:rFonts w:ascii="Arial" w:hAnsi="Arial" w:cs="Arial"/>
          <w:bCs/>
          <w:lang w:val="en-IN"/>
        </w:rPr>
      </w:pPr>
      <w:r w:rsidRPr="00AA3EB9">
        <w:rPr>
          <w:rFonts w:ascii="Arial" w:hAnsi="Arial" w:cs="Arial"/>
          <w:bCs/>
          <w:lang w:val="en-IN"/>
        </w:rPr>
        <w:t xml:space="preserve">Ahuja, R., Singh, S. P., </w:t>
      </w:r>
      <w:proofErr w:type="spellStart"/>
      <w:r w:rsidRPr="00AA3EB9">
        <w:rPr>
          <w:rFonts w:ascii="Arial" w:hAnsi="Arial" w:cs="Arial"/>
          <w:bCs/>
          <w:lang w:val="en-IN"/>
        </w:rPr>
        <w:t>Sangwan</w:t>
      </w:r>
      <w:proofErr w:type="spellEnd"/>
      <w:r w:rsidRPr="00AA3EB9">
        <w:rPr>
          <w:rFonts w:ascii="Arial" w:hAnsi="Arial" w:cs="Arial"/>
          <w:bCs/>
          <w:lang w:val="en-IN"/>
        </w:rPr>
        <w:t xml:space="preserve">, S. S., &amp; Gautam. (2016). Entrepreneurial behaviour of dairy farmers in Haryana. </w:t>
      </w:r>
      <w:r w:rsidRPr="00AA3EB9">
        <w:rPr>
          <w:rFonts w:ascii="Arial" w:hAnsi="Arial" w:cs="Arial"/>
          <w:bCs/>
          <w:i/>
          <w:lang w:val="en-IN"/>
        </w:rPr>
        <w:t>Haryana Veterinarian</w:t>
      </w:r>
      <w:r w:rsidRPr="00AA3EB9">
        <w:rPr>
          <w:rFonts w:ascii="Arial" w:hAnsi="Arial" w:cs="Arial"/>
          <w:bCs/>
          <w:lang w:val="en-IN"/>
        </w:rPr>
        <w:t xml:space="preserve">, 55(1), 6–11. </w:t>
      </w:r>
      <w:hyperlink r:id="rId15" w:history="1">
        <w:r w:rsidRPr="00AA3EB9">
          <w:rPr>
            <w:rStyle w:val="Hyperlink"/>
            <w:rFonts w:ascii="Arial" w:hAnsi="Arial" w:cs="Arial"/>
            <w:bCs/>
            <w:lang w:val="en-IN"/>
          </w:rPr>
          <w:t>https://krishikosh.egranth.ac.in/handle/1/5810026934</w:t>
        </w:r>
      </w:hyperlink>
      <w:r w:rsidRPr="00AA3EB9">
        <w:rPr>
          <w:rFonts w:ascii="Arial" w:hAnsi="Arial" w:cs="Arial"/>
          <w:bCs/>
          <w:lang w:val="en-IN"/>
        </w:rPr>
        <w:t xml:space="preserve"> </w:t>
      </w:r>
    </w:p>
    <w:p w14:paraId="62040AFC" w14:textId="77777777" w:rsidR="00CD38D6" w:rsidRPr="00AA3EB9" w:rsidRDefault="00CD38D6" w:rsidP="009B5A21">
      <w:pPr>
        <w:autoSpaceDE w:val="0"/>
        <w:autoSpaceDN w:val="0"/>
        <w:adjustRightInd w:val="0"/>
        <w:ind w:left="1077" w:hanging="1077"/>
        <w:jc w:val="both"/>
        <w:rPr>
          <w:rFonts w:ascii="Arial" w:hAnsi="Arial" w:cs="Arial"/>
          <w:bCs/>
          <w:lang w:val="en-IN"/>
        </w:rPr>
      </w:pPr>
    </w:p>
    <w:p w14:paraId="060789E8" w14:textId="7818C887" w:rsidR="00762AAE" w:rsidRDefault="00762AAE" w:rsidP="009B5A21">
      <w:pPr>
        <w:autoSpaceDE w:val="0"/>
        <w:autoSpaceDN w:val="0"/>
        <w:adjustRightInd w:val="0"/>
        <w:ind w:left="1077" w:hanging="1077"/>
        <w:jc w:val="both"/>
        <w:rPr>
          <w:rFonts w:ascii="Arial" w:hAnsi="Arial" w:cs="Arial"/>
          <w:bCs/>
        </w:rPr>
      </w:pPr>
      <w:r w:rsidRPr="008A087E">
        <w:rPr>
          <w:rFonts w:ascii="Arial" w:hAnsi="Arial" w:cs="Arial"/>
          <w:bCs/>
        </w:rPr>
        <w:t xml:space="preserve">Aladesuru, D., &amp; Ringler, C. (2022). </w:t>
      </w:r>
      <w:r w:rsidRPr="008A087E">
        <w:rPr>
          <w:rFonts w:ascii="Arial" w:hAnsi="Arial" w:cs="Arial"/>
          <w:bCs/>
          <w:i/>
          <w:iCs/>
        </w:rPr>
        <w:t>International Rural Women’s Day 2022: Reaching women farmers with information on climate smart agriculture</w:t>
      </w:r>
      <w:r w:rsidR="002D5CF0">
        <w:rPr>
          <w:rFonts w:ascii="Arial" w:hAnsi="Arial" w:cs="Arial"/>
          <w:bCs/>
        </w:rPr>
        <w:t xml:space="preserve">. </w:t>
      </w:r>
      <w:r w:rsidRPr="008A087E">
        <w:rPr>
          <w:rFonts w:ascii="Arial" w:hAnsi="Arial" w:cs="Arial"/>
          <w:bCs/>
        </w:rPr>
        <w:t xml:space="preserve">IFPRI. </w:t>
      </w:r>
      <w:hyperlink r:id="rId16" w:tgtFrame="_new" w:history="1">
        <w:r w:rsidRPr="008A087E">
          <w:rPr>
            <w:rStyle w:val="Hyperlink"/>
            <w:rFonts w:ascii="Arial" w:hAnsi="Arial" w:cs="Arial"/>
            <w:bCs/>
          </w:rPr>
          <w:t>https://www.ifpri.org/blog/international-rural-womens-day-2022-reaching-women-farmers-information-climate-smart/</w:t>
        </w:r>
      </w:hyperlink>
      <w:r w:rsidRPr="008A087E">
        <w:rPr>
          <w:rFonts w:ascii="Arial" w:hAnsi="Arial" w:cs="Arial"/>
          <w:bCs/>
        </w:rPr>
        <w:t xml:space="preserve"> </w:t>
      </w:r>
    </w:p>
    <w:p w14:paraId="6AD2972A" w14:textId="77777777" w:rsidR="00CD38D6" w:rsidRDefault="00CD38D6" w:rsidP="009B5A21">
      <w:pPr>
        <w:autoSpaceDE w:val="0"/>
        <w:autoSpaceDN w:val="0"/>
        <w:adjustRightInd w:val="0"/>
        <w:ind w:left="1077" w:hanging="1077"/>
        <w:jc w:val="both"/>
        <w:rPr>
          <w:rFonts w:ascii="Arial" w:hAnsi="Arial" w:cs="Arial"/>
          <w:bCs/>
        </w:rPr>
      </w:pPr>
    </w:p>
    <w:p w14:paraId="6A424B97" w14:textId="2BFE0917" w:rsidR="00762AAE" w:rsidRDefault="00762AAE" w:rsidP="009B5A21">
      <w:pPr>
        <w:autoSpaceDE w:val="0"/>
        <w:autoSpaceDN w:val="0"/>
        <w:adjustRightInd w:val="0"/>
        <w:ind w:left="1077" w:hanging="1077"/>
        <w:jc w:val="both"/>
        <w:rPr>
          <w:rFonts w:ascii="Arial" w:hAnsi="Arial" w:cs="Arial"/>
          <w:bCs/>
        </w:rPr>
      </w:pPr>
      <w:r w:rsidRPr="008A087E">
        <w:rPr>
          <w:rFonts w:ascii="Arial" w:hAnsi="Arial" w:cs="Arial"/>
          <w:bCs/>
        </w:rPr>
        <w:t xml:space="preserve">Bonny, B. P., </w:t>
      </w:r>
      <w:proofErr w:type="spellStart"/>
      <w:r w:rsidRPr="008A087E">
        <w:rPr>
          <w:rFonts w:ascii="Arial" w:hAnsi="Arial" w:cs="Arial"/>
          <w:bCs/>
        </w:rPr>
        <w:t>Sudheer</w:t>
      </w:r>
      <w:proofErr w:type="spellEnd"/>
      <w:r w:rsidRPr="008A087E">
        <w:rPr>
          <w:rFonts w:ascii="Arial" w:hAnsi="Arial" w:cs="Arial"/>
          <w:bCs/>
        </w:rPr>
        <w:t xml:space="preserve">, K. P., &amp; </w:t>
      </w:r>
      <w:proofErr w:type="spellStart"/>
      <w:r w:rsidRPr="008A087E">
        <w:rPr>
          <w:rFonts w:ascii="Arial" w:hAnsi="Arial" w:cs="Arial"/>
          <w:bCs/>
        </w:rPr>
        <w:t>Smitha</w:t>
      </w:r>
      <w:proofErr w:type="spellEnd"/>
      <w:r w:rsidRPr="008A087E">
        <w:rPr>
          <w:rFonts w:ascii="Arial" w:hAnsi="Arial" w:cs="Arial"/>
          <w:bCs/>
        </w:rPr>
        <w:t xml:space="preserve">, S. (2023). </w:t>
      </w:r>
      <w:r w:rsidRPr="008A087E">
        <w:rPr>
          <w:rFonts w:ascii="Arial" w:hAnsi="Arial" w:cs="Arial"/>
          <w:bCs/>
          <w:i/>
        </w:rPr>
        <w:t>Engendering agricultural development: Dimensions and strategies.</w:t>
      </w:r>
      <w:r w:rsidRPr="008A087E">
        <w:rPr>
          <w:rFonts w:ascii="Arial" w:hAnsi="Arial" w:cs="Arial"/>
          <w:bCs/>
        </w:rPr>
        <w:t xml:space="preserve"> CRC Press.</w:t>
      </w:r>
    </w:p>
    <w:p w14:paraId="4BAF814F" w14:textId="77777777" w:rsidR="00CD38D6" w:rsidRDefault="00CD38D6" w:rsidP="009B5A21">
      <w:pPr>
        <w:autoSpaceDE w:val="0"/>
        <w:autoSpaceDN w:val="0"/>
        <w:adjustRightInd w:val="0"/>
        <w:ind w:left="1077" w:hanging="1077"/>
        <w:jc w:val="both"/>
        <w:rPr>
          <w:rFonts w:ascii="Arial" w:hAnsi="Arial" w:cs="Arial"/>
          <w:bCs/>
        </w:rPr>
      </w:pPr>
    </w:p>
    <w:p w14:paraId="5CDDC64F" w14:textId="77777777" w:rsidR="00CD38D6" w:rsidRDefault="00762AAE" w:rsidP="009B5A21">
      <w:pPr>
        <w:autoSpaceDE w:val="0"/>
        <w:autoSpaceDN w:val="0"/>
        <w:adjustRightInd w:val="0"/>
        <w:ind w:left="1077" w:hanging="1077"/>
        <w:jc w:val="both"/>
        <w:rPr>
          <w:rFonts w:ascii="Arial" w:hAnsi="Arial" w:cs="Arial"/>
          <w:bCs/>
        </w:rPr>
      </w:pPr>
      <w:r w:rsidRPr="008A087E">
        <w:rPr>
          <w:rFonts w:ascii="Arial" w:hAnsi="Arial" w:cs="Arial"/>
          <w:bCs/>
          <w:lang w:val="en-IN"/>
        </w:rPr>
        <w:t xml:space="preserve">Boone, H. N., &amp; Boone, D. A. (2012). Analyzing Likert data. </w:t>
      </w:r>
      <w:r w:rsidRPr="008A087E">
        <w:rPr>
          <w:rFonts w:ascii="Arial" w:hAnsi="Arial" w:cs="Arial"/>
          <w:bCs/>
          <w:i/>
          <w:iCs/>
          <w:lang w:val="en-IN"/>
        </w:rPr>
        <w:t>Journal of Extension, 50</w:t>
      </w:r>
      <w:r w:rsidRPr="008A087E">
        <w:rPr>
          <w:rFonts w:ascii="Arial" w:hAnsi="Arial" w:cs="Arial"/>
          <w:bCs/>
          <w:lang w:val="en-IN"/>
        </w:rPr>
        <w:t xml:space="preserve">(2), </w:t>
      </w:r>
      <w:hyperlink r:id="rId17" w:history="1">
        <w:r w:rsidRPr="008A087E">
          <w:rPr>
            <w:rStyle w:val="Hyperlink"/>
            <w:rFonts w:ascii="Arial" w:hAnsi="Arial" w:cs="Arial"/>
            <w:bCs/>
            <w:lang w:val="en-IN"/>
          </w:rPr>
          <w:t>https://tigerprints.clemson.edu/joe/vol50/iss2/2</w:t>
        </w:r>
      </w:hyperlink>
    </w:p>
    <w:p w14:paraId="0C5AD68C" w14:textId="27009841" w:rsidR="00762AAE" w:rsidRDefault="00762AAE" w:rsidP="009B5A21">
      <w:pPr>
        <w:autoSpaceDE w:val="0"/>
        <w:autoSpaceDN w:val="0"/>
        <w:adjustRightInd w:val="0"/>
        <w:ind w:left="1077" w:hanging="1077"/>
        <w:jc w:val="both"/>
        <w:rPr>
          <w:rFonts w:ascii="Arial" w:hAnsi="Arial" w:cs="Arial"/>
          <w:bCs/>
          <w:lang w:val="en-IN"/>
        </w:rPr>
      </w:pPr>
      <w:r w:rsidRPr="008A087E">
        <w:rPr>
          <w:rFonts w:ascii="Arial" w:hAnsi="Arial" w:cs="Arial"/>
          <w:bCs/>
          <w:lang w:val="en-IN"/>
        </w:rPr>
        <w:t xml:space="preserve"> </w:t>
      </w:r>
    </w:p>
    <w:p w14:paraId="13E5618C" w14:textId="430DB697" w:rsidR="00762AAE" w:rsidRDefault="00762AAE" w:rsidP="009B5A21">
      <w:pPr>
        <w:autoSpaceDE w:val="0"/>
        <w:autoSpaceDN w:val="0"/>
        <w:adjustRightInd w:val="0"/>
        <w:ind w:left="1077" w:hanging="1077"/>
        <w:jc w:val="both"/>
        <w:rPr>
          <w:rFonts w:ascii="Arial" w:hAnsi="Arial" w:cs="Arial"/>
          <w:bCs/>
        </w:rPr>
      </w:pPr>
      <w:r w:rsidRPr="008A087E">
        <w:rPr>
          <w:rFonts w:ascii="Arial" w:hAnsi="Arial" w:cs="Arial"/>
          <w:bCs/>
        </w:rPr>
        <w:t xml:space="preserve">Chaitra, C. N., &amp; Indira, M. (2024). The impact of Self-Help Groups on women’s participation in decision making: A micro level study. </w:t>
      </w:r>
      <w:r w:rsidRPr="008A087E">
        <w:rPr>
          <w:rFonts w:ascii="Arial" w:hAnsi="Arial" w:cs="Arial"/>
          <w:bCs/>
          <w:i/>
        </w:rPr>
        <w:t>International Journal of Management and Development Studies</w:t>
      </w:r>
      <w:r w:rsidRPr="008A087E">
        <w:rPr>
          <w:rFonts w:ascii="Arial" w:hAnsi="Arial" w:cs="Arial"/>
          <w:bCs/>
        </w:rPr>
        <w:t xml:space="preserve">, 13(11), 99–116. </w:t>
      </w:r>
      <w:hyperlink r:id="rId18" w:history="1">
        <w:r w:rsidRPr="008A087E">
          <w:rPr>
            <w:rStyle w:val="Hyperlink"/>
            <w:rFonts w:ascii="Arial" w:hAnsi="Arial" w:cs="Arial"/>
            <w:bCs/>
          </w:rPr>
          <w:t>https://doi.org/10.53983/ijmds.v13n11.009</w:t>
        </w:r>
      </w:hyperlink>
      <w:r w:rsidRPr="008A087E">
        <w:rPr>
          <w:rFonts w:ascii="Arial" w:hAnsi="Arial" w:cs="Arial"/>
          <w:bCs/>
        </w:rPr>
        <w:t xml:space="preserve"> </w:t>
      </w:r>
    </w:p>
    <w:p w14:paraId="00229C4C" w14:textId="77777777" w:rsidR="00CD38D6" w:rsidRDefault="00CD38D6" w:rsidP="009B5A21">
      <w:pPr>
        <w:autoSpaceDE w:val="0"/>
        <w:autoSpaceDN w:val="0"/>
        <w:adjustRightInd w:val="0"/>
        <w:ind w:left="1077" w:hanging="1077"/>
        <w:jc w:val="both"/>
        <w:rPr>
          <w:rFonts w:ascii="Arial" w:hAnsi="Arial" w:cs="Arial"/>
          <w:bCs/>
        </w:rPr>
      </w:pPr>
    </w:p>
    <w:p w14:paraId="61DC0389" w14:textId="4AD2B021" w:rsidR="00762AAE" w:rsidRDefault="00762AAE" w:rsidP="009B5A21">
      <w:pPr>
        <w:autoSpaceDE w:val="0"/>
        <w:autoSpaceDN w:val="0"/>
        <w:adjustRightInd w:val="0"/>
        <w:ind w:left="1077" w:hanging="1077"/>
        <w:jc w:val="both"/>
        <w:rPr>
          <w:rFonts w:ascii="Arial" w:hAnsi="Arial" w:cs="Arial"/>
          <w:bCs/>
          <w:lang w:val="en-IN"/>
        </w:rPr>
      </w:pPr>
      <w:r w:rsidRPr="008A087E">
        <w:rPr>
          <w:rFonts w:ascii="Arial" w:hAnsi="Arial" w:cs="Arial"/>
          <w:bCs/>
          <w:lang w:val="en-IN"/>
        </w:rPr>
        <w:t xml:space="preserve">Chattopadhyay, M., &amp; Dutta, S. (2019). Gender and agricultural labour in India: Evidence from West Bengal. </w:t>
      </w:r>
      <w:r w:rsidRPr="008A087E">
        <w:rPr>
          <w:rFonts w:ascii="Arial" w:hAnsi="Arial" w:cs="Arial"/>
          <w:bCs/>
          <w:i/>
          <w:iCs/>
          <w:lang w:val="en-IN"/>
        </w:rPr>
        <w:t>Economic and Political Weekly, 54</w:t>
      </w:r>
      <w:r w:rsidRPr="008A087E">
        <w:rPr>
          <w:rFonts w:ascii="Arial" w:hAnsi="Arial" w:cs="Arial"/>
          <w:bCs/>
          <w:lang w:val="en-IN"/>
        </w:rPr>
        <w:t>(4), 45–53.</w:t>
      </w:r>
    </w:p>
    <w:p w14:paraId="0FBBB563" w14:textId="77777777" w:rsidR="00CD38D6" w:rsidRPr="008A087E" w:rsidRDefault="00CD38D6" w:rsidP="009B5A21">
      <w:pPr>
        <w:autoSpaceDE w:val="0"/>
        <w:autoSpaceDN w:val="0"/>
        <w:adjustRightInd w:val="0"/>
        <w:ind w:left="1077" w:hanging="1077"/>
        <w:jc w:val="both"/>
        <w:rPr>
          <w:rFonts w:ascii="Arial" w:hAnsi="Arial" w:cs="Arial"/>
          <w:bCs/>
          <w:lang w:val="en-IN"/>
        </w:rPr>
      </w:pPr>
    </w:p>
    <w:p w14:paraId="50808A24" w14:textId="77777777" w:rsidR="00762AAE" w:rsidRDefault="00762AAE" w:rsidP="009B5A21">
      <w:pPr>
        <w:autoSpaceDE w:val="0"/>
        <w:autoSpaceDN w:val="0"/>
        <w:adjustRightInd w:val="0"/>
        <w:ind w:left="1077" w:hanging="1077"/>
        <w:jc w:val="both"/>
        <w:rPr>
          <w:rFonts w:ascii="Arial" w:hAnsi="Arial" w:cs="Arial"/>
          <w:bCs/>
          <w:lang w:val="en-IN"/>
        </w:rPr>
      </w:pPr>
      <w:r w:rsidRPr="008A087E">
        <w:rPr>
          <w:rFonts w:ascii="Arial" w:hAnsi="Arial" w:cs="Arial"/>
          <w:bCs/>
          <w:lang w:val="en-IN"/>
        </w:rPr>
        <w:lastRenderedPageBreak/>
        <w:t xml:space="preserve">ICAR. (2019). </w:t>
      </w:r>
      <w:r w:rsidRPr="008A087E">
        <w:rPr>
          <w:rFonts w:ascii="Arial" w:hAnsi="Arial" w:cs="Arial"/>
          <w:bCs/>
          <w:i/>
          <w:iCs/>
          <w:lang w:val="en-IN"/>
        </w:rPr>
        <w:t>National Innovations on Climate Resilient Agriculture (NICRA): Research highlights and achievements</w:t>
      </w:r>
      <w:r w:rsidRPr="008A087E">
        <w:rPr>
          <w:rFonts w:ascii="Arial" w:hAnsi="Arial" w:cs="Arial"/>
          <w:bCs/>
          <w:lang w:val="en-IN"/>
        </w:rPr>
        <w:t xml:space="preserve">. Indian Council of Agricultural Research. </w:t>
      </w:r>
      <w:hyperlink r:id="rId19" w:history="1">
        <w:r w:rsidRPr="008A087E">
          <w:rPr>
            <w:rStyle w:val="Hyperlink"/>
            <w:rFonts w:ascii="Arial" w:hAnsi="Arial" w:cs="Arial"/>
            <w:bCs/>
            <w:lang w:val="en-IN"/>
          </w:rPr>
          <w:t>https://www.nicra-icar.in</w:t>
        </w:r>
      </w:hyperlink>
      <w:r w:rsidRPr="008A087E">
        <w:rPr>
          <w:rFonts w:ascii="Arial" w:hAnsi="Arial" w:cs="Arial"/>
          <w:bCs/>
          <w:lang w:val="en-IN"/>
        </w:rPr>
        <w:t xml:space="preserve"> </w:t>
      </w:r>
    </w:p>
    <w:p w14:paraId="6E406C14" w14:textId="2F2A5F32" w:rsidR="00762AAE" w:rsidRDefault="00762AAE" w:rsidP="009B5A21">
      <w:pPr>
        <w:autoSpaceDE w:val="0"/>
        <w:autoSpaceDN w:val="0"/>
        <w:adjustRightInd w:val="0"/>
        <w:ind w:left="1077" w:hanging="1077"/>
        <w:jc w:val="both"/>
        <w:rPr>
          <w:rFonts w:ascii="Arial" w:hAnsi="Arial" w:cs="Arial"/>
          <w:bCs/>
          <w:lang w:val="en-IN"/>
        </w:rPr>
      </w:pPr>
      <w:r w:rsidRPr="008A087E">
        <w:rPr>
          <w:rFonts w:ascii="Arial" w:hAnsi="Arial" w:cs="Arial"/>
          <w:bCs/>
          <w:lang w:val="en-IN"/>
        </w:rPr>
        <w:t xml:space="preserve">Kabeer, N. (1999). Resources, agency, achievements: Reflections on the measurement of women's empowerment. </w:t>
      </w:r>
      <w:r w:rsidRPr="008A087E">
        <w:rPr>
          <w:rFonts w:ascii="Arial" w:hAnsi="Arial" w:cs="Arial"/>
          <w:bCs/>
          <w:i/>
          <w:iCs/>
          <w:lang w:val="en-IN"/>
        </w:rPr>
        <w:t>Development and Change, 30</w:t>
      </w:r>
      <w:r w:rsidRPr="008A087E">
        <w:rPr>
          <w:rFonts w:ascii="Arial" w:hAnsi="Arial" w:cs="Arial"/>
          <w:bCs/>
          <w:lang w:val="en-IN"/>
        </w:rPr>
        <w:t xml:space="preserve">(3), 435–464. </w:t>
      </w:r>
      <w:hyperlink r:id="rId20" w:history="1">
        <w:r w:rsidRPr="008A087E">
          <w:rPr>
            <w:rStyle w:val="Hyperlink"/>
            <w:rFonts w:ascii="Arial" w:hAnsi="Arial" w:cs="Arial"/>
            <w:bCs/>
            <w:lang w:val="en-IN"/>
          </w:rPr>
          <w:t>https://doi.org/10.1111/1467-7660.00125</w:t>
        </w:r>
      </w:hyperlink>
      <w:r w:rsidRPr="008A087E">
        <w:rPr>
          <w:rFonts w:ascii="Arial" w:hAnsi="Arial" w:cs="Arial"/>
          <w:bCs/>
          <w:lang w:val="en-IN"/>
        </w:rPr>
        <w:t xml:space="preserve"> </w:t>
      </w:r>
    </w:p>
    <w:p w14:paraId="0792DEE7" w14:textId="77777777" w:rsidR="00CD38D6" w:rsidRDefault="00CD38D6" w:rsidP="009B5A21">
      <w:pPr>
        <w:autoSpaceDE w:val="0"/>
        <w:autoSpaceDN w:val="0"/>
        <w:adjustRightInd w:val="0"/>
        <w:ind w:left="1077" w:hanging="1077"/>
        <w:jc w:val="both"/>
        <w:rPr>
          <w:rFonts w:ascii="Arial" w:hAnsi="Arial" w:cs="Arial"/>
          <w:bCs/>
          <w:lang w:val="en-IN"/>
        </w:rPr>
      </w:pPr>
    </w:p>
    <w:p w14:paraId="387F35C6" w14:textId="287E0050" w:rsidR="00762AAE" w:rsidRDefault="00762AAE" w:rsidP="009B5A21">
      <w:pPr>
        <w:autoSpaceDE w:val="0"/>
        <w:autoSpaceDN w:val="0"/>
        <w:adjustRightInd w:val="0"/>
        <w:ind w:left="1077" w:hanging="1077"/>
        <w:jc w:val="both"/>
        <w:rPr>
          <w:rFonts w:ascii="Arial" w:hAnsi="Arial" w:cs="Arial"/>
          <w:bCs/>
        </w:rPr>
      </w:pPr>
      <w:proofErr w:type="spellStart"/>
      <w:r w:rsidRPr="00AA3EB9">
        <w:rPr>
          <w:rFonts w:ascii="Arial" w:hAnsi="Arial" w:cs="Arial"/>
          <w:bCs/>
        </w:rPr>
        <w:t>Kandathil</w:t>
      </w:r>
      <w:proofErr w:type="spellEnd"/>
      <w:r w:rsidRPr="00AA3EB9">
        <w:rPr>
          <w:rFonts w:ascii="Arial" w:hAnsi="Arial" w:cs="Arial"/>
          <w:bCs/>
        </w:rPr>
        <w:t xml:space="preserve">, G., Varma, P., &amp; </w:t>
      </w:r>
      <w:proofErr w:type="spellStart"/>
      <w:r w:rsidRPr="00AA3EB9">
        <w:rPr>
          <w:rFonts w:ascii="Arial" w:hAnsi="Arial" w:cs="Arial"/>
          <w:bCs/>
        </w:rPr>
        <w:t>Turaga</w:t>
      </w:r>
      <w:proofErr w:type="spellEnd"/>
      <w:r w:rsidRPr="00AA3EB9">
        <w:rPr>
          <w:rFonts w:ascii="Arial" w:hAnsi="Arial" w:cs="Arial"/>
          <w:bCs/>
        </w:rPr>
        <w:t xml:space="preserve">, R. M. R. (2022). </w:t>
      </w:r>
      <w:r w:rsidRPr="00AA3EB9">
        <w:rPr>
          <w:rFonts w:ascii="Arial" w:hAnsi="Arial" w:cs="Arial"/>
          <w:bCs/>
          <w:i/>
        </w:rPr>
        <w:t>A women-inclusive emancipatory alternative to corporate capitalism? The case of Kerala’s state-instituted Kudumbashree programme</w:t>
      </w:r>
      <w:r w:rsidRPr="00AA3EB9">
        <w:rPr>
          <w:rFonts w:ascii="Arial" w:hAnsi="Arial" w:cs="Arial"/>
          <w:bCs/>
        </w:rPr>
        <w:t>. Cambridge University Press.</w:t>
      </w:r>
    </w:p>
    <w:p w14:paraId="04DEBFFA" w14:textId="77777777" w:rsidR="00CD38D6" w:rsidRDefault="00CD38D6" w:rsidP="009B5A21">
      <w:pPr>
        <w:autoSpaceDE w:val="0"/>
        <w:autoSpaceDN w:val="0"/>
        <w:adjustRightInd w:val="0"/>
        <w:ind w:left="1077" w:hanging="1077"/>
        <w:jc w:val="both"/>
        <w:rPr>
          <w:rFonts w:ascii="Arial" w:hAnsi="Arial" w:cs="Arial"/>
          <w:bCs/>
        </w:rPr>
      </w:pPr>
    </w:p>
    <w:p w14:paraId="033EC62C" w14:textId="70779529" w:rsidR="00762AAE" w:rsidRDefault="00762AAE" w:rsidP="009B5A21">
      <w:pPr>
        <w:autoSpaceDE w:val="0"/>
        <w:autoSpaceDN w:val="0"/>
        <w:adjustRightInd w:val="0"/>
        <w:ind w:left="1077" w:hanging="1077"/>
        <w:jc w:val="both"/>
        <w:rPr>
          <w:rFonts w:ascii="Arial" w:hAnsi="Arial" w:cs="Arial"/>
          <w:bCs/>
        </w:rPr>
      </w:pPr>
      <w:r w:rsidRPr="00AA3EB9">
        <w:rPr>
          <w:rFonts w:ascii="Arial" w:hAnsi="Arial" w:cs="Arial"/>
          <w:bCs/>
        </w:rPr>
        <w:t xml:space="preserve">Kironde, M. S., </w:t>
      </w:r>
      <w:proofErr w:type="spellStart"/>
      <w:r w:rsidRPr="00AA3EB9">
        <w:rPr>
          <w:rFonts w:ascii="Arial" w:hAnsi="Arial" w:cs="Arial"/>
          <w:bCs/>
        </w:rPr>
        <w:t>Durodola</w:t>
      </w:r>
      <w:proofErr w:type="spellEnd"/>
      <w:r w:rsidRPr="00AA3EB9">
        <w:rPr>
          <w:rFonts w:ascii="Arial" w:hAnsi="Arial" w:cs="Arial"/>
          <w:bCs/>
        </w:rPr>
        <w:t xml:space="preserve">, O. S., &amp; </w:t>
      </w:r>
      <w:proofErr w:type="spellStart"/>
      <w:r w:rsidRPr="00AA3EB9">
        <w:rPr>
          <w:rFonts w:ascii="Arial" w:hAnsi="Arial" w:cs="Arial"/>
          <w:bCs/>
        </w:rPr>
        <w:t>Kanyunge</w:t>
      </w:r>
      <w:proofErr w:type="spellEnd"/>
      <w:r w:rsidRPr="00AA3EB9">
        <w:rPr>
          <w:rFonts w:ascii="Arial" w:hAnsi="Arial" w:cs="Arial"/>
          <w:bCs/>
        </w:rPr>
        <w:t xml:space="preserve">, C. M. (2021). Integration of gender considerations into Tanzania’s climate and water policies. </w:t>
      </w:r>
      <w:r w:rsidRPr="00AA3EB9">
        <w:rPr>
          <w:rFonts w:ascii="Arial" w:hAnsi="Arial" w:cs="Arial"/>
          <w:bCs/>
          <w:i/>
        </w:rPr>
        <w:t>Water Policy</w:t>
      </w:r>
      <w:r w:rsidRPr="00AA3EB9">
        <w:rPr>
          <w:rFonts w:ascii="Arial" w:hAnsi="Arial" w:cs="Arial"/>
          <w:bCs/>
        </w:rPr>
        <w:t>, 24(1), 101–116.</w:t>
      </w:r>
    </w:p>
    <w:p w14:paraId="36A240B4" w14:textId="77777777" w:rsidR="00CD38D6" w:rsidRPr="00AA3EB9" w:rsidRDefault="00CD38D6" w:rsidP="009B5A21">
      <w:pPr>
        <w:autoSpaceDE w:val="0"/>
        <w:autoSpaceDN w:val="0"/>
        <w:adjustRightInd w:val="0"/>
        <w:ind w:left="1077" w:hanging="1077"/>
        <w:jc w:val="both"/>
        <w:rPr>
          <w:rFonts w:ascii="Arial" w:hAnsi="Arial" w:cs="Arial"/>
          <w:bCs/>
        </w:rPr>
      </w:pPr>
    </w:p>
    <w:p w14:paraId="1A454647" w14:textId="09990825" w:rsidR="00762AAE" w:rsidRDefault="00762AAE" w:rsidP="009B5A21">
      <w:pPr>
        <w:autoSpaceDE w:val="0"/>
        <w:autoSpaceDN w:val="0"/>
        <w:adjustRightInd w:val="0"/>
        <w:ind w:left="1077" w:hanging="1077"/>
        <w:jc w:val="both"/>
        <w:rPr>
          <w:rFonts w:ascii="Arial" w:hAnsi="Arial" w:cs="Arial"/>
          <w:bCs/>
          <w:lang w:val="en-IN"/>
        </w:rPr>
      </w:pPr>
      <w:r w:rsidRPr="00AA3EB9">
        <w:rPr>
          <w:rFonts w:ascii="Arial" w:hAnsi="Arial" w:cs="Arial"/>
          <w:bCs/>
        </w:rPr>
        <w:t xml:space="preserve">Maity, S., Sahoo, S., &amp; </w:t>
      </w:r>
      <w:proofErr w:type="spellStart"/>
      <w:r w:rsidRPr="00AA3EB9">
        <w:rPr>
          <w:rFonts w:ascii="Arial" w:hAnsi="Arial" w:cs="Arial"/>
          <w:bCs/>
        </w:rPr>
        <w:t>Govind</w:t>
      </w:r>
      <w:proofErr w:type="spellEnd"/>
      <w:r w:rsidRPr="00AA3EB9">
        <w:rPr>
          <w:rFonts w:ascii="Arial" w:hAnsi="Arial" w:cs="Arial"/>
          <w:bCs/>
        </w:rPr>
        <w:t xml:space="preserve">, A. (2025). A field-based data-driven modeling approach for livelihood vulnerability examination of rice farmers’ considering climate risk in parts of West Bengal, Eastern India. </w:t>
      </w:r>
      <w:r w:rsidRPr="00AA3EB9">
        <w:rPr>
          <w:rFonts w:ascii="Arial" w:hAnsi="Arial" w:cs="Arial"/>
          <w:bCs/>
          <w:i/>
          <w:iCs/>
        </w:rPr>
        <w:t>Discover Sustainability</w:t>
      </w:r>
      <w:r w:rsidRPr="00AA3EB9">
        <w:rPr>
          <w:rFonts w:ascii="Arial" w:hAnsi="Arial" w:cs="Arial"/>
          <w:bCs/>
        </w:rPr>
        <w:t xml:space="preserve">, </w:t>
      </w:r>
      <w:r w:rsidRPr="00AA3EB9">
        <w:rPr>
          <w:rFonts w:ascii="Arial" w:hAnsi="Arial" w:cs="Arial"/>
          <w:bCs/>
          <w:i/>
          <w:iCs/>
        </w:rPr>
        <w:t>6</w:t>
      </w:r>
      <w:r w:rsidRPr="00AA3EB9">
        <w:rPr>
          <w:rFonts w:ascii="Arial" w:hAnsi="Arial" w:cs="Arial"/>
          <w:bCs/>
        </w:rPr>
        <w:t xml:space="preserve">(1). </w:t>
      </w:r>
      <w:hyperlink r:id="rId21" w:history="1">
        <w:r w:rsidRPr="00AA3EB9">
          <w:rPr>
            <w:rStyle w:val="Hyperlink"/>
            <w:rFonts w:ascii="Arial" w:hAnsi="Arial" w:cs="Arial"/>
            <w:bCs/>
          </w:rPr>
          <w:t>https://doi.org/10.1007/s43621-025-01711-x</w:t>
        </w:r>
      </w:hyperlink>
    </w:p>
    <w:p w14:paraId="4EDA233F" w14:textId="77777777" w:rsidR="00CD38D6" w:rsidRDefault="00CD38D6" w:rsidP="009B5A21">
      <w:pPr>
        <w:autoSpaceDE w:val="0"/>
        <w:autoSpaceDN w:val="0"/>
        <w:adjustRightInd w:val="0"/>
        <w:ind w:left="1077" w:hanging="1077"/>
        <w:jc w:val="both"/>
        <w:rPr>
          <w:rFonts w:ascii="Arial" w:hAnsi="Arial" w:cs="Arial"/>
          <w:bCs/>
          <w:lang w:val="en-IN"/>
        </w:rPr>
      </w:pPr>
    </w:p>
    <w:p w14:paraId="6EA5BF6D" w14:textId="2186FD62" w:rsidR="00762AAE" w:rsidRDefault="00762AAE" w:rsidP="009B5A21">
      <w:pPr>
        <w:autoSpaceDE w:val="0"/>
        <w:autoSpaceDN w:val="0"/>
        <w:adjustRightInd w:val="0"/>
        <w:ind w:left="1077" w:hanging="1077"/>
        <w:jc w:val="both"/>
        <w:rPr>
          <w:rFonts w:ascii="Arial" w:hAnsi="Arial" w:cs="Arial"/>
          <w:bCs/>
          <w:lang w:val="en-IN"/>
        </w:rPr>
      </w:pPr>
      <w:r w:rsidRPr="00AA3EB9">
        <w:rPr>
          <w:rFonts w:ascii="Arial" w:hAnsi="Arial" w:cs="Arial"/>
          <w:bCs/>
          <w:lang w:val="en-IN"/>
        </w:rPr>
        <w:t xml:space="preserve">Meinzen-Dick, R., </w:t>
      </w:r>
      <w:proofErr w:type="spellStart"/>
      <w:r w:rsidRPr="00AA3EB9">
        <w:rPr>
          <w:rFonts w:ascii="Arial" w:hAnsi="Arial" w:cs="Arial"/>
          <w:bCs/>
          <w:lang w:val="en-IN"/>
        </w:rPr>
        <w:t>Quisumbing</w:t>
      </w:r>
      <w:proofErr w:type="spellEnd"/>
      <w:r w:rsidRPr="00AA3EB9">
        <w:rPr>
          <w:rFonts w:ascii="Arial" w:hAnsi="Arial" w:cs="Arial"/>
          <w:bCs/>
          <w:lang w:val="en-IN"/>
        </w:rPr>
        <w:t xml:space="preserve">, A., Behrman, J., </w:t>
      </w:r>
      <w:proofErr w:type="spellStart"/>
      <w:r w:rsidRPr="00AA3EB9">
        <w:rPr>
          <w:rFonts w:ascii="Arial" w:hAnsi="Arial" w:cs="Arial"/>
          <w:bCs/>
          <w:lang w:val="en-IN"/>
        </w:rPr>
        <w:t>Biermayr-Jenzano</w:t>
      </w:r>
      <w:proofErr w:type="spellEnd"/>
      <w:r w:rsidRPr="00AA3EB9">
        <w:rPr>
          <w:rFonts w:ascii="Arial" w:hAnsi="Arial" w:cs="Arial"/>
          <w:bCs/>
          <w:lang w:val="en-IN"/>
        </w:rPr>
        <w:t xml:space="preserve">, P., Wilde, V., </w:t>
      </w:r>
      <w:proofErr w:type="spellStart"/>
      <w:r w:rsidRPr="00AA3EB9">
        <w:rPr>
          <w:rFonts w:ascii="Arial" w:hAnsi="Arial" w:cs="Arial"/>
          <w:bCs/>
          <w:lang w:val="en-IN"/>
        </w:rPr>
        <w:t>Noordeloos</w:t>
      </w:r>
      <w:proofErr w:type="spellEnd"/>
      <w:r w:rsidRPr="00AA3EB9">
        <w:rPr>
          <w:rFonts w:ascii="Arial" w:hAnsi="Arial" w:cs="Arial"/>
          <w:bCs/>
          <w:lang w:val="en-IN"/>
        </w:rPr>
        <w:t xml:space="preserve">, M., </w:t>
      </w:r>
      <w:proofErr w:type="spellStart"/>
      <w:r w:rsidRPr="00AA3EB9">
        <w:rPr>
          <w:rFonts w:ascii="Arial" w:hAnsi="Arial" w:cs="Arial"/>
          <w:bCs/>
          <w:lang w:val="en-IN"/>
        </w:rPr>
        <w:t>Ragasa</w:t>
      </w:r>
      <w:proofErr w:type="spellEnd"/>
      <w:r w:rsidRPr="00AA3EB9">
        <w:rPr>
          <w:rFonts w:ascii="Arial" w:hAnsi="Arial" w:cs="Arial"/>
          <w:bCs/>
          <w:lang w:val="en-IN"/>
        </w:rPr>
        <w:t xml:space="preserve">, C., &amp; </w:t>
      </w:r>
      <w:proofErr w:type="spellStart"/>
      <w:r w:rsidRPr="00AA3EB9">
        <w:rPr>
          <w:rFonts w:ascii="Arial" w:hAnsi="Arial" w:cs="Arial"/>
          <w:bCs/>
          <w:lang w:val="en-IN"/>
        </w:rPr>
        <w:t>Beintema</w:t>
      </w:r>
      <w:proofErr w:type="spellEnd"/>
      <w:r w:rsidRPr="00AA3EB9">
        <w:rPr>
          <w:rFonts w:ascii="Arial" w:hAnsi="Arial" w:cs="Arial"/>
          <w:bCs/>
          <w:lang w:val="en-IN"/>
        </w:rPr>
        <w:t xml:space="preserve">, N. (2011). </w:t>
      </w:r>
      <w:r w:rsidRPr="00AA3EB9">
        <w:rPr>
          <w:rFonts w:ascii="Arial" w:hAnsi="Arial" w:cs="Arial"/>
          <w:bCs/>
          <w:i/>
          <w:iCs/>
          <w:lang w:val="en-IN"/>
        </w:rPr>
        <w:t>Engendering agricultural research, development, and extension</w:t>
      </w:r>
      <w:r w:rsidRPr="00AA3EB9">
        <w:rPr>
          <w:rFonts w:ascii="Arial" w:hAnsi="Arial" w:cs="Arial"/>
          <w:bCs/>
          <w:lang w:val="en-IN"/>
        </w:rPr>
        <w:t xml:space="preserve">. International Food Policy Research Institute (IFPRI). </w:t>
      </w:r>
      <w:hyperlink r:id="rId22" w:history="1">
        <w:r w:rsidRPr="00AA3EB9">
          <w:rPr>
            <w:rStyle w:val="Hyperlink"/>
            <w:rFonts w:ascii="Arial" w:hAnsi="Arial" w:cs="Arial"/>
            <w:bCs/>
            <w:lang w:val="en-IN"/>
          </w:rPr>
          <w:t>https://doi.org/10.2499/9780896291904</w:t>
        </w:r>
      </w:hyperlink>
      <w:r w:rsidRPr="00AA3EB9">
        <w:rPr>
          <w:rFonts w:ascii="Arial" w:hAnsi="Arial" w:cs="Arial"/>
          <w:bCs/>
          <w:lang w:val="en-IN"/>
        </w:rPr>
        <w:t xml:space="preserve"> </w:t>
      </w:r>
    </w:p>
    <w:p w14:paraId="52B355BE" w14:textId="77777777" w:rsidR="00CD38D6" w:rsidRDefault="00CD38D6" w:rsidP="009B5A21">
      <w:pPr>
        <w:autoSpaceDE w:val="0"/>
        <w:autoSpaceDN w:val="0"/>
        <w:adjustRightInd w:val="0"/>
        <w:ind w:left="1077" w:hanging="1077"/>
        <w:jc w:val="both"/>
        <w:rPr>
          <w:rFonts w:ascii="Arial" w:hAnsi="Arial" w:cs="Arial"/>
          <w:bCs/>
          <w:lang w:val="en-IN"/>
        </w:rPr>
      </w:pPr>
    </w:p>
    <w:p w14:paraId="67AD9AD4" w14:textId="44ED3C41" w:rsidR="00762AAE" w:rsidRDefault="00762AAE" w:rsidP="009B5A21">
      <w:pPr>
        <w:autoSpaceDE w:val="0"/>
        <w:autoSpaceDN w:val="0"/>
        <w:adjustRightInd w:val="0"/>
        <w:ind w:left="1077" w:hanging="1077"/>
        <w:jc w:val="both"/>
        <w:rPr>
          <w:rFonts w:ascii="Arial" w:hAnsi="Arial" w:cs="Arial"/>
          <w:bCs/>
          <w:lang w:val="en-IN"/>
        </w:rPr>
      </w:pPr>
      <w:r w:rsidRPr="00893806">
        <w:rPr>
          <w:rFonts w:ascii="Arial" w:hAnsi="Arial" w:cs="Arial"/>
          <w:bCs/>
          <w:lang w:val="en-IN"/>
        </w:rPr>
        <w:t xml:space="preserve">Mohammed, K., </w:t>
      </w:r>
      <w:proofErr w:type="spellStart"/>
      <w:r w:rsidRPr="00893806">
        <w:rPr>
          <w:rFonts w:ascii="Arial" w:hAnsi="Arial" w:cs="Arial"/>
          <w:bCs/>
          <w:lang w:val="en-IN"/>
        </w:rPr>
        <w:t>Najjar</w:t>
      </w:r>
      <w:proofErr w:type="spellEnd"/>
      <w:r w:rsidRPr="00893806">
        <w:rPr>
          <w:rFonts w:ascii="Arial" w:hAnsi="Arial" w:cs="Arial"/>
          <w:bCs/>
          <w:lang w:val="en-IN"/>
        </w:rPr>
        <w:t xml:space="preserve">, D., &amp; Bryan, E. (2022). </w:t>
      </w:r>
      <w:r w:rsidRPr="00893806">
        <w:rPr>
          <w:rFonts w:ascii="Arial" w:hAnsi="Arial" w:cs="Arial"/>
          <w:bCs/>
          <w:i/>
          <w:iCs/>
          <w:lang w:val="en-IN"/>
        </w:rPr>
        <w:t>Women’s resilience and participation in climate governance in the agri-food sector: A strategic review of public policies</w:t>
      </w:r>
      <w:r w:rsidRPr="00893806">
        <w:rPr>
          <w:rFonts w:ascii="Arial" w:hAnsi="Arial" w:cs="Arial"/>
          <w:bCs/>
          <w:lang w:val="en-IN"/>
        </w:rPr>
        <w:t xml:space="preserve">. International Center for Agricultural Research in the Dry Areas (ICARDA). </w:t>
      </w:r>
      <w:hyperlink r:id="rId23" w:tgtFrame="_new" w:history="1">
        <w:r w:rsidRPr="00893806">
          <w:rPr>
            <w:rStyle w:val="Hyperlink"/>
            <w:rFonts w:ascii="Arial" w:hAnsi="Arial" w:cs="Arial"/>
            <w:bCs/>
            <w:lang w:val="en-IN"/>
          </w:rPr>
          <w:t>https://hdl.handle.net/10568/126986</w:t>
        </w:r>
      </w:hyperlink>
    </w:p>
    <w:p w14:paraId="5C2D6879" w14:textId="77777777" w:rsidR="00CD38D6" w:rsidRDefault="00CD38D6" w:rsidP="009B5A21">
      <w:pPr>
        <w:autoSpaceDE w:val="0"/>
        <w:autoSpaceDN w:val="0"/>
        <w:adjustRightInd w:val="0"/>
        <w:ind w:left="1077" w:hanging="1077"/>
        <w:jc w:val="both"/>
        <w:rPr>
          <w:rFonts w:ascii="Arial" w:hAnsi="Arial" w:cs="Arial"/>
          <w:bCs/>
          <w:lang w:val="en-IN"/>
        </w:rPr>
      </w:pPr>
    </w:p>
    <w:p w14:paraId="0A1995F4" w14:textId="550DC226" w:rsidR="00762AAE" w:rsidRDefault="00762AAE" w:rsidP="009B5A21">
      <w:pPr>
        <w:autoSpaceDE w:val="0"/>
        <w:autoSpaceDN w:val="0"/>
        <w:adjustRightInd w:val="0"/>
        <w:ind w:left="1077" w:hanging="1077"/>
        <w:jc w:val="both"/>
        <w:rPr>
          <w:rFonts w:ascii="Arial" w:hAnsi="Arial" w:cs="Arial"/>
          <w:bCs/>
          <w:lang w:val="en-IN"/>
        </w:rPr>
      </w:pPr>
      <w:r w:rsidRPr="00893806">
        <w:rPr>
          <w:rFonts w:ascii="Arial" w:hAnsi="Arial" w:cs="Arial"/>
          <w:bCs/>
          <w:lang w:val="en-IN"/>
        </w:rPr>
        <w:t xml:space="preserve">Ray, G. L. (2011). </w:t>
      </w:r>
      <w:r w:rsidRPr="00893806">
        <w:rPr>
          <w:rFonts w:ascii="Arial" w:hAnsi="Arial" w:cs="Arial"/>
          <w:bCs/>
          <w:i/>
          <w:iCs/>
          <w:lang w:val="en-IN"/>
        </w:rPr>
        <w:t>Extension communication and management</w:t>
      </w:r>
      <w:r w:rsidRPr="00893806">
        <w:rPr>
          <w:rFonts w:ascii="Arial" w:hAnsi="Arial" w:cs="Arial"/>
          <w:bCs/>
          <w:lang w:val="en-IN"/>
        </w:rPr>
        <w:t xml:space="preserve"> (2nd ed.). Kalyani Publishers.</w:t>
      </w:r>
    </w:p>
    <w:p w14:paraId="0BDDFDA1" w14:textId="77777777" w:rsidR="00CD38D6" w:rsidRPr="00893806" w:rsidRDefault="00CD38D6" w:rsidP="009B5A21">
      <w:pPr>
        <w:autoSpaceDE w:val="0"/>
        <w:autoSpaceDN w:val="0"/>
        <w:adjustRightInd w:val="0"/>
        <w:ind w:left="1077" w:hanging="1077"/>
        <w:jc w:val="both"/>
        <w:rPr>
          <w:rFonts w:ascii="Arial" w:hAnsi="Arial" w:cs="Arial"/>
          <w:bCs/>
          <w:lang w:val="en-IN"/>
        </w:rPr>
      </w:pPr>
    </w:p>
    <w:p w14:paraId="129A6A70" w14:textId="2FA303CD" w:rsidR="00762AAE" w:rsidRDefault="00762AAE" w:rsidP="009B5A21">
      <w:pPr>
        <w:autoSpaceDE w:val="0"/>
        <w:autoSpaceDN w:val="0"/>
        <w:adjustRightInd w:val="0"/>
        <w:ind w:left="1077" w:hanging="1077"/>
        <w:jc w:val="both"/>
        <w:rPr>
          <w:rFonts w:ascii="Arial" w:hAnsi="Arial" w:cs="Arial"/>
          <w:bCs/>
        </w:rPr>
      </w:pPr>
      <w:r w:rsidRPr="00893806">
        <w:rPr>
          <w:rFonts w:ascii="Arial" w:hAnsi="Arial" w:cs="Arial"/>
          <w:bCs/>
        </w:rPr>
        <w:t xml:space="preserve">Ringler, C., </w:t>
      </w:r>
      <w:proofErr w:type="spellStart"/>
      <w:r w:rsidRPr="00893806">
        <w:rPr>
          <w:rFonts w:ascii="Arial" w:hAnsi="Arial" w:cs="Arial"/>
          <w:bCs/>
        </w:rPr>
        <w:t>Alvi</w:t>
      </w:r>
      <w:proofErr w:type="spellEnd"/>
      <w:r w:rsidRPr="00893806">
        <w:rPr>
          <w:rFonts w:ascii="Arial" w:hAnsi="Arial" w:cs="Arial"/>
          <w:bCs/>
        </w:rPr>
        <w:t xml:space="preserve">, M., </w:t>
      </w:r>
      <w:proofErr w:type="spellStart"/>
      <w:r w:rsidRPr="00893806">
        <w:rPr>
          <w:rFonts w:ascii="Arial" w:hAnsi="Arial" w:cs="Arial"/>
          <w:bCs/>
        </w:rPr>
        <w:t>Birner</w:t>
      </w:r>
      <w:proofErr w:type="spellEnd"/>
      <w:r w:rsidRPr="00893806">
        <w:rPr>
          <w:rFonts w:ascii="Arial" w:hAnsi="Arial" w:cs="Arial"/>
          <w:bCs/>
        </w:rPr>
        <w:t xml:space="preserve">, R., Bosch, C., Bryan, E., </w:t>
      </w:r>
      <w:proofErr w:type="spellStart"/>
      <w:r w:rsidRPr="00893806">
        <w:rPr>
          <w:rFonts w:ascii="Arial" w:hAnsi="Arial" w:cs="Arial"/>
          <w:bCs/>
        </w:rPr>
        <w:t>Githuku</w:t>
      </w:r>
      <w:proofErr w:type="spellEnd"/>
      <w:r w:rsidRPr="00893806">
        <w:rPr>
          <w:rFonts w:ascii="Arial" w:hAnsi="Arial" w:cs="Arial"/>
          <w:bCs/>
        </w:rPr>
        <w:t xml:space="preserve">, F., Meinzen-Dick, R. S., Rwamigisa, P. B., &amp; Shah, M. (Eds.). (2023). </w:t>
      </w:r>
      <w:r w:rsidRPr="00893806">
        <w:rPr>
          <w:rFonts w:ascii="Arial" w:hAnsi="Arial" w:cs="Arial"/>
          <w:bCs/>
          <w:i/>
          <w:iCs/>
        </w:rPr>
        <w:t>Reaching smallholder women with information services and resilience strategies to respond to climate change</w:t>
      </w:r>
      <w:r w:rsidRPr="00893806">
        <w:rPr>
          <w:rFonts w:ascii="Arial" w:hAnsi="Arial" w:cs="Arial"/>
          <w:bCs/>
        </w:rPr>
        <w:t xml:space="preserve">. International Food Policy Research Institute. </w:t>
      </w:r>
      <w:hyperlink r:id="rId24" w:tgtFrame="_new" w:history="1">
        <w:r w:rsidRPr="00893806">
          <w:rPr>
            <w:rStyle w:val="Hyperlink"/>
            <w:rFonts w:ascii="Arial" w:hAnsi="Arial" w:cs="Arial"/>
            <w:bCs/>
          </w:rPr>
          <w:t>https://hdl.handle.net/10568/139768</w:t>
        </w:r>
      </w:hyperlink>
      <w:r w:rsidRPr="00893806">
        <w:rPr>
          <w:rFonts w:ascii="Arial" w:hAnsi="Arial" w:cs="Arial"/>
          <w:bCs/>
          <w:u w:val="single"/>
        </w:rPr>
        <w:t xml:space="preserve"> </w:t>
      </w:r>
      <w:r w:rsidRPr="00893806">
        <w:rPr>
          <w:rFonts w:ascii="Arial" w:hAnsi="Arial" w:cs="Arial"/>
          <w:bCs/>
        </w:rPr>
        <w:t xml:space="preserve"> </w:t>
      </w:r>
    </w:p>
    <w:p w14:paraId="1BD5A68B" w14:textId="77777777" w:rsidR="002D5CF0" w:rsidRPr="00893806" w:rsidRDefault="002D5CF0" w:rsidP="009B5A21">
      <w:pPr>
        <w:autoSpaceDE w:val="0"/>
        <w:autoSpaceDN w:val="0"/>
        <w:adjustRightInd w:val="0"/>
        <w:ind w:left="1077" w:hanging="1077"/>
        <w:jc w:val="both"/>
        <w:rPr>
          <w:rFonts w:ascii="Arial" w:hAnsi="Arial" w:cs="Arial"/>
          <w:bCs/>
        </w:rPr>
      </w:pPr>
    </w:p>
    <w:p w14:paraId="3072C2D1" w14:textId="43BBFC1E" w:rsidR="002D5CF0" w:rsidRDefault="00723332" w:rsidP="009B5A21">
      <w:pPr>
        <w:autoSpaceDE w:val="0"/>
        <w:autoSpaceDN w:val="0"/>
        <w:adjustRightInd w:val="0"/>
        <w:ind w:left="1077" w:hanging="1077"/>
        <w:jc w:val="both"/>
        <w:rPr>
          <w:rFonts w:ascii="Arial" w:hAnsi="Arial" w:cs="Arial"/>
          <w:bCs/>
          <w:lang w:val="en-IN"/>
        </w:rPr>
      </w:pPr>
      <w:r w:rsidRPr="00723332">
        <w:rPr>
          <w:rFonts w:ascii="Arial" w:hAnsi="Arial" w:cs="Arial"/>
          <w:bCs/>
          <w:lang w:val="en-IN"/>
        </w:rPr>
        <w:t xml:space="preserve">Rwamigisa, Patience B.; </w:t>
      </w:r>
      <w:proofErr w:type="spellStart"/>
      <w:r w:rsidRPr="00723332">
        <w:rPr>
          <w:rFonts w:ascii="Arial" w:hAnsi="Arial" w:cs="Arial"/>
          <w:bCs/>
          <w:lang w:val="en-IN"/>
        </w:rPr>
        <w:t>Namyenya</w:t>
      </w:r>
      <w:proofErr w:type="spellEnd"/>
      <w:r w:rsidRPr="00723332">
        <w:rPr>
          <w:rFonts w:ascii="Arial" w:hAnsi="Arial" w:cs="Arial"/>
          <w:bCs/>
          <w:lang w:val="en-IN"/>
        </w:rPr>
        <w:t xml:space="preserve">, </w:t>
      </w:r>
      <w:proofErr w:type="spellStart"/>
      <w:r w:rsidRPr="00723332">
        <w:rPr>
          <w:rFonts w:ascii="Arial" w:hAnsi="Arial" w:cs="Arial"/>
          <w:bCs/>
          <w:lang w:val="en-IN"/>
        </w:rPr>
        <w:t>Angella</w:t>
      </w:r>
      <w:proofErr w:type="spellEnd"/>
      <w:r w:rsidRPr="00723332">
        <w:rPr>
          <w:rFonts w:ascii="Arial" w:hAnsi="Arial" w:cs="Arial"/>
          <w:bCs/>
          <w:lang w:val="en-IN"/>
        </w:rPr>
        <w:t xml:space="preserve">; </w:t>
      </w:r>
      <w:proofErr w:type="spellStart"/>
      <w:r w:rsidRPr="00723332">
        <w:rPr>
          <w:rFonts w:ascii="Arial" w:hAnsi="Arial" w:cs="Arial"/>
          <w:bCs/>
          <w:lang w:val="en-IN"/>
        </w:rPr>
        <w:t>Butele</w:t>
      </w:r>
      <w:proofErr w:type="spellEnd"/>
      <w:r w:rsidRPr="00723332">
        <w:rPr>
          <w:rFonts w:ascii="Arial" w:hAnsi="Arial" w:cs="Arial"/>
          <w:bCs/>
          <w:lang w:val="en-IN"/>
        </w:rPr>
        <w:t xml:space="preserve">, Cosmas Alfred; Shah, Mansi; </w:t>
      </w:r>
      <w:proofErr w:type="spellStart"/>
      <w:r w:rsidRPr="00723332">
        <w:rPr>
          <w:rFonts w:ascii="Arial" w:hAnsi="Arial" w:cs="Arial"/>
          <w:bCs/>
          <w:lang w:val="en-IN"/>
        </w:rPr>
        <w:t>Githuku</w:t>
      </w:r>
      <w:proofErr w:type="spellEnd"/>
      <w:r w:rsidRPr="00723332">
        <w:rPr>
          <w:rFonts w:ascii="Arial" w:hAnsi="Arial" w:cs="Arial"/>
          <w:bCs/>
          <w:lang w:val="en-IN"/>
        </w:rPr>
        <w:t xml:space="preserve">, </w:t>
      </w:r>
      <w:proofErr w:type="spellStart"/>
      <w:r w:rsidRPr="00723332">
        <w:rPr>
          <w:rFonts w:ascii="Arial" w:hAnsi="Arial" w:cs="Arial"/>
          <w:bCs/>
          <w:lang w:val="en-IN"/>
        </w:rPr>
        <w:t>Fridah</w:t>
      </w:r>
      <w:proofErr w:type="spellEnd"/>
      <w:r w:rsidRPr="00723332">
        <w:rPr>
          <w:rFonts w:ascii="Arial" w:hAnsi="Arial" w:cs="Arial"/>
          <w:bCs/>
          <w:lang w:val="en-IN"/>
        </w:rPr>
        <w:t xml:space="preserve">; and </w:t>
      </w:r>
      <w:proofErr w:type="spellStart"/>
      <w:r w:rsidRPr="00723332">
        <w:rPr>
          <w:rFonts w:ascii="Arial" w:hAnsi="Arial" w:cs="Arial"/>
          <w:bCs/>
          <w:lang w:val="en-IN"/>
        </w:rPr>
        <w:t>Njung’e</w:t>
      </w:r>
      <w:proofErr w:type="spellEnd"/>
      <w:r w:rsidRPr="00723332">
        <w:rPr>
          <w:rFonts w:ascii="Arial" w:hAnsi="Arial" w:cs="Arial"/>
          <w:bCs/>
          <w:lang w:val="en-IN"/>
        </w:rPr>
        <w:t xml:space="preserve">, Dennis. 2023. </w:t>
      </w:r>
      <w:r w:rsidRPr="00723332">
        <w:rPr>
          <w:rFonts w:ascii="Arial" w:hAnsi="Arial" w:cs="Arial"/>
          <w:bCs/>
          <w:i/>
          <w:lang w:val="en-IN"/>
        </w:rPr>
        <w:t>Challenges and opportunities in implementing video-based extension approaches targeting women farmers: An implementer’s perspective.</w:t>
      </w:r>
      <w:r w:rsidRPr="00723332">
        <w:rPr>
          <w:rFonts w:ascii="Arial" w:hAnsi="Arial" w:cs="Arial"/>
          <w:bCs/>
          <w:lang w:val="en-IN"/>
        </w:rPr>
        <w:t xml:space="preserve"> Reaching Women Farmers with CSA Policy Note 12. Washington, DC: International Food Policy Research Institute (IFPRI). </w:t>
      </w:r>
      <w:hyperlink r:id="rId25" w:history="1">
        <w:r w:rsidRPr="003E061D">
          <w:rPr>
            <w:rStyle w:val="Hyperlink"/>
            <w:rFonts w:ascii="Arial" w:hAnsi="Arial" w:cs="Arial"/>
            <w:bCs/>
            <w:lang w:val="en-IN"/>
          </w:rPr>
          <w:t>https://doi.org/10.2499/p15738coll2.137057</w:t>
        </w:r>
      </w:hyperlink>
      <w:r w:rsidRPr="00723332">
        <w:rPr>
          <w:rFonts w:ascii="Arial" w:hAnsi="Arial" w:cs="Arial"/>
          <w:bCs/>
          <w:lang w:val="en-IN"/>
        </w:rPr>
        <w:t>.</w:t>
      </w:r>
      <w:r>
        <w:rPr>
          <w:rFonts w:ascii="Arial" w:hAnsi="Arial" w:cs="Arial"/>
          <w:bCs/>
          <w:lang w:val="en-IN"/>
        </w:rPr>
        <w:t xml:space="preserve"> </w:t>
      </w:r>
    </w:p>
    <w:p w14:paraId="5374D415" w14:textId="77777777" w:rsidR="00723332" w:rsidRDefault="00723332" w:rsidP="009B5A21">
      <w:pPr>
        <w:autoSpaceDE w:val="0"/>
        <w:autoSpaceDN w:val="0"/>
        <w:adjustRightInd w:val="0"/>
        <w:ind w:left="1077" w:hanging="1077"/>
        <w:jc w:val="both"/>
        <w:rPr>
          <w:rFonts w:ascii="Arial" w:hAnsi="Arial" w:cs="Arial"/>
          <w:bCs/>
          <w:lang w:val="en-IN"/>
        </w:rPr>
      </w:pPr>
    </w:p>
    <w:p w14:paraId="0A9E75AB" w14:textId="3DA88938" w:rsidR="00762AAE" w:rsidRDefault="00762AAE" w:rsidP="009B5A21">
      <w:pPr>
        <w:autoSpaceDE w:val="0"/>
        <w:autoSpaceDN w:val="0"/>
        <w:adjustRightInd w:val="0"/>
        <w:ind w:left="1077" w:hanging="1077"/>
        <w:jc w:val="both"/>
        <w:rPr>
          <w:rFonts w:ascii="Arial" w:hAnsi="Arial" w:cs="Arial"/>
          <w:bCs/>
          <w:lang w:val="en-IN"/>
        </w:rPr>
      </w:pPr>
      <w:r w:rsidRPr="00A4166F">
        <w:rPr>
          <w:rFonts w:ascii="Arial" w:hAnsi="Arial" w:cs="Arial"/>
          <w:bCs/>
          <w:lang w:val="en-IN"/>
        </w:rPr>
        <w:t xml:space="preserve">Sailaja, V. (2002). </w:t>
      </w:r>
      <w:r w:rsidRPr="00A4166F">
        <w:rPr>
          <w:rFonts w:ascii="Arial" w:hAnsi="Arial" w:cs="Arial"/>
          <w:bCs/>
          <w:i/>
          <w:iCs/>
          <w:lang w:val="en-IN"/>
        </w:rPr>
        <w:t>Empowerment of rural women through participation in cooperative institutions of Andhra Pradesh – An analysis</w:t>
      </w:r>
      <w:r w:rsidRPr="00A4166F">
        <w:rPr>
          <w:rFonts w:ascii="Arial" w:hAnsi="Arial" w:cs="Arial"/>
          <w:bCs/>
          <w:lang w:val="en-IN"/>
        </w:rPr>
        <w:t xml:space="preserve"> (Doctoral dissertation, Tamil Nadu Agricultural University, Coimbatore).</w:t>
      </w:r>
    </w:p>
    <w:p w14:paraId="05A4F327" w14:textId="77777777" w:rsidR="002D5CF0" w:rsidRDefault="002D5CF0" w:rsidP="009B5A21">
      <w:pPr>
        <w:autoSpaceDE w:val="0"/>
        <w:autoSpaceDN w:val="0"/>
        <w:adjustRightInd w:val="0"/>
        <w:ind w:left="1077" w:hanging="1077"/>
        <w:jc w:val="both"/>
        <w:rPr>
          <w:rFonts w:ascii="Arial" w:hAnsi="Arial" w:cs="Arial"/>
          <w:bCs/>
          <w:lang w:val="en-IN"/>
        </w:rPr>
      </w:pPr>
    </w:p>
    <w:p w14:paraId="7C14E394" w14:textId="2410CF6C" w:rsidR="00762AAE" w:rsidRDefault="00762AAE" w:rsidP="009B5A21">
      <w:pPr>
        <w:autoSpaceDE w:val="0"/>
        <w:autoSpaceDN w:val="0"/>
        <w:adjustRightInd w:val="0"/>
        <w:ind w:left="1077" w:hanging="1077"/>
        <w:jc w:val="both"/>
        <w:rPr>
          <w:rFonts w:ascii="Arial" w:hAnsi="Arial" w:cs="Arial"/>
          <w:bCs/>
        </w:rPr>
      </w:pPr>
      <w:r w:rsidRPr="00A4166F">
        <w:rPr>
          <w:rFonts w:ascii="Arial" w:hAnsi="Arial" w:cs="Arial"/>
          <w:bCs/>
        </w:rPr>
        <w:t xml:space="preserve">Shahbaz, P., </w:t>
      </w:r>
      <w:proofErr w:type="spellStart"/>
      <w:r w:rsidRPr="00A4166F">
        <w:rPr>
          <w:rFonts w:ascii="Arial" w:hAnsi="Arial" w:cs="Arial"/>
          <w:bCs/>
        </w:rPr>
        <w:t>ul</w:t>
      </w:r>
      <w:proofErr w:type="spellEnd"/>
      <w:r w:rsidRPr="00A4166F">
        <w:rPr>
          <w:rFonts w:ascii="Arial" w:hAnsi="Arial" w:cs="Arial"/>
          <w:bCs/>
        </w:rPr>
        <w:t xml:space="preserve"> </w:t>
      </w:r>
      <w:proofErr w:type="spellStart"/>
      <w:r w:rsidRPr="00A4166F">
        <w:rPr>
          <w:rFonts w:ascii="Arial" w:hAnsi="Arial" w:cs="Arial"/>
          <w:bCs/>
        </w:rPr>
        <w:t>Haq</w:t>
      </w:r>
      <w:proofErr w:type="spellEnd"/>
      <w:r w:rsidRPr="00A4166F">
        <w:rPr>
          <w:rFonts w:ascii="Arial" w:hAnsi="Arial" w:cs="Arial"/>
          <w:bCs/>
        </w:rPr>
        <w:t xml:space="preserve">, S., Abbas, A., </w:t>
      </w:r>
      <w:proofErr w:type="spellStart"/>
      <w:r w:rsidRPr="00A4166F">
        <w:rPr>
          <w:rFonts w:ascii="Arial" w:hAnsi="Arial" w:cs="Arial"/>
          <w:bCs/>
        </w:rPr>
        <w:t>Batool</w:t>
      </w:r>
      <w:proofErr w:type="spellEnd"/>
      <w:r w:rsidRPr="00A4166F">
        <w:rPr>
          <w:rFonts w:ascii="Arial" w:hAnsi="Arial" w:cs="Arial"/>
          <w:bCs/>
        </w:rPr>
        <w:t xml:space="preserve">, Z., </w:t>
      </w:r>
      <w:proofErr w:type="spellStart"/>
      <w:r w:rsidRPr="00A4166F">
        <w:rPr>
          <w:rFonts w:ascii="Arial" w:hAnsi="Arial" w:cs="Arial"/>
          <w:bCs/>
        </w:rPr>
        <w:t>Alotaibi</w:t>
      </w:r>
      <w:proofErr w:type="spellEnd"/>
      <w:r w:rsidRPr="00A4166F">
        <w:rPr>
          <w:rFonts w:ascii="Arial" w:hAnsi="Arial" w:cs="Arial"/>
          <w:bCs/>
        </w:rPr>
        <w:t xml:space="preserve">, B. A., &amp; </w:t>
      </w:r>
      <w:proofErr w:type="spellStart"/>
      <w:r w:rsidRPr="00A4166F">
        <w:rPr>
          <w:rFonts w:ascii="Arial" w:hAnsi="Arial" w:cs="Arial"/>
          <w:bCs/>
        </w:rPr>
        <w:t>Nayak</w:t>
      </w:r>
      <w:proofErr w:type="spellEnd"/>
      <w:r w:rsidRPr="00A4166F">
        <w:rPr>
          <w:rFonts w:ascii="Arial" w:hAnsi="Arial" w:cs="Arial"/>
          <w:bCs/>
        </w:rPr>
        <w:t xml:space="preserve">, R. K. (2022). Adoption of climate smart agricultural practices through women involvement in decision making process: Exploring the role of empowerment and innovativeness. </w:t>
      </w:r>
      <w:r w:rsidRPr="00A4166F">
        <w:rPr>
          <w:rFonts w:ascii="Arial" w:hAnsi="Arial" w:cs="Arial"/>
          <w:bCs/>
          <w:i/>
        </w:rPr>
        <w:t>Agriculture</w:t>
      </w:r>
      <w:r w:rsidRPr="00A4166F">
        <w:rPr>
          <w:rFonts w:ascii="Arial" w:hAnsi="Arial" w:cs="Arial"/>
          <w:bCs/>
        </w:rPr>
        <w:t xml:space="preserve">, 12(8), 1161. </w:t>
      </w:r>
      <w:hyperlink r:id="rId26" w:history="1">
        <w:r w:rsidRPr="00A4166F">
          <w:rPr>
            <w:rStyle w:val="Hyperlink"/>
            <w:rFonts w:ascii="Arial" w:hAnsi="Arial" w:cs="Arial"/>
            <w:bCs/>
          </w:rPr>
          <w:t>https://doi.org/10.3390/agriculture12081161</w:t>
        </w:r>
      </w:hyperlink>
      <w:r w:rsidRPr="00A4166F">
        <w:rPr>
          <w:rFonts w:ascii="Arial" w:hAnsi="Arial" w:cs="Arial"/>
          <w:bCs/>
        </w:rPr>
        <w:t xml:space="preserve"> </w:t>
      </w:r>
    </w:p>
    <w:p w14:paraId="33F23B2D" w14:textId="77777777" w:rsidR="002D5CF0" w:rsidRPr="00A4166F" w:rsidRDefault="002D5CF0" w:rsidP="009B5A21">
      <w:pPr>
        <w:autoSpaceDE w:val="0"/>
        <w:autoSpaceDN w:val="0"/>
        <w:adjustRightInd w:val="0"/>
        <w:ind w:left="1077" w:hanging="1077"/>
        <w:jc w:val="both"/>
        <w:rPr>
          <w:rFonts w:ascii="Arial" w:hAnsi="Arial" w:cs="Arial"/>
          <w:bCs/>
        </w:rPr>
      </w:pPr>
    </w:p>
    <w:p w14:paraId="486BA963" w14:textId="6ED4F820" w:rsidR="00762AAE" w:rsidRDefault="00762AAE" w:rsidP="009B5A21">
      <w:pPr>
        <w:autoSpaceDE w:val="0"/>
        <w:autoSpaceDN w:val="0"/>
        <w:adjustRightInd w:val="0"/>
        <w:ind w:left="1077" w:hanging="1077"/>
        <w:jc w:val="both"/>
        <w:rPr>
          <w:rFonts w:ascii="Arial" w:hAnsi="Arial" w:cs="Arial"/>
          <w:bCs/>
        </w:rPr>
      </w:pPr>
      <w:proofErr w:type="spellStart"/>
      <w:r w:rsidRPr="00A4166F">
        <w:rPr>
          <w:rFonts w:ascii="Arial" w:hAnsi="Arial" w:cs="Arial"/>
          <w:bCs/>
        </w:rPr>
        <w:t>Shamna</w:t>
      </w:r>
      <w:proofErr w:type="spellEnd"/>
      <w:r w:rsidRPr="00A4166F">
        <w:rPr>
          <w:rFonts w:ascii="Arial" w:hAnsi="Arial" w:cs="Arial"/>
          <w:bCs/>
        </w:rPr>
        <w:t xml:space="preserve">, A., </w:t>
      </w:r>
      <w:proofErr w:type="spellStart"/>
      <w:r w:rsidRPr="00A4166F">
        <w:rPr>
          <w:rFonts w:ascii="Arial" w:hAnsi="Arial" w:cs="Arial"/>
          <w:bCs/>
        </w:rPr>
        <w:t>Jha</w:t>
      </w:r>
      <w:proofErr w:type="spellEnd"/>
      <w:r w:rsidRPr="00A4166F">
        <w:rPr>
          <w:rFonts w:ascii="Arial" w:hAnsi="Arial" w:cs="Arial"/>
          <w:bCs/>
        </w:rPr>
        <w:t xml:space="preserve">, S. K., Alam, N. M., &amp; Kar, R. K. G. (2022). Assessment of technological interventions in farm women empowerment. </w:t>
      </w:r>
      <w:r w:rsidRPr="00A4166F">
        <w:rPr>
          <w:rFonts w:ascii="Arial" w:hAnsi="Arial" w:cs="Arial"/>
          <w:bCs/>
          <w:i/>
        </w:rPr>
        <w:t>Indian Journal of Extension Education</w:t>
      </w:r>
      <w:r w:rsidRPr="00A4166F">
        <w:rPr>
          <w:rFonts w:ascii="Arial" w:hAnsi="Arial" w:cs="Arial"/>
          <w:bCs/>
        </w:rPr>
        <w:t xml:space="preserve">, 58(1), 142–145. </w:t>
      </w:r>
      <w:hyperlink r:id="rId27" w:history="1">
        <w:r w:rsidRPr="00A4166F">
          <w:rPr>
            <w:rStyle w:val="Hyperlink"/>
            <w:rFonts w:ascii="Arial" w:hAnsi="Arial" w:cs="Arial"/>
            <w:bCs/>
          </w:rPr>
          <w:t>https://doi.org/10.48165/ijee.2022.58139</w:t>
        </w:r>
      </w:hyperlink>
      <w:r w:rsidRPr="00A4166F">
        <w:rPr>
          <w:rFonts w:ascii="Arial" w:hAnsi="Arial" w:cs="Arial"/>
          <w:bCs/>
        </w:rPr>
        <w:t xml:space="preserve"> </w:t>
      </w:r>
    </w:p>
    <w:p w14:paraId="7B3FC81A" w14:textId="77777777" w:rsidR="002D5CF0" w:rsidRPr="00A4166F" w:rsidRDefault="002D5CF0" w:rsidP="009B5A21">
      <w:pPr>
        <w:autoSpaceDE w:val="0"/>
        <w:autoSpaceDN w:val="0"/>
        <w:adjustRightInd w:val="0"/>
        <w:ind w:left="1077" w:hanging="1077"/>
        <w:jc w:val="both"/>
        <w:rPr>
          <w:rFonts w:ascii="Arial" w:hAnsi="Arial" w:cs="Arial"/>
          <w:bCs/>
        </w:rPr>
      </w:pPr>
    </w:p>
    <w:p w14:paraId="654E2849" w14:textId="58EC7D9D" w:rsidR="00762AAE" w:rsidRDefault="00762AAE" w:rsidP="009B5A21">
      <w:pPr>
        <w:autoSpaceDE w:val="0"/>
        <w:autoSpaceDN w:val="0"/>
        <w:adjustRightInd w:val="0"/>
        <w:ind w:left="1077" w:hanging="1077"/>
        <w:jc w:val="both"/>
        <w:rPr>
          <w:rFonts w:ascii="Arial" w:hAnsi="Arial" w:cs="Arial"/>
          <w:bCs/>
          <w:lang w:val="en-IN"/>
        </w:rPr>
      </w:pPr>
      <w:proofErr w:type="spellStart"/>
      <w:r w:rsidRPr="00A4166F">
        <w:rPr>
          <w:rFonts w:ascii="Arial" w:hAnsi="Arial" w:cs="Arial"/>
          <w:bCs/>
          <w:lang w:val="en-IN"/>
        </w:rPr>
        <w:t>Sontakki</w:t>
      </w:r>
      <w:proofErr w:type="spellEnd"/>
      <w:r w:rsidRPr="00A4166F">
        <w:rPr>
          <w:rFonts w:ascii="Arial" w:hAnsi="Arial" w:cs="Arial"/>
          <w:bCs/>
          <w:lang w:val="en-IN"/>
        </w:rPr>
        <w:t xml:space="preserve">, B. S., &amp; Kiran, K. (2008). Women's empowerment through agricultural extension: A critical analysis. </w:t>
      </w:r>
      <w:r w:rsidRPr="00A4166F">
        <w:rPr>
          <w:rFonts w:ascii="Arial" w:hAnsi="Arial" w:cs="Arial"/>
          <w:bCs/>
          <w:i/>
          <w:iCs/>
          <w:lang w:val="en-IN"/>
        </w:rPr>
        <w:t>Indian Journal of Extension Education, 44</w:t>
      </w:r>
      <w:r w:rsidRPr="00A4166F">
        <w:rPr>
          <w:rFonts w:ascii="Arial" w:hAnsi="Arial" w:cs="Arial"/>
          <w:bCs/>
          <w:lang w:val="en-IN"/>
        </w:rPr>
        <w:t>(3 &amp; 4), 74–77.</w:t>
      </w:r>
    </w:p>
    <w:p w14:paraId="039BC6BB" w14:textId="77777777" w:rsidR="002D5CF0" w:rsidRPr="00A4166F" w:rsidRDefault="002D5CF0" w:rsidP="009B5A21">
      <w:pPr>
        <w:autoSpaceDE w:val="0"/>
        <w:autoSpaceDN w:val="0"/>
        <w:adjustRightInd w:val="0"/>
        <w:ind w:left="1077" w:hanging="1077"/>
        <w:jc w:val="both"/>
        <w:rPr>
          <w:rFonts w:ascii="Arial" w:hAnsi="Arial" w:cs="Arial"/>
          <w:bCs/>
          <w:lang w:val="en-IN"/>
        </w:rPr>
      </w:pPr>
    </w:p>
    <w:p w14:paraId="026C52E3" w14:textId="77777777" w:rsidR="00762AAE" w:rsidRPr="00A4166F" w:rsidRDefault="00762AAE" w:rsidP="009B5A21">
      <w:pPr>
        <w:autoSpaceDE w:val="0"/>
        <w:autoSpaceDN w:val="0"/>
        <w:adjustRightInd w:val="0"/>
        <w:ind w:left="1077" w:hanging="1077"/>
        <w:jc w:val="both"/>
        <w:rPr>
          <w:rFonts w:ascii="Arial" w:hAnsi="Arial" w:cs="Arial"/>
          <w:bCs/>
          <w:lang w:val="en-IN"/>
        </w:rPr>
      </w:pPr>
      <w:r w:rsidRPr="0037067D">
        <w:rPr>
          <w:rFonts w:ascii="Arial" w:hAnsi="Arial" w:cs="Arial"/>
          <w:bCs/>
          <w:i/>
          <w:lang w:val="en-IN"/>
        </w:rPr>
        <w:t>The Role of Gender in Climate-Smart Agriculture</w:t>
      </w:r>
      <w:r w:rsidRPr="00A4166F">
        <w:rPr>
          <w:rFonts w:ascii="Arial" w:hAnsi="Arial" w:cs="Arial"/>
          <w:bCs/>
          <w:lang w:val="en-IN"/>
        </w:rPr>
        <w:t xml:space="preserve">. (2025). In </w:t>
      </w:r>
      <w:r w:rsidRPr="0037067D">
        <w:rPr>
          <w:rFonts w:ascii="Arial" w:hAnsi="Arial" w:cs="Arial"/>
          <w:bCs/>
          <w:iCs/>
          <w:lang w:val="en-IN"/>
        </w:rPr>
        <w:t>FAO</w:t>
      </w:r>
      <w:r w:rsidRPr="00A4166F">
        <w:rPr>
          <w:rFonts w:ascii="Arial" w:hAnsi="Arial" w:cs="Arial"/>
          <w:bCs/>
          <w:lang w:val="en-IN"/>
        </w:rPr>
        <w:t xml:space="preserve">. </w:t>
      </w:r>
      <w:hyperlink r:id="rId28" w:history="1">
        <w:r w:rsidRPr="00A4166F">
          <w:rPr>
            <w:rStyle w:val="Hyperlink"/>
            <w:rFonts w:ascii="Arial" w:hAnsi="Arial" w:cs="Arial"/>
            <w:bCs/>
            <w:lang w:val="en-IN"/>
          </w:rPr>
          <w:t>https://www.fao.org/climate-smart-agriculture-sourcebook/enabling-frameworks/module-c6-gender/c6-conclusions/en/</w:t>
        </w:r>
      </w:hyperlink>
      <w:r w:rsidRPr="00A4166F">
        <w:rPr>
          <w:rFonts w:ascii="Arial" w:hAnsi="Arial" w:cs="Arial"/>
          <w:bCs/>
          <w:lang w:val="en-IN"/>
        </w:rPr>
        <w:t xml:space="preserve"> </w:t>
      </w:r>
    </w:p>
    <w:p w14:paraId="54DDD6F1" w14:textId="77777777" w:rsidR="00A4166F" w:rsidRPr="00A4166F" w:rsidRDefault="00A4166F" w:rsidP="009B5A21">
      <w:pPr>
        <w:autoSpaceDE w:val="0"/>
        <w:autoSpaceDN w:val="0"/>
        <w:adjustRightInd w:val="0"/>
        <w:ind w:hanging="1077"/>
        <w:jc w:val="both"/>
        <w:rPr>
          <w:rFonts w:ascii="Arial" w:hAnsi="Arial" w:cs="Arial"/>
          <w:bCs/>
        </w:rPr>
      </w:pPr>
    </w:p>
    <w:p w14:paraId="3B9D73AB" w14:textId="226B2FBB" w:rsidR="008A087E" w:rsidRDefault="008A087E" w:rsidP="009B5A21">
      <w:pPr>
        <w:autoSpaceDE w:val="0"/>
        <w:autoSpaceDN w:val="0"/>
        <w:adjustRightInd w:val="0"/>
        <w:ind w:hanging="1077"/>
        <w:jc w:val="both"/>
        <w:rPr>
          <w:rFonts w:ascii="Arial" w:hAnsi="Arial" w:cs="Arial"/>
          <w:bCs/>
        </w:rPr>
      </w:pPr>
    </w:p>
    <w:p w14:paraId="0512CCCA" w14:textId="77777777" w:rsidR="008A087E" w:rsidRPr="008A087E" w:rsidRDefault="008A087E" w:rsidP="009B5A21">
      <w:pPr>
        <w:autoSpaceDE w:val="0"/>
        <w:autoSpaceDN w:val="0"/>
        <w:adjustRightInd w:val="0"/>
        <w:ind w:hanging="1077"/>
        <w:jc w:val="both"/>
        <w:rPr>
          <w:rFonts w:ascii="Arial" w:hAnsi="Arial" w:cs="Arial"/>
          <w:bCs/>
        </w:rPr>
      </w:pPr>
    </w:p>
    <w:p w14:paraId="3D2B81D5" w14:textId="006FC9B9" w:rsidR="008A087E" w:rsidRPr="008A087E" w:rsidRDefault="008A087E" w:rsidP="009B5A21">
      <w:pPr>
        <w:autoSpaceDE w:val="0"/>
        <w:autoSpaceDN w:val="0"/>
        <w:adjustRightInd w:val="0"/>
        <w:ind w:hanging="1077"/>
        <w:jc w:val="both"/>
        <w:rPr>
          <w:rFonts w:ascii="Arial" w:hAnsi="Arial" w:cs="Arial"/>
          <w:bCs/>
        </w:rPr>
      </w:pPr>
    </w:p>
    <w:p w14:paraId="69CD8CE5" w14:textId="4E2AC234" w:rsidR="008A087E" w:rsidRPr="008A087E" w:rsidRDefault="008A087E" w:rsidP="009B5A21">
      <w:pPr>
        <w:pStyle w:val="Appendix"/>
        <w:spacing w:after="0" w:line="276" w:lineRule="auto"/>
        <w:ind w:hanging="1077"/>
        <w:jc w:val="both"/>
        <w:rPr>
          <w:rFonts w:ascii="Arial" w:hAnsi="Arial" w:cs="Arial"/>
          <w:b w:val="0"/>
        </w:rPr>
      </w:pPr>
    </w:p>
    <w:sectPr w:rsidR="008A087E" w:rsidRPr="008A087E" w:rsidSect="00E07EBF">
      <w:headerReference w:type="even" r:id="rId29"/>
      <w:headerReference w:type="default" r:id="rId30"/>
      <w:footerReference w:type="default" r:id="rId31"/>
      <w:headerReference w:type="firs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BCD0" w14:textId="77777777" w:rsidR="00A9519A" w:rsidRDefault="00A9519A" w:rsidP="00C37E61">
      <w:r>
        <w:separator/>
      </w:r>
    </w:p>
  </w:endnote>
  <w:endnote w:type="continuationSeparator" w:id="0">
    <w:p w14:paraId="187489D3" w14:textId="77777777" w:rsidR="00A9519A" w:rsidRDefault="00A951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28A2" w14:textId="77777777" w:rsidR="001C2F6A" w:rsidRDefault="001C2F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BD16" w14:textId="77777777" w:rsidR="001C2F6A" w:rsidRDefault="001C2F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F0F8" w14:textId="73EF9C5A" w:rsidR="00754C9A" w:rsidRPr="00467904" w:rsidRDefault="00754C9A" w:rsidP="0046790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BA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893C" w14:textId="77777777" w:rsidR="00A9519A" w:rsidRDefault="00A9519A" w:rsidP="00C37E61">
      <w:r>
        <w:separator/>
      </w:r>
    </w:p>
  </w:footnote>
  <w:footnote w:type="continuationSeparator" w:id="0">
    <w:p w14:paraId="7CE3DA54" w14:textId="77777777" w:rsidR="00A9519A" w:rsidRDefault="00A9519A"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5E68" w14:textId="75E083D0" w:rsidR="001C2F6A" w:rsidRDefault="00A9519A">
    <w:pPr>
      <w:pStyle w:val="Header"/>
    </w:pPr>
    <w:r>
      <w:rPr>
        <w:noProof/>
      </w:rPr>
      <w:pict w14:anchorId="56C59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40BE" w14:textId="6375A247" w:rsidR="001C2F6A" w:rsidRDefault="00A9519A">
    <w:pPr>
      <w:pStyle w:val="Header"/>
    </w:pPr>
    <w:r>
      <w:rPr>
        <w:noProof/>
      </w:rPr>
      <w:pict w14:anchorId="112C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E1E" w14:textId="7E2BB4CD" w:rsidR="00296529" w:rsidRPr="00296529" w:rsidRDefault="00A9519A" w:rsidP="00296529">
    <w:pPr>
      <w:ind w:left="2160"/>
      <w:jc w:val="center"/>
      <w:rPr>
        <w:rFonts w:ascii="Times New Roman" w:eastAsia="Calibri" w:hAnsi="Times New Roman"/>
        <w:i/>
        <w:sz w:val="18"/>
        <w:szCs w:val="22"/>
      </w:rPr>
    </w:pPr>
    <w:r>
      <w:rPr>
        <w:noProof/>
      </w:rPr>
      <w:pict w14:anchorId="73AAE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4B25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EB4A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8BE7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4544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5C07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9CE0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EF44" w14:textId="058CA519" w:rsidR="001C2F6A" w:rsidRDefault="00A9519A">
    <w:pPr>
      <w:pStyle w:val="Header"/>
    </w:pPr>
    <w:r>
      <w:rPr>
        <w:noProof/>
      </w:rPr>
      <w:pict w14:anchorId="1785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9"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53A6" w14:textId="214685C4" w:rsidR="001C2F6A" w:rsidRDefault="00A9519A">
    <w:pPr>
      <w:pStyle w:val="Header"/>
    </w:pPr>
    <w:r>
      <w:rPr>
        <w:noProof/>
      </w:rPr>
      <w:pict w14:anchorId="0F614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70"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7754" w14:textId="39399C49" w:rsidR="001C2F6A" w:rsidRDefault="00A9519A">
    <w:pPr>
      <w:pStyle w:val="Header"/>
    </w:pPr>
    <w:r>
      <w:rPr>
        <w:noProof/>
      </w:rPr>
      <w:pict w14:anchorId="4A339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8"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3FF2"/>
    <w:rsid w:val="00083E81"/>
    <w:rsid w:val="0009235D"/>
    <w:rsid w:val="000A47FA"/>
    <w:rsid w:val="000A65D3"/>
    <w:rsid w:val="000B1E33"/>
    <w:rsid w:val="000C639C"/>
    <w:rsid w:val="000C7017"/>
    <w:rsid w:val="000D689F"/>
    <w:rsid w:val="000E5ACB"/>
    <w:rsid w:val="000E7B7B"/>
    <w:rsid w:val="000E7D62"/>
    <w:rsid w:val="00103357"/>
    <w:rsid w:val="00123C9F"/>
    <w:rsid w:val="00126190"/>
    <w:rsid w:val="00130F17"/>
    <w:rsid w:val="001320BF"/>
    <w:rsid w:val="0014070F"/>
    <w:rsid w:val="00163BC4"/>
    <w:rsid w:val="00166B85"/>
    <w:rsid w:val="00191062"/>
    <w:rsid w:val="00192B72"/>
    <w:rsid w:val="001A29D8"/>
    <w:rsid w:val="001A5CAA"/>
    <w:rsid w:val="001B0427"/>
    <w:rsid w:val="001C2F6A"/>
    <w:rsid w:val="001D3A51"/>
    <w:rsid w:val="001D3F04"/>
    <w:rsid w:val="001D4C13"/>
    <w:rsid w:val="001D4DB4"/>
    <w:rsid w:val="001E10D2"/>
    <w:rsid w:val="001E25B4"/>
    <w:rsid w:val="001E44FE"/>
    <w:rsid w:val="001E66FD"/>
    <w:rsid w:val="001F7E96"/>
    <w:rsid w:val="00200595"/>
    <w:rsid w:val="00204835"/>
    <w:rsid w:val="00214924"/>
    <w:rsid w:val="00231920"/>
    <w:rsid w:val="0023195C"/>
    <w:rsid w:val="00242602"/>
    <w:rsid w:val="0024282C"/>
    <w:rsid w:val="002460DC"/>
    <w:rsid w:val="00250985"/>
    <w:rsid w:val="002556F6"/>
    <w:rsid w:val="0025797A"/>
    <w:rsid w:val="00283105"/>
    <w:rsid w:val="00284C4C"/>
    <w:rsid w:val="00287E68"/>
    <w:rsid w:val="00296529"/>
    <w:rsid w:val="002B27FB"/>
    <w:rsid w:val="002B60E8"/>
    <w:rsid w:val="002B685A"/>
    <w:rsid w:val="002C57D2"/>
    <w:rsid w:val="002D5CF0"/>
    <w:rsid w:val="002E0D47"/>
    <w:rsid w:val="002E0D56"/>
    <w:rsid w:val="00307682"/>
    <w:rsid w:val="003147E5"/>
    <w:rsid w:val="00315186"/>
    <w:rsid w:val="00315C8D"/>
    <w:rsid w:val="0033343E"/>
    <w:rsid w:val="00340E62"/>
    <w:rsid w:val="003512C2"/>
    <w:rsid w:val="0037067D"/>
    <w:rsid w:val="00371FB6"/>
    <w:rsid w:val="00374A86"/>
    <w:rsid w:val="003763C1"/>
    <w:rsid w:val="00376BBE"/>
    <w:rsid w:val="0039224F"/>
    <w:rsid w:val="003A43A4"/>
    <w:rsid w:val="003A7E18"/>
    <w:rsid w:val="003B79BB"/>
    <w:rsid w:val="003C0D46"/>
    <w:rsid w:val="003C4C86"/>
    <w:rsid w:val="003C6258"/>
    <w:rsid w:val="003E2904"/>
    <w:rsid w:val="003F6DB3"/>
    <w:rsid w:val="00401927"/>
    <w:rsid w:val="0041027F"/>
    <w:rsid w:val="00412475"/>
    <w:rsid w:val="00423789"/>
    <w:rsid w:val="00440F43"/>
    <w:rsid w:val="00441B6F"/>
    <w:rsid w:val="00446221"/>
    <w:rsid w:val="00450E62"/>
    <w:rsid w:val="004539DB"/>
    <w:rsid w:val="00467904"/>
    <w:rsid w:val="00471A80"/>
    <w:rsid w:val="004C3D74"/>
    <w:rsid w:val="004D305E"/>
    <w:rsid w:val="004D4277"/>
    <w:rsid w:val="004D7BFA"/>
    <w:rsid w:val="00502516"/>
    <w:rsid w:val="00505F06"/>
    <w:rsid w:val="0050604B"/>
    <w:rsid w:val="00506828"/>
    <w:rsid w:val="00527752"/>
    <w:rsid w:val="0053056E"/>
    <w:rsid w:val="00542687"/>
    <w:rsid w:val="00554FDA"/>
    <w:rsid w:val="00577CA1"/>
    <w:rsid w:val="005A0EA0"/>
    <w:rsid w:val="005B7856"/>
    <w:rsid w:val="005C5C88"/>
    <w:rsid w:val="005C784C"/>
    <w:rsid w:val="005D17F6"/>
    <w:rsid w:val="005E4032"/>
    <w:rsid w:val="005E5539"/>
    <w:rsid w:val="00602BF5"/>
    <w:rsid w:val="00617FDD"/>
    <w:rsid w:val="00633614"/>
    <w:rsid w:val="00633F68"/>
    <w:rsid w:val="00636EB2"/>
    <w:rsid w:val="006375B8"/>
    <w:rsid w:val="00657878"/>
    <w:rsid w:val="0066510A"/>
    <w:rsid w:val="00673F9F"/>
    <w:rsid w:val="00686953"/>
    <w:rsid w:val="00687DEA"/>
    <w:rsid w:val="00687E67"/>
    <w:rsid w:val="006967F7"/>
    <w:rsid w:val="006A250C"/>
    <w:rsid w:val="006B21D3"/>
    <w:rsid w:val="006B57D0"/>
    <w:rsid w:val="006D30FF"/>
    <w:rsid w:val="006D6940"/>
    <w:rsid w:val="006D7162"/>
    <w:rsid w:val="006F11EC"/>
    <w:rsid w:val="006F26CD"/>
    <w:rsid w:val="006F28DF"/>
    <w:rsid w:val="0070082C"/>
    <w:rsid w:val="0070677E"/>
    <w:rsid w:val="00723332"/>
    <w:rsid w:val="007369E6"/>
    <w:rsid w:val="00746E59"/>
    <w:rsid w:val="00754C9A"/>
    <w:rsid w:val="0075599A"/>
    <w:rsid w:val="00761D52"/>
    <w:rsid w:val="00762AAE"/>
    <w:rsid w:val="0077749E"/>
    <w:rsid w:val="007878CF"/>
    <w:rsid w:val="00790ADA"/>
    <w:rsid w:val="007B75FB"/>
    <w:rsid w:val="007D2288"/>
    <w:rsid w:val="007E088F"/>
    <w:rsid w:val="007F7B32"/>
    <w:rsid w:val="00804BC2"/>
    <w:rsid w:val="0081431A"/>
    <w:rsid w:val="0083216F"/>
    <w:rsid w:val="0085438E"/>
    <w:rsid w:val="00860000"/>
    <w:rsid w:val="00863BD3"/>
    <w:rsid w:val="008641ED"/>
    <w:rsid w:val="00866D66"/>
    <w:rsid w:val="008671C6"/>
    <w:rsid w:val="00875803"/>
    <w:rsid w:val="00893806"/>
    <w:rsid w:val="00897907"/>
    <w:rsid w:val="008A087E"/>
    <w:rsid w:val="008B459E"/>
    <w:rsid w:val="008D49CF"/>
    <w:rsid w:val="008E13AE"/>
    <w:rsid w:val="008E1506"/>
    <w:rsid w:val="008E710C"/>
    <w:rsid w:val="008F69D6"/>
    <w:rsid w:val="00902823"/>
    <w:rsid w:val="00912760"/>
    <w:rsid w:val="00915CA6"/>
    <w:rsid w:val="00927834"/>
    <w:rsid w:val="00934BC1"/>
    <w:rsid w:val="009419E3"/>
    <w:rsid w:val="009500A6"/>
    <w:rsid w:val="00957522"/>
    <w:rsid w:val="00957C18"/>
    <w:rsid w:val="009659BA"/>
    <w:rsid w:val="00981F88"/>
    <w:rsid w:val="00983040"/>
    <w:rsid w:val="00997576"/>
    <w:rsid w:val="009A467A"/>
    <w:rsid w:val="009B3FB9"/>
    <w:rsid w:val="009B5A21"/>
    <w:rsid w:val="009C0631"/>
    <w:rsid w:val="009C11A7"/>
    <w:rsid w:val="009C2465"/>
    <w:rsid w:val="009D35A0"/>
    <w:rsid w:val="009D7EB7"/>
    <w:rsid w:val="009E048A"/>
    <w:rsid w:val="009E08E9"/>
    <w:rsid w:val="009E2B9E"/>
    <w:rsid w:val="009E3DB9"/>
    <w:rsid w:val="009E6E35"/>
    <w:rsid w:val="009F0EDA"/>
    <w:rsid w:val="00A03B96"/>
    <w:rsid w:val="00A05B19"/>
    <w:rsid w:val="00A1134E"/>
    <w:rsid w:val="00A24E7E"/>
    <w:rsid w:val="00A258C3"/>
    <w:rsid w:val="00A347C0"/>
    <w:rsid w:val="00A3519F"/>
    <w:rsid w:val="00A4166F"/>
    <w:rsid w:val="00A51431"/>
    <w:rsid w:val="00A539AD"/>
    <w:rsid w:val="00A55C4B"/>
    <w:rsid w:val="00A65C18"/>
    <w:rsid w:val="00A94063"/>
    <w:rsid w:val="00A9519A"/>
    <w:rsid w:val="00AA3EB9"/>
    <w:rsid w:val="00AA6219"/>
    <w:rsid w:val="00AA74E0"/>
    <w:rsid w:val="00AB703F"/>
    <w:rsid w:val="00AC6BB8"/>
    <w:rsid w:val="00AE008F"/>
    <w:rsid w:val="00AF0C4F"/>
    <w:rsid w:val="00B01FCD"/>
    <w:rsid w:val="00B1776C"/>
    <w:rsid w:val="00B200F6"/>
    <w:rsid w:val="00B21E20"/>
    <w:rsid w:val="00B2477F"/>
    <w:rsid w:val="00B35142"/>
    <w:rsid w:val="00B52583"/>
    <w:rsid w:val="00B52896"/>
    <w:rsid w:val="00B83570"/>
    <w:rsid w:val="00B90DAE"/>
    <w:rsid w:val="00B95236"/>
    <w:rsid w:val="00B96BD9"/>
    <w:rsid w:val="00BA1B01"/>
    <w:rsid w:val="00BA2641"/>
    <w:rsid w:val="00BA3DC4"/>
    <w:rsid w:val="00BB37AA"/>
    <w:rsid w:val="00BC53A0"/>
    <w:rsid w:val="00BD1D00"/>
    <w:rsid w:val="00BE1FE0"/>
    <w:rsid w:val="00BE62AD"/>
    <w:rsid w:val="00BF121F"/>
    <w:rsid w:val="00BF1F80"/>
    <w:rsid w:val="00C131C8"/>
    <w:rsid w:val="00C166EF"/>
    <w:rsid w:val="00C17EB0"/>
    <w:rsid w:val="00C23BE8"/>
    <w:rsid w:val="00C244FB"/>
    <w:rsid w:val="00C27F5F"/>
    <w:rsid w:val="00C30A0F"/>
    <w:rsid w:val="00C37E61"/>
    <w:rsid w:val="00C70F1B"/>
    <w:rsid w:val="00C71A47"/>
    <w:rsid w:val="00C7464C"/>
    <w:rsid w:val="00C85588"/>
    <w:rsid w:val="00CD38D6"/>
    <w:rsid w:val="00CD6755"/>
    <w:rsid w:val="00CD6856"/>
    <w:rsid w:val="00CE0089"/>
    <w:rsid w:val="00CE793C"/>
    <w:rsid w:val="00CF193C"/>
    <w:rsid w:val="00D173F1"/>
    <w:rsid w:val="00D23C25"/>
    <w:rsid w:val="00D74CB0"/>
    <w:rsid w:val="00D8295D"/>
    <w:rsid w:val="00DA4993"/>
    <w:rsid w:val="00DA5C63"/>
    <w:rsid w:val="00DA60E7"/>
    <w:rsid w:val="00DC2A65"/>
    <w:rsid w:val="00DC77A8"/>
    <w:rsid w:val="00DD372C"/>
    <w:rsid w:val="00DE15F0"/>
    <w:rsid w:val="00DE5663"/>
    <w:rsid w:val="00DE78AA"/>
    <w:rsid w:val="00E053D0"/>
    <w:rsid w:val="00E07EBF"/>
    <w:rsid w:val="00E15994"/>
    <w:rsid w:val="00E175D9"/>
    <w:rsid w:val="00E3114E"/>
    <w:rsid w:val="00E31A70"/>
    <w:rsid w:val="00E35B02"/>
    <w:rsid w:val="00E36FD9"/>
    <w:rsid w:val="00E43E3D"/>
    <w:rsid w:val="00E47F80"/>
    <w:rsid w:val="00E66496"/>
    <w:rsid w:val="00E66B35"/>
    <w:rsid w:val="00E66E10"/>
    <w:rsid w:val="00E74280"/>
    <w:rsid w:val="00E769F6"/>
    <w:rsid w:val="00E8407C"/>
    <w:rsid w:val="00E84F3C"/>
    <w:rsid w:val="00EA012C"/>
    <w:rsid w:val="00EC6A55"/>
    <w:rsid w:val="00EC76DA"/>
    <w:rsid w:val="00ED0288"/>
    <w:rsid w:val="00EE52CB"/>
    <w:rsid w:val="00EF37B8"/>
    <w:rsid w:val="00EF581D"/>
    <w:rsid w:val="00EF5EA8"/>
    <w:rsid w:val="00EF7FD8"/>
    <w:rsid w:val="00F02498"/>
    <w:rsid w:val="00F06F59"/>
    <w:rsid w:val="00F177F2"/>
    <w:rsid w:val="00F17988"/>
    <w:rsid w:val="00F469F0"/>
    <w:rsid w:val="00F53273"/>
    <w:rsid w:val="00F73735"/>
    <w:rsid w:val="00F755E4"/>
    <w:rsid w:val="00F77D02"/>
    <w:rsid w:val="00FB1737"/>
    <w:rsid w:val="00FB3A86"/>
    <w:rsid w:val="00FD1A76"/>
    <w:rsid w:val="00FD36C8"/>
    <w:rsid w:val="00FE7197"/>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519B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semiHidden/>
    <w:unhideWhenUsed/>
    <w:qFormat/>
    <w:rsid w:val="007B75FB"/>
    <w:pPr>
      <w:spacing w:after="200"/>
    </w:pPr>
    <w:rPr>
      <w:i/>
      <w:iCs/>
      <w:color w:val="1F497D" w:themeColor="text2"/>
      <w:sz w:val="18"/>
      <w:szCs w:val="18"/>
    </w:rPr>
  </w:style>
  <w:style w:type="table" w:customStyle="1" w:styleId="PlainTable11">
    <w:name w:val="Plain Table 11"/>
    <w:basedOn w:val="TableNormal"/>
    <w:uiPriority w:val="41"/>
    <w:rsid w:val="005C5C88"/>
    <w:rPr>
      <w:rFonts w:ascii="Calibri" w:eastAsia="Calibri" w:hAnsi="Calibri" w:cs="Vrinda"/>
      <w:kern w:val="2"/>
      <w:sz w:val="22"/>
      <w:szCs w:val="22"/>
      <w:lang w:val="en-IN"/>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C5C88"/>
    <w:rPr>
      <w:rFonts w:ascii="Calibri" w:eastAsia="Calibri" w:hAnsi="Calibri" w:cs="Vrinda"/>
      <w:kern w:val="2"/>
      <w:sz w:val="22"/>
      <w:szCs w:val="2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07E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07E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E0D47"/>
    <w:rPr>
      <w:b/>
      <w:bCs/>
    </w:rPr>
  </w:style>
  <w:style w:type="table" w:customStyle="1" w:styleId="PlainTable41">
    <w:name w:val="Plain Table 41"/>
    <w:basedOn w:val="TableNormal"/>
    <w:next w:val="PlainTable4"/>
    <w:uiPriority w:val="44"/>
    <w:rsid w:val="000C70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242602"/>
    <w:pPr>
      <w:spacing w:before="100" w:beforeAutospacing="1" w:after="100" w:afterAutospacing="1"/>
    </w:pPr>
    <w:rPr>
      <w:rFonts w:ascii="Times New Roman" w:hAnsi="Times New Roman"/>
      <w:sz w:val="24"/>
      <w:szCs w:val="24"/>
      <w:lang w:val="en-IN" w:eastAsia="en-IN"/>
    </w:rPr>
  </w:style>
  <w:style w:type="character" w:customStyle="1" w:styleId="ms-1">
    <w:name w:val="ms-1"/>
    <w:basedOn w:val="DefaultParagraphFont"/>
    <w:rsid w:val="00242602"/>
  </w:style>
  <w:style w:type="character" w:customStyle="1" w:styleId="max-w-full">
    <w:name w:val="max-w-full"/>
    <w:basedOn w:val="DefaultParagraphFont"/>
    <w:rsid w:val="00242602"/>
  </w:style>
  <w:style w:type="character" w:customStyle="1" w:styleId="url">
    <w:name w:val="url"/>
    <w:basedOn w:val="DefaultParagraphFont"/>
    <w:rsid w:val="0014070F"/>
  </w:style>
  <w:style w:type="character" w:customStyle="1" w:styleId="UnresolvedMention">
    <w:name w:val="Unresolved Mention"/>
    <w:basedOn w:val="DefaultParagraphFont"/>
    <w:uiPriority w:val="99"/>
    <w:semiHidden/>
    <w:unhideWhenUsed/>
    <w:rsid w:val="0025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43769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3392478">
      <w:bodyDiv w:val="1"/>
      <w:marLeft w:val="0"/>
      <w:marRight w:val="0"/>
      <w:marTop w:val="0"/>
      <w:marBottom w:val="0"/>
      <w:divBdr>
        <w:top w:val="none" w:sz="0" w:space="0" w:color="auto"/>
        <w:left w:val="none" w:sz="0" w:space="0" w:color="auto"/>
        <w:bottom w:val="none" w:sz="0" w:space="0" w:color="auto"/>
        <w:right w:val="none" w:sz="0" w:space="0" w:color="auto"/>
      </w:divBdr>
      <w:divsChild>
        <w:div w:id="1752312420">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38065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718673">
      <w:bodyDiv w:val="1"/>
      <w:marLeft w:val="0"/>
      <w:marRight w:val="0"/>
      <w:marTop w:val="0"/>
      <w:marBottom w:val="0"/>
      <w:divBdr>
        <w:top w:val="none" w:sz="0" w:space="0" w:color="auto"/>
        <w:left w:val="none" w:sz="0" w:space="0" w:color="auto"/>
        <w:bottom w:val="none" w:sz="0" w:space="0" w:color="auto"/>
        <w:right w:val="none" w:sz="0" w:space="0" w:color="auto"/>
      </w:divBdr>
      <w:divsChild>
        <w:div w:id="1920208430">
          <w:marLeft w:val="-720"/>
          <w:marRight w:val="0"/>
          <w:marTop w:val="0"/>
          <w:marBottom w:val="0"/>
          <w:divBdr>
            <w:top w:val="none" w:sz="0" w:space="0" w:color="auto"/>
            <w:left w:val="none" w:sz="0" w:space="0" w:color="auto"/>
            <w:bottom w:val="none" w:sz="0" w:space="0" w:color="auto"/>
            <w:right w:val="none" w:sz="0" w:space="0" w:color="auto"/>
          </w:divBdr>
        </w:div>
      </w:divsChild>
    </w:div>
    <w:div w:id="2088335958">
      <w:bodyDiv w:val="1"/>
      <w:marLeft w:val="0"/>
      <w:marRight w:val="0"/>
      <w:marTop w:val="0"/>
      <w:marBottom w:val="0"/>
      <w:divBdr>
        <w:top w:val="none" w:sz="0" w:space="0" w:color="auto"/>
        <w:left w:val="none" w:sz="0" w:space="0" w:color="auto"/>
        <w:bottom w:val="none" w:sz="0" w:space="0" w:color="auto"/>
        <w:right w:val="none" w:sz="0" w:space="0" w:color="auto"/>
      </w:divBdr>
      <w:divsChild>
        <w:div w:id="6028841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3983/ijmds.v13n11.009" TargetMode="External"/><Relationship Id="rId26" Type="http://schemas.openxmlformats.org/officeDocument/2006/relationships/hyperlink" Target="https://doi.org/10.3390/agriculture12081161" TargetMode="External"/><Relationship Id="rId3" Type="http://schemas.openxmlformats.org/officeDocument/2006/relationships/styles" Target="styles.xml"/><Relationship Id="rId21" Type="http://schemas.openxmlformats.org/officeDocument/2006/relationships/hyperlink" Target="https://doi.org/10.1007/s43621-025-01711-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igerprints.clemson.edu/joe/vol50/iss2/2" TargetMode="External"/><Relationship Id="rId25" Type="http://schemas.openxmlformats.org/officeDocument/2006/relationships/hyperlink" Target="https://doi.org/10.2499/p15738coll2.13705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fpri.org/blog/international-rural-womens-day-2022-reaching-women-farmers-information-climate-smart/?utm_source=chatgpt.com" TargetMode="External"/><Relationship Id="rId20" Type="http://schemas.openxmlformats.org/officeDocument/2006/relationships/hyperlink" Target="https://doi.org/10.1111/1467-7660.0012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dl.handle.net/10568/139768"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krishikosh.egranth.ac.in/handle/1/5810026934" TargetMode="External"/><Relationship Id="rId23" Type="http://schemas.openxmlformats.org/officeDocument/2006/relationships/hyperlink" Target="https://hdl.handle.net/10568/126986" TargetMode="External"/><Relationship Id="rId28" Type="http://schemas.openxmlformats.org/officeDocument/2006/relationships/hyperlink" Target="https://www.fao.org/climate-smart-agriculture-sourcebook/enabling-frameworks/module-c6-gender/c6-conclusions/en/" TargetMode="External"/><Relationship Id="rId10" Type="http://schemas.openxmlformats.org/officeDocument/2006/relationships/footer" Target="footer1.xml"/><Relationship Id="rId19" Type="http://schemas.openxmlformats.org/officeDocument/2006/relationships/hyperlink" Target="https://www.nicra-icar.in"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499/9780896291904" TargetMode="External"/><Relationship Id="rId27" Type="http://schemas.openxmlformats.org/officeDocument/2006/relationships/hyperlink" Target="https://doi.org/10.48165/ijee.2022.58139"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4A24-ABB1-4DB4-A79A-30D5C08E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9</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ismail - [2010]</cp:lastModifiedBy>
  <cp:revision>67</cp:revision>
  <cp:lastPrinted>2025-09-02T10:08:00Z</cp:lastPrinted>
  <dcterms:created xsi:type="dcterms:W3CDTF">2025-09-09T12:55:00Z</dcterms:created>
  <dcterms:modified xsi:type="dcterms:W3CDTF">2025-09-19T23:02:00Z</dcterms:modified>
</cp:coreProperties>
</file>