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D35" w:rsidRPr="00427D79" w:rsidRDefault="004D2D35" w:rsidP="004D2D35">
      <w:pPr>
        <w:spacing w:before="100" w:beforeAutospacing="1" w:after="100" w:afterAutospacing="1"/>
        <w:jc w:val="center"/>
        <w:rPr>
          <w:rFonts w:ascii="Times New Roman" w:hAnsi="Times New Roman" w:cs="Times New Roman"/>
          <w:b/>
          <w:bCs/>
          <w:sz w:val="28"/>
          <w:szCs w:val="20"/>
        </w:rPr>
      </w:pPr>
      <w:r w:rsidRPr="00427D79">
        <w:rPr>
          <w:rFonts w:ascii="Times New Roman" w:hAnsi="Times New Roman" w:cs="Times New Roman"/>
          <w:b/>
          <w:bCs/>
          <w:sz w:val="28"/>
          <w:szCs w:val="20"/>
        </w:rPr>
        <w:t xml:space="preserve">Assessment of Biomass and Carbon Sequestration Potential in Diverse Forest Types of the </w:t>
      </w:r>
      <w:proofErr w:type="spellStart"/>
      <w:r w:rsidRPr="00427D79">
        <w:rPr>
          <w:rFonts w:ascii="Times New Roman" w:hAnsi="Times New Roman" w:cs="Times New Roman"/>
          <w:b/>
          <w:bCs/>
          <w:sz w:val="28"/>
          <w:szCs w:val="20"/>
        </w:rPr>
        <w:t>Sirsi</w:t>
      </w:r>
      <w:proofErr w:type="spellEnd"/>
      <w:r w:rsidRPr="00427D79">
        <w:rPr>
          <w:rFonts w:ascii="Times New Roman" w:hAnsi="Times New Roman" w:cs="Times New Roman"/>
          <w:b/>
          <w:bCs/>
          <w:sz w:val="28"/>
          <w:szCs w:val="20"/>
        </w:rPr>
        <w:t xml:space="preserve"> Forest Range</w:t>
      </w:r>
    </w:p>
    <w:p w:rsidR="0026322A" w:rsidRPr="00427D79" w:rsidRDefault="0026322A" w:rsidP="00427D79">
      <w:pPr>
        <w:spacing w:after="0" w:line="240" w:lineRule="auto"/>
        <w:ind w:right="855"/>
        <w:rPr>
          <w:rFonts w:ascii="Times New Roman" w:hAnsi="Times New Roman" w:cs="Times New Roman"/>
          <w:sz w:val="24"/>
        </w:rPr>
      </w:pPr>
      <w:bookmarkStart w:id="0" w:name="_GoBack"/>
      <w:bookmarkEnd w:id="0"/>
    </w:p>
    <w:p w:rsidR="0026322A" w:rsidRDefault="005141CF">
      <w:pPr>
        <w:spacing w:line="480" w:lineRule="auto"/>
        <w:ind w:right="855"/>
        <w:jc w:val="center"/>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Abstract</w:t>
      </w:r>
    </w:p>
    <w:p w:rsidR="0026322A" w:rsidRDefault="005141CF">
      <w:pPr>
        <w:spacing w:before="100" w:beforeAutospacing="1" w:after="100" w:afterAutospacing="1" w:line="360" w:lineRule="auto"/>
        <w:ind w:right="273"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Forests play a vital role in regulating biodiversity and global carbon cycles through their capacity to store and sequester carbon. The present study assessed biomass production and carbon sequestration in moist deciduous and semi-evergreen forests of the </w:t>
      </w:r>
      <w:proofErr w:type="spellStart"/>
      <w:r>
        <w:rPr>
          <w:rFonts w:ascii="Times New Roman" w:eastAsia="Times New Roman" w:hAnsi="Times New Roman" w:cs="Times New Roman"/>
          <w:sz w:val="24"/>
          <w:szCs w:val="24"/>
          <w:lang w:val="en-IN" w:eastAsia="en-IN"/>
        </w:rPr>
        <w:t>Sirsi</w:t>
      </w:r>
      <w:proofErr w:type="spellEnd"/>
      <w:r>
        <w:rPr>
          <w:rFonts w:ascii="Times New Roman" w:eastAsia="Times New Roman" w:hAnsi="Times New Roman" w:cs="Times New Roman"/>
          <w:sz w:val="24"/>
          <w:szCs w:val="24"/>
          <w:lang w:val="en-IN" w:eastAsia="en-IN"/>
        </w:rPr>
        <w:t xml:space="preserve"> Forest Range, Uttara Kannada district, Karnataka, a biodiversity hotspot in the central Western Ghats. Using quadrat sampling (20 × 20 m; 68 plots), all trees with ≥30 cm girth were measured for girth and height. Aboveground biomass (AGB) was estimated from volume and species-specific wood density, while belowground biomass (BGB) was derived as 27% of AGB. Results revealed significant differences between forest types. Semi-evergreen forests exhibited higher basal area (35.39 m² ha⁻¹) compared to moist deciduous forests (24.24 m² ha⁻¹). Tree volume reached 629.85 m³ ha⁻¹ in semi-evergreen stands versus 260.26 m³ ha⁻¹ in moist deciduous forests. AGB was 337.53 Mg ha⁻¹ in semi-evergreen and 165.54 Mg ha⁻¹ in moist deciduous systems. Corresponding BGB values were 91.13 Mg ha⁻¹ and 44.69 Mg ha⁻¹, resulting in total biomass of 428.66 Mg ha⁻¹ and 210.23 Mg ha⁻¹, respectively. Carbon stock, calculated as 47% of total biomass, was nearly double in semi-evergreen forests (201.47 Mg ha⁻¹) compared to moist deciduous forests (98.81 Mg ha⁻¹). These findings highlight the superior carbon sequestration potential of semi-evergreen forests and underscore their importance for climate change mitigation and biodiversity conservation.</w:t>
      </w:r>
    </w:p>
    <w:p w:rsidR="0026322A" w:rsidRPr="00427D79" w:rsidRDefault="005141CF" w:rsidP="00427D79">
      <w:pPr>
        <w:spacing w:before="100" w:beforeAutospacing="1" w:after="100" w:afterAutospacing="1" w:line="36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Keywords:</w:t>
      </w:r>
      <w:r>
        <w:rPr>
          <w:rFonts w:ascii="Times New Roman" w:eastAsia="Times New Roman" w:hAnsi="Times New Roman" w:cs="Times New Roman"/>
          <w:sz w:val="24"/>
          <w:szCs w:val="24"/>
          <w:lang w:val="en-IN" w:eastAsia="en-IN"/>
        </w:rPr>
        <w:t xml:space="preserve"> Biomass production, Carbon sequestration, Semi-evergreen forests, Moist deciduous forests, Western Ghats</w:t>
      </w:r>
    </w:p>
    <w:p w:rsidR="0026322A" w:rsidRPr="00427D79" w:rsidRDefault="005141CF">
      <w:pPr>
        <w:spacing w:line="480" w:lineRule="auto"/>
        <w:ind w:left="567" w:right="273"/>
        <w:jc w:val="both"/>
        <w:rPr>
          <w:rFonts w:ascii="Times New Roman" w:hAnsi="Times New Roman" w:cs="Times New Roman"/>
          <w:sz w:val="24"/>
          <w:szCs w:val="24"/>
        </w:rPr>
      </w:pPr>
      <w:r w:rsidRPr="00427D79">
        <w:rPr>
          <w:rFonts w:ascii="Times New Roman" w:hAnsi="Times New Roman" w:cs="Times New Roman"/>
          <w:b/>
          <w:bCs/>
          <w:sz w:val="24"/>
          <w:szCs w:val="24"/>
        </w:rPr>
        <w:t>Introduction</w:t>
      </w:r>
    </w:p>
    <w:p w:rsidR="0026322A" w:rsidRDefault="005141CF" w:rsidP="00427D79">
      <w:pPr>
        <w:spacing w:before="100" w:beforeAutospacing="1" w:after="100" w:afterAutospacing="1" w:line="480" w:lineRule="auto"/>
        <w:ind w:right="273" w:firstLine="567"/>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Forests constitute an indispensable component of the Earth’s terrestrial ecosystems, occupying nearly 30 per cent of the global land surface (Anon, 2011). They serve as critical habitats for innumerable species and function as regulators of the global climate system. Through the process of photosynthesis, forests absorb atmospheric carbon dioxide (CO₂) and transform it into organic matter stored in biomass, thereby acting as significant carbon sinks. Globally, forest ecosystems store more than 80 per cent of aboveground carbon and approximately 40 per cent of belowground carbon (Dixon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1994). Forests also mitigate climate change by absorbing about 29 per cent of CO₂ emissions generated from fossil fuel </w:t>
      </w:r>
      <w:r>
        <w:rPr>
          <w:rFonts w:ascii="Times New Roman" w:eastAsia="Times New Roman" w:hAnsi="Times New Roman" w:cs="Times New Roman"/>
          <w:sz w:val="24"/>
          <w:szCs w:val="24"/>
          <w:lang w:val="en-IN" w:eastAsia="en-IN"/>
        </w:rPr>
        <w:lastRenderedPageBreak/>
        <w:t xml:space="preserve">combustion (Harris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2021). Current estimates suggest that forests store nearly 400 </w:t>
      </w:r>
      <w:proofErr w:type="spellStart"/>
      <w:r>
        <w:rPr>
          <w:rFonts w:ascii="Times New Roman" w:eastAsia="Times New Roman" w:hAnsi="Times New Roman" w:cs="Times New Roman"/>
          <w:sz w:val="24"/>
          <w:szCs w:val="24"/>
          <w:lang w:val="en-IN" w:eastAsia="en-IN"/>
        </w:rPr>
        <w:t>petagrams</w:t>
      </w:r>
      <w:proofErr w:type="spellEnd"/>
      <w:r>
        <w:rPr>
          <w:rFonts w:ascii="Times New Roman" w:eastAsia="Times New Roman" w:hAnsi="Times New Roman" w:cs="Times New Roman"/>
          <w:sz w:val="24"/>
          <w:szCs w:val="24"/>
          <w:lang w:val="en-IN" w:eastAsia="en-IN"/>
        </w:rPr>
        <w:t xml:space="preserve"> of carbon (</w:t>
      </w:r>
      <w:proofErr w:type="spellStart"/>
      <w:r>
        <w:rPr>
          <w:rFonts w:ascii="Times New Roman" w:eastAsia="Times New Roman" w:hAnsi="Times New Roman" w:cs="Times New Roman"/>
          <w:sz w:val="24"/>
          <w:szCs w:val="24"/>
          <w:lang w:val="en-IN" w:eastAsia="en-IN"/>
        </w:rPr>
        <w:t>PgC</w:t>
      </w:r>
      <w:proofErr w:type="spellEnd"/>
      <w:r>
        <w:rPr>
          <w:rFonts w:ascii="Times New Roman" w:eastAsia="Times New Roman" w:hAnsi="Times New Roman" w:cs="Times New Roman"/>
          <w:sz w:val="24"/>
          <w:szCs w:val="24"/>
          <w:lang w:val="en-IN" w:eastAsia="en-IN"/>
        </w:rPr>
        <w:t xml:space="preserve">) in their biomass, with the potential to sequester up to 772 </w:t>
      </w:r>
      <w:proofErr w:type="spellStart"/>
      <w:r>
        <w:rPr>
          <w:rFonts w:ascii="Times New Roman" w:eastAsia="Times New Roman" w:hAnsi="Times New Roman" w:cs="Times New Roman"/>
          <w:sz w:val="24"/>
          <w:szCs w:val="24"/>
          <w:lang w:val="en-IN" w:eastAsia="en-IN"/>
        </w:rPr>
        <w:t>PgC</w:t>
      </w:r>
      <w:proofErr w:type="spellEnd"/>
      <w:r>
        <w:rPr>
          <w:rFonts w:ascii="Times New Roman" w:eastAsia="Times New Roman" w:hAnsi="Times New Roman" w:cs="Times New Roman"/>
          <w:sz w:val="24"/>
          <w:szCs w:val="24"/>
          <w:lang w:val="en-IN" w:eastAsia="en-IN"/>
        </w:rPr>
        <w:t xml:space="preserve"> under optimal conditions (Pan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2011).</w:t>
      </w:r>
    </w:p>
    <w:p w:rsidR="0026322A" w:rsidRPr="004D2D35" w:rsidRDefault="005141CF" w:rsidP="00427D79">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 the Indian context, forests play a vital role in maintaining ecological and climatological balance. Moist deciduous forests, which occur in areas receiving 1000–2000 mm rainfall, constitute 19.73 per cent of India’s forest cover, while semi-evergreen forests, distributed in transitional zones with 1500–2500 mm rainfall, account for 13.79 per cent of forest cover (Anon, 2021). However, anthropogenic pressures, particularly greenhouse gas emissions, remain a major driver of global warming. The concept of carbon sequestration, recognized since the 1980s, emphasizes the role of forests as long-term carbon sinks (Chavan and Rasal, 2012). Yet, deforestation releases 1–2 billion tonnes of carbon annually, contributing 15–25 per cent of global greenhouse gas emissions (Malhi and Grace, 2000). International agreements such as the Kyoto Protocol (1997) and the Paris Agreement (2015) (Anon, 2023) stress emission reduction. India, with 712,249 km² of forests storing 7,124.6 million tonnes of carbon, holds significant mitigation potential, though knowledge gaps remain in biodiversity-rich regions such as the Western Ghats.</w:t>
      </w:r>
      <w:r w:rsidR="004D2D35">
        <w:rPr>
          <w:rFonts w:ascii="Times New Roman" w:eastAsia="Times New Roman" w:hAnsi="Times New Roman" w:cs="Times New Roman"/>
          <w:sz w:val="24"/>
          <w:szCs w:val="24"/>
          <w:lang w:val="en-IN" w:eastAsia="en-IN"/>
        </w:rPr>
        <w:t xml:space="preserve"> With these background present study was conducted with the following objective: </w:t>
      </w:r>
      <w:r w:rsidR="004D2D35" w:rsidRPr="004D2D35">
        <w:rPr>
          <w:rFonts w:ascii="Times New Roman" w:eastAsia="Times New Roman" w:hAnsi="Times New Roman" w:cs="Times New Roman"/>
          <w:sz w:val="24"/>
          <w:szCs w:val="24"/>
          <w:lang w:val="en-IN" w:eastAsia="en-IN"/>
        </w:rPr>
        <w:t xml:space="preserve">Assessment of Biomass and Carbon Sequestration Potential in Diverse Forest Types of the </w:t>
      </w:r>
      <w:proofErr w:type="spellStart"/>
      <w:r w:rsidR="004D2D35" w:rsidRPr="004D2D35">
        <w:rPr>
          <w:rFonts w:ascii="Times New Roman" w:eastAsia="Times New Roman" w:hAnsi="Times New Roman" w:cs="Times New Roman"/>
          <w:sz w:val="24"/>
          <w:szCs w:val="24"/>
          <w:lang w:val="en-IN" w:eastAsia="en-IN"/>
        </w:rPr>
        <w:t>Sirsi</w:t>
      </w:r>
      <w:proofErr w:type="spellEnd"/>
      <w:r w:rsidR="004D2D35" w:rsidRPr="004D2D35">
        <w:rPr>
          <w:rFonts w:ascii="Times New Roman" w:eastAsia="Times New Roman" w:hAnsi="Times New Roman" w:cs="Times New Roman"/>
          <w:sz w:val="24"/>
          <w:szCs w:val="24"/>
          <w:lang w:val="en-IN" w:eastAsia="en-IN"/>
        </w:rPr>
        <w:t xml:space="preserve"> Forest Range</w:t>
      </w:r>
    </w:p>
    <w:p w:rsidR="0026322A" w:rsidRDefault="005141CF" w:rsidP="00427D79">
      <w:pPr>
        <w:spacing w:line="480" w:lineRule="auto"/>
        <w:ind w:right="273"/>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rsidR="0026322A" w:rsidRDefault="005141CF" w:rsidP="00427D79">
      <w:pPr>
        <w:spacing w:before="100" w:beforeAutospacing="1" w:after="100" w:afterAutospacing="1" w:line="480" w:lineRule="auto"/>
        <w:ind w:right="273" w:firstLine="720"/>
        <w:jc w:val="both"/>
        <w:rPr>
          <w:rFonts w:ascii="Times New Roman" w:eastAsia="Times New Roman" w:hAnsi="Times New Roman" w:cs="Times New Roman"/>
          <w:sz w:val="24"/>
          <w:lang w:val="en-IN" w:eastAsia="en-IN"/>
        </w:rPr>
      </w:pPr>
      <w:r>
        <w:rPr>
          <w:rFonts w:ascii="Times New Roman" w:eastAsia="Times New Roman" w:hAnsi="Times New Roman" w:cs="Times New Roman"/>
          <w:sz w:val="24"/>
          <w:lang w:val="en-IN" w:eastAsia="en-IN"/>
        </w:rPr>
        <w:t xml:space="preserve">The present investigation was carried out during 2024–2025 in the </w:t>
      </w:r>
      <w:proofErr w:type="spellStart"/>
      <w:r>
        <w:rPr>
          <w:rFonts w:ascii="Times New Roman" w:eastAsia="Times New Roman" w:hAnsi="Times New Roman" w:cs="Times New Roman"/>
          <w:sz w:val="24"/>
          <w:lang w:val="en-IN" w:eastAsia="en-IN"/>
        </w:rPr>
        <w:t>Sirsi</w:t>
      </w:r>
      <w:proofErr w:type="spellEnd"/>
      <w:r>
        <w:rPr>
          <w:rFonts w:ascii="Times New Roman" w:eastAsia="Times New Roman" w:hAnsi="Times New Roman" w:cs="Times New Roman"/>
          <w:sz w:val="24"/>
          <w:lang w:val="en-IN" w:eastAsia="en-IN"/>
        </w:rPr>
        <w:t xml:space="preserve"> Forest Range of Uttara Kannada district, Karnataka, situated in the central Western Ghats (14.6° N latitude, 75.0° E longitude). This region receives 2,500–3,000 mm of annual rainfall, supporting diverse forest types including evergreen, semi-evergreen, and moist deciduous forests. The study area is ecologically significant and culturally rich, with sacred groves, eco-tourism sites, and traditional practices linked to forest ecosystems (Fig. 1).</w:t>
      </w:r>
    </w:p>
    <w:p w:rsidR="0026322A" w:rsidRDefault="005141CF">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r>
        <w:rPr>
          <w:rFonts w:ascii="Times New Roman" w:eastAsia="Times New Roman" w:hAnsi="Times New Roman" w:cs="Times New Roman"/>
          <w:noProof/>
          <w:sz w:val="24"/>
          <w:lang w:val="en-IN" w:eastAsia="en-IN"/>
        </w:rPr>
        <w:lastRenderedPageBreak/>
        <w:drawing>
          <wp:anchor distT="0" distB="0" distL="114300" distR="114300" simplePos="0" relativeHeight="251674624" behindDoc="0" locked="0" layoutInCell="1" allowOverlap="1">
            <wp:simplePos x="0" y="0"/>
            <wp:positionH relativeFrom="column">
              <wp:posOffset>1713230</wp:posOffset>
            </wp:positionH>
            <wp:positionV relativeFrom="paragraph">
              <wp:posOffset>139700</wp:posOffset>
            </wp:positionV>
            <wp:extent cx="3703320" cy="26822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26822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lang w:val="en-IN" w:eastAsia="en-IN"/>
        </w:rPr>
        <w:t xml:space="preserve">                                      </w:t>
      </w:r>
    </w:p>
    <w:p w:rsidR="0026322A" w:rsidRDefault="0026322A">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rsidR="0026322A" w:rsidRDefault="0026322A">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rsidR="0026322A" w:rsidRDefault="0026322A">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rsidR="0026322A" w:rsidRDefault="0026322A">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rsidR="004D2D35" w:rsidRDefault="004D2D35" w:rsidP="004D2D35">
      <w:pPr>
        <w:spacing w:before="1"/>
        <w:ind w:right="1925"/>
        <w:rPr>
          <w:rFonts w:ascii="Times New Roman" w:eastAsia="Times New Roman" w:hAnsi="Times New Roman" w:cs="Times New Roman"/>
          <w:sz w:val="24"/>
          <w:lang w:val="en-IN" w:eastAsia="en-IN"/>
        </w:rPr>
      </w:pPr>
    </w:p>
    <w:p w:rsidR="0026322A" w:rsidRPr="004D2D35" w:rsidRDefault="004D2D35" w:rsidP="004D2D35">
      <w:pPr>
        <w:spacing w:before="1"/>
        <w:ind w:right="1925"/>
        <w:rPr>
          <w:rFonts w:ascii="Times New Roman" w:hAnsi="Times New Roman" w:cs="Times New Roman"/>
          <w:b/>
          <w:sz w:val="24"/>
        </w:rPr>
      </w:pPr>
      <w:r>
        <w:rPr>
          <w:rFonts w:ascii="Times New Roman" w:eastAsia="Times New Roman" w:hAnsi="Times New Roman" w:cs="Times New Roman"/>
          <w:sz w:val="24"/>
          <w:lang w:val="en-IN" w:eastAsia="en-IN"/>
        </w:rPr>
        <w:t xml:space="preserve">                                                             </w:t>
      </w:r>
      <w:r>
        <w:rPr>
          <w:rFonts w:ascii="Times New Roman" w:hAnsi="Times New Roman" w:cs="Times New Roman"/>
          <w:b/>
          <w:sz w:val="24"/>
        </w:rPr>
        <w:t>Fig 1:</w:t>
      </w:r>
      <w:r>
        <w:rPr>
          <w:rFonts w:ascii="Times New Roman" w:hAnsi="Times New Roman" w:cs="Times New Roman"/>
          <w:b/>
          <w:spacing w:val="1"/>
          <w:sz w:val="24"/>
        </w:rPr>
        <w:t xml:space="preserve"> </w:t>
      </w:r>
      <w:r>
        <w:rPr>
          <w:rFonts w:ascii="Times New Roman" w:hAnsi="Times New Roman" w:cs="Times New Roman"/>
          <w:b/>
          <w:sz w:val="24"/>
        </w:rPr>
        <w:t>Location</w:t>
      </w:r>
      <w:r>
        <w:rPr>
          <w:rFonts w:ascii="Times New Roman" w:hAnsi="Times New Roman" w:cs="Times New Roman"/>
          <w:b/>
          <w:spacing w:val="-4"/>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w:t>
      </w:r>
      <w:r>
        <w:rPr>
          <w:rFonts w:ascii="Times New Roman" w:hAnsi="Times New Roman" w:cs="Times New Roman"/>
          <w:b/>
          <w:sz w:val="24"/>
        </w:rPr>
        <w:t>the</w:t>
      </w:r>
      <w:r>
        <w:rPr>
          <w:rFonts w:ascii="Times New Roman" w:hAnsi="Times New Roman" w:cs="Times New Roman"/>
          <w:b/>
          <w:spacing w:val="-1"/>
          <w:sz w:val="24"/>
        </w:rPr>
        <w:t xml:space="preserve"> </w:t>
      </w:r>
      <w:r>
        <w:rPr>
          <w:rFonts w:ascii="Times New Roman" w:hAnsi="Times New Roman" w:cs="Times New Roman"/>
          <w:b/>
          <w:sz w:val="24"/>
        </w:rPr>
        <w:t xml:space="preserve">study </w:t>
      </w:r>
      <w:r>
        <w:rPr>
          <w:rFonts w:ascii="Times New Roman" w:hAnsi="Times New Roman" w:cs="Times New Roman"/>
          <w:b/>
          <w:spacing w:val="-4"/>
          <w:sz w:val="24"/>
        </w:rPr>
        <w:t>area</w:t>
      </w:r>
    </w:p>
    <w:p w:rsidR="0026322A" w:rsidRDefault="005141CF" w:rsidP="00427D79">
      <w:pPr>
        <w:pStyle w:val="NormalWeb"/>
        <w:spacing w:line="480" w:lineRule="auto"/>
        <w:ind w:right="273" w:firstLine="567"/>
        <w:jc w:val="both"/>
      </w:pPr>
      <w:r>
        <w:t xml:space="preserve">The present investigation was conducted in the </w:t>
      </w:r>
      <w:proofErr w:type="spellStart"/>
      <w:r>
        <w:t>Sirsi</w:t>
      </w:r>
      <w:proofErr w:type="spellEnd"/>
      <w:r>
        <w:t xml:space="preserve"> Forest Range using the quadrate sample plot method. In each forest type, quadrats of </w:t>
      </w:r>
      <w:r>
        <w:rPr>
          <w:rStyle w:val="Strong"/>
          <w:b w:val="0"/>
        </w:rPr>
        <w:t>20 m × 20 m</w:t>
      </w:r>
      <w:r>
        <w:t xml:space="preserve"> size were established with a sampling intensity of </w:t>
      </w:r>
      <w:r>
        <w:rPr>
          <w:rStyle w:val="Strong"/>
          <w:b w:val="0"/>
        </w:rPr>
        <w:t>0.02 per cent</w:t>
      </w:r>
      <w:r>
        <w:rPr>
          <w:b/>
        </w:rPr>
        <w:t>,</w:t>
      </w:r>
      <w:r>
        <w:t xml:space="preserve"> resulting in a total of </w:t>
      </w:r>
      <w:r>
        <w:rPr>
          <w:rStyle w:val="Strong"/>
          <w:b w:val="0"/>
        </w:rPr>
        <w:t>68 plots</w:t>
      </w:r>
      <w:r>
        <w:t xml:space="preserve">. Random field sampling was adopted to ensure adequate representation of tree. Within each quadrat, all trees with a </w:t>
      </w:r>
      <w:r>
        <w:rPr>
          <w:rStyle w:val="Strong"/>
          <w:b w:val="0"/>
        </w:rPr>
        <w:t>girth ≥ 30</w:t>
      </w:r>
      <w:r>
        <w:rPr>
          <w:rStyle w:val="Strong"/>
        </w:rPr>
        <w:t xml:space="preserve"> </w:t>
      </w:r>
      <w:r>
        <w:rPr>
          <w:rStyle w:val="Strong"/>
          <w:b w:val="0"/>
        </w:rPr>
        <w:t>cm</w:t>
      </w:r>
      <w:r>
        <w:t xml:space="preserve"> were enumerated, and parameters such as </w:t>
      </w:r>
      <w:r>
        <w:rPr>
          <w:rStyle w:val="Strong"/>
          <w:b w:val="0"/>
        </w:rPr>
        <w:t>species name, girth (m), and height (m)</w:t>
      </w:r>
      <w:r>
        <w:t xml:space="preserve"> were recorded. Girth at breast height (GBH) was measured at </w:t>
      </w:r>
      <w:r>
        <w:rPr>
          <w:rStyle w:val="Strong"/>
          <w:b w:val="0"/>
        </w:rPr>
        <w:t>1.37 m above the ground</w:t>
      </w:r>
      <w:r>
        <w:t xml:space="preserve"> using a girth tape, while tree height was measured from base to tip using a </w:t>
      </w:r>
      <w:r>
        <w:rPr>
          <w:rStyle w:val="Strong"/>
          <w:b w:val="0"/>
        </w:rPr>
        <w:t>Ravi Altimeter</w:t>
      </w:r>
      <w:r>
        <w:t xml:space="preserve">. Additionally, </w:t>
      </w:r>
      <w:r>
        <w:rPr>
          <w:rStyle w:val="Strong"/>
          <w:b w:val="0"/>
        </w:rPr>
        <w:t>GPS coordinates</w:t>
      </w:r>
      <w:r>
        <w:t xml:space="preserve"> including latitude, longitude, altitude, and slope percentage were recorded for each plot.</w:t>
      </w:r>
    </w:p>
    <w:p w:rsidR="0026322A" w:rsidRDefault="005141CF" w:rsidP="00427D79">
      <w:pPr>
        <w:pStyle w:val="Heading4"/>
        <w:spacing w:line="480" w:lineRule="auto"/>
        <w:ind w:right="273"/>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Biomass Production and Carbon Sequestration</w:t>
      </w:r>
    </w:p>
    <w:p w:rsidR="0026322A" w:rsidRDefault="005141CF" w:rsidP="00427D79">
      <w:pPr>
        <w:pStyle w:val="NormalWeb"/>
        <w:spacing w:line="480" w:lineRule="auto"/>
        <w:ind w:right="273"/>
        <w:jc w:val="both"/>
      </w:pPr>
      <w:r>
        <w:t xml:space="preserve">A </w:t>
      </w:r>
      <w:r>
        <w:rPr>
          <w:rStyle w:val="Strong"/>
          <w:b w:val="0"/>
        </w:rPr>
        <w:t>non-destructive method</w:t>
      </w:r>
      <w:r>
        <w:t xml:space="preserve"> was employed for the estimation of </w:t>
      </w:r>
      <w:r>
        <w:rPr>
          <w:rStyle w:val="Strong"/>
          <w:b w:val="0"/>
        </w:rPr>
        <w:t>aboveground tree biomass (AGTB)</w:t>
      </w:r>
      <w:r>
        <w:rPr>
          <w:b/>
        </w:rPr>
        <w:t xml:space="preserve">. </w:t>
      </w:r>
      <w:r>
        <w:t>The steps involved are as follows:</w:t>
      </w:r>
    </w:p>
    <w:p w:rsidR="0026322A" w:rsidRDefault="005141CF" w:rsidP="00427D79">
      <w:pPr>
        <w:widowControl w:val="0"/>
        <w:tabs>
          <w:tab w:val="left" w:pos="1608"/>
        </w:tabs>
        <w:autoSpaceDE w:val="0"/>
        <w:autoSpaceDN w:val="0"/>
        <w:spacing w:before="195" w:after="0" w:line="480" w:lineRule="auto"/>
        <w:ind w:right="273"/>
        <w:jc w:val="both"/>
        <w:rPr>
          <w:rFonts w:ascii="Times New Roman" w:hAnsi="Times New Roman" w:cs="Times New Roman"/>
          <w:sz w:val="24"/>
          <w:szCs w:val="24"/>
        </w:rPr>
      </w:pPr>
      <w:r>
        <w:rPr>
          <w:rFonts w:ascii="Times New Roman" w:hAnsi="Times New Roman" w:cs="Times New Roman"/>
          <w:b/>
          <w:sz w:val="24"/>
          <w:szCs w:val="24"/>
        </w:rPr>
        <w:t>Basal area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sz w:val="24"/>
          <w:szCs w:val="24"/>
        </w:rPr>
        <w:t>Basal area of tree species was derived from diameter at breast height by using formula,</w:t>
      </w:r>
    </w:p>
    <w:p w:rsidR="0026322A" w:rsidRDefault="005141CF">
      <w:pPr>
        <w:pStyle w:val="BodyText"/>
        <w:spacing w:before="198" w:line="480" w:lineRule="auto"/>
        <w:ind w:left="567" w:right="273"/>
        <w:jc w:val="center"/>
      </w:pPr>
      <w:r>
        <w:t>Basal</w:t>
      </w:r>
      <w:r>
        <w:rPr>
          <w:spacing w:val="-8"/>
        </w:rPr>
        <w:t xml:space="preserve"> </w:t>
      </w:r>
      <w:r>
        <w:t>area = G</w:t>
      </w:r>
      <w:r>
        <w:rPr>
          <w:vertAlign w:val="superscript"/>
        </w:rPr>
        <w:t>2</w:t>
      </w:r>
      <w:r>
        <w:rPr>
          <w:spacing w:val="3"/>
        </w:rPr>
        <w:t xml:space="preserve"> </w:t>
      </w:r>
      <w:r>
        <w:t>/</w:t>
      </w:r>
      <w:r>
        <w:rPr>
          <w:spacing w:val="1"/>
        </w:rPr>
        <w:t xml:space="preserve"> </w:t>
      </w:r>
      <w:r>
        <w:rPr>
          <w:spacing w:val="-5"/>
        </w:rPr>
        <w:t>4π</w:t>
      </w:r>
    </w:p>
    <w:p w:rsidR="0026322A" w:rsidRDefault="005141CF" w:rsidP="00427D79">
      <w:pPr>
        <w:pStyle w:val="BodyText"/>
        <w:spacing w:line="480" w:lineRule="auto"/>
        <w:ind w:right="273"/>
      </w:pPr>
      <w:r>
        <w:t>Where</w:t>
      </w:r>
      <w:r>
        <w:rPr>
          <w:spacing w:val="-7"/>
        </w:rPr>
        <w:t xml:space="preserve"> </w:t>
      </w:r>
      <w:r>
        <w:t>G is</w:t>
      </w:r>
      <w:r>
        <w:rPr>
          <w:spacing w:val="-6"/>
        </w:rPr>
        <w:t xml:space="preserve"> </w:t>
      </w:r>
      <w:r>
        <w:t>the</w:t>
      </w:r>
      <w:r>
        <w:rPr>
          <w:spacing w:val="-5"/>
        </w:rPr>
        <w:t xml:space="preserve"> </w:t>
      </w:r>
      <w:r>
        <w:t>girth</w:t>
      </w:r>
      <w:r>
        <w:rPr>
          <w:spacing w:val="-8"/>
        </w:rPr>
        <w:t xml:space="preserve"> </w:t>
      </w:r>
      <w:r>
        <w:t>at</w:t>
      </w:r>
      <w:r>
        <w:rPr>
          <w:spacing w:val="1"/>
        </w:rPr>
        <w:t xml:space="preserve"> </w:t>
      </w:r>
      <w:r>
        <w:t>breast</w:t>
      </w:r>
      <w:r>
        <w:rPr>
          <w:spacing w:val="1"/>
        </w:rPr>
        <w:t xml:space="preserve"> </w:t>
      </w:r>
      <w:r>
        <w:t>height</w:t>
      </w:r>
      <w:r>
        <w:rPr>
          <w:spacing w:val="1"/>
        </w:rPr>
        <w:t xml:space="preserve"> </w:t>
      </w:r>
      <w:r>
        <w:t>and</w:t>
      </w:r>
      <w:r>
        <w:rPr>
          <w:spacing w:val="2"/>
        </w:rPr>
        <w:t xml:space="preserve"> </w:t>
      </w:r>
      <w:r>
        <w:t>expressed in</w:t>
      </w:r>
      <w:r>
        <w:rPr>
          <w:spacing w:val="-3"/>
        </w:rPr>
        <w:t xml:space="preserve"> </w:t>
      </w:r>
      <w:r>
        <w:rPr>
          <w:spacing w:val="-2"/>
        </w:rPr>
        <w:t>meter.</w:t>
      </w:r>
    </w:p>
    <w:p w:rsidR="0026322A" w:rsidRDefault="0026322A">
      <w:pPr>
        <w:widowControl w:val="0"/>
        <w:tabs>
          <w:tab w:val="left" w:pos="1597"/>
          <w:tab w:val="left" w:pos="2137"/>
        </w:tabs>
        <w:autoSpaceDE w:val="0"/>
        <w:autoSpaceDN w:val="0"/>
        <w:spacing w:after="0" w:line="480" w:lineRule="auto"/>
        <w:ind w:left="567" w:right="273"/>
        <w:jc w:val="both"/>
        <w:rPr>
          <w:rFonts w:ascii="Times New Roman" w:eastAsia="Times New Roman" w:hAnsi="Times New Roman" w:cs="Times New Roman"/>
          <w:sz w:val="24"/>
          <w:szCs w:val="24"/>
          <w:lang w:val="en-US"/>
        </w:rPr>
      </w:pPr>
    </w:p>
    <w:p w:rsidR="0026322A" w:rsidRDefault="005141CF" w:rsidP="00427D79">
      <w:pPr>
        <w:widowControl w:val="0"/>
        <w:tabs>
          <w:tab w:val="left" w:pos="1597"/>
          <w:tab w:val="left" w:pos="2137"/>
        </w:tabs>
        <w:autoSpaceDE w:val="0"/>
        <w:autoSpaceDN w:val="0"/>
        <w:spacing w:after="0" w:line="480" w:lineRule="auto"/>
        <w:ind w:right="273"/>
        <w:rPr>
          <w:rFonts w:ascii="Times New Roman" w:hAnsi="Times New Roman" w:cs="Times New Roman"/>
          <w:sz w:val="24"/>
          <w:szCs w:val="24"/>
        </w:rPr>
      </w:pPr>
      <w:r>
        <w:rPr>
          <w:rFonts w:ascii="Times New Roman" w:hAnsi="Times New Roman" w:cs="Times New Roman"/>
          <w:b/>
          <w:sz w:val="24"/>
          <w:szCs w:val="24"/>
        </w:rPr>
        <w:lastRenderedPageBreak/>
        <w:t>Volume (m</w:t>
      </w:r>
      <w:r>
        <w:rPr>
          <w:rFonts w:ascii="Times New Roman" w:hAnsi="Times New Roman" w:cs="Times New Roman"/>
          <w:b/>
          <w:sz w:val="24"/>
          <w:szCs w:val="24"/>
          <w:vertAlign w:val="superscript"/>
        </w:rPr>
        <w:t>3</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7"/>
          <w:sz w:val="24"/>
          <w:szCs w:val="24"/>
        </w:rPr>
        <w:t xml:space="preserve"> </w:t>
      </w:r>
      <w:r>
        <w:rPr>
          <w:rFonts w:ascii="Times New Roman" w:hAnsi="Times New Roman" w:cs="Times New Roman"/>
          <w:sz w:val="24"/>
          <w:szCs w:val="24"/>
        </w:rPr>
        <w:t>total</w:t>
      </w:r>
      <w:r>
        <w:rPr>
          <w:rFonts w:ascii="Times New Roman" w:hAnsi="Times New Roman" w:cs="Times New Roman"/>
          <w:spacing w:val="-14"/>
          <w:sz w:val="24"/>
          <w:szCs w:val="24"/>
        </w:rPr>
        <w:t xml:space="preserve"> </w:t>
      </w:r>
      <w:r>
        <w:rPr>
          <w:rFonts w:ascii="Times New Roman" w:hAnsi="Times New Roman" w:cs="Times New Roman"/>
          <w:sz w:val="24"/>
          <w:szCs w:val="24"/>
        </w:rPr>
        <w:t>volume</w:t>
      </w:r>
      <w:r>
        <w:rPr>
          <w:rFonts w:ascii="Times New Roman" w:hAnsi="Times New Roman" w:cs="Times New Roman"/>
          <w:spacing w:val="-7"/>
          <w:sz w:val="24"/>
          <w:szCs w:val="24"/>
        </w:rPr>
        <w:t xml:space="preserve"> </w:t>
      </w:r>
      <w:r>
        <w:rPr>
          <w:rFonts w:ascii="Times New Roman" w:hAnsi="Times New Roman" w:cs="Times New Roman"/>
          <w:sz w:val="24"/>
          <w:szCs w:val="24"/>
        </w:rPr>
        <w:t>was</w:t>
      </w:r>
      <w:r>
        <w:rPr>
          <w:rFonts w:ascii="Times New Roman" w:hAnsi="Times New Roman" w:cs="Times New Roman"/>
          <w:spacing w:val="-7"/>
          <w:sz w:val="24"/>
          <w:szCs w:val="24"/>
        </w:rPr>
        <w:t xml:space="preserve"> </w:t>
      </w:r>
      <w:r>
        <w:rPr>
          <w:rFonts w:ascii="Times New Roman" w:hAnsi="Times New Roman" w:cs="Times New Roman"/>
          <w:sz w:val="24"/>
          <w:szCs w:val="24"/>
        </w:rPr>
        <w:t>calculated</w:t>
      </w:r>
      <w:r>
        <w:rPr>
          <w:rFonts w:ascii="Times New Roman" w:hAnsi="Times New Roman" w:cs="Times New Roman"/>
          <w:spacing w:val="-6"/>
          <w:sz w:val="24"/>
          <w:szCs w:val="24"/>
        </w:rPr>
        <w:t xml:space="preserve"> </w:t>
      </w:r>
      <w:r>
        <w:rPr>
          <w:rFonts w:ascii="Times New Roman" w:hAnsi="Times New Roman" w:cs="Times New Roman"/>
          <w:sz w:val="24"/>
          <w:szCs w:val="24"/>
        </w:rPr>
        <w:t>using</w:t>
      </w:r>
      <w:r>
        <w:rPr>
          <w:rFonts w:ascii="Times New Roman" w:hAnsi="Times New Roman" w:cs="Times New Roman"/>
          <w:spacing w:val="-2"/>
          <w:sz w:val="24"/>
          <w:szCs w:val="24"/>
        </w:rPr>
        <w:t xml:space="preserve"> </w:t>
      </w:r>
      <w:r>
        <w:rPr>
          <w:rFonts w:ascii="Times New Roman" w:hAnsi="Times New Roman" w:cs="Times New Roman"/>
          <w:sz w:val="24"/>
          <w:szCs w:val="24"/>
        </w:rPr>
        <w:t>formula</w:t>
      </w:r>
      <w:r>
        <w:rPr>
          <w:rFonts w:ascii="Times New Roman" w:hAnsi="Times New Roman" w:cs="Times New Roman"/>
          <w:spacing w:val="-2"/>
          <w:sz w:val="24"/>
          <w:szCs w:val="24"/>
        </w:rPr>
        <w:t xml:space="preserve"> </w:t>
      </w:r>
      <w:r>
        <w:rPr>
          <w:rFonts w:ascii="Times New Roman" w:hAnsi="Times New Roman" w:cs="Times New Roman"/>
          <w:sz w:val="24"/>
          <w:szCs w:val="24"/>
        </w:rPr>
        <w:t>mentioned</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below </w:t>
      </w:r>
      <w:r>
        <w:rPr>
          <w:rFonts w:ascii="Times New Roman" w:hAnsi="Times New Roman" w:cs="Times New Roman"/>
          <w:sz w:val="24"/>
          <w:szCs w:val="24"/>
        </w:rPr>
        <w:br/>
        <w:t xml:space="preserve">                                   Volume (m</w:t>
      </w:r>
      <w:r>
        <w:rPr>
          <w:rFonts w:ascii="Times New Roman" w:hAnsi="Times New Roman" w:cs="Times New Roman"/>
          <w:sz w:val="24"/>
          <w:szCs w:val="24"/>
          <w:vertAlign w:val="superscript"/>
        </w:rPr>
        <w:t>3</w:t>
      </w:r>
      <w:r>
        <w:rPr>
          <w:rFonts w:ascii="Times New Roman" w:hAnsi="Times New Roman" w:cs="Times New Roman"/>
          <w:sz w:val="24"/>
          <w:szCs w:val="24"/>
        </w:rPr>
        <w:t>) = Basal area (m</w:t>
      </w:r>
      <w:r>
        <w:rPr>
          <w:rFonts w:ascii="Times New Roman" w:hAnsi="Times New Roman" w:cs="Times New Roman"/>
          <w:sz w:val="24"/>
          <w:szCs w:val="24"/>
          <w:vertAlign w:val="superscript"/>
        </w:rPr>
        <w:t>2</w:t>
      </w:r>
      <w:r>
        <w:rPr>
          <w:rFonts w:ascii="Times New Roman" w:hAnsi="Times New Roman" w:cs="Times New Roman"/>
          <w:sz w:val="24"/>
          <w:szCs w:val="24"/>
        </w:rPr>
        <w:t>) × Height (m)</w:t>
      </w:r>
    </w:p>
    <w:p w:rsidR="0026322A" w:rsidRDefault="0026322A">
      <w:pPr>
        <w:widowControl w:val="0"/>
        <w:tabs>
          <w:tab w:val="left" w:pos="1597"/>
          <w:tab w:val="left" w:pos="2137"/>
        </w:tabs>
        <w:autoSpaceDE w:val="0"/>
        <w:autoSpaceDN w:val="0"/>
        <w:spacing w:after="0" w:line="480" w:lineRule="auto"/>
        <w:ind w:left="567" w:right="273"/>
        <w:jc w:val="both"/>
        <w:rPr>
          <w:rFonts w:ascii="Times New Roman" w:hAnsi="Times New Roman" w:cs="Times New Roman"/>
          <w:b/>
          <w:spacing w:val="-2"/>
          <w:sz w:val="24"/>
          <w:szCs w:val="24"/>
        </w:rPr>
      </w:pPr>
    </w:p>
    <w:p w:rsidR="0026322A" w:rsidRDefault="005141CF" w:rsidP="00427D79">
      <w:pPr>
        <w:widowControl w:val="0"/>
        <w:tabs>
          <w:tab w:val="left" w:pos="1611"/>
        </w:tabs>
        <w:autoSpaceDE w:val="0"/>
        <w:autoSpaceDN w:val="0"/>
        <w:spacing w:after="0" w:line="480" w:lineRule="auto"/>
        <w:ind w:right="273"/>
        <w:jc w:val="both"/>
        <w:rPr>
          <w:rFonts w:ascii="Times New Roman" w:hAnsi="Times New Roman" w:cs="Times New Roman"/>
          <w:sz w:val="24"/>
          <w:szCs w:val="24"/>
        </w:rPr>
      </w:pPr>
      <w:r>
        <w:rPr>
          <w:rFonts w:ascii="Times New Roman" w:hAnsi="Times New Roman" w:cs="Times New Roman"/>
          <w:b/>
          <w:sz w:val="24"/>
          <w:szCs w:val="24"/>
        </w:rPr>
        <w:t xml:space="preserve">Estimation of above ground biomass (AGB): </w:t>
      </w:r>
      <w:r>
        <w:rPr>
          <w:rFonts w:ascii="Times New Roman" w:hAnsi="Times New Roman" w:cs="Times New Roman"/>
          <w:sz w:val="24"/>
          <w:szCs w:val="24"/>
        </w:rPr>
        <w:t>Biomass of trees obtained from each quadrat was used to estimate total AGB (Mg ha</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26322A" w:rsidRDefault="005141CF">
      <w:pPr>
        <w:widowControl w:val="0"/>
        <w:tabs>
          <w:tab w:val="left" w:pos="1611"/>
        </w:tabs>
        <w:autoSpaceDE w:val="0"/>
        <w:autoSpaceDN w:val="0"/>
        <w:spacing w:after="0" w:line="480" w:lineRule="auto"/>
        <w:ind w:left="567" w:right="273"/>
        <w:jc w:val="center"/>
        <w:rPr>
          <w:rFonts w:ascii="Times New Roman" w:hAnsi="Times New Roman" w:cs="Times New Roman"/>
          <w:sz w:val="24"/>
          <w:szCs w:val="24"/>
        </w:rPr>
      </w:pPr>
      <w:r>
        <w:rPr>
          <w:rFonts w:ascii="Times New Roman" w:hAnsi="Times New Roman" w:cs="Times New Roman"/>
          <w:sz w:val="24"/>
          <w:szCs w:val="24"/>
        </w:rPr>
        <w:t>Above</w:t>
      </w:r>
      <w:r>
        <w:rPr>
          <w:rFonts w:ascii="Times New Roman" w:hAnsi="Times New Roman" w:cs="Times New Roman"/>
          <w:spacing w:val="-4"/>
          <w:sz w:val="24"/>
          <w:szCs w:val="24"/>
        </w:rPr>
        <w:t xml:space="preserve"> </w:t>
      </w:r>
      <w:r>
        <w:rPr>
          <w:rFonts w:ascii="Times New Roman" w:hAnsi="Times New Roman" w:cs="Times New Roman"/>
          <w:sz w:val="24"/>
          <w:szCs w:val="24"/>
        </w:rPr>
        <w:t>ground</w:t>
      </w:r>
      <w:r>
        <w:rPr>
          <w:rFonts w:ascii="Times New Roman" w:hAnsi="Times New Roman" w:cs="Times New Roman"/>
          <w:spacing w:val="-4"/>
          <w:sz w:val="24"/>
          <w:szCs w:val="24"/>
        </w:rPr>
        <w:t xml:space="preserve"> </w:t>
      </w:r>
      <w:r>
        <w:rPr>
          <w:rFonts w:ascii="Times New Roman" w:hAnsi="Times New Roman" w:cs="Times New Roman"/>
          <w:sz w:val="24"/>
          <w:szCs w:val="24"/>
        </w:rPr>
        <w:t>Biomass</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Volume</w:t>
      </w:r>
      <w:r>
        <w:rPr>
          <w:rFonts w:ascii="Times New Roman" w:hAnsi="Times New Roman" w:cs="Times New Roman"/>
          <w:spacing w:val="-4"/>
          <w:sz w:val="24"/>
          <w:szCs w:val="24"/>
        </w:rPr>
        <w:t xml:space="preserve"> </w:t>
      </w:r>
      <w:r>
        <w:rPr>
          <w:rFonts w:ascii="Times New Roman" w:hAnsi="Times New Roman" w:cs="Times New Roman"/>
          <w:sz w:val="24"/>
          <w:szCs w:val="24"/>
        </w:rPr>
        <w:t>×Specific</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gravity</w:t>
      </w:r>
    </w:p>
    <w:p w:rsidR="0026322A" w:rsidRDefault="005141CF">
      <w:pPr>
        <w:pStyle w:val="BodyText"/>
        <w:spacing w:line="480" w:lineRule="auto"/>
        <w:ind w:left="567" w:right="273"/>
        <w:jc w:val="both"/>
      </w:pPr>
      <w:r>
        <w:t>Specific</w:t>
      </w:r>
      <w:r>
        <w:rPr>
          <w:spacing w:val="-2"/>
        </w:rPr>
        <w:t xml:space="preserve"> </w:t>
      </w:r>
      <w:r>
        <w:t>gravity</w:t>
      </w:r>
      <w:r>
        <w:rPr>
          <w:spacing w:val="-8"/>
        </w:rPr>
        <w:t xml:space="preserve"> </w:t>
      </w:r>
      <w:r>
        <w:t>of</w:t>
      </w:r>
      <w:r>
        <w:rPr>
          <w:spacing w:val="-9"/>
        </w:rPr>
        <w:t xml:space="preserve"> </w:t>
      </w:r>
      <w:r>
        <w:t>different</w:t>
      </w:r>
      <w:r>
        <w:rPr>
          <w:spacing w:val="-1"/>
        </w:rPr>
        <w:t xml:space="preserve"> </w:t>
      </w:r>
      <w:r>
        <w:t>trees</w:t>
      </w:r>
      <w:r>
        <w:rPr>
          <w:spacing w:val="-3"/>
        </w:rPr>
        <w:t xml:space="preserve"> </w:t>
      </w:r>
      <w:r>
        <w:t>was</w:t>
      </w:r>
      <w:r>
        <w:rPr>
          <w:spacing w:val="-8"/>
        </w:rPr>
        <w:t xml:space="preserve"> </w:t>
      </w:r>
      <w:r>
        <w:t>obtained from</w:t>
      </w:r>
      <w:r>
        <w:rPr>
          <w:spacing w:val="-10"/>
        </w:rPr>
        <w:t xml:space="preserve"> </w:t>
      </w:r>
      <w:r>
        <w:t>the list given</w:t>
      </w:r>
      <w:r>
        <w:rPr>
          <w:spacing w:val="-6"/>
        </w:rPr>
        <w:t xml:space="preserve"> </w:t>
      </w:r>
      <w:r>
        <w:t>by Forest</w:t>
      </w:r>
      <w:r>
        <w:rPr>
          <w:spacing w:val="-1"/>
        </w:rPr>
        <w:t xml:space="preserve"> </w:t>
      </w:r>
      <w:r>
        <w:t>Research</w:t>
      </w:r>
      <w:r>
        <w:rPr>
          <w:spacing w:val="-6"/>
        </w:rPr>
        <w:t xml:space="preserve"> </w:t>
      </w:r>
      <w:r>
        <w:t xml:space="preserve">Institute (FRI) Dehradun. </w:t>
      </w:r>
    </w:p>
    <w:p w:rsidR="0026322A" w:rsidRDefault="005141CF">
      <w:pPr>
        <w:pStyle w:val="BodyText"/>
        <w:spacing w:line="480" w:lineRule="auto"/>
        <w:ind w:left="567" w:right="273"/>
        <w:jc w:val="both"/>
        <w:rPr>
          <w:b/>
        </w:rPr>
      </w:pPr>
      <w:r>
        <w:rPr>
          <w:b/>
        </w:rPr>
        <w:t>Estimation</w:t>
      </w:r>
      <w:r>
        <w:rPr>
          <w:b/>
          <w:spacing w:val="-2"/>
        </w:rPr>
        <w:t xml:space="preserve"> </w:t>
      </w:r>
      <w:r>
        <w:rPr>
          <w:b/>
        </w:rPr>
        <w:t>of</w:t>
      </w:r>
      <w:r>
        <w:rPr>
          <w:b/>
          <w:spacing w:val="-6"/>
        </w:rPr>
        <w:t xml:space="preserve"> </w:t>
      </w:r>
      <w:r>
        <w:rPr>
          <w:b/>
        </w:rPr>
        <w:t>below</w:t>
      </w:r>
      <w:r>
        <w:rPr>
          <w:b/>
          <w:spacing w:val="-4"/>
        </w:rPr>
        <w:t xml:space="preserve"> </w:t>
      </w:r>
      <w:r>
        <w:rPr>
          <w:b/>
        </w:rPr>
        <w:t>ground</w:t>
      </w:r>
      <w:r>
        <w:rPr>
          <w:b/>
          <w:spacing w:val="-3"/>
        </w:rPr>
        <w:t xml:space="preserve"> </w:t>
      </w:r>
      <w:r>
        <w:rPr>
          <w:b/>
        </w:rPr>
        <w:t>biomass</w:t>
      </w:r>
      <w:r>
        <w:rPr>
          <w:b/>
          <w:spacing w:val="-4"/>
        </w:rPr>
        <w:t xml:space="preserve"> </w:t>
      </w:r>
      <w:r>
        <w:rPr>
          <w:b/>
          <w:spacing w:val="-2"/>
        </w:rPr>
        <w:t>(BGB):</w:t>
      </w:r>
    </w:p>
    <w:p w:rsidR="0026322A" w:rsidRDefault="005141CF">
      <w:pPr>
        <w:pStyle w:val="BodyText"/>
        <w:spacing w:line="480" w:lineRule="auto"/>
        <w:ind w:left="567" w:right="273"/>
        <w:jc w:val="both"/>
        <w:rPr>
          <w:spacing w:val="-4"/>
        </w:rPr>
      </w:pPr>
      <w:r>
        <w:t>IPCC (2007) suggest that below ground biomass is close to 27 per cent of the total above ground biomass. In</w:t>
      </w:r>
      <w:r>
        <w:rPr>
          <w:spacing w:val="-5"/>
        </w:rPr>
        <w:t xml:space="preserve"> </w:t>
      </w:r>
      <w:r>
        <w:t>the</w:t>
      </w:r>
      <w:r>
        <w:rPr>
          <w:spacing w:val="-1"/>
        </w:rPr>
        <w:t xml:space="preserve"> </w:t>
      </w:r>
      <w:r>
        <w:t>present</w:t>
      </w:r>
      <w:r>
        <w:rPr>
          <w:spacing w:val="8"/>
        </w:rPr>
        <w:t xml:space="preserve"> </w:t>
      </w:r>
      <w:r>
        <w:t>study</w:t>
      </w:r>
      <w:r>
        <w:rPr>
          <w:spacing w:val="-10"/>
        </w:rPr>
        <w:t xml:space="preserve"> </w:t>
      </w:r>
      <w:r>
        <w:t>BGB was</w:t>
      </w:r>
      <w:r>
        <w:rPr>
          <w:spacing w:val="-2"/>
        </w:rPr>
        <w:t xml:space="preserve"> </w:t>
      </w:r>
      <w:r>
        <w:t>obtained</w:t>
      </w:r>
      <w:r>
        <w:rPr>
          <w:spacing w:val="5"/>
        </w:rPr>
        <w:t xml:space="preserve"> </w:t>
      </w:r>
      <w:r>
        <w:t>by</w:t>
      </w:r>
      <w:r>
        <w:rPr>
          <w:spacing w:val="-5"/>
        </w:rPr>
        <w:t xml:space="preserve"> </w:t>
      </w:r>
      <w:r>
        <w:t>multiplying</w:t>
      </w:r>
      <w:r>
        <w:rPr>
          <w:spacing w:val="1"/>
        </w:rPr>
        <w:t xml:space="preserve"> </w:t>
      </w:r>
      <w:r>
        <w:t>AGB</w:t>
      </w:r>
      <w:r>
        <w:rPr>
          <w:spacing w:val="-2"/>
        </w:rPr>
        <w:t xml:space="preserve"> </w:t>
      </w:r>
      <w:r>
        <w:t>with factor</w:t>
      </w:r>
      <w:r>
        <w:rPr>
          <w:spacing w:val="-2"/>
        </w:rPr>
        <w:t xml:space="preserve"> </w:t>
      </w:r>
      <w:r>
        <w:t>of</w:t>
      </w:r>
      <w:r>
        <w:rPr>
          <w:spacing w:val="-7"/>
        </w:rPr>
        <w:t xml:space="preserve"> </w:t>
      </w:r>
      <w:r>
        <w:rPr>
          <w:spacing w:val="-4"/>
        </w:rPr>
        <w:t>0.27</w:t>
      </w:r>
    </w:p>
    <w:p w:rsidR="0026322A" w:rsidRDefault="005141CF">
      <w:pPr>
        <w:pStyle w:val="BodyText"/>
        <w:spacing w:before="74" w:line="480" w:lineRule="auto"/>
        <w:ind w:left="567" w:right="273"/>
        <w:jc w:val="center"/>
      </w:pPr>
      <w:r>
        <w:t>BGB</w:t>
      </w:r>
      <w:r>
        <w:rPr>
          <w:spacing w:val="-2"/>
        </w:rPr>
        <w:t xml:space="preserve"> </w:t>
      </w:r>
      <w:r>
        <w:t>(Mg ha</w:t>
      </w:r>
      <w:r>
        <w:rPr>
          <w:vertAlign w:val="superscript"/>
        </w:rPr>
        <w:t>-1</w:t>
      </w:r>
      <w:r>
        <w:t>) =</w:t>
      </w:r>
      <w:r>
        <w:rPr>
          <w:spacing w:val="-6"/>
        </w:rPr>
        <w:t xml:space="preserve"> </w:t>
      </w:r>
      <w:r>
        <w:t>AGB</w:t>
      </w:r>
      <w:r>
        <w:rPr>
          <w:spacing w:val="-2"/>
        </w:rPr>
        <w:t xml:space="preserve"> </w:t>
      </w:r>
      <w:r>
        <w:t xml:space="preserve">× </w:t>
      </w:r>
      <w:r>
        <w:rPr>
          <w:spacing w:val="-4"/>
        </w:rPr>
        <w:t>0.27</w:t>
      </w:r>
    </w:p>
    <w:p w:rsidR="0026322A" w:rsidRDefault="005141CF">
      <w:pPr>
        <w:pStyle w:val="BodyText"/>
        <w:spacing w:line="480" w:lineRule="auto"/>
        <w:ind w:left="567" w:right="273"/>
        <w:jc w:val="both"/>
      </w:pPr>
      <w:r>
        <w:t>Hence, total tree biomass density is the sum of the aboveground biomass and belowground</w:t>
      </w:r>
      <w:r>
        <w:rPr>
          <w:spacing w:val="80"/>
        </w:rPr>
        <w:t xml:space="preserve"> </w:t>
      </w:r>
      <w:r>
        <w:t xml:space="preserve">biomass (Chandra </w:t>
      </w:r>
      <w:r>
        <w:rPr>
          <w:i/>
        </w:rPr>
        <w:t xml:space="preserve">et </w:t>
      </w:r>
      <w:proofErr w:type="gramStart"/>
      <w:r>
        <w:rPr>
          <w:i/>
        </w:rPr>
        <w:t xml:space="preserve">al </w:t>
      </w:r>
      <w:r>
        <w:t>.</w:t>
      </w:r>
      <w:proofErr w:type="gramEnd"/>
      <w:r>
        <w:t>, 2010)</w:t>
      </w:r>
    </w:p>
    <w:p w:rsidR="0026322A" w:rsidRDefault="0026322A">
      <w:pPr>
        <w:pStyle w:val="BodyText"/>
        <w:spacing w:line="480" w:lineRule="auto"/>
        <w:ind w:left="567" w:right="273"/>
        <w:jc w:val="both"/>
      </w:pPr>
    </w:p>
    <w:p w:rsidR="0026322A" w:rsidRDefault="005141CF">
      <w:pPr>
        <w:pStyle w:val="BodyText"/>
        <w:spacing w:line="480" w:lineRule="auto"/>
        <w:ind w:left="567" w:right="273"/>
        <w:jc w:val="both"/>
      </w:pPr>
      <w:r>
        <w:rPr>
          <w:b/>
        </w:rPr>
        <w:t>Carbon</w:t>
      </w:r>
      <w:r>
        <w:rPr>
          <w:b/>
          <w:spacing w:val="-4"/>
        </w:rPr>
        <w:t xml:space="preserve"> </w:t>
      </w:r>
      <w:r>
        <w:rPr>
          <w:b/>
        </w:rPr>
        <w:t>stock</w:t>
      </w:r>
      <w:r>
        <w:rPr>
          <w:b/>
          <w:spacing w:val="-6"/>
        </w:rPr>
        <w:t xml:space="preserve"> </w:t>
      </w:r>
      <w:r>
        <w:rPr>
          <w:b/>
          <w:spacing w:val="-2"/>
        </w:rPr>
        <w:t>estimation</w:t>
      </w:r>
      <w:r>
        <w:rPr>
          <w:spacing w:val="-2"/>
        </w:rPr>
        <w:t>:</w:t>
      </w:r>
    </w:p>
    <w:p w:rsidR="0026322A" w:rsidRDefault="005141CF">
      <w:pPr>
        <w:pStyle w:val="BodyText"/>
        <w:spacing w:before="242" w:line="480" w:lineRule="auto"/>
        <w:ind w:left="567" w:right="273"/>
        <w:jc w:val="both"/>
      </w:pPr>
      <w:r>
        <w:t>The biomass in</w:t>
      </w:r>
      <w:r>
        <w:rPr>
          <w:spacing w:val="-4"/>
        </w:rPr>
        <w:t xml:space="preserve"> </w:t>
      </w:r>
      <w:r>
        <w:t>each</w:t>
      </w:r>
      <w:r>
        <w:rPr>
          <w:spacing w:val="-4"/>
        </w:rPr>
        <w:t xml:space="preserve"> </w:t>
      </w:r>
      <w:r>
        <w:t>of</w:t>
      </w:r>
      <w:r>
        <w:rPr>
          <w:spacing w:val="-7"/>
        </w:rPr>
        <w:t xml:space="preserve"> </w:t>
      </w:r>
      <w:r>
        <w:t>the sites was</w:t>
      </w:r>
      <w:r>
        <w:rPr>
          <w:spacing w:val="-1"/>
        </w:rPr>
        <w:t xml:space="preserve"> </w:t>
      </w:r>
      <w:r>
        <w:t>converted into per hectare and 47 per</w:t>
      </w:r>
      <w:r>
        <w:rPr>
          <w:spacing w:val="-2"/>
        </w:rPr>
        <w:t xml:space="preserve"> </w:t>
      </w:r>
      <w:r>
        <w:t>cent of</w:t>
      </w:r>
      <w:r>
        <w:rPr>
          <w:spacing w:val="-7"/>
        </w:rPr>
        <w:t xml:space="preserve"> </w:t>
      </w:r>
      <w:r>
        <w:t>the biomass was taken as the carbon content. The total carbon stock was determined by multiplying</w:t>
      </w:r>
      <w:r>
        <w:rPr>
          <w:spacing w:val="-1"/>
        </w:rPr>
        <w:t xml:space="preserve"> </w:t>
      </w:r>
      <w:r>
        <w:t>the</w:t>
      </w:r>
      <w:r>
        <w:rPr>
          <w:spacing w:val="-2"/>
        </w:rPr>
        <w:t xml:space="preserve"> </w:t>
      </w:r>
      <w:r>
        <w:t>total</w:t>
      </w:r>
      <w:r>
        <w:rPr>
          <w:spacing w:val="-10"/>
        </w:rPr>
        <w:t xml:space="preserve"> </w:t>
      </w:r>
      <w:r>
        <w:t>tree</w:t>
      </w:r>
      <w:r>
        <w:rPr>
          <w:spacing w:val="-2"/>
        </w:rPr>
        <w:t xml:space="preserve"> </w:t>
      </w:r>
      <w:r>
        <w:t>biomass</w:t>
      </w:r>
      <w:r>
        <w:rPr>
          <w:spacing w:val="-3"/>
        </w:rPr>
        <w:t xml:space="preserve"> </w:t>
      </w:r>
      <w:r>
        <w:t>with</w:t>
      </w:r>
      <w:r>
        <w:rPr>
          <w:spacing w:val="-6"/>
        </w:rPr>
        <w:t xml:space="preserve"> </w:t>
      </w:r>
      <w:r>
        <w:t>a factor 0.47</w:t>
      </w:r>
      <w:r>
        <w:rPr>
          <w:spacing w:val="-1"/>
        </w:rPr>
        <w:t xml:space="preserve"> </w:t>
      </w:r>
      <w:r>
        <w:t>as</w:t>
      </w:r>
      <w:r>
        <w:rPr>
          <w:spacing w:val="-3"/>
        </w:rPr>
        <w:t xml:space="preserve"> </w:t>
      </w:r>
      <w:r>
        <w:t>suggested</w:t>
      </w:r>
      <w:r>
        <w:rPr>
          <w:spacing w:val="-1"/>
        </w:rPr>
        <w:t xml:space="preserve"> </w:t>
      </w:r>
      <w:r>
        <w:t>by</w:t>
      </w:r>
      <w:r>
        <w:rPr>
          <w:spacing w:val="-11"/>
        </w:rPr>
        <w:t xml:space="preserve"> </w:t>
      </w:r>
      <w:r>
        <w:t>IPCC</w:t>
      </w:r>
      <w:r>
        <w:rPr>
          <w:spacing w:val="-3"/>
        </w:rPr>
        <w:t xml:space="preserve"> </w:t>
      </w:r>
      <w:r>
        <w:t>(2007) and expressed in Mg ha</w:t>
      </w:r>
      <w:r>
        <w:rPr>
          <w:vertAlign w:val="superscript"/>
        </w:rPr>
        <w:t>-1</w:t>
      </w:r>
    </w:p>
    <w:p w:rsidR="0026322A" w:rsidRDefault="005141CF">
      <w:pPr>
        <w:pStyle w:val="BodyText"/>
        <w:spacing w:before="200" w:line="480" w:lineRule="auto"/>
        <w:ind w:left="567" w:right="273"/>
        <w:jc w:val="center"/>
      </w:pPr>
      <w:r>
        <w:t>Total</w:t>
      </w:r>
      <w:r>
        <w:rPr>
          <w:spacing w:val="-9"/>
        </w:rPr>
        <w:t xml:space="preserve"> </w:t>
      </w:r>
      <w:r>
        <w:t>biomass=</w:t>
      </w:r>
      <w:r>
        <w:rPr>
          <w:spacing w:val="-1"/>
        </w:rPr>
        <w:t xml:space="preserve"> </w:t>
      </w:r>
      <w:r>
        <w:t>AGB</w:t>
      </w:r>
      <w:r>
        <w:rPr>
          <w:spacing w:val="-6"/>
        </w:rPr>
        <w:t xml:space="preserve"> </w:t>
      </w:r>
      <w:r>
        <w:t>+</w:t>
      </w:r>
      <w:r>
        <w:rPr>
          <w:spacing w:val="-6"/>
        </w:rPr>
        <w:t xml:space="preserve"> </w:t>
      </w:r>
      <w:r>
        <w:t>BGB</w:t>
      </w:r>
      <w:r>
        <w:rPr>
          <w:spacing w:val="-6"/>
        </w:rPr>
        <w:t xml:space="preserve"> </w:t>
      </w:r>
      <w:r>
        <w:t>(Mg</w:t>
      </w:r>
      <w:r>
        <w:rPr>
          <w:spacing w:val="-5"/>
        </w:rPr>
        <w:t xml:space="preserve"> </w:t>
      </w:r>
      <w:r>
        <w:t>ha</w:t>
      </w:r>
      <w:r>
        <w:rPr>
          <w:vertAlign w:val="superscript"/>
        </w:rPr>
        <w:t>-1</w:t>
      </w:r>
      <w:r>
        <w:t>) Carbon stock = 0.47 × Total biomass</w:t>
      </w:r>
    </w:p>
    <w:p w:rsidR="0026322A" w:rsidRDefault="005141CF">
      <w:pPr>
        <w:pStyle w:val="NormalWeb"/>
        <w:spacing w:line="480" w:lineRule="auto"/>
        <w:ind w:left="567" w:right="273"/>
        <w:jc w:val="both"/>
      </w:pPr>
      <w:r>
        <w:t xml:space="preserve">This methodology ensured precise estimation of biomass accumulation and carbon sequestration potential in </w:t>
      </w:r>
      <w:r>
        <w:rPr>
          <w:rStyle w:val="Strong"/>
          <w:b w:val="0"/>
        </w:rPr>
        <w:t>moist deciduous</w:t>
      </w:r>
      <w:r>
        <w:t xml:space="preserve"> and </w:t>
      </w:r>
      <w:r>
        <w:rPr>
          <w:rStyle w:val="Strong"/>
          <w:b w:val="0"/>
        </w:rPr>
        <w:t>semi-evergreen</w:t>
      </w:r>
      <w:r>
        <w:t xml:space="preserve"> forest ecosystems.</w:t>
      </w:r>
    </w:p>
    <w:p w:rsidR="0026322A" w:rsidRDefault="0026322A">
      <w:pPr>
        <w:pStyle w:val="NormalWeb"/>
        <w:spacing w:line="480" w:lineRule="auto"/>
        <w:ind w:left="567" w:right="273"/>
        <w:jc w:val="both"/>
        <w:sectPr w:rsidR="0026322A">
          <w:headerReference w:type="even" r:id="rId9"/>
          <w:headerReference w:type="default" r:id="rId10"/>
          <w:footerReference w:type="even" r:id="rId11"/>
          <w:footerReference w:type="default" r:id="rId12"/>
          <w:headerReference w:type="first" r:id="rId13"/>
          <w:footerReference w:type="first" r:id="rId14"/>
          <w:pgSz w:w="11910" w:h="16840"/>
          <w:pgMar w:top="1340" w:right="711" w:bottom="280" w:left="566" w:header="720" w:footer="720" w:gutter="0"/>
          <w:cols w:space="720"/>
        </w:sectPr>
      </w:pPr>
    </w:p>
    <w:p w:rsidR="0026322A" w:rsidRDefault="0026322A">
      <w:pPr>
        <w:pStyle w:val="BodyText"/>
        <w:spacing w:before="200"/>
        <w:ind w:right="273"/>
        <w:jc w:val="both"/>
        <w:rPr>
          <w:spacing w:val="-2"/>
        </w:rPr>
      </w:pPr>
    </w:p>
    <w:p w:rsidR="0026322A" w:rsidRDefault="005141CF">
      <w:pPr>
        <w:spacing w:line="480" w:lineRule="auto"/>
        <w:ind w:right="273"/>
        <w:jc w:val="both"/>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rsidR="0026322A" w:rsidRDefault="005141CF">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Forest productivity and carbon sequestration capacity are regulated by climatic factors such as rainfall, temperature, humidity, and soil moisture, among which rainfall plays a particularly critical role as it directly governs site conditions and tree growth (Dwivedi, 1992). In degraded landscapes where soil and water conservation practices are lacking, soil fertility tends to decline, limiting forest productivity. In arid and semi-arid zones, excessive evapotranspiration relative to precipitation further restricts biomass accumulation. Within this ecological context, the present study revealed significant differences in biomass production and carbon sequestration across moist deciduous and semi-evergreen forest ecosystems. Semi-evergreen forests consistently exhibited higher values for all parameters, underlining the role of forest type in influencing carbon dynamics and ecosystem service value. In the present study, trees with a girth of ≥30 cm were measured, and data on species, girth, and tree height were recorded. These measurements formed the basis for biomass and carbon stock estimations.</w:t>
      </w:r>
    </w:p>
    <w:p w:rsidR="0026322A" w:rsidRDefault="0026322A">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rsidR="0026322A" w:rsidRDefault="0026322A">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rsidR="0026322A" w:rsidRDefault="0026322A">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rsidR="0026322A" w:rsidRDefault="0026322A">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rsidR="0026322A" w:rsidRDefault="0026322A">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rsidR="0026322A" w:rsidRDefault="0026322A">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rsidR="0026322A" w:rsidRDefault="0026322A">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p>
    <w:p w:rsidR="0026322A" w:rsidRDefault="005141CF">
      <w:pPr>
        <w:spacing w:before="78"/>
        <w:ind w:right="-24"/>
        <w:jc w:val="both"/>
        <w:rPr>
          <w:sz w:val="24"/>
        </w:rPr>
      </w:pPr>
      <w:r>
        <w:rPr>
          <w:rFonts w:ascii="Times New Roman" w:hAnsi="Times New Roman" w:cs="Times New Roman"/>
          <w:b/>
          <w:sz w:val="24"/>
          <w:szCs w:val="24"/>
        </w:rPr>
        <w:lastRenderedPageBreak/>
        <w:t>Table</w:t>
      </w:r>
      <w:r>
        <w:rPr>
          <w:rFonts w:ascii="Times New Roman" w:hAnsi="Times New Roman" w:cs="Times New Roman"/>
          <w:b/>
          <w:spacing w:val="-3"/>
          <w:sz w:val="24"/>
          <w:szCs w:val="24"/>
        </w:rPr>
        <w:t xml:space="preserve"> </w:t>
      </w:r>
      <w:proofErr w:type="gramStart"/>
      <w:r>
        <w:rPr>
          <w:rFonts w:ascii="Times New Roman" w:hAnsi="Times New Roman" w:cs="Times New Roman"/>
          <w:b/>
          <w:sz w:val="24"/>
          <w:szCs w:val="24"/>
        </w:rPr>
        <w:t>1</w:t>
      </w:r>
      <w:r>
        <w:rPr>
          <w:rFonts w:ascii="Times New Roman" w:hAnsi="Times New Roman" w:cs="Times New Roman"/>
          <w:b/>
          <w:spacing w:val="-2"/>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pacing w:val="-2"/>
          <w:sz w:val="24"/>
          <w:szCs w:val="24"/>
        </w:rPr>
        <w:t xml:space="preserve"> </w:t>
      </w:r>
      <w:r>
        <w:rPr>
          <w:rFonts w:ascii="Times New Roman" w:hAnsi="Times New Roman" w:cs="Times New Roman"/>
          <w:b/>
          <w:sz w:val="24"/>
          <w:szCs w:val="24"/>
        </w:rPr>
        <w:t>Biomass and Carbon Stock Characteristics of Different Forest Types.</w:t>
      </w:r>
    </w:p>
    <w:tbl>
      <w:tblPr>
        <w:tblStyle w:val="TableGrid"/>
        <w:tblpPr w:leftFromText="180" w:rightFromText="180" w:vertAnchor="text" w:horzAnchor="margin" w:tblpXSpec="center" w:tblpY="240"/>
        <w:tblW w:w="10613" w:type="dxa"/>
        <w:tblLook w:val="04A0" w:firstRow="1" w:lastRow="0" w:firstColumn="1" w:lastColumn="0" w:noHBand="0" w:noVBand="1"/>
      </w:tblPr>
      <w:tblGrid>
        <w:gridCol w:w="1959"/>
        <w:gridCol w:w="1146"/>
        <w:gridCol w:w="1100"/>
        <w:gridCol w:w="1640"/>
        <w:gridCol w:w="1646"/>
        <w:gridCol w:w="1568"/>
        <w:gridCol w:w="1554"/>
      </w:tblGrid>
      <w:tr w:rsidR="0026322A">
        <w:trPr>
          <w:trHeight w:val="1469"/>
        </w:trPr>
        <w:tc>
          <w:tcPr>
            <w:tcW w:w="0" w:type="auto"/>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Forest Types</w:t>
            </w:r>
          </w:p>
        </w:tc>
        <w:tc>
          <w:tcPr>
            <w:tcW w:w="1146" w:type="dxa"/>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Basal Area </w:t>
            </w:r>
            <w:r>
              <w:rPr>
                <w:rFonts w:ascii="Times New Roman" w:eastAsia="Times New Roman" w:hAnsi="Times New Roman" w:cs="Times New Roman"/>
                <w:b/>
                <w:bCs/>
                <w:lang w:eastAsia="en-IN"/>
              </w:rPr>
              <w:br/>
              <w:t>(m² ha⁻¹)</w:t>
            </w:r>
          </w:p>
        </w:tc>
        <w:tc>
          <w:tcPr>
            <w:tcW w:w="1100" w:type="dxa"/>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Volume (m³ ha⁻¹)</w:t>
            </w:r>
          </w:p>
        </w:tc>
        <w:tc>
          <w:tcPr>
            <w:tcW w:w="1640" w:type="dxa"/>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Aboveground Biomass </w:t>
            </w:r>
            <w:r>
              <w:rPr>
                <w:rFonts w:ascii="Times New Roman" w:eastAsia="Times New Roman" w:hAnsi="Times New Roman" w:cs="Times New Roman"/>
                <w:b/>
                <w:bCs/>
                <w:lang w:eastAsia="en-IN"/>
              </w:rPr>
              <w:br/>
              <w:t>(Mg ha⁻¹)</w:t>
            </w:r>
          </w:p>
        </w:tc>
        <w:tc>
          <w:tcPr>
            <w:tcW w:w="1646" w:type="dxa"/>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Belowground Biomass </w:t>
            </w:r>
            <w:r>
              <w:rPr>
                <w:rFonts w:ascii="Times New Roman" w:eastAsia="Times New Roman" w:hAnsi="Times New Roman" w:cs="Times New Roman"/>
                <w:b/>
                <w:bCs/>
                <w:lang w:eastAsia="en-IN"/>
              </w:rPr>
              <w:br/>
              <w:t>(Mg ha⁻¹)</w:t>
            </w:r>
          </w:p>
        </w:tc>
        <w:tc>
          <w:tcPr>
            <w:tcW w:w="1568" w:type="dxa"/>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Total Biomass (Mg ha⁻¹)</w:t>
            </w:r>
          </w:p>
        </w:tc>
        <w:tc>
          <w:tcPr>
            <w:tcW w:w="1554" w:type="dxa"/>
            <w:hideMark/>
          </w:tcPr>
          <w:p w:rsidR="0026322A" w:rsidRDefault="005141CF">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Carbon Stock</w:t>
            </w:r>
            <w:r>
              <w:rPr>
                <w:rFonts w:ascii="Times New Roman" w:eastAsia="Times New Roman" w:hAnsi="Times New Roman" w:cs="Times New Roman"/>
                <w:b/>
                <w:bCs/>
                <w:lang w:eastAsia="en-IN"/>
              </w:rPr>
              <w:br/>
              <w:t xml:space="preserve"> (Mg ha⁻¹)</w:t>
            </w:r>
          </w:p>
        </w:tc>
      </w:tr>
      <w:tr w:rsidR="0026322A">
        <w:trPr>
          <w:trHeight w:val="1490"/>
        </w:trPr>
        <w:tc>
          <w:tcPr>
            <w:tcW w:w="0" w:type="auto"/>
            <w:hideMark/>
          </w:tcPr>
          <w:p w:rsidR="0026322A" w:rsidRDefault="005141CF">
            <w:pPr>
              <w:rPr>
                <w:rFonts w:ascii="Times New Roman" w:eastAsia="Times New Roman" w:hAnsi="Times New Roman" w:cs="Times New Roman"/>
                <w:lang w:eastAsia="en-IN"/>
              </w:rPr>
            </w:pPr>
            <w:r>
              <w:rPr>
                <w:rFonts w:ascii="Times New Roman" w:eastAsia="Times New Roman" w:hAnsi="Times New Roman" w:cs="Times New Roman"/>
                <w:lang w:eastAsia="en-IN"/>
              </w:rPr>
              <w:t>Moist Deciduous Forest</w:t>
            </w:r>
          </w:p>
        </w:tc>
        <w:tc>
          <w:tcPr>
            <w:tcW w:w="1146"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24.24</w:t>
            </w:r>
          </w:p>
        </w:tc>
        <w:tc>
          <w:tcPr>
            <w:tcW w:w="1100"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260.26</w:t>
            </w:r>
          </w:p>
        </w:tc>
        <w:tc>
          <w:tcPr>
            <w:tcW w:w="1640"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165.54</w:t>
            </w:r>
          </w:p>
        </w:tc>
        <w:tc>
          <w:tcPr>
            <w:tcW w:w="1646"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44.69</w:t>
            </w:r>
          </w:p>
        </w:tc>
        <w:tc>
          <w:tcPr>
            <w:tcW w:w="1568"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210.23</w:t>
            </w:r>
          </w:p>
        </w:tc>
        <w:tc>
          <w:tcPr>
            <w:tcW w:w="1554"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98.81</w:t>
            </w:r>
          </w:p>
        </w:tc>
      </w:tr>
      <w:tr w:rsidR="0026322A">
        <w:trPr>
          <w:trHeight w:val="1469"/>
        </w:trPr>
        <w:tc>
          <w:tcPr>
            <w:tcW w:w="0" w:type="auto"/>
            <w:hideMark/>
          </w:tcPr>
          <w:p w:rsidR="0026322A" w:rsidRDefault="005141CF">
            <w:pPr>
              <w:rPr>
                <w:rFonts w:ascii="Times New Roman" w:eastAsia="Times New Roman" w:hAnsi="Times New Roman" w:cs="Times New Roman"/>
                <w:lang w:eastAsia="en-IN"/>
              </w:rPr>
            </w:pPr>
            <w:r>
              <w:rPr>
                <w:rFonts w:ascii="Times New Roman" w:eastAsia="Times New Roman" w:hAnsi="Times New Roman" w:cs="Times New Roman"/>
                <w:lang w:eastAsia="en-IN"/>
              </w:rPr>
              <w:t>Semi-Evergreen Forest</w:t>
            </w:r>
          </w:p>
        </w:tc>
        <w:tc>
          <w:tcPr>
            <w:tcW w:w="1146"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35.39</w:t>
            </w:r>
          </w:p>
        </w:tc>
        <w:tc>
          <w:tcPr>
            <w:tcW w:w="1100"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629.85</w:t>
            </w:r>
          </w:p>
        </w:tc>
        <w:tc>
          <w:tcPr>
            <w:tcW w:w="1640"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337.53</w:t>
            </w:r>
          </w:p>
        </w:tc>
        <w:tc>
          <w:tcPr>
            <w:tcW w:w="1646"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91.13</w:t>
            </w:r>
          </w:p>
        </w:tc>
        <w:tc>
          <w:tcPr>
            <w:tcW w:w="1568"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428.66</w:t>
            </w:r>
          </w:p>
        </w:tc>
        <w:tc>
          <w:tcPr>
            <w:tcW w:w="1554" w:type="dxa"/>
            <w:hideMark/>
          </w:tcPr>
          <w:p w:rsidR="0026322A" w:rsidRDefault="005141CF">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201.47</w:t>
            </w:r>
          </w:p>
        </w:tc>
      </w:tr>
    </w:tbl>
    <w:p w:rsidR="0026322A" w:rsidRDefault="0026322A">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basal area was significantly higher in semi-evergreen forests (35.39 m² ha⁻¹) compared to moist deciduous forests (24.24 m² ha⁻¹). This can be attributed to the denser, multi-layered canopy and dominance of long-lived tree species in semi-evergreen forests. Joshi and Dhyani (2019) highlighted that species composition, tree age, and individual growth patterns explain such differences, while Baliram (2019) reported basal areas of 28.41–39.53 m² ha⁻¹ in natural forests of Kodagu. Ramesh and Swaminath (2009) also recorded basal areas of 30–50 m² ha⁻¹ in Western Ghats semi-evergreen forests, confirming their higher productivity compared to deciduous types.</w:t>
      </w: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Tree volume showed a similar trend, with semi-evergreen forests reaching 629.85 m³ ha⁻¹ compared to 260.26 m³ ha⁻¹ in moist deciduous forests. Variations in tree height, girth, and density largely accounted for this difference. Mohammadi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(2011) observed comparable patterns in northern Iran, while </w:t>
      </w:r>
      <w:r>
        <w:rPr>
          <w:rFonts w:ascii="Times New Roman" w:eastAsia="Times New Roman" w:hAnsi="Times New Roman" w:cs="Times New Roman"/>
          <w:sz w:val="24"/>
          <w:szCs w:val="24"/>
          <w:lang w:val="en-IN" w:eastAsia="en-IN"/>
        </w:rPr>
        <w:br/>
        <w:t xml:space="preserve">Jose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(2025) emphasized that volume strongly correlates with basal area and forest maturity, with high-volume stands acting as long-term carbon sinks.</w:t>
      </w: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 xml:space="preserve">Aboveground biomass (AGB) was also substantially greater in semi-evergreen forests (337.53 Mg ha⁻¹) than in moist deciduous forests (165.54 Mg ha⁻¹). This reflects differences in canopy height, stem density, and wood density. Tamhane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(2024) noted similar results in Western Ghats forests where evergreen-dominated areas accumulated greater biomass. </w:t>
      </w:r>
      <w:proofErr w:type="spellStart"/>
      <w:r>
        <w:rPr>
          <w:rFonts w:ascii="Times New Roman" w:eastAsia="Times New Roman" w:hAnsi="Times New Roman" w:cs="Times New Roman"/>
          <w:sz w:val="24"/>
          <w:szCs w:val="24"/>
          <w:lang w:val="en-IN" w:eastAsia="en-IN"/>
        </w:rPr>
        <w:t>Terakunpisut</w:t>
      </w:r>
      <w:proofErr w:type="spellEnd"/>
      <w:r>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(2007) also documented elevated AGB in evergreen systems. Comparatively, Anup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(2016) reported values of 160.9–271 Mg ha⁻¹ in Madhya Pradesh moist deciduous forests, while Baishya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(2009) recorded 323.9 Mg ha⁻¹ in humid tropical forests of northern India.</w:t>
      </w: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Belowground biomass (BGB), estimated at 26 per cent of AGB (Ravindranath and Ostwald, 2008), was higher in semi-evergreen forests (91.13 Mg ha⁻¹) than in moist deciduous forests (44.69 Mg ha⁻¹). Root systems enhance nutrient cycling and long-term carbon sequestration, with higher AGB values naturally supporting greater BGB (</w:t>
      </w:r>
      <w:proofErr w:type="spellStart"/>
      <w:r>
        <w:rPr>
          <w:rFonts w:ascii="Times New Roman" w:eastAsia="Times New Roman" w:hAnsi="Times New Roman" w:cs="Times New Roman"/>
          <w:sz w:val="24"/>
          <w:szCs w:val="24"/>
          <w:lang w:val="en-IN" w:eastAsia="en-IN"/>
        </w:rPr>
        <w:t>Yashmita</w:t>
      </w:r>
      <w:proofErr w:type="spellEnd"/>
      <w:r>
        <w:rPr>
          <w:rFonts w:ascii="Times New Roman" w:eastAsia="Times New Roman" w:hAnsi="Times New Roman" w:cs="Times New Roman"/>
          <w:sz w:val="24"/>
          <w:szCs w:val="24"/>
          <w:lang w:val="en-IN" w:eastAsia="en-IN"/>
        </w:rPr>
        <w:t xml:space="preserve"> and </w:t>
      </w:r>
      <w:proofErr w:type="spellStart"/>
      <w:r>
        <w:rPr>
          <w:rFonts w:ascii="Times New Roman" w:eastAsia="Times New Roman" w:hAnsi="Times New Roman" w:cs="Times New Roman"/>
          <w:sz w:val="24"/>
          <w:szCs w:val="24"/>
          <w:lang w:val="en-IN" w:eastAsia="en-IN"/>
        </w:rPr>
        <w:t>Avudainayagam</w:t>
      </w:r>
      <w:proofErr w:type="spellEnd"/>
      <w:r>
        <w:rPr>
          <w:rFonts w:ascii="Times New Roman" w:eastAsia="Times New Roman" w:hAnsi="Times New Roman" w:cs="Times New Roman"/>
          <w:sz w:val="24"/>
          <w:szCs w:val="24"/>
          <w:lang w:val="en-IN" w:eastAsia="en-IN"/>
        </w:rPr>
        <w:t xml:space="preserve">, 2014). Panda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(2013) similarly reported that tropical evergreen forests exceeded 85 Mg ha⁻¹ BGB owing to deeper root networks, whereas deciduous systems typically stored less due to seasonal leaf fall and shallower rooting patterns.</w:t>
      </w: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Total biomass, combining AGB and BGB, was almost double in semi-evergreen forests (428.66 Mg ha⁻¹) relative to moist deciduous forests (210.23 Mg ha⁻¹). Larger tree sizes, greater height, and higher wood density explain these differences (Joshi and Dhyani, 2019). Comparable values were reported by </w:t>
      </w:r>
      <w:r>
        <w:rPr>
          <w:rFonts w:ascii="Times New Roman" w:eastAsia="Times New Roman" w:hAnsi="Times New Roman" w:cs="Times New Roman"/>
          <w:sz w:val="24"/>
          <w:szCs w:val="24"/>
          <w:lang w:val="en-IN" w:eastAsia="en-IN"/>
        </w:rPr>
        <w:br/>
        <w:t xml:space="preserve">Keller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(2001) in the Tapajos National Forest of Brazil, </w:t>
      </w:r>
      <w:proofErr w:type="spellStart"/>
      <w:r>
        <w:rPr>
          <w:rFonts w:ascii="Times New Roman" w:eastAsia="Times New Roman" w:hAnsi="Times New Roman" w:cs="Times New Roman"/>
          <w:sz w:val="24"/>
          <w:szCs w:val="24"/>
          <w:lang w:val="en-IN" w:eastAsia="en-IN"/>
        </w:rPr>
        <w:t>Jhariya</w:t>
      </w:r>
      <w:proofErr w:type="spellEnd"/>
      <w:r>
        <w:rPr>
          <w:rFonts w:ascii="Times New Roman" w:eastAsia="Times New Roman" w:hAnsi="Times New Roman" w:cs="Times New Roman"/>
          <w:sz w:val="24"/>
          <w:szCs w:val="24"/>
          <w:lang w:val="en-IN" w:eastAsia="en-IN"/>
        </w:rPr>
        <w:t xml:space="preserve"> and Yadav (2018) in Chhattisgarh (321.19 Mg ha⁻¹), and Joshi and Dhyani (2019) across central India (103.32–453.54 Mg ha⁻¹). Murthy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(2016) further linked higher biomass to greater </w:t>
      </w:r>
      <w:r>
        <w:rPr>
          <w:rFonts w:ascii="Times New Roman" w:eastAsia="Times New Roman" w:hAnsi="Times New Roman" w:cs="Times New Roman"/>
          <w:sz w:val="24"/>
          <w:szCs w:val="24"/>
          <w:lang w:val="en-IN" w:eastAsia="en-IN"/>
        </w:rPr>
        <w:lastRenderedPageBreak/>
        <w:t>biodiversity, reinforcing the positive feedback between ecological complexity and productivity.</w:t>
      </w: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Carbon stock, estimated as 47 per cent of total biomass following IPCC (2007), was also significantly greater in semi-evergreen forests (201.47 Mg ha⁻¹) compared to moist deciduous forests (98.81 Mg ha⁻¹). These findings reflect the superior basal area, biomass, and diversity of semi-evergreen systems. Joshi and Dhyani (2019) noted that carbon stock variation is influenced by species composition, stand age, and disturbance regimes. Similar ranges have been reported across India, including 44.51–218.84 Mg ha⁻¹ in Andhra Pradesh (Srinivas and </w:t>
      </w:r>
      <w:proofErr w:type="spellStart"/>
      <w:r>
        <w:rPr>
          <w:rFonts w:ascii="Times New Roman" w:eastAsia="Times New Roman" w:hAnsi="Times New Roman" w:cs="Times New Roman"/>
          <w:sz w:val="24"/>
          <w:szCs w:val="24"/>
          <w:lang w:val="en-IN" w:eastAsia="en-IN"/>
        </w:rPr>
        <w:t>Sundarapandian</w:t>
      </w:r>
      <w:proofErr w:type="spellEnd"/>
      <w:r>
        <w:rPr>
          <w:rFonts w:ascii="Times New Roman" w:eastAsia="Times New Roman" w:hAnsi="Times New Roman" w:cs="Times New Roman"/>
          <w:sz w:val="24"/>
          <w:szCs w:val="24"/>
          <w:lang w:val="en-IN" w:eastAsia="en-IN"/>
        </w:rPr>
        <w:t xml:space="preserve">, 2019) and 143.63–228.47 Mg C ha⁻¹ in Kashmir Himalaya (Dar, 2018). Rao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(2014) also confirmed that Western Ghats semi-evergreen forests consistently surpass deciduous forests in carbon sequestration capacity.</w:t>
      </w:r>
    </w:p>
    <w:p w:rsidR="0026322A" w:rsidRDefault="005141CF">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 summary, semi-evergreen forests demonstrated higher basal area, volume, biomass, and carbon stock compared to moist deciduous forests. These differences are strongly tied to species richness, structural maturity, and ecological stability. The results highlight the critical role of semi-evergreen forests in climate mitigation and underscore the importance of their conservation for sustaining biodiversity and enhancing carbon storage.</w:t>
      </w:r>
    </w:p>
    <w:p w:rsidR="0026322A" w:rsidRDefault="005141CF">
      <w:pPr>
        <w:spacing w:before="100" w:beforeAutospacing="1" w:after="100" w:afterAutospacing="1" w:line="480" w:lineRule="auto"/>
        <w:ind w:right="273"/>
        <w:rPr>
          <w:rFonts w:ascii="Times New Roman" w:hAnsi="Times New Roman" w:cs="Times New Roman"/>
          <w:sz w:val="24"/>
        </w:rPr>
      </w:pPr>
      <w:r>
        <w:rPr>
          <w:rStyle w:val="Strong"/>
          <w:rFonts w:ascii="Times New Roman" w:hAnsi="Times New Roman" w:cs="Times New Roman"/>
          <w:sz w:val="24"/>
        </w:rPr>
        <w:t>Conclusion</w:t>
      </w:r>
    </w:p>
    <w:p w:rsidR="0026322A" w:rsidRDefault="005141CF">
      <w:pPr>
        <w:pStyle w:val="Default"/>
        <w:spacing w:line="480" w:lineRule="auto"/>
        <w:ind w:right="273"/>
        <w:jc w:val="both"/>
        <w:rPr>
          <w:b/>
        </w:rPr>
      </w:pPr>
      <w:r>
        <w:t xml:space="preserve">The present study highlights clear contrasts in biomass production and carbon sequestration potential between moist deciduous and semi-evergreen forests of the </w:t>
      </w:r>
      <w:proofErr w:type="spellStart"/>
      <w:r>
        <w:t>Sirsi</w:t>
      </w:r>
      <w:proofErr w:type="spellEnd"/>
      <w:r>
        <w:t xml:space="preserve"> Forest Range. Semi-evergreen forests exhibited consistently higher basal area, tree volume, aboveground and belowground biomass, and total carbon stock compared to moist deciduous forests. These differences are primarily attributed to species richness, multilayered canopy structures, larger tree sizes, and higher wood densities that </w:t>
      </w:r>
      <w:r>
        <w:lastRenderedPageBreak/>
        <w:t>characterize semi-evergreen ecosystems. Such ecological attributes not only enhance productivity but also strengthen their role as long-term carbon sinks. The observed trends align with findings from other tropical and subtropical forest studies, reinforcing the global relevance of these results. Importantly, the higher carbon storage capacity of semi-evergreen forests emphasizes their significance in climate change mitigation strategies. Conservation and sustainable management of these forests are therefore essential to maintain biodiversity, ecological balance, and the carbon sequestration services vital for global environmental stability.</w:t>
      </w:r>
    </w:p>
    <w:p w:rsidR="004D2D35" w:rsidRPr="004D2D35" w:rsidRDefault="004D2D35" w:rsidP="004D2D35">
      <w:pPr>
        <w:jc w:val="both"/>
        <w:rPr>
          <w:rFonts w:ascii="Times New Roman" w:hAnsi="Times New Roman" w:cs="Times New Roman"/>
          <w:b/>
          <w:sz w:val="24"/>
          <w:szCs w:val="24"/>
        </w:rPr>
      </w:pPr>
      <w:r w:rsidRPr="004D2D35">
        <w:rPr>
          <w:rFonts w:ascii="Times New Roman" w:hAnsi="Times New Roman" w:cs="Times New Roman"/>
          <w:b/>
          <w:sz w:val="24"/>
          <w:szCs w:val="24"/>
        </w:rPr>
        <w:t>Disclaimer (Artificial intelligence)</w:t>
      </w:r>
    </w:p>
    <w:p w:rsidR="00C879A1" w:rsidRPr="004D2D35" w:rsidRDefault="004D2D35" w:rsidP="004D2D35">
      <w:pPr>
        <w:jc w:val="both"/>
        <w:rPr>
          <w:rFonts w:ascii="Times New Roman" w:hAnsi="Times New Roman" w:cs="Times New Roman"/>
          <w:sz w:val="24"/>
          <w:szCs w:val="24"/>
        </w:rPr>
      </w:pPr>
      <w:r w:rsidRPr="004D2D35">
        <w:rPr>
          <w:rFonts w:ascii="Times New Roman" w:hAnsi="Times New Roman" w:cs="Times New Roman"/>
          <w:sz w:val="24"/>
          <w:szCs w:val="24"/>
        </w:rPr>
        <w:t>Author(s) hereby declare that NO generative AI technologies such as Large Language Models (</w:t>
      </w:r>
      <w:proofErr w:type="spellStart"/>
      <w:r w:rsidRPr="004D2D35">
        <w:rPr>
          <w:rFonts w:ascii="Times New Roman" w:hAnsi="Times New Roman" w:cs="Times New Roman"/>
          <w:sz w:val="24"/>
          <w:szCs w:val="24"/>
        </w:rPr>
        <w:t>ChatGPT</w:t>
      </w:r>
      <w:proofErr w:type="spellEnd"/>
      <w:r w:rsidRPr="004D2D35">
        <w:rPr>
          <w:rFonts w:ascii="Times New Roman" w:hAnsi="Times New Roman" w:cs="Times New Roman"/>
          <w:sz w:val="24"/>
          <w:szCs w:val="24"/>
        </w:rPr>
        <w:t>, COPILOT, etc.) and text-to-image generators have been used during the writing or editing of this manuscript</w:t>
      </w:r>
    </w:p>
    <w:p w:rsidR="0026322A" w:rsidRDefault="0026322A">
      <w:pPr>
        <w:pStyle w:val="Default"/>
        <w:spacing w:line="480" w:lineRule="auto"/>
        <w:jc w:val="both"/>
        <w:rPr>
          <w:b/>
        </w:rPr>
      </w:pPr>
    </w:p>
    <w:p w:rsidR="0026322A" w:rsidRDefault="005141CF">
      <w:pPr>
        <w:pStyle w:val="Default"/>
        <w:spacing w:line="480" w:lineRule="auto"/>
        <w:ind w:left="720" w:hanging="720"/>
        <w:jc w:val="both"/>
        <w:rPr>
          <w:b/>
        </w:rPr>
      </w:pPr>
      <w:r>
        <w:rPr>
          <w:b/>
        </w:rPr>
        <w:t>References</w:t>
      </w:r>
    </w:p>
    <w:p w:rsidR="0026322A" w:rsidRDefault="005141CF">
      <w:pPr>
        <w:pStyle w:val="BodyText"/>
        <w:spacing w:before="120" w:line="480" w:lineRule="auto"/>
        <w:ind w:left="1077" w:hanging="1077"/>
        <w:jc w:val="both"/>
      </w:pPr>
      <w:r>
        <w:t>Anonymous,</w:t>
      </w:r>
      <w:r>
        <w:rPr>
          <w:spacing w:val="40"/>
        </w:rPr>
        <w:t xml:space="preserve"> </w:t>
      </w:r>
      <w:r>
        <w:t>2011,</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2011.</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p>
    <w:p w:rsidR="0026322A" w:rsidRDefault="005141CF">
      <w:pPr>
        <w:pStyle w:val="BodyText"/>
        <w:spacing w:before="120" w:line="480" w:lineRule="auto"/>
        <w:ind w:left="1077" w:hanging="1077"/>
        <w:jc w:val="both"/>
      </w:pPr>
      <w:r>
        <w:t>Anonymous,</w:t>
      </w:r>
      <w:r>
        <w:rPr>
          <w:spacing w:val="40"/>
        </w:rPr>
        <w:t xml:space="preserve"> </w:t>
      </w:r>
      <w:r>
        <w:t>2021,</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2021.</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p>
    <w:p w:rsidR="0026322A" w:rsidRDefault="005141CF">
      <w:pPr>
        <w:pStyle w:val="BodyText"/>
        <w:spacing w:before="120" w:line="480" w:lineRule="auto"/>
        <w:ind w:left="1077" w:hanging="1077"/>
        <w:jc w:val="both"/>
      </w:pPr>
      <w:r>
        <w:t>Anonymous,</w:t>
      </w:r>
      <w:r>
        <w:rPr>
          <w:spacing w:val="40"/>
        </w:rPr>
        <w:t xml:space="preserve"> </w:t>
      </w:r>
      <w:r>
        <w:t>2023,</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2023.</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p>
    <w:p w:rsidR="0026322A" w:rsidRDefault="005141CF">
      <w:pPr>
        <w:pStyle w:val="BodyText"/>
        <w:spacing w:before="120" w:line="480" w:lineRule="auto"/>
        <w:ind w:left="1077" w:hanging="1077"/>
        <w:jc w:val="both"/>
      </w:pPr>
      <w:r>
        <w:t>Anup</w:t>
      </w:r>
      <w:r>
        <w:rPr>
          <w:spacing w:val="-15"/>
        </w:rPr>
        <w:t xml:space="preserve"> </w:t>
      </w:r>
      <w:r>
        <w:t>D,</w:t>
      </w:r>
      <w:r>
        <w:rPr>
          <w:spacing w:val="-15"/>
        </w:rPr>
        <w:t xml:space="preserve"> </w:t>
      </w:r>
      <w:r>
        <w:t>Patnaik</w:t>
      </w:r>
      <w:r>
        <w:rPr>
          <w:spacing w:val="-15"/>
        </w:rPr>
        <w:t xml:space="preserve"> </w:t>
      </w:r>
      <w:r>
        <w:t>C,</w:t>
      </w:r>
      <w:r>
        <w:rPr>
          <w:spacing w:val="-15"/>
        </w:rPr>
        <w:t xml:space="preserve"> </w:t>
      </w:r>
      <w:r>
        <w:t>Pandey</w:t>
      </w:r>
      <w:r>
        <w:rPr>
          <w:spacing w:val="-15"/>
        </w:rPr>
        <w:t xml:space="preserve"> </w:t>
      </w:r>
      <w:r>
        <w:t>D</w:t>
      </w:r>
      <w:r>
        <w:rPr>
          <w:spacing w:val="-15"/>
        </w:rPr>
        <w:t xml:space="preserve"> </w:t>
      </w:r>
      <w:r>
        <w:t>and</w:t>
      </w:r>
      <w:r>
        <w:rPr>
          <w:spacing w:val="-15"/>
        </w:rPr>
        <w:t xml:space="preserve"> </w:t>
      </w:r>
      <w:r>
        <w:t>Maity</w:t>
      </w:r>
      <w:r>
        <w:rPr>
          <w:spacing w:val="-15"/>
        </w:rPr>
        <w:t xml:space="preserve"> </w:t>
      </w:r>
      <w:r>
        <w:t>S,</w:t>
      </w:r>
      <w:r>
        <w:rPr>
          <w:spacing w:val="-15"/>
        </w:rPr>
        <w:t xml:space="preserve"> </w:t>
      </w:r>
      <w:r>
        <w:t>2016,</w:t>
      </w:r>
      <w:r>
        <w:rPr>
          <w:spacing w:val="-15"/>
        </w:rPr>
        <w:t xml:space="preserve"> </w:t>
      </w:r>
      <w:r>
        <w:t>Estimation</w:t>
      </w:r>
      <w:r>
        <w:rPr>
          <w:spacing w:val="-15"/>
        </w:rPr>
        <w:t xml:space="preserve"> </w:t>
      </w:r>
      <w:r>
        <w:t>of</w:t>
      </w:r>
      <w:r>
        <w:rPr>
          <w:spacing w:val="-15"/>
        </w:rPr>
        <w:t xml:space="preserve"> </w:t>
      </w:r>
      <w:r>
        <w:t>Forest</w:t>
      </w:r>
      <w:r>
        <w:rPr>
          <w:spacing w:val="-13"/>
        </w:rPr>
        <w:t xml:space="preserve"> </w:t>
      </w:r>
      <w:r>
        <w:t>Above-Ground</w:t>
      </w:r>
      <w:r>
        <w:rPr>
          <w:spacing w:val="-14"/>
        </w:rPr>
        <w:t xml:space="preserve"> </w:t>
      </w:r>
      <w:r>
        <w:t>Biomass over Different Vegetation Types in India using SAR Data. Paper presented in: 10th SPIE</w:t>
      </w:r>
      <w:r>
        <w:rPr>
          <w:spacing w:val="-10"/>
        </w:rPr>
        <w:t xml:space="preserve"> </w:t>
      </w:r>
      <w:r>
        <w:t>Asia-Pacific</w:t>
      </w:r>
      <w:r>
        <w:rPr>
          <w:spacing w:val="-8"/>
        </w:rPr>
        <w:t xml:space="preserve"> </w:t>
      </w:r>
      <w:r>
        <w:t>Remote</w:t>
      </w:r>
      <w:r>
        <w:rPr>
          <w:spacing w:val="-12"/>
        </w:rPr>
        <w:t xml:space="preserve"> </w:t>
      </w:r>
      <w:r>
        <w:t>Sensing</w:t>
      </w:r>
      <w:r>
        <w:rPr>
          <w:spacing w:val="-6"/>
        </w:rPr>
        <w:t xml:space="preserve"> </w:t>
      </w:r>
      <w:r>
        <w:t>symposium</w:t>
      </w:r>
      <w:r>
        <w:rPr>
          <w:spacing w:val="-11"/>
        </w:rPr>
        <w:t xml:space="preserve"> </w:t>
      </w:r>
      <w:r>
        <w:t>held</w:t>
      </w:r>
      <w:r>
        <w:rPr>
          <w:spacing w:val="-6"/>
        </w:rPr>
        <w:t xml:space="preserve"> </w:t>
      </w:r>
      <w:r>
        <w:t>in</w:t>
      </w:r>
      <w:r>
        <w:rPr>
          <w:spacing w:val="-12"/>
        </w:rPr>
        <w:t xml:space="preserve"> </w:t>
      </w:r>
      <w:r>
        <w:t>Delhi</w:t>
      </w:r>
      <w:r>
        <w:rPr>
          <w:spacing w:val="-15"/>
        </w:rPr>
        <w:t xml:space="preserve"> </w:t>
      </w:r>
      <w:r>
        <w:t>during</w:t>
      </w:r>
      <w:r>
        <w:rPr>
          <w:spacing w:val="-6"/>
        </w:rPr>
        <w:t xml:space="preserve"> </w:t>
      </w:r>
      <w:r>
        <w:t>04-07</w:t>
      </w:r>
      <w:r>
        <w:rPr>
          <w:spacing w:val="-11"/>
        </w:rPr>
        <w:t xml:space="preserve"> </w:t>
      </w:r>
      <w:r>
        <w:t>April</w:t>
      </w:r>
      <w:r>
        <w:rPr>
          <w:spacing w:val="-15"/>
        </w:rPr>
        <w:t xml:space="preserve"> </w:t>
      </w:r>
      <w:r>
        <w:rPr>
          <w:spacing w:val="-2"/>
        </w:rPr>
        <w:t xml:space="preserve">2016, </w:t>
      </w:r>
      <w:r>
        <w:t>pp.</w:t>
      </w:r>
      <w:r>
        <w:rPr>
          <w:spacing w:val="4"/>
        </w:rPr>
        <w:t xml:space="preserve"> </w:t>
      </w:r>
      <w:r>
        <w:rPr>
          <w:spacing w:val="-5"/>
        </w:rPr>
        <w:t>13.</w:t>
      </w:r>
    </w:p>
    <w:p w:rsidR="0026322A" w:rsidRDefault="005141CF">
      <w:pPr>
        <w:pStyle w:val="BodyText"/>
        <w:spacing w:before="120" w:line="480" w:lineRule="auto"/>
        <w:ind w:left="1077" w:hanging="1077"/>
        <w:jc w:val="both"/>
      </w:pPr>
      <w:r>
        <w:t>Baishya</w:t>
      </w:r>
      <w:r>
        <w:rPr>
          <w:spacing w:val="-2"/>
        </w:rPr>
        <w:t xml:space="preserve"> </w:t>
      </w:r>
      <w:r>
        <w:t>R, Barik</w:t>
      </w:r>
      <w:r>
        <w:rPr>
          <w:spacing w:val="-1"/>
        </w:rPr>
        <w:t xml:space="preserve"> </w:t>
      </w:r>
      <w:r>
        <w:t>S</w:t>
      </w:r>
      <w:r>
        <w:rPr>
          <w:spacing w:val="-1"/>
        </w:rPr>
        <w:t xml:space="preserve"> </w:t>
      </w:r>
      <w:r>
        <w:t>K</w:t>
      </w:r>
      <w:r>
        <w:rPr>
          <w:spacing w:val="-6"/>
        </w:rPr>
        <w:t xml:space="preserve"> </w:t>
      </w:r>
      <w:r>
        <w:t>and</w:t>
      </w:r>
      <w:r>
        <w:rPr>
          <w:spacing w:val="-1"/>
        </w:rPr>
        <w:t xml:space="preserve"> </w:t>
      </w:r>
      <w:proofErr w:type="spellStart"/>
      <w:r>
        <w:t>Upadhaya</w:t>
      </w:r>
      <w:proofErr w:type="spellEnd"/>
      <w:r>
        <w:t xml:space="preserve"> K, 2009, Distribution</w:t>
      </w:r>
      <w:r>
        <w:rPr>
          <w:spacing w:val="-5"/>
        </w:rPr>
        <w:t xml:space="preserve"> </w:t>
      </w:r>
      <w:r>
        <w:t>pattern</w:t>
      </w:r>
      <w:r>
        <w:rPr>
          <w:spacing w:val="-10"/>
        </w:rPr>
        <w:t xml:space="preserve"> </w:t>
      </w:r>
      <w:r>
        <w:t>of</w:t>
      </w:r>
      <w:r>
        <w:rPr>
          <w:spacing w:val="-8"/>
        </w:rPr>
        <w:t xml:space="preserve"> </w:t>
      </w:r>
      <w:r>
        <w:t>aboveground</w:t>
      </w:r>
      <w:r>
        <w:rPr>
          <w:spacing w:val="-1"/>
        </w:rPr>
        <w:t xml:space="preserve"> </w:t>
      </w:r>
      <w:r>
        <w:t xml:space="preserve">biomass in </w:t>
      </w:r>
      <w:r>
        <w:lastRenderedPageBreak/>
        <w:t xml:space="preserve">natural and plantation forests of humid tropics in northeast India. </w:t>
      </w:r>
      <w:r>
        <w:rPr>
          <w:i/>
        </w:rPr>
        <w:t>Tropical Ecology</w:t>
      </w:r>
      <w:r>
        <w:t>, 50(2): 295-307.</w:t>
      </w:r>
    </w:p>
    <w:p w:rsidR="0026322A" w:rsidRDefault="005141CF">
      <w:pPr>
        <w:pStyle w:val="BodyText"/>
        <w:spacing w:before="120" w:line="480" w:lineRule="auto"/>
        <w:ind w:left="1077" w:hanging="1077"/>
        <w:jc w:val="both"/>
      </w:pPr>
      <w:r>
        <w:t>Baliram G N, 2019, Biodiversity and carbon sequestration in forest-agroforest mosaics of</w:t>
      </w:r>
      <w:r>
        <w:rPr>
          <w:spacing w:val="-3"/>
        </w:rPr>
        <w:t xml:space="preserve"> </w:t>
      </w:r>
      <w:r>
        <w:t xml:space="preserve">the western ghats: Implications for REDD+, </w:t>
      </w:r>
      <w:r>
        <w:rPr>
          <w:i/>
        </w:rPr>
        <w:t>Ph. D. Thesis</w:t>
      </w:r>
      <w:r>
        <w:t>, University of Agricultural Sciences, Dharwad, Karnataka, India.</w:t>
      </w:r>
    </w:p>
    <w:p w:rsidR="0026322A" w:rsidRDefault="005141CF">
      <w:pPr>
        <w:pStyle w:val="BodyText"/>
        <w:spacing w:before="120" w:line="480" w:lineRule="auto"/>
        <w:ind w:left="1077" w:hanging="1077"/>
        <w:jc w:val="both"/>
      </w:pPr>
      <w:r>
        <w:t>Chandra J, Rawat V S, Rawat Y S and Ram J, 2010, Vegetational diversity along an altitudinal range in Garhwal Himalaya. International Journal of Biodiversity and Conservation, 2(1): 14-18.</w:t>
      </w:r>
    </w:p>
    <w:p w:rsidR="0026322A" w:rsidRDefault="005141CF">
      <w:pPr>
        <w:pStyle w:val="BodyText"/>
        <w:spacing w:before="120" w:line="480" w:lineRule="auto"/>
        <w:ind w:left="1077" w:hanging="1077"/>
        <w:jc w:val="both"/>
      </w:pPr>
      <w:r>
        <w:t>Chavan B L and Rasal G B, 2012, Carbon sequestration potential of young Annona reticulate and Annona squamosa from university campus of Aurangabad. International Journal of Physical and Social Science, 2(3): 193-198.</w:t>
      </w:r>
    </w:p>
    <w:p w:rsidR="0026322A" w:rsidRDefault="005141CF">
      <w:pPr>
        <w:pStyle w:val="BodyText"/>
        <w:spacing w:before="120" w:line="480" w:lineRule="auto"/>
        <w:ind w:left="1077" w:hanging="1077"/>
        <w:jc w:val="both"/>
      </w:pPr>
      <w:r>
        <w:t>Dar D A, 2018, Assessment of biomass and carbon stock in temperate forests of Northern Kashmir Himalaya, India. Proceedings of the International Academy of Ecology and Environmental Sciences, 8(2): 139-144.</w:t>
      </w:r>
    </w:p>
    <w:p w:rsidR="0026322A" w:rsidRDefault="005141CF">
      <w:pPr>
        <w:pStyle w:val="BodyText"/>
        <w:spacing w:before="120" w:line="480" w:lineRule="auto"/>
        <w:ind w:left="1077" w:hanging="1077"/>
        <w:jc w:val="both"/>
      </w:pPr>
      <w:r>
        <w:t xml:space="preserve">Dixon R K, Solomon A M, Brown S, Houghton R A, </w:t>
      </w:r>
      <w:proofErr w:type="spellStart"/>
      <w:r>
        <w:t>Trexier</w:t>
      </w:r>
      <w:proofErr w:type="spellEnd"/>
      <w:r>
        <w:t xml:space="preserve"> M C and Wisniewski J, 1994, Carbon pools and flux of global forest ecosystems. Science, 263(5144): 185-190.</w:t>
      </w:r>
    </w:p>
    <w:p w:rsidR="0026322A" w:rsidRDefault="005141CF">
      <w:pPr>
        <w:pStyle w:val="BodyText"/>
        <w:spacing w:before="120" w:line="480" w:lineRule="auto"/>
        <w:ind w:left="1077" w:hanging="1077"/>
        <w:jc w:val="both"/>
      </w:pPr>
      <w:r>
        <w:t>Dwivedi A P, 1992, Principle and practices of Silviculture. Surya publication, Dehradun, India.</w:t>
      </w:r>
    </w:p>
    <w:p w:rsidR="0026322A" w:rsidRDefault="005141CF">
      <w:pPr>
        <w:pStyle w:val="BodyText"/>
        <w:spacing w:before="120" w:line="480" w:lineRule="auto"/>
        <w:ind w:left="1077" w:hanging="1077"/>
        <w:jc w:val="both"/>
      </w:pPr>
      <w:r>
        <w:t xml:space="preserve">Harris N L, Gibbs D A, Baccini A, Birdsey R A, De B S, Farina M, </w:t>
      </w:r>
      <w:proofErr w:type="spellStart"/>
      <w:r>
        <w:t>Fatoyinbo</w:t>
      </w:r>
      <w:proofErr w:type="spellEnd"/>
      <w:r>
        <w:t xml:space="preserve"> L, Hansen M C, Herold M, Houghton R A and Potapov P V, 2021, Global maps of twenty-first century forest carbon fluxes. Nature Climate Change, 11(3): 234-240.</w:t>
      </w:r>
    </w:p>
    <w:p w:rsidR="0026322A" w:rsidRDefault="005141CF">
      <w:pPr>
        <w:pStyle w:val="BodyText"/>
        <w:spacing w:before="120" w:line="480" w:lineRule="auto"/>
        <w:ind w:left="1077" w:hanging="1077"/>
        <w:jc w:val="both"/>
      </w:pPr>
      <w:proofErr w:type="spellStart"/>
      <w:r>
        <w:t>Jhariya</w:t>
      </w:r>
      <w:proofErr w:type="spellEnd"/>
      <w:r>
        <w:t xml:space="preserve"> M.K and Yadav D K, 2018, Biomass and carbon storage pattern in natural and plantation forest ecosystem of Chhattisgarh, India. Journal of Forest and Environmental Science, 34(1): 1-11.</w:t>
      </w:r>
    </w:p>
    <w:p w:rsidR="0026322A" w:rsidRDefault="005141CF">
      <w:pPr>
        <w:pStyle w:val="BodyText"/>
        <w:spacing w:before="120" w:line="480" w:lineRule="auto"/>
        <w:ind w:left="1077" w:hanging="1077"/>
        <w:jc w:val="both"/>
      </w:pPr>
      <w:r>
        <w:lastRenderedPageBreak/>
        <w:t xml:space="preserve">Jose K, Najeeb N, </w:t>
      </w:r>
      <w:proofErr w:type="spellStart"/>
      <w:r>
        <w:t>Suryawanshi</w:t>
      </w:r>
      <w:proofErr w:type="spellEnd"/>
      <w:r>
        <w:t xml:space="preserve"> K, </w:t>
      </w:r>
      <w:proofErr w:type="spellStart"/>
      <w:r>
        <w:t>Hebbalalu</w:t>
      </w:r>
      <w:proofErr w:type="spellEnd"/>
      <w:r>
        <w:t xml:space="preserve"> S </w:t>
      </w:r>
      <w:proofErr w:type="spellStart"/>
      <w:r>
        <w:t>S</w:t>
      </w:r>
      <w:proofErr w:type="spellEnd"/>
      <w:r>
        <w:t xml:space="preserve"> and Chaturvedi, 2025,Woody species diversity, structure, and carbon stock in a tropical semi-evergreen forest in Western Ghats, India. </w:t>
      </w:r>
      <w:r>
        <w:rPr>
          <w:i/>
        </w:rPr>
        <w:t>Environmental Research Communications</w:t>
      </w:r>
      <w:r>
        <w:t xml:space="preserve">, </w:t>
      </w:r>
      <w:r>
        <w:rPr>
          <w:i/>
        </w:rPr>
        <w:t>7</w:t>
      </w:r>
      <w:r>
        <w:t>(4), p.045027.</w:t>
      </w:r>
    </w:p>
    <w:p w:rsidR="0026322A" w:rsidRDefault="005141CF">
      <w:pPr>
        <w:pStyle w:val="BodyText"/>
        <w:spacing w:before="120" w:line="480" w:lineRule="auto"/>
        <w:ind w:left="1077" w:hanging="1077"/>
        <w:jc w:val="both"/>
      </w:pPr>
      <w:r>
        <w:t>Joshi</w:t>
      </w:r>
      <w:r>
        <w:rPr>
          <w:spacing w:val="-15"/>
        </w:rPr>
        <w:t xml:space="preserve"> </w:t>
      </w:r>
      <w:r>
        <w:t>R</w:t>
      </w:r>
      <w:r>
        <w:rPr>
          <w:spacing w:val="-6"/>
        </w:rPr>
        <w:t xml:space="preserve"> </w:t>
      </w:r>
      <w:r>
        <w:t>K</w:t>
      </w:r>
      <w:r>
        <w:rPr>
          <w:spacing w:val="-14"/>
        </w:rPr>
        <w:t xml:space="preserve"> </w:t>
      </w:r>
      <w:r>
        <w:t>and</w:t>
      </w:r>
      <w:r>
        <w:rPr>
          <w:spacing w:val="-9"/>
        </w:rPr>
        <w:t xml:space="preserve"> </w:t>
      </w:r>
      <w:r>
        <w:t>Dhyani</w:t>
      </w:r>
      <w:r>
        <w:rPr>
          <w:spacing w:val="-13"/>
        </w:rPr>
        <w:t xml:space="preserve"> </w:t>
      </w:r>
      <w:r>
        <w:t>S,</w:t>
      </w:r>
      <w:r>
        <w:rPr>
          <w:spacing w:val="-7"/>
        </w:rPr>
        <w:t xml:space="preserve"> </w:t>
      </w:r>
      <w:r>
        <w:t>2019,</w:t>
      </w:r>
      <w:r>
        <w:rPr>
          <w:spacing w:val="-7"/>
        </w:rPr>
        <w:t xml:space="preserve"> </w:t>
      </w:r>
      <w:r>
        <w:t>Biomass,</w:t>
      </w:r>
      <w:r>
        <w:rPr>
          <w:spacing w:val="-7"/>
        </w:rPr>
        <w:t xml:space="preserve"> </w:t>
      </w:r>
      <w:r>
        <w:t>carbon</w:t>
      </w:r>
      <w:r>
        <w:rPr>
          <w:spacing w:val="-13"/>
        </w:rPr>
        <w:t xml:space="preserve"> </w:t>
      </w:r>
      <w:r>
        <w:t>density</w:t>
      </w:r>
      <w:r>
        <w:rPr>
          <w:spacing w:val="-13"/>
        </w:rPr>
        <w:t xml:space="preserve"> </w:t>
      </w:r>
      <w:r>
        <w:t>and</w:t>
      </w:r>
      <w:r>
        <w:rPr>
          <w:spacing w:val="-9"/>
        </w:rPr>
        <w:t xml:space="preserve"> </w:t>
      </w:r>
      <w:r>
        <w:t>diversity</w:t>
      </w:r>
      <w:r>
        <w:rPr>
          <w:spacing w:val="-15"/>
        </w:rPr>
        <w:t xml:space="preserve"> </w:t>
      </w:r>
      <w:r>
        <w:t>of</w:t>
      </w:r>
      <w:r>
        <w:rPr>
          <w:spacing w:val="-15"/>
        </w:rPr>
        <w:t xml:space="preserve"> </w:t>
      </w:r>
      <w:r>
        <w:t>tree</w:t>
      </w:r>
      <w:r>
        <w:rPr>
          <w:spacing w:val="-10"/>
        </w:rPr>
        <w:t xml:space="preserve"> </w:t>
      </w:r>
      <w:r>
        <w:t>species</w:t>
      </w:r>
      <w:r>
        <w:rPr>
          <w:spacing w:val="-6"/>
        </w:rPr>
        <w:t xml:space="preserve"> </w:t>
      </w:r>
      <w:r>
        <w:t>in</w:t>
      </w:r>
      <w:r>
        <w:rPr>
          <w:spacing w:val="-13"/>
        </w:rPr>
        <w:t xml:space="preserve"> </w:t>
      </w:r>
      <w:r>
        <w:t xml:space="preserve">tropical dry deciduous forests in Central India. </w:t>
      </w:r>
      <w:r>
        <w:rPr>
          <w:i/>
        </w:rPr>
        <w:t>Journal of Ecology and Environment</w:t>
      </w:r>
      <w:r>
        <w:t xml:space="preserve">, 39(4): </w:t>
      </w:r>
      <w:r>
        <w:rPr>
          <w:spacing w:val="-2"/>
        </w:rPr>
        <w:t>289-299.</w:t>
      </w:r>
    </w:p>
    <w:p w:rsidR="0026322A" w:rsidRDefault="005141CF">
      <w:pPr>
        <w:pStyle w:val="BodyText"/>
        <w:spacing w:before="120" w:line="480" w:lineRule="auto"/>
        <w:ind w:left="1077" w:hanging="1077"/>
        <w:jc w:val="both"/>
      </w:pPr>
      <w:r>
        <w:t xml:space="preserve">Keller M, Palace M and Hurtt G, 2001, Biomass estimation in the Tapajos National Forest, Brazil: examination of sampling and allometric uncertainties. </w:t>
      </w:r>
      <w:r>
        <w:rPr>
          <w:i/>
        </w:rPr>
        <w:t>Forest Ecology and Management</w:t>
      </w:r>
      <w:r>
        <w:t>, 154(3): 371-382</w:t>
      </w:r>
    </w:p>
    <w:p w:rsidR="0026322A" w:rsidRDefault="005141CF">
      <w:pPr>
        <w:pStyle w:val="BodyText"/>
        <w:spacing w:before="120" w:line="480" w:lineRule="auto"/>
        <w:ind w:left="1077" w:hanging="1077"/>
        <w:jc w:val="both"/>
      </w:pPr>
      <w:r>
        <w:t>Malhi Y and Grace J, 2000, Tropical forests and atmospheric carbon dioxide. Trends in Ecology and Evolution, 15(8):332-337.</w:t>
      </w:r>
    </w:p>
    <w:p w:rsidR="0026322A" w:rsidRDefault="005141CF">
      <w:pPr>
        <w:pStyle w:val="BodyText"/>
        <w:spacing w:before="120" w:line="480" w:lineRule="auto"/>
        <w:ind w:left="1077" w:hanging="1077"/>
        <w:jc w:val="both"/>
      </w:pPr>
      <w:proofErr w:type="spellStart"/>
      <w:r>
        <w:t>Mohammadi</w:t>
      </w:r>
      <w:proofErr w:type="spellEnd"/>
      <w:r>
        <w:t xml:space="preserve"> J, </w:t>
      </w:r>
      <w:proofErr w:type="spellStart"/>
      <w:r>
        <w:t>Shataee</w:t>
      </w:r>
      <w:proofErr w:type="spellEnd"/>
      <w:r>
        <w:t xml:space="preserve"> S and </w:t>
      </w:r>
      <w:proofErr w:type="spellStart"/>
      <w:r>
        <w:t>Babanezhad</w:t>
      </w:r>
      <w:proofErr w:type="spellEnd"/>
      <w:r>
        <w:t xml:space="preserve"> M, 2011, Estimation of forest stand volume, tree density and biodiversity using Landsat ETM+ Data, comparison of linear and regression tree analyses. Procedia Environmental Sciences, 7: 299-304.</w:t>
      </w:r>
    </w:p>
    <w:p w:rsidR="0026322A" w:rsidRDefault="005141CF">
      <w:pPr>
        <w:pStyle w:val="BodyText"/>
        <w:spacing w:before="120" w:line="480" w:lineRule="auto"/>
        <w:ind w:left="1077" w:hanging="1077"/>
        <w:jc w:val="both"/>
      </w:pPr>
      <w:r>
        <w:t>Ravindranath N H and Ostwald M, 2008, Carbon Inventory methods: Handbook for Greenhouse gas inventory, Carbon mitigation and round wood production projects. Springer Science and Business Media, Sweden.</w:t>
      </w:r>
    </w:p>
    <w:p w:rsidR="0026322A" w:rsidRDefault="005141CF">
      <w:pPr>
        <w:pStyle w:val="BodyText"/>
        <w:spacing w:before="120" w:line="480" w:lineRule="auto"/>
        <w:ind w:left="1077" w:hanging="1077"/>
        <w:jc w:val="both"/>
      </w:pPr>
      <w:r>
        <w:t>Pan</w:t>
      </w:r>
      <w:r>
        <w:rPr>
          <w:spacing w:val="-7"/>
        </w:rPr>
        <w:t xml:space="preserve"> </w:t>
      </w:r>
      <w:r>
        <w:t>Y,</w:t>
      </w:r>
      <w:r>
        <w:rPr>
          <w:spacing w:val="-1"/>
        </w:rPr>
        <w:t xml:space="preserve"> </w:t>
      </w:r>
      <w:r>
        <w:t>Birdsey</w:t>
      </w:r>
      <w:r>
        <w:rPr>
          <w:spacing w:val="-12"/>
        </w:rPr>
        <w:t xml:space="preserve"> </w:t>
      </w:r>
      <w:r>
        <w:t>R A, Fang</w:t>
      </w:r>
      <w:r>
        <w:rPr>
          <w:spacing w:val="-2"/>
        </w:rPr>
        <w:t xml:space="preserve"> </w:t>
      </w:r>
      <w:r>
        <w:t>J, Houghton</w:t>
      </w:r>
      <w:r>
        <w:rPr>
          <w:spacing w:val="-7"/>
        </w:rPr>
        <w:t xml:space="preserve"> </w:t>
      </w:r>
      <w:r>
        <w:t>R,</w:t>
      </w:r>
      <w:r>
        <w:rPr>
          <w:spacing w:val="-5"/>
        </w:rPr>
        <w:t xml:space="preserve"> </w:t>
      </w:r>
      <w:r>
        <w:t>Kauppi</w:t>
      </w:r>
      <w:r>
        <w:rPr>
          <w:spacing w:val="-7"/>
        </w:rPr>
        <w:t xml:space="preserve"> </w:t>
      </w:r>
      <w:r>
        <w:t>P</w:t>
      </w:r>
      <w:r>
        <w:rPr>
          <w:spacing w:val="-2"/>
        </w:rPr>
        <w:t xml:space="preserve"> </w:t>
      </w:r>
      <w:r>
        <w:t>E,</w:t>
      </w:r>
      <w:r>
        <w:rPr>
          <w:spacing w:val="-5"/>
        </w:rPr>
        <w:t xml:space="preserve"> </w:t>
      </w:r>
      <w:r>
        <w:t>Kurz</w:t>
      </w:r>
      <w:r>
        <w:rPr>
          <w:spacing w:val="-3"/>
        </w:rPr>
        <w:t xml:space="preserve"> </w:t>
      </w:r>
      <w:r>
        <w:t>W</w:t>
      </w:r>
      <w:r>
        <w:rPr>
          <w:spacing w:val="-8"/>
        </w:rPr>
        <w:t xml:space="preserve"> </w:t>
      </w:r>
      <w:r>
        <w:t>A, Phillips</w:t>
      </w:r>
      <w:r>
        <w:rPr>
          <w:spacing w:val="-4"/>
        </w:rPr>
        <w:t xml:space="preserve"> </w:t>
      </w:r>
      <w:r>
        <w:t>O</w:t>
      </w:r>
      <w:r>
        <w:rPr>
          <w:spacing w:val="-3"/>
        </w:rPr>
        <w:t xml:space="preserve"> </w:t>
      </w:r>
      <w:r>
        <w:t>L,</w:t>
      </w:r>
      <w:r>
        <w:rPr>
          <w:spacing w:val="-5"/>
        </w:rPr>
        <w:t xml:space="preserve"> </w:t>
      </w:r>
      <w:proofErr w:type="spellStart"/>
      <w:r>
        <w:t>Shvidenko</w:t>
      </w:r>
      <w:proofErr w:type="spellEnd"/>
      <w:r>
        <w:t xml:space="preserve"> A, Lewis S L, </w:t>
      </w:r>
      <w:proofErr w:type="spellStart"/>
      <w:r>
        <w:t>Canadell</w:t>
      </w:r>
      <w:proofErr w:type="spellEnd"/>
      <w:r>
        <w:t xml:space="preserve"> G and </w:t>
      </w:r>
      <w:proofErr w:type="spellStart"/>
      <w:r>
        <w:t>Ciais</w:t>
      </w:r>
      <w:proofErr w:type="spellEnd"/>
      <w:r>
        <w:t xml:space="preserve"> P, 2011, A large and persistent carbon sink in the world’s forests. </w:t>
      </w:r>
      <w:r>
        <w:rPr>
          <w:i/>
        </w:rPr>
        <w:t>Science</w:t>
      </w:r>
      <w:r>
        <w:t xml:space="preserve">, </w:t>
      </w:r>
      <w:r>
        <w:rPr>
          <w:i/>
        </w:rPr>
        <w:t>333</w:t>
      </w:r>
      <w:r>
        <w:t>(6045): 988-993.</w:t>
      </w:r>
    </w:p>
    <w:p w:rsidR="0026322A" w:rsidRDefault="005141CF">
      <w:pPr>
        <w:pStyle w:val="BodyText"/>
        <w:spacing w:before="120" w:line="480" w:lineRule="auto"/>
        <w:ind w:left="1077" w:hanging="1077"/>
        <w:jc w:val="both"/>
      </w:pPr>
      <w:r>
        <w:t xml:space="preserve">Panda P C, Mahapatra A K, Acharya P K and </w:t>
      </w:r>
      <w:proofErr w:type="spellStart"/>
      <w:r>
        <w:t>Debata</w:t>
      </w:r>
      <w:proofErr w:type="spellEnd"/>
      <w:r>
        <w:t xml:space="preserve"> A K, 2013, Plant diversity in tropical deciduous</w:t>
      </w:r>
      <w:r>
        <w:rPr>
          <w:spacing w:val="-9"/>
        </w:rPr>
        <w:t xml:space="preserve"> </w:t>
      </w:r>
      <w:r>
        <w:t>forests</w:t>
      </w:r>
      <w:r>
        <w:rPr>
          <w:spacing w:val="-14"/>
        </w:rPr>
        <w:t xml:space="preserve"> </w:t>
      </w:r>
      <w:r>
        <w:t>of</w:t>
      </w:r>
      <w:r>
        <w:rPr>
          <w:spacing w:val="-15"/>
        </w:rPr>
        <w:t xml:space="preserve"> </w:t>
      </w:r>
      <w:r>
        <w:t>Eastern</w:t>
      </w:r>
      <w:r>
        <w:rPr>
          <w:spacing w:val="-12"/>
        </w:rPr>
        <w:t xml:space="preserve"> </w:t>
      </w:r>
      <w:r>
        <w:t>Ghats</w:t>
      </w:r>
      <w:r>
        <w:rPr>
          <w:spacing w:val="-9"/>
        </w:rPr>
        <w:t xml:space="preserve"> </w:t>
      </w:r>
      <w:r>
        <w:t>India:</w:t>
      </w:r>
      <w:r>
        <w:rPr>
          <w:spacing w:val="-6"/>
        </w:rPr>
        <w:t xml:space="preserve"> </w:t>
      </w:r>
      <w:r>
        <w:t>A</w:t>
      </w:r>
      <w:r>
        <w:rPr>
          <w:spacing w:val="-8"/>
        </w:rPr>
        <w:t xml:space="preserve"> </w:t>
      </w:r>
      <w:r>
        <w:t>landscape</w:t>
      </w:r>
      <w:r>
        <w:rPr>
          <w:spacing w:val="-8"/>
        </w:rPr>
        <w:t xml:space="preserve"> </w:t>
      </w:r>
      <w:r>
        <w:t>level</w:t>
      </w:r>
      <w:r>
        <w:rPr>
          <w:spacing w:val="-15"/>
        </w:rPr>
        <w:t xml:space="preserve"> </w:t>
      </w:r>
      <w:r>
        <w:t xml:space="preserve">assessment. </w:t>
      </w:r>
      <w:r>
        <w:rPr>
          <w:i/>
        </w:rPr>
        <w:t>Int</w:t>
      </w:r>
      <w:r>
        <w:rPr>
          <w:i/>
          <w:spacing w:val="-6"/>
        </w:rPr>
        <w:t xml:space="preserve"> </w:t>
      </w:r>
      <w:r>
        <w:rPr>
          <w:i/>
        </w:rPr>
        <w:t>J</w:t>
      </w:r>
      <w:r>
        <w:rPr>
          <w:i/>
          <w:spacing w:val="-13"/>
        </w:rPr>
        <w:t xml:space="preserve"> </w:t>
      </w:r>
      <w:proofErr w:type="spellStart"/>
      <w:r>
        <w:rPr>
          <w:i/>
        </w:rPr>
        <w:t>Biodivers</w:t>
      </w:r>
      <w:proofErr w:type="spellEnd"/>
      <w:r>
        <w:rPr>
          <w:i/>
        </w:rPr>
        <w:t xml:space="preserve"> </w:t>
      </w:r>
      <w:proofErr w:type="spellStart"/>
      <w:r>
        <w:rPr>
          <w:i/>
        </w:rPr>
        <w:t>Conserv</w:t>
      </w:r>
      <w:proofErr w:type="spellEnd"/>
      <w:r>
        <w:t xml:space="preserve">, </w:t>
      </w:r>
      <w:r>
        <w:rPr>
          <w:i/>
        </w:rPr>
        <w:t>5</w:t>
      </w:r>
      <w:r>
        <w:t>(10), pp.625-639.</w:t>
      </w:r>
    </w:p>
    <w:p w:rsidR="0026322A" w:rsidRDefault="005141CF">
      <w:pPr>
        <w:pStyle w:val="BodyText"/>
        <w:spacing w:before="120" w:line="480" w:lineRule="auto"/>
        <w:ind w:left="1077" w:hanging="1077"/>
        <w:jc w:val="both"/>
      </w:pPr>
      <w:r>
        <w:t xml:space="preserve">Ramesh B R, </w:t>
      </w:r>
      <w:proofErr w:type="spellStart"/>
      <w:r>
        <w:t>Swaminath</w:t>
      </w:r>
      <w:proofErr w:type="spellEnd"/>
      <w:r>
        <w:t xml:space="preserve"> M H, Patil S, </w:t>
      </w:r>
      <w:proofErr w:type="spellStart"/>
      <w:r>
        <w:t>Aravajy</w:t>
      </w:r>
      <w:proofErr w:type="spellEnd"/>
      <w:r>
        <w:t xml:space="preserve"> S, and </w:t>
      </w:r>
      <w:proofErr w:type="spellStart"/>
      <w:r>
        <w:t>Elouard</w:t>
      </w:r>
      <w:proofErr w:type="spellEnd"/>
      <w:r>
        <w:t xml:space="preserve"> C, 2009, Assessment and </w:t>
      </w:r>
      <w:r>
        <w:lastRenderedPageBreak/>
        <w:t>conservation of forest biodiversity in the Western Ghats of Karnataka India Assessment of tree biodiversity, logging impact and general discussion.</w:t>
      </w:r>
    </w:p>
    <w:p w:rsidR="0026322A" w:rsidRDefault="005141CF">
      <w:pPr>
        <w:pStyle w:val="BodyText"/>
        <w:spacing w:before="120" w:line="480" w:lineRule="auto"/>
        <w:ind w:left="1077" w:hanging="1077"/>
        <w:jc w:val="both"/>
      </w:pPr>
      <w:r>
        <w:t>Rao G R, Krishnakumar G, Chandran S, and Ramachandran T V, 2014, Threatened tree species of swamps and riparian habitats of central western ghats. Conference on Conservation and Sustainable Management of Wetland Ecosystems in Western Ghats Bangalore.</w:t>
      </w:r>
    </w:p>
    <w:p w:rsidR="0026322A" w:rsidRDefault="005141CF">
      <w:pPr>
        <w:pStyle w:val="BodyText"/>
        <w:spacing w:before="120" w:line="480" w:lineRule="auto"/>
        <w:ind w:left="1077" w:hanging="1077"/>
        <w:jc w:val="both"/>
      </w:pPr>
      <w:r>
        <w:t xml:space="preserve">Srinivas K and </w:t>
      </w:r>
      <w:proofErr w:type="spellStart"/>
      <w:r>
        <w:t>Sundarapandian</w:t>
      </w:r>
      <w:proofErr w:type="spellEnd"/>
      <w:r>
        <w:t xml:space="preserve"> S, 2019, Biomass and carbon stocks of trees in tropical dry forest of East Godavari region, Andhra Pradesh, India. </w:t>
      </w:r>
      <w:r>
        <w:rPr>
          <w:i/>
        </w:rPr>
        <w:t>Geology, Ecology and Landscapes</w:t>
      </w:r>
      <w:r>
        <w:t>, 3(2): 114-122.</w:t>
      </w:r>
    </w:p>
    <w:p w:rsidR="0026322A" w:rsidRDefault="005141CF">
      <w:pPr>
        <w:pStyle w:val="BodyText"/>
        <w:spacing w:before="120" w:line="480" w:lineRule="auto"/>
        <w:ind w:left="1077" w:hanging="1077"/>
        <w:jc w:val="both"/>
      </w:pPr>
      <w:proofErr w:type="spellStart"/>
      <w:r>
        <w:t>Tamhane</w:t>
      </w:r>
      <w:proofErr w:type="spellEnd"/>
      <w:r>
        <w:t xml:space="preserve"> V, </w:t>
      </w:r>
      <w:proofErr w:type="spellStart"/>
      <w:r>
        <w:t>Kashikar</w:t>
      </w:r>
      <w:proofErr w:type="spellEnd"/>
      <w:r>
        <w:t xml:space="preserve"> A, </w:t>
      </w:r>
      <w:proofErr w:type="spellStart"/>
      <w:r>
        <w:t>Gole</w:t>
      </w:r>
      <w:proofErr w:type="spellEnd"/>
      <w:r>
        <w:t xml:space="preserve"> C, </w:t>
      </w:r>
      <w:proofErr w:type="spellStart"/>
      <w:r>
        <w:t>Bodkhe</w:t>
      </w:r>
      <w:proofErr w:type="spellEnd"/>
      <w:r>
        <w:t xml:space="preserve"> B, </w:t>
      </w:r>
      <w:proofErr w:type="spellStart"/>
      <w:r>
        <w:t>Gulanikar</w:t>
      </w:r>
      <w:proofErr w:type="spellEnd"/>
      <w:r>
        <w:t xml:space="preserve"> N, Hedda, </w:t>
      </w:r>
      <w:proofErr w:type="spellStart"/>
      <w:r>
        <w:t>Datkhile</w:t>
      </w:r>
      <w:proofErr w:type="spellEnd"/>
      <w:r>
        <w:t>, 2024, Forest species diversity and community composition in the northern Western Ghats India. Plant Ecology and Diversity, 17(1-2), pp.47-64.</w:t>
      </w:r>
    </w:p>
    <w:p w:rsidR="0026322A" w:rsidRDefault="005141CF">
      <w:pPr>
        <w:pStyle w:val="BodyText"/>
        <w:spacing w:before="120" w:line="480" w:lineRule="auto"/>
        <w:ind w:left="1077" w:hanging="1077"/>
        <w:jc w:val="both"/>
      </w:pPr>
      <w:proofErr w:type="spellStart"/>
      <w:r>
        <w:t>Terakunpisut</w:t>
      </w:r>
      <w:proofErr w:type="spellEnd"/>
      <w:r>
        <w:t xml:space="preserve"> J, </w:t>
      </w:r>
      <w:proofErr w:type="spellStart"/>
      <w:r>
        <w:t>Gajaseni</w:t>
      </w:r>
      <w:proofErr w:type="spellEnd"/>
      <w:r>
        <w:t xml:space="preserve"> N and </w:t>
      </w:r>
      <w:proofErr w:type="spellStart"/>
      <w:r>
        <w:t>Ruankawe</w:t>
      </w:r>
      <w:proofErr w:type="spellEnd"/>
      <w:r>
        <w:t xml:space="preserve"> N, 2007, Carbon sequestration potential in aboveground biomass of Thong Pha Phum national forest, Thailand. Applied Ecology and Environmental Research, 5(2): 93-102.</w:t>
      </w:r>
    </w:p>
    <w:p w:rsidR="0026322A" w:rsidRDefault="005141CF">
      <w:pPr>
        <w:pStyle w:val="BodyText"/>
        <w:spacing w:before="120" w:line="480" w:lineRule="auto"/>
        <w:ind w:left="1077" w:hanging="1077"/>
        <w:jc w:val="both"/>
      </w:pPr>
      <w:proofErr w:type="spellStart"/>
      <w:r>
        <w:t>Yashmita</w:t>
      </w:r>
      <w:proofErr w:type="spellEnd"/>
      <w:r>
        <w:t xml:space="preserve"> U and </w:t>
      </w:r>
      <w:proofErr w:type="spellStart"/>
      <w:r>
        <w:t>Avudainayagam</w:t>
      </w:r>
      <w:proofErr w:type="spellEnd"/>
      <w:r>
        <w:t xml:space="preserve">, 2014, Carbon storage potential of Eucalyptus </w:t>
      </w:r>
      <w:proofErr w:type="spellStart"/>
      <w:r>
        <w:t>teretocornis</w:t>
      </w:r>
      <w:proofErr w:type="spellEnd"/>
      <w:r>
        <w:t xml:space="preserve"> plantations. Indian Forester, 140(1): 53-57.</w:t>
      </w:r>
    </w:p>
    <w:p w:rsidR="0026322A" w:rsidRDefault="0026322A">
      <w:pPr>
        <w:rPr>
          <w:rFonts w:ascii="Times New Roman" w:hAnsi="Times New Roman" w:cs="Times New Roman"/>
          <w:sz w:val="24"/>
        </w:rPr>
      </w:pPr>
    </w:p>
    <w:sectPr w:rsidR="002632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5E0" w:rsidRDefault="006B45E0">
      <w:pPr>
        <w:spacing w:after="0" w:line="240" w:lineRule="auto"/>
      </w:pPr>
      <w:r>
        <w:separator/>
      </w:r>
    </w:p>
  </w:endnote>
  <w:endnote w:type="continuationSeparator" w:id="0">
    <w:p w:rsidR="006B45E0" w:rsidRDefault="006B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2A" w:rsidRDefault="0026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2A" w:rsidRDefault="00263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2A" w:rsidRDefault="0026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5E0" w:rsidRDefault="006B45E0">
      <w:pPr>
        <w:spacing w:after="0" w:line="240" w:lineRule="auto"/>
      </w:pPr>
      <w:r>
        <w:separator/>
      </w:r>
    </w:p>
  </w:footnote>
  <w:footnote w:type="continuationSeparator" w:id="0">
    <w:p w:rsidR="006B45E0" w:rsidRDefault="006B4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2A" w:rsidRDefault="006B45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4" o:spid="_x0000_s2050" type="#_x0000_t136" style="position:absolute;margin-left:0;margin-top:0;width:631.2pt;height:11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2A" w:rsidRDefault="006B45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5" o:spid="_x0000_s2051" type="#_x0000_t136" style="position:absolute;margin-left:0;margin-top:0;width:631.2pt;height:11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22A" w:rsidRDefault="006B45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3" o:spid="_x0000_s2049" type="#_x0000_t136" style="position:absolute;margin-left:0;margin-top:0;width:631.2pt;height:11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80519"/>
    <w:multiLevelType w:val="multilevel"/>
    <w:tmpl w:val="A05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A11AD"/>
    <w:multiLevelType w:val="multilevel"/>
    <w:tmpl w:val="8AD6D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32476"/>
    <w:multiLevelType w:val="multilevel"/>
    <w:tmpl w:val="10503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0D42C2"/>
    <w:multiLevelType w:val="hybridMultilevel"/>
    <w:tmpl w:val="934AF2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50B6931"/>
    <w:multiLevelType w:val="multilevel"/>
    <w:tmpl w:val="38A22BF4"/>
    <w:lvl w:ilvl="0">
      <w:start w:val="3"/>
      <w:numFmt w:val="decimal"/>
      <w:lvlText w:val="%1"/>
      <w:lvlJc w:val="left"/>
      <w:pPr>
        <w:ind w:left="874" w:hanging="542"/>
        <w:jc w:val="left"/>
      </w:pPr>
      <w:rPr>
        <w:rFonts w:hint="default"/>
        <w:lang w:val="en-US" w:eastAsia="en-US" w:bidi="ar-SA"/>
      </w:rPr>
    </w:lvl>
    <w:lvl w:ilvl="1">
      <w:start w:val="3"/>
      <w:numFmt w:val="decimal"/>
      <w:lvlText w:val="%1.%2"/>
      <w:lvlJc w:val="left"/>
      <w:pPr>
        <w:ind w:left="874" w:hanging="542"/>
        <w:jc w:val="left"/>
      </w:pPr>
      <w:rPr>
        <w:rFonts w:hint="default"/>
        <w:lang w:val="en-US" w:eastAsia="en-US" w:bidi="ar-SA"/>
      </w:rPr>
    </w:lvl>
    <w:lvl w:ilvl="2">
      <w:start w:val="1"/>
      <w:numFmt w:val="decimal"/>
      <w:lvlText w:val="%1.%2.%3."/>
      <w:lvlJc w:val="left"/>
      <w:pPr>
        <w:ind w:left="874" w:hanging="542"/>
        <w:jc w:val="left"/>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1.%2.%3.%4"/>
      <w:lvlJc w:val="left"/>
      <w:pPr>
        <w:ind w:left="874" w:hanging="735"/>
        <w:jc w:val="left"/>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lowerLetter"/>
      <w:lvlText w:val="%5)"/>
      <w:lvlJc w:val="left"/>
      <w:pPr>
        <w:ind w:left="3040" w:hanging="360"/>
        <w:jc w:val="right"/>
      </w:pPr>
      <w:rPr>
        <w:rFonts w:ascii="Times New Roman" w:eastAsia="Times New Roman" w:hAnsi="Times New Roman" w:cs="Times New Roman" w:hint="default"/>
        <w:b/>
        <w:bCs/>
        <w:i w:val="0"/>
        <w:iCs w:val="0"/>
        <w:spacing w:val="-5"/>
        <w:w w:val="100"/>
        <w:sz w:val="22"/>
        <w:szCs w:val="22"/>
        <w:lang w:val="en-US" w:eastAsia="en-US" w:bidi="ar-SA"/>
      </w:rPr>
    </w:lvl>
    <w:lvl w:ilvl="5">
      <w:numFmt w:val="bullet"/>
      <w:lvlText w:val="•"/>
      <w:lvlJc w:val="left"/>
      <w:pPr>
        <w:ind w:left="6602" w:hanging="360"/>
      </w:pPr>
      <w:rPr>
        <w:rFonts w:hint="default"/>
        <w:lang w:val="en-US" w:eastAsia="en-US" w:bidi="ar-SA"/>
      </w:rPr>
    </w:lvl>
    <w:lvl w:ilvl="6">
      <w:numFmt w:val="bullet"/>
      <w:lvlText w:val="•"/>
      <w:lvlJc w:val="left"/>
      <w:pPr>
        <w:ind w:left="7492" w:hanging="360"/>
      </w:pPr>
      <w:rPr>
        <w:rFonts w:hint="default"/>
        <w:lang w:val="en-US" w:eastAsia="en-US" w:bidi="ar-SA"/>
      </w:rPr>
    </w:lvl>
    <w:lvl w:ilvl="7">
      <w:numFmt w:val="bullet"/>
      <w:lvlText w:val="•"/>
      <w:lvlJc w:val="left"/>
      <w:pPr>
        <w:ind w:left="8383" w:hanging="360"/>
      </w:pPr>
      <w:rPr>
        <w:rFonts w:hint="default"/>
        <w:lang w:val="en-US" w:eastAsia="en-US" w:bidi="ar-SA"/>
      </w:rPr>
    </w:lvl>
    <w:lvl w:ilvl="8">
      <w:numFmt w:val="bullet"/>
      <w:lvlText w:val="•"/>
      <w:lvlJc w:val="left"/>
      <w:pPr>
        <w:ind w:left="9273" w:hanging="360"/>
      </w:pPr>
      <w:rPr>
        <w:rFonts w:hint="default"/>
        <w:lang w:val="en-US" w:eastAsia="en-US" w:bidi="ar-SA"/>
      </w:rPr>
    </w:lvl>
  </w:abstractNum>
  <w:abstractNum w:abstractNumId="5" w15:restartNumberingAfterBreak="0">
    <w:nsid w:val="761D7B63"/>
    <w:multiLevelType w:val="multilevel"/>
    <w:tmpl w:val="C544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22A"/>
    <w:rsid w:val="0026322A"/>
    <w:rsid w:val="0042601D"/>
    <w:rsid w:val="00427D79"/>
    <w:rsid w:val="004D2D35"/>
    <w:rsid w:val="005141CF"/>
    <w:rsid w:val="006B45E0"/>
    <w:rsid w:val="00835C1A"/>
    <w:rsid w:val="00C879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39C137-6868-4F46-94FE-F5854F11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rPr>
      <w:kern w:val="2"/>
      <w:sz w:val="24"/>
      <w:szCs w:val="24"/>
      <w:lang w:val="en-IN" w:bidi="k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op">
    <w:name w:val="mop"/>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rPr>
  </w:style>
  <w:style w:type="character" w:customStyle="1" w:styleId="mspace">
    <w:name w:val="m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4268">
      <w:bodyDiv w:val="1"/>
      <w:marLeft w:val="0"/>
      <w:marRight w:val="0"/>
      <w:marTop w:val="0"/>
      <w:marBottom w:val="0"/>
      <w:divBdr>
        <w:top w:val="none" w:sz="0" w:space="0" w:color="auto"/>
        <w:left w:val="none" w:sz="0" w:space="0" w:color="auto"/>
        <w:bottom w:val="none" w:sz="0" w:space="0" w:color="auto"/>
        <w:right w:val="none" w:sz="0" w:space="0" w:color="auto"/>
      </w:divBdr>
    </w:div>
    <w:div w:id="471094010">
      <w:bodyDiv w:val="1"/>
      <w:marLeft w:val="0"/>
      <w:marRight w:val="0"/>
      <w:marTop w:val="0"/>
      <w:marBottom w:val="0"/>
      <w:divBdr>
        <w:top w:val="none" w:sz="0" w:space="0" w:color="auto"/>
        <w:left w:val="none" w:sz="0" w:space="0" w:color="auto"/>
        <w:bottom w:val="none" w:sz="0" w:space="0" w:color="auto"/>
        <w:right w:val="none" w:sz="0" w:space="0" w:color="auto"/>
      </w:divBdr>
    </w:div>
    <w:div w:id="533077909">
      <w:bodyDiv w:val="1"/>
      <w:marLeft w:val="0"/>
      <w:marRight w:val="0"/>
      <w:marTop w:val="0"/>
      <w:marBottom w:val="0"/>
      <w:divBdr>
        <w:top w:val="none" w:sz="0" w:space="0" w:color="auto"/>
        <w:left w:val="none" w:sz="0" w:space="0" w:color="auto"/>
        <w:bottom w:val="none" w:sz="0" w:space="0" w:color="auto"/>
        <w:right w:val="none" w:sz="0" w:space="0" w:color="auto"/>
      </w:divBdr>
    </w:div>
    <w:div w:id="819349740">
      <w:bodyDiv w:val="1"/>
      <w:marLeft w:val="0"/>
      <w:marRight w:val="0"/>
      <w:marTop w:val="0"/>
      <w:marBottom w:val="0"/>
      <w:divBdr>
        <w:top w:val="none" w:sz="0" w:space="0" w:color="auto"/>
        <w:left w:val="none" w:sz="0" w:space="0" w:color="auto"/>
        <w:bottom w:val="none" w:sz="0" w:space="0" w:color="auto"/>
        <w:right w:val="none" w:sz="0" w:space="0" w:color="auto"/>
      </w:divBdr>
    </w:div>
    <w:div w:id="962157738">
      <w:bodyDiv w:val="1"/>
      <w:marLeft w:val="0"/>
      <w:marRight w:val="0"/>
      <w:marTop w:val="0"/>
      <w:marBottom w:val="0"/>
      <w:divBdr>
        <w:top w:val="none" w:sz="0" w:space="0" w:color="auto"/>
        <w:left w:val="none" w:sz="0" w:space="0" w:color="auto"/>
        <w:bottom w:val="none" w:sz="0" w:space="0" w:color="auto"/>
        <w:right w:val="none" w:sz="0" w:space="0" w:color="auto"/>
      </w:divBdr>
    </w:div>
    <w:div w:id="968512611">
      <w:bodyDiv w:val="1"/>
      <w:marLeft w:val="0"/>
      <w:marRight w:val="0"/>
      <w:marTop w:val="0"/>
      <w:marBottom w:val="0"/>
      <w:divBdr>
        <w:top w:val="none" w:sz="0" w:space="0" w:color="auto"/>
        <w:left w:val="none" w:sz="0" w:space="0" w:color="auto"/>
        <w:bottom w:val="none" w:sz="0" w:space="0" w:color="auto"/>
        <w:right w:val="none" w:sz="0" w:space="0" w:color="auto"/>
      </w:divBdr>
    </w:div>
    <w:div w:id="1200171009">
      <w:bodyDiv w:val="1"/>
      <w:marLeft w:val="0"/>
      <w:marRight w:val="0"/>
      <w:marTop w:val="0"/>
      <w:marBottom w:val="0"/>
      <w:divBdr>
        <w:top w:val="none" w:sz="0" w:space="0" w:color="auto"/>
        <w:left w:val="none" w:sz="0" w:space="0" w:color="auto"/>
        <w:bottom w:val="none" w:sz="0" w:space="0" w:color="auto"/>
        <w:right w:val="none" w:sz="0" w:space="0" w:color="auto"/>
      </w:divBdr>
    </w:div>
    <w:div w:id="1276060195">
      <w:bodyDiv w:val="1"/>
      <w:marLeft w:val="0"/>
      <w:marRight w:val="0"/>
      <w:marTop w:val="0"/>
      <w:marBottom w:val="0"/>
      <w:divBdr>
        <w:top w:val="none" w:sz="0" w:space="0" w:color="auto"/>
        <w:left w:val="none" w:sz="0" w:space="0" w:color="auto"/>
        <w:bottom w:val="none" w:sz="0" w:space="0" w:color="auto"/>
        <w:right w:val="none" w:sz="0" w:space="0" w:color="auto"/>
      </w:divBdr>
    </w:div>
    <w:div w:id="1458790030">
      <w:bodyDiv w:val="1"/>
      <w:marLeft w:val="0"/>
      <w:marRight w:val="0"/>
      <w:marTop w:val="0"/>
      <w:marBottom w:val="0"/>
      <w:divBdr>
        <w:top w:val="none" w:sz="0" w:space="0" w:color="auto"/>
        <w:left w:val="none" w:sz="0" w:space="0" w:color="auto"/>
        <w:bottom w:val="none" w:sz="0" w:space="0" w:color="auto"/>
        <w:right w:val="none" w:sz="0" w:space="0" w:color="auto"/>
      </w:divBdr>
    </w:div>
    <w:div w:id="1762530744">
      <w:bodyDiv w:val="1"/>
      <w:marLeft w:val="0"/>
      <w:marRight w:val="0"/>
      <w:marTop w:val="0"/>
      <w:marBottom w:val="0"/>
      <w:divBdr>
        <w:top w:val="none" w:sz="0" w:space="0" w:color="auto"/>
        <w:left w:val="none" w:sz="0" w:space="0" w:color="auto"/>
        <w:bottom w:val="none" w:sz="0" w:space="0" w:color="auto"/>
        <w:right w:val="none" w:sz="0" w:space="0" w:color="auto"/>
      </w:divBdr>
    </w:div>
    <w:div w:id="18468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B0ADC-31DB-4CE2-B0AB-0358DFDD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1186</cp:lastModifiedBy>
  <cp:revision>3</cp:revision>
  <cp:lastPrinted>2025-08-24T09:38:00Z</cp:lastPrinted>
  <dcterms:created xsi:type="dcterms:W3CDTF">2025-08-30T15:33:00Z</dcterms:created>
  <dcterms:modified xsi:type="dcterms:W3CDTF">2025-09-01T05:36:00Z</dcterms:modified>
</cp:coreProperties>
</file>