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EF388" w14:textId="77777777" w:rsidR="00557A67" w:rsidRPr="002C476C" w:rsidRDefault="00557A67" w:rsidP="001E1B99">
      <w:pPr>
        <w:autoSpaceDE w:val="0"/>
        <w:autoSpaceDN w:val="0"/>
        <w:adjustRightInd w:val="0"/>
        <w:spacing w:line="360" w:lineRule="auto"/>
        <w:rPr>
          <w:rFonts w:ascii="Times New Roman" w:hAnsi="Times New Roman" w:cs="Times New Roman"/>
          <w:sz w:val="24"/>
          <w:szCs w:val="24"/>
        </w:rPr>
      </w:pPr>
      <w:r w:rsidRPr="002C476C">
        <w:rPr>
          <w:rFonts w:ascii="Times New Roman" w:hAnsi="Times New Roman" w:cs="Times New Roman"/>
          <w:b/>
          <w:bCs/>
          <w:sz w:val="24"/>
          <w:szCs w:val="24"/>
        </w:rPr>
        <w:t>Biodegradable Index and Earthworm Population in Vermicompost: Influence of Substrates, Composting Period, and Rock Phosphate Enrichment</w:t>
      </w:r>
    </w:p>
    <w:p w14:paraId="4905AD91" w14:textId="77777777" w:rsidR="00075BBA" w:rsidRPr="002C476C" w:rsidRDefault="003456E9" w:rsidP="008438ED">
      <w:pPr>
        <w:autoSpaceDE w:val="0"/>
        <w:autoSpaceDN w:val="0"/>
        <w:adjustRightInd w:val="0"/>
        <w:spacing w:line="360" w:lineRule="auto"/>
        <w:jc w:val="both"/>
        <w:rPr>
          <w:rFonts w:ascii="Times New Roman" w:hAnsi="Times New Roman" w:cs="Times New Roman"/>
          <w:b/>
          <w:bCs/>
          <w:sz w:val="24"/>
          <w:szCs w:val="24"/>
        </w:rPr>
      </w:pPr>
      <w:r w:rsidRPr="002C476C">
        <w:rPr>
          <w:rFonts w:ascii="Times New Roman" w:hAnsi="Times New Roman" w:cs="Times New Roman"/>
          <w:b/>
          <w:bCs/>
          <w:sz w:val="24"/>
          <w:szCs w:val="24"/>
        </w:rPr>
        <w:t xml:space="preserve">Abstract </w:t>
      </w:r>
    </w:p>
    <w:p w14:paraId="79E0729C" w14:textId="77777777" w:rsidR="00557A67" w:rsidRPr="002C476C" w:rsidRDefault="00557A67" w:rsidP="008438ED">
      <w:pPr>
        <w:autoSpaceDE w:val="0"/>
        <w:autoSpaceDN w:val="0"/>
        <w:adjustRightInd w:val="0"/>
        <w:spacing w:line="360" w:lineRule="auto"/>
        <w:ind w:firstLine="720"/>
        <w:jc w:val="both"/>
        <w:rPr>
          <w:rFonts w:ascii="Times New Roman" w:hAnsi="Times New Roman" w:cs="Times New Roman"/>
          <w:sz w:val="24"/>
          <w:szCs w:val="24"/>
        </w:rPr>
      </w:pPr>
      <w:r w:rsidRPr="002C476C">
        <w:rPr>
          <w:rFonts w:ascii="Times New Roman" w:hAnsi="Times New Roman" w:cs="Times New Roman"/>
          <w:sz w:val="24"/>
          <w:szCs w:val="24"/>
        </w:rPr>
        <w:t>Vermicomposting is a sustainable technique for converting organic waste into high-quality vermicompost using earthworms. This study investigated the effects of different substrates, composting periods, and enrichment with rock phosphate on the biodegradable index (BI) and earthworm populations in vermicompost. The experiment was conducted at Madan Bharti Agricultural College, Agwanpur, Saharsa (Bihar), using agricultural wastes, cow dung, rock phosphate, and phosphate-solubilizing bacteria (PSB) in various treatment combinations. BI decreased with increasing days after sowing (DAS), with no significant change from 30 to 60 DAS, a significant decrease at 90 DAS, and a non-significant change at 120 DAS. The average BI values ranged from 5.43 to 4.80 for DAS 30-120 at 30-day intervals. The earthworm population increased with varying substrates and the application of rock phosphate and PSB, with a significant decrease from 30 to 120 DAS. The average earthworm population increased from 630 to 986 for DAS 30-120 at 30-day intervals. The results demonstrated that altering substrates and enriching vermicompost with rock phosphate and PSB influenced its characteristics, leading to the disintegration of organic debris and interactions between bacteria and earthworms. The BI values suggested that inoculation substrates matured, reaching a value of 2.71 in the humification phase. This study highlighted the importance of appropriate organic substrates for earthworm growth and reproductive performance, which are significantly influenced by substrate quality, temperature, and moisture content.</w:t>
      </w:r>
    </w:p>
    <w:p w14:paraId="3299C0D6" w14:textId="77777777" w:rsidR="00557A67" w:rsidRDefault="00557A67" w:rsidP="008438ED">
      <w:pPr>
        <w:autoSpaceDE w:val="0"/>
        <w:autoSpaceDN w:val="0"/>
        <w:adjustRightInd w:val="0"/>
        <w:spacing w:line="360" w:lineRule="auto"/>
        <w:jc w:val="both"/>
        <w:rPr>
          <w:rFonts w:ascii="Times New Roman" w:hAnsi="Times New Roman" w:cs="Times New Roman"/>
          <w:sz w:val="24"/>
          <w:szCs w:val="24"/>
        </w:rPr>
      </w:pPr>
      <w:r w:rsidRPr="002C476C">
        <w:rPr>
          <w:rFonts w:ascii="Times New Roman" w:hAnsi="Times New Roman" w:cs="Times New Roman"/>
          <w:b/>
          <w:bCs/>
          <w:sz w:val="24"/>
          <w:szCs w:val="24"/>
        </w:rPr>
        <w:t>Keywords</w:t>
      </w:r>
      <w:r w:rsidRPr="002C476C">
        <w:rPr>
          <w:rFonts w:ascii="Times New Roman" w:hAnsi="Times New Roman" w:cs="Times New Roman"/>
          <w:sz w:val="24"/>
          <w:szCs w:val="24"/>
        </w:rPr>
        <w:t>: Vermicompost, Biodegradable Index</w:t>
      </w:r>
      <w:r w:rsidR="00075BBA" w:rsidRPr="002C476C">
        <w:rPr>
          <w:rFonts w:ascii="Times New Roman" w:hAnsi="Times New Roman" w:cs="Times New Roman"/>
          <w:sz w:val="24"/>
          <w:szCs w:val="24"/>
        </w:rPr>
        <w:t xml:space="preserve"> (BI)</w:t>
      </w:r>
      <w:r w:rsidRPr="002C476C">
        <w:rPr>
          <w:rFonts w:ascii="Times New Roman" w:hAnsi="Times New Roman" w:cs="Times New Roman"/>
          <w:sz w:val="24"/>
          <w:szCs w:val="24"/>
        </w:rPr>
        <w:t>, Earthworm Population, Substrates, Rock Phosp</w:t>
      </w:r>
      <w:r w:rsidR="00445F51">
        <w:rPr>
          <w:rFonts w:ascii="Times New Roman" w:hAnsi="Times New Roman" w:cs="Times New Roman"/>
          <w:sz w:val="24"/>
          <w:szCs w:val="24"/>
        </w:rPr>
        <w:t xml:space="preserve">hate, PSB, Agricultural Wastes and </w:t>
      </w:r>
      <w:r w:rsidRPr="002C476C">
        <w:rPr>
          <w:rFonts w:ascii="Times New Roman" w:hAnsi="Times New Roman" w:cs="Times New Roman"/>
          <w:sz w:val="24"/>
          <w:szCs w:val="24"/>
        </w:rPr>
        <w:t xml:space="preserve">Cow Dung, </w:t>
      </w:r>
    </w:p>
    <w:p w14:paraId="4F879673" w14:textId="77777777" w:rsidR="00445F51" w:rsidRDefault="00445F51" w:rsidP="008438ED">
      <w:pPr>
        <w:autoSpaceDE w:val="0"/>
        <w:autoSpaceDN w:val="0"/>
        <w:adjustRightInd w:val="0"/>
        <w:spacing w:line="360" w:lineRule="auto"/>
        <w:jc w:val="both"/>
        <w:rPr>
          <w:rFonts w:ascii="Times New Roman" w:hAnsi="Times New Roman" w:cs="Times New Roman"/>
          <w:b/>
          <w:sz w:val="24"/>
          <w:szCs w:val="24"/>
        </w:rPr>
      </w:pPr>
      <w:r w:rsidRPr="00445F51">
        <w:rPr>
          <w:rFonts w:ascii="Times New Roman" w:hAnsi="Times New Roman" w:cs="Times New Roman"/>
          <w:b/>
          <w:sz w:val="24"/>
          <w:szCs w:val="24"/>
        </w:rPr>
        <w:t xml:space="preserve">Introduction </w:t>
      </w:r>
    </w:p>
    <w:p w14:paraId="1FA3A946" w14:textId="77777777" w:rsidR="00445F51" w:rsidRDefault="00445F51" w:rsidP="00445F51">
      <w:pPr>
        <w:spacing w:after="0" w:line="360" w:lineRule="auto"/>
        <w:ind w:firstLine="720"/>
        <w:jc w:val="both"/>
        <w:rPr>
          <w:rFonts w:ascii="Times New Roman" w:hAnsi="Times New Roman" w:cs="Times New Roman"/>
          <w:b/>
          <w:bCs/>
          <w:sz w:val="24"/>
          <w:szCs w:val="24"/>
        </w:rPr>
      </w:pPr>
      <w:r w:rsidRPr="00937B75">
        <w:rPr>
          <w:rFonts w:ascii="Times New Roman" w:hAnsi="Times New Roman" w:cs="Times New Roman"/>
          <w:sz w:val="24"/>
          <w:szCs w:val="24"/>
        </w:rPr>
        <w:t xml:space="preserve">India showed stagnated/declined crop yield due to the injudicious application of synthetic fertilizers (Juhi </w:t>
      </w:r>
      <w:r w:rsidRPr="00937B75">
        <w:rPr>
          <w:rFonts w:ascii="Times New Roman" w:hAnsi="Times New Roman" w:cs="Times New Roman"/>
          <w:i/>
          <w:sz w:val="24"/>
          <w:szCs w:val="24"/>
        </w:rPr>
        <w:t>et al</w:t>
      </w:r>
      <w:r w:rsidRPr="00937B75">
        <w:rPr>
          <w:rFonts w:ascii="Times New Roman" w:hAnsi="Times New Roman" w:cs="Times New Roman"/>
          <w:sz w:val="24"/>
          <w:szCs w:val="24"/>
        </w:rPr>
        <w:t xml:space="preserve">. 2022). Challenges to food security for the growing population can be addressed through improved crop productivity (Padbhushan </w:t>
      </w:r>
      <w:r w:rsidRPr="00937B75">
        <w:rPr>
          <w:rFonts w:ascii="Times New Roman" w:hAnsi="Times New Roman" w:cs="Times New Roman"/>
          <w:i/>
          <w:sz w:val="24"/>
          <w:szCs w:val="24"/>
        </w:rPr>
        <w:t>et al</w:t>
      </w:r>
      <w:r w:rsidRPr="00937B75">
        <w:rPr>
          <w:rFonts w:ascii="Times New Roman" w:hAnsi="Times New Roman" w:cs="Times New Roman"/>
          <w:sz w:val="24"/>
          <w:szCs w:val="24"/>
        </w:rPr>
        <w:t>. 2</w:t>
      </w:r>
      <w:r>
        <w:rPr>
          <w:rFonts w:ascii="Times New Roman" w:hAnsi="Times New Roman" w:cs="Times New Roman"/>
          <w:sz w:val="24"/>
          <w:szCs w:val="24"/>
        </w:rPr>
        <w:t>016), which can be achieved by</w:t>
      </w:r>
      <w:r w:rsidRPr="00937B75">
        <w:rPr>
          <w:rFonts w:ascii="Times New Roman" w:hAnsi="Times New Roman" w:cs="Times New Roman"/>
          <w:sz w:val="24"/>
          <w:szCs w:val="24"/>
        </w:rPr>
        <w:t xml:space="preserve"> sustaining soil quality using organic sources either as integration or supplementation of chemical inputs </w:t>
      </w:r>
      <w:r w:rsidRPr="00FC2E64">
        <w:rPr>
          <w:rFonts w:ascii="Times New Roman" w:hAnsi="Times New Roman" w:cs="Times New Roman"/>
          <w:sz w:val="24"/>
          <w:szCs w:val="24"/>
        </w:rPr>
        <w:t xml:space="preserve">(Padbhushan </w:t>
      </w:r>
      <w:r w:rsidRPr="00FC2E64">
        <w:rPr>
          <w:rFonts w:ascii="Times New Roman" w:hAnsi="Times New Roman" w:cs="Times New Roman"/>
          <w:i/>
          <w:sz w:val="24"/>
          <w:szCs w:val="24"/>
        </w:rPr>
        <w:t>et al.</w:t>
      </w:r>
      <w:r>
        <w:rPr>
          <w:rFonts w:ascii="Times New Roman" w:hAnsi="Times New Roman" w:cs="Times New Roman"/>
          <w:sz w:val="24"/>
          <w:szCs w:val="24"/>
        </w:rPr>
        <w:t xml:space="preserve"> 2021;</w:t>
      </w:r>
      <w:r w:rsidRPr="00FC2E64">
        <w:rPr>
          <w:rFonts w:ascii="Times New Roman" w:hAnsi="Times New Roman" w:cs="Times New Roman"/>
          <w:sz w:val="24"/>
          <w:szCs w:val="24"/>
        </w:rPr>
        <w:t xml:space="preserve"> and Kumar 2019</w:t>
      </w:r>
      <w:r>
        <w:rPr>
          <w:rFonts w:ascii="Times New Roman" w:hAnsi="Times New Roman" w:cs="Times New Roman"/>
          <w:sz w:val="24"/>
          <w:szCs w:val="24"/>
        </w:rPr>
        <w:t xml:space="preserve">). </w:t>
      </w:r>
      <w:r w:rsidRPr="00937B75">
        <w:rPr>
          <w:rFonts w:ascii="Times New Roman" w:hAnsi="Times New Roman" w:cs="Times New Roman"/>
          <w:sz w:val="24"/>
          <w:szCs w:val="24"/>
        </w:rPr>
        <w:t xml:space="preserve">Vermicomposting is the technique of </w:t>
      </w:r>
      <w:r w:rsidRPr="00937B75">
        <w:rPr>
          <w:rFonts w:ascii="Times New Roman" w:hAnsi="Times New Roman" w:cs="Times New Roman"/>
          <w:sz w:val="24"/>
          <w:szCs w:val="24"/>
        </w:rPr>
        <w:lastRenderedPageBreak/>
        <w:t>utilizing organic wastes suc</w:t>
      </w:r>
      <w:r>
        <w:rPr>
          <w:rFonts w:ascii="Times New Roman" w:hAnsi="Times New Roman" w:cs="Times New Roman"/>
          <w:sz w:val="24"/>
          <w:szCs w:val="24"/>
        </w:rPr>
        <w:t>h as organic residues, agriculture</w:t>
      </w:r>
      <w:r w:rsidRPr="00937B75">
        <w:rPr>
          <w:rFonts w:ascii="Times New Roman" w:hAnsi="Times New Roman" w:cs="Times New Roman"/>
          <w:sz w:val="24"/>
          <w:szCs w:val="24"/>
        </w:rPr>
        <w:t xml:space="preserve"> wastes, and municipal wastes in the presence of earthworms to convert them into high-quality vermicompost. The qualities of vermicompost were best found under Agricultural</w:t>
      </w:r>
      <w:r>
        <w:rPr>
          <w:rFonts w:ascii="Times New Roman" w:hAnsi="Times New Roman" w:cs="Times New Roman"/>
          <w:sz w:val="24"/>
          <w:szCs w:val="24"/>
        </w:rPr>
        <w:t xml:space="preserve"> waste </w:t>
      </w:r>
      <w:r w:rsidRPr="00937B75">
        <w:rPr>
          <w:rFonts w:ascii="Times New Roman" w:hAnsi="Times New Roman" w:cs="Times New Roman"/>
          <w:sz w:val="24"/>
          <w:szCs w:val="24"/>
        </w:rPr>
        <w:t>based vermicompost enriched with rock phosphate. The efficiency of vermicomposting process using earthworms was found maximum for enriched and without enriched Agricultural</w:t>
      </w:r>
      <w:r>
        <w:rPr>
          <w:rFonts w:ascii="Times New Roman" w:hAnsi="Times New Roman" w:cs="Times New Roman"/>
          <w:sz w:val="24"/>
          <w:szCs w:val="24"/>
        </w:rPr>
        <w:t xml:space="preserve"> </w:t>
      </w:r>
      <w:r w:rsidRPr="00937B75">
        <w:rPr>
          <w:rFonts w:ascii="Times New Roman" w:hAnsi="Times New Roman" w:cs="Times New Roman"/>
          <w:sz w:val="24"/>
          <w:szCs w:val="24"/>
        </w:rPr>
        <w:t xml:space="preserve">based vermicompost </w:t>
      </w:r>
      <w:r w:rsidRPr="00560944">
        <w:rPr>
          <w:rFonts w:ascii="Times New Roman" w:hAnsi="Times New Roman" w:cs="Times New Roman"/>
          <w:sz w:val="24"/>
          <w:szCs w:val="24"/>
        </w:rPr>
        <w:t xml:space="preserve">(Kumar </w:t>
      </w:r>
      <w:r w:rsidRPr="00560944">
        <w:rPr>
          <w:rFonts w:ascii="Times New Roman" w:hAnsi="Times New Roman" w:cs="Times New Roman"/>
          <w:i/>
          <w:sz w:val="24"/>
          <w:szCs w:val="24"/>
        </w:rPr>
        <w:t xml:space="preserve">et al. </w:t>
      </w:r>
      <w:r w:rsidRPr="00560944">
        <w:rPr>
          <w:rFonts w:ascii="Times New Roman" w:hAnsi="Times New Roman" w:cs="Times New Roman"/>
          <w:sz w:val="24"/>
          <w:szCs w:val="24"/>
        </w:rPr>
        <w:t>2023).</w:t>
      </w:r>
      <w:r>
        <w:rPr>
          <w:rFonts w:ascii="Times New Roman" w:hAnsi="Times New Roman" w:cs="Times New Roman"/>
          <w:color w:val="FF0000"/>
          <w:sz w:val="24"/>
          <w:szCs w:val="24"/>
        </w:rPr>
        <w:t xml:space="preserve"> </w:t>
      </w:r>
      <w:r w:rsidRPr="00937B75">
        <w:rPr>
          <w:rFonts w:ascii="Times New Roman" w:hAnsi="Times New Roman" w:cs="Times New Roman"/>
          <w:sz w:val="24"/>
          <w:szCs w:val="24"/>
        </w:rPr>
        <w:t xml:space="preserve">Stability and maturity are two important terms that define the decomposition rate of compost and its transformation from organics and are used in determining the quality of prepared compost. The stability of the vermicompost is deeply related to the activity of microbes and diversity and can be assessed using various respirometry measures and/or by examining changes in the chemical properties of the vermicompost. The maturity of the vermicompost has been evaluated using a variety of criteria and characteristics, albeit the majority of them apply to compost prepared by households. Physical traits including </w:t>
      </w:r>
      <w:proofErr w:type="spellStart"/>
      <w:r w:rsidRPr="00937B75">
        <w:rPr>
          <w:rFonts w:ascii="Times New Roman" w:hAnsi="Times New Roman" w:cs="Times New Roman"/>
          <w:sz w:val="24"/>
          <w:szCs w:val="24"/>
        </w:rPr>
        <w:t>colour</w:t>
      </w:r>
      <w:proofErr w:type="spellEnd"/>
      <w:r w:rsidRPr="00937B75">
        <w:rPr>
          <w:rFonts w:ascii="Times New Roman" w:hAnsi="Times New Roman" w:cs="Times New Roman"/>
          <w:sz w:val="24"/>
          <w:szCs w:val="24"/>
        </w:rPr>
        <w:t xml:space="preserve">, smell, temperature, moisture, moisture retention, porosity, and bulk density provide a rough notion of the stage of decomposition achieved, but they don't provide much about the degree of maturation. The determination of compost stability has been reported using a wide range of methodologies </w:t>
      </w:r>
      <w:r w:rsidRPr="00833DBC">
        <w:rPr>
          <w:rFonts w:ascii="Times New Roman" w:hAnsi="Times New Roman" w:cs="Times New Roman"/>
          <w:sz w:val="24"/>
          <w:szCs w:val="24"/>
        </w:rPr>
        <w:t>(Wang</w:t>
      </w:r>
      <w:r w:rsidRPr="00833DBC">
        <w:rPr>
          <w:rFonts w:ascii="Times New Roman" w:hAnsi="Times New Roman" w:cs="Times New Roman"/>
          <w:i/>
          <w:sz w:val="24"/>
          <w:szCs w:val="24"/>
        </w:rPr>
        <w:t xml:space="preserve"> et al</w:t>
      </w:r>
      <w:r w:rsidRPr="00833DBC">
        <w:rPr>
          <w:rFonts w:ascii="Times New Roman" w:hAnsi="Times New Roman" w:cs="Times New Roman"/>
          <w:sz w:val="24"/>
          <w:szCs w:val="24"/>
        </w:rPr>
        <w:t>.</w:t>
      </w:r>
      <w:r>
        <w:rPr>
          <w:rFonts w:ascii="Times New Roman" w:hAnsi="Times New Roman" w:cs="Times New Roman"/>
          <w:sz w:val="24"/>
          <w:szCs w:val="24"/>
        </w:rPr>
        <w:t xml:space="preserve"> </w:t>
      </w:r>
      <w:r w:rsidRPr="00833DBC">
        <w:rPr>
          <w:rFonts w:ascii="Times New Roman" w:hAnsi="Times New Roman" w:cs="Times New Roman"/>
          <w:sz w:val="24"/>
          <w:szCs w:val="24"/>
        </w:rPr>
        <w:t>2004).</w:t>
      </w:r>
      <w:r w:rsidRPr="00937B75">
        <w:rPr>
          <w:rFonts w:ascii="Times New Roman" w:hAnsi="Times New Roman" w:cs="Times New Roman"/>
          <w:sz w:val="24"/>
          <w:szCs w:val="24"/>
        </w:rPr>
        <w:t xml:space="preserve"> Studies are more concentrated on the specific maturity index of the composts prepared under similar composting conditions, or of similar So far rare information is available to understand the impact of stability and maturity indices on vermicompost prepared by utilizing organic wastes viz. Agricultural waste enriched with rock phosphate.</w:t>
      </w:r>
    </w:p>
    <w:p w14:paraId="279EA455" w14:textId="77777777" w:rsidR="00557A67" w:rsidRPr="002C476C" w:rsidRDefault="000D0F0C" w:rsidP="008438E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Materials a</w:t>
      </w:r>
      <w:r w:rsidRPr="002C476C">
        <w:rPr>
          <w:rFonts w:ascii="Times New Roman" w:hAnsi="Times New Roman" w:cs="Times New Roman"/>
          <w:b/>
          <w:bCs/>
          <w:sz w:val="24"/>
          <w:szCs w:val="24"/>
        </w:rPr>
        <w:t>nd Methods</w:t>
      </w:r>
    </w:p>
    <w:p w14:paraId="0C13184A" w14:textId="77777777" w:rsidR="00557A67" w:rsidRPr="002C476C" w:rsidRDefault="00557A67" w:rsidP="008438ED">
      <w:pPr>
        <w:autoSpaceDE w:val="0"/>
        <w:autoSpaceDN w:val="0"/>
        <w:adjustRightInd w:val="0"/>
        <w:spacing w:after="0" w:line="360" w:lineRule="auto"/>
        <w:jc w:val="both"/>
        <w:rPr>
          <w:rFonts w:ascii="Times New Roman" w:hAnsi="Times New Roman" w:cs="Times New Roman"/>
          <w:sz w:val="24"/>
          <w:szCs w:val="24"/>
        </w:rPr>
      </w:pPr>
      <w:r w:rsidRPr="002C476C">
        <w:rPr>
          <w:rFonts w:ascii="Times New Roman" w:hAnsi="Times New Roman" w:cs="Times New Roman"/>
          <w:b/>
          <w:bCs/>
          <w:sz w:val="24"/>
          <w:szCs w:val="24"/>
        </w:rPr>
        <w:t>Study site and materials required for the experiment</w:t>
      </w:r>
    </w:p>
    <w:p w14:paraId="53978654" w14:textId="77777777" w:rsidR="00557A67" w:rsidRPr="002C476C" w:rsidRDefault="00557A67" w:rsidP="008438ED">
      <w:pPr>
        <w:autoSpaceDE w:val="0"/>
        <w:autoSpaceDN w:val="0"/>
        <w:adjustRightInd w:val="0"/>
        <w:spacing w:after="0" w:line="360" w:lineRule="auto"/>
        <w:ind w:firstLine="720"/>
        <w:jc w:val="both"/>
        <w:rPr>
          <w:rFonts w:ascii="Times New Roman" w:hAnsi="Times New Roman" w:cs="Times New Roman"/>
          <w:sz w:val="24"/>
          <w:szCs w:val="24"/>
        </w:rPr>
      </w:pPr>
      <w:r w:rsidRPr="002C476C">
        <w:rPr>
          <w:rFonts w:ascii="Times New Roman" w:hAnsi="Times New Roman" w:cs="Times New Roman"/>
          <w:sz w:val="24"/>
          <w:szCs w:val="24"/>
        </w:rPr>
        <w:t>The research was undertaken to assess the different types of vermicompost prepared from agricultural waste with or without enriched rock phosphate and PSB at Madan Bharti Agricultural College (MBAC), Agwanpur, Saharsa (Bihar). The experimental site was located at 25° 88' 34" N latitude, 86° 60' 06" E longitude, and 55 m above mean sea level. The different organic materials used for vermicompost preparation were agricultural wastes. Organic residue, namely, rice straw, was obtained from the research farm of MBAC, Agwanpur, Saharsa. Then, all these waste materials were dried in shade for approximately 2-3 days then it was processed for vermicompost preparation. For each composting mass, cattle dung was supplemented as usual inoculants to speed up disintegration. Total organic carbon of the substrates was 23.19 &amp; 44.77 for cow dung and agriculture wastes, respectively. The detailed chemical characteristics of the agricultural wastes and cow dung are shown in Table 1.</w:t>
      </w:r>
    </w:p>
    <w:p w14:paraId="77092E3D" w14:textId="77777777" w:rsidR="002C476C" w:rsidRDefault="00557A67" w:rsidP="002C476C">
      <w:pPr>
        <w:autoSpaceDE w:val="0"/>
        <w:autoSpaceDN w:val="0"/>
        <w:adjustRightInd w:val="0"/>
        <w:spacing w:line="360" w:lineRule="auto"/>
        <w:jc w:val="both"/>
        <w:rPr>
          <w:rFonts w:ascii="Times New Roman" w:hAnsi="Times New Roman" w:cs="Times New Roman"/>
          <w:sz w:val="24"/>
          <w:szCs w:val="24"/>
        </w:rPr>
      </w:pPr>
      <w:r w:rsidRPr="002C476C">
        <w:rPr>
          <w:rFonts w:ascii="Times New Roman" w:hAnsi="Times New Roman" w:cs="Times New Roman"/>
          <w:b/>
          <w:bCs/>
          <w:sz w:val="24"/>
          <w:szCs w:val="24"/>
        </w:rPr>
        <w:lastRenderedPageBreak/>
        <w:t>Quality enriched vermicompost production and treatment details</w:t>
      </w:r>
    </w:p>
    <w:p w14:paraId="363FBF50" w14:textId="4C1DA7CA" w:rsidR="00557A67" w:rsidRPr="002C476C" w:rsidRDefault="00557A67" w:rsidP="002C476C">
      <w:pPr>
        <w:autoSpaceDE w:val="0"/>
        <w:autoSpaceDN w:val="0"/>
        <w:adjustRightInd w:val="0"/>
        <w:spacing w:line="360" w:lineRule="auto"/>
        <w:ind w:firstLine="720"/>
        <w:jc w:val="both"/>
        <w:rPr>
          <w:rFonts w:ascii="Times New Roman" w:hAnsi="Times New Roman" w:cs="Times New Roman"/>
          <w:sz w:val="24"/>
          <w:szCs w:val="24"/>
        </w:rPr>
      </w:pPr>
      <w:r w:rsidRPr="002C476C">
        <w:rPr>
          <w:rFonts w:ascii="Times New Roman" w:hAnsi="Times New Roman" w:cs="Times New Roman"/>
          <w:sz w:val="24"/>
          <w:szCs w:val="24"/>
        </w:rPr>
        <w:t xml:space="preserve">Mass production of enriched vermicompost organic residues of paddy and low-grade rock phosphate was performed at the vermicompost production unit of MBAC, Agwanpur, Saharsa. The treatment combinations for vermicomposting were: </w:t>
      </w:r>
      <w:r w:rsidR="00067CDA">
        <w:rPr>
          <w:rFonts w:ascii="Times New Roman" w:hAnsi="Times New Roman" w:cs="Times New Roman"/>
          <w:sz w:val="24"/>
          <w:szCs w:val="24"/>
        </w:rPr>
        <w:t xml:space="preserve">T1: </w:t>
      </w:r>
      <w:r w:rsidRPr="002C476C">
        <w:rPr>
          <w:rFonts w:ascii="Times New Roman" w:hAnsi="Times New Roman" w:cs="Times New Roman"/>
          <w:sz w:val="24"/>
          <w:szCs w:val="24"/>
        </w:rPr>
        <w:t>100% Cow-Dung + Earthworm</w:t>
      </w:r>
      <w:r w:rsidR="00067CDA">
        <w:rPr>
          <w:rFonts w:ascii="Times New Roman" w:hAnsi="Times New Roman" w:cs="Times New Roman"/>
          <w:sz w:val="24"/>
          <w:szCs w:val="24"/>
        </w:rPr>
        <w:t xml:space="preserve"> </w:t>
      </w:r>
      <w:r w:rsidRPr="002C476C">
        <w:rPr>
          <w:rFonts w:ascii="Times New Roman" w:hAnsi="Times New Roman" w:cs="Times New Roman"/>
          <w:sz w:val="24"/>
          <w:szCs w:val="24"/>
        </w:rPr>
        <w:t xml:space="preserve">, </w:t>
      </w:r>
      <w:r w:rsidR="00067CDA">
        <w:rPr>
          <w:rFonts w:ascii="Times New Roman" w:hAnsi="Times New Roman" w:cs="Times New Roman"/>
          <w:sz w:val="24"/>
          <w:szCs w:val="24"/>
        </w:rPr>
        <w:t>T2:</w:t>
      </w:r>
      <w:r w:rsidRPr="002C476C">
        <w:rPr>
          <w:rFonts w:ascii="Times New Roman" w:hAnsi="Times New Roman" w:cs="Times New Roman"/>
          <w:sz w:val="24"/>
          <w:szCs w:val="24"/>
        </w:rPr>
        <w:t xml:space="preserve"> 100% Cow-Dung + Earthworm + 5% P</w:t>
      </w:r>
      <w:r w:rsidRPr="002C476C">
        <w:rPr>
          <w:rFonts w:ascii="Times New Roman" w:hAnsi="Times New Roman" w:cs="Times New Roman"/>
          <w:sz w:val="24"/>
          <w:szCs w:val="24"/>
          <w:vertAlign w:val="subscript"/>
        </w:rPr>
        <w:t>2</w:t>
      </w:r>
      <w:r w:rsidRPr="002C476C">
        <w:rPr>
          <w:rFonts w:ascii="Times New Roman" w:hAnsi="Times New Roman" w:cs="Times New Roman"/>
          <w:sz w:val="24"/>
          <w:szCs w:val="24"/>
        </w:rPr>
        <w:t>O</w:t>
      </w:r>
      <w:r w:rsidRPr="002C476C">
        <w:rPr>
          <w:rFonts w:ascii="Times New Roman" w:hAnsi="Times New Roman" w:cs="Times New Roman"/>
          <w:sz w:val="24"/>
          <w:szCs w:val="24"/>
          <w:vertAlign w:val="subscript"/>
        </w:rPr>
        <w:t xml:space="preserve">5 </w:t>
      </w:r>
      <w:r w:rsidRPr="002C476C">
        <w:rPr>
          <w:rFonts w:ascii="Times New Roman" w:hAnsi="Times New Roman" w:cs="Times New Roman"/>
          <w:sz w:val="24"/>
          <w:szCs w:val="24"/>
        </w:rPr>
        <w:t xml:space="preserve">(w/w) Rock-Phosphate, </w:t>
      </w:r>
      <w:r w:rsidR="00067CDA">
        <w:rPr>
          <w:rFonts w:ascii="Times New Roman" w:hAnsi="Times New Roman" w:cs="Times New Roman"/>
          <w:sz w:val="24"/>
          <w:szCs w:val="24"/>
        </w:rPr>
        <w:t>T3:</w:t>
      </w:r>
      <w:r w:rsidRPr="002C476C">
        <w:rPr>
          <w:rFonts w:ascii="Times New Roman" w:hAnsi="Times New Roman" w:cs="Times New Roman"/>
          <w:sz w:val="24"/>
          <w:szCs w:val="24"/>
        </w:rPr>
        <w:t xml:space="preserve"> 100% Cow Dung + Earthworm + 5% P</w:t>
      </w:r>
      <w:r w:rsidRPr="002C476C">
        <w:rPr>
          <w:rFonts w:ascii="Times New Roman" w:hAnsi="Times New Roman" w:cs="Times New Roman"/>
          <w:sz w:val="24"/>
          <w:szCs w:val="24"/>
          <w:vertAlign w:val="subscript"/>
        </w:rPr>
        <w:t>2</w:t>
      </w:r>
      <w:r w:rsidRPr="002C476C">
        <w:rPr>
          <w:rFonts w:ascii="Times New Roman" w:hAnsi="Times New Roman" w:cs="Times New Roman"/>
          <w:sz w:val="24"/>
          <w:szCs w:val="24"/>
        </w:rPr>
        <w:t>O</w:t>
      </w:r>
      <w:r w:rsidRPr="002C476C">
        <w:rPr>
          <w:rFonts w:ascii="Times New Roman" w:hAnsi="Times New Roman" w:cs="Times New Roman"/>
          <w:sz w:val="24"/>
          <w:szCs w:val="24"/>
          <w:vertAlign w:val="subscript"/>
        </w:rPr>
        <w:t xml:space="preserve">5 </w:t>
      </w:r>
      <w:r w:rsidRPr="002C476C">
        <w:rPr>
          <w:rFonts w:ascii="Times New Roman" w:hAnsi="Times New Roman" w:cs="Times New Roman"/>
          <w:sz w:val="24"/>
          <w:szCs w:val="24"/>
        </w:rPr>
        <w:t xml:space="preserve">(w/w) Rock-Phosphate + PSB (100 ml/t waste), </w:t>
      </w:r>
      <w:r w:rsidR="00067CDA">
        <w:rPr>
          <w:rFonts w:ascii="Times New Roman" w:hAnsi="Times New Roman" w:cs="Times New Roman"/>
          <w:sz w:val="24"/>
          <w:szCs w:val="24"/>
        </w:rPr>
        <w:t>T4:</w:t>
      </w:r>
      <w:r w:rsidRPr="002C476C">
        <w:rPr>
          <w:rFonts w:ascii="Times New Roman" w:hAnsi="Times New Roman" w:cs="Times New Roman"/>
          <w:sz w:val="24"/>
          <w:szCs w:val="24"/>
        </w:rPr>
        <w:t xml:space="preserve"> 40% Agricultural waste + 60% Cow-Dung + Earthworm, </w:t>
      </w:r>
      <w:r w:rsidR="00067CDA">
        <w:rPr>
          <w:rFonts w:ascii="Times New Roman" w:hAnsi="Times New Roman" w:cs="Times New Roman"/>
          <w:sz w:val="24"/>
          <w:szCs w:val="24"/>
        </w:rPr>
        <w:t xml:space="preserve">T5: </w:t>
      </w:r>
      <w:r w:rsidRPr="002C476C">
        <w:rPr>
          <w:rFonts w:ascii="Times New Roman" w:hAnsi="Times New Roman" w:cs="Times New Roman"/>
          <w:sz w:val="24"/>
          <w:szCs w:val="24"/>
        </w:rPr>
        <w:t>40% Agricultural waste + 60% Cow-Dung + Earthworm + 5% P</w:t>
      </w:r>
      <w:r w:rsidRPr="002C476C">
        <w:rPr>
          <w:rFonts w:ascii="Times New Roman" w:hAnsi="Times New Roman" w:cs="Times New Roman"/>
          <w:sz w:val="24"/>
          <w:szCs w:val="24"/>
          <w:vertAlign w:val="subscript"/>
        </w:rPr>
        <w:t>2</w:t>
      </w:r>
      <w:r w:rsidRPr="002C476C">
        <w:rPr>
          <w:rFonts w:ascii="Times New Roman" w:hAnsi="Times New Roman" w:cs="Times New Roman"/>
          <w:sz w:val="24"/>
          <w:szCs w:val="24"/>
        </w:rPr>
        <w:t>O</w:t>
      </w:r>
      <w:r w:rsidRPr="002C476C">
        <w:rPr>
          <w:rFonts w:ascii="Times New Roman" w:hAnsi="Times New Roman" w:cs="Times New Roman"/>
          <w:sz w:val="24"/>
          <w:szCs w:val="24"/>
          <w:vertAlign w:val="subscript"/>
        </w:rPr>
        <w:t xml:space="preserve">5 </w:t>
      </w:r>
      <w:r w:rsidRPr="002C476C">
        <w:rPr>
          <w:rFonts w:ascii="Times New Roman" w:hAnsi="Times New Roman" w:cs="Times New Roman"/>
          <w:sz w:val="24"/>
          <w:szCs w:val="24"/>
        </w:rPr>
        <w:t>(w/w) Rock-Phosphate</w:t>
      </w:r>
      <w:r w:rsidR="00067CDA">
        <w:rPr>
          <w:rFonts w:ascii="Times New Roman" w:hAnsi="Times New Roman" w:cs="Times New Roman"/>
          <w:sz w:val="24"/>
          <w:szCs w:val="24"/>
        </w:rPr>
        <w:t xml:space="preserve">. </w:t>
      </w:r>
      <w:r w:rsidRPr="002C476C">
        <w:rPr>
          <w:rFonts w:ascii="Times New Roman" w:hAnsi="Times New Roman" w:cs="Times New Roman"/>
          <w:sz w:val="24"/>
          <w:szCs w:val="24"/>
        </w:rPr>
        <w:t xml:space="preserve">The total number of windrows was </w:t>
      </w:r>
      <w:r w:rsidR="00067CDA">
        <w:rPr>
          <w:rFonts w:ascii="Times New Roman" w:hAnsi="Times New Roman" w:cs="Times New Roman"/>
          <w:sz w:val="24"/>
          <w:szCs w:val="24"/>
        </w:rPr>
        <w:t>5</w:t>
      </w:r>
      <w:r w:rsidRPr="002C476C">
        <w:rPr>
          <w:rFonts w:ascii="Times New Roman" w:hAnsi="Times New Roman" w:cs="Times New Roman"/>
          <w:sz w:val="24"/>
          <w:szCs w:val="24"/>
        </w:rPr>
        <w:t xml:space="preserve"> with three replications, and the size of the individual windrows was 12.0’ × 2.50’ × 1.50’ in the shade.  The biodegradable index (BI), which is a function of TOC and WSCHO over time, was calculated using equation (1) given by Morel</w:t>
      </w:r>
      <w:r w:rsidRPr="002C476C">
        <w:rPr>
          <w:rFonts w:ascii="Times New Roman" w:hAnsi="Times New Roman" w:cs="Times New Roman"/>
          <w:i/>
          <w:iCs/>
          <w:sz w:val="24"/>
          <w:szCs w:val="24"/>
        </w:rPr>
        <w:t xml:space="preserve"> et al</w:t>
      </w:r>
      <w:r w:rsidRPr="002C476C">
        <w:rPr>
          <w:rFonts w:ascii="Times New Roman" w:hAnsi="Times New Roman" w:cs="Times New Roman"/>
          <w:sz w:val="24"/>
          <w:szCs w:val="24"/>
        </w:rPr>
        <w:t>. (1979). BI = 3.166 + 0.039 TOC + 0.832WSCHO - 0.011 days</w:t>
      </w:r>
      <w:r w:rsidR="008438ED" w:rsidRPr="002C476C">
        <w:rPr>
          <w:rFonts w:ascii="Times New Roman" w:hAnsi="Times New Roman" w:cs="Times New Roman"/>
          <w:sz w:val="24"/>
          <w:szCs w:val="24"/>
        </w:rPr>
        <w:t xml:space="preserve">. </w:t>
      </w:r>
      <w:r w:rsidRPr="002C476C">
        <w:rPr>
          <w:rFonts w:ascii="Times New Roman" w:hAnsi="Times New Roman" w:cs="Times New Roman"/>
          <w:sz w:val="24"/>
          <w:szCs w:val="24"/>
        </w:rPr>
        <w:t>Statistical analysis was performed using the Duncan Multiple Range Test (DMRT), and the variation in the data for various parameters was examined while considering the treatments represented by the treatments with the least significant difference at 5%. The data of the mean values are presented in the table.</w:t>
      </w:r>
    </w:p>
    <w:p w14:paraId="469B424B" w14:textId="77777777" w:rsidR="00557A67" w:rsidRPr="002C476C" w:rsidRDefault="003456E9" w:rsidP="002C476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Results a</w:t>
      </w:r>
      <w:r w:rsidRPr="002C476C">
        <w:rPr>
          <w:rFonts w:ascii="Times New Roman" w:hAnsi="Times New Roman" w:cs="Times New Roman"/>
          <w:b/>
          <w:bCs/>
          <w:sz w:val="24"/>
          <w:szCs w:val="24"/>
        </w:rPr>
        <w:t>nd Discussion</w:t>
      </w:r>
    </w:p>
    <w:p w14:paraId="4D4B161B" w14:textId="77777777" w:rsidR="00557A67" w:rsidRPr="002C476C" w:rsidRDefault="00557A67" w:rsidP="002C476C">
      <w:pPr>
        <w:autoSpaceDE w:val="0"/>
        <w:autoSpaceDN w:val="0"/>
        <w:adjustRightInd w:val="0"/>
        <w:spacing w:after="0" w:line="360" w:lineRule="auto"/>
        <w:jc w:val="both"/>
        <w:rPr>
          <w:rFonts w:ascii="Times New Roman" w:hAnsi="Times New Roman" w:cs="Times New Roman"/>
          <w:sz w:val="24"/>
          <w:szCs w:val="24"/>
        </w:rPr>
      </w:pPr>
      <w:r w:rsidRPr="002C476C">
        <w:rPr>
          <w:rFonts w:ascii="Times New Roman" w:hAnsi="Times New Roman" w:cs="Times New Roman"/>
          <w:b/>
          <w:bCs/>
          <w:sz w:val="24"/>
          <w:szCs w:val="24"/>
        </w:rPr>
        <w:t>Effect of different substrates, composting period, and enrichment with rock phosphate on biodegradable index and earthworm population in vermicompost</w:t>
      </w:r>
    </w:p>
    <w:p w14:paraId="5734AC50" w14:textId="2AF40302" w:rsidR="00532822" w:rsidRDefault="00557A67" w:rsidP="00532822">
      <w:pPr>
        <w:autoSpaceDE w:val="0"/>
        <w:autoSpaceDN w:val="0"/>
        <w:adjustRightInd w:val="0"/>
        <w:spacing w:after="0" w:line="360" w:lineRule="auto"/>
        <w:ind w:firstLine="720"/>
        <w:jc w:val="both"/>
        <w:rPr>
          <w:rFonts w:ascii="Times New Roman" w:hAnsi="Times New Roman" w:cs="Times New Roman"/>
          <w:sz w:val="24"/>
          <w:szCs w:val="24"/>
        </w:rPr>
      </w:pPr>
      <w:r w:rsidRPr="002C476C">
        <w:rPr>
          <w:rFonts w:ascii="Times New Roman" w:hAnsi="Times New Roman" w:cs="Times New Roman"/>
          <w:sz w:val="24"/>
          <w:szCs w:val="24"/>
        </w:rPr>
        <w:t>The substrates and enrichment techniques had no impact on the biodegradability index (BI) of the prepared compost with time; however, the progression of the period resulted in lower BI (Table-</w:t>
      </w:r>
      <w:r w:rsidR="00D939B3">
        <w:rPr>
          <w:rFonts w:ascii="Times New Roman" w:hAnsi="Times New Roman" w:cs="Times New Roman"/>
          <w:sz w:val="24"/>
          <w:szCs w:val="24"/>
        </w:rPr>
        <w:t>2</w:t>
      </w:r>
      <w:r w:rsidRPr="002C476C">
        <w:rPr>
          <w:rFonts w:ascii="Times New Roman" w:hAnsi="Times New Roman" w:cs="Times New Roman"/>
          <w:sz w:val="24"/>
          <w:szCs w:val="24"/>
        </w:rPr>
        <w:t>). The BI decreased with increasing DAS. No statistically significant change was observed in the BI value from 30 to 60 DAS; further, it decreased significantly at 90 DAS and was non-significant at 120 DAS. The average BI was 5.43, 5.13, 4.92, and 4.80 for DAS from 30-120 at 30 days intervals, respectively.  Data shown in Table -</w:t>
      </w:r>
      <w:r w:rsidR="00D939B3">
        <w:rPr>
          <w:rFonts w:ascii="Times New Roman" w:hAnsi="Times New Roman" w:cs="Times New Roman"/>
          <w:sz w:val="24"/>
          <w:szCs w:val="24"/>
        </w:rPr>
        <w:t>2</w:t>
      </w:r>
      <w:r w:rsidRPr="002C476C">
        <w:rPr>
          <w:rFonts w:ascii="Times New Roman" w:hAnsi="Times New Roman" w:cs="Times New Roman"/>
          <w:sz w:val="24"/>
          <w:szCs w:val="24"/>
        </w:rPr>
        <w:t xml:space="preserve"> shows that the population of earthworms increased on variable substrates and applying rock phosphate and PSB. The earthworm population decreased significantly with increasing DAS from 30 to 120. The average earthworm population increased with increasing DAS from 30 to 120. The average earthworm populations were 630, 784, 851, and 986 for DAS–30-120 at 30 days intervals, </w:t>
      </w:r>
      <w:r w:rsidR="00067CDA" w:rsidRPr="002C476C">
        <w:rPr>
          <w:rFonts w:ascii="Times New Roman" w:hAnsi="Times New Roman" w:cs="Times New Roman"/>
          <w:sz w:val="24"/>
          <w:szCs w:val="24"/>
        </w:rPr>
        <w:t>respectively</w:t>
      </w:r>
      <w:r w:rsidR="00414E4F">
        <w:rPr>
          <w:rFonts w:ascii="Times New Roman" w:hAnsi="Times New Roman" w:cs="Times New Roman"/>
          <w:sz w:val="24"/>
          <w:szCs w:val="24"/>
        </w:rPr>
        <w:t xml:space="preserve"> (Fig.1)</w:t>
      </w:r>
      <w:r w:rsidR="00067CDA" w:rsidRPr="002C476C">
        <w:rPr>
          <w:rFonts w:ascii="Times New Roman" w:hAnsi="Times New Roman" w:cs="Times New Roman"/>
          <w:sz w:val="24"/>
          <w:szCs w:val="24"/>
        </w:rPr>
        <w:t>. The</w:t>
      </w:r>
      <w:r w:rsidRPr="002C476C">
        <w:rPr>
          <w:rFonts w:ascii="Times New Roman" w:hAnsi="Times New Roman" w:cs="Times New Roman"/>
          <w:sz w:val="24"/>
          <w:szCs w:val="24"/>
        </w:rPr>
        <w:t xml:space="preserve"> research demonstrated that altering the substrates and enriching the vermicompost with rock phosphate and Phosphate Solubilizing Bacteria (PSB) had an impact on its characteristics. This resulted in the disintegration of organic debris and interactions between bacteria and earthworms. </w:t>
      </w:r>
      <w:r w:rsidR="00D939B3" w:rsidRPr="00D939B3">
        <w:rPr>
          <w:rFonts w:ascii="Times New Roman" w:hAnsi="Times New Roman" w:cs="Times New Roman"/>
          <w:sz w:val="24"/>
          <w:szCs w:val="24"/>
        </w:rPr>
        <w:t xml:space="preserve">The </w:t>
      </w:r>
      <w:r w:rsidR="00D939B3" w:rsidRPr="00D939B3">
        <w:rPr>
          <w:rFonts w:ascii="Times New Roman" w:hAnsi="Times New Roman" w:cs="Times New Roman"/>
          <w:sz w:val="24"/>
          <w:szCs w:val="24"/>
        </w:rPr>
        <w:lastRenderedPageBreak/>
        <w:t xml:space="preserve">Biodegradable Index reduced as the number of days spent vermicomposting increased, reaching an average value of 4.80 after 120 days. During the first 90 days of decomposition, the BI values suggested by Morel et al. (1979) varied from 3.5 to 4.6 in injected earthworms and from 3.9 to 2.9 in inoculated controls. The degradation of organic materials into simpler, stable compounds reduces the Biodegradable Index over time. This reduction signifies the transformation and stabilization of organic waste into humus-like substances, rich in nutrients, which are crucial for soil fertility and plant </w:t>
      </w:r>
      <w:r w:rsidR="00532822" w:rsidRPr="00D939B3">
        <w:rPr>
          <w:rFonts w:ascii="Times New Roman" w:hAnsi="Times New Roman" w:cs="Times New Roman"/>
          <w:sz w:val="24"/>
          <w:szCs w:val="24"/>
        </w:rPr>
        <w:t>growth.</w:t>
      </w:r>
      <w:r w:rsidR="00D939B3" w:rsidRPr="00D939B3">
        <w:rPr>
          <w:rFonts w:ascii="Times New Roman" w:hAnsi="Times New Roman" w:cs="Times New Roman"/>
          <w:sz w:val="24"/>
          <w:szCs w:val="24"/>
        </w:rPr>
        <w:t xml:space="preserve"> Therefore, the observed average value of the Biodegradable Index after 120 days indicates substantial organic matter decomposition, resulting in a stable end-product suitable for use in agriculture as a soil conditioner and organic </w:t>
      </w:r>
      <w:r w:rsidR="00532822" w:rsidRPr="00D939B3">
        <w:rPr>
          <w:rFonts w:ascii="Times New Roman" w:hAnsi="Times New Roman" w:cs="Times New Roman"/>
          <w:sz w:val="24"/>
          <w:szCs w:val="24"/>
        </w:rPr>
        <w:t>fertilizer (</w:t>
      </w:r>
      <w:r w:rsidR="00D939B3" w:rsidRPr="00D939B3">
        <w:rPr>
          <w:rFonts w:ascii="Times New Roman" w:hAnsi="Times New Roman" w:cs="Times New Roman"/>
          <w:sz w:val="24"/>
          <w:szCs w:val="24"/>
        </w:rPr>
        <w:t xml:space="preserve">Bhat et al., 2024; Das et al., 2023; </w:t>
      </w:r>
      <w:proofErr w:type="spellStart"/>
      <w:r w:rsidR="00D939B3" w:rsidRPr="00D939B3">
        <w:rPr>
          <w:rFonts w:ascii="Times New Roman" w:hAnsi="Times New Roman" w:cs="Times New Roman"/>
          <w:sz w:val="24"/>
          <w:szCs w:val="24"/>
        </w:rPr>
        <w:t>Zapałowska</w:t>
      </w:r>
      <w:proofErr w:type="spellEnd"/>
      <w:r w:rsidR="00D939B3" w:rsidRPr="00D939B3">
        <w:rPr>
          <w:rFonts w:ascii="Times New Roman" w:hAnsi="Times New Roman" w:cs="Times New Roman"/>
          <w:sz w:val="24"/>
          <w:szCs w:val="24"/>
        </w:rPr>
        <w:t xml:space="preserve"> et al., 2024)</w:t>
      </w:r>
      <w:r w:rsidR="00D939B3">
        <w:rPr>
          <w:rFonts w:ascii="Times New Roman" w:hAnsi="Times New Roman" w:cs="Times New Roman"/>
          <w:sz w:val="24"/>
          <w:szCs w:val="24"/>
        </w:rPr>
        <w:t xml:space="preserve">. </w:t>
      </w:r>
      <w:r w:rsidRPr="002C476C">
        <w:rPr>
          <w:rFonts w:ascii="Times New Roman" w:hAnsi="Times New Roman" w:cs="Times New Roman"/>
          <w:sz w:val="24"/>
          <w:szCs w:val="24"/>
        </w:rPr>
        <w:t xml:space="preserve">According to the experiment's findings by Sahu </w:t>
      </w:r>
      <w:r w:rsidRPr="002C476C">
        <w:rPr>
          <w:rFonts w:ascii="Times New Roman" w:hAnsi="Times New Roman" w:cs="Times New Roman"/>
          <w:i/>
          <w:iCs/>
          <w:sz w:val="24"/>
          <w:szCs w:val="24"/>
        </w:rPr>
        <w:t>et al.</w:t>
      </w:r>
      <w:r w:rsidRPr="002C476C">
        <w:rPr>
          <w:rFonts w:ascii="Times New Roman" w:hAnsi="Times New Roman" w:cs="Times New Roman"/>
          <w:sz w:val="24"/>
          <w:szCs w:val="24"/>
        </w:rPr>
        <w:t xml:space="preserve"> (2019), non-inoculated plant residues varied from 3.20 to 3.77, increasing immaturity, while inoculated plant residues had BI values between 2.63 and 2.98 at the stage of humification. It was determined that inoculation substrates matured because the BI rating in the humification phase reached 2.71. According to Garcia </w:t>
      </w:r>
      <w:r w:rsidRPr="002C476C">
        <w:rPr>
          <w:rFonts w:ascii="Times New Roman" w:hAnsi="Times New Roman" w:cs="Times New Roman"/>
          <w:i/>
          <w:iCs/>
          <w:sz w:val="24"/>
          <w:szCs w:val="24"/>
        </w:rPr>
        <w:t>et al</w:t>
      </w:r>
      <w:r w:rsidRPr="002C476C">
        <w:rPr>
          <w:rFonts w:ascii="Times New Roman" w:hAnsi="Times New Roman" w:cs="Times New Roman"/>
          <w:sz w:val="24"/>
          <w:szCs w:val="24"/>
        </w:rPr>
        <w:t xml:space="preserve">. (1992), if the BI is higher than 2.9, the compost is not yet mature. The use of appropriate organic substrates is important for earthworms to increase their growth and reproductive performance. The substantial rise in average worm biomass during vermicomposting suggests that feeding on earthworm substrates is a possibility. Our research made it abundantly evident that the earthworms' life cycle was significantly influenced by substrate quality, temperature, and moisture content. </w:t>
      </w:r>
      <w:r w:rsidR="00532822" w:rsidRPr="00532822">
        <w:rPr>
          <w:rFonts w:ascii="Times New Roman" w:hAnsi="Times New Roman" w:cs="Times New Roman"/>
          <w:sz w:val="24"/>
          <w:szCs w:val="24"/>
        </w:rPr>
        <w:t xml:space="preserve">The growth rates of </w:t>
      </w:r>
      <w:proofErr w:type="spellStart"/>
      <w:r w:rsidR="00532822" w:rsidRPr="00532822">
        <w:rPr>
          <w:rFonts w:ascii="Times New Roman" w:hAnsi="Times New Roman" w:cs="Times New Roman"/>
          <w:sz w:val="24"/>
          <w:szCs w:val="24"/>
        </w:rPr>
        <w:t>epigeic</w:t>
      </w:r>
      <w:proofErr w:type="spellEnd"/>
      <w:r w:rsidR="00532822" w:rsidRPr="00532822">
        <w:rPr>
          <w:rFonts w:ascii="Times New Roman" w:hAnsi="Times New Roman" w:cs="Times New Roman"/>
          <w:sz w:val="24"/>
          <w:szCs w:val="24"/>
        </w:rPr>
        <w:t xml:space="preserve"> earthworms were inversely correlated with temperature (Eisenia </w:t>
      </w:r>
      <w:proofErr w:type="spellStart"/>
      <w:r w:rsidR="00532822" w:rsidRPr="00532822">
        <w:rPr>
          <w:rFonts w:ascii="Times New Roman" w:hAnsi="Times New Roman" w:cs="Times New Roman"/>
          <w:sz w:val="24"/>
          <w:szCs w:val="24"/>
        </w:rPr>
        <w:t>fetida</w:t>
      </w:r>
      <w:proofErr w:type="spellEnd"/>
      <w:r w:rsidR="00532822" w:rsidRPr="00532822">
        <w:rPr>
          <w:rFonts w:ascii="Times New Roman" w:hAnsi="Times New Roman" w:cs="Times New Roman"/>
          <w:sz w:val="24"/>
          <w:szCs w:val="24"/>
        </w:rPr>
        <w:t xml:space="preserve">). According to Manna et al. (1997), substrate quality can affect the growth dynamics of P. </w:t>
      </w:r>
      <w:proofErr w:type="spellStart"/>
      <w:r w:rsidR="00532822" w:rsidRPr="00532822">
        <w:rPr>
          <w:rFonts w:ascii="Times New Roman" w:hAnsi="Times New Roman" w:cs="Times New Roman"/>
          <w:sz w:val="24"/>
          <w:szCs w:val="24"/>
        </w:rPr>
        <w:t>excavatus</w:t>
      </w:r>
      <w:proofErr w:type="spellEnd"/>
      <w:r w:rsidR="00532822" w:rsidRPr="00532822">
        <w:rPr>
          <w:rFonts w:ascii="Times New Roman" w:hAnsi="Times New Roman" w:cs="Times New Roman"/>
          <w:sz w:val="24"/>
          <w:szCs w:val="24"/>
        </w:rPr>
        <w:t xml:space="preserve">. According to Manna et al. (2003), Eisenia </w:t>
      </w:r>
      <w:proofErr w:type="spellStart"/>
      <w:r w:rsidR="00532822" w:rsidRPr="00532822">
        <w:rPr>
          <w:rFonts w:ascii="Times New Roman" w:hAnsi="Times New Roman" w:cs="Times New Roman"/>
          <w:sz w:val="24"/>
          <w:szCs w:val="24"/>
        </w:rPr>
        <w:t>fetida</w:t>
      </w:r>
      <w:proofErr w:type="spellEnd"/>
      <w:r w:rsidR="00532822">
        <w:rPr>
          <w:rFonts w:ascii="Times New Roman" w:hAnsi="Times New Roman" w:cs="Times New Roman"/>
          <w:sz w:val="24"/>
          <w:szCs w:val="24"/>
        </w:rPr>
        <w:t xml:space="preserve"> </w:t>
      </w:r>
      <w:r w:rsidR="00532822" w:rsidRPr="00532822">
        <w:rPr>
          <w:rFonts w:ascii="Times New Roman" w:hAnsi="Times New Roman" w:cs="Times New Roman"/>
          <w:sz w:val="24"/>
          <w:szCs w:val="24"/>
        </w:rPr>
        <w:t>out</w:t>
      </w:r>
      <w:r w:rsidR="00532822">
        <w:rPr>
          <w:rFonts w:ascii="Times New Roman" w:hAnsi="Times New Roman" w:cs="Times New Roman"/>
          <w:sz w:val="24"/>
          <w:szCs w:val="24"/>
        </w:rPr>
        <w:t xml:space="preserve"> </w:t>
      </w:r>
      <w:r w:rsidR="00532822" w:rsidRPr="00532822">
        <w:rPr>
          <w:rFonts w:ascii="Times New Roman" w:hAnsi="Times New Roman" w:cs="Times New Roman"/>
          <w:sz w:val="24"/>
          <w:szCs w:val="24"/>
        </w:rPr>
        <w:t xml:space="preserve">performed P. </w:t>
      </w:r>
      <w:proofErr w:type="spellStart"/>
      <w:r w:rsidR="00532822" w:rsidRPr="00532822">
        <w:rPr>
          <w:rFonts w:ascii="Times New Roman" w:hAnsi="Times New Roman" w:cs="Times New Roman"/>
          <w:sz w:val="24"/>
          <w:szCs w:val="24"/>
        </w:rPr>
        <w:t>excavatus</w:t>
      </w:r>
      <w:proofErr w:type="spellEnd"/>
      <w:r w:rsidR="00532822" w:rsidRPr="00532822">
        <w:rPr>
          <w:rFonts w:ascii="Times New Roman" w:hAnsi="Times New Roman" w:cs="Times New Roman"/>
          <w:sz w:val="24"/>
          <w:szCs w:val="24"/>
        </w:rPr>
        <w:t xml:space="preserve"> and D. </w:t>
      </w:r>
      <w:proofErr w:type="spellStart"/>
      <w:r w:rsidR="00532822" w:rsidRPr="00532822">
        <w:rPr>
          <w:rFonts w:ascii="Times New Roman" w:hAnsi="Times New Roman" w:cs="Times New Roman"/>
          <w:sz w:val="24"/>
          <w:szCs w:val="24"/>
        </w:rPr>
        <w:t>bolauiin</w:t>
      </w:r>
      <w:proofErr w:type="spellEnd"/>
      <w:r w:rsidR="00532822" w:rsidRPr="00532822">
        <w:rPr>
          <w:rFonts w:ascii="Times New Roman" w:hAnsi="Times New Roman" w:cs="Times New Roman"/>
          <w:sz w:val="24"/>
          <w:szCs w:val="24"/>
        </w:rPr>
        <w:t xml:space="preserve"> overall populations, survival, and vermicompost quality. Kumar et al., 2023 noticed that the average population of earthworms (Eisenia </w:t>
      </w:r>
      <w:proofErr w:type="spellStart"/>
      <w:r w:rsidR="00532822" w:rsidRPr="00532822">
        <w:rPr>
          <w:rFonts w:ascii="Times New Roman" w:hAnsi="Times New Roman" w:cs="Times New Roman"/>
          <w:sz w:val="24"/>
          <w:szCs w:val="24"/>
        </w:rPr>
        <w:t>fetida</w:t>
      </w:r>
      <w:proofErr w:type="spellEnd"/>
      <w:r w:rsidR="00532822" w:rsidRPr="00532822">
        <w:rPr>
          <w:rFonts w:ascii="Times New Roman" w:hAnsi="Times New Roman" w:cs="Times New Roman"/>
          <w:sz w:val="24"/>
          <w:szCs w:val="24"/>
        </w:rPr>
        <w:t xml:space="preserve">) increased with increasing DAS from 30 to 120.The average population of Eisenia </w:t>
      </w:r>
      <w:proofErr w:type="spellStart"/>
      <w:r w:rsidR="00532822" w:rsidRPr="00532822">
        <w:rPr>
          <w:rFonts w:ascii="Times New Roman" w:hAnsi="Times New Roman" w:cs="Times New Roman"/>
          <w:sz w:val="24"/>
          <w:szCs w:val="24"/>
        </w:rPr>
        <w:t>fetida</w:t>
      </w:r>
      <w:proofErr w:type="spellEnd"/>
      <w:r w:rsidR="00532822" w:rsidRPr="00532822">
        <w:rPr>
          <w:rFonts w:ascii="Times New Roman" w:hAnsi="Times New Roman" w:cs="Times New Roman"/>
          <w:sz w:val="24"/>
          <w:szCs w:val="24"/>
        </w:rPr>
        <w:t xml:space="preserve"> increases with cultivation over time; for instance, studies have noted population gains during prolonged durations, like from Day 30 to Day 120, as the vermicompost becomes richer and more stable, providing a conducive environment for earthworms (Peng et al., 2024; Yang et al., 2017; Zhang et al., 2020)</w:t>
      </w:r>
      <w:r w:rsidR="00532822">
        <w:rPr>
          <w:rFonts w:ascii="Times New Roman" w:hAnsi="Times New Roman" w:cs="Times New Roman"/>
          <w:sz w:val="24"/>
          <w:szCs w:val="24"/>
        </w:rPr>
        <w:t>.</w:t>
      </w:r>
    </w:p>
    <w:p w14:paraId="7B39EBD2" w14:textId="7E9CE3A1" w:rsidR="00557A67" w:rsidRPr="002C476C" w:rsidRDefault="00557A67" w:rsidP="00532822">
      <w:pPr>
        <w:autoSpaceDE w:val="0"/>
        <w:autoSpaceDN w:val="0"/>
        <w:adjustRightInd w:val="0"/>
        <w:spacing w:after="0" w:line="360" w:lineRule="auto"/>
        <w:jc w:val="both"/>
        <w:rPr>
          <w:rFonts w:ascii="Times New Roman" w:hAnsi="Times New Roman" w:cs="Times New Roman"/>
          <w:b/>
          <w:bCs/>
          <w:sz w:val="24"/>
          <w:szCs w:val="24"/>
        </w:rPr>
      </w:pPr>
      <w:r w:rsidRPr="002C476C">
        <w:rPr>
          <w:rFonts w:ascii="Times New Roman" w:hAnsi="Times New Roman" w:cs="Times New Roman"/>
          <w:b/>
          <w:bCs/>
          <w:sz w:val="24"/>
          <w:szCs w:val="24"/>
        </w:rPr>
        <w:t>Recommendation</w:t>
      </w:r>
    </w:p>
    <w:p w14:paraId="7D8F9518" w14:textId="4418AB3D" w:rsidR="00881F1A" w:rsidRDefault="007D574C" w:rsidP="003A5440">
      <w:pPr>
        <w:autoSpaceDE w:val="0"/>
        <w:autoSpaceDN w:val="0"/>
        <w:adjustRightInd w:val="0"/>
        <w:spacing w:after="0" w:line="360" w:lineRule="auto"/>
        <w:ind w:firstLine="720"/>
        <w:jc w:val="both"/>
        <w:rPr>
          <w:rFonts w:ascii="Times New Roman" w:hAnsi="Times New Roman" w:cs="Times New Roman"/>
          <w:sz w:val="24"/>
          <w:szCs w:val="24"/>
        </w:rPr>
      </w:pPr>
      <w:r w:rsidRPr="002C476C">
        <w:rPr>
          <w:rFonts w:ascii="Times New Roman" w:hAnsi="Times New Roman" w:cs="Times New Roman"/>
          <w:sz w:val="24"/>
          <w:szCs w:val="24"/>
        </w:rPr>
        <w:t xml:space="preserve">Based on the ongoing results, we determined the impact of various substrates, composting durations, and rock phosphate enrichment on the biodegradable index (BI) and earthworm populations in vermicompost. BI exhibited a decline with increasing days after sowing (DAS), </w:t>
      </w:r>
      <w:r w:rsidRPr="002C476C">
        <w:rPr>
          <w:rFonts w:ascii="Times New Roman" w:hAnsi="Times New Roman" w:cs="Times New Roman"/>
          <w:sz w:val="24"/>
          <w:szCs w:val="24"/>
        </w:rPr>
        <w:lastRenderedPageBreak/>
        <w:t>reaching an average value of 4.80 after 120 days. The earthworm population increased with different substrates and the application of rock phosphate and PSB, although a significant decrease was observed from 30 to 120 DAS. This study underscores the significance of selecting appropriate organic substrates for the growth and reproductive performance of earthworms, which are substantially influenced by substrate quality, temperature, and moisture content.</w:t>
      </w:r>
    </w:p>
    <w:p w14:paraId="397E0F15" w14:textId="3CF7B2FD" w:rsidR="00881F1A" w:rsidRPr="003A29C6" w:rsidRDefault="00881F1A" w:rsidP="00881F1A">
      <w:pPr>
        <w:jc w:val="both"/>
        <w:outlineLvl w:val="0"/>
        <w:rPr>
          <w:rFonts w:ascii="Arial" w:hAnsi="Arial" w:cs="Arial"/>
        </w:rPr>
      </w:pPr>
      <w:r w:rsidRPr="003A29C6">
        <w:rPr>
          <w:rFonts w:ascii="Arial" w:hAnsi="Arial" w:cs="Arial"/>
          <w:b/>
          <w:bCs/>
        </w:rPr>
        <w:t>COMPETING INTERESTS DISCLAIMER:</w:t>
      </w:r>
    </w:p>
    <w:p w14:paraId="341573AB" w14:textId="77777777" w:rsidR="00881F1A" w:rsidRPr="00532822" w:rsidRDefault="00881F1A" w:rsidP="00532822">
      <w:pPr>
        <w:spacing w:line="360" w:lineRule="auto"/>
        <w:rPr>
          <w:rFonts w:ascii="Times New Roman" w:hAnsi="Times New Roman" w:cs="Times New Roman"/>
          <w:sz w:val="24"/>
          <w:szCs w:val="24"/>
        </w:rPr>
      </w:pPr>
      <w:r w:rsidRPr="00532822">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48DD410D" w14:textId="77777777" w:rsidR="00641AFF" w:rsidRPr="00D939B3" w:rsidRDefault="00641AFF" w:rsidP="00641AFF">
      <w:pPr>
        <w:rPr>
          <w:b/>
          <w:bCs/>
        </w:rPr>
      </w:pPr>
      <w:r w:rsidRPr="00D939B3">
        <w:rPr>
          <w:b/>
          <w:bCs/>
        </w:rPr>
        <w:t>Disclaimer (Artificial intelligence)</w:t>
      </w:r>
    </w:p>
    <w:p w14:paraId="2ED032E0" w14:textId="6423AEBD" w:rsidR="00641AFF" w:rsidRPr="00532822" w:rsidRDefault="00641AFF" w:rsidP="00532822">
      <w:pPr>
        <w:spacing w:line="360" w:lineRule="auto"/>
        <w:jc w:val="both"/>
        <w:rPr>
          <w:rFonts w:ascii="Times New Roman" w:hAnsi="Times New Roman" w:cs="Times New Roman"/>
          <w:sz w:val="24"/>
          <w:szCs w:val="24"/>
        </w:rPr>
      </w:pPr>
      <w:r w:rsidRPr="00532822">
        <w:rPr>
          <w:rFonts w:ascii="Times New Roman" w:hAnsi="Times New Roman" w:cs="Times New Roman"/>
          <w:sz w:val="24"/>
          <w:szCs w:val="24"/>
        </w:rPr>
        <w:t xml:space="preserve">Author(s) hereby </w:t>
      </w:r>
      <w:r w:rsidR="00532822" w:rsidRPr="00532822">
        <w:rPr>
          <w:rFonts w:ascii="Times New Roman" w:hAnsi="Times New Roman" w:cs="Times New Roman"/>
          <w:sz w:val="24"/>
          <w:szCs w:val="24"/>
        </w:rPr>
        <w:t>declares</w:t>
      </w:r>
      <w:r w:rsidRPr="00532822">
        <w:rPr>
          <w:rFonts w:ascii="Times New Roman" w:hAnsi="Times New Roman" w:cs="Times New Roman"/>
          <w:sz w:val="24"/>
          <w:szCs w:val="24"/>
        </w:rPr>
        <w:t xml:space="preserve"> that NO generative AI technologies such as Large Language Models (ChatGPT, COPILOT, etc.) and text-to-image generators have been used during the writing or editing of this manuscript. </w:t>
      </w:r>
    </w:p>
    <w:p w14:paraId="21EA5A8D" w14:textId="77777777" w:rsidR="00BF7042" w:rsidRPr="002C476C" w:rsidRDefault="00BF7042" w:rsidP="003A5440">
      <w:pPr>
        <w:autoSpaceDE w:val="0"/>
        <w:autoSpaceDN w:val="0"/>
        <w:adjustRightInd w:val="0"/>
        <w:spacing w:after="0" w:line="360" w:lineRule="auto"/>
        <w:jc w:val="both"/>
        <w:rPr>
          <w:rFonts w:ascii="Times New Roman" w:hAnsi="Times New Roman" w:cs="Times New Roman"/>
          <w:b/>
          <w:bCs/>
          <w:sz w:val="24"/>
          <w:szCs w:val="24"/>
        </w:rPr>
      </w:pPr>
      <w:r w:rsidRPr="002C476C">
        <w:rPr>
          <w:rFonts w:ascii="Times New Roman" w:hAnsi="Times New Roman" w:cs="Times New Roman"/>
          <w:b/>
          <w:bCs/>
          <w:sz w:val="24"/>
          <w:szCs w:val="24"/>
        </w:rPr>
        <w:t>References</w:t>
      </w:r>
    </w:p>
    <w:p w14:paraId="0CF624CB" w14:textId="77777777" w:rsidR="00532822" w:rsidRDefault="00532822" w:rsidP="003A5440">
      <w:pPr>
        <w:spacing w:after="0" w:line="360" w:lineRule="auto"/>
        <w:ind w:left="720" w:hanging="720"/>
        <w:jc w:val="both"/>
        <w:rPr>
          <w:rFonts w:ascii="Times New Roman" w:hAnsi="Times New Roman" w:cs="Times New Roman"/>
          <w:sz w:val="24"/>
          <w:szCs w:val="24"/>
        </w:rPr>
      </w:pPr>
      <w:r w:rsidRPr="002C476C">
        <w:rPr>
          <w:rFonts w:ascii="Times New Roman" w:hAnsi="Times New Roman" w:cs="Times New Roman"/>
          <w:sz w:val="24"/>
          <w:szCs w:val="24"/>
        </w:rPr>
        <w:t xml:space="preserve">Adhami E, Hosseini </w:t>
      </w:r>
      <w:proofErr w:type="gramStart"/>
      <w:r w:rsidRPr="002C476C">
        <w:rPr>
          <w:rFonts w:ascii="Times New Roman" w:hAnsi="Times New Roman" w:cs="Times New Roman"/>
          <w:sz w:val="24"/>
          <w:szCs w:val="24"/>
        </w:rPr>
        <w:t xml:space="preserve">Sand  </w:t>
      </w:r>
      <w:proofErr w:type="spellStart"/>
      <w:r w:rsidRPr="002C476C">
        <w:rPr>
          <w:rFonts w:ascii="Times New Roman" w:hAnsi="Times New Roman" w:cs="Times New Roman"/>
          <w:sz w:val="24"/>
          <w:szCs w:val="24"/>
        </w:rPr>
        <w:t>Owliaie</w:t>
      </w:r>
      <w:proofErr w:type="spellEnd"/>
      <w:proofErr w:type="gramEnd"/>
      <w:r w:rsidRPr="002C476C">
        <w:rPr>
          <w:rFonts w:ascii="Times New Roman" w:hAnsi="Times New Roman" w:cs="Times New Roman"/>
          <w:sz w:val="24"/>
          <w:szCs w:val="24"/>
        </w:rPr>
        <w:t xml:space="preserve"> H. (2014) Forms of phosphorus of vermicompost produced from leaf compost and sheep dung enriched with rock phosphate. Int. </w:t>
      </w:r>
      <w:proofErr w:type="spellStart"/>
      <w:proofErr w:type="gramStart"/>
      <w:r w:rsidRPr="002C476C">
        <w:rPr>
          <w:rFonts w:ascii="Times New Roman" w:hAnsi="Times New Roman" w:cs="Times New Roman"/>
          <w:sz w:val="24"/>
          <w:szCs w:val="24"/>
        </w:rPr>
        <w:t>J.Recycl</w:t>
      </w:r>
      <w:proofErr w:type="spellEnd"/>
      <w:proofErr w:type="gramEnd"/>
      <w:r w:rsidRPr="002C476C">
        <w:rPr>
          <w:rFonts w:ascii="Times New Roman" w:hAnsi="Times New Roman" w:cs="Times New Roman"/>
          <w:sz w:val="24"/>
          <w:szCs w:val="24"/>
        </w:rPr>
        <w:t xml:space="preserve"> Org. Waste </w:t>
      </w:r>
      <w:proofErr w:type="spellStart"/>
      <w:r w:rsidRPr="002C476C">
        <w:rPr>
          <w:rFonts w:ascii="Times New Roman" w:hAnsi="Times New Roman" w:cs="Times New Roman"/>
          <w:sz w:val="24"/>
          <w:szCs w:val="24"/>
        </w:rPr>
        <w:t>Agricult</w:t>
      </w:r>
      <w:proofErr w:type="spellEnd"/>
      <w:r w:rsidRPr="002C476C">
        <w:rPr>
          <w:rFonts w:ascii="Times New Roman" w:hAnsi="Times New Roman" w:cs="Times New Roman"/>
          <w:sz w:val="24"/>
          <w:szCs w:val="24"/>
        </w:rPr>
        <w:t xml:space="preserve"> (2014) 3:68 DOI 10.1007/s40093-014-0068-9</w:t>
      </w:r>
      <w:r>
        <w:rPr>
          <w:rFonts w:ascii="Times New Roman" w:hAnsi="Times New Roman" w:cs="Times New Roman"/>
          <w:sz w:val="24"/>
          <w:szCs w:val="24"/>
        </w:rPr>
        <w:t>.</w:t>
      </w:r>
    </w:p>
    <w:p w14:paraId="59EE2A61" w14:textId="77777777" w:rsidR="00532822" w:rsidRPr="00532822" w:rsidRDefault="00532822" w:rsidP="00532822">
      <w:pPr>
        <w:spacing w:after="0" w:line="360" w:lineRule="auto"/>
        <w:ind w:left="720" w:hanging="720"/>
        <w:jc w:val="both"/>
        <w:rPr>
          <w:rFonts w:ascii="Times New Roman" w:hAnsi="Times New Roman" w:cs="Times New Roman"/>
          <w:sz w:val="24"/>
          <w:szCs w:val="24"/>
        </w:rPr>
      </w:pPr>
      <w:r w:rsidRPr="00D939B3">
        <w:rPr>
          <w:rFonts w:ascii="Times New Roman" w:hAnsi="Times New Roman" w:cs="Times New Roman"/>
          <w:sz w:val="24"/>
          <w:szCs w:val="24"/>
          <w:shd w:val="clear" w:color="auto" w:fill="FFFFFF"/>
        </w:rPr>
        <w:t xml:space="preserve">Bhat, S. A., Han, Z. M., Dewi, S. K., Wei, Y., &amp; Li, F. (2024). Effect of conventional and biodegradable microplastics on earthworms during vermicomposting process. </w:t>
      </w:r>
      <w:r w:rsidRPr="00D939B3">
        <w:rPr>
          <w:rFonts w:ascii="Times New Roman" w:hAnsi="Times New Roman" w:cs="Times New Roman"/>
          <w:i/>
          <w:iCs/>
          <w:sz w:val="24"/>
          <w:szCs w:val="24"/>
          <w:shd w:val="clear" w:color="auto" w:fill="FFFFFF"/>
        </w:rPr>
        <w:t>Environmental Geochemistry and Health</w:t>
      </w:r>
      <w:r w:rsidRPr="00D939B3">
        <w:rPr>
          <w:rFonts w:ascii="Times New Roman" w:hAnsi="Times New Roman" w:cs="Times New Roman"/>
          <w:sz w:val="24"/>
          <w:szCs w:val="24"/>
          <w:shd w:val="clear" w:color="auto" w:fill="FFFFFF"/>
        </w:rPr>
        <w:t xml:space="preserve">, </w:t>
      </w:r>
      <w:r w:rsidRPr="00D939B3">
        <w:rPr>
          <w:rFonts w:ascii="Times New Roman" w:hAnsi="Times New Roman" w:cs="Times New Roman"/>
          <w:i/>
          <w:iCs/>
          <w:sz w:val="24"/>
          <w:szCs w:val="24"/>
          <w:shd w:val="clear" w:color="auto" w:fill="FFFFFF"/>
        </w:rPr>
        <w:t>46</w:t>
      </w:r>
      <w:r w:rsidRPr="00D939B3">
        <w:rPr>
          <w:rFonts w:ascii="Times New Roman" w:hAnsi="Times New Roman" w:cs="Times New Roman"/>
          <w:sz w:val="24"/>
          <w:szCs w:val="24"/>
          <w:shd w:val="clear" w:color="auto" w:fill="FFFFFF"/>
        </w:rPr>
        <w:t xml:space="preserve">(6). </w:t>
      </w:r>
      <w:hyperlink r:id="rId7" w:history="1">
        <w:r w:rsidRPr="00D939B3">
          <w:rPr>
            <w:rStyle w:val="Hyperlink"/>
            <w:rFonts w:ascii="Times New Roman" w:hAnsi="Times New Roman" w:cs="Times New Roman"/>
            <w:sz w:val="24"/>
            <w:szCs w:val="24"/>
            <w:shd w:val="clear" w:color="auto" w:fill="FFFFFF"/>
          </w:rPr>
          <w:t>https://doi.org/10.1007/s10653-024-01974-9</w:t>
        </w:r>
      </w:hyperlink>
      <w:r>
        <w:rPr>
          <w:rFonts w:ascii="Times New Roman" w:hAnsi="Times New Roman" w:cs="Times New Roman"/>
          <w:sz w:val="24"/>
          <w:szCs w:val="24"/>
          <w:shd w:val="clear" w:color="auto" w:fill="FFFFFF"/>
        </w:rPr>
        <w:t>.</w:t>
      </w:r>
    </w:p>
    <w:p w14:paraId="20DCB2A4" w14:textId="77777777" w:rsidR="00532822" w:rsidRDefault="00532822" w:rsidP="00D939B3">
      <w:pPr>
        <w:autoSpaceDE w:val="0"/>
        <w:autoSpaceDN w:val="0"/>
        <w:adjustRightInd w:val="0"/>
        <w:spacing w:after="0" w:line="360" w:lineRule="auto"/>
        <w:ind w:left="567" w:hanging="567"/>
        <w:jc w:val="both"/>
        <w:rPr>
          <w:rFonts w:ascii="Times New Roman" w:hAnsi="Times New Roman" w:cs="Times New Roman"/>
          <w:sz w:val="24"/>
          <w:szCs w:val="24"/>
          <w:shd w:val="clear" w:color="auto" w:fill="FFFFFF"/>
        </w:rPr>
      </w:pPr>
      <w:r w:rsidRPr="00D939B3">
        <w:rPr>
          <w:rFonts w:ascii="Times New Roman" w:hAnsi="Times New Roman" w:cs="Times New Roman"/>
          <w:sz w:val="24"/>
          <w:szCs w:val="24"/>
          <w:shd w:val="clear" w:color="auto" w:fill="FFFFFF"/>
        </w:rPr>
        <w:t xml:space="preserve">Das, I., Chanda, A., Akhand, A., &amp; Hazra, S. (2023). Carbon Biogeochemistry of the Estuaries Adjoining the Indian Sundarbans Mangrove Ecosystem: A Review. </w:t>
      </w:r>
      <w:r w:rsidRPr="00D939B3">
        <w:rPr>
          <w:rFonts w:ascii="Times New Roman" w:hAnsi="Times New Roman" w:cs="Times New Roman"/>
          <w:i/>
          <w:iCs/>
          <w:sz w:val="24"/>
          <w:szCs w:val="24"/>
          <w:shd w:val="clear" w:color="auto" w:fill="FFFFFF"/>
        </w:rPr>
        <w:t>Life</w:t>
      </w:r>
      <w:r w:rsidRPr="00D939B3">
        <w:rPr>
          <w:rFonts w:ascii="Times New Roman" w:hAnsi="Times New Roman" w:cs="Times New Roman"/>
          <w:sz w:val="24"/>
          <w:szCs w:val="24"/>
          <w:shd w:val="clear" w:color="auto" w:fill="FFFFFF"/>
        </w:rPr>
        <w:t xml:space="preserve">, </w:t>
      </w:r>
      <w:r w:rsidRPr="00D939B3">
        <w:rPr>
          <w:rFonts w:ascii="Times New Roman" w:hAnsi="Times New Roman" w:cs="Times New Roman"/>
          <w:i/>
          <w:iCs/>
          <w:sz w:val="24"/>
          <w:szCs w:val="24"/>
          <w:shd w:val="clear" w:color="auto" w:fill="FFFFFF"/>
        </w:rPr>
        <w:t>13</w:t>
      </w:r>
      <w:r w:rsidRPr="00D939B3">
        <w:rPr>
          <w:rFonts w:ascii="Times New Roman" w:hAnsi="Times New Roman" w:cs="Times New Roman"/>
          <w:sz w:val="24"/>
          <w:szCs w:val="24"/>
          <w:shd w:val="clear" w:color="auto" w:fill="FFFFFF"/>
        </w:rPr>
        <w:t xml:space="preserve">(4), 863. </w:t>
      </w:r>
      <w:hyperlink r:id="rId8" w:history="1">
        <w:r w:rsidRPr="00D939B3">
          <w:rPr>
            <w:rStyle w:val="Hyperlink"/>
            <w:rFonts w:ascii="Times New Roman" w:hAnsi="Times New Roman" w:cs="Times New Roman"/>
            <w:sz w:val="24"/>
            <w:szCs w:val="24"/>
            <w:shd w:val="clear" w:color="auto" w:fill="FFFFFF"/>
          </w:rPr>
          <w:t>https://doi.org/10.3390/life13040863</w:t>
        </w:r>
      </w:hyperlink>
      <w:r>
        <w:rPr>
          <w:rFonts w:ascii="Times New Roman" w:hAnsi="Times New Roman" w:cs="Times New Roman"/>
          <w:sz w:val="24"/>
          <w:szCs w:val="24"/>
          <w:shd w:val="clear" w:color="auto" w:fill="FFFFFF"/>
        </w:rPr>
        <w:t>.</w:t>
      </w:r>
    </w:p>
    <w:p w14:paraId="4DBE0A87" w14:textId="77777777" w:rsidR="00532822" w:rsidRPr="002C476C" w:rsidRDefault="00532822" w:rsidP="008438ED">
      <w:pPr>
        <w:spacing w:after="0" w:line="360" w:lineRule="auto"/>
        <w:ind w:left="720" w:hanging="720"/>
        <w:jc w:val="both"/>
        <w:rPr>
          <w:rFonts w:ascii="Times New Roman" w:hAnsi="Times New Roman" w:cs="Times New Roman"/>
          <w:sz w:val="24"/>
          <w:szCs w:val="24"/>
        </w:rPr>
      </w:pPr>
      <w:r w:rsidRPr="002C476C">
        <w:rPr>
          <w:rFonts w:ascii="Times New Roman" w:hAnsi="Times New Roman" w:cs="Times New Roman"/>
          <w:sz w:val="24"/>
          <w:szCs w:val="24"/>
        </w:rPr>
        <w:t xml:space="preserve">Garcia, C., Hernandez, T., Costa, F. and </w:t>
      </w:r>
      <w:proofErr w:type="spellStart"/>
      <w:r w:rsidRPr="002C476C">
        <w:rPr>
          <w:rFonts w:ascii="Times New Roman" w:hAnsi="Times New Roman" w:cs="Times New Roman"/>
          <w:sz w:val="24"/>
          <w:szCs w:val="24"/>
        </w:rPr>
        <w:t>Ayusho</w:t>
      </w:r>
      <w:proofErr w:type="spellEnd"/>
      <w:r w:rsidRPr="002C476C">
        <w:rPr>
          <w:rFonts w:ascii="Times New Roman" w:hAnsi="Times New Roman" w:cs="Times New Roman"/>
          <w:sz w:val="24"/>
          <w:szCs w:val="24"/>
        </w:rPr>
        <w:t xml:space="preserve">, M. (1992) Evaluation of maturity of municipal waste compost using simple chemical parameters. </w:t>
      </w:r>
      <w:r w:rsidRPr="002C476C">
        <w:rPr>
          <w:rFonts w:ascii="Times New Roman" w:hAnsi="Times New Roman" w:cs="Times New Roman"/>
          <w:i/>
          <w:iCs/>
          <w:sz w:val="24"/>
          <w:szCs w:val="24"/>
        </w:rPr>
        <w:t xml:space="preserve">Communications in </w:t>
      </w:r>
      <w:proofErr w:type="spellStart"/>
      <w:r w:rsidRPr="002C476C">
        <w:rPr>
          <w:rFonts w:ascii="Times New Roman" w:hAnsi="Times New Roman" w:cs="Times New Roman"/>
          <w:i/>
          <w:iCs/>
          <w:sz w:val="24"/>
          <w:szCs w:val="24"/>
        </w:rPr>
        <w:t>SoilScience</w:t>
      </w:r>
      <w:proofErr w:type="spellEnd"/>
      <w:r w:rsidRPr="002C476C">
        <w:rPr>
          <w:rFonts w:ascii="Times New Roman" w:hAnsi="Times New Roman" w:cs="Times New Roman"/>
          <w:i/>
          <w:iCs/>
          <w:sz w:val="24"/>
          <w:szCs w:val="24"/>
        </w:rPr>
        <w:t xml:space="preserve"> and Plant Analyses </w:t>
      </w:r>
      <w:r w:rsidRPr="002C476C">
        <w:rPr>
          <w:rFonts w:ascii="Times New Roman" w:hAnsi="Times New Roman" w:cs="Times New Roman"/>
          <w:b/>
          <w:bCs/>
          <w:sz w:val="24"/>
          <w:szCs w:val="24"/>
        </w:rPr>
        <w:t>23</w:t>
      </w:r>
      <w:r w:rsidRPr="002C476C">
        <w:rPr>
          <w:rFonts w:ascii="Times New Roman" w:hAnsi="Times New Roman" w:cs="Times New Roman"/>
          <w:sz w:val="24"/>
          <w:szCs w:val="24"/>
        </w:rPr>
        <w:t>, 1501–1512.</w:t>
      </w:r>
    </w:p>
    <w:p w14:paraId="0EA6CBCA" w14:textId="77777777" w:rsidR="00532822" w:rsidRPr="002C476C" w:rsidRDefault="00532822" w:rsidP="008438ED">
      <w:pPr>
        <w:spacing w:after="0" w:line="360" w:lineRule="auto"/>
        <w:ind w:left="720" w:hanging="720"/>
        <w:jc w:val="both"/>
        <w:rPr>
          <w:rFonts w:ascii="Times New Roman" w:eastAsia="CharisSIL" w:hAnsi="Times New Roman" w:cs="Times New Roman"/>
          <w:sz w:val="24"/>
          <w:szCs w:val="24"/>
        </w:rPr>
      </w:pPr>
      <w:proofErr w:type="gramStart"/>
      <w:r w:rsidRPr="002C476C">
        <w:rPr>
          <w:rFonts w:ascii="Times New Roman" w:hAnsi="Times New Roman" w:cs="Times New Roman"/>
          <w:sz w:val="24"/>
          <w:szCs w:val="24"/>
          <w:shd w:val="clear" w:color="auto" w:fill="F7F7F7"/>
        </w:rPr>
        <w:t>Juhi,  Singh</w:t>
      </w:r>
      <w:proofErr w:type="gramEnd"/>
      <w:r w:rsidRPr="002C476C">
        <w:rPr>
          <w:rFonts w:ascii="Times New Roman" w:hAnsi="Times New Roman" w:cs="Times New Roman"/>
          <w:sz w:val="24"/>
          <w:szCs w:val="24"/>
          <w:shd w:val="clear" w:color="auto" w:fill="F7F7F7"/>
        </w:rPr>
        <w:t xml:space="preserve">, Y. K., Singh, B., Das, A., Kohli, A., Kumar, R., </w:t>
      </w:r>
      <w:r w:rsidRPr="002C476C">
        <w:rPr>
          <w:rFonts w:ascii="Times New Roman" w:hAnsi="Times New Roman" w:cs="Times New Roman"/>
          <w:i/>
          <w:iCs/>
          <w:sz w:val="24"/>
          <w:szCs w:val="24"/>
          <w:shd w:val="clear" w:color="auto" w:fill="F7F7F7"/>
        </w:rPr>
        <w:t>et al</w:t>
      </w:r>
      <w:r w:rsidRPr="002C476C">
        <w:rPr>
          <w:rFonts w:ascii="Times New Roman" w:hAnsi="Times New Roman" w:cs="Times New Roman"/>
          <w:sz w:val="24"/>
          <w:szCs w:val="24"/>
          <w:shd w:val="clear" w:color="auto" w:fill="F7F7F7"/>
        </w:rPr>
        <w:t xml:space="preserve">. (2022). Crop Yields and Soil Organic Matter Pools in Zero-Till Direct-Seeded rice-based Cropping Systems as </w:t>
      </w:r>
      <w:r w:rsidRPr="002C476C">
        <w:rPr>
          <w:rFonts w:ascii="Times New Roman" w:hAnsi="Times New Roman" w:cs="Times New Roman"/>
          <w:sz w:val="24"/>
          <w:szCs w:val="24"/>
          <w:shd w:val="clear" w:color="auto" w:fill="F7F7F7"/>
        </w:rPr>
        <w:lastRenderedPageBreak/>
        <w:t>Influenced by Fertigation Levels in the Indo-Gangetic plains in India. </w:t>
      </w:r>
      <w:r w:rsidRPr="002C476C">
        <w:rPr>
          <w:rStyle w:val="Emphasis"/>
          <w:rFonts w:ascii="Times New Roman" w:hAnsi="Times New Roman" w:cs="Times New Roman"/>
          <w:sz w:val="24"/>
          <w:szCs w:val="24"/>
          <w:shd w:val="clear" w:color="auto" w:fill="F7F7F7"/>
        </w:rPr>
        <w:t>Carbon Manage.</w:t>
      </w:r>
      <w:r w:rsidRPr="002C476C">
        <w:rPr>
          <w:rFonts w:ascii="Times New Roman" w:hAnsi="Times New Roman" w:cs="Times New Roman"/>
          <w:sz w:val="24"/>
          <w:szCs w:val="24"/>
          <w:shd w:val="clear" w:color="auto" w:fill="F7F7F7"/>
        </w:rPr>
        <w:t> 13 (1), 78–89. doi:10.1080/17583004.2021.2016495</w:t>
      </w:r>
    </w:p>
    <w:p w14:paraId="2FE4C9B1" w14:textId="77777777" w:rsidR="00532822" w:rsidRPr="002C476C" w:rsidRDefault="00532822" w:rsidP="008438ED">
      <w:pPr>
        <w:autoSpaceDE w:val="0"/>
        <w:autoSpaceDN w:val="0"/>
        <w:adjustRightInd w:val="0"/>
        <w:spacing w:after="0" w:line="360" w:lineRule="auto"/>
        <w:ind w:left="567" w:hanging="567"/>
        <w:jc w:val="both"/>
        <w:rPr>
          <w:rFonts w:ascii="Times New Roman" w:hAnsi="Times New Roman" w:cs="Times New Roman"/>
          <w:sz w:val="24"/>
          <w:szCs w:val="24"/>
          <w:shd w:val="clear" w:color="auto" w:fill="FFFFFF"/>
        </w:rPr>
      </w:pPr>
      <w:r w:rsidRPr="002C476C">
        <w:rPr>
          <w:rFonts w:ascii="Times New Roman" w:hAnsi="Times New Roman" w:cs="Times New Roman"/>
          <w:sz w:val="24"/>
          <w:szCs w:val="24"/>
          <w:shd w:val="clear" w:color="auto" w:fill="FFFFFF"/>
        </w:rPr>
        <w:t xml:space="preserve">Kumar R, Jha S, Singh SP, Kumar M, Kumari R, Padbhushan </w:t>
      </w:r>
      <w:proofErr w:type="gramStart"/>
      <w:r w:rsidRPr="002C476C">
        <w:rPr>
          <w:rFonts w:ascii="Times New Roman" w:hAnsi="Times New Roman" w:cs="Times New Roman"/>
          <w:sz w:val="24"/>
          <w:szCs w:val="24"/>
          <w:shd w:val="clear" w:color="auto" w:fill="FFFFFF"/>
        </w:rPr>
        <w:t>R.(</w:t>
      </w:r>
      <w:proofErr w:type="gramEnd"/>
      <w:r w:rsidRPr="002C476C">
        <w:rPr>
          <w:rFonts w:ascii="Times New Roman" w:hAnsi="Times New Roman" w:cs="Times New Roman"/>
          <w:sz w:val="24"/>
          <w:szCs w:val="24"/>
          <w:shd w:val="clear" w:color="auto" w:fill="FFFFFF"/>
        </w:rPr>
        <w:t xml:space="preserve">2023) Organic waste recycling by vermicomposting amended with rock phosphate impacts the stability and maturity indices of vermicompost. J Air Waste Manag Assoc. 2023 Jul;73(7):553-567. </w:t>
      </w:r>
    </w:p>
    <w:p w14:paraId="771A65D0" w14:textId="77777777" w:rsidR="00532822" w:rsidRPr="002C476C" w:rsidRDefault="00532822" w:rsidP="008438ED">
      <w:pPr>
        <w:spacing w:after="0" w:line="360" w:lineRule="auto"/>
        <w:ind w:left="720" w:hanging="720"/>
        <w:jc w:val="both"/>
        <w:rPr>
          <w:rFonts w:ascii="Times New Roman" w:eastAsia="CharisSIL" w:hAnsi="Times New Roman" w:cs="Times New Roman"/>
          <w:sz w:val="24"/>
          <w:szCs w:val="24"/>
        </w:rPr>
      </w:pPr>
      <w:r w:rsidRPr="002C476C">
        <w:rPr>
          <w:rFonts w:ascii="Times New Roman" w:hAnsi="Times New Roman" w:cs="Times New Roman"/>
          <w:sz w:val="24"/>
          <w:szCs w:val="24"/>
        </w:rPr>
        <w:t xml:space="preserve">Manna, M.C., Jha, S. Ghosh, P.K., and Acharya, </w:t>
      </w:r>
      <w:proofErr w:type="gramStart"/>
      <w:r w:rsidRPr="002C476C">
        <w:rPr>
          <w:rFonts w:ascii="Times New Roman" w:hAnsi="Times New Roman" w:cs="Times New Roman"/>
          <w:sz w:val="24"/>
          <w:szCs w:val="24"/>
        </w:rPr>
        <w:t>C.L.(</w:t>
      </w:r>
      <w:proofErr w:type="gramEnd"/>
      <w:r w:rsidRPr="002C476C">
        <w:rPr>
          <w:rFonts w:ascii="Times New Roman" w:hAnsi="Times New Roman" w:cs="Times New Roman"/>
          <w:sz w:val="24"/>
          <w:szCs w:val="24"/>
        </w:rPr>
        <w:t xml:space="preserve">2003) Comparative efficacy of three </w:t>
      </w:r>
      <w:proofErr w:type="spellStart"/>
      <w:r w:rsidRPr="002C476C">
        <w:rPr>
          <w:rFonts w:ascii="Times New Roman" w:hAnsi="Times New Roman" w:cs="Times New Roman"/>
          <w:sz w:val="24"/>
          <w:szCs w:val="24"/>
        </w:rPr>
        <w:t>epigeic</w:t>
      </w:r>
      <w:proofErr w:type="spellEnd"/>
      <w:r w:rsidRPr="002C476C">
        <w:rPr>
          <w:rFonts w:ascii="Times New Roman" w:hAnsi="Times New Roman" w:cs="Times New Roman"/>
          <w:sz w:val="24"/>
          <w:szCs w:val="24"/>
        </w:rPr>
        <w:t xml:space="preserve"> earthworms under different deciduous forest litters </w:t>
      </w:r>
      <w:proofErr w:type="spellStart"/>
      <w:proofErr w:type="gramStart"/>
      <w:r w:rsidRPr="002C476C">
        <w:rPr>
          <w:rFonts w:ascii="Times New Roman" w:hAnsi="Times New Roman" w:cs="Times New Roman"/>
          <w:sz w:val="24"/>
          <w:szCs w:val="24"/>
        </w:rPr>
        <w:t>decomposition.Bioresource</w:t>
      </w:r>
      <w:proofErr w:type="spellEnd"/>
      <w:proofErr w:type="gramEnd"/>
      <w:r w:rsidRPr="002C476C">
        <w:rPr>
          <w:rFonts w:ascii="Times New Roman" w:hAnsi="Times New Roman" w:cs="Times New Roman"/>
          <w:sz w:val="24"/>
          <w:szCs w:val="24"/>
        </w:rPr>
        <w:t xml:space="preserve"> Technology 88 (2003) 197–206.</w:t>
      </w:r>
    </w:p>
    <w:p w14:paraId="4AC0C696" w14:textId="77777777" w:rsidR="00532822" w:rsidRPr="002C476C" w:rsidRDefault="00532822" w:rsidP="008438ED">
      <w:pPr>
        <w:autoSpaceDE w:val="0"/>
        <w:autoSpaceDN w:val="0"/>
        <w:adjustRightInd w:val="0"/>
        <w:spacing w:after="0" w:line="360" w:lineRule="auto"/>
        <w:ind w:left="567" w:hanging="567"/>
        <w:jc w:val="both"/>
        <w:rPr>
          <w:rFonts w:ascii="Times New Roman" w:hAnsi="Times New Roman" w:cs="Times New Roman"/>
          <w:sz w:val="24"/>
          <w:szCs w:val="24"/>
        </w:rPr>
      </w:pPr>
      <w:r w:rsidRPr="002C476C">
        <w:rPr>
          <w:rFonts w:ascii="Times New Roman" w:hAnsi="Times New Roman" w:cs="Times New Roman"/>
          <w:sz w:val="24"/>
          <w:szCs w:val="24"/>
        </w:rPr>
        <w:t xml:space="preserve">Manna, M.C., Singh, M., Kundu, S., Tripathi, </w:t>
      </w:r>
      <w:proofErr w:type="gramStart"/>
      <w:r w:rsidRPr="002C476C">
        <w:rPr>
          <w:rFonts w:ascii="Times New Roman" w:hAnsi="Times New Roman" w:cs="Times New Roman"/>
          <w:sz w:val="24"/>
          <w:szCs w:val="24"/>
        </w:rPr>
        <w:t>A.K. ,</w:t>
      </w:r>
      <w:proofErr w:type="spellStart"/>
      <w:r w:rsidRPr="002C476C">
        <w:rPr>
          <w:rFonts w:ascii="Times New Roman" w:hAnsi="Times New Roman" w:cs="Times New Roman"/>
          <w:sz w:val="24"/>
          <w:szCs w:val="24"/>
        </w:rPr>
        <w:t>Takkar</w:t>
      </w:r>
      <w:proofErr w:type="spellEnd"/>
      <w:proofErr w:type="gramEnd"/>
      <w:r w:rsidRPr="002C476C">
        <w:rPr>
          <w:rFonts w:ascii="Times New Roman" w:hAnsi="Times New Roman" w:cs="Times New Roman"/>
          <w:sz w:val="24"/>
          <w:szCs w:val="24"/>
        </w:rPr>
        <w:t xml:space="preserve">, </w:t>
      </w:r>
      <w:proofErr w:type="gramStart"/>
      <w:r w:rsidRPr="002C476C">
        <w:rPr>
          <w:rFonts w:ascii="Times New Roman" w:hAnsi="Times New Roman" w:cs="Times New Roman"/>
          <w:sz w:val="24"/>
          <w:szCs w:val="24"/>
        </w:rPr>
        <w:t>P.N.(</w:t>
      </w:r>
      <w:proofErr w:type="gramEnd"/>
      <w:r w:rsidRPr="002C476C">
        <w:rPr>
          <w:rFonts w:ascii="Times New Roman" w:hAnsi="Times New Roman" w:cs="Times New Roman"/>
          <w:sz w:val="24"/>
          <w:szCs w:val="24"/>
        </w:rPr>
        <w:t xml:space="preserve">1997) Growth and reproduction of the vermicomposting earthworm </w:t>
      </w:r>
      <w:proofErr w:type="spellStart"/>
      <w:r w:rsidRPr="002C476C">
        <w:rPr>
          <w:rFonts w:ascii="Times New Roman" w:hAnsi="Times New Roman" w:cs="Times New Roman"/>
          <w:i/>
          <w:iCs/>
          <w:sz w:val="24"/>
          <w:szCs w:val="24"/>
        </w:rPr>
        <w:t>Perionyexcavates</w:t>
      </w:r>
      <w:r w:rsidRPr="002C476C">
        <w:rPr>
          <w:rFonts w:ascii="Times New Roman" w:hAnsi="Times New Roman" w:cs="Times New Roman"/>
          <w:sz w:val="24"/>
          <w:szCs w:val="24"/>
        </w:rPr>
        <w:t>as</w:t>
      </w:r>
      <w:proofErr w:type="spellEnd"/>
      <w:r w:rsidRPr="002C476C">
        <w:rPr>
          <w:rFonts w:ascii="Times New Roman" w:hAnsi="Times New Roman" w:cs="Times New Roman"/>
          <w:sz w:val="24"/>
          <w:szCs w:val="24"/>
        </w:rPr>
        <w:t xml:space="preserve"> influenced by food material. </w:t>
      </w:r>
      <w:proofErr w:type="spellStart"/>
      <w:proofErr w:type="gramStart"/>
      <w:r w:rsidRPr="002C476C">
        <w:rPr>
          <w:rFonts w:ascii="Times New Roman" w:hAnsi="Times New Roman" w:cs="Times New Roman"/>
          <w:sz w:val="24"/>
          <w:szCs w:val="24"/>
        </w:rPr>
        <w:t>Biol.Fertil.Soils</w:t>
      </w:r>
      <w:proofErr w:type="spellEnd"/>
      <w:proofErr w:type="gramEnd"/>
      <w:r w:rsidRPr="002C476C">
        <w:rPr>
          <w:rFonts w:ascii="Times New Roman" w:hAnsi="Times New Roman" w:cs="Times New Roman"/>
          <w:sz w:val="24"/>
          <w:szCs w:val="24"/>
        </w:rPr>
        <w:t xml:space="preserve"> 24:129-132</w:t>
      </w:r>
    </w:p>
    <w:p w14:paraId="608F433B" w14:textId="77777777" w:rsidR="00532822" w:rsidRPr="002C476C" w:rsidRDefault="00532822" w:rsidP="008438ED">
      <w:pPr>
        <w:autoSpaceDE w:val="0"/>
        <w:autoSpaceDN w:val="0"/>
        <w:adjustRightInd w:val="0"/>
        <w:spacing w:after="0" w:line="360" w:lineRule="auto"/>
        <w:ind w:left="567" w:hanging="567"/>
        <w:jc w:val="both"/>
        <w:rPr>
          <w:rFonts w:ascii="Times New Roman" w:hAnsi="Times New Roman" w:cs="Times New Roman"/>
          <w:sz w:val="24"/>
          <w:szCs w:val="24"/>
        </w:rPr>
      </w:pPr>
      <w:r w:rsidRPr="002C476C">
        <w:rPr>
          <w:rFonts w:ascii="Times New Roman" w:hAnsi="Times New Roman" w:cs="Times New Roman"/>
          <w:sz w:val="24"/>
          <w:szCs w:val="24"/>
        </w:rPr>
        <w:t xml:space="preserve">Morel, J., Jacquin, F. and A. </w:t>
      </w:r>
      <w:proofErr w:type="spellStart"/>
      <w:proofErr w:type="gramStart"/>
      <w:r w:rsidRPr="002C476C">
        <w:rPr>
          <w:rFonts w:ascii="Times New Roman" w:hAnsi="Times New Roman" w:cs="Times New Roman"/>
          <w:sz w:val="24"/>
          <w:szCs w:val="24"/>
        </w:rPr>
        <w:t>Gucket</w:t>
      </w:r>
      <w:proofErr w:type="spellEnd"/>
      <w:r w:rsidRPr="002C476C">
        <w:rPr>
          <w:rFonts w:ascii="Times New Roman" w:hAnsi="Times New Roman" w:cs="Times New Roman"/>
          <w:sz w:val="24"/>
          <w:szCs w:val="24"/>
        </w:rPr>
        <w:t>.(</w:t>
      </w:r>
      <w:proofErr w:type="gramEnd"/>
      <w:r w:rsidRPr="002C476C">
        <w:rPr>
          <w:rFonts w:ascii="Times New Roman" w:hAnsi="Times New Roman" w:cs="Times New Roman"/>
          <w:sz w:val="24"/>
          <w:szCs w:val="24"/>
        </w:rPr>
        <w:t xml:space="preserve">1979). Contribution a la determination de test de l </w:t>
      </w:r>
      <w:proofErr w:type="spellStart"/>
      <w:r w:rsidRPr="002C476C">
        <w:rPr>
          <w:rFonts w:ascii="Times New Roman" w:hAnsi="Times New Roman" w:cs="Times New Roman"/>
          <w:sz w:val="24"/>
          <w:szCs w:val="24"/>
        </w:rPr>
        <w:t>maturite</w:t>
      </w:r>
      <w:proofErr w:type="spellEnd"/>
      <w:r w:rsidRPr="002C476C">
        <w:rPr>
          <w:rFonts w:ascii="Times New Roman" w:hAnsi="Times New Roman" w:cs="Times New Roman"/>
          <w:sz w:val="24"/>
          <w:szCs w:val="24"/>
        </w:rPr>
        <w:t xml:space="preserve"> des composts </w:t>
      </w:r>
      <w:proofErr w:type="spellStart"/>
      <w:r w:rsidRPr="002C476C">
        <w:rPr>
          <w:rFonts w:ascii="Times New Roman" w:hAnsi="Times New Roman" w:cs="Times New Roman"/>
          <w:sz w:val="24"/>
          <w:szCs w:val="24"/>
        </w:rPr>
        <w:t>urbrains</w:t>
      </w:r>
      <w:proofErr w:type="spellEnd"/>
      <w:r w:rsidRPr="002C476C">
        <w:rPr>
          <w:rFonts w:ascii="Times New Roman" w:hAnsi="Times New Roman" w:cs="Times New Roman"/>
          <w:sz w:val="24"/>
          <w:szCs w:val="24"/>
        </w:rPr>
        <w:t xml:space="preserve">. C.R. </w:t>
      </w:r>
      <w:proofErr w:type="spellStart"/>
      <w:r w:rsidRPr="002C476C">
        <w:rPr>
          <w:rFonts w:ascii="Times New Roman" w:hAnsi="Times New Roman" w:cs="Times New Roman"/>
          <w:sz w:val="24"/>
          <w:szCs w:val="24"/>
        </w:rPr>
        <w:t>Contrat</w:t>
      </w:r>
      <w:proofErr w:type="spellEnd"/>
      <w:r w:rsidRPr="002C476C">
        <w:rPr>
          <w:rFonts w:ascii="Times New Roman" w:hAnsi="Times New Roman" w:cs="Times New Roman"/>
          <w:sz w:val="24"/>
          <w:szCs w:val="24"/>
        </w:rPr>
        <w:t xml:space="preserve">, 75-124. </w:t>
      </w:r>
      <w:proofErr w:type="spellStart"/>
      <w:r w:rsidRPr="002C476C">
        <w:rPr>
          <w:rFonts w:ascii="Times New Roman" w:hAnsi="Times New Roman" w:cs="Times New Roman"/>
          <w:sz w:val="24"/>
          <w:szCs w:val="24"/>
        </w:rPr>
        <w:t>Ministere</w:t>
      </w:r>
      <w:proofErr w:type="spellEnd"/>
      <w:r w:rsidRPr="002C476C">
        <w:rPr>
          <w:rFonts w:ascii="Times New Roman" w:hAnsi="Times New Roman" w:cs="Times New Roman"/>
          <w:sz w:val="24"/>
          <w:szCs w:val="24"/>
        </w:rPr>
        <w:t xml:space="preserve"> de 1’ Environment et du Cadre de Vie. ENSAIA Nancy, p. 32.</w:t>
      </w:r>
    </w:p>
    <w:p w14:paraId="731306FF" w14:textId="77777777" w:rsidR="00532822" w:rsidRPr="002C476C" w:rsidRDefault="00532822" w:rsidP="008438ED">
      <w:pPr>
        <w:autoSpaceDE w:val="0"/>
        <w:autoSpaceDN w:val="0"/>
        <w:adjustRightInd w:val="0"/>
        <w:spacing w:after="0" w:line="360" w:lineRule="auto"/>
        <w:ind w:left="567" w:hanging="567"/>
        <w:jc w:val="both"/>
        <w:rPr>
          <w:rFonts w:ascii="Times New Roman" w:hAnsi="Times New Roman" w:cs="Times New Roman"/>
          <w:sz w:val="24"/>
          <w:szCs w:val="24"/>
          <w:shd w:val="clear" w:color="auto" w:fill="FFFFFF"/>
        </w:rPr>
      </w:pPr>
      <w:r w:rsidRPr="002C476C">
        <w:rPr>
          <w:rFonts w:ascii="Times New Roman" w:hAnsi="Times New Roman" w:cs="Times New Roman"/>
          <w:sz w:val="24"/>
          <w:szCs w:val="24"/>
        </w:rPr>
        <w:t xml:space="preserve">Padbhushan R, Sharma S, Kumar U, Rana DS, Kohli A, Kaviraj M, Parmar B, Kumar R, Annapurna K, Sinha AK and Gupta VVSR (2021) Meta-Analysis Approach to Measure the Effect of Integrated Nutrient Management on Crop Performance, Microbial Activity, and Carbon Stocks in Indian Soils. Front. Environ. Sci. 9:724702. </w:t>
      </w:r>
      <w:proofErr w:type="spellStart"/>
      <w:r w:rsidRPr="002C476C">
        <w:rPr>
          <w:rFonts w:ascii="Times New Roman" w:hAnsi="Times New Roman" w:cs="Times New Roman"/>
          <w:sz w:val="24"/>
          <w:szCs w:val="24"/>
        </w:rPr>
        <w:t>doi</w:t>
      </w:r>
      <w:proofErr w:type="spellEnd"/>
      <w:r w:rsidRPr="002C476C">
        <w:rPr>
          <w:rFonts w:ascii="Times New Roman" w:hAnsi="Times New Roman" w:cs="Times New Roman"/>
          <w:sz w:val="24"/>
          <w:szCs w:val="24"/>
        </w:rPr>
        <w:t>: 10.3389/fenvs.2021.724702</w:t>
      </w:r>
    </w:p>
    <w:p w14:paraId="3C00594D" w14:textId="77777777" w:rsidR="00532822" w:rsidRDefault="00532822" w:rsidP="008438ED">
      <w:pPr>
        <w:autoSpaceDE w:val="0"/>
        <w:autoSpaceDN w:val="0"/>
        <w:adjustRightInd w:val="0"/>
        <w:spacing w:after="0" w:line="360" w:lineRule="auto"/>
        <w:ind w:left="567" w:hanging="567"/>
        <w:jc w:val="both"/>
        <w:rPr>
          <w:rFonts w:ascii="Times New Roman" w:hAnsi="Times New Roman" w:cs="Times New Roman"/>
          <w:sz w:val="24"/>
          <w:szCs w:val="24"/>
        </w:rPr>
      </w:pPr>
      <w:r w:rsidRPr="002C476C">
        <w:rPr>
          <w:rFonts w:ascii="Times New Roman" w:hAnsi="Times New Roman" w:cs="Times New Roman"/>
          <w:sz w:val="24"/>
          <w:szCs w:val="24"/>
        </w:rPr>
        <w:t>Padbhushan, R., Rakshit, R., Das, A., and Sharma, R. P. (2016</w:t>
      </w:r>
      <w:proofErr w:type="gramStart"/>
      <w:r w:rsidRPr="002C476C">
        <w:rPr>
          <w:rFonts w:ascii="Times New Roman" w:hAnsi="Times New Roman" w:cs="Times New Roman"/>
          <w:sz w:val="24"/>
          <w:szCs w:val="24"/>
        </w:rPr>
        <w:t>).Effects</w:t>
      </w:r>
      <w:proofErr w:type="gramEnd"/>
      <w:r w:rsidRPr="002C476C">
        <w:rPr>
          <w:rFonts w:ascii="Times New Roman" w:hAnsi="Times New Roman" w:cs="Times New Roman"/>
          <w:sz w:val="24"/>
          <w:szCs w:val="24"/>
        </w:rPr>
        <w:t xml:space="preserve"> of Various Organic Amendments on Organic Carbon Pools and Water Stable Aggregates under a Scented rice-potato-onion Cropping System. Paddy Water Environ. 14, 481–489. doi:10.1007/s10333-015-0517-8</w:t>
      </w:r>
    </w:p>
    <w:p w14:paraId="746EB1C4" w14:textId="77777777" w:rsidR="00532822" w:rsidRDefault="00532822" w:rsidP="00532822">
      <w:pPr>
        <w:spacing w:after="0" w:line="360" w:lineRule="auto"/>
        <w:ind w:left="720" w:hanging="720"/>
        <w:jc w:val="both"/>
        <w:rPr>
          <w:rFonts w:ascii="Times New Roman" w:hAnsi="Times New Roman" w:cs="Times New Roman"/>
          <w:sz w:val="24"/>
          <w:szCs w:val="24"/>
        </w:rPr>
      </w:pPr>
      <w:r w:rsidRPr="00532822">
        <w:rPr>
          <w:rFonts w:ascii="Times New Roman" w:hAnsi="Times New Roman" w:cs="Times New Roman"/>
          <w:sz w:val="24"/>
          <w:szCs w:val="24"/>
        </w:rPr>
        <w:t xml:space="preserve">Peng, W., Wang, Y., Cui, G., Xu, Q., Zhang, H., He, P., &amp; </w:t>
      </w:r>
      <w:proofErr w:type="spellStart"/>
      <w:r w:rsidRPr="00532822">
        <w:rPr>
          <w:rFonts w:ascii="Times New Roman" w:hAnsi="Times New Roman" w:cs="Times New Roman"/>
          <w:sz w:val="24"/>
          <w:szCs w:val="24"/>
        </w:rPr>
        <w:t>Lü</w:t>
      </w:r>
      <w:proofErr w:type="spellEnd"/>
      <w:r w:rsidRPr="00532822">
        <w:rPr>
          <w:rFonts w:ascii="Times New Roman" w:hAnsi="Times New Roman" w:cs="Times New Roman"/>
          <w:sz w:val="24"/>
          <w:szCs w:val="24"/>
        </w:rPr>
        <w:t xml:space="preserve">, F. (2024). Compost quality, earthworm activities and microbial communities in biochar-augmented vermicomposting of dewatered activated sludge: the role of biochar particle size. </w:t>
      </w:r>
      <w:r w:rsidRPr="00532822">
        <w:rPr>
          <w:rFonts w:ascii="Times New Roman" w:hAnsi="Times New Roman" w:cs="Times New Roman"/>
          <w:i/>
          <w:iCs/>
          <w:sz w:val="24"/>
          <w:szCs w:val="24"/>
        </w:rPr>
        <w:t>Biochar</w:t>
      </w:r>
      <w:r w:rsidRPr="00532822">
        <w:rPr>
          <w:rFonts w:ascii="Times New Roman" w:hAnsi="Times New Roman" w:cs="Times New Roman"/>
          <w:sz w:val="24"/>
          <w:szCs w:val="24"/>
        </w:rPr>
        <w:t xml:space="preserve">, </w:t>
      </w:r>
      <w:r w:rsidRPr="00532822">
        <w:rPr>
          <w:rFonts w:ascii="Times New Roman" w:hAnsi="Times New Roman" w:cs="Times New Roman"/>
          <w:i/>
          <w:iCs/>
          <w:sz w:val="24"/>
          <w:szCs w:val="24"/>
        </w:rPr>
        <w:t>6</w:t>
      </w:r>
      <w:r w:rsidRPr="00532822">
        <w:rPr>
          <w:rFonts w:ascii="Times New Roman" w:hAnsi="Times New Roman" w:cs="Times New Roman"/>
          <w:sz w:val="24"/>
          <w:szCs w:val="24"/>
        </w:rPr>
        <w:t xml:space="preserve">(1). </w:t>
      </w:r>
      <w:hyperlink r:id="rId9" w:history="1">
        <w:r w:rsidRPr="00532822">
          <w:rPr>
            <w:rStyle w:val="Hyperlink"/>
            <w:rFonts w:ascii="Times New Roman" w:hAnsi="Times New Roman" w:cs="Times New Roman"/>
            <w:sz w:val="24"/>
            <w:szCs w:val="24"/>
          </w:rPr>
          <w:t>https://doi.org/10.1007/s42773-024-00365-8</w:t>
        </w:r>
      </w:hyperlink>
      <w:r>
        <w:rPr>
          <w:rFonts w:ascii="Times New Roman" w:hAnsi="Times New Roman" w:cs="Times New Roman"/>
          <w:sz w:val="24"/>
          <w:szCs w:val="24"/>
        </w:rPr>
        <w:t>.</w:t>
      </w:r>
    </w:p>
    <w:p w14:paraId="55A6A164" w14:textId="77777777" w:rsidR="00532822" w:rsidRPr="002C476C" w:rsidRDefault="00532822" w:rsidP="008438ED">
      <w:pPr>
        <w:spacing w:after="0" w:line="360" w:lineRule="auto"/>
        <w:ind w:left="720" w:hanging="720"/>
        <w:jc w:val="both"/>
        <w:rPr>
          <w:rFonts w:ascii="Times New Roman" w:eastAsia="CharisSIL" w:hAnsi="Times New Roman" w:cs="Times New Roman"/>
          <w:sz w:val="24"/>
          <w:szCs w:val="24"/>
        </w:rPr>
      </w:pPr>
      <w:r w:rsidRPr="002C476C">
        <w:rPr>
          <w:rFonts w:ascii="Times New Roman" w:hAnsi="Times New Roman" w:cs="Times New Roman"/>
          <w:sz w:val="24"/>
          <w:szCs w:val="24"/>
        </w:rPr>
        <w:t xml:space="preserve">Sahu, Asha., Manna, M.C.⁠, Bhattacharya⁠, Sudeshna, Thakur⁠, J.K., Mandal⁠, A., Mohammad MahmudurRahman⁠, </w:t>
      </w:r>
      <w:proofErr w:type="spellStart"/>
      <w:proofErr w:type="gramStart"/>
      <w:r w:rsidRPr="002C476C">
        <w:rPr>
          <w:rFonts w:ascii="Times New Roman" w:hAnsi="Times New Roman" w:cs="Times New Roman"/>
          <w:sz w:val="24"/>
          <w:szCs w:val="24"/>
        </w:rPr>
        <w:t>Singh,U.B</w:t>
      </w:r>
      <w:proofErr w:type="spellEnd"/>
      <w:r w:rsidRPr="002C476C">
        <w:rPr>
          <w:rFonts w:ascii="Times New Roman" w:hAnsi="Times New Roman" w:cs="Times New Roman"/>
          <w:sz w:val="24"/>
          <w:szCs w:val="24"/>
        </w:rPr>
        <w:t>.</w:t>
      </w:r>
      <w:proofErr w:type="gramEnd"/>
      <w:r w:rsidRPr="002C476C">
        <w:rPr>
          <w:rFonts w:ascii="Times New Roman" w:hAnsi="Times New Roman" w:cs="Times New Roman"/>
          <w:sz w:val="24"/>
          <w:szCs w:val="24"/>
        </w:rPr>
        <w:t xml:space="preserve">, Bhargav, V.K.⁠, Srivastava, S., Patra⁠, A.K.⁠, Chaudhari, S.K. ⁠, Khanna S.S.  ⁠(2019). </w:t>
      </w:r>
      <w:proofErr w:type="spellStart"/>
      <w:r w:rsidRPr="002C476C">
        <w:rPr>
          <w:rFonts w:ascii="Times New Roman" w:hAnsi="Times New Roman" w:cs="Times New Roman"/>
          <w:sz w:val="24"/>
          <w:szCs w:val="24"/>
        </w:rPr>
        <w:t>Thermophilicligno</w:t>
      </w:r>
      <w:proofErr w:type="spellEnd"/>
      <w:r w:rsidRPr="002C476C">
        <w:rPr>
          <w:rFonts w:ascii="Times New Roman" w:hAnsi="Times New Roman" w:cs="Times New Roman"/>
          <w:sz w:val="24"/>
          <w:szCs w:val="24"/>
        </w:rPr>
        <w:t xml:space="preserve">-cellulolytic fungi: The future of efficient and rapid bio-waste management. </w:t>
      </w:r>
      <w:r w:rsidRPr="002C476C">
        <w:rPr>
          <w:rFonts w:ascii="Times New Roman" w:hAnsi="Times New Roman" w:cs="Times New Roman"/>
          <w:i/>
          <w:iCs/>
          <w:sz w:val="24"/>
          <w:szCs w:val="24"/>
        </w:rPr>
        <w:t>Journal of Environmental Management.</w:t>
      </w:r>
    </w:p>
    <w:p w14:paraId="748A5676" w14:textId="77777777" w:rsidR="00532822" w:rsidRPr="002C476C" w:rsidRDefault="00532822" w:rsidP="008438ED">
      <w:pPr>
        <w:autoSpaceDE w:val="0"/>
        <w:autoSpaceDN w:val="0"/>
        <w:adjustRightInd w:val="0"/>
        <w:spacing w:after="0" w:line="360" w:lineRule="auto"/>
        <w:ind w:left="567" w:hanging="567"/>
        <w:jc w:val="both"/>
        <w:rPr>
          <w:rFonts w:ascii="Times New Roman" w:hAnsi="Times New Roman" w:cs="Times New Roman"/>
          <w:sz w:val="24"/>
          <w:szCs w:val="24"/>
        </w:rPr>
      </w:pPr>
      <w:r w:rsidRPr="002C476C">
        <w:rPr>
          <w:rFonts w:ascii="Times New Roman" w:hAnsi="Times New Roman" w:cs="Times New Roman"/>
          <w:sz w:val="24"/>
          <w:szCs w:val="24"/>
        </w:rPr>
        <w:lastRenderedPageBreak/>
        <w:t>Sharma, S., Padbhushan, R., and Kumar, U. (2019). Integrated Nutrient Management in Rice-Wheat Cropping System: An Evidence on Sustainability in the Indian Subcontinent through Meta-Analysis. Agronomy 9, 71.doi:10.3390/agronomy9020071</w:t>
      </w:r>
    </w:p>
    <w:p w14:paraId="7A23E499" w14:textId="77777777" w:rsidR="00532822" w:rsidRPr="002C476C" w:rsidRDefault="00532822" w:rsidP="008438ED">
      <w:pPr>
        <w:autoSpaceDE w:val="0"/>
        <w:autoSpaceDN w:val="0"/>
        <w:adjustRightInd w:val="0"/>
        <w:spacing w:after="0" w:line="360" w:lineRule="auto"/>
        <w:ind w:left="567" w:hanging="567"/>
        <w:jc w:val="both"/>
        <w:rPr>
          <w:rFonts w:ascii="Times New Roman" w:hAnsi="Times New Roman" w:cs="Times New Roman"/>
          <w:sz w:val="24"/>
          <w:szCs w:val="24"/>
        </w:rPr>
      </w:pPr>
      <w:proofErr w:type="spellStart"/>
      <w:proofErr w:type="gramStart"/>
      <w:r w:rsidRPr="002C476C">
        <w:rPr>
          <w:rFonts w:ascii="Times New Roman" w:hAnsi="Times New Roman" w:cs="Times New Roman"/>
          <w:sz w:val="24"/>
          <w:szCs w:val="24"/>
        </w:rPr>
        <w:t>Viaene,J</w:t>
      </w:r>
      <w:proofErr w:type="spellEnd"/>
      <w:r w:rsidRPr="002C476C">
        <w:rPr>
          <w:rFonts w:ascii="Times New Roman" w:hAnsi="Times New Roman" w:cs="Times New Roman"/>
          <w:sz w:val="24"/>
          <w:szCs w:val="24"/>
        </w:rPr>
        <w:t>.</w:t>
      </w:r>
      <w:proofErr w:type="gramEnd"/>
      <w:r w:rsidRPr="002C476C">
        <w:rPr>
          <w:rFonts w:ascii="Times New Roman" w:hAnsi="Times New Roman" w:cs="Times New Roman"/>
          <w:sz w:val="24"/>
          <w:szCs w:val="24"/>
        </w:rPr>
        <w:t xml:space="preserve">, Nelissen, V., Reubens, B., </w:t>
      </w:r>
      <w:proofErr w:type="spellStart"/>
      <w:r w:rsidRPr="002C476C">
        <w:rPr>
          <w:rFonts w:ascii="Times New Roman" w:hAnsi="Times New Roman" w:cs="Times New Roman"/>
          <w:sz w:val="24"/>
          <w:szCs w:val="24"/>
        </w:rPr>
        <w:t>Willekens</w:t>
      </w:r>
      <w:proofErr w:type="spellEnd"/>
      <w:r w:rsidRPr="002C476C">
        <w:rPr>
          <w:rFonts w:ascii="Times New Roman" w:hAnsi="Times New Roman" w:cs="Times New Roman"/>
          <w:sz w:val="24"/>
          <w:szCs w:val="24"/>
        </w:rPr>
        <w:t xml:space="preserve">, K., </w:t>
      </w:r>
      <w:proofErr w:type="spellStart"/>
      <w:r w:rsidRPr="002C476C">
        <w:rPr>
          <w:rFonts w:ascii="Times New Roman" w:hAnsi="Times New Roman" w:cs="Times New Roman"/>
          <w:sz w:val="24"/>
          <w:szCs w:val="24"/>
        </w:rPr>
        <w:t>Driehuis</w:t>
      </w:r>
      <w:proofErr w:type="spellEnd"/>
      <w:r w:rsidRPr="002C476C">
        <w:rPr>
          <w:rFonts w:ascii="Times New Roman" w:hAnsi="Times New Roman" w:cs="Times New Roman"/>
          <w:sz w:val="24"/>
          <w:szCs w:val="24"/>
        </w:rPr>
        <w:t xml:space="preserve">, F., De Neve, </w:t>
      </w:r>
      <w:proofErr w:type="spellStart"/>
      <w:proofErr w:type="gramStart"/>
      <w:r w:rsidRPr="002C476C">
        <w:rPr>
          <w:rFonts w:ascii="Times New Roman" w:hAnsi="Times New Roman" w:cs="Times New Roman"/>
          <w:sz w:val="24"/>
          <w:szCs w:val="24"/>
        </w:rPr>
        <w:t>S.,Vandecasteele</w:t>
      </w:r>
      <w:proofErr w:type="spellEnd"/>
      <w:proofErr w:type="gramEnd"/>
      <w:r w:rsidRPr="002C476C">
        <w:rPr>
          <w:rFonts w:ascii="Times New Roman" w:hAnsi="Times New Roman" w:cs="Times New Roman"/>
          <w:sz w:val="24"/>
          <w:szCs w:val="24"/>
        </w:rPr>
        <w:t xml:space="preserve">, </w:t>
      </w:r>
      <w:proofErr w:type="gramStart"/>
      <w:r w:rsidRPr="002C476C">
        <w:rPr>
          <w:rFonts w:ascii="Times New Roman" w:hAnsi="Times New Roman" w:cs="Times New Roman"/>
          <w:sz w:val="24"/>
          <w:szCs w:val="24"/>
        </w:rPr>
        <w:t>B.(</w:t>
      </w:r>
      <w:proofErr w:type="gramEnd"/>
      <w:r w:rsidRPr="002C476C">
        <w:rPr>
          <w:rFonts w:ascii="Times New Roman" w:hAnsi="Times New Roman" w:cs="Times New Roman"/>
          <w:sz w:val="24"/>
          <w:szCs w:val="24"/>
        </w:rPr>
        <w:t>2017). Improving the product stability and fertilizer value of cattle slurry solid fraction through co-composting or co-</w:t>
      </w:r>
      <w:proofErr w:type="gramStart"/>
      <w:r w:rsidRPr="002C476C">
        <w:rPr>
          <w:rFonts w:ascii="Times New Roman" w:hAnsi="Times New Roman" w:cs="Times New Roman"/>
          <w:sz w:val="24"/>
          <w:szCs w:val="24"/>
        </w:rPr>
        <w:t>ensiling.WasteManag</w:t>
      </w:r>
      <w:proofErr w:type="gramEnd"/>
      <w:r w:rsidRPr="002C476C">
        <w:rPr>
          <w:rFonts w:ascii="Times New Roman" w:hAnsi="Times New Roman" w:cs="Times New Roman"/>
          <w:sz w:val="24"/>
          <w:szCs w:val="24"/>
        </w:rPr>
        <w:t>.61</w:t>
      </w:r>
    </w:p>
    <w:p w14:paraId="4E05CBF9" w14:textId="77777777" w:rsidR="00532822" w:rsidRPr="002C476C" w:rsidRDefault="00532822" w:rsidP="008438ED">
      <w:pPr>
        <w:autoSpaceDE w:val="0"/>
        <w:autoSpaceDN w:val="0"/>
        <w:adjustRightInd w:val="0"/>
        <w:spacing w:after="0" w:line="360" w:lineRule="auto"/>
        <w:ind w:left="567" w:hanging="567"/>
        <w:jc w:val="both"/>
        <w:rPr>
          <w:rFonts w:ascii="Times New Roman" w:hAnsi="Times New Roman" w:cs="Times New Roman"/>
          <w:sz w:val="24"/>
          <w:szCs w:val="24"/>
        </w:rPr>
      </w:pPr>
      <w:r w:rsidRPr="002C476C">
        <w:rPr>
          <w:rFonts w:ascii="Times New Roman" w:hAnsi="Times New Roman" w:cs="Times New Roman"/>
          <w:sz w:val="24"/>
          <w:szCs w:val="24"/>
        </w:rPr>
        <w:t xml:space="preserve">Wang, P., Changa, C.M., Watson, M.E., Dick, W.A., Chen, Y., and Hoitink, </w:t>
      </w:r>
      <w:proofErr w:type="gramStart"/>
      <w:r w:rsidRPr="002C476C">
        <w:rPr>
          <w:rFonts w:ascii="Times New Roman" w:hAnsi="Times New Roman" w:cs="Times New Roman"/>
          <w:sz w:val="24"/>
          <w:szCs w:val="24"/>
        </w:rPr>
        <w:t>H.A.J.(</w:t>
      </w:r>
      <w:proofErr w:type="gramEnd"/>
      <w:r w:rsidRPr="002C476C">
        <w:rPr>
          <w:rFonts w:ascii="Times New Roman" w:hAnsi="Times New Roman" w:cs="Times New Roman"/>
          <w:sz w:val="24"/>
          <w:szCs w:val="24"/>
        </w:rPr>
        <w:t xml:space="preserve">2004). Maturity indices for composted dairy and pig manures. Soil Biol. </w:t>
      </w:r>
      <w:proofErr w:type="spellStart"/>
      <w:r w:rsidRPr="002C476C">
        <w:rPr>
          <w:rFonts w:ascii="Times New Roman" w:hAnsi="Times New Roman" w:cs="Times New Roman"/>
          <w:sz w:val="24"/>
          <w:szCs w:val="24"/>
        </w:rPr>
        <w:t>Biochem</w:t>
      </w:r>
      <w:proofErr w:type="spellEnd"/>
      <w:r w:rsidRPr="002C476C">
        <w:rPr>
          <w:rFonts w:ascii="Times New Roman" w:hAnsi="Times New Roman" w:cs="Times New Roman"/>
          <w:sz w:val="24"/>
          <w:szCs w:val="24"/>
        </w:rPr>
        <w:t>. 36, 767–776.</w:t>
      </w:r>
    </w:p>
    <w:p w14:paraId="4F6EFC2D" w14:textId="77777777" w:rsidR="00532822" w:rsidRDefault="00532822" w:rsidP="00532822">
      <w:pPr>
        <w:spacing w:after="0" w:line="360" w:lineRule="auto"/>
        <w:ind w:left="720" w:hanging="720"/>
        <w:jc w:val="both"/>
        <w:rPr>
          <w:rFonts w:ascii="Times New Roman" w:hAnsi="Times New Roman" w:cs="Times New Roman"/>
          <w:sz w:val="24"/>
          <w:szCs w:val="24"/>
        </w:rPr>
      </w:pPr>
      <w:r w:rsidRPr="00532822">
        <w:rPr>
          <w:rFonts w:ascii="Times New Roman" w:hAnsi="Times New Roman" w:cs="Times New Roman"/>
          <w:sz w:val="24"/>
          <w:szCs w:val="24"/>
        </w:rPr>
        <w:t xml:space="preserve">Yang, F., Li, G., Zang, B., &amp; Zhang, Z. (2017). The Maturity and CH4, N2O, NH3 Emissions from Vermicomposting with Agricultural Waste. </w:t>
      </w:r>
      <w:r w:rsidRPr="00532822">
        <w:rPr>
          <w:rFonts w:ascii="Times New Roman" w:hAnsi="Times New Roman" w:cs="Times New Roman"/>
          <w:i/>
          <w:iCs/>
          <w:sz w:val="24"/>
          <w:szCs w:val="24"/>
        </w:rPr>
        <w:t>Compost Science &amp; Utilization</w:t>
      </w:r>
      <w:r w:rsidRPr="00532822">
        <w:rPr>
          <w:rFonts w:ascii="Times New Roman" w:hAnsi="Times New Roman" w:cs="Times New Roman"/>
          <w:sz w:val="24"/>
          <w:szCs w:val="24"/>
        </w:rPr>
        <w:t xml:space="preserve">, </w:t>
      </w:r>
      <w:r w:rsidRPr="00532822">
        <w:rPr>
          <w:rFonts w:ascii="Times New Roman" w:hAnsi="Times New Roman" w:cs="Times New Roman"/>
          <w:i/>
          <w:iCs/>
          <w:sz w:val="24"/>
          <w:szCs w:val="24"/>
        </w:rPr>
        <w:t>25</w:t>
      </w:r>
      <w:r w:rsidRPr="00532822">
        <w:rPr>
          <w:rFonts w:ascii="Times New Roman" w:hAnsi="Times New Roman" w:cs="Times New Roman"/>
          <w:sz w:val="24"/>
          <w:szCs w:val="24"/>
        </w:rPr>
        <w:t xml:space="preserve">(4), 262–271. </w:t>
      </w:r>
      <w:hyperlink r:id="rId10" w:history="1">
        <w:r w:rsidRPr="00532822">
          <w:rPr>
            <w:rStyle w:val="Hyperlink"/>
            <w:rFonts w:ascii="Times New Roman" w:hAnsi="Times New Roman" w:cs="Times New Roman"/>
            <w:sz w:val="24"/>
            <w:szCs w:val="24"/>
          </w:rPr>
          <w:t>https://doi.org/10.1080/1065657x.2017.1329037</w:t>
        </w:r>
      </w:hyperlink>
      <w:r>
        <w:rPr>
          <w:rFonts w:ascii="Times New Roman" w:hAnsi="Times New Roman" w:cs="Times New Roman"/>
          <w:sz w:val="24"/>
          <w:szCs w:val="24"/>
        </w:rPr>
        <w:t>.</w:t>
      </w:r>
    </w:p>
    <w:p w14:paraId="6FCD39B0" w14:textId="77777777" w:rsidR="00532822" w:rsidRDefault="00532822" w:rsidP="00D939B3">
      <w:pPr>
        <w:autoSpaceDE w:val="0"/>
        <w:autoSpaceDN w:val="0"/>
        <w:adjustRightInd w:val="0"/>
        <w:spacing w:after="0" w:line="360" w:lineRule="auto"/>
        <w:ind w:left="567" w:hanging="567"/>
        <w:jc w:val="both"/>
        <w:rPr>
          <w:rFonts w:ascii="Times New Roman" w:hAnsi="Times New Roman" w:cs="Times New Roman"/>
          <w:sz w:val="24"/>
          <w:szCs w:val="24"/>
          <w:shd w:val="clear" w:color="auto" w:fill="FFFFFF"/>
        </w:rPr>
      </w:pPr>
      <w:proofErr w:type="spellStart"/>
      <w:r w:rsidRPr="00D939B3">
        <w:rPr>
          <w:rFonts w:ascii="Times New Roman" w:hAnsi="Times New Roman" w:cs="Times New Roman"/>
          <w:sz w:val="24"/>
          <w:szCs w:val="24"/>
          <w:shd w:val="clear" w:color="auto" w:fill="FFFFFF"/>
        </w:rPr>
        <w:t>Zapałowska</w:t>
      </w:r>
      <w:proofErr w:type="spellEnd"/>
      <w:r w:rsidRPr="00D939B3">
        <w:rPr>
          <w:rFonts w:ascii="Times New Roman" w:hAnsi="Times New Roman" w:cs="Times New Roman"/>
          <w:sz w:val="24"/>
          <w:szCs w:val="24"/>
          <w:shd w:val="clear" w:color="auto" w:fill="FFFFFF"/>
        </w:rPr>
        <w:t xml:space="preserve">, A., </w:t>
      </w:r>
      <w:proofErr w:type="spellStart"/>
      <w:r w:rsidRPr="00D939B3">
        <w:rPr>
          <w:rFonts w:ascii="Times New Roman" w:hAnsi="Times New Roman" w:cs="Times New Roman"/>
          <w:sz w:val="24"/>
          <w:szCs w:val="24"/>
          <w:shd w:val="clear" w:color="auto" w:fill="FFFFFF"/>
        </w:rPr>
        <w:t>Skwiercz</w:t>
      </w:r>
      <w:proofErr w:type="spellEnd"/>
      <w:r w:rsidRPr="00D939B3">
        <w:rPr>
          <w:rFonts w:ascii="Times New Roman" w:hAnsi="Times New Roman" w:cs="Times New Roman"/>
          <w:sz w:val="24"/>
          <w:szCs w:val="24"/>
          <w:shd w:val="clear" w:color="auto" w:fill="FFFFFF"/>
        </w:rPr>
        <w:t xml:space="preserve">, A., Malewski, T., &amp; Puchalski, C. (2024). Influence of Eisenia </w:t>
      </w:r>
      <w:proofErr w:type="spellStart"/>
      <w:r w:rsidRPr="00D939B3">
        <w:rPr>
          <w:rFonts w:ascii="Times New Roman" w:hAnsi="Times New Roman" w:cs="Times New Roman"/>
          <w:sz w:val="24"/>
          <w:szCs w:val="24"/>
          <w:shd w:val="clear" w:color="auto" w:fill="FFFFFF"/>
        </w:rPr>
        <w:t>fetida</w:t>
      </w:r>
      <w:proofErr w:type="spellEnd"/>
      <w:r w:rsidRPr="00D939B3">
        <w:rPr>
          <w:rFonts w:ascii="Times New Roman" w:hAnsi="Times New Roman" w:cs="Times New Roman"/>
          <w:sz w:val="24"/>
          <w:szCs w:val="24"/>
          <w:shd w:val="clear" w:color="auto" w:fill="FFFFFF"/>
        </w:rPr>
        <w:t xml:space="preserve"> on the Nematode Populations during Vermicomposting Process. </w:t>
      </w:r>
      <w:r w:rsidRPr="00D939B3">
        <w:rPr>
          <w:rFonts w:ascii="Times New Roman" w:hAnsi="Times New Roman" w:cs="Times New Roman"/>
          <w:i/>
          <w:iCs/>
          <w:sz w:val="24"/>
          <w:szCs w:val="24"/>
          <w:shd w:val="clear" w:color="auto" w:fill="FFFFFF"/>
        </w:rPr>
        <w:t>Applied Sciences</w:t>
      </w:r>
      <w:r w:rsidRPr="00D939B3">
        <w:rPr>
          <w:rFonts w:ascii="Times New Roman" w:hAnsi="Times New Roman" w:cs="Times New Roman"/>
          <w:sz w:val="24"/>
          <w:szCs w:val="24"/>
          <w:shd w:val="clear" w:color="auto" w:fill="FFFFFF"/>
        </w:rPr>
        <w:t xml:space="preserve">, </w:t>
      </w:r>
      <w:r w:rsidRPr="00D939B3">
        <w:rPr>
          <w:rFonts w:ascii="Times New Roman" w:hAnsi="Times New Roman" w:cs="Times New Roman"/>
          <w:i/>
          <w:iCs/>
          <w:sz w:val="24"/>
          <w:szCs w:val="24"/>
          <w:shd w:val="clear" w:color="auto" w:fill="FFFFFF"/>
        </w:rPr>
        <w:t>14</w:t>
      </w:r>
      <w:r w:rsidRPr="00D939B3">
        <w:rPr>
          <w:rFonts w:ascii="Times New Roman" w:hAnsi="Times New Roman" w:cs="Times New Roman"/>
          <w:sz w:val="24"/>
          <w:szCs w:val="24"/>
          <w:shd w:val="clear" w:color="auto" w:fill="FFFFFF"/>
        </w:rPr>
        <w:t xml:space="preserve">(4), 1576. </w:t>
      </w:r>
      <w:hyperlink r:id="rId11" w:history="1">
        <w:r w:rsidRPr="00D939B3">
          <w:rPr>
            <w:rStyle w:val="Hyperlink"/>
            <w:rFonts w:ascii="Times New Roman" w:hAnsi="Times New Roman" w:cs="Times New Roman"/>
            <w:sz w:val="24"/>
            <w:szCs w:val="24"/>
            <w:shd w:val="clear" w:color="auto" w:fill="FFFFFF"/>
          </w:rPr>
          <w:t>https://doi.org/10.3390/app14041576</w:t>
        </w:r>
      </w:hyperlink>
    </w:p>
    <w:p w14:paraId="2F2B11FF" w14:textId="77777777" w:rsidR="00532822" w:rsidRDefault="00532822" w:rsidP="00532822">
      <w:pPr>
        <w:spacing w:after="0" w:line="360" w:lineRule="auto"/>
        <w:ind w:left="720" w:hanging="720"/>
        <w:jc w:val="both"/>
        <w:rPr>
          <w:rFonts w:ascii="Times New Roman" w:hAnsi="Times New Roman" w:cs="Times New Roman"/>
          <w:sz w:val="24"/>
          <w:szCs w:val="24"/>
        </w:rPr>
      </w:pPr>
      <w:r w:rsidRPr="00532822">
        <w:rPr>
          <w:rFonts w:ascii="Times New Roman" w:hAnsi="Times New Roman" w:cs="Times New Roman"/>
          <w:sz w:val="24"/>
          <w:szCs w:val="24"/>
        </w:rPr>
        <w:t xml:space="preserve">Zhang, H., Zhang, Y., Li, J., &amp; Huang, K. (2020). Quality of Vermicompost and Microbial Community Diversity Affected by the Contrasting Temperature during Vermicomposting of Dewatered Sludge. </w:t>
      </w:r>
      <w:r w:rsidRPr="00532822">
        <w:rPr>
          <w:rFonts w:ascii="Times New Roman" w:hAnsi="Times New Roman" w:cs="Times New Roman"/>
          <w:i/>
          <w:iCs/>
          <w:sz w:val="24"/>
          <w:szCs w:val="24"/>
        </w:rPr>
        <w:t>International Journal of Environmental Research and Public Health</w:t>
      </w:r>
      <w:r w:rsidRPr="00532822">
        <w:rPr>
          <w:rFonts w:ascii="Times New Roman" w:hAnsi="Times New Roman" w:cs="Times New Roman"/>
          <w:sz w:val="24"/>
          <w:szCs w:val="24"/>
        </w:rPr>
        <w:t xml:space="preserve">, </w:t>
      </w:r>
      <w:r w:rsidRPr="00532822">
        <w:rPr>
          <w:rFonts w:ascii="Times New Roman" w:hAnsi="Times New Roman" w:cs="Times New Roman"/>
          <w:i/>
          <w:iCs/>
          <w:sz w:val="24"/>
          <w:szCs w:val="24"/>
        </w:rPr>
        <w:t>17</w:t>
      </w:r>
      <w:r w:rsidRPr="00532822">
        <w:rPr>
          <w:rFonts w:ascii="Times New Roman" w:hAnsi="Times New Roman" w:cs="Times New Roman"/>
          <w:sz w:val="24"/>
          <w:szCs w:val="24"/>
        </w:rPr>
        <w:t xml:space="preserve">(5), 1748. </w:t>
      </w:r>
      <w:hyperlink r:id="rId12" w:history="1">
        <w:r w:rsidRPr="00532822">
          <w:rPr>
            <w:rStyle w:val="Hyperlink"/>
            <w:rFonts w:ascii="Times New Roman" w:hAnsi="Times New Roman" w:cs="Times New Roman"/>
            <w:sz w:val="24"/>
            <w:szCs w:val="24"/>
          </w:rPr>
          <w:t>https://doi.org/10.3390/ijerph17051748</w:t>
        </w:r>
      </w:hyperlink>
    </w:p>
    <w:p w14:paraId="79A1FCC5" w14:textId="77777777" w:rsidR="008438ED" w:rsidRDefault="008438ED" w:rsidP="008438ED">
      <w:pPr>
        <w:autoSpaceDE w:val="0"/>
        <w:autoSpaceDN w:val="0"/>
        <w:adjustRightInd w:val="0"/>
        <w:spacing w:after="0" w:line="360" w:lineRule="auto"/>
        <w:ind w:left="567" w:hanging="567"/>
        <w:jc w:val="both"/>
        <w:rPr>
          <w:rFonts w:ascii="Times New Roman" w:hAnsi="Times New Roman" w:cs="Times New Roman"/>
          <w:b/>
          <w:bCs/>
          <w:sz w:val="24"/>
          <w:szCs w:val="24"/>
          <w:lang w:val="en-IN"/>
        </w:rPr>
      </w:pPr>
    </w:p>
    <w:p w14:paraId="785A15D3" w14:textId="77777777" w:rsidR="00323483" w:rsidRPr="002C476C" w:rsidRDefault="00323483" w:rsidP="008438ED">
      <w:pPr>
        <w:autoSpaceDE w:val="0"/>
        <w:autoSpaceDN w:val="0"/>
        <w:adjustRightInd w:val="0"/>
        <w:spacing w:after="0" w:line="360" w:lineRule="auto"/>
        <w:ind w:left="567" w:hanging="567"/>
        <w:jc w:val="both"/>
        <w:rPr>
          <w:rFonts w:ascii="Times New Roman" w:hAnsi="Times New Roman" w:cs="Times New Roman"/>
          <w:sz w:val="24"/>
          <w:szCs w:val="24"/>
        </w:rPr>
      </w:pPr>
      <w:r w:rsidRPr="002C476C">
        <w:rPr>
          <w:rFonts w:ascii="Times New Roman" w:hAnsi="Times New Roman" w:cs="Times New Roman"/>
          <w:b/>
          <w:bCs/>
          <w:sz w:val="24"/>
          <w:szCs w:val="24"/>
          <w:lang w:val="en-IN"/>
        </w:rPr>
        <w:t xml:space="preserve">Table 1: Characterization of agricultural residue and cow dung </w:t>
      </w:r>
    </w:p>
    <w:tbl>
      <w:tblPr>
        <w:tblStyle w:val="TableGrid"/>
        <w:tblW w:w="0" w:type="auto"/>
        <w:jc w:val="center"/>
        <w:tblLook w:val="04A0" w:firstRow="1" w:lastRow="0" w:firstColumn="1" w:lastColumn="0" w:noHBand="0" w:noVBand="1"/>
      </w:tblPr>
      <w:tblGrid>
        <w:gridCol w:w="4196"/>
        <w:gridCol w:w="2299"/>
        <w:gridCol w:w="2842"/>
      </w:tblGrid>
      <w:tr w:rsidR="00323483" w:rsidRPr="002C476C" w14:paraId="6CA21A15" w14:textId="77777777" w:rsidTr="002A71C3">
        <w:trPr>
          <w:jc w:val="center"/>
        </w:trPr>
        <w:tc>
          <w:tcPr>
            <w:tcW w:w="4196" w:type="dxa"/>
          </w:tcPr>
          <w:p w14:paraId="330424F5" w14:textId="77777777" w:rsidR="00323483" w:rsidRPr="002C476C" w:rsidRDefault="00323483" w:rsidP="008438ED">
            <w:pPr>
              <w:spacing w:line="360" w:lineRule="auto"/>
              <w:rPr>
                <w:rFonts w:ascii="Times New Roman" w:hAnsi="Times New Roman" w:cs="Times New Roman"/>
                <w:sz w:val="24"/>
                <w:szCs w:val="24"/>
              </w:rPr>
            </w:pPr>
            <w:r w:rsidRPr="002C476C">
              <w:rPr>
                <w:rFonts w:ascii="Times New Roman" w:hAnsi="Times New Roman" w:cs="Times New Roman"/>
                <w:b/>
                <w:bCs/>
                <w:sz w:val="24"/>
                <w:szCs w:val="24"/>
              </w:rPr>
              <w:t>Chemical Characteristics</w:t>
            </w:r>
          </w:p>
        </w:tc>
        <w:tc>
          <w:tcPr>
            <w:tcW w:w="0" w:type="auto"/>
          </w:tcPr>
          <w:p w14:paraId="410A94A9" w14:textId="77777777" w:rsidR="00323483" w:rsidRPr="002C476C" w:rsidRDefault="00323483" w:rsidP="008438ED">
            <w:pPr>
              <w:spacing w:line="360" w:lineRule="auto"/>
              <w:jc w:val="center"/>
              <w:rPr>
                <w:rFonts w:ascii="Times New Roman" w:hAnsi="Times New Roman" w:cs="Times New Roman"/>
                <w:b/>
                <w:bCs/>
                <w:sz w:val="24"/>
                <w:szCs w:val="24"/>
              </w:rPr>
            </w:pPr>
            <w:r w:rsidRPr="002C476C">
              <w:rPr>
                <w:rFonts w:ascii="Times New Roman" w:hAnsi="Times New Roman" w:cs="Times New Roman"/>
                <w:b/>
                <w:bCs/>
                <w:sz w:val="24"/>
                <w:szCs w:val="24"/>
              </w:rPr>
              <w:t>Agricultural residue</w:t>
            </w:r>
          </w:p>
        </w:tc>
        <w:tc>
          <w:tcPr>
            <w:tcW w:w="2842" w:type="dxa"/>
          </w:tcPr>
          <w:p w14:paraId="4DF5E013" w14:textId="77777777" w:rsidR="00323483" w:rsidRPr="002C476C" w:rsidRDefault="00323483" w:rsidP="008438ED">
            <w:pPr>
              <w:spacing w:line="360" w:lineRule="auto"/>
              <w:jc w:val="center"/>
              <w:rPr>
                <w:rFonts w:ascii="Times New Roman" w:hAnsi="Times New Roman" w:cs="Times New Roman"/>
                <w:sz w:val="24"/>
                <w:szCs w:val="24"/>
              </w:rPr>
            </w:pPr>
            <w:r w:rsidRPr="002C476C">
              <w:rPr>
                <w:rFonts w:ascii="Times New Roman" w:hAnsi="Times New Roman" w:cs="Times New Roman"/>
                <w:b/>
                <w:bCs/>
                <w:sz w:val="24"/>
                <w:szCs w:val="24"/>
              </w:rPr>
              <w:t>Cow-dung</w:t>
            </w:r>
          </w:p>
        </w:tc>
      </w:tr>
      <w:tr w:rsidR="00323483" w:rsidRPr="002C476C" w14:paraId="16827FFB" w14:textId="77777777" w:rsidTr="002A71C3">
        <w:trPr>
          <w:jc w:val="center"/>
        </w:trPr>
        <w:tc>
          <w:tcPr>
            <w:tcW w:w="4196" w:type="dxa"/>
          </w:tcPr>
          <w:p w14:paraId="21CF8806" w14:textId="77777777" w:rsidR="00323483" w:rsidRPr="002C476C" w:rsidRDefault="00323483" w:rsidP="008438ED">
            <w:pPr>
              <w:spacing w:line="360" w:lineRule="auto"/>
              <w:rPr>
                <w:rFonts w:ascii="Times New Roman" w:hAnsi="Times New Roman" w:cs="Times New Roman"/>
                <w:sz w:val="24"/>
                <w:szCs w:val="24"/>
              </w:rPr>
            </w:pPr>
            <w:r w:rsidRPr="002C476C">
              <w:rPr>
                <w:rFonts w:ascii="Times New Roman" w:hAnsi="Times New Roman" w:cs="Times New Roman"/>
                <w:sz w:val="24"/>
                <w:szCs w:val="24"/>
              </w:rPr>
              <w:t>pH</w:t>
            </w:r>
          </w:p>
        </w:tc>
        <w:tc>
          <w:tcPr>
            <w:tcW w:w="0" w:type="auto"/>
          </w:tcPr>
          <w:p w14:paraId="31A21357" w14:textId="77777777" w:rsidR="00323483" w:rsidRPr="002C476C" w:rsidRDefault="00323483" w:rsidP="008438ED">
            <w:pPr>
              <w:spacing w:line="360" w:lineRule="auto"/>
              <w:jc w:val="center"/>
              <w:rPr>
                <w:rFonts w:ascii="Times New Roman" w:hAnsi="Times New Roman" w:cs="Times New Roman"/>
                <w:sz w:val="24"/>
                <w:szCs w:val="24"/>
              </w:rPr>
            </w:pPr>
            <w:r w:rsidRPr="002C476C">
              <w:rPr>
                <w:rFonts w:ascii="Times New Roman" w:hAnsi="Times New Roman" w:cs="Times New Roman"/>
                <w:sz w:val="24"/>
                <w:szCs w:val="24"/>
              </w:rPr>
              <w:t>7.19</w:t>
            </w:r>
          </w:p>
        </w:tc>
        <w:tc>
          <w:tcPr>
            <w:tcW w:w="2842" w:type="dxa"/>
          </w:tcPr>
          <w:p w14:paraId="31CCBD2F" w14:textId="77777777" w:rsidR="00323483" w:rsidRPr="002C476C" w:rsidRDefault="00323483" w:rsidP="008438ED">
            <w:pPr>
              <w:spacing w:line="360" w:lineRule="auto"/>
              <w:jc w:val="center"/>
              <w:rPr>
                <w:rFonts w:ascii="Times New Roman" w:hAnsi="Times New Roman" w:cs="Times New Roman"/>
                <w:sz w:val="24"/>
                <w:szCs w:val="24"/>
              </w:rPr>
            </w:pPr>
            <w:r w:rsidRPr="002C476C">
              <w:rPr>
                <w:rFonts w:ascii="Times New Roman" w:hAnsi="Times New Roman" w:cs="Times New Roman"/>
                <w:sz w:val="24"/>
                <w:szCs w:val="24"/>
              </w:rPr>
              <w:t>8.55</w:t>
            </w:r>
          </w:p>
        </w:tc>
      </w:tr>
      <w:tr w:rsidR="00323483" w:rsidRPr="002C476C" w14:paraId="5966D61A" w14:textId="77777777" w:rsidTr="002A71C3">
        <w:trPr>
          <w:jc w:val="center"/>
        </w:trPr>
        <w:tc>
          <w:tcPr>
            <w:tcW w:w="4196" w:type="dxa"/>
          </w:tcPr>
          <w:p w14:paraId="277473BC" w14:textId="77777777" w:rsidR="00323483" w:rsidRPr="002C476C" w:rsidRDefault="00323483" w:rsidP="008438ED">
            <w:pPr>
              <w:spacing w:line="360" w:lineRule="auto"/>
              <w:rPr>
                <w:rFonts w:ascii="Times New Roman" w:hAnsi="Times New Roman" w:cs="Times New Roman"/>
                <w:sz w:val="24"/>
                <w:szCs w:val="24"/>
              </w:rPr>
            </w:pPr>
            <w:r w:rsidRPr="002C476C">
              <w:rPr>
                <w:rFonts w:ascii="Times New Roman" w:hAnsi="Times New Roman" w:cs="Times New Roman"/>
                <w:sz w:val="24"/>
                <w:szCs w:val="24"/>
              </w:rPr>
              <w:t>EC (</w:t>
            </w:r>
            <w:proofErr w:type="spellStart"/>
            <w:r w:rsidRPr="002C476C">
              <w:rPr>
                <w:rFonts w:ascii="Times New Roman" w:hAnsi="Times New Roman" w:cs="Times New Roman"/>
                <w:sz w:val="24"/>
                <w:szCs w:val="24"/>
              </w:rPr>
              <w:t>dS</w:t>
            </w:r>
            <w:proofErr w:type="spellEnd"/>
            <w:r w:rsidRPr="002C476C">
              <w:rPr>
                <w:rFonts w:ascii="Times New Roman" w:hAnsi="Times New Roman" w:cs="Times New Roman"/>
                <w:sz w:val="24"/>
                <w:szCs w:val="24"/>
              </w:rPr>
              <w:t xml:space="preserve"> m</w:t>
            </w:r>
            <w:r w:rsidRPr="002C476C">
              <w:rPr>
                <w:rFonts w:ascii="Times New Roman" w:hAnsi="Times New Roman" w:cs="Times New Roman"/>
                <w:sz w:val="24"/>
                <w:szCs w:val="24"/>
                <w:vertAlign w:val="superscript"/>
              </w:rPr>
              <w:t>-1</w:t>
            </w:r>
            <w:r w:rsidRPr="002C476C">
              <w:rPr>
                <w:rFonts w:ascii="Times New Roman" w:hAnsi="Times New Roman" w:cs="Times New Roman"/>
                <w:sz w:val="24"/>
                <w:szCs w:val="24"/>
              </w:rPr>
              <w:t>)</w:t>
            </w:r>
          </w:p>
        </w:tc>
        <w:tc>
          <w:tcPr>
            <w:tcW w:w="0" w:type="auto"/>
          </w:tcPr>
          <w:p w14:paraId="3988CBF0" w14:textId="77777777" w:rsidR="00323483" w:rsidRPr="002C476C" w:rsidRDefault="00323483" w:rsidP="008438ED">
            <w:pPr>
              <w:spacing w:line="360" w:lineRule="auto"/>
              <w:jc w:val="center"/>
              <w:rPr>
                <w:rFonts w:ascii="Times New Roman" w:hAnsi="Times New Roman" w:cs="Times New Roman"/>
                <w:sz w:val="24"/>
                <w:szCs w:val="24"/>
              </w:rPr>
            </w:pPr>
            <w:r w:rsidRPr="002C476C">
              <w:rPr>
                <w:rFonts w:ascii="Times New Roman" w:hAnsi="Times New Roman" w:cs="Times New Roman"/>
                <w:sz w:val="24"/>
                <w:szCs w:val="24"/>
              </w:rPr>
              <w:t>0.93</w:t>
            </w:r>
          </w:p>
        </w:tc>
        <w:tc>
          <w:tcPr>
            <w:tcW w:w="2842" w:type="dxa"/>
          </w:tcPr>
          <w:p w14:paraId="50048B75" w14:textId="77777777" w:rsidR="00323483" w:rsidRPr="002C476C" w:rsidRDefault="00323483" w:rsidP="008438ED">
            <w:pPr>
              <w:spacing w:line="360" w:lineRule="auto"/>
              <w:jc w:val="center"/>
              <w:rPr>
                <w:rFonts w:ascii="Times New Roman" w:hAnsi="Times New Roman" w:cs="Times New Roman"/>
                <w:sz w:val="24"/>
                <w:szCs w:val="24"/>
              </w:rPr>
            </w:pPr>
            <w:r w:rsidRPr="002C476C">
              <w:rPr>
                <w:rFonts w:ascii="Times New Roman" w:hAnsi="Times New Roman" w:cs="Times New Roman"/>
                <w:sz w:val="24"/>
                <w:szCs w:val="24"/>
              </w:rPr>
              <w:t>1.41</w:t>
            </w:r>
          </w:p>
        </w:tc>
      </w:tr>
      <w:tr w:rsidR="00323483" w:rsidRPr="002C476C" w14:paraId="36BE7E31" w14:textId="77777777" w:rsidTr="002A71C3">
        <w:trPr>
          <w:jc w:val="center"/>
        </w:trPr>
        <w:tc>
          <w:tcPr>
            <w:tcW w:w="4196" w:type="dxa"/>
          </w:tcPr>
          <w:p w14:paraId="5930920A" w14:textId="77777777" w:rsidR="00323483" w:rsidRPr="002C476C" w:rsidRDefault="00323483" w:rsidP="008438ED">
            <w:pPr>
              <w:spacing w:line="360" w:lineRule="auto"/>
              <w:rPr>
                <w:rFonts w:ascii="Times New Roman" w:hAnsi="Times New Roman" w:cs="Times New Roman"/>
                <w:sz w:val="24"/>
                <w:szCs w:val="24"/>
              </w:rPr>
            </w:pPr>
            <w:r w:rsidRPr="002C476C">
              <w:rPr>
                <w:rFonts w:ascii="Times New Roman" w:hAnsi="Times New Roman" w:cs="Times New Roman"/>
                <w:sz w:val="24"/>
                <w:szCs w:val="24"/>
              </w:rPr>
              <w:t>Total Organic Carbon (%)</w:t>
            </w:r>
          </w:p>
        </w:tc>
        <w:tc>
          <w:tcPr>
            <w:tcW w:w="0" w:type="auto"/>
          </w:tcPr>
          <w:p w14:paraId="375F675E" w14:textId="77777777" w:rsidR="00323483" w:rsidRPr="002C476C" w:rsidRDefault="00323483" w:rsidP="008438ED">
            <w:pPr>
              <w:spacing w:line="360" w:lineRule="auto"/>
              <w:jc w:val="center"/>
              <w:rPr>
                <w:rFonts w:ascii="Times New Roman" w:hAnsi="Times New Roman" w:cs="Times New Roman"/>
                <w:sz w:val="24"/>
                <w:szCs w:val="24"/>
              </w:rPr>
            </w:pPr>
            <w:r w:rsidRPr="002C476C">
              <w:rPr>
                <w:rFonts w:ascii="Times New Roman" w:hAnsi="Times New Roman" w:cs="Times New Roman"/>
                <w:sz w:val="24"/>
                <w:szCs w:val="24"/>
              </w:rPr>
              <w:t>44.7</w:t>
            </w:r>
          </w:p>
        </w:tc>
        <w:tc>
          <w:tcPr>
            <w:tcW w:w="2842" w:type="dxa"/>
          </w:tcPr>
          <w:p w14:paraId="620D63E7" w14:textId="77777777" w:rsidR="00323483" w:rsidRPr="002C476C" w:rsidRDefault="00323483" w:rsidP="008438ED">
            <w:pPr>
              <w:spacing w:line="360" w:lineRule="auto"/>
              <w:jc w:val="center"/>
              <w:rPr>
                <w:rFonts w:ascii="Times New Roman" w:hAnsi="Times New Roman" w:cs="Times New Roman"/>
                <w:sz w:val="24"/>
                <w:szCs w:val="24"/>
              </w:rPr>
            </w:pPr>
            <w:r w:rsidRPr="002C476C">
              <w:rPr>
                <w:rFonts w:ascii="Times New Roman" w:hAnsi="Times New Roman" w:cs="Times New Roman"/>
                <w:sz w:val="24"/>
                <w:szCs w:val="24"/>
              </w:rPr>
              <w:t>23.19</w:t>
            </w:r>
          </w:p>
        </w:tc>
      </w:tr>
      <w:tr w:rsidR="00323483" w:rsidRPr="002C476C" w14:paraId="2F0A1718" w14:textId="77777777" w:rsidTr="002A71C3">
        <w:trPr>
          <w:jc w:val="center"/>
        </w:trPr>
        <w:tc>
          <w:tcPr>
            <w:tcW w:w="4196" w:type="dxa"/>
          </w:tcPr>
          <w:p w14:paraId="44FBFF82" w14:textId="77777777" w:rsidR="00323483" w:rsidRPr="002C476C" w:rsidRDefault="00323483" w:rsidP="008438ED">
            <w:pPr>
              <w:spacing w:line="360" w:lineRule="auto"/>
              <w:rPr>
                <w:rFonts w:ascii="Times New Roman" w:hAnsi="Times New Roman" w:cs="Times New Roman"/>
                <w:sz w:val="24"/>
                <w:szCs w:val="24"/>
              </w:rPr>
            </w:pPr>
            <w:r w:rsidRPr="002C476C">
              <w:rPr>
                <w:rFonts w:ascii="Times New Roman" w:hAnsi="Times New Roman" w:cs="Times New Roman"/>
                <w:sz w:val="24"/>
                <w:szCs w:val="24"/>
              </w:rPr>
              <w:t>Total nitrogen (%)</w:t>
            </w:r>
          </w:p>
        </w:tc>
        <w:tc>
          <w:tcPr>
            <w:tcW w:w="0" w:type="auto"/>
          </w:tcPr>
          <w:p w14:paraId="1285F2AD" w14:textId="77777777" w:rsidR="00323483" w:rsidRPr="002C476C" w:rsidRDefault="00323483" w:rsidP="008438ED">
            <w:pPr>
              <w:spacing w:line="360" w:lineRule="auto"/>
              <w:jc w:val="center"/>
              <w:rPr>
                <w:rFonts w:ascii="Times New Roman" w:hAnsi="Times New Roman" w:cs="Times New Roman"/>
                <w:sz w:val="24"/>
                <w:szCs w:val="24"/>
              </w:rPr>
            </w:pPr>
            <w:r w:rsidRPr="002C476C">
              <w:rPr>
                <w:rFonts w:ascii="Times New Roman" w:hAnsi="Times New Roman" w:cs="Times New Roman"/>
                <w:sz w:val="24"/>
                <w:szCs w:val="24"/>
              </w:rPr>
              <w:t>0.57</w:t>
            </w:r>
          </w:p>
        </w:tc>
        <w:tc>
          <w:tcPr>
            <w:tcW w:w="2842" w:type="dxa"/>
          </w:tcPr>
          <w:p w14:paraId="37BB7F29" w14:textId="77777777" w:rsidR="00323483" w:rsidRPr="002C476C" w:rsidRDefault="00323483" w:rsidP="008438ED">
            <w:pPr>
              <w:spacing w:line="360" w:lineRule="auto"/>
              <w:jc w:val="center"/>
              <w:rPr>
                <w:rFonts w:ascii="Times New Roman" w:hAnsi="Times New Roman" w:cs="Times New Roman"/>
                <w:sz w:val="24"/>
                <w:szCs w:val="24"/>
              </w:rPr>
            </w:pPr>
            <w:r w:rsidRPr="002C476C">
              <w:rPr>
                <w:rFonts w:ascii="Times New Roman" w:hAnsi="Times New Roman" w:cs="Times New Roman"/>
                <w:sz w:val="24"/>
                <w:szCs w:val="24"/>
              </w:rPr>
              <w:t>0.58</w:t>
            </w:r>
          </w:p>
        </w:tc>
      </w:tr>
      <w:tr w:rsidR="00323483" w:rsidRPr="002C476C" w14:paraId="237506F0" w14:textId="77777777" w:rsidTr="002A71C3">
        <w:trPr>
          <w:jc w:val="center"/>
        </w:trPr>
        <w:tc>
          <w:tcPr>
            <w:tcW w:w="4196" w:type="dxa"/>
          </w:tcPr>
          <w:p w14:paraId="3124CD56" w14:textId="77777777" w:rsidR="00323483" w:rsidRPr="002C476C" w:rsidRDefault="00323483" w:rsidP="008438ED">
            <w:pPr>
              <w:spacing w:line="360" w:lineRule="auto"/>
              <w:rPr>
                <w:rFonts w:ascii="Times New Roman" w:hAnsi="Times New Roman" w:cs="Times New Roman"/>
                <w:sz w:val="24"/>
                <w:szCs w:val="24"/>
              </w:rPr>
            </w:pPr>
            <w:r w:rsidRPr="002C476C">
              <w:rPr>
                <w:rFonts w:ascii="Times New Roman" w:hAnsi="Times New Roman" w:cs="Times New Roman"/>
                <w:sz w:val="24"/>
                <w:szCs w:val="24"/>
              </w:rPr>
              <w:t>Total phosphorus (%)</w:t>
            </w:r>
          </w:p>
        </w:tc>
        <w:tc>
          <w:tcPr>
            <w:tcW w:w="0" w:type="auto"/>
          </w:tcPr>
          <w:p w14:paraId="6BE61902" w14:textId="77777777" w:rsidR="00323483" w:rsidRPr="002C476C" w:rsidRDefault="00323483" w:rsidP="008438ED">
            <w:pPr>
              <w:spacing w:line="360" w:lineRule="auto"/>
              <w:jc w:val="center"/>
              <w:rPr>
                <w:rFonts w:ascii="Times New Roman" w:hAnsi="Times New Roman" w:cs="Times New Roman"/>
                <w:sz w:val="24"/>
                <w:szCs w:val="24"/>
              </w:rPr>
            </w:pPr>
            <w:r w:rsidRPr="002C476C">
              <w:rPr>
                <w:rFonts w:ascii="Times New Roman" w:hAnsi="Times New Roman" w:cs="Times New Roman"/>
                <w:sz w:val="24"/>
                <w:szCs w:val="24"/>
              </w:rPr>
              <w:t>0.13</w:t>
            </w:r>
          </w:p>
        </w:tc>
        <w:tc>
          <w:tcPr>
            <w:tcW w:w="2842" w:type="dxa"/>
          </w:tcPr>
          <w:p w14:paraId="755A477A" w14:textId="77777777" w:rsidR="00323483" w:rsidRPr="002C476C" w:rsidRDefault="00323483" w:rsidP="008438ED">
            <w:pPr>
              <w:spacing w:line="360" w:lineRule="auto"/>
              <w:jc w:val="center"/>
              <w:rPr>
                <w:rFonts w:ascii="Times New Roman" w:hAnsi="Times New Roman" w:cs="Times New Roman"/>
                <w:sz w:val="24"/>
                <w:szCs w:val="24"/>
              </w:rPr>
            </w:pPr>
            <w:r w:rsidRPr="002C476C">
              <w:rPr>
                <w:rFonts w:ascii="Times New Roman" w:hAnsi="Times New Roman" w:cs="Times New Roman"/>
                <w:sz w:val="24"/>
                <w:szCs w:val="24"/>
              </w:rPr>
              <w:t>0.26</w:t>
            </w:r>
          </w:p>
        </w:tc>
      </w:tr>
      <w:tr w:rsidR="00323483" w:rsidRPr="002C476C" w14:paraId="1B432363" w14:textId="77777777" w:rsidTr="002A71C3">
        <w:trPr>
          <w:jc w:val="center"/>
        </w:trPr>
        <w:tc>
          <w:tcPr>
            <w:tcW w:w="4196" w:type="dxa"/>
          </w:tcPr>
          <w:p w14:paraId="5B97E327" w14:textId="77777777" w:rsidR="00323483" w:rsidRPr="002C476C" w:rsidRDefault="00323483" w:rsidP="008438ED">
            <w:pPr>
              <w:spacing w:line="360" w:lineRule="auto"/>
              <w:rPr>
                <w:rFonts w:ascii="Times New Roman" w:hAnsi="Times New Roman" w:cs="Times New Roman"/>
                <w:sz w:val="24"/>
                <w:szCs w:val="24"/>
              </w:rPr>
            </w:pPr>
            <w:r w:rsidRPr="002C476C">
              <w:rPr>
                <w:rFonts w:ascii="Times New Roman" w:hAnsi="Times New Roman" w:cs="Times New Roman"/>
                <w:sz w:val="24"/>
                <w:szCs w:val="24"/>
              </w:rPr>
              <w:t>Total potash (%)</w:t>
            </w:r>
          </w:p>
        </w:tc>
        <w:tc>
          <w:tcPr>
            <w:tcW w:w="0" w:type="auto"/>
          </w:tcPr>
          <w:p w14:paraId="6CF23152" w14:textId="77777777" w:rsidR="00323483" w:rsidRPr="002C476C" w:rsidRDefault="00323483" w:rsidP="008438ED">
            <w:pPr>
              <w:spacing w:line="360" w:lineRule="auto"/>
              <w:jc w:val="center"/>
              <w:rPr>
                <w:rFonts w:ascii="Times New Roman" w:hAnsi="Times New Roman" w:cs="Times New Roman"/>
                <w:sz w:val="24"/>
                <w:szCs w:val="24"/>
              </w:rPr>
            </w:pPr>
            <w:r w:rsidRPr="002C476C">
              <w:rPr>
                <w:rFonts w:ascii="Times New Roman" w:hAnsi="Times New Roman" w:cs="Times New Roman"/>
                <w:sz w:val="24"/>
                <w:szCs w:val="24"/>
              </w:rPr>
              <w:t>1.07</w:t>
            </w:r>
          </w:p>
        </w:tc>
        <w:tc>
          <w:tcPr>
            <w:tcW w:w="2842" w:type="dxa"/>
          </w:tcPr>
          <w:p w14:paraId="225B150C" w14:textId="77777777" w:rsidR="00323483" w:rsidRPr="002C476C" w:rsidRDefault="00323483" w:rsidP="008438ED">
            <w:pPr>
              <w:spacing w:line="360" w:lineRule="auto"/>
              <w:jc w:val="center"/>
              <w:rPr>
                <w:rFonts w:ascii="Times New Roman" w:hAnsi="Times New Roman" w:cs="Times New Roman"/>
                <w:sz w:val="24"/>
                <w:szCs w:val="24"/>
              </w:rPr>
            </w:pPr>
            <w:r w:rsidRPr="002C476C">
              <w:rPr>
                <w:rFonts w:ascii="Times New Roman" w:hAnsi="Times New Roman" w:cs="Times New Roman"/>
                <w:sz w:val="24"/>
                <w:szCs w:val="24"/>
              </w:rPr>
              <w:t>0.78</w:t>
            </w:r>
          </w:p>
        </w:tc>
      </w:tr>
      <w:tr w:rsidR="00323483" w:rsidRPr="002C476C" w14:paraId="5B77B1D3" w14:textId="77777777" w:rsidTr="002A71C3">
        <w:trPr>
          <w:jc w:val="center"/>
        </w:trPr>
        <w:tc>
          <w:tcPr>
            <w:tcW w:w="4196" w:type="dxa"/>
          </w:tcPr>
          <w:p w14:paraId="79B13F04" w14:textId="77777777" w:rsidR="00323483" w:rsidRPr="002C476C" w:rsidRDefault="00323483" w:rsidP="008438ED">
            <w:pPr>
              <w:spacing w:line="360" w:lineRule="auto"/>
              <w:rPr>
                <w:rFonts w:ascii="Times New Roman" w:hAnsi="Times New Roman" w:cs="Times New Roman"/>
                <w:sz w:val="24"/>
                <w:szCs w:val="24"/>
              </w:rPr>
            </w:pPr>
            <w:r w:rsidRPr="002C476C">
              <w:rPr>
                <w:rFonts w:ascii="Times New Roman" w:hAnsi="Times New Roman" w:cs="Times New Roman"/>
                <w:sz w:val="24"/>
                <w:szCs w:val="24"/>
              </w:rPr>
              <w:t>Total Fe (mg kg</w:t>
            </w:r>
            <w:r w:rsidRPr="002C476C">
              <w:rPr>
                <w:rFonts w:ascii="Times New Roman" w:hAnsi="Times New Roman" w:cs="Times New Roman"/>
                <w:sz w:val="24"/>
                <w:szCs w:val="24"/>
                <w:vertAlign w:val="superscript"/>
              </w:rPr>
              <w:t>-1</w:t>
            </w:r>
            <w:r w:rsidRPr="002C476C">
              <w:rPr>
                <w:rFonts w:ascii="Times New Roman" w:hAnsi="Times New Roman" w:cs="Times New Roman"/>
                <w:sz w:val="24"/>
                <w:szCs w:val="24"/>
              </w:rPr>
              <w:t>)</w:t>
            </w:r>
          </w:p>
        </w:tc>
        <w:tc>
          <w:tcPr>
            <w:tcW w:w="0" w:type="auto"/>
          </w:tcPr>
          <w:p w14:paraId="1FCB632F" w14:textId="77777777" w:rsidR="00323483" w:rsidRPr="002C476C" w:rsidRDefault="00323483" w:rsidP="008438ED">
            <w:pPr>
              <w:spacing w:line="360" w:lineRule="auto"/>
              <w:jc w:val="center"/>
              <w:rPr>
                <w:rFonts w:ascii="Times New Roman" w:hAnsi="Times New Roman" w:cs="Times New Roman"/>
                <w:sz w:val="24"/>
                <w:szCs w:val="24"/>
              </w:rPr>
            </w:pPr>
            <w:r w:rsidRPr="002C476C">
              <w:rPr>
                <w:rFonts w:ascii="Times New Roman" w:hAnsi="Times New Roman" w:cs="Times New Roman"/>
                <w:sz w:val="24"/>
                <w:szCs w:val="24"/>
              </w:rPr>
              <w:t>998</w:t>
            </w:r>
          </w:p>
        </w:tc>
        <w:tc>
          <w:tcPr>
            <w:tcW w:w="2842" w:type="dxa"/>
          </w:tcPr>
          <w:p w14:paraId="58A8B6BF" w14:textId="77777777" w:rsidR="00323483" w:rsidRPr="002C476C" w:rsidRDefault="00323483" w:rsidP="008438ED">
            <w:pPr>
              <w:spacing w:line="360" w:lineRule="auto"/>
              <w:jc w:val="center"/>
              <w:rPr>
                <w:rFonts w:ascii="Times New Roman" w:hAnsi="Times New Roman" w:cs="Times New Roman"/>
                <w:sz w:val="24"/>
                <w:szCs w:val="24"/>
              </w:rPr>
            </w:pPr>
            <w:r w:rsidRPr="002C476C">
              <w:rPr>
                <w:rFonts w:ascii="Times New Roman" w:hAnsi="Times New Roman" w:cs="Times New Roman"/>
                <w:sz w:val="24"/>
                <w:szCs w:val="24"/>
              </w:rPr>
              <w:t>1067</w:t>
            </w:r>
          </w:p>
        </w:tc>
      </w:tr>
      <w:tr w:rsidR="00323483" w:rsidRPr="002C476C" w14:paraId="1019C30C" w14:textId="77777777" w:rsidTr="002A71C3">
        <w:trPr>
          <w:jc w:val="center"/>
        </w:trPr>
        <w:tc>
          <w:tcPr>
            <w:tcW w:w="4196" w:type="dxa"/>
          </w:tcPr>
          <w:p w14:paraId="19EDCFD6" w14:textId="77777777" w:rsidR="00323483" w:rsidRPr="002C476C" w:rsidRDefault="00323483" w:rsidP="008438ED">
            <w:pPr>
              <w:spacing w:line="360" w:lineRule="auto"/>
              <w:rPr>
                <w:rFonts w:ascii="Times New Roman" w:hAnsi="Times New Roman" w:cs="Times New Roman"/>
                <w:sz w:val="24"/>
                <w:szCs w:val="24"/>
              </w:rPr>
            </w:pPr>
            <w:r w:rsidRPr="002C476C">
              <w:rPr>
                <w:rFonts w:ascii="Times New Roman" w:hAnsi="Times New Roman" w:cs="Times New Roman"/>
                <w:sz w:val="24"/>
                <w:szCs w:val="24"/>
              </w:rPr>
              <w:t>Total Cu (mg kg</w:t>
            </w:r>
            <w:r w:rsidRPr="002C476C">
              <w:rPr>
                <w:rFonts w:ascii="Times New Roman" w:hAnsi="Times New Roman" w:cs="Times New Roman"/>
                <w:sz w:val="24"/>
                <w:szCs w:val="24"/>
                <w:vertAlign w:val="superscript"/>
              </w:rPr>
              <w:t>-1</w:t>
            </w:r>
            <w:r w:rsidRPr="002C476C">
              <w:rPr>
                <w:rFonts w:ascii="Times New Roman" w:hAnsi="Times New Roman" w:cs="Times New Roman"/>
                <w:sz w:val="24"/>
                <w:szCs w:val="24"/>
              </w:rPr>
              <w:t>)</w:t>
            </w:r>
          </w:p>
        </w:tc>
        <w:tc>
          <w:tcPr>
            <w:tcW w:w="0" w:type="auto"/>
          </w:tcPr>
          <w:p w14:paraId="534AF299" w14:textId="77777777" w:rsidR="00323483" w:rsidRPr="002C476C" w:rsidRDefault="00323483" w:rsidP="008438ED">
            <w:pPr>
              <w:spacing w:line="360" w:lineRule="auto"/>
              <w:jc w:val="center"/>
              <w:rPr>
                <w:rFonts w:ascii="Times New Roman" w:hAnsi="Times New Roman" w:cs="Times New Roman"/>
                <w:sz w:val="24"/>
                <w:szCs w:val="24"/>
              </w:rPr>
            </w:pPr>
            <w:r w:rsidRPr="002C476C">
              <w:rPr>
                <w:rFonts w:ascii="Times New Roman" w:hAnsi="Times New Roman" w:cs="Times New Roman"/>
                <w:sz w:val="24"/>
                <w:szCs w:val="24"/>
              </w:rPr>
              <w:t>12.0</w:t>
            </w:r>
          </w:p>
        </w:tc>
        <w:tc>
          <w:tcPr>
            <w:tcW w:w="2842" w:type="dxa"/>
          </w:tcPr>
          <w:p w14:paraId="7D49B7B6" w14:textId="77777777" w:rsidR="00323483" w:rsidRPr="002C476C" w:rsidRDefault="00323483" w:rsidP="008438ED">
            <w:pPr>
              <w:spacing w:line="360" w:lineRule="auto"/>
              <w:jc w:val="center"/>
              <w:rPr>
                <w:rFonts w:ascii="Times New Roman" w:hAnsi="Times New Roman" w:cs="Times New Roman"/>
                <w:sz w:val="24"/>
                <w:szCs w:val="24"/>
              </w:rPr>
            </w:pPr>
            <w:r w:rsidRPr="002C476C">
              <w:rPr>
                <w:rFonts w:ascii="Times New Roman" w:hAnsi="Times New Roman" w:cs="Times New Roman"/>
                <w:sz w:val="24"/>
                <w:szCs w:val="24"/>
              </w:rPr>
              <w:t>24.9</w:t>
            </w:r>
          </w:p>
        </w:tc>
      </w:tr>
      <w:tr w:rsidR="00323483" w:rsidRPr="002C476C" w14:paraId="446F1A89" w14:textId="77777777" w:rsidTr="002A71C3">
        <w:trPr>
          <w:jc w:val="center"/>
        </w:trPr>
        <w:tc>
          <w:tcPr>
            <w:tcW w:w="4196" w:type="dxa"/>
          </w:tcPr>
          <w:p w14:paraId="475C55A3" w14:textId="77777777" w:rsidR="00323483" w:rsidRPr="002C476C" w:rsidRDefault="00323483" w:rsidP="008438ED">
            <w:pPr>
              <w:spacing w:line="360" w:lineRule="auto"/>
              <w:rPr>
                <w:rFonts w:ascii="Times New Roman" w:hAnsi="Times New Roman" w:cs="Times New Roman"/>
                <w:sz w:val="24"/>
                <w:szCs w:val="24"/>
              </w:rPr>
            </w:pPr>
            <w:r w:rsidRPr="002C476C">
              <w:rPr>
                <w:rFonts w:ascii="Times New Roman" w:hAnsi="Times New Roman" w:cs="Times New Roman"/>
                <w:sz w:val="24"/>
                <w:szCs w:val="24"/>
              </w:rPr>
              <w:t>Total Mn (mg kg</w:t>
            </w:r>
            <w:r w:rsidRPr="002C476C">
              <w:rPr>
                <w:rFonts w:ascii="Times New Roman" w:hAnsi="Times New Roman" w:cs="Times New Roman"/>
                <w:sz w:val="24"/>
                <w:szCs w:val="24"/>
                <w:vertAlign w:val="superscript"/>
              </w:rPr>
              <w:t>-1</w:t>
            </w:r>
            <w:r w:rsidRPr="002C476C">
              <w:rPr>
                <w:rFonts w:ascii="Times New Roman" w:hAnsi="Times New Roman" w:cs="Times New Roman"/>
                <w:sz w:val="24"/>
                <w:szCs w:val="24"/>
              </w:rPr>
              <w:t>)</w:t>
            </w:r>
          </w:p>
        </w:tc>
        <w:tc>
          <w:tcPr>
            <w:tcW w:w="0" w:type="auto"/>
          </w:tcPr>
          <w:p w14:paraId="3C4E237C" w14:textId="77777777" w:rsidR="00323483" w:rsidRPr="002C476C" w:rsidRDefault="00323483" w:rsidP="008438ED">
            <w:pPr>
              <w:spacing w:line="360" w:lineRule="auto"/>
              <w:jc w:val="center"/>
              <w:rPr>
                <w:rFonts w:ascii="Times New Roman" w:hAnsi="Times New Roman" w:cs="Times New Roman"/>
                <w:sz w:val="24"/>
                <w:szCs w:val="24"/>
              </w:rPr>
            </w:pPr>
            <w:r w:rsidRPr="002C476C">
              <w:rPr>
                <w:rFonts w:ascii="Times New Roman" w:hAnsi="Times New Roman" w:cs="Times New Roman"/>
                <w:sz w:val="24"/>
                <w:szCs w:val="24"/>
              </w:rPr>
              <w:t>51.9</w:t>
            </w:r>
          </w:p>
        </w:tc>
        <w:tc>
          <w:tcPr>
            <w:tcW w:w="2842" w:type="dxa"/>
          </w:tcPr>
          <w:p w14:paraId="1CB41AA6" w14:textId="77777777" w:rsidR="00323483" w:rsidRPr="002C476C" w:rsidRDefault="00323483" w:rsidP="008438ED">
            <w:pPr>
              <w:spacing w:line="360" w:lineRule="auto"/>
              <w:jc w:val="center"/>
              <w:rPr>
                <w:rFonts w:ascii="Times New Roman" w:hAnsi="Times New Roman" w:cs="Times New Roman"/>
                <w:sz w:val="24"/>
                <w:szCs w:val="24"/>
              </w:rPr>
            </w:pPr>
            <w:r w:rsidRPr="002C476C">
              <w:rPr>
                <w:rFonts w:ascii="Times New Roman" w:hAnsi="Times New Roman" w:cs="Times New Roman"/>
                <w:sz w:val="24"/>
                <w:szCs w:val="24"/>
              </w:rPr>
              <w:t>349.5</w:t>
            </w:r>
          </w:p>
        </w:tc>
      </w:tr>
      <w:tr w:rsidR="00323483" w:rsidRPr="002C476C" w14:paraId="335A47EF" w14:textId="77777777" w:rsidTr="002A71C3">
        <w:trPr>
          <w:jc w:val="center"/>
        </w:trPr>
        <w:tc>
          <w:tcPr>
            <w:tcW w:w="4196" w:type="dxa"/>
          </w:tcPr>
          <w:p w14:paraId="7559D780" w14:textId="77777777" w:rsidR="00323483" w:rsidRPr="002C476C" w:rsidRDefault="00323483" w:rsidP="008438ED">
            <w:pPr>
              <w:spacing w:line="360" w:lineRule="auto"/>
              <w:rPr>
                <w:rFonts w:ascii="Times New Roman" w:hAnsi="Times New Roman" w:cs="Times New Roman"/>
                <w:sz w:val="24"/>
                <w:szCs w:val="24"/>
              </w:rPr>
            </w:pPr>
            <w:r w:rsidRPr="002C476C">
              <w:rPr>
                <w:rFonts w:ascii="Times New Roman" w:hAnsi="Times New Roman" w:cs="Times New Roman"/>
                <w:sz w:val="24"/>
                <w:szCs w:val="24"/>
              </w:rPr>
              <w:t>Total Zn (Mg kg</w:t>
            </w:r>
            <w:r w:rsidRPr="002C476C">
              <w:rPr>
                <w:rFonts w:ascii="Times New Roman" w:hAnsi="Times New Roman" w:cs="Times New Roman"/>
                <w:sz w:val="24"/>
                <w:szCs w:val="24"/>
                <w:vertAlign w:val="superscript"/>
              </w:rPr>
              <w:t>-1</w:t>
            </w:r>
            <w:r w:rsidRPr="002C476C">
              <w:rPr>
                <w:rFonts w:ascii="Times New Roman" w:hAnsi="Times New Roman" w:cs="Times New Roman"/>
                <w:sz w:val="24"/>
                <w:szCs w:val="24"/>
              </w:rPr>
              <w:t>)</w:t>
            </w:r>
          </w:p>
        </w:tc>
        <w:tc>
          <w:tcPr>
            <w:tcW w:w="0" w:type="auto"/>
          </w:tcPr>
          <w:p w14:paraId="12AD529F" w14:textId="77777777" w:rsidR="00323483" w:rsidRPr="002C476C" w:rsidRDefault="00323483" w:rsidP="008438ED">
            <w:pPr>
              <w:spacing w:line="360" w:lineRule="auto"/>
              <w:jc w:val="center"/>
              <w:rPr>
                <w:rFonts w:ascii="Times New Roman" w:hAnsi="Times New Roman" w:cs="Times New Roman"/>
                <w:sz w:val="24"/>
                <w:szCs w:val="24"/>
              </w:rPr>
            </w:pPr>
            <w:r w:rsidRPr="002C476C">
              <w:rPr>
                <w:rFonts w:ascii="Times New Roman" w:hAnsi="Times New Roman" w:cs="Times New Roman"/>
                <w:sz w:val="24"/>
                <w:szCs w:val="24"/>
              </w:rPr>
              <w:t>51.7</w:t>
            </w:r>
          </w:p>
        </w:tc>
        <w:tc>
          <w:tcPr>
            <w:tcW w:w="2842" w:type="dxa"/>
          </w:tcPr>
          <w:p w14:paraId="1E4760D3" w14:textId="77777777" w:rsidR="00323483" w:rsidRPr="002C476C" w:rsidRDefault="00323483" w:rsidP="008438ED">
            <w:pPr>
              <w:spacing w:line="360" w:lineRule="auto"/>
              <w:jc w:val="center"/>
              <w:rPr>
                <w:rFonts w:ascii="Times New Roman" w:hAnsi="Times New Roman" w:cs="Times New Roman"/>
                <w:sz w:val="24"/>
                <w:szCs w:val="24"/>
              </w:rPr>
            </w:pPr>
            <w:r w:rsidRPr="002C476C">
              <w:rPr>
                <w:rFonts w:ascii="Times New Roman" w:hAnsi="Times New Roman" w:cs="Times New Roman"/>
                <w:sz w:val="24"/>
                <w:szCs w:val="24"/>
              </w:rPr>
              <w:t>92.9</w:t>
            </w:r>
          </w:p>
        </w:tc>
      </w:tr>
    </w:tbl>
    <w:p w14:paraId="2451A3F8" w14:textId="7AFC5FE6" w:rsidR="00323483" w:rsidRPr="002C476C" w:rsidRDefault="00323483" w:rsidP="008438ED">
      <w:pPr>
        <w:autoSpaceDE w:val="0"/>
        <w:autoSpaceDN w:val="0"/>
        <w:adjustRightInd w:val="0"/>
        <w:spacing w:line="360" w:lineRule="auto"/>
        <w:jc w:val="both"/>
        <w:rPr>
          <w:rFonts w:ascii="Times New Roman" w:hAnsi="Times New Roman" w:cs="Times New Roman"/>
          <w:b/>
          <w:bCs/>
          <w:sz w:val="24"/>
          <w:szCs w:val="24"/>
        </w:rPr>
      </w:pPr>
      <w:r w:rsidRPr="002C476C">
        <w:rPr>
          <w:rFonts w:ascii="Times New Roman" w:hAnsi="Times New Roman" w:cs="Times New Roman"/>
          <w:b/>
          <w:bCs/>
          <w:sz w:val="24"/>
          <w:szCs w:val="24"/>
        </w:rPr>
        <w:lastRenderedPageBreak/>
        <w:t>Table</w:t>
      </w:r>
      <w:proofErr w:type="gramStart"/>
      <w:r w:rsidRPr="002C476C">
        <w:rPr>
          <w:rFonts w:ascii="Times New Roman" w:hAnsi="Times New Roman" w:cs="Times New Roman"/>
          <w:b/>
          <w:bCs/>
          <w:sz w:val="24"/>
          <w:szCs w:val="24"/>
        </w:rPr>
        <w:t>2:-</w:t>
      </w:r>
      <w:proofErr w:type="gramEnd"/>
      <w:r w:rsidRPr="002C476C">
        <w:rPr>
          <w:rFonts w:ascii="Times New Roman" w:hAnsi="Times New Roman" w:cs="Times New Roman"/>
          <w:b/>
          <w:bCs/>
          <w:sz w:val="24"/>
          <w:szCs w:val="24"/>
        </w:rPr>
        <w:t>Effect of substrates and enrichment technique used in vermicompost preparation on biodegradability index (BI), and population of earthworm with progression of period</w:t>
      </w:r>
    </w:p>
    <w:tbl>
      <w:tblPr>
        <w:tblStyle w:val="TableGrid"/>
        <w:tblW w:w="9923" w:type="dxa"/>
        <w:tblInd w:w="-34" w:type="dxa"/>
        <w:tblLayout w:type="fixed"/>
        <w:tblLook w:val="04A0" w:firstRow="1" w:lastRow="0" w:firstColumn="1" w:lastColumn="0" w:noHBand="0" w:noVBand="1"/>
      </w:tblPr>
      <w:tblGrid>
        <w:gridCol w:w="5069"/>
        <w:gridCol w:w="1260"/>
        <w:gridCol w:w="1260"/>
        <w:gridCol w:w="66"/>
        <w:gridCol w:w="1014"/>
        <w:gridCol w:w="120"/>
        <w:gridCol w:w="1134"/>
      </w:tblGrid>
      <w:tr w:rsidR="00323483" w:rsidRPr="002C476C" w14:paraId="6458A77A" w14:textId="77777777" w:rsidTr="00067CDA">
        <w:tc>
          <w:tcPr>
            <w:tcW w:w="5069" w:type="dxa"/>
            <w:vMerge w:val="restart"/>
          </w:tcPr>
          <w:p w14:paraId="6B0C293F" w14:textId="77777777" w:rsidR="00323483" w:rsidRPr="002C476C" w:rsidRDefault="00323483" w:rsidP="008438ED">
            <w:pPr>
              <w:spacing w:line="360" w:lineRule="auto"/>
              <w:rPr>
                <w:rFonts w:ascii="Times New Roman" w:hAnsi="Times New Roman" w:cs="Times New Roman"/>
                <w:sz w:val="24"/>
                <w:szCs w:val="24"/>
              </w:rPr>
            </w:pPr>
            <w:r w:rsidRPr="002C476C">
              <w:rPr>
                <w:rFonts w:ascii="Times New Roman" w:hAnsi="Times New Roman" w:cs="Times New Roman"/>
                <w:b/>
                <w:bCs/>
                <w:sz w:val="24"/>
                <w:szCs w:val="24"/>
              </w:rPr>
              <w:t>Window composition</w:t>
            </w:r>
          </w:p>
        </w:tc>
        <w:tc>
          <w:tcPr>
            <w:tcW w:w="4854" w:type="dxa"/>
            <w:gridSpan w:val="6"/>
          </w:tcPr>
          <w:p w14:paraId="4C975304" w14:textId="0DE80BDD" w:rsidR="00323483" w:rsidRPr="002C476C" w:rsidRDefault="00323483" w:rsidP="008438ED">
            <w:pPr>
              <w:spacing w:line="360" w:lineRule="auto"/>
              <w:rPr>
                <w:rFonts w:ascii="Times New Roman" w:hAnsi="Times New Roman" w:cs="Times New Roman"/>
                <w:sz w:val="24"/>
                <w:szCs w:val="24"/>
              </w:rPr>
            </w:pPr>
            <w:r w:rsidRPr="002C476C">
              <w:rPr>
                <w:rFonts w:ascii="Times New Roman" w:hAnsi="Times New Roman" w:cs="Times New Roman"/>
                <w:b/>
                <w:bCs/>
                <w:sz w:val="24"/>
                <w:szCs w:val="24"/>
              </w:rPr>
              <w:t xml:space="preserve">Biodegradability </w:t>
            </w:r>
            <w:r w:rsidR="00067CDA" w:rsidRPr="002C476C">
              <w:rPr>
                <w:rFonts w:ascii="Times New Roman" w:hAnsi="Times New Roman" w:cs="Times New Roman"/>
                <w:b/>
                <w:bCs/>
                <w:sz w:val="24"/>
                <w:szCs w:val="24"/>
              </w:rPr>
              <w:t>index (</w:t>
            </w:r>
            <w:proofErr w:type="gramStart"/>
            <w:r w:rsidRPr="002C476C">
              <w:rPr>
                <w:rFonts w:ascii="Times New Roman" w:hAnsi="Times New Roman" w:cs="Times New Roman"/>
                <w:b/>
                <w:bCs/>
                <w:sz w:val="24"/>
                <w:szCs w:val="24"/>
              </w:rPr>
              <w:t xml:space="preserve">BI)   </w:t>
            </w:r>
            <w:proofErr w:type="gramEnd"/>
          </w:p>
        </w:tc>
      </w:tr>
      <w:tr w:rsidR="00323483" w:rsidRPr="002C476C" w14:paraId="011504A1" w14:textId="77777777" w:rsidTr="00067CDA">
        <w:tc>
          <w:tcPr>
            <w:tcW w:w="5069" w:type="dxa"/>
            <w:vMerge/>
          </w:tcPr>
          <w:p w14:paraId="381DEA28" w14:textId="77777777" w:rsidR="00323483" w:rsidRPr="002C476C" w:rsidRDefault="00323483" w:rsidP="008438ED">
            <w:pPr>
              <w:spacing w:line="360" w:lineRule="auto"/>
              <w:rPr>
                <w:rFonts w:ascii="Times New Roman" w:hAnsi="Times New Roman" w:cs="Times New Roman"/>
                <w:sz w:val="24"/>
                <w:szCs w:val="24"/>
              </w:rPr>
            </w:pPr>
          </w:p>
        </w:tc>
        <w:tc>
          <w:tcPr>
            <w:tcW w:w="1260" w:type="dxa"/>
          </w:tcPr>
          <w:p w14:paraId="6EACDD84" w14:textId="3D64A02C" w:rsidR="00323483" w:rsidRPr="002C476C" w:rsidRDefault="00323483" w:rsidP="008438ED">
            <w:pPr>
              <w:spacing w:line="360" w:lineRule="auto"/>
              <w:jc w:val="center"/>
              <w:rPr>
                <w:rFonts w:ascii="Times New Roman" w:hAnsi="Times New Roman" w:cs="Times New Roman"/>
                <w:sz w:val="24"/>
                <w:szCs w:val="24"/>
              </w:rPr>
            </w:pPr>
            <w:r w:rsidRPr="002C476C">
              <w:rPr>
                <w:rFonts w:ascii="Times New Roman" w:hAnsi="Times New Roman" w:cs="Times New Roman"/>
                <w:b/>
                <w:bCs/>
                <w:sz w:val="24"/>
                <w:szCs w:val="24"/>
              </w:rPr>
              <w:t>30</w:t>
            </w:r>
            <w:r w:rsidR="00067CDA">
              <w:rPr>
                <w:rFonts w:ascii="Times New Roman" w:hAnsi="Times New Roman" w:cs="Times New Roman"/>
                <w:b/>
                <w:bCs/>
                <w:sz w:val="24"/>
                <w:szCs w:val="24"/>
              </w:rPr>
              <w:t xml:space="preserve"> DAS</w:t>
            </w:r>
          </w:p>
        </w:tc>
        <w:tc>
          <w:tcPr>
            <w:tcW w:w="1326" w:type="dxa"/>
            <w:gridSpan w:val="2"/>
          </w:tcPr>
          <w:p w14:paraId="78BAFAC0" w14:textId="7B01BA10" w:rsidR="00323483" w:rsidRPr="002C476C" w:rsidRDefault="00323483" w:rsidP="008438ED">
            <w:pPr>
              <w:spacing w:line="360" w:lineRule="auto"/>
              <w:jc w:val="center"/>
              <w:rPr>
                <w:rFonts w:ascii="Times New Roman" w:hAnsi="Times New Roman" w:cs="Times New Roman"/>
                <w:sz w:val="24"/>
                <w:szCs w:val="24"/>
              </w:rPr>
            </w:pPr>
            <w:r w:rsidRPr="002C476C">
              <w:rPr>
                <w:rFonts w:ascii="Times New Roman" w:hAnsi="Times New Roman" w:cs="Times New Roman"/>
                <w:b/>
                <w:bCs/>
                <w:sz w:val="24"/>
                <w:szCs w:val="24"/>
              </w:rPr>
              <w:t>60</w:t>
            </w:r>
            <w:r w:rsidR="00067CDA">
              <w:rPr>
                <w:rFonts w:ascii="Times New Roman" w:hAnsi="Times New Roman" w:cs="Times New Roman"/>
                <w:b/>
                <w:bCs/>
                <w:sz w:val="24"/>
                <w:szCs w:val="24"/>
              </w:rPr>
              <w:t xml:space="preserve"> </w:t>
            </w:r>
            <w:r w:rsidR="00067CDA">
              <w:rPr>
                <w:rFonts w:ascii="Times New Roman" w:hAnsi="Times New Roman" w:cs="Times New Roman"/>
                <w:b/>
                <w:bCs/>
                <w:sz w:val="24"/>
                <w:szCs w:val="24"/>
              </w:rPr>
              <w:t>DAS</w:t>
            </w:r>
          </w:p>
        </w:tc>
        <w:tc>
          <w:tcPr>
            <w:tcW w:w="1134" w:type="dxa"/>
            <w:gridSpan w:val="2"/>
          </w:tcPr>
          <w:p w14:paraId="383283DF" w14:textId="55B66E65" w:rsidR="00323483" w:rsidRPr="002C476C" w:rsidRDefault="00323483" w:rsidP="008438ED">
            <w:pPr>
              <w:spacing w:line="360" w:lineRule="auto"/>
              <w:jc w:val="center"/>
              <w:rPr>
                <w:rFonts w:ascii="Times New Roman" w:hAnsi="Times New Roman" w:cs="Times New Roman"/>
                <w:sz w:val="24"/>
                <w:szCs w:val="24"/>
              </w:rPr>
            </w:pPr>
            <w:r w:rsidRPr="002C476C">
              <w:rPr>
                <w:rFonts w:ascii="Times New Roman" w:hAnsi="Times New Roman" w:cs="Times New Roman"/>
                <w:b/>
                <w:bCs/>
                <w:sz w:val="24"/>
                <w:szCs w:val="24"/>
              </w:rPr>
              <w:t>90</w:t>
            </w:r>
            <w:r w:rsidR="00067CDA">
              <w:rPr>
                <w:rFonts w:ascii="Times New Roman" w:hAnsi="Times New Roman" w:cs="Times New Roman"/>
                <w:b/>
                <w:bCs/>
                <w:sz w:val="24"/>
                <w:szCs w:val="24"/>
              </w:rPr>
              <w:t xml:space="preserve"> </w:t>
            </w:r>
            <w:r w:rsidR="00067CDA">
              <w:rPr>
                <w:rFonts w:ascii="Times New Roman" w:hAnsi="Times New Roman" w:cs="Times New Roman"/>
                <w:b/>
                <w:bCs/>
                <w:sz w:val="24"/>
                <w:szCs w:val="24"/>
              </w:rPr>
              <w:t>DAS</w:t>
            </w:r>
          </w:p>
        </w:tc>
        <w:tc>
          <w:tcPr>
            <w:tcW w:w="1134" w:type="dxa"/>
          </w:tcPr>
          <w:p w14:paraId="04F9E00D" w14:textId="296DF9D9" w:rsidR="00323483" w:rsidRPr="002C476C" w:rsidRDefault="00323483" w:rsidP="008438ED">
            <w:pPr>
              <w:spacing w:line="360" w:lineRule="auto"/>
              <w:jc w:val="center"/>
              <w:rPr>
                <w:rFonts w:ascii="Times New Roman" w:hAnsi="Times New Roman" w:cs="Times New Roman"/>
                <w:sz w:val="24"/>
                <w:szCs w:val="24"/>
              </w:rPr>
            </w:pPr>
            <w:r w:rsidRPr="002C476C">
              <w:rPr>
                <w:rFonts w:ascii="Times New Roman" w:hAnsi="Times New Roman" w:cs="Times New Roman"/>
                <w:b/>
                <w:bCs/>
                <w:sz w:val="24"/>
                <w:szCs w:val="24"/>
              </w:rPr>
              <w:t>120</w:t>
            </w:r>
            <w:r w:rsidR="00067CDA">
              <w:rPr>
                <w:rFonts w:ascii="Times New Roman" w:hAnsi="Times New Roman" w:cs="Times New Roman"/>
                <w:b/>
                <w:bCs/>
                <w:sz w:val="24"/>
                <w:szCs w:val="24"/>
              </w:rPr>
              <w:t xml:space="preserve"> </w:t>
            </w:r>
            <w:r w:rsidR="00067CDA">
              <w:rPr>
                <w:rFonts w:ascii="Times New Roman" w:hAnsi="Times New Roman" w:cs="Times New Roman"/>
                <w:b/>
                <w:bCs/>
                <w:sz w:val="24"/>
                <w:szCs w:val="24"/>
              </w:rPr>
              <w:t>DAS</w:t>
            </w:r>
          </w:p>
        </w:tc>
      </w:tr>
      <w:tr w:rsidR="00323483" w:rsidRPr="002C476C" w14:paraId="111AB30F" w14:textId="77777777" w:rsidTr="00067CDA">
        <w:tc>
          <w:tcPr>
            <w:tcW w:w="5069" w:type="dxa"/>
          </w:tcPr>
          <w:p w14:paraId="1E5F46EB" w14:textId="3B02377B" w:rsidR="00323483" w:rsidRPr="002C476C" w:rsidRDefault="00067CDA" w:rsidP="008438ED">
            <w:pPr>
              <w:spacing w:line="360" w:lineRule="auto"/>
              <w:rPr>
                <w:rFonts w:ascii="Times New Roman" w:hAnsi="Times New Roman" w:cs="Times New Roman"/>
                <w:sz w:val="24"/>
                <w:szCs w:val="24"/>
              </w:rPr>
            </w:pPr>
            <w:r>
              <w:rPr>
                <w:rFonts w:ascii="Times New Roman" w:hAnsi="Times New Roman" w:cs="Times New Roman"/>
                <w:sz w:val="24"/>
                <w:szCs w:val="24"/>
              </w:rPr>
              <w:t xml:space="preserve">T1: </w:t>
            </w:r>
            <w:r w:rsidR="00323483" w:rsidRPr="002C476C">
              <w:rPr>
                <w:rFonts w:ascii="Times New Roman" w:hAnsi="Times New Roman" w:cs="Times New Roman"/>
                <w:sz w:val="24"/>
                <w:szCs w:val="24"/>
              </w:rPr>
              <w:t xml:space="preserve">100% Cow Dung+ Earthworm  </w:t>
            </w:r>
          </w:p>
        </w:tc>
        <w:tc>
          <w:tcPr>
            <w:tcW w:w="1260" w:type="dxa"/>
          </w:tcPr>
          <w:p w14:paraId="48306237" w14:textId="77777777" w:rsidR="00323483" w:rsidRPr="002C476C" w:rsidRDefault="00323483" w:rsidP="008438ED">
            <w:pPr>
              <w:spacing w:line="360" w:lineRule="auto"/>
              <w:jc w:val="center"/>
              <w:rPr>
                <w:rFonts w:ascii="Times New Roman" w:hAnsi="Times New Roman" w:cs="Times New Roman"/>
                <w:sz w:val="24"/>
                <w:szCs w:val="24"/>
              </w:rPr>
            </w:pPr>
            <w:r w:rsidRPr="002C476C">
              <w:rPr>
                <w:rFonts w:ascii="Times New Roman" w:hAnsi="Times New Roman" w:cs="Times New Roman"/>
                <w:sz w:val="24"/>
                <w:szCs w:val="24"/>
              </w:rPr>
              <w:t>5.35</w:t>
            </w:r>
          </w:p>
        </w:tc>
        <w:tc>
          <w:tcPr>
            <w:tcW w:w="1326" w:type="dxa"/>
            <w:gridSpan w:val="2"/>
          </w:tcPr>
          <w:p w14:paraId="0334A9D8" w14:textId="77777777" w:rsidR="00323483" w:rsidRPr="002C476C" w:rsidRDefault="00323483" w:rsidP="008438ED">
            <w:pPr>
              <w:spacing w:line="360" w:lineRule="auto"/>
              <w:jc w:val="center"/>
              <w:rPr>
                <w:rFonts w:ascii="Times New Roman" w:hAnsi="Times New Roman" w:cs="Times New Roman"/>
                <w:sz w:val="24"/>
                <w:szCs w:val="24"/>
              </w:rPr>
            </w:pPr>
            <w:r w:rsidRPr="002C476C">
              <w:rPr>
                <w:rFonts w:ascii="Times New Roman" w:hAnsi="Times New Roman" w:cs="Times New Roman"/>
                <w:sz w:val="24"/>
                <w:szCs w:val="24"/>
              </w:rPr>
              <w:t>5.07</w:t>
            </w:r>
          </w:p>
        </w:tc>
        <w:tc>
          <w:tcPr>
            <w:tcW w:w="1134" w:type="dxa"/>
            <w:gridSpan w:val="2"/>
          </w:tcPr>
          <w:p w14:paraId="166474C6" w14:textId="77777777" w:rsidR="00323483" w:rsidRPr="002C476C" w:rsidRDefault="00323483" w:rsidP="008438ED">
            <w:pPr>
              <w:spacing w:line="360" w:lineRule="auto"/>
              <w:jc w:val="center"/>
              <w:rPr>
                <w:rFonts w:ascii="Times New Roman" w:hAnsi="Times New Roman" w:cs="Times New Roman"/>
                <w:sz w:val="24"/>
                <w:szCs w:val="24"/>
              </w:rPr>
            </w:pPr>
            <w:r w:rsidRPr="002C476C">
              <w:rPr>
                <w:rFonts w:ascii="Times New Roman" w:hAnsi="Times New Roman" w:cs="Times New Roman"/>
                <w:sz w:val="24"/>
                <w:szCs w:val="24"/>
              </w:rPr>
              <w:t>4.90</w:t>
            </w:r>
          </w:p>
        </w:tc>
        <w:tc>
          <w:tcPr>
            <w:tcW w:w="1134" w:type="dxa"/>
          </w:tcPr>
          <w:p w14:paraId="26E09757" w14:textId="77777777" w:rsidR="00323483" w:rsidRPr="002C476C" w:rsidRDefault="00323483" w:rsidP="008438ED">
            <w:pPr>
              <w:spacing w:line="360" w:lineRule="auto"/>
              <w:jc w:val="center"/>
              <w:rPr>
                <w:rFonts w:ascii="Times New Roman" w:hAnsi="Times New Roman" w:cs="Times New Roman"/>
                <w:sz w:val="24"/>
                <w:szCs w:val="24"/>
              </w:rPr>
            </w:pPr>
            <w:r w:rsidRPr="002C476C">
              <w:rPr>
                <w:rFonts w:ascii="Times New Roman" w:hAnsi="Times New Roman" w:cs="Times New Roman"/>
                <w:sz w:val="24"/>
                <w:szCs w:val="24"/>
              </w:rPr>
              <w:t>4.76</w:t>
            </w:r>
          </w:p>
        </w:tc>
      </w:tr>
      <w:tr w:rsidR="00323483" w:rsidRPr="002C476C" w14:paraId="471709C5" w14:textId="77777777" w:rsidTr="00067CDA">
        <w:tc>
          <w:tcPr>
            <w:tcW w:w="5069" w:type="dxa"/>
          </w:tcPr>
          <w:p w14:paraId="485400BE" w14:textId="08BCE1A0" w:rsidR="00323483" w:rsidRPr="002C476C" w:rsidRDefault="00067CDA" w:rsidP="008438ED">
            <w:pPr>
              <w:spacing w:line="360" w:lineRule="auto"/>
              <w:rPr>
                <w:rFonts w:ascii="Times New Roman" w:hAnsi="Times New Roman" w:cs="Times New Roman"/>
                <w:sz w:val="24"/>
                <w:szCs w:val="24"/>
              </w:rPr>
            </w:pPr>
            <w:r>
              <w:rPr>
                <w:rFonts w:ascii="Times New Roman" w:hAnsi="Times New Roman" w:cs="Times New Roman"/>
                <w:sz w:val="24"/>
                <w:szCs w:val="24"/>
              </w:rPr>
              <w:t xml:space="preserve">T2: </w:t>
            </w:r>
            <w:r w:rsidR="00323483" w:rsidRPr="002C476C">
              <w:rPr>
                <w:rFonts w:ascii="Times New Roman" w:hAnsi="Times New Roman" w:cs="Times New Roman"/>
                <w:sz w:val="24"/>
                <w:szCs w:val="24"/>
              </w:rPr>
              <w:t>100% Cow Dung + Earthworm + 5% P</w:t>
            </w:r>
            <w:r w:rsidR="00323483" w:rsidRPr="002C476C">
              <w:rPr>
                <w:rFonts w:ascii="Times New Roman" w:hAnsi="Times New Roman" w:cs="Times New Roman"/>
                <w:sz w:val="24"/>
                <w:szCs w:val="24"/>
                <w:vertAlign w:val="subscript"/>
              </w:rPr>
              <w:t>2</w:t>
            </w:r>
            <w:r w:rsidR="00323483" w:rsidRPr="002C476C">
              <w:rPr>
                <w:rFonts w:ascii="Times New Roman" w:hAnsi="Times New Roman" w:cs="Times New Roman"/>
                <w:sz w:val="24"/>
                <w:szCs w:val="24"/>
              </w:rPr>
              <w:t>O</w:t>
            </w:r>
            <w:r w:rsidR="00323483" w:rsidRPr="002C476C">
              <w:rPr>
                <w:rFonts w:ascii="Times New Roman" w:hAnsi="Times New Roman" w:cs="Times New Roman"/>
                <w:sz w:val="24"/>
                <w:szCs w:val="24"/>
                <w:vertAlign w:val="subscript"/>
              </w:rPr>
              <w:t xml:space="preserve">5 </w:t>
            </w:r>
            <w:r w:rsidR="00323483" w:rsidRPr="002C476C">
              <w:rPr>
                <w:rFonts w:ascii="Times New Roman" w:hAnsi="Times New Roman" w:cs="Times New Roman"/>
                <w:sz w:val="24"/>
                <w:szCs w:val="24"/>
              </w:rPr>
              <w:t>(w/w) Rock-Phosphate + PSB (100ml/t waste)</w:t>
            </w:r>
          </w:p>
        </w:tc>
        <w:tc>
          <w:tcPr>
            <w:tcW w:w="1260" w:type="dxa"/>
          </w:tcPr>
          <w:p w14:paraId="59AD5F00" w14:textId="77777777" w:rsidR="00323483" w:rsidRPr="002C476C" w:rsidRDefault="00323483" w:rsidP="008438ED">
            <w:pPr>
              <w:spacing w:line="360" w:lineRule="auto"/>
              <w:jc w:val="center"/>
              <w:rPr>
                <w:rFonts w:ascii="Times New Roman" w:hAnsi="Times New Roman" w:cs="Times New Roman"/>
                <w:sz w:val="24"/>
                <w:szCs w:val="24"/>
              </w:rPr>
            </w:pPr>
            <w:r w:rsidRPr="002C476C">
              <w:rPr>
                <w:rFonts w:ascii="Times New Roman" w:hAnsi="Times New Roman" w:cs="Times New Roman"/>
                <w:sz w:val="24"/>
                <w:szCs w:val="24"/>
              </w:rPr>
              <w:t>5.46</w:t>
            </w:r>
          </w:p>
        </w:tc>
        <w:tc>
          <w:tcPr>
            <w:tcW w:w="1326" w:type="dxa"/>
            <w:gridSpan w:val="2"/>
          </w:tcPr>
          <w:p w14:paraId="6B226501" w14:textId="77777777" w:rsidR="00323483" w:rsidRPr="002C476C" w:rsidRDefault="00323483" w:rsidP="008438ED">
            <w:pPr>
              <w:spacing w:line="360" w:lineRule="auto"/>
              <w:jc w:val="center"/>
              <w:rPr>
                <w:rFonts w:ascii="Times New Roman" w:hAnsi="Times New Roman" w:cs="Times New Roman"/>
                <w:sz w:val="24"/>
                <w:szCs w:val="24"/>
              </w:rPr>
            </w:pPr>
            <w:r w:rsidRPr="002C476C">
              <w:rPr>
                <w:rFonts w:ascii="Times New Roman" w:hAnsi="Times New Roman" w:cs="Times New Roman"/>
                <w:sz w:val="24"/>
                <w:szCs w:val="24"/>
              </w:rPr>
              <w:t>5.16</w:t>
            </w:r>
          </w:p>
        </w:tc>
        <w:tc>
          <w:tcPr>
            <w:tcW w:w="1134" w:type="dxa"/>
            <w:gridSpan w:val="2"/>
          </w:tcPr>
          <w:p w14:paraId="2189C7AF" w14:textId="77777777" w:rsidR="00323483" w:rsidRPr="002C476C" w:rsidRDefault="00323483" w:rsidP="008438ED">
            <w:pPr>
              <w:spacing w:line="360" w:lineRule="auto"/>
              <w:jc w:val="center"/>
              <w:rPr>
                <w:rFonts w:ascii="Times New Roman" w:hAnsi="Times New Roman" w:cs="Times New Roman"/>
                <w:sz w:val="24"/>
                <w:szCs w:val="24"/>
              </w:rPr>
            </w:pPr>
            <w:r w:rsidRPr="002C476C">
              <w:rPr>
                <w:rFonts w:ascii="Times New Roman" w:hAnsi="Times New Roman" w:cs="Times New Roman"/>
                <w:sz w:val="24"/>
                <w:szCs w:val="24"/>
              </w:rPr>
              <w:t>4.92</w:t>
            </w:r>
          </w:p>
        </w:tc>
        <w:tc>
          <w:tcPr>
            <w:tcW w:w="1134" w:type="dxa"/>
          </w:tcPr>
          <w:p w14:paraId="3DBE42D7" w14:textId="77777777" w:rsidR="00323483" w:rsidRPr="002C476C" w:rsidRDefault="00323483" w:rsidP="008438ED">
            <w:pPr>
              <w:spacing w:line="360" w:lineRule="auto"/>
              <w:jc w:val="center"/>
              <w:rPr>
                <w:rFonts w:ascii="Times New Roman" w:hAnsi="Times New Roman" w:cs="Times New Roman"/>
                <w:sz w:val="24"/>
                <w:szCs w:val="24"/>
              </w:rPr>
            </w:pPr>
            <w:r w:rsidRPr="002C476C">
              <w:rPr>
                <w:rFonts w:ascii="Times New Roman" w:hAnsi="Times New Roman" w:cs="Times New Roman"/>
                <w:sz w:val="24"/>
                <w:szCs w:val="24"/>
              </w:rPr>
              <w:t>4.83</w:t>
            </w:r>
          </w:p>
        </w:tc>
      </w:tr>
      <w:tr w:rsidR="00323483" w:rsidRPr="002C476C" w14:paraId="72280E65" w14:textId="77777777" w:rsidTr="00067CDA">
        <w:tc>
          <w:tcPr>
            <w:tcW w:w="5069" w:type="dxa"/>
          </w:tcPr>
          <w:p w14:paraId="59DEB856" w14:textId="0384D6EF" w:rsidR="00323483" w:rsidRPr="002C476C" w:rsidRDefault="00067CDA" w:rsidP="008438ED">
            <w:pPr>
              <w:spacing w:line="360" w:lineRule="auto"/>
              <w:rPr>
                <w:rFonts w:ascii="Times New Roman" w:hAnsi="Times New Roman" w:cs="Times New Roman"/>
                <w:sz w:val="24"/>
                <w:szCs w:val="24"/>
              </w:rPr>
            </w:pPr>
            <w:r>
              <w:rPr>
                <w:rFonts w:ascii="Times New Roman" w:hAnsi="Times New Roman" w:cs="Times New Roman"/>
                <w:sz w:val="24"/>
                <w:szCs w:val="24"/>
              </w:rPr>
              <w:t xml:space="preserve">T3: </w:t>
            </w:r>
            <w:r w:rsidR="00323483" w:rsidRPr="002C476C">
              <w:rPr>
                <w:rFonts w:ascii="Times New Roman" w:hAnsi="Times New Roman" w:cs="Times New Roman"/>
                <w:sz w:val="24"/>
                <w:szCs w:val="24"/>
              </w:rPr>
              <w:t>40% Agricultural waste + 60% Cow Dung + Earthworm</w:t>
            </w:r>
          </w:p>
        </w:tc>
        <w:tc>
          <w:tcPr>
            <w:tcW w:w="1260" w:type="dxa"/>
          </w:tcPr>
          <w:p w14:paraId="5052990D" w14:textId="77777777" w:rsidR="00323483" w:rsidRPr="002C476C" w:rsidRDefault="00323483" w:rsidP="008438ED">
            <w:pPr>
              <w:spacing w:line="360" w:lineRule="auto"/>
              <w:jc w:val="center"/>
              <w:rPr>
                <w:rFonts w:ascii="Times New Roman" w:hAnsi="Times New Roman" w:cs="Times New Roman"/>
                <w:sz w:val="24"/>
                <w:szCs w:val="24"/>
              </w:rPr>
            </w:pPr>
            <w:r w:rsidRPr="002C476C">
              <w:rPr>
                <w:rFonts w:ascii="Times New Roman" w:hAnsi="Times New Roman" w:cs="Times New Roman"/>
                <w:sz w:val="24"/>
                <w:szCs w:val="24"/>
              </w:rPr>
              <w:t>5.43</w:t>
            </w:r>
          </w:p>
        </w:tc>
        <w:tc>
          <w:tcPr>
            <w:tcW w:w="1326" w:type="dxa"/>
            <w:gridSpan w:val="2"/>
          </w:tcPr>
          <w:p w14:paraId="0BC67173" w14:textId="77777777" w:rsidR="00323483" w:rsidRPr="002C476C" w:rsidRDefault="00323483" w:rsidP="008438ED">
            <w:pPr>
              <w:spacing w:line="360" w:lineRule="auto"/>
              <w:jc w:val="center"/>
              <w:rPr>
                <w:rFonts w:ascii="Times New Roman" w:hAnsi="Times New Roman" w:cs="Times New Roman"/>
                <w:sz w:val="24"/>
                <w:szCs w:val="24"/>
              </w:rPr>
            </w:pPr>
            <w:r w:rsidRPr="002C476C">
              <w:rPr>
                <w:rFonts w:ascii="Times New Roman" w:hAnsi="Times New Roman" w:cs="Times New Roman"/>
                <w:sz w:val="24"/>
                <w:szCs w:val="24"/>
              </w:rPr>
              <w:t>5.10</w:t>
            </w:r>
          </w:p>
        </w:tc>
        <w:tc>
          <w:tcPr>
            <w:tcW w:w="1134" w:type="dxa"/>
            <w:gridSpan w:val="2"/>
          </w:tcPr>
          <w:p w14:paraId="56FB0791" w14:textId="77777777" w:rsidR="00323483" w:rsidRPr="002C476C" w:rsidRDefault="00323483" w:rsidP="008438ED">
            <w:pPr>
              <w:spacing w:line="360" w:lineRule="auto"/>
              <w:jc w:val="center"/>
              <w:rPr>
                <w:rFonts w:ascii="Times New Roman" w:hAnsi="Times New Roman" w:cs="Times New Roman"/>
                <w:sz w:val="24"/>
                <w:szCs w:val="24"/>
              </w:rPr>
            </w:pPr>
            <w:r w:rsidRPr="002C476C">
              <w:rPr>
                <w:rFonts w:ascii="Times New Roman" w:hAnsi="Times New Roman" w:cs="Times New Roman"/>
                <w:sz w:val="24"/>
                <w:szCs w:val="24"/>
              </w:rPr>
              <w:t>4.88</w:t>
            </w:r>
          </w:p>
        </w:tc>
        <w:tc>
          <w:tcPr>
            <w:tcW w:w="1134" w:type="dxa"/>
          </w:tcPr>
          <w:p w14:paraId="775E27C1" w14:textId="77777777" w:rsidR="00323483" w:rsidRPr="002C476C" w:rsidRDefault="00323483" w:rsidP="008438ED">
            <w:pPr>
              <w:spacing w:line="360" w:lineRule="auto"/>
              <w:jc w:val="center"/>
              <w:rPr>
                <w:rFonts w:ascii="Times New Roman" w:hAnsi="Times New Roman" w:cs="Times New Roman"/>
                <w:sz w:val="24"/>
                <w:szCs w:val="24"/>
              </w:rPr>
            </w:pPr>
            <w:r w:rsidRPr="002C476C">
              <w:rPr>
                <w:rFonts w:ascii="Times New Roman" w:hAnsi="Times New Roman" w:cs="Times New Roman"/>
                <w:sz w:val="24"/>
                <w:szCs w:val="24"/>
              </w:rPr>
              <w:t>4.77</w:t>
            </w:r>
          </w:p>
        </w:tc>
      </w:tr>
      <w:tr w:rsidR="00323483" w:rsidRPr="002C476C" w14:paraId="5DBFA425" w14:textId="77777777" w:rsidTr="00067CDA">
        <w:tc>
          <w:tcPr>
            <w:tcW w:w="5069" w:type="dxa"/>
          </w:tcPr>
          <w:p w14:paraId="05BD3F7E" w14:textId="5CB91C81" w:rsidR="00323483" w:rsidRPr="002C476C" w:rsidRDefault="00323483" w:rsidP="008438ED">
            <w:pPr>
              <w:spacing w:line="360" w:lineRule="auto"/>
              <w:rPr>
                <w:rFonts w:ascii="Times New Roman" w:hAnsi="Times New Roman" w:cs="Times New Roman"/>
                <w:sz w:val="24"/>
                <w:szCs w:val="24"/>
              </w:rPr>
            </w:pPr>
            <w:r w:rsidRPr="002C476C">
              <w:rPr>
                <w:rFonts w:ascii="Times New Roman" w:hAnsi="Times New Roman" w:cs="Times New Roman"/>
                <w:sz w:val="24"/>
                <w:szCs w:val="24"/>
              </w:rPr>
              <w:t xml:space="preserve"> </w:t>
            </w:r>
            <w:r w:rsidR="00067CDA">
              <w:rPr>
                <w:rFonts w:ascii="Times New Roman" w:hAnsi="Times New Roman" w:cs="Times New Roman"/>
                <w:sz w:val="24"/>
                <w:szCs w:val="24"/>
              </w:rPr>
              <w:t xml:space="preserve">T4: </w:t>
            </w:r>
            <w:r w:rsidRPr="002C476C">
              <w:rPr>
                <w:rFonts w:ascii="Times New Roman" w:hAnsi="Times New Roman" w:cs="Times New Roman"/>
                <w:sz w:val="24"/>
                <w:szCs w:val="24"/>
              </w:rPr>
              <w:t>40% Agricultural waste + 60%Cow Dung + Earthworm + 5%P</w:t>
            </w:r>
            <w:r w:rsidRPr="002C476C">
              <w:rPr>
                <w:rFonts w:ascii="Times New Roman" w:hAnsi="Times New Roman" w:cs="Times New Roman"/>
                <w:sz w:val="24"/>
                <w:szCs w:val="24"/>
                <w:vertAlign w:val="subscript"/>
              </w:rPr>
              <w:t>2</w:t>
            </w:r>
            <w:r w:rsidRPr="002C476C">
              <w:rPr>
                <w:rFonts w:ascii="Times New Roman" w:hAnsi="Times New Roman" w:cs="Times New Roman"/>
                <w:sz w:val="24"/>
                <w:szCs w:val="24"/>
              </w:rPr>
              <w:t>O</w:t>
            </w:r>
            <w:r w:rsidRPr="002C476C">
              <w:rPr>
                <w:rFonts w:ascii="Times New Roman" w:hAnsi="Times New Roman" w:cs="Times New Roman"/>
                <w:sz w:val="24"/>
                <w:szCs w:val="24"/>
                <w:vertAlign w:val="subscript"/>
              </w:rPr>
              <w:t xml:space="preserve">5 </w:t>
            </w:r>
            <w:r w:rsidRPr="002C476C">
              <w:rPr>
                <w:rFonts w:ascii="Times New Roman" w:hAnsi="Times New Roman" w:cs="Times New Roman"/>
                <w:sz w:val="24"/>
                <w:szCs w:val="24"/>
              </w:rPr>
              <w:t xml:space="preserve">(w/w) Rock-Phosphate + PSB (100ml/t waste)  </w:t>
            </w:r>
          </w:p>
        </w:tc>
        <w:tc>
          <w:tcPr>
            <w:tcW w:w="1260" w:type="dxa"/>
          </w:tcPr>
          <w:p w14:paraId="48396F8F" w14:textId="77777777" w:rsidR="00323483" w:rsidRPr="002C476C" w:rsidRDefault="00323483" w:rsidP="008438ED">
            <w:pPr>
              <w:spacing w:line="360" w:lineRule="auto"/>
              <w:jc w:val="center"/>
              <w:rPr>
                <w:rFonts w:ascii="Times New Roman" w:hAnsi="Times New Roman" w:cs="Times New Roman"/>
                <w:sz w:val="24"/>
                <w:szCs w:val="24"/>
              </w:rPr>
            </w:pPr>
            <w:r w:rsidRPr="002C476C">
              <w:rPr>
                <w:rFonts w:ascii="Times New Roman" w:hAnsi="Times New Roman" w:cs="Times New Roman"/>
                <w:sz w:val="24"/>
                <w:szCs w:val="24"/>
              </w:rPr>
              <w:t>5.45</w:t>
            </w:r>
          </w:p>
        </w:tc>
        <w:tc>
          <w:tcPr>
            <w:tcW w:w="1326" w:type="dxa"/>
            <w:gridSpan w:val="2"/>
          </w:tcPr>
          <w:p w14:paraId="5E798FEC" w14:textId="77777777" w:rsidR="00323483" w:rsidRPr="002C476C" w:rsidRDefault="00323483" w:rsidP="008438ED">
            <w:pPr>
              <w:spacing w:line="360" w:lineRule="auto"/>
              <w:jc w:val="center"/>
              <w:rPr>
                <w:rFonts w:ascii="Times New Roman" w:hAnsi="Times New Roman" w:cs="Times New Roman"/>
                <w:sz w:val="24"/>
                <w:szCs w:val="24"/>
              </w:rPr>
            </w:pPr>
            <w:r w:rsidRPr="002C476C">
              <w:rPr>
                <w:rFonts w:ascii="Times New Roman" w:hAnsi="Times New Roman" w:cs="Times New Roman"/>
                <w:sz w:val="24"/>
                <w:szCs w:val="24"/>
              </w:rPr>
              <w:t>5.18</w:t>
            </w:r>
          </w:p>
        </w:tc>
        <w:tc>
          <w:tcPr>
            <w:tcW w:w="1134" w:type="dxa"/>
            <w:gridSpan w:val="2"/>
          </w:tcPr>
          <w:p w14:paraId="78933BCE" w14:textId="77777777" w:rsidR="00323483" w:rsidRPr="002C476C" w:rsidRDefault="00323483" w:rsidP="008438ED">
            <w:pPr>
              <w:spacing w:line="360" w:lineRule="auto"/>
              <w:jc w:val="center"/>
              <w:rPr>
                <w:rFonts w:ascii="Times New Roman" w:hAnsi="Times New Roman" w:cs="Times New Roman"/>
                <w:sz w:val="24"/>
                <w:szCs w:val="24"/>
              </w:rPr>
            </w:pPr>
            <w:r w:rsidRPr="002C476C">
              <w:rPr>
                <w:rFonts w:ascii="Times New Roman" w:hAnsi="Times New Roman" w:cs="Times New Roman"/>
                <w:sz w:val="24"/>
                <w:szCs w:val="24"/>
              </w:rPr>
              <w:t>4.97</w:t>
            </w:r>
          </w:p>
        </w:tc>
        <w:tc>
          <w:tcPr>
            <w:tcW w:w="1134" w:type="dxa"/>
          </w:tcPr>
          <w:p w14:paraId="436A3D54" w14:textId="77777777" w:rsidR="00323483" w:rsidRPr="002C476C" w:rsidRDefault="00323483" w:rsidP="008438ED">
            <w:pPr>
              <w:spacing w:line="360" w:lineRule="auto"/>
              <w:jc w:val="center"/>
              <w:rPr>
                <w:rFonts w:ascii="Times New Roman" w:hAnsi="Times New Roman" w:cs="Times New Roman"/>
                <w:sz w:val="24"/>
                <w:szCs w:val="24"/>
              </w:rPr>
            </w:pPr>
            <w:r w:rsidRPr="002C476C">
              <w:rPr>
                <w:rFonts w:ascii="Times New Roman" w:hAnsi="Times New Roman" w:cs="Times New Roman"/>
                <w:sz w:val="24"/>
                <w:szCs w:val="24"/>
              </w:rPr>
              <w:t>4.82</w:t>
            </w:r>
          </w:p>
        </w:tc>
      </w:tr>
      <w:tr w:rsidR="00323483" w:rsidRPr="002C476C" w14:paraId="6C16085F" w14:textId="77777777" w:rsidTr="00067CDA">
        <w:tc>
          <w:tcPr>
            <w:tcW w:w="5069" w:type="dxa"/>
          </w:tcPr>
          <w:p w14:paraId="1C08F71C" w14:textId="3E3A5293" w:rsidR="00323483" w:rsidRPr="002C476C" w:rsidRDefault="00067CDA" w:rsidP="008438ED">
            <w:pPr>
              <w:spacing w:line="360" w:lineRule="auto"/>
              <w:rPr>
                <w:rFonts w:ascii="Times New Roman" w:hAnsi="Times New Roman" w:cs="Times New Roman"/>
                <w:sz w:val="24"/>
                <w:szCs w:val="24"/>
              </w:rPr>
            </w:pPr>
            <w:r>
              <w:rPr>
                <w:rFonts w:ascii="Times New Roman" w:hAnsi="Times New Roman" w:cs="Times New Roman"/>
                <w:sz w:val="24"/>
                <w:szCs w:val="24"/>
              </w:rPr>
              <w:t xml:space="preserve">T5: </w:t>
            </w:r>
            <w:r w:rsidR="00323483" w:rsidRPr="002C476C">
              <w:rPr>
                <w:rFonts w:ascii="Times New Roman" w:hAnsi="Times New Roman" w:cs="Times New Roman"/>
                <w:sz w:val="24"/>
                <w:szCs w:val="24"/>
              </w:rPr>
              <w:t xml:space="preserve">100% Cow Dung+ Earthworm  </w:t>
            </w:r>
          </w:p>
        </w:tc>
        <w:tc>
          <w:tcPr>
            <w:tcW w:w="1260" w:type="dxa"/>
          </w:tcPr>
          <w:p w14:paraId="1EFCB495" w14:textId="77777777" w:rsidR="00323483" w:rsidRPr="002C476C" w:rsidRDefault="00323483" w:rsidP="008438ED">
            <w:pPr>
              <w:spacing w:line="360" w:lineRule="auto"/>
              <w:jc w:val="center"/>
              <w:rPr>
                <w:rFonts w:ascii="Times New Roman" w:hAnsi="Times New Roman" w:cs="Times New Roman"/>
                <w:sz w:val="24"/>
                <w:szCs w:val="24"/>
              </w:rPr>
            </w:pPr>
            <w:r w:rsidRPr="002C476C">
              <w:rPr>
                <w:rFonts w:ascii="Times New Roman" w:hAnsi="Times New Roman" w:cs="Times New Roman"/>
                <w:sz w:val="24"/>
                <w:szCs w:val="24"/>
              </w:rPr>
              <w:t>5.43</w:t>
            </w:r>
          </w:p>
        </w:tc>
        <w:tc>
          <w:tcPr>
            <w:tcW w:w="1326" w:type="dxa"/>
            <w:gridSpan w:val="2"/>
          </w:tcPr>
          <w:p w14:paraId="5FA86F93" w14:textId="77777777" w:rsidR="00323483" w:rsidRPr="002C476C" w:rsidRDefault="00323483" w:rsidP="008438ED">
            <w:pPr>
              <w:spacing w:line="360" w:lineRule="auto"/>
              <w:jc w:val="center"/>
              <w:rPr>
                <w:rFonts w:ascii="Times New Roman" w:hAnsi="Times New Roman" w:cs="Times New Roman"/>
                <w:sz w:val="24"/>
                <w:szCs w:val="24"/>
              </w:rPr>
            </w:pPr>
            <w:r w:rsidRPr="002C476C">
              <w:rPr>
                <w:rFonts w:ascii="Times New Roman" w:hAnsi="Times New Roman" w:cs="Times New Roman"/>
                <w:sz w:val="24"/>
                <w:szCs w:val="24"/>
              </w:rPr>
              <w:t>5.13</w:t>
            </w:r>
          </w:p>
        </w:tc>
        <w:tc>
          <w:tcPr>
            <w:tcW w:w="1134" w:type="dxa"/>
            <w:gridSpan w:val="2"/>
          </w:tcPr>
          <w:p w14:paraId="5BCD4420" w14:textId="77777777" w:rsidR="00323483" w:rsidRPr="002C476C" w:rsidRDefault="00323483" w:rsidP="008438ED">
            <w:pPr>
              <w:spacing w:line="360" w:lineRule="auto"/>
              <w:jc w:val="center"/>
              <w:rPr>
                <w:rFonts w:ascii="Times New Roman" w:hAnsi="Times New Roman" w:cs="Times New Roman"/>
                <w:sz w:val="24"/>
                <w:szCs w:val="24"/>
              </w:rPr>
            </w:pPr>
            <w:r w:rsidRPr="002C476C">
              <w:rPr>
                <w:rFonts w:ascii="Times New Roman" w:hAnsi="Times New Roman" w:cs="Times New Roman"/>
                <w:sz w:val="24"/>
                <w:szCs w:val="24"/>
              </w:rPr>
              <w:t>4.92</w:t>
            </w:r>
          </w:p>
        </w:tc>
        <w:tc>
          <w:tcPr>
            <w:tcW w:w="1134" w:type="dxa"/>
          </w:tcPr>
          <w:p w14:paraId="6CBB64C7" w14:textId="77777777" w:rsidR="00323483" w:rsidRPr="002C476C" w:rsidRDefault="00323483" w:rsidP="008438ED">
            <w:pPr>
              <w:spacing w:line="360" w:lineRule="auto"/>
              <w:jc w:val="center"/>
              <w:rPr>
                <w:rFonts w:ascii="Times New Roman" w:hAnsi="Times New Roman" w:cs="Times New Roman"/>
                <w:sz w:val="24"/>
                <w:szCs w:val="24"/>
              </w:rPr>
            </w:pPr>
            <w:r w:rsidRPr="002C476C">
              <w:rPr>
                <w:rFonts w:ascii="Times New Roman" w:hAnsi="Times New Roman" w:cs="Times New Roman"/>
                <w:sz w:val="24"/>
                <w:szCs w:val="24"/>
              </w:rPr>
              <w:t>4.80</w:t>
            </w:r>
          </w:p>
        </w:tc>
      </w:tr>
      <w:tr w:rsidR="00323483" w:rsidRPr="002C476C" w14:paraId="16D6217E" w14:textId="77777777" w:rsidTr="00580F98">
        <w:tc>
          <w:tcPr>
            <w:tcW w:w="9923" w:type="dxa"/>
            <w:gridSpan w:val="7"/>
          </w:tcPr>
          <w:p w14:paraId="244C1BE0" w14:textId="77777777" w:rsidR="00323483" w:rsidRPr="002C476C" w:rsidRDefault="00323483" w:rsidP="008438ED">
            <w:pPr>
              <w:spacing w:line="360" w:lineRule="auto"/>
              <w:jc w:val="center"/>
              <w:rPr>
                <w:rFonts w:ascii="Times New Roman" w:hAnsi="Times New Roman" w:cs="Times New Roman"/>
                <w:sz w:val="24"/>
                <w:szCs w:val="24"/>
              </w:rPr>
            </w:pPr>
            <w:r w:rsidRPr="002C476C">
              <w:rPr>
                <w:rFonts w:ascii="Times New Roman" w:hAnsi="Times New Roman" w:cs="Times New Roman"/>
                <w:b/>
                <w:bCs/>
                <w:sz w:val="24"/>
                <w:szCs w:val="24"/>
              </w:rPr>
              <w:t>Population of earthworm</w:t>
            </w:r>
          </w:p>
        </w:tc>
      </w:tr>
      <w:tr w:rsidR="004F5061" w:rsidRPr="002C476C" w14:paraId="74CCF3C2" w14:textId="77777777" w:rsidTr="00067CDA">
        <w:tc>
          <w:tcPr>
            <w:tcW w:w="5069" w:type="dxa"/>
            <w:vMerge w:val="restart"/>
          </w:tcPr>
          <w:p w14:paraId="2FCF8C55" w14:textId="77777777" w:rsidR="004F5061" w:rsidRPr="002C476C" w:rsidRDefault="004F5061" w:rsidP="008438ED">
            <w:pPr>
              <w:spacing w:line="360" w:lineRule="auto"/>
              <w:rPr>
                <w:rFonts w:ascii="Times New Roman" w:hAnsi="Times New Roman" w:cs="Times New Roman"/>
                <w:sz w:val="24"/>
                <w:szCs w:val="24"/>
              </w:rPr>
            </w:pPr>
            <w:r w:rsidRPr="002C476C">
              <w:rPr>
                <w:rFonts w:ascii="Times New Roman" w:hAnsi="Times New Roman" w:cs="Times New Roman"/>
                <w:b/>
                <w:bCs/>
                <w:sz w:val="24"/>
                <w:szCs w:val="24"/>
              </w:rPr>
              <w:t>Window composition</w:t>
            </w:r>
          </w:p>
        </w:tc>
        <w:tc>
          <w:tcPr>
            <w:tcW w:w="4854" w:type="dxa"/>
            <w:gridSpan w:val="6"/>
          </w:tcPr>
          <w:p w14:paraId="48475D23" w14:textId="77777777" w:rsidR="004F5061" w:rsidRPr="002C476C" w:rsidRDefault="004F5061" w:rsidP="008438ED">
            <w:pPr>
              <w:spacing w:line="360" w:lineRule="auto"/>
              <w:rPr>
                <w:rFonts w:ascii="Times New Roman" w:hAnsi="Times New Roman" w:cs="Times New Roman"/>
                <w:b/>
                <w:bCs/>
                <w:sz w:val="24"/>
                <w:szCs w:val="24"/>
              </w:rPr>
            </w:pPr>
            <w:r w:rsidRPr="002C476C">
              <w:rPr>
                <w:rFonts w:ascii="Times New Roman" w:hAnsi="Times New Roman" w:cs="Times New Roman"/>
                <w:b/>
                <w:bCs/>
                <w:sz w:val="24"/>
                <w:szCs w:val="24"/>
              </w:rPr>
              <w:t>Population of earthworm (adults) per m</w:t>
            </w:r>
            <w:r w:rsidRPr="002C476C">
              <w:rPr>
                <w:rFonts w:ascii="Times New Roman" w:hAnsi="Times New Roman" w:cs="Times New Roman"/>
                <w:b/>
                <w:bCs/>
                <w:sz w:val="24"/>
                <w:szCs w:val="24"/>
                <w:vertAlign w:val="superscript"/>
              </w:rPr>
              <w:t>2</w:t>
            </w:r>
          </w:p>
        </w:tc>
      </w:tr>
      <w:tr w:rsidR="004F5061" w:rsidRPr="002C476C" w14:paraId="407DFC4B" w14:textId="77777777" w:rsidTr="00067CDA">
        <w:tc>
          <w:tcPr>
            <w:tcW w:w="5069" w:type="dxa"/>
            <w:vMerge/>
          </w:tcPr>
          <w:p w14:paraId="75B056D4" w14:textId="77777777" w:rsidR="004F5061" w:rsidRPr="002C476C" w:rsidRDefault="004F5061" w:rsidP="00067CDA">
            <w:pPr>
              <w:spacing w:line="360" w:lineRule="auto"/>
              <w:rPr>
                <w:rFonts w:ascii="Times New Roman" w:hAnsi="Times New Roman" w:cs="Times New Roman"/>
                <w:sz w:val="24"/>
                <w:szCs w:val="24"/>
              </w:rPr>
            </w:pPr>
          </w:p>
        </w:tc>
        <w:tc>
          <w:tcPr>
            <w:tcW w:w="1260" w:type="dxa"/>
          </w:tcPr>
          <w:p w14:paraId="08FFFEE0" w14:textId="5641A5F8" w:rsidR="004F5061" w:rsidRPr="002C476C" w:rsidRDefault="004F5061" w:rsidP="00067CDA">
            <w:pPr>
              <w:spacing w:line="360" w:lineRule="auto"/>
              <w:jc w:val="center"/>
              <w:rPr>
                <w:rFonts w:ascii="Times New Roman" w:hAnsi="Times New Roman" w:cs="Times New Roman"/>
                <w:b/>
                <w:bCs/>
                <w:sz w:val="24"/>
                <w:szCs w:val="24"/>
              </w:rPr>
            </w:pPr>
            <w:r w:rsidRPr="002C476C">
              <w:rPr>
                <w:rFonts w:ascii="Times New Roman" w:hAnsi="Times New Roman" w:cs="Times New Roman"/>
                <w:b/>
                <w:bCs/>
                <w:sz w:val="24"/>
                <w:szCs w:val="24"/>
              </w:rPr>
              <w:t>30</w:t>
            </w:r>
            <w:r>
              <w:rPr>
                <w:rFonts w:ascii="Times New Roman" w:hAnsi="Times New Roman" w:cs="Times New Roman"/>
                <w:b/>
                <w:bCs/>
                <w:sz w:val="24"/>
                <w:szCs w:val="24"/>
              </w:rPr>
              <w:t xml:space="preserve"> DAS</w:t>
            </w:r>
          </w:p>
        </w:tc>
        <w:tc>
          <w:tcPr>
            <w:tcW w:w="1260" w:type="dxa"/>
          </w:tcPr>
          <w:p w14:paraId="5FE19497" w14:textId="35EC9231" w:rsidR="004F5061" w:rsidRPr="002C476C" w:rsidRDefault="004F5061" w:rsidP="00067CDA">
            <w:pPr>
              <w:spacing w:line="360" w:lineRule="auto"/>
              <w:jc w:val="center"/>
              <w:rPr>
                <w:rFonts w:ascii="Times New Roman" w:hAnsi="Times New Roman" w:cs="Times New Roman"/>
                <w:b/>
                <w:bCs/>
                <w:sz w:val="24"/>
                <w:szCs w:val="24"/>
              </w:rPr>
            </w:pPr>
            <w:r w:rsidRPr="002C476C">
              <w:rPr>
                <w:rFonts w:ascii="Times New Roman" w:hAnsi="Times New Roman" w:cs="Times New Roman"/>
                <w:b/>
                <w:bCs/>
                <w:sz w:val="24"/>
                <w:szCs w:val="24"/>
              </w:rPr>
              <w:t>60</w:t>
            </w:r>
            <w:r>
              <w:rPr>
                <w:rFonts w:ascii="Times New Roman" w:hAnsi="Times New Roman" w:cs="Times New Roman"/>
                <w:b/>
                <w:bCs/>
                <w:sz w:val="24"/>
                <w:szCs w:val="24"/>
              </w:rPr>
              <w:t xml:space="preserve"> DAS</w:t>
            </w:r>
          </w:p>
        </w:tc>
        <w:tc>
          <w:tcPr>
            <w:tcW w:w="1080" w:type="dxa"/>
            <w:gridSpan w:val="2"/>
          </w:tcPr>
          <w:p w14:paraId="6C0E4E0D" w14:textId="5DFEEC1A" w:rsidR="004F5061" w:rsidRPr="002C476C" w:rsidRDefault="004F5061" w:rsidP="00067CDA">
            <w:pPr>
              <w:spacing w:line="360" w:lineRule="auto"/>
              <w:jc w:val="center"/>
              <w:rPr>
                <w:rFonts w:ascii="Times New Roman" w:hAnsi="Times New Roman" w:cs="Times New Roman"/>
                <w:b/>
                <w:bCs/>
                <w:sz w:val="24"/>
                <w:szCs w:val="24"/>
              </w:rPr>
            </w:pPr>
            <w:r w:rsidRPr="002C476C">
              <w:rPr>
                <w:rFonts w:ascii="Times New Roman" w:hAnsi="Times New Roman" w:cs="Times New Roman"/>
                <w:b/>
                <w:bCs/>
                <w:sz w:val="24"/>
                <w:szCs w:val="24"/>
              </w:rPr>
              <w:t>90</w:t>
            </w:r>
            <w:r>
              <w:rPr>
                <w:rFonts w:ascii="Times New Roman" w:hAnsi="Times New Roman" w:cs="Times New Roman"/>
                <w:b/>
                <w:bCs/>
                <w:sz w:val="24"/>
                <w:szCs w:val="24"/>
              </w:rPr>
              <w:t xml:space="preserve"> DAS</w:t>
            </w:r>
          </w:p>
        </w:tc>
        <w:tc>
          <w:tcPr>
            <w:tcW w:w="1254" w:type="dxa"/>
            <w:gridSpan w:val="2"/>
          </w:tcPr>
          <w:p w14:paraId="7BD549D2" w14:textId="032F4295" w:rsidR="004F5061" w:rsidRPr="002C476C" w:rsidRDefault="004F5061" w:rsidP="00067CDA">
            <w:pPr>
              <w:spacing w:line="360" w:lineRule="auto"/>
              <w:jc w:val="center"/>
              <w:rPr>
                <w:rFonts w:ascii="Times New Roman" w:hAnsi="Times New Roman" w:cs="Times New Roman"/>
                <w:b/>
                <w:bCs/>
                <w:sz w:val="24"/>
                <w:szCs w:val="24"/>
              </w:rPr>
            </w:pPr>
            <w:r w:rsidRPr="002C476C">
              <w:rPr>
                <w:rFonts w:ascii="Times New Roman" w:hAnsi="Times New Roman" w:cs="Times New Roman"/>
                <w:b/>
                <w:bCs/>
                <w:sz w:val="24"/>
                <w:szCs w:val="24"/>
              </w:rPr>
              <w:t>120</w:t>
            </w:r>
            <w:r>
              <w:rPr>
                <w:rFonts w:ascii="Times New Roman" w:hAnsi="Times New Roman" w:cs="Times New Roman"/>
                <w:b/>
                <w:bCs/>
                <w:sz w:val="24"/>
                <w:szCs w:val="24"/>
              </w:rPr>
              <w:t xml:space="preserve"> DAS</w:t>
            </w:r>
          </w:p>
        </w:tc>
      </w:tr>
      <w:tr w:rsidR="00067CDA" w:rsidRPr="002C476C" w14:paraId="07A769FD" w14:textId="77777777" w:rsidTr="00067CDA">
        <w:tc>
          <w:tcPr>
            <w:tcW w:w="5069" w:type="dxa"/>
          </w:tcPr>
          <w:p w14:paraId="3C449E97" w14:textId="1FFCE38A" w:rsidR="00067CDA" w:rsidRPr="002C476C" w:rsidRDefault="00067CDA" w:rsidP="00067CDA">
            <w:pPr>
              <w:spacing w:line="360" w:lineRule="auto"/>
              <w:rPr>
                <w:rFonts w:ascii="Times New Roman" w:hAnsi="Times New Roman" w:cs="Times New Roman"/>
                <w:sz w:val="24"/>
                <w:szCs w:val="24"/>
              </w:rPr>
            </w:pPr>
            <w:r>
              <w:rPr>
                <w:rFonts w:ascii="Times New Roman" w:hAnsi="Times New Roman" w:cs="Times New Roman"/>
                <w:sz w:val="24"/>
                <w:szCs w:val="24"/>
              </w:rPr>
              <w:t xml:space="preserve">T1: </w:t>
            </w:r>
            <w:r w:rsidRPr="002C476C">
              <w:rPr>
                <w:rFonts w:ascii="Times New Roman" w:hAnsi="Times New Roman" w:cs="Times New Roman"/>
                <w:sz w:val="24"/>
                <w:szCs w:val="24"/>
              </w:rPr>
              <w:t xml:space="preserve">100% Cow Dung+ Earthworm  </w:t>
            </w:r>
          </w:p>
        </w:tc>
        <w:tc>
          <w:tcPr>
            <w:tcW w:w="1260" w:type="dxa"/>
          </w:tcPr>
          <w:p w14:paraId="2F84DC6D" w14:textId="77777777" w:rsidR="00067CDA" w:rsidRPr="002C476C" w:rsidRDefault="00067CDA" w:rsidP="00067CDA">
            <w:pPr>
              <w:spacing w:line="360" w:lineRule="auto"/>
              <w:jc w:val="center"/>
              <w:rPr>
                <w:rFonts w:ascii="Times New Roman" w:hAnsi="Times New Roman" w:cs="Times New Roman"/>
                <w:sz w:val="24"/>
                <w:szCs w:val="24"/>
              </w:rPr>
            </w:pPr>
            <w:r w:rsidRPr="002C476C">
              <w:rPr>
                <w:rFonts w:ascii="Times New Roman" w:hAnsi="Times New Roman" w:cs="Times New Roman"/>
                <w:sz w:val="24"/>
                <w:szCs w:val="24"/>
              </w:rPr>
              <w:t>582</w:t>
            </w:r>
          </w:p>
        </w:tc>
        <w:tc>
          <w:tcPr>
            <w:tcW w:w="1260" w:type="dxa"/>
          </w:tcPr>
          <w:p w14:paraId="170905B6" w14:textId="77777777" w:rsidR="00067CDA" w:rsidRPr="002C476C" w:rsidRDefault="00067CDA" w:rsidP="00067CDA">
            <w:pPr>
              <w:spacing w:line="360" w:lineRule="auto"/>
              <w:jc w:val="center"/>
              <w:rPr>
                <w:rFonts w:ascii="Times New Roman" w:hAnsi="Times New Roman" w:cs="Times New Roman"/>
                <w:sz w:val="24"/>
                <w:szCs w:val="24"/>
              </w:rPr>
            </w:pPr>
            <w:r w:rsidRPr="002C476C">
              <w:rPr>
                <w:rFonts w:ascii="Times New Roman" w:hAnsi="Times New Roman" w:cs="Times New Roman"/>
                <w:sz w:val="24"/>
                <w:szCs w:val="24"/>
              </w:rPr>
              <w:t>699</w:t>
            </w:r>
          </w:p>
        </w:tc>
        <w:tc>
          <w:tcPr>
            <w:tcW w:w="1080" w:type="dxa"/>
            <w:gridSpan w:val="2"/>
          </w:tcPr>
          <w:p w14:paraId="502CCEDD" w14:textId="77777777" w:rsidR="00067CDA" w:rsidRPr="002C476C" w:rsidRDefault="00067CDA" w:rsidP="00067CDA">
            <w:pPr>
              <w:spacing w:line="360" w:lineRule="auto"/>
              <w:jc w:val="center"/>
              <w:rPr>
                <w:rFonts w:ascii="Times New Roman" w:hAnsi="Times New Roman" w:cs="Times New Roman"/>
                <w:sz w:val="24"/>
                <w:szCs w:val="24"/>
              </w:rPr>
            </w:pPr>
            <w:r w:rsidRPr="002C476C">
              <w:rPr>
                <w:rFonts w:ascii="Times New Roman" w:hAnsi="Times New Roman" w:cs="Times New Roman"/>
                <w:sz w:val="24"/>
                <w:szCs w:val="24"/>
              </w:rPr>
              <w:t>804</w:t>
            </w:r>
          </w:p>
        </w:tc>
        <w:tc>
          <w:tcPr>
            <w:tcW w:w="1254" w:type="dxa"/>
            <w:gridSpan w:val="2"/>
          </w:tcPr>
          <w:p w14:paraId="6208D384" w14:textId="77777777" w:rsidR="00067CDA" w:rsidRPr="002C476C" w:rsidRDefault="00067CDA" w:rsidP="00067CDA">
            <w:pPr>
              <w:spacing w:line="360" w:lineRule="auto"/>
              <w:jc w:val="center"/>
              <w:rPr>
                <w:rFonts w:ascii="Times New Roman" w:hAnsi="Times New Roman" w:cs="Times New Roman"/>
                <w:sz w:val="24"/>
                <w:szCs w:val="24"/>
              </w:rPr>
            </w:pPr>
            <w:r w:rsidRPr="002C476C">
              <w:rPr>
                <w:rFonts w:ascii="Times New Roman" w:hAnsi="Times New Roman" w:cs="Times New Roman"/>
                <w:sz w:val="24"/>
                <w:szCs w:val="24"/>
              </w:rPr>
              <w:t>907</w:t>
            </w:r>
          </w:p>
        </w:tc>
      </w:tr>
      <w:tr w:rsidR="00067CDA" w:rsidRPr="002C476C" w14:paraId="56F40262" w14:textId="77777777" w:rsidTr="00067CDA">
        <w:tc>
          <w:tcPr>
            <w:tcW w:w="5069" w:type="dxa"/>
          </w:tcPr>
          <w:p w14:paraId="3C99CC21" w14:textId="1D5621BB" w:rsidR="00067CDA" w:rsidRPr="002C476C" w:rsidRDefault="00067CDA" w:rsidP="00067CDA">
            <w:pPr>
              <w:spacing w:line="360" w:lineRule="auto"/>
              <w:rPr>
                <w:rFonts w:ascii="Times New Roman" w:hAnsi="Times New Roman" w:cs="Times New Roman"/>
                <w:sz w:val="24"/>
                <w:szCs w:val="24"/>
              </w:rPr>
            </w:pPr>
            <w:r>
              <w:rPr>
                <w:rFonts w:ascii="Times New Roman" w:hAnsi="Times New Roman" w:cs="Times New Roman"/>
                <w:sz w:val="24"/>
                <w:szCs w:val="24"/>
              </w:rPr>
              <w:t xml:space="preserve">T2: </w:t>
            </w:r>
            <w:r w:rsidRPr="002C476C">
              <w:rPr>
                <w:rFonts w:ascii="Times New Roman" w:hAnsi="Times New Roman" w:cs="Times New Roman"/>
                <w:sz w:val="24"/>
                <w:szCs w:val="24"/>
              </w:rPr>
              <w:t>100% Cow Dung + Earthworm + 5% P</w:t>
            </w:r>
            <w:r w:rsidRPr="002C476C">
              <w:rPr>
                <w:rFonts w:ascii="Times New Roman" w:hAnsi="Times New Roman" w:cs="Times New Roman"/>
                <w:sz w:val="24"/>
                <w:szCs w:val="24"/>
                <w:vertAlign w:val="subscript"/>
              </w:rPr>
              <w:t>2</w:t>
            </w:r>
            <w:r w:rsidRPr="002C476C">
              <w:rPr>
                <w:rFonts w:ascii="Times New Roman" w:hAnsi="Times New Roman" w:cs="Times New Roman"/>
                <w:sz w:val="24"/>
                <w:szCs w:val="24"/>
              </w:rPr>
              <w:t>O</w:t>
            </w:r>
            <w:r w:rsidRPr="002C476C">
              <w:rPr>
                <w:rFonts w:ascii="Times New Roman" w:hAnsi="Times New Roman" w:cs="Times New Roman"/>
                <w:sz w:val="24"/>
                <w:szCs w:val="24"/>
                <w:vertAlign w:val="subscript"/>
              </w:rPr>
              <w:t xml:space="preserve">5 </w:t>
            </w:r>
            <w:r w:rsidRPr="002C476C">
              <w:rPr>
                <w:rFonts w:ascii="Times New Roman" w:hAnsi="Times New Roman" w:cs="Times New Roman"/>
                <w:sz w:val="24"/>
                <w:szCs w:val="24"/>
              </w:rPr>
              <w:t>(w/w) Rock-Phosphate + PSB (100ml/t waste)</w:t>
            </w:r>
          </w:p>
        </w:tc>
        <w:tc>
          <w:tcPr>
            <w:tcW w:w="1260" w:type="dxa"/>
          </w:tcPr>
          <w:p w14:paraId="7338D0D2" w14:textId="77777777" w:rsidR="00067CDA" w:rsidRPr="002C476C" w:rsidRDefault="00067CDA" w:rsidP="00067CDA">
            <w:pPr>
              <w:spacing w:line="360" w:lineRule="auto"/>
              <w:jc w:val="center"/>
              <w:rPr>
                <w:rFonts w:ascii="Times New Roman" w:hAnsi="Times New Roman" w:cs="Times New Roman"/>
                <w:sz w:val="24"/>
                <w:szCs w:val="24"/>
              </w:rPr>
            </w:pPr>
            <w:r w:rsidRPr="002C476C">
              <w:rPr>
                <w:rFonts w:ascii="Times New Roman" w:hAnsi="Times New Roman" w:cs="Times New Roman"/>
                <w:sz w:val="24"/>
                <w:szCs w:val="24"/>
              </w:rPr>
              <w:t>629</w:t>
            </w:r>
          </w:p>
        </w:tc>
        <w:tc>
          <w:tcPr>
            <w:tcW w:w="1260" w:type="dxa"/>
          </w:tcPr>
          <w:p w14:paraId="65B00963" w14:textId="77777777" w:rsidR="00067CDA" w:rsidRPr="002C476C" w:rsidRDefault="00067CDA" w:rsidP="00067CDA">
            <w:pPr>
              <w:spacing w:line="360" w:lineRule="auto"/>
              <w:jc w:val="center"/>
              <w:rPr>
                <w:rFonts w:ascii="Times New Roman" w:hAnsi="Times New Roman" w:cs="Times New Roman"/>
                <w:sz w:val="24"/>
                <w:szCs w:val="24"/>
              </w:rPr>
            </w:pPr>
            <w:r w:rsidRPr="002C476C">
              <w:rPr>
                <w:rFonts w:ascii="Times New Roman" w:hAnsi="Times New Roman" w:cs="Times New Roman"/>
                <w:sz w:val="24"/>
                <w:szCs w:val="24"/>
              </w:rPr>
              <w:t>782</w:t>
            </w:r>
          </w:p>
        </w:tc>
        <w:tc>
          <w:tcPr>
            <w:tcW w:w="1080" w:type="dxa"/>
            <w:gridSpan w:val="2"/>
          </w:tcPr>
          <w:p w14:paraId="2D6519F8" w14:textId="77777777" w:rsidR="00067CDA" w:rsidRPr="002C476C" w:rsidRDefault="00067CDA" w:rsidP="00067CDA">
            <w:pPr>
              <w:spacing w:line="360" w:lineRule="auto"/>
              <w:jc w:val="center"/>
              <w:rPr>
                <w:rFonts w:ascii="Times New Roman" w:hAnsi="Times New Roman" w:cs="Times New Roman"/>
                <w:sz w:val="24"/>
                <w:szCs w:val="24"/>
              </w:rPr>
            </w:pPr>
            <w:r w:rsidRPr="002C476C">
              <w:rPr>
                <w:rFonts w:ascii="Times New Roman" w:hAnsi="Times New Roman" w:cs="Times New Roman"/>
                <w:sz w:val="24"/>
                <w:szCs w:val="24"/>
              </w:rPr>
              <w:t>866</w:t>
            </w:r>
          </w:p>
        </w:tc>
        <w:tc>
          <w:tcPr>
            <w:tcW w:w="1254" w:type="dxa"/>
            <w:gridSpan w:val="2"/>
          </w:tcPr>
          <w:p w14:paraId="1AA2145D" w14:textId="77777777" w:rsidR="00067CDA" w:rsidRPr="002C476C" w:rsidRDefault="00067CDA" w:rsidP="00067CDA">
            <w:pPr>
              <w:spacing w:line="360" w:lineRule="auto"/>
              <w:jc w:val="center"/>
              <w:rPr>
                <w:rFonts w:ascii="Times New Roman" w:hAnsi="Times New Roman" w:cs="Times New Roman"/>
                <w:sz w:val="24"/>
                <w:szCs w:val="24"/>
              </w:rPr>
            </w:pPr>
            <w:r w:rsidRPr="002C476C">
              <w:rPr>
                <w:rFonts w:ascii="Times New Roman" w:hAnsi="Times New Roman" w:cs="Times New Roman"/>
                <w:sz w:val="24"/>
                <w:szCs w:val="24"/>
              </w:rPr>
              <w:t>992</w:t>
            </w:r>
          </w:p>
        </w:tc>
      </w:tr>
      <w:tr w:rsidR="00067CDA" w:rsidRPr="002C476C" w14:paraId="4741796E" w14:textId="77777777" w:rsidTr="00067CDA">
        <w:tc>
          <w:tcPr>
            <w:tcW w:w="5069" w:type="dxa"/>
          </w:tcPr>
          <w:p w14:paraId="6A0C5832" w14:textId="42D08684" w:rsidR="00067CDA" w:rsidRPr="002C476C" w:rsidRDefault="00067CDA" w:rsidP="00067CDA">
            <w:pPr>
              <w:spacing w:line="360" w:lineRule="auto"/>
              <w:rPr>
                <w:rFonts w:ascii="Times New Roman" w:hAnsi="Times New Roman" w:cs="Times New Roman"/>
                <w:sz w:val="24"/>
                <w:szCs w:val="24"/>
              </w:rPr>
            </w:pPr>
            <w:r>
              <w:rPr>
                <w:rFonts w:ascii="Times New Roman" w:hAnsi="Times New Roman" w:cs="Times New Roman"/>
                <w:sz w:val="24"/>
                <w:szCs w:val="24"/>
              </w:rPr>
              <w:t xml:space="preserve">T3: </w:t>
            </w:r>
            <w:r w:rsidRPr="002C476C">
              <w:rPr>
                <w:rFonts w:ascii="Times New Roman" w:hAnsi="Times New Roman" w:cs="Times New Roman"/>
                <w:sz w:val="24"/>
                <w:szCs w:val="24"/>
              </w:rPr>
              <w:t>40% Agricultural waste + 60% Cow Dung + Earthworm</w:t>
            </w:r>
          </w:p>
        </w:tc>
        <w:tc>
          <w:tcPr>
            <w:tcW w:w="1260" w:type="dxa"/>
          </w:tcPr>
          <w:p w14:paraId="76A053E5" w14:textId="77777777" w:rsidR="00067CDA" w:rsidRPr="002C476C" w:rsidRDefault="00067CDA" w:rsidP="00067CDA">
            <w:pPr>
              <w:spacing w:line="360" w:lineRule="auto"/>
              <w:jc w:val="center"/>
              <w:rPr>
                <w:rFonts w:ascii="Times New Roman" w:hAnsi="Times New Roman" w:cs="Times New Roman"/>
                <w:sz w:val="24"/>
                <w:szCs w:val="24"/>
              </w:rPr>
            </w:pPr>
            <w:r w:rsidRPr="002C476C">
              <w:rPr>
                <w:rFonts w:ascii="Times New Roman" w:hAnsi="Times New Roman" w:cs="Times New Roman"/>
                <w:sz w:val="24"/>
                <w:szCs w:val="24"/>
              </w:rPr>
              <w:t>630</w:t>
            </w:r>
          </w:p>
        </w:tc>
        <w:tc>
          <w:tcPr>
            <w:tcW w:w="1260" w:type="dxa"/>
          </w:tcPr>
          <w:p w14:paraId="7FBF814E" w14:textId="77777777" w:rsidR="00067CDA" w:rsidRPr="002C476C" w:rsidRDefault="00067CDA" w:rsidP="00067CDA">
            <w:pPr>
              <w:spacing w:line="360" w:lineRule="auto"/>
              <w:jc w:val="center"/>
              <w:rPr>
                <w:rFonts w:ascii="Times New Roman" w:hAnsi="Times New Roman" w:cs="Times New Roman"/>
                <w:sz w:val="24"/>
                <w:szCs w:val="24"/>
              </w:rPr>
            </w:pPr>
            <w:r w:rsidRPr="002C476C">
              <w:rPr>
                <w:rFonts w:ascii="Times New Roman" w:hAnsi="Times New Roman" w:cs="Times New Roman"/>
                <w:sz w:val="24"/>
                <w:szCs w:val="24"/>
              </w:rPr>
              <w:t>794</w:t>
            </w:r>
          </w:p>
        </w:tc>
        <w:tc>
          <w:tcPr>
            <w:tcW w:w="1080" w:type="dxa"/>
            <w:gridSpan w:val="2"/>
          </w:tcPr>
          <w:p w14:paraId="70D09D1F" w14:textId="77777777" w:rsidR="00067CDA" w:rsidRPr="002C476C" w:rsidRDefault="00067CDA" w:rsidP="00067CDA">
            <w:pPr>
              <w:spacing w:line="360" w:lineRule="auto"/>
              <w:jc w:val="center"/>
              <w:rPr>
                <w:rFonts w:ascii="Times New Roman" w:hAnsi="Times New Roman" w:cs="Times New Roman"/>
                <w:sz w:val="24"/>
                <w:szCs w:val="24"/>
              </w:rPr>
            </w:pPr>
            <w:r w:rsidRPr="002C476C">
              <w:rPr>
                <w:rFonts w:ascii="Times New Roman" w:hAnsi="Times New Roman" w:cs="Times New Roman"/>
                <w:sz w:val="24"/>
                <w:szCs w:val="24"/>
              </w:rPr>
              <w:t>836</w:t>
            </w:r>
          </w:p>
        </w:tc>
        <w:tc>
          <w:tcPr>
            <w:tcW w:w="1254" w:type="dxa"/>
            <w:gridSpan w:val="2"/>
          </w:tcPr>
          <w:p w14:paraId="0E289DFC" w14:textId="77777777" w:rsidR="00067CDA" w:rsidRPr="002C476C" w:rsidRDefault="00067CDA" w:rsidP="00067CDA">
            <w:pPr>
              <w:spacing w:line="360" w:lineRule="auto"/>
              <w:jc w:val="center"/>
              <w:rPr>
                <w:rFonts w:ascii="Times New Roman" w:hAnsi="Times New Roman" w:cs="Times New Roman"/>
                <w:sz w:val="24"/>
                <w:szCs w:val="24"/>
              </w:rPr>
            </w:pPr>
            <w:r w:rsidRPr="002C476C">
              <w:rPr>
                <w:rFonts w:ascii="Times New Roman" w:hAnsi="Times New Roman" w:cs="Times New Roman"/>
                <w:sz w:val="24"/>
                <w:szCs w:val="24"/>
              </w:rPr>
              <w:t>1000</w:t>
            </w:r>
          </w:p>
        </w:tc>
      </w:tr>
      <w:tr w:rsidR="00067CDA" w:rsidRPr="002C476C" w14:paraId="55395B63" w14:textId="77777777" w:rsidTr="00067CDA">
        <w:tc>
          <w:tcPr>
            <w:tcW w:w="5069" w:type="dxa"/>
          </w:tcPr>
          <w:p w14:paraId="35DC433C" w14:textId="2E2EABF7" w:rsidR="00067CDA" w:rsidRPr="002C476C" w:rsidRDefault="00067CDA" w:rsidP="00067CDA">
            <w:pPr>
              <w:spacing w:line="360" w:lineRule="auto"/>
              <w:rPr>
                <w:rFonts w:ascii="Times New Roman" w:hAnsi="Times New Roman" w:cs="Times New Roman"/>
                <w:sz w:val="24"/>
                <w:szCs w:val="24"/>
              </w:rPr>
            </w:pPr>
            <w:r w:rsidRPr="002C476C">
              <w:rPr>
                <w:rFonts w:ascii="Times New Roman" w:hAnsi="Times New Roman" w:cs="Times New Roman"/>
                <w:sz w:val="24"/>
                <w:szCs w:val="24"/>
              </w:rPr>
              <w:t xml:space="preserve"> </w:t>
            </w:r>
            <w:r>
              <w:rPr>
                <w:rFonts w:ascii="Times New Roman" w:hAnsi="Times New Roman" w:cs="Times New Roman"/>
                <w:sz w:val="24"/>
                <w:szCs w:val="24"/>
              </w:rPr>
              <w:t xml:space="preserve">T4: </w:t>
            </w:r>
            <w:r w:rsidRPr="002C476C">
              <w:rPr>
                <w:rFonts w:ascii="Times New Roman" w:hAnsi="Times New Roman" w:cs="Times New Roman"/>
                <w:sz w:val="24"/>
                <w:szCs w:val="24"/>
              </w:rPr>
              <w:t>40% Agricultural waste + 60%Cow Dung + Earthworm + 5%P</w:t>
            </w:r>
            <w:r w:rsidRPr="002C476C">
              <w:rPr>
                <w:rFonts w:ascii="Times New Roman" w:hAnsi="Times New Roman" w:cs="Times New Roman"/>
                <w:sz w:val="24"/>
                <w:szCs w:val="24"/>
                <w:vertAlign w:val="subscript"/>
              </w:rPr>
              <w:t>2</w:t>
            </w:r>
            <w:r w:rsidRPr="002C476C">
              <w:rPr>
                <w:rFonts w:ascii="Times New Roman" w:hAnsi="Times New Roman" w:cs="Times New Roman"/>
                <w:sz w:val="24"/>
                <w:szCs w:val="24"/>
              </w:rPr>
              <w:t>O</w:t>
            </w:r>
            <w:r w:rsidRPr="002C476C">
              <w:rPr>
                <w:rFonts w:ascii="Times New Roman" w:hAnsi="Times New Roman" w:cs="Times New Roman"/>
                <w:sz w:val="24"/>
                <w:szCs w:val="24"/>
                <w:vertAlign w:val="subscript"/>
              </w:rPr>
              <w:t xml:space="preserve">5 </w:t>
            </w:r>
            <w:r w:rsidRPr="002C476C">
              <w:rPr>
                <w:rFonts w:ascii="Times New Roman" w:hAnsi="Times New Roman" w:cs="Times New Roman"/>
                <w:sz w:val="24"/>
                <w:szCs w:val="24"/>
              </w:rPr>
              <w:t xml:space="preserve">(w/w) Rock-Phosphate + PSB (100ml/t waste)  </w:t>
            </w:r>
          </w:p>
        </w:tc>
        <w:tc>
          <w:tcPr>
            <w:tcW w:w="1260" w:type="dxa"/>
          </w:tcPr>
          <w:p w14:paraId="5E0C1934" w14:textId="77777777" w:rsidR="00067CDA" w:rsidRPr="002C476C" w:rsidRDefault="00067CDA" w:rsidP="00067CDA">
            <w:pPr>
              <w:spacing w:line="360" w:lineRule="auto"/>
              <w:jc w:val="center"/>
              <w:rPr>
                <w:rFonts w:ascii="Times New Roman" w:hAnsi="Times New Roman" w:cs="Times New Roman"/>
                <w:sz w:val="24"/>
                <w:szCs w:val="24"/>
              </w:rPr>
            </w:pPr>
            <w:r w:rsidRPr="002C476C">
              <w:rPr>
                <w:rFonts w:ascii="Times New Roman" w:hAnsi="Times New Roman" w:cs="Times New Roman"/>
                <w:sz w:val="24"/>
                <w:szCs w:val="24"/>
              </w:rPr>
              <w:t>678</w:t>
            </w:r>
          </w:p>
        </w:tc>
        <w:tc>
          <w:tcPr>
            <w:tcW w:w="1260" w:type="dxa"/>
          </w:tcPr>
          <w:p w14:paraId="112FD9E1" w14:textId="77777777" w:rsidR="00067CDA" w:rsidRPr="002C476C" w:rsidRDefault="00067CDA" w:rsidP="00067CDA">
            <w:pPr>
              <w:spacing w:line="360" w:lineRule="auto"/>
              <w:jc w:val="center"/>
              <w:rPr>
                <w:rFonts w:ascii="Times New Roman" w:hAnsi="Times New Roman" w:cs="Times New Roman"/>
                <w:sz w:val="24"/>
                <w:szCs w:val="24"/>
              </w:rPr>
            </w:pPr>
            <w:r w:rsidRPr="002C476C">
              <w:rPr>
                <w:rFonts w:ascii="Times New Roman" w:hAnsi="Times New Roman" w:cs="Times New Roman"/>
                <w:sz w:val="24"/>
                <w:szCs w:val="24"/>
              </w:rPr>
              <w:t>859</w:t>
            </w:r>
          </w:p>
        </w:tc>
        <w:tc>
          <w:tcPr>
            <w:tcW w:w="1080" w:type="dxa"/>
            <w:gridSpan w:val="2"/>
          </w:tcPr>
          <w:p w14:paraId="73C6351F" w14:textId="77777777" w:rsidR="00067CDA" w:rsidRPr="002C476C" w:rsidRDefault="00067CDA" w:rsidP="00067CDA">
            <w:pPr>
              <w:spacing w:line="360" w:lineRule="auto"/>
              <w:jc w:val="center"/>
              <w:rPr>
                <w:rFonts w:ascii="Times New Roman" w:hAnsi="Times New Roman" w:cs="Times New Roman"/>
                <w:sz w:val="24"/>
                <w:szCs w:val="24"/>
              </w:rPr>
            </w:pPr>
            <w:r w:rsidRPr="002C476C">
              <w:rPr>
                <w:rFonts w:ascii="Times New Roman" w:hAnsi="Times New Roman" w:cs="Times New Roman"/>
                <w:sz w:val="24"/>
                <w:szCs w:val="24"/>
              </w:rPr>
              <w:t>899</w:t>
            </w:r>
          </w:p>
        </w:tc>
        <w:tc>
          <w:tcPr>
            <w:tcW w:w="1254" w:type="dxa"/>
            <w:gridSpan w:val="2"/>
          </w:tcPr>
          <w:p w14:paraId="15F0E2CC" w14:textId="77777777" w:rsidR="00067CDA" w:rsidRPr="002C476C" w:rsidRDefault="00067CDA" w:rsidP="00067CDA">
            <w:pPr>
              <w:spacing w:line="360" w:lineRule="auto"/>
              <w:jc w:val="center"/>
              <w:rPr>
                <w:rFonts w:ascii="Times New Roman" w:hAnsi="Times New Roman" w:cs="Times New Roman"/>
                <w:sz w:val="24"/>
                <w:szCs w:val="24"/>
              </w:rPr>
            </w:pPr>
            <w:r w:rsidRPr="002C476C">
              <w:rPr>
                <w:rFonts w:ascii="Times New Roman" w:hAnsi="Times New Roman" w:cs="Times New Roman"/>
                <w:sz w:val="24"/>
                <w:szCs w:val="24"/>
              </w:rPr>
              <w:t>1045</w:t>
            </w:r>
          </w:p>
        </w:tc>
      </w:tr>
      <w:tr w:rsidR="00067CDA" w:rsidRPr="002C476C" w14:paraId="607E151D" w14:textId="77777777" w:rsidTr="00067CDA">
        <w:tc>
          <w:tcPr>
            <w:tcW w:w="5069" w:type="dxa"/>
          </w:tcPr>
          <w:p w14:paraId="1473D669" w14:textId="2E30A761" w:rsidR="00067CDA" w:rsidRPr="002C476C" w:rsidRDefault="00067CDA" w:rsidP="00067CDA">
            <w:pPr>
              <w:spacing w:line="360" w:lineRule="auto"/>
              <w:rPr>
                <w:rFonts w:ascii="Times New Roman" w:hAnsi="Times New Roman" w:cs="Times New Roman"/>
                <w:b/>
                <w:sz w:val="24"/>
                <w:szCs w:val="24"/>
              </w:rPr>
            </w:pPr>
            <w:r>
              <w:rPr>
                <w:rFonts w:ascii="Times New Roman" w:hAnsi="Times New Roman" w:cs="Times New Roman"/>
                <w:sz w:val="24"/>
                <w:szCs w:val="24"/>
              </w:rPr>
              <w:t xml:space="preserve">T5: </w:t>
            </w:r>
            <w:r w:rsidRPr="002C476C">
              <w:rPr>
                <w:rFonts w:ascii="Times New Roman" w:hAnsi="Times New Roman" w:cs="Times New Roman"/>
                <w:sz w:val="24"/>
                <w:szCs w:val="24"/>
              </w:rPr>
              <w:t xml:space="preserve">100% Cow Dung+ Earthworm  </w:t>
            </w:r>
          </w:p>
        </w:tc>
        <w:tc>
          <w:tcPr>
            <w:tcW w:w="1260" w:type="dxa"/>
          </w:tcPr>
          <w:p w14:paraId="3AF52DC5" w14:textId="77777777" w:rsidR="00067CDA" w:rsidRPr="002C476C" w:rsidRDefault="00067CDA" w:rsidP="00067CDA">
            <w:pPr>
              <w:spacing w:line="360" w:lineRule="auto"/>
              <w:jc w:val="center"/>
              <w:rPr>
                <w:rFonts w:ascii="Times New Roman" w:hAnsi="Times New Roman" w:cs="Times New Roman"/>
                <w:sz w:val="24"/>
                <w:szCs w:val="24"/>
              </w:rPr>
            </w:pPr>
            <w:r w:rsidRPr="002C476C">
              <w:rPr>
                <w:rFonts w:ascii="Times New Roman" w:hAnsi="Times New Roman" w:cs="Times New Roman"/>
                <w:sz w:val="24"/>
                <w:szCs w:val="24"/>
              </w:rPr>
              <w:t>630</w:t>
            </w:r>
          </w:p>
        </w:tc>
        <w:tc>
          <w:tcPr>
            <w:tcW w:w="1260" w:type="dxa"/>
          </w:tcPr>
          <w:p w14:paraId="6AE9BE2C" w14:textId="77777777" w:rsidR="00067CDA" w:rsidRPr="002C476C" w:rsidRDefault="00067CDA" w:rsidP="00067CDA">
            <w:pPr>
              <w:spacing w:line="360" w:lineRule="auto"/>
              <w:jc w:val="center"/>
              <w:rPr>
                <w:rFonts w:ascii="Times New Roman" w:hAnsi="Times New Roman" w:cs="Times New Roman"/>
                <w:sz w:val="24"/>
                <w:szCs w:val="24"/>
              </w:rPr>
            </w:pPr>
            <w:r w:rsidRPr="002C476C">
              <w:rPr>
                <w:rFonts w:ascii="Times New Roman" w:hAnsi="Times New Roman" w:cs="Times New Roman"/>
                <w:sz w:val="24"/>
                <w:szCs w:val="24"/>
              </w:rPr>
              <w:t>784</w:t>
            </w:r>
          </w:p>
        </w:tc>
        <w:tc>
          <w:tcPr>
            <w:tcW w:w="1080" w:type="dxa"/>
            <w:gridSpan w:val="2"/>
          </w:tcPr>
          <w:p w14:paraId="2431957F" w14:textId="77777777" w:rsidR="00067CDA" w:rsidRPr="002C476C" w:rsidRDefault="00067CDA" w:rsidP="00067CDA">
            <w:pPr>
              <w:spacing w:line="360" w:lineRule="auto"/>
              <w:jc w:val="center"/>
              <w:rPr>
                <w:rFonts w:ascii="Times New Roman" w:hAnsi="Times New Roman" w:cs="Times New Roman"/>
                <w:sz w:val="24"/>
                <w:szCs w:val="24"/>
              </w:rPr>
            </w:pPr>
            <w:r w:rsidRPr="002C476C">
              <w:rPr>
                <w:rFonts w:ascii="Times New Roman" w:hAnsi="Times New Roman" w:cs="Times New Roman"/>
                <w:sz w:val="24"/>
                <w:szCs w:val="24"/>
              </w:rPr>
              <w:t>851</w:t>
            </w:r>
          </w:p>
        </w:tc>
        <w:tc>
          <w:tcPr>
            <w:tcW w:w="1254" w:type="dxa"/>
            <w:gridSpan w:val="2"/>
          </w:tcPr>
          <w:p w14:paraId="1D40F830" w14:textId="77777777" w:rsidR="00067CDA" w:rsidRPr="002C476C" w:rsidRDefault="00067CDA" w:rsidP="00067CDA">
            <w:pPr>
              <w:spacing w:line="360" w:lineRule="auto"/>
              <w:jc w:val="center"/>
              <w:rPr>
                <w:rFonts w:ascii="Times New Roman" w:hAnsi="Times New Roman" w:cs="Times New Roman"/>
                <w:sz w:val="24"/>
                <w:szCs w:val="24"/>
              </w:rPr>
            </w:pPr>
            <w:r w:rsidRPr="002C476C">
              <w:rPr>
                <w:rFonts w:ascii="Times New Roman" w:hAnsi="Times New Roman" w:cs="Times New Roman"/>
                <w:sz w:val="24"/>
                <w:szCs w:val="24"/>
              </w:rPr>
              <w:t>986</w:t>
            </w:r>
          </w:p>
        </w:tc>
      </w:tr>
      <w:tr w:rsidR="00323483" w:rsidRPr="002C476C" w14:paraId="1E5F4D10" w14:textId="77777777" w:rsidTr="00067CDA">
        <w:tc>
          <w:tcPr>
            <w:tcW w:w="5069" w:type="dxa"/>
          </w:tcPr>
          <w:p w14:paraId="5FFCE4E8" w14:textId="77777777" w:rsidR="00323483" w:rsidRPr="002C476C" w:rsidRDefault="00323483" w:rsidP="008438ED">
            <w:pPr>
              <w:spacing w:line="360" w:lineRule="auto"/>
              <w:rPr>
                <w:rFonts w:ascii="Times New Roman" w:hAnsi="Times New Roman" w:cs="Times New Roman"/>
                <w:b/>
                <w:sz w:val="24"/>
                <w:szCs w:val="24"/>
              </w:rPr>
            </w:pPr>
            <w:proofErr w:type="spellStart"/>
            <w:r w:rsidRPr="002C476C">
              <w:rPr>
                <w:rFonts w:ascii="Times New Roman" w:hAnsi="Times New Roman" w:cs="Times New Roman"/>
                <w:b/>
                <w:sz w:val="24"/>
                <w:szCs w:val="24"/>
              </w:rPr>
              <w:t>SEm</w:t>
            </w:r>
            <w:proofErr w:type="spellEnd"/>
            <w:r w:rsidRPr="002C476C">
              <w:rPr>
                <w:rFonts w:ascii="Times New Roman" w:hAnsi="Times New Roman" w:cs="Times New Roman"/>
                <w:b/>
                <w:sz w:val="24"/>
                <w:szCs w:val="24"/>
              </w:rPr>
              <w:t xml:space="preserve"> ±                                                              </w:t>
            </w:r>
          </w:p>
        </w:tc>
        <w:tc>
          <w:tcPr>
            <w:tcW w:w="1260" w:type="dxa"/>
          </w:tcPr>
          <w:p w14:paraId="03E67D4A" w14:textId="77777777" w:rsidR="00323483" w:rsidRPr="002C476C" w:rsidRDefault="00323483" w:rsidP="008438ED">
            <w:pPr>
              <w:spacing w:line="360" w:lineRule="auto"/>
              <w:jc w:val="center"/>
              <w:rPr>
                <w:rFonts w:ascii="Times New Roman" w:hAnsi="Times New Roman" w:cs="Times New Roman"/>
                <w:sz w:val="24"/>
                <w:szCs w:val="24"/>
              </w:rPr>
            </w:pPr>
            <w:r w:rsidRPr="002C476C">
              <w:rPr>
                <w:rFonts w:ascii="Times New Roman" w:hAnsi="Times New Roman" w:cs="Times New Roman"/>
                <w:sz w:val="24"/>
                <w:szCs w:val="24"/>
              </w:rPr>
              <w:t>26.99</w:t>
            </w:r>
          </w:p>
        </w:tc>
        <w:tc>
          <w:tcPr>
            <w:tcW w:w="1260" w:type="dxa"/>
          </w:tcPr>
          <w:p w14:paraId="3C612DAA" w14:textId="77777777" w:rsidR="00323483" w:rsidRPr="002C476C" w:rsidRDefault="00323483" w:rsidP="008438ED">
            <w:pPr>
              <w:spacing w:line="360" w:lineRule="auto"/>
              <w:jc w:val="center"/>
              <w:rPr>
                <w:rFonts w:ascii="Times New Roman" w:hAnsi="Times New Roman" w:cs="Times New Roman"/>
                <w:sz w:val="24"/>
                <w:szCs w:val="24"/>
              </w:rPr>
            </w:pPr>
            <w:r w:rsidRPr="002C476C">
              <w:rPr>
                <w:rFonts w:ascii="Times New Roman" w:hAnsi="Times New Roman" w:cs="Times New Roman"/>
                <w:sz w:val="24"/>
                <w:szCs w:val="24"/>
              </w:rPr>
              <w:t>29.57</w:t>
            </w:r>
          </w:p>
        </w:tc>
        <w:tc>
          <w:tcPr>
            <w:tcW w:w="1080" w:type="dxa"/>
            <w:gridSpan w:val="2"/>
          </w:tcPr>
          <w:p w14:paraId="7721ABEB" w14:textId="77777777" w:rsidR="00323483" w:rsidRPr="002C476C" w:rsidRDefault="00323483" w:rsidP="008438ED">
            <w:pPr>
              <w:spacing w:line="360" w:lineRule="auto"/>
              <w:jc w:val="center"/>
              <w:rPr>
                <w:rFonts w:ascii="Times New Roman" w:hAnsi="Times New Roman" w:cs="Times New Roman"/>
                <w:sz w:val="24"/>
                <w:szCs w:val="24"/>
              </w:rPr>
            </w:pPr>
            <w:r w:rsidRPr="002C476C">
              <w:rPr>
                <w:rFonts w:ascii="Times New Roman" w:hAnsi="Times New Roman" w:cs="Times New Roman"/>
                <w:sz w:val="24"/>
                <w:szCs w:val="24"/>
              </w:rPr>
              <w:t>27.35</w:t>
            </w:r>
          </w:p>
        </w:tc>
        <w:tc>
          <w:tcPr>
            <w:tcW w:w="1254" w:type="dxa"/>
            <w:gridSpan w:val="2"/>
          </w:tcPr>
          <w:p w14:paraId="61CD5C6B" w14:textId="77777777" w:rsidR="00323483" w:rsidRPr="002C476C" w:rsidRDefault="00323483" w:rsidP="008438ED">
            <w:pPr>
              <w:spacing w:line="360" w:lineRule="auto"/>
              <w:jc w:val="center"/>
              <w:rPr>
                <w:rFonts w:ascii="Times New Roman" w:hAnsi="Times New Roman" w:cs="Times New Roman"/>
                <w:sz w:val="24"/>
                <w:szCs w:val="24"/>
              </w:rPr>
            </w:pPr>
            <w:r w:rsidRPr="002C476C">
              <w:rPr>
                <w:rFonts w:ascii="Times New Roman" w:hAnsi="Times New Roman" w:cs="Times New Roman"/>
                <w:sz w:val="24"/>
                <w:szCs w:val="24"/>
              </w:rPr>
              <w:t>11.14</w:t>
            </w:r>
          </w:p>
        </w:tc>
      </w:tr>
      <w:tr w:rsidR="00323483" w:rsidRPr="002C476C" w14:paraId="6BDB2BB2" w14:textId="77777777" w:rsidTr="00067CDA">
        <w:tc>
          <w:tcPr>
            <w:tcW w:w="5069" w:type="dxa"/>
          </w:tcPr>
          <w:p w14:paraId="491C30A2" w14:textId="77777777" w:rsidR="00323483" w:rsidRPr="002C476C" w:rsidRDefault="00323483" w:rsidP="008438ED">
            <w:pPr>
              <w:spacing w:line="360" w:lineRule="auto"/>
              <w:rPr>
                <w:rFonts w:ascii="Times New Roman" w:hAnsi="Times New Roman" w:cs="Times New Roman"/>
                <w:b/>
                <w:sz w:val="24"/>
                <w:szCs w:val="24"/>
              </w:rPr>
            </w:pPr>
            <w:proofErr w:type="gramStart"/>
            <w:r w:rsidRPr="002C476C">
              <w:rPr>
                <w:rFonts w:ascii="Times New Roman" w:hAnsi="Times New Roman" w:cs="Times New Roman"/>
                <w:b/>
                <w:sz w:val="24"/>
                <w:szCs w:val="24"/>
              </w:rPr>
              <w:t>CD(</w:t>
            </w:r>
            <w:proofErr w:type="gramEnd"/>
            <w:r w:rsidRPr="002C476C">
              <w:rPr>
                <w:rFonts w:ascii="Times New Roman" w:hAnsi="Times New Roman" w:cs="Times New Roman"/>
                <w:b/>
                <w:sz w:val="24"/>
                <w:szCs w:val="24"/>
              </w:rPr>
              <w:t>0.05)</w:t>
            </w:r>
          </w:p>
        </w:tc>
        <w:tc>
          <w:tcPr>
            <w:tcW w:w="1260" w:type="dxa"/>
          </w:tcPr>
          <w:p w14:paraId="59829E2D" w14:textId="77777777" w:rsidR="00323483" w:rsidRPr="002C476C" w:rsidRDefault="00323483" w:rsidP="008438ED">
            <w:pPr>
              <w:spacing w:line="360" w:lineRule="auto"/>
              <w:jc w:val="center"/>
              <w:rPr>
                <w:rFonts w:ascii="Times New Roman" w:hAnsi="Times New Roman" w:cs="Times New Roman"/>
                <w:sz w:val="24"/>
                <w:szCs w:val="24"/>
              </w:rPr>
            </w:pPr>
            <w:r w:rsidRPr="002C476C">
              <w:rPr>
                <w:rFonts w:ascii="Times New Roman" w:hAnsi="Times New Roman" w:cs="Times New Roman"/>
                <w:sz w:val="24"/>
                <w:szCs w:val="24"/>
              </w:rPr>
              <w:t>2.18</w:t>
            </w:r>
          </w:p>
        </w:tc>
        <w:tc>
          <w:tcPr>
            <w:tcW w:w="1260" w:type="dxa"/>
          </w:tcPr>
          <w:p w14:paraId="02FB10B3" w14:textId="77777777" w:rsidR="00323483" w:rsidRPr="002C476C" w:rsidRDefault="00323483" w:rsidP="008438ED">
            <w:pPr>
              <w:spacing w:line="360" w:lineRule="auto"/>
              <w:jc w:val="center"/>
              <w:rPr>
                <w:rFonts w:ascii="Times New Roman" w:hAnsi="Times New Roman" w:cs="Times New Roman"/>
                <w:sz w:val="24"/>
                <w:szCs w:val="24"/>
              </w:rPr>
            </w:pPr>
            <w:r w:rsidRPr="002C476C">
              <w:rPr>
                <w:rFonts w:ascii="Times New Roman" w:hAnsi="Times New Roman" w:cs="Times New Roman"/>
                <w:sz w:val="24"/>
                <w:szCs w:val="24"/>
              </w:rPr>
              <w:t>2.17</w:t>
            </w:r>
          </w:p>
        </w:tc>
        <w:tc>
          <w:tcPr>
            <w:tcW w:w="1080" w:type="dxa"/>
            <w:gridSpan w:val="2"/>
          </w:tcPr>
          <w:p w14:paraId="74BC492A" w14:textId="77777777" w:rsidR="00323483" w:rsidRPr="002C476C" w:rsidRDefault="00323483" w:rsidP="008438ED">
            <w:pPr>
              <w:spacing w:line="360" w:lineRule="auto"/>
              <w:jc w:val="center"/>
              <w:rPr>
                <w:rFonts w:ascii="Times New Roman" w:hAnsi="Times New Roman" w:cs="Times New Roman"/>
                <w:sz w:val="24"/>
                <w:szCs w:val="24"/>
              </w:rPr>
            </w:pPr>
            <w:r w:rsidRPr="002C476C">
              <w:rPr>
                <w:rFonts w:ascii="Times New Roman" w:hAnsi="Times New Roman" w:cs="Times New Roman"/>
                <w:sz w:val="24"/>
                <w:szCs w:val="24"/>
              </w:rPr>
              <w:t>2.17</w:t>
            </w:r>
          </w:p>
        </w:tc>
        <w:tc>
          <w:tcPr>
            <w:tcW w:w="1254" w:type="dxa"/>
            <w:gridSpan w:val="2"/>
          </w:tcPr>
          <w:p w14:paraId="764FBB8E" w14:textId="77777777" w:rsidR="00323483" w:rsidRPr="002C476C" w:rsidRDefault="00323483" w:rsidP="008438ED">
            <w:pPr>
              <w:spacing w:line="360" w:lineRule="auto"/>
              <w:jc w:val="center"/>
              <w:rPr>
                <w:rFonts w:ascii="Times New Roman" w:hAnsi="Times New Roman" w:cs="Times New Roman"/>
                <w:sz w:val="24"/>
                <w:szCs w:val="24"/>
              </w:rPr>
            </w:pPr>
            <w:r w:rsidRPr="002C476C">
              <w:rPr>
                <w:rFonts w:ascii="Times New Roman" w:hAnsi="Times New Roman" w:cs="Times New Roman"/>
                <w:sz w:val="24"/>
                <w:szCs w:val="24"/>
              </w:rPr>
              <w:t>2.18</w:t>
            </w:r>
          </w:p>
        </w:tc>
      </w:tr>
    </w:tbl>
    <w:p w14:paraId="52284845" w14:textId="77777777" w:rsidR="006475C9" w:rsidRDefault="006475C9" w:rsidP="008438ED">
      <w:pPr>
        <w:autoSpaceDE w:val="0"/>
        <w:autoSpaceDN w:val="0"/>
        <w:adjustRightInd w:val="0"/>
        <w:spacing w:line="360" w:lineRule="auto"/>
        <w:jc w:val="both"/>
        <w:rPr>
          <w:rFonts w:ascii="Times New Roman" w:hAnsi="Times New Roman" w:cs="Times New Roman"/>
          <w:b/>
          <w:bCs/>
          <w:color w:val="090909"/>
          <w:sz w:val="24"/>
          <w:szCs w:val="24"/>
        </w:rPr>
      </w:pPr>
    </w:p>
    <w:p w14:paraId="1CD34A4B" w14:textId="73076D2B" w:rsidR="00414E4F" w:rsidRDefault="00414E4F" w:rsidP="008438ED">
      <w:pPr>
        <w:autoSpaceDE w:val="0"/>
        <w:autoSpaceDN w:val="0"/>
        <w:adjustRightInd w:val="0"/>
        <w:spacing w:line="360" w:lineRule="auto"/>
        <w:jc w:val="both"/>
        <w:rPr>
          <w:rFonts w:ascii="Times New Roman" w:hAnsi="Times New Roman" w:cs="Times New Roman"/>
          <w:b/>
          <w:bCs/>
          <w:color w:val="090909"/>
          <w:sz w:val="24"/>
          <w:szCs w:val="24"/>
        </w:rPr>
      </w:pPr>
      <w:r>
        <w:rPr>
          <w:noProof/>
        </w:rPr>
        <w:lastRenderedPageBreak/>
        <w:drawing>
          <wp:inline distT="0" distB="0" distL="0" distR="0" wp14:anchorId="7EF3FC82" wp14:editId="117BA1BA">
            <wp:extent cx="5667375" cy="4524375"/>
            <wp:effectExtent l="0" t="0" r="9525" b="9525"/>
            <wp:docPr id="821894950" name="Chart 1">
              <a:extLst xmlns:a="http://schemas.openxmlformats.org/drawingml/2006/main">
                <a:ext uri="{FF2B5EF4-FFF2-40B4-BE49-F238E27FC236}">
                  <a16:creationId xmlns:a16="http://schemas.microsoft.com/office/drawing/2014/main" id="{DB3D9FA1-8974-343C-F49F-C66EE2F323D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C476B39" w14:textId="77777777" w:rsidR="00414E4F" w:rsidRPr="002C476C" w:rsidRDefault="00414E4F" w:rsidP="008438ED">
      <w:pPr>
        <w:autoSpaceDE w:val="0"/>
        <w:autoSpaceDN w:val="0"/>
        <w:adjustRightInd w:val="0"/>
        <w:spacing w:line="360" w:lineRule="auto"/>
        <w:jc w:val="both"/>
        <w:rPr>
          <w:rFonts w:ascii="Times New Roman" w:hAnsi="Times New Roman" w:cs="Times New Roman"/>
          <w:b/>
          <w:bCs/>
          <w:color w:val="090909"/>
          <w:sz w:val="24"/>
          <w:szCs w:val="24"/>
        </w:rPr>
      </w:pPr>
    </w:p>
    <w:sectPr w:rsidR="00414E4F" w:rsidRPr="002C476C" w:rsidSect="00EC1B25">
      <w:headerReference w:type="even" r:id="rId14"/>
      <w:headerReference w:type="default" r:id="rId15"/>
      <w:footerReference w:type="even" r:id="rId16"/>
      <w:footerReference w:type="default" r:id="rId17"/>
      <w:headerReference w:type="first" r:id="rId18"/>
      <w:footerReference w:type="first" r:id="rId19"/>
      <w:pgSz w:w="12240" w:h="15840"/>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07462" w14:textId="77777777" w:rsidR="00440537" w:rsidRDefault="00440537" w:rsidP="005D19E3">
      <w:pPr>
        <w:spacing w:after="0" w:line="240" w:lineRule="auto"/>
      </w:pPr>
      <w:r>
        <w:separator/>
      </w:r>
    </w:p>
  </w:endnote>
  <w:endnote w:type="continuationSeparator" w:id="0">
    <w:p w14:paraId="0CC725BD" w14:textId="77777777" w:rsidR="00440537" w:rsidRDefault="00440537" w:rsidP="005D19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harisSIL">
    <w:altName w:val="MS Gothic"/>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70025" w14:textId="77777777" w:rsidR="000510AF" w:rsidRDefault="000510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CDACC" w14:textId="77777777" w:rsidR="000510AF" w:rsidRDefault="000510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F5ED6" w14:textId="77777777" w:rsidR="000510AF" w:rsidRDefault="000510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2559E" w14:textId="77777777" w:rsidR="00440537" w:rsidRDefault="00440537" w:rsidP="005D19E3">
      <w:pPr>
        <w:spacing w:after="0" w:line="240" w:lineRule="auto"/>
      </w:pPr>
      <w:r>
        <w:separator/>
      </w:r>
    </w:p>
  </w:footnote>
  <w:footnote w:type="continuationSeparator" w:id="0">
    <w:p w14:paraId="2CCB0EB4" w14:textId="77777777" w:rsidR="00440537" w:rsidRDefault="00440537" w:rsidP="005D19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4CA16" w14:textId="120DD2C4" w:rsidR="000510AF" w:rsidRDefault="00000000">
    <w:pPr>
      <w:pStyle w:val="Header"/>
    </w:pPr>
    <w:r>
      <w:rPr>
        <w:noProof/>
      </w:rPr>
      <w:pict w14:anchorId="16F6B8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9620579"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AF7A6" w14:textId="4C3F5007" w:rsidR="000510AF" w:rsidRDefault="00000000">
    <w:pPr>
      <w:pStyle w:val="Header"/>
    </w:pPr>
    <w:r>
      <w:rPr>
        <w:noProof/>
      </w:rPr>
      <w:pict w14:anchorId="31595C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9620580"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6A01B" w14:textId="73C391D2" w:rsidR="000510AF" w:rsidRDefault="00000000">
    <w:pPr>
      <w:pStyle w:val="Header"/>
    </w:pPr>
    <w:r>
      <w:rPr>
        <w:noProof/>
      </w:rPr>
      <w:pict w14:anchorId="0538EC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9620578"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55B55"/>
    <w:multiLevelType w:val="multilevel"/>
    <w:tmpl w:val="1D6E8924"/>
    <w:lvl w:ilvl="0">
      <w:start w:val="1"/>
      <w:numFmt w:val="decimal"/>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50E531FF"/>
    <w:multiLevelType w:val="hybridMultilevel"/>
    <w:tmpl w:val="0D3865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D862D6"/>
    <w:multiLevelType w:val="hybridMultilevel"/>
    <w:tmpl w:val="0D3865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D515FE4"/>
    <w:multiLevelType w:val="hybridMultilevel"/>
    <w:tmpl w:val="30F6B5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6221334">
    <w:abstractNumId w:val="0"/>
  </w:num>
  <w:num w:numId="2" w16cid:durableId="1181814964">
    <w:abstractNumId w:val="3"/>
  </w:num>
  <w:num w:numId="3" w16cid:durableId="1948195021">
    <w:abstractNumId w:val="2"/>
  </w:num>
  <w:num w:numId="4" w16cid:durableId="12124236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B24"/>
    <w:rsid w:val="00006FBA"/>
    <w:rsid w:val="00021902"/>
    <w:rsid w:val="000311EC"/>
    <w:rsid w:val="000510AF"/>
    <w:rsid w:val="00052057"/>
    <w:rsid w:val="000678B9"/>
    <w:rsid w:val="00067CDA"/>
    <w:rsid w:val="00075BBA"/>
    <w:rsid w:val="00095F99"/>
    <w:rsid w:val="000D0F0C"/>
    <w:rsid w:val="000F3F45"/>
    <w:rsid w:val="000F5F81"/>
    <w:rsid w:val="00126FA8"/>
    <w:rsid w:val="00132EE2"/>
    <w:rsid w:val="0014381A"/>
    <w:rsid w:val="001552E8"/>
    <w:rsid w:val="00173FC8"/>
    <w:rsid w:val="001D7482"/>
    <w:rsid w:val="001E1B99"/>
    <w:rsid w:val="001E5835"/>
    <w:rsid w:val="001E5AE0"/>
    <w:rsid w:val="002161BD"/>
    <w:rsid w:val="0022696E"/>
    <w:rsid w:val="0023554D"/>
    <w:rsid w:val="00255F5A"/>
    <w:rsid w:val="002616EF"/>
    <w:rsid w:val="0028610D"/>
    <w:rsid w:val="002C476C"/>
    <w:rsid w:val="002D0EA8"/>
    <w:rsid w:val="002E5107"/>
    <w:rsid w:val="00306A78"/>
    <w:rsid w:val="00323483"/>
    <w:rsid w:val="00340864"/>
    <w:rsid w:val="00341426"/>
    <w:rsid w:val="003456E9"/>
    <w:rsid w:val="0036138B"/>
    <w:rsid w:val="00366860"/>
    <w:rsid w:val="00370F0F"/>
    <w:rsid w:val="00373AE7"/>
    <w:rsid w:val="003764F1"/>
    <w:rsid w:val="003A5255"/>
    <w:rsid w:val="003A5440"/>
    <w:rsid w:val="003F4504"/>
    <w:rsid w:val="00414E4F"/>
    <w:rsid w:val="004261D0"/>
    <w:rsid w:val="00440537"/>
    <w:rsid w:val="00445F51"/>
    <w:rsid w:val="0046295A"/>
    <w:rsid w:val="00466D59"/>
    <w:rsid w:val="00485E2A"/>
    <w:rsid w:val="00496B91"/>
    <w:rsid w:val="004A754A"/>
    <w:rsid w:val="004B5C2A"/>
    <w:rsid w:val="004C2728"/>
    <w:rsid w:val="004D2917"/>
    <w:rsid w:val="004D3672"/>
    <w:rsid w:val="004E318D"/>
    <w:rsid w:val="004E7A8E"/>
    <w:rsid w:val="004E7E00"/>
    <w:rsid w:val="004F5061"/>
    <w:rsid w:val="00517482"/>
    <w:rsid w:val="00526955"/>
    <w:rsid w:val="0052743B"/>
    <w:rsid w:val="00531730"/>
    <w:rsid w:val="00532822"/>
    <w:rsid w:val="00557A67"/>
    <w:rsid w:val="00560944"/>
    <w:rsid w:val="00566BBD"/>
    <w:rsid w:val="005753CB"/>
    <w:rsid w:val="00577793"/>
    <w:rsid w:val="00580AB0"/>
    <w:rsid w:val="00596176"/>
    <w:rsid w:val="005B7AB9"/>
    <w:rsid w:val="005C5809"/>
    <w:rsid w:val="005D19E3"/>
    <w:rsid w:val="005E2352"/>
    <w:rsid w:val="005E616A"/>
    <w:rsid w:val="00620329"/>
    <w:rsid w:val="00641AFF"/>
    <w:rsid w:val="006475C9"/>
    <w:rsid w:val="006B0D97"/>
    <w:rsid w:val="006D1A1A"/>
    <w:rsid w:val="006D1FD4"/>
    <w:rsid w:val="006F47BF"/>
    <w:rsid w:val="00724C7A"/>
    <w:rsid w:val="00732545"/>
    <w:rsid w:val="00756197"/>
    <w:rsid w:val="00761B1C"/>
    <w:rsid w:val="00786D77"/>
    <w:rsid w:val="007A2539"/>
    <w:rsid w:val="007A7485"/>
    <w:rsid w:val="007B3E67"/>
    <w:rsid w:val="007D44A9"/>
    <w:rsid w:val="007D574C"/>
    <w:rsid w:val="00820A6A"/>
    <w:rsid w:val="00826C8F"/>
    <w:rsid w:val="00833DBC"/>
    <w:rsid w:val="008438ED"/>
    <w:rsid w:val="00845F16"/>
    <w:rsid w:val="0086151D"/>
    <w:rsid w:val="00863314"/>
    <w:rsid w:val="00881F1A"/>
    <w:rsid w:val="008915BC"/>
    <w:rsid w:val="008A49FF"/>
    <w:rsid w:val="008B6322"/>
    <w:rsid w:val="008C3F71"/>
    <w:rsid w:val="008D0E42"/>
    <w:rsid w:val="008F2FCE"/>
    <w:rsid w:val="00937B75"/>
    <w:rsid w:val="0095545C"/>
    <w:rsid w:val="009753F9"/>
    <w:rsid w:val="0098241B"/>
    <w:rsid w:val="009B186B"/>
    <w:rsid w:val="009C0F50"/>
    <w:rsid w:val="009C4481"/>
    <w:rsid w:val="009D7234"/>
    <w:rsid w:val="009F0232"/>
    <w:rsid w:val="009F4B6A"/>
    <w:rsid w:val="00A25B13"/>
    <w:rsid w:val="00A372A2"/>
    <w:rsid w:val="00A447DF"/>
    <w:rsid w:val="00A5625C"/>
    <w:rsid w:val="00A8154B"/>
    <w:rsid w:val="00A815EC"/>
    <w:rsid w:val="00AB7A7B"/>
    <w:rsid w:val="00AC380C"/>
    <w:rsid w:val="00AD2830"/>
    <w:rsid w:val="00B00633"/>
    <w:rsid w:val="00B72831"/>
    <w:rsid w:val="00B92184"/>
    <w:rsid w:val="00BC2F73"/>
    <w:rsid w:val="00BD0CEB"/>
    <w:rsid w:val="00BD1239"/>
    <w:rsid w:val="00BE448B"/>
    <w:rsid w:val="00BF4488"/>
    <w:rsid w:val="00BF7042"/>
    <w:rsid w:val="00C07B41"/>
    <w:rsid w:val="00C10F7D"/>
    <w:rsid w:val="00C11D09"/>
    <w:rsid w:val="00C25430"/>
    <w:rsid w:val="00C26E9A"/>
    <w:rsid w:val="00C3277F"/>
    <w:rsid w:val="00C428EC"/>
    <w:rsid w:val="00C4779F"/>
    <w:rsid w:val="00C62797"/>
    <w:rsid w:val="00C71498"/>
    <w:rsid w:val="00CC128B"/>
    <w:rsid w:val="00CD58ED"/>
    <w:rsid w:val="00CF0891"/>
    <w:rsid w:val="00CF2217"/>
    <w:rsid w:val="00D34168"/>
    <w:rsid w:val="00D6298B"/>
    <w:rsid w:val="00D75901"/>
    <w:rsid w:val="00D939B3"/>
    <w:rsid w:val="00DC2CA7"/>
    <w:rsid w:val="00DD48A6"/>
    <w:rsid w:val="00DE3502"/>
    <w:rsid w:val="00DF655D"/>
    <w:rsid w:val="00E038D8"/>
    <w:rsid w:val="00E07498"/>
    <w:rsid w:val="00E576E1"/>
    <w:rsid w:val="00E6397E"/>
    <w:rsid w:val="00E8316B"/>
    <w:rsid w:val="00EB1040"/>
    <w:rsid w:val="00EB3554"/>
    <w:rsid w:val="00EC1B25"/>
    <w:rsid w:val="00ED076B"/>
    <w:rsid w:val="00ED76FB"/>
    <w:rsid w:val="00EE777D"/>
    <w:rsid w:val="00EF5448"/>
    <w:rsid w:val="00F0609C"/>
    <w:rsid w:val="00F15EDC"/>
    <w:rsid w:val="00F515ED"/>
    <w:rsid w:val="00F75CD7"/>
    <w:rsid w:val="00F86065"/>
    <w:rsid w:val="00FA018C"/>
    <w:rsid w:val="00FA0B24"/>
    <w:rsid w:val="00FC2E64"/>
    <w:rsid w:val="00FD249C"/>
    <w:rsid w:val="00FE16B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DC94D3"/>
  <w15:docId w15:val="{6D20E90D-9E3A-47C3-814A-26C2398A7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239"/>
  </w:style>
  <w:style w:type="paragraph" w:styleId="Heading2">
    <w:name w:val="heading 2"/>
    <w:basedOn w:val="Normal"/>
    <w:next w:val="Normal"/>
    <w:link w:val="Heading2Char"/>
    <w:uiPriority w:val="9"/>
    <w:unhideWhenUsed/>
    <w:qFormat/>
    <w:rsid w:val="000678B9"/>
    <w:pPr>
      <w:keepNext/>
      <w:keepLines/>
      <w:spacing w:before="200" w:after="0"/>
      <w:outlineLvl w:val="1"/>
    </w:pPr>
    <w:rPr>
      <w:rFonts w:asciiTheme="majorHAnsi" w:eastAsiaTheme="majorEastAsia" w:hAnsiTheme="majorHAnsi" w:cstheme="majorBidi"/>
      <w:b/>
      <w:bCs/>
      <w:color w:val="4F81BD" w:themeColor="accent1"/>
      <w:sz w:val="26"/>
      <w:szCs w:val="23"/>
      <w:lang w:val="en-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616EF"/>
    <w:pPr>
      <w:spacing w:after="0" w:line="240" w:lineRule="auto"/>
    </w:pPr>
    <w:rPr>
      <w:rFonts w:eastAsiaTheme="minorHAns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16EF"/>
    <w:pPr>
      <w:ind w:left="720"/>
      <w:contextualSpacing/>
    </w:pPr>
  </w:style>
  <w:style w:type="paragraph" w:styleId="Header">
    <w:name w:val="header"/>
    <w:basedOn w:val="Normal"/>
    <w:link w:val="HeaderChar"/>
    <w:uiPriority w:val="99"/>
    <w:unhideWhenUsed/>
    <w:rsid w:val="005D19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19E3"/>
  </w:style>
  <w:style w:type="paragraph" w:styleId="Footer">
    <w:name w:val="footer"/>
    <w:basedOn w:val="Normal"/>
    <w:link w:val="FooterChar"/>
    <w:uiPriority w:val="99"/>
    <w:unhideWhenUsed/>
    <w:rsid w:val="005D19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19E3"/>
  </w:style>
  <w:style w:type="paragraph" w:styleId="BalloonText">
    <w:name w:val="Balloon Text"/>
    <w:basedOn w:val="Normal"/>
    <w:link w:val="BalloonTextChar"/>
    <w:uiPriority w:val="99"/>
    <w:semiHidden/>
    <w:unhideWhenUsed/>
    <w:rsid w:val="00566B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6BBD"/>
    <w:rPr>
      <w:rFonts w:ascii="Tahoma" w:hAnsi="Tahoma" w:cs="Tahoma"/>
      <w:sz w:val="16"/>
      <w:szCs w:val="16"/>
    </w:rPr>
  </w:style>
  <w:style w:type="paragraph" w:customStyle="1" w:styleId="Default">
    <w:name w:val="Default"/>
    <w:rsid w:val="006475C9"/>
    <w:pPr>
      <w:autoSpaceDE w:val="0"/>
      <w:autoSpaceDN w:val="0"/>
      <w:adjustRightInd w:val="0"/>
      <w:spacing w:after="0" w:line="240" w:lineRule="auto"/>
    </w:pPr>
    <w:rPr>
      <w:rFonts w:ascii="Times New Roman" w:eastAsiaTheme="minorHAnsi" w:hAnsi="Times New Roman" w:cs="Times New Roman"/>
      <w:color w:val="000000"/>
      <w:sz w:val="24"/>
      <w:szCs w:val="24"/>
      <w:lang w:val="en-IN" w:bidi="hi-IN"/>
    </w:rPr>
  </w:style>
  <w:style w:type="character" w:styleId="Hyperlink">
    <w:name w:val="Hyperlink"/>
    <w:basedOn w:val="DefaultParagraphFont"/>
    <w:uiPriority w:val="99"/>
    <w:unhideWhenUsed/>
    <w:rsid w:val="00341426"/>
    <w:rPr>
      <w:color w:val="0000FF"/>
      <w:u w:val="single"/>
    </w:rPr>
  </w:style>
  <w:style w:type="character" w:customStyle="1" w:styleId="Heading2Char">
    <w:name w:val="Heading 2 Char"/>
    <w:basedOn w:val="DefaultParagraphFont"/>
    <w:link w:val="Heading2"/>
    <w:uiPriority w:val="9"/>
    <w:rsid w:val="000678B9"/>
    <w:rPr>
      <w:rFonts w:asciiTheme="majorHAnsi" w:eastAsiaTheme="majorEastAsia" w:hAnsiTheme="majorHAnsi" w:cstheme="majorBidi"/>
      <w:b/>
      <w:bCs/>
      <w:color w:val="4F81BD" w:themeColor="accent1"/>
      <w:sz w:val="26"/>
      <w:szCs w:val="23"/>
      <w:lang w:val="en-IN" w:bidi="hi-IN"/>
    </w:rPr>
  </w:style>
  <w:style w:type="character" w:styleId="Emphasis">
    <w:name w:val="Emphasis"/>
    <w:basedOn w:val="DefaultParagraphFont"/>
    <w:uiPriority w:val="20"/>
    <w:qFormat/>
    <w:rsid w:val="00BF7042"/>
    <w:rPr>
      <w:i/>
      <w:iCs/>
    </w:rPr>
  </w:style>
  <w:style w:type="character" w:customStyle="1" w:styleId="ff1">
    <w:name w:val="ff1"/>
    <w:basedOn w:val="DefaultParagraphFont"/>
    <w:rsid w:val="00BF7042"/>
  </w:style>
  <w:style w:type="character" w:customStyle="1" w:styleId="UnresolvedMention1">
    <w:name w:val="Unresolved Mention1"/>
    <w:basedOn w:val="DefaultParagraphFont"/>
    <w:uiPriority w:val="99"/>
    <w:semiHidden/>
    <w:unhideWhenUsed/>
    <w:rsid w:val="00ED076B"/>
    <w:rPr>
      <w:color w:val="605E5C"/>
      <w:shd w:val="clear" w:color="auto" w:fill="E1DFDD"/>
    </w:rPr>
  </w:style>
  <w:style w:type="character" w:styleId="UnresolvedMention">
    <w:name w:val="Unresolved Mention"/>
    <w:basedOn w:val="DefaultParagraphFont"/>
    <w:uiPriority w:val="99"/>
    <w:semiHidden/>
    <w:unhideWhenUsed/>
    <w:rsid w:val="00DD48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life13040863" TargetMode="External"/><Relationship Id="rId13" Type="http://schemas.openxmlformats.org/officeDocument/2006/relationships/chart" Target="charts/chart1.xm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doi.org/10.1007/s10653-024-01974-9" TargetMode="External"/><Relationship Id="rId12" Type="http://schemas.openxmlformats.org/officeDocument/2006/relationships/hyperlink" Target="https://doi.org/10.3390/ijerph17051748"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90/app14041576"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doi.org/10.1080/1065657x.2017.1329037"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i.org/10.1007/s42773-024-00365-8" TargetMode="Externa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kisho\Desktop\Micronutreintcontent1.csv"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cap="none" spc="20" baseline="0">
                <a:solidFill>
                  <a:schemeClr val="dk1">
                    <a:lumMod val="50000"/>
                    <a:lumOff val="50000"/>
                  </a:schemeClr>
                </a:solidFill>
                <a:latin typeface="+mn-lt"/>
                <a:ea typeface="+mn-ea"/>
                <a:cs typeface="+mn-cs"/>
              </a:defRPr>
            </a:pPr>
            <a:r>
              <a:rPr lang="en-US" sz="1200" b="1" i="0" u="none" strike="noStrike" cap="none" baseline="0">
                <a:solidFill>
                  <a:sysClr val="windowText" lastClr="000000"/>
                </a:solidFill>
                <a:effectLst/>
                <a:latin typeface="Times New Roman" panose="02020603050405020304" pitchFamily="18" charset="0"/>
                <a:cs typeface="Times New Roman" panose="02020603050405020304" pitchFamily="18" charset="0"/>
              </a:rPr>
              <a:t>Fig.1: Population of earthworm (adults) per m2</a:t>
            </a:r>
            <a:endParaRPr lang="en-US" sz="1200" b="1">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21163589845386974"/>
          <c:y val="0.92350877192982461"/>
        </c:manualLayout>
      </c:layout>
      <c:overlay val="0"/>
      <c:spPr>
        <a:noFill/>
        <a:ln>
          <a:noFill/>
        </a:ln>
        <a:effectLst/>
      </c:spPr>
      <c:txPr>
        <a:bodyPr rot="0" spcFirstLastPara="1" vertOverflow="ellipsis" vert="horz" wrap="square" anchor="ctr" anchorCtr="1"/>
        <a:lstStyle/>
        <a:p>
          <a:pPr>
            <a:defRPr sz="1400" b="0" i="0" u="none" strike="noStrike" kern="1200" cap="none" spc="20" baseline="0">
              <a:solidFill>
                <a:schemeClr val="dk1">
                  <a:lumMod val="50000"/>
                  <a:lumOff val="50000"/>
                </a:schemeClr>
              </a:solidFill>
              <a:latin typeface="+mn-lt"/>
              <a:ea typeface="+mn-ea"/>
              <a:cs typeface="+mn-cs"/>
            </a:defRPr>
          </a:pPr>
          <a:endParaRPr lang="en-US"/>
        </a:p>
      </c:txPr>
    </c:title>
    <c:autoTitleDeleted val="0"/>
    <c:plotArea>
      <c:layout>
        <c:manualLayout>
          <c:layoutTarget val="inner"/>
          <c:xMode val="edge"/>
          <c:yMode val="edge"/>
          <c:x val="0.12524175654513775"/>
          <c:y val="0.16788771929824564"/>
          <c:w val="0.84338569443525446"/>
          <c:h val="0.65223041856610031"/>
        </c:manualLayout>
      </c:layout>
      <c:scatterChart>
        <c:scatterStyle val="lineMarker"/>
        <c:varyColors val="0"/>
        <c:ser>
          <c:idx val="0"/>
          <c:order val="0"/>
          <c:tx>
            <c:strRef>
              <c:f>Sheet1!$O$5</c:f>
              <c:strCache>
                <c:ptCount val="1"/>
                <c:pt idx="0">
                  <c:v>30 DAS</c:v>
                </c:pt>
              </c:strCache>
            </c:strRef>
          </c:tx>
          <c:spPr>
            <a:ln w="9525" cap="flat" cmpd="sng" algn="ctr">
              <a:solidFill>
                <a:schemeClr val="accent1">
                  <a:alpha val="70000"/>
                </a:schemeClr>
              </a:solidFill>
              <a:prstDash val="sysDot"/>
              <a:round/>
            </a:ln>
            <a:effectLst>
              <a:outerShdw blurRad="40000" dist="20000" dir="5400000" rotWithShape="0">
                <a:srgbClr val="000000">
                  <a:alpha val="38000"/>
                </a:srgbClr>
              </a:outerShdw>
            </a:effectLst>
          </c:spPr>
          <c:marker>
            <c:symbol val="circle"/>
            <c:size val="5"/>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chemeClr>
                </a:solidFill>
                <a:round/>
              </a:ln>
              <a:effectLst>
                <a:outerShdw blurRad="40000" dist="20000" dir="5400000" rotWithShape="0">
                  <a:srgbClr val="000000">
                    <a:alpha val="38000"/>
                  </a:srgbClr>
                </a:outerShdw>
              </a:effectLst>
            </c:spPr>
          </c:marker>
          <c:errBars>
            <c:errDir val="x"/>
            <c:errBarType val="both"/>
            <c:errValType val="stdErr"/>
            <c:noEndCap val="0"/>
            <c:spPr>
              <a:noFill/>
              <a:ln w="9525" cap="rnd">
                <a:solidFill>
                  <a:schemeClr val="dk1">
                    <a:lumMod val="65000"/>
                    <a:lumOff val="35000"/>
                  </a:schemeClr>
                </a:solidFill>
                <a:round/>
              </a:ln>
              <a:effectLst/>
            </c:spPr>
          </c:errBars>
          <c:errBars>
            <c:errDir val="y"/>
            <c:errBarType val="both"/>
            <c:errValType val="stdErr"/>
            <c:noEndCap val="0"/>
            <c:spPr>
              <a:noFill/>
              <a:ln w="9525" cap="rnd">
                <a:solidFill>
                  <a:schemeClr val="dk1">
                    <a:lumMod val="65000"/>
                    <a:lumOff val="35000"/>
                  </a:schemeClr>
                </a:solidFill>
                <a:round/>
              </a:ln>
              <a:effectLst/>
            </c:spPr>
          </c:errBars>
          <c:xVal>
            <c:strRef>
              <c:f>Sheet1!$N$6:$N$10</c:f>
              <c:strCache>
                <c:ptCount val="5"/>
                <c:pt idx="0">
                  <c:v>T1</c:v>
                </c:pt>
                <c:pt idx="1">
                  <c:v>T2</c:v>
                </c:pt>
                <c:pt idx="2">
                  <c:v>T3</c:v>
                </c:pt>
                <c:pt idx="3">
                  <c:v>T4</c:v>
                </c:pt>
                <c:pt idx="4">
                  <c:v>T5</c:v>
                </c:pt>
              </c:strCache>
            </c:strRef>
          </c:xVal>
          <c:yVal>
            <c:numRef>
              <c:f>Sheet1!$O$6:$O$10</c:f>
              <c:numCache>
                <c:formatCode>General</c:formatCode>
                <c:ptCount val="5"/>
                <c:pt idx="0">
                  <c:v>582</c:v>
                </c:pt>
                <c:pt idx="1">
                  <c:v>629</c:v>
                </c:pt>
                <c:pt idx="2">
                  <c:v>630</c:v>
                </c:pt>
                <c:pt idx="3">
                  <c:v>678</c:v>
                </c:pt>
                <c:pt idx="4">
                  <c:v>630</c:v>
                </c:pt>
              </c:numCache>
            </c:numRef>
          </c:yVal>
          <c:smooth val="0"/>
          <c:extLst>
            <c:ext xmlns:c16="http://schemas.microsoft.com/office/drawing/2014/chart" uri="{C3380CC4-5D6E-409C-BE32-E72D297353CC}">
              <c16:uniqueId val="{00000000-A3D0-482A-8269-B31C7CA9C151}"/>
            </c:ext>
          </c:extLst>
        </c:ser>
        <c:ser>
          <c:idx val="1"/>
          <c:order val="1"/>
          <c:tx>
            <c:strRef>
              <c:f>Sheet1!$P$5</c:f>
              <c:strCache>
                <c:ptCount val="1"/>
                <c:pt idx="0">
                  <c:v>60 DAS</c:v>
                </c:pt>
              </c:strCache>
            </c:strRef>
          </c:tx>
          <c:spPr>
            <a:ln w="9525" cap="flat" cmpd="sng" algn="ctr">
              <a:solidFill>
                <a:schemeClr val="accent2">
                  <a:alpha val="70000"/>
                </a:schemeClr>
              </a:solidFill>
              <a:prstDash val="sysDot"/>
              <a:round/>
            </a:ln>
            <a:effectLst>
              <a:outerShdw blurRad="40000" dist="20000" dir="5400000" rotWithShape="0">
                <a:srgbClr val="000000">
                  <a:alpha val="38000"/>
                </a:srgbClr>
              </a:outerShdw>
            </a:effectLst>
          </c:spPr>
          <c:marker>
            <c:symbol val="circle"/>
            <c:size val="5"/>
            <c:spPr>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chemeClr>
                </a:solidFill>
                <a:round/>
              </a:ln>
              <a:effectLst>
                <a:outerShdw blurRad="40000" dist="20000" dir="5400000" rotWithShape="0">
                  <a:srgbClr val="000000">
                    <a:alpha val="38000"/>
                  </a:srgbClr>
                </a:outerShdw>
              </a:effectLst>
            </c:spPr>
          </c:marker>
          <c:errBars>
            <c:errDir val="x"/>
            <c:errBarType val="both"/>
            <c:errValType val="stdErr"/>
            <c:noEndCap val="0"/>
            <c:spPr>
              <a:noFill/>
              <a:ln w="9525" cap="rnd">
                <a:solidFill>
                  <a:schemeClr val="dk1">
                    <a:lumMod val="65000"/>
                    <a:lumOff val="35000"/>
                  </a:schemeClr>
                </a:solidFill>
                <a:round/>
              </a:ln>
              <a:effectLst/>
            </c:spPr>
          </c:errBars>
          <c:errBars>
            <c:errDir val="y"/>
            <c:errBarType val="both"/>
            <c:errValType val="stdErr"/>
            <c:noEndCap val="0"/>
            <c:spPr>
              <a:noFill/>
              <a:ln w="9525" cap="rnd">
                <a:solidFill>
                  <a:schemeClr val="dk1">
                    <a:lumMod val="65000"/>
                    <a:lumOff val="35000"/>
                  </a:schemeClr>
                </a:solidFill>
                <a:round/>
              </a:ln>
              <a:effectLst/>
            </c:spPr>
          </c:errBars>
          <c:xVal>
            <c:strRef>
              <c:f>Sheet1!$N$6:$N$10</c:f>
              <c:strCache>
                <c:ptCount val="5"/>
                <c:pt idx="0">
                  <c:v>T1</c:v>
                </c:pt>
                <c:pt idx="1">
                  <c:v>T2</c:v>
                </c:pt>
                <c:pt idx="2">
                  <c:v>T3</c:v>
                </c:pt>
                <c:pt idx="3">
                  <c:v>T4</c:v>
                </c:pt>
                <c:pt idx="4">
                  <c:v>T5</c:v>
                </c:pt>
              </c:strCache>
            </c:strRef>
          </c:xVal>
          <c:yVal>
            <c:numRef>
              <c:f>Sheet1!$P$6:$P$10</c:f>
              <c:numCache>
                <c:formatCode>General</c:formatCode>
                <c:ptCount val="5"/>
                <c:pt idx="0">
                  <c:v>699</c:v>
                </c:pt>
                <c:pt idx="1">
                  <c:v>782</c:v>
                </c:pt>
                <c:pt idx="2">
                  <c:v>794</c:v>
                </c:pt>
                <c:pt idx="3">
                  <c:v>859</c:v>
                </c:pt>
                <c:pt idx="4">
                  <c:v>784</c:v>
                </c:pt>
              </c:numCache>
            </c:numRef>
          </c:yVal>
          <c:smooth val="0"/>
          <c:extLst>
            <c:ext xmlns:c16="http://schemas.microsoft.com/office/drawing/2014/chart" uri="{C3380CC4-5D6E-409C-BE32-E72D297353CC}">
              <c16:uniqueId val="{00000001-A3D0-482A-8269-B31C7CA9C151}"/>
            </c:ext>
          </c:extLst>
        </c:ser>
        <c:ser>
          <c:idx val="2"/>
          <c:order val="2"/>
          <c:tx>
            <c:strRef>
              <c:f>Sheet1!$Q$5</c:f>
              <c:strCache>
                <c:ptCount val="1"/>
                <c:pt idx="0">
                  <c:v>90 DAS</c:v>
                </c:pt>
              </c:strCache>
            </c:strRef>
          </c:tx>
          <c:spPr>
            <a:ln w="9525" cap="flat" cmpd="sng" algn="ctr">
              <a:solidFill>
                <a:schemeClr val="accent3">
                  <a:alpha val="70000"/>
                </a:schemeClr>
              </a:solidFill>
              <a:prstDash val="sysDot"/>
              <a:round/>
            </a:ln>
            <a:effectLst>
              <a:outerShdw blurRad="40000" dist="20000" dir="5400000" rotWithShape="0">
                <a:srgbClr val="000000">
                  <a:alpha val="38000"/>
                </a:srgbClr>
              </a:outerShdw>
            </a:effectLst>
          </c:spPr>
          <c:marker>
            <c:symbol val="circle"/>
            <c:size val="5"/>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chemeClr>
                </a:solidFill>
                <a:round/>
              </a:ln>
              <a:effectLst>
                <a:outerShdw blurRad="40000" dist="20000" dir="5400000" rotWithShape="0">
                  <a:srgbClr val="000000">
                    <a:alpha val="38000"/>
                  </a:srgbClr>
                </a:outerShdw>
              </a:effectLst>
            </c:spPr>
          </c:marker>
          <c:errBars>
            <c:errDir val="x"/>
            <c:errBarType val="both"/>
            <c:errValType val="stdErr"/>
            <c:noEndCap val="0"/>
            <c:spPr>
              <a:noFill/>
              <a:ln w="9525" cap="rnd">
                <a:solidFill>
                  <a:schemeClr val="dk1">
                    <a:lumMod val="65000"/>
                    <a:lumOff val="35000"/>
                  </a:schemeClr>
                </a:solidFill>
                <a:round/>
              </a:ln>
              <a:effectLst/>
            </c:spPr>
          </c:errBars>
          <c:errBars>
            <c:errDir val="y"/>
            <c:errBarType val="both"/>
            <c:errValType val="stdErr"/>
            <c:noEndCap val="0"/>
            <c:spPr>
              <a:noFill/>
              <a:ln w="9525" cap="rnd">
                <a:solidFill>
                  <a:schemeClr val="dk1">
                    <a:lumMod val="65000"/>
                    <a:lumOff val="35000"/>
                  </a:schemeClr>
                </a:solidFill>
                <a:round/>
              </a:ln>
              <a:effectLst/>
            </c:spPr>
          </c:errBars>
          <c:xVal>
            <c:strRef>
              <c:f>Sheet1!$N$6:$N$10</c:f>
              <c:strCache>
                <c:ptCount val="5"/>
                <c:pt idx="0">
                  <c:v>T1</c:v>
                </c:pt>
                <c:pt idx="1">
                  <c:v>T2</c:v>
                </c:pt>
                <c:pt idx="2">
                  <c:v>T3</c:v>
                </c:pt>
                <c:pt idx="3">
                  <c:v>T4</c:v>
                </c:pt>
                <c:pt idx="4">
                  <c:v>T5</c:v>
                </c:pt>
              </c:strCache>
            </c:strRef>
          </c:xVal>
          <c:yVal>
            <c:numRef>
              <c:f>Sheet1!$Q$6:$Q$10</c:f>
              <c:numCache>
                <c:formatCode>General</c:formatCode>
                <c:ptCount val="5"/>
                <c:pt idx="0">
                  <c:v>804</c:v>
                </c:pt>
                <c:pt idx="1">
                  <c:v>866</c:v>
                </c:pt>
                <c:pt idx="2">
                  <c:v>836</c:v>
                </c:pt>
                <c:pt idx="3">
                  <c:v>899</c:v>
                </c:pt>
                <c:pt idx="4">
                  <c:v>851</c:v>
                </c:pt>
              </c:numCache>
            </c:numRef>
          </c:yVal>
          <c:smooth val="0"/>
          <c:extLst>
            <c:ext xmlns:c16="http://schemas.microsoft.com/office/drawing/2014/chart" uri="{C3380CC4-5D6E-409C-BE32-E72D297353CC}">
              <c16:uniqueId val="{00000002-A3D0-482A-8269-B31C7CA9C151}"/>
            </c:ext>
          </c:extLst>
        </c:ser>
        <c:ser>
          <c:idx val="3"/>
          <c:order val="3"/>
          <c:tx>
            <c:strRef>
              <c:f>Sheet1!$R$5</c:f>
              <c:strCache>
                <c:ptCount val="1"/>
                <c:pt idx="0">
                  <c:v>120 DAS</c:v>
                </c:pt>
              </c:strCache>
            </c:strRef>
          </c:tx>
          <c:spPr>
            <a:ln w="9525" cap="flat" cmpd="sng" algn="ctr">
              <a:solidFill>
                <a:schemeClr val="accent4">
                  <a:alpha val="70000"/>
                </a:schemeClr>
              </a:solidFill>
              <a:prstDash val="sysDot"/>
              <a:round/>
            </a:ln>
            <a:effectLst>
              <a:outerShdw blurRad="40000" dist="20000" dir="5400000" rotWithShape="0">
                <a:srgbClr val="000000">
                  <a:alpha val="38000"/>
                </a:srgbClr>
              </a:outerShdw>
            </a:effectLst>
          </c:spPr>
          <c:marker>
            <c:symbol val="circle"/>
            <c:size val="5"/>
            <c:spPr>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chemeClr>
                </a:solidFill>
                <a:round/>
              </a:ln>
              <a:effectLst>
                <a:outerShdw blurRad="40000" dist="20000" dir="5400000" rotWithShape="0">
                  <a:srgbClr val="000000">
                    <a:alpha val="38000"/>
                  </a:srgbClr>
                </a:outerShdw>
              </a:effectLst>
            </c:spPr>
          </c:marker>
          <c:trendline>
            <c:spPr>
              <a:ln w="9525" cap="rnd">
                <a:solidFill>
                  <a:schemeClr val="accent4"/>
                </a:solidFill>
              </a:ln>
              <a:effectLst/>
            </c:spPr>
            <c:trendlineType val="linear"/>
            <c:dispRSqr val="0"/>
            <c:dispEq val="0"/>
          </c:trendline>
          <c:errBars>
            <c:errDir val="x"/>
            <c:errBarType val="both"/>
            <c:errValType val="stdErr"/>
            <c:noEndCap val="0"/>
            <c:spPr>
              <a:noFill/>
              <a:ln w="9525" cap="rnd">
                <a:solidFill>
                  <a:schemeClr val="dk1">
                    <a:lumMod val="65000"/>
                    <a:lumOff val="35000"/>
                  </a:schemeClr>
                </a:solidFill>
                <a:round/>
              </a:ln>
              <a:effectLst/>
            </c:spPr>
          </c:errBars>
          <c:errBars>
            <c:errDir val="y"/>
            <c:errBarType val="both"/>
            <c:errValType val="stdErr"/>
            <c:noEndCap val="0"/>
            <c:spPr>
              <a:noFill/>
              <a:ln w="9525" cap="rnd">
                <a:solidFill>
                  <a:schemeClr val="dk1">
                    <a:lumMod val="65000"/>
                    <a:lumOff val="35000"/>
                  </a:schemeClr>
                </a:solidFill>
                <a:round/>
              </a:ln>
              <a:effectLst/>
            </c:spPr>
          </c:errBars>
          <c:xVal>
            <c:strRef>
              <c:f>Sheet1!$N$6:$N$10</c:f>
              <c:strCache>
                <c:ptCount val="5"/>
                <c:pt idx="0">
                  <c:v>T1</c:v>
                </c:pt>
                <c:pt idx="1">
                  <c:v>T2</c:v>
                </c:pt>
                <c:pt idx="2">
                  <c:v>T3</c:v>
                </c:pt>
                <c:pt idx="3">
                  <c:v>T4</c:v>
                </c:pt>
                <c:pt idx="4">
                  <c:v>T5</c:v>
                </c:pt>
              </c:strCache>
            </c:strRef>
          </c:xVal>
          <c:yVal>
            <c:numRef>
              <c:f>Sheet1!$R$6:$R$10</c:f>
              <c:numCache>
                <c:formatCode>General</c:formatCode>
                <c:ptCount val="5"/>
                <c:pt idx="0">
                  <c:v>907</c:v>
                </c:pt>
                <c:pt idx="1">
                  <c:v>992</c:v>
                </c:pt>
                <c:pt idx="2">
                  <c:v>1000</c:v>
                </c:pt>
                <c:pt idx="3">
                  <c:v>1045</c:v>
                </c:pt>
                <c:pt idx="4">
                  <c:v>986</c:v>
                </c:pt>
              </c:numCache>
            </c:numRef>
          </c:yVal>
          <c:smooth val="0"/>
          <c:extLst>
            <c:ext xmlns:c16="http://schemas.microsoft.com/office/drawing/2014/chart" uri="{C3380CC4-5D6E-409C-BE32-E72D297353CC}">
              <c16:uniqueId val="{00000004-A3D0-482A-8269-B31C7CA9C151}"/>
            </c:ext>
          </c:extLst>
        </c:ser>
        <c:dLbls>
          <c:showLegendKey val="0"/>
          <c:showVal val="0"/>
          <c:showCatName val="0"/>
          <c:showSerName val="0"/>
          <c:showPercent val="0"/>
          <c:showBubbleSize val="0"/>
        </c:dLbls>
        <c:axId val="1405865136"/>
        <c:axId val="1405865616"/>
      </c:scatterChart>
      <c:valAx>
        <c:axId val="1405865136"/>
        <c:scaling>
          <c:orientation val="minMax"/>
        </c:scaling>
        <c:delete val="1"/>
        <c:axPos val="t"/>
        <c:majorGridlines>
          <c:spPr>
            <a:ln w="9525" cap="flat" cmpd="sng" algn="ctr">
              <a:solidFill>
                <a:schemeClr val="dk1">
                  <a:lumMod val="15000"/>
                  <a:lumOff val="85000"/>
                </a:schemeClr>
              </a:solidFill>
              <a:round/>
            </a:ln>
            <a:effectLst/>
          </c:spPr>
        </c:majorGridlines>
        <c:majorTickMark val="none"/>
        <c:minorTickMark val="none"/>
        <c:tickLblPos val="nextTo"/>
        <c:crossAx val="1405865616"/>
        <c:crosses val="autoZero"/>
        <c:crossBetween val="midCat"/>
      </c:valAx>
      <c:valAx>
        <c:axId val="1405865616"/>
        <c:scaling>
          <c:orientation val="maxMin"/>
        </c:scaling>
        <c:delete val="0"/>
        <c:axPos val="l"/>
        <c:majorGridlines>
          <c:spPr>
            <a:ln w="9525" cap="flat" cmpd="sng" algn="ctr">
              <a:solidFill>
                <a:schemeClr val="dk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r>
                  <a:rPr lang="en-US" sz="1200">
                    <a:latin typeface="Times New Roman" panose="02020603050405020304" pitchFamily="18" charset="0"/>
                    <a:cs typeface="Times New Roman" panose="02020603050405020304" pitchFamily="18" charset="0"/>
                  </a:rPr>
                  <a:t> ( Number of adults) per m2</a:t>
                </a: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rnd">
            <a:solidFill>
              <a:schemeClr val="dk1">
                <a:lumMod val="25000"/>
                <a:lumOff val="75000"/>
              </a:schemeClr>
            </a:solidFill>
            <a:round/>
          </a:ln>
          <a:effectLst/>
        </c:spPr>
        <c:txPr>
          <a:bodyPr rot="-60000000" spcFirstLastPara="1" vertOverflow="ellipsis" vert="horz" wrap="square" anchor="ctr" anchorCtr="1"/>
          <a:lstStyle/>
          <a:p>
            <a:pPr>
              <a:defRPr sz="900" b="1" i="0" u="none" strike="noStrike" kern="1200" spc="0" baseline="0">
                <a:solidFill>
                  <a:schemeClr val="dk1">
                    <a:lumMod val="65000"/>
                    <a:lumOff val="35000"/>
                  </a:schemeClr>
                </a:solidFill>
                <a:latin typeface="+mn-lt"/>
                <a:ea typeface="+mn-ea"/>
                <a:cs typeface="+mn-cs"/>
              </a:defRPr>
            </a:pPr>
            <a:endParaRPr lang="en-US"/>
          </a:p>
        </c:txPr>
        <c:crossAx val="1405865136"/>
        <c:crosses val="autoZero"/>
        <c:crossBetween val="midCat"/>
        <c:majorUnit val="500"/>
        <c:minorUnit val="40"/>
      </c:valAx>
      <c:spPr>
        <a:gradFill>
          <a:gsLst>
            <a:gs pos="100000">
              <a:schemeClr val="lt1">
                <a:lumMod val="95000"/>
              </a:schemeClr>
            </a:gs>
            <a:gs pos="0">
              <a:schemeClr val="lt1">
                <a:alpha val="0"/>
              </a:schemeClr>
            </a:gs>
          </a:gsLst>
          <a:lin ang="5400000" scaled="0"/>
        </a:gradFill>
        <a:ln>
          <a:noFill/>
        </a:ln>
        <a:effectLst/>
      </c:spPr>
    </c:plotArea>
    <c:legend>
      <c:legendPos val="b"/>
      <c:layout>
        <c:manualLayout>
          <c:xMode val="edge"/>
          <c:yMode val="edge"/>
          <c:x val="7.9131696773197466E-2"/>
          <c:y val="0.8622234010222406"/>
          <c:w val="0.89999991177573391"/>
          <c:h val="5.0759055118110234E-2"/>
        </c:manualLayout>
      </c:layout>
      <c:overlay val="0"/>
      <c:spPr>
        <a:noFill/>
        <a:ln>
          <a:noFill/>
        </a:ln>
        <a:effectLst/>
      </c:spPr>
      <c:txPr>
        <a:bodyPr rot="0" spcFirstLastPara="1" vertOverflow="ellipsis" vert="horz" wrap="square" anchor="ctr" anchorCtr="1"/>
        <a:lstStyle/>
        <a:p>
          <a:pPr>
            <a:defRPr sz="1000" b="1" i="0" u="none" strike="noStrike" kern="1200" spc="0" baseline="0">
              <a:solidFill>
                <a:schemeClr val="dk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6">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spPr>
      <a:ln w="9525" cap="rnd">
        <a:solidFill>
          <a:schemeClr val="dk1">
            <a:lumMod val="20000"/>
            <a:lumOff val="80000"/>
          </a:schemeClr>
        </a:solidFill>
        <a:round/>
      </a:ln>
    </cs:spPr>
    <cs:defRPr sz="900" kern="120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effectRef idx="1"/>
    <cs:fontRef idx="minor">
      <a:schemeClr val="dk1"/>
    </cs:fontRef>
    <cs:spPr>
      <a:ln w="9525" cap="flat" cmpd="sng" algn="ctr">
        <a:solidFill>
          <a:schemeClr val="phClr">
            <a:alpha val="70000"/>
          </a:schemeClr>
        </a:solidFill>
        <a:prstDash val="sysDot"/>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rnd">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rnd">
        <a:solidFill>
          <a:schemeClr val="dk1">
            <a:lumMod val="65000"/>
            <a:lumOff val="35000"/>
          </a:schemeClr>
        </a:solidFill>
        <a:round/>
      </a:ln>
    </cs:spPr>
  </cs:downBar>
  <cs:dropLine>
    <cs:lnRef idx="0"/>
    <cs:fillRef idx="0"/>
    <cs:effectRef idx="0"/>
    <cs:fontRef idx="minor">
      <a:schemeClr val="dk1"/>
    </cs:fontRef>
    <cs:spPr>
      <a:ln w="9525" cap="rnd">
        <a:solidFill>
          <a:schemeClr val="dk1">
            <a:lumMod val="35000"/>
            <a:lumOff val="65000"/>
          </a:schemeClr>
        </a:solidFill>
        <a:round/>
      </a:ln>
    </cs:spPr>
  </cs:dropLine>
  <cs:errorBar>
    <cs:lnRef idx="0"/>
    <cs:fillRef idx="0"/>
    <cs:effectRef idx="0"/>
    <cs:fontRef idx="minor">
      <a:schemeClr val="dk1"/>
    </cs:fontRef>
    <cs:spPr>
      <a:ln w="9525" cap="rnd">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rnd">
        <a:solidFill>
          <a:schemeClr val="dk1">
            <a:lumMod val="35000"/>
            <a:lumOff val="65000"/>
          </a:schemeClr>
        </a:solidFill>
        <a:round/>
      </a:ln>
    </cs:spPr>
  </cs:hiLoLine>
  <cs:leaderLine>
    <cs:lnRef idx="0"/>
    <cs:fillRef idx="0"/>
    <cs:effectRef idx="0"/>
    <cs:fontRef idx="minor">
      <a:schemeClr val="dk1"/>
    </cs:fontRef>
    <cs:spPr>
      <a:ln w="9525" cap="rnd">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spc="0" baseline="0"/>
  </cs:legend>
  <cs:plotArea>
    <cs:lnRef idx="0"/>
    <cs:fillRef idx="0"/>
    <cs:effectRef idx="0"/>
    <cs:fontRef idx="minor">
      <a:schemeClr val="dk1"/>
    </cs:fontRef>
    <cs:spPr>
      <a:gradFill>
        <a:gsLst>
          <a:gs pos="100000">
            <a:schemeClr val="lt1">
              <a:lumMod val="95000"/>
            </a:schemeClr>
          </a:gs>
          <a:gs pos="0">
            <a:schemeClr val="lt1">
              <a:alpha val="0"/>
            </a:schemeClr>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rnd">
        <a:solidFill>
          <a:schemeClr val="dk1">
            <a:lumMod val="20000"/>
            <a:lumOff val="80000"/>
          </a:schemeClr>
        </a:solidFill>
        <a:round/>
      </a:ln>
    </cs:spPr>
    <cs:defRPr sz="900" kern="1200"/>
  </cs:seriesAxis>
  <cs:seriesLine>
    <cs:lnRef idx="0"/>
    <cs:fillRef idx="0"/>
    <cs:effectRef idx="0"/>
    <cs:fontRef idx="minor">
      <a:schemeClr val="dk1"/>
    </cs:fontRef>
    <cs:spPr>
      <a:ln w="9525" cap="rnd">
        <a:solidFill>
          <a:schemeClr val="dk1">
            <a:lumMod val="35000"/>
            <a:lumOff val="65000"/>
          </a:schemeClr>
        </a:solidFill>
        <a:round/>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cs:spPr>
  </cs:upBar>
  <cs:valueAxis>
    <cs:lnRef idx="0"/>
    <cs:fillRef idx="0"/>
    <cs:effectRef idx="0"/>
    <cs:fontRef idx="minor">
      <a:schemeClr val="dk1">
        <a:lumMod val="65000"/>
        <a:lumOff val="35000"/>
      </a:schemeClr>
    </cs:fontRef>
    <cs:spPr>
      <a:ln w="9525" cap="rnd">
        <a:solidFill>
          <a:schemeClr val="dk1">
            <a:lumMod val="25000"/>
            <a:lumOff val="75000"/>
          </a:schemeClr>
        </a:solidFill>
        <a:round/>
      </a:ln>
    </cs:spPr>
    <cs:defRPr sz="900" kern="1200" spc="0" baseline="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9</Pages>
  <Words>2748</Words>
  <Characters>15667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raj kishore</cp:lastModifiedBy>
  <cp:revision>4</cp:revision>
  <dcterms:created xsi:type="dcterms:W3CDTF">2025-08-26T12:01:00Z</dcterms:created>
  <dcterms:modified xsi:type="dcterms:W3CDTF">2025-08-26T12:43:00Z</dcterms:modified>
</cp:coreProperties>
</file>