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270" w:rsidRPr="00846270" w:rsidRDefault="003C00C3" w:rsidP="003C00C3">
      <w:pPr>
        <w:spacing w:after="0" w:line="360" w:lineRule="auto"/>
        <w:jc w:val="right"/>
        <w:rPr>
          <w:rFonts w:ascii="Arial" w:eastAsia="Calibri" w:hAnsi="Arial" w:cs="Arial"/>
          <w:b/>
          <w:sz w:val="36"/>
          <w:szCs w:val="36"/>
          <w:lang w:bidi="hi-IN"/>
        </w:rPr>
      </w:pPr>
      <w:r>
        <w:rPr>
          <w:rFonts w:ascii="Arial" w:hAnsi="Arial" w:cs="Arial"/>
          <w:b/>
          <w:sz w:val="36"/>
          <w:szCs w:val="36"/>
          <w:lang w:val="en-GB"/>
        </w:rPr>
        <w:t>Climate Change and Livelihood</w:t>
      </w:r>
      <w:r w:rsidRPr="00001D9E">
        <w:rPr>
          <w:rFonts w:ascii="Arial" w:hAnsi="Arial" w:cs="Arial"/>
          <w:b/>
          <w:sz w:val="36"/>
          <w:szCs w:val="36"/>
          <w:lang w:val="en-GB"/>
        </w:rPr>
        <w:t xml:space="preserve">: Uncovering the Vulnerability of Farmers </w:t>
      </w:r>
      <w:proofErr w:type="gramStart"/>
      <w:r w:rsidRPr="00001D9E">
        <w:rPr>
          <w:rFonts w:ascii="Arial" w:hAnsi="Arial" w:cs="Arial"/>
          <w:b/>
          <w:sz w:val="36"/>
          <w:szCs w:val="36"/>
          <w:lang w:val="en-GB"/>
        </w:rPr>
        <w:t>in  Jaipur</w:t>
      </w:r>
      <w:proofErr w:type="gramEnd"/>
      <w:r w:rsidRPr="00001D9E">
        <w:rPr>
          <w:rFonts w:ascii="Arial" w:hAnsi="Arial" w:cs="Arial"/>
          <w:b/>
          <w:sz w:val="36"/>
          <w:szCs w:val="36"/>
          <w:lang w:val="en-GB"/>
        </w:rPr>
        <w:t xml:space="preserve"> and Udaipur Districts</w:t>
      </w:r>
      <w:r>
        <w:rPr>
          <w:rFonts w:ascii="Arial" w:eastAsia="Calibri" w:hAnsi="Arial" w:cs="Arial"/>
          <w:b/>
          <w:sz w:val="36"/>
          <w:szCs w:val="36"/>
          <w:lang w:bidi="hi-IN"/>
        </w:rPr>
        <w:t xml:space="preserve"> of Rajasthan</w:t>
      </w:r>
    </w:p>
    <w:p w:rsidR="003B5DFA" w:rsidRDefault="003B5DFA" w:rsidP="0056752A">
      <w:pPr>
        <w:pStyle w:val="NormalWeb"/>
        <w:pBdr>
          <w:bottom w:val="single" w:sz="4" w:space="1" w:color="auto"/>
        </w:pBdr>
        <w:spacing w:before="0" w:beforeAutospacing="0" w:after="0" w:afterAutospacing="0" w:line="276" w:lineRule="auto"/>
        <w:jc w:val="center"/>
        <w:rPr>
          <w:rFonts w:ascii="Arial" w:hAnsi="Arial" w:cs="Arial"/>
          <w:sz w:val="20"/>
          <w:szCs w:val="20"/>
        </w:rPr>
      </w:pPr>
    </w:p>
    <w:p w:rsidR="00FF231A" w:rsidRPr="00E7277C" w:rsidRDefault="00FF231A" w:rsidP="0056752A">
      <w:pPr>
        <w:pStyle w:val="NormalWeb"/>
        <w:pBdr>
          <w:bottom w:val="single" w:sz="4" w:space="1" w:color="auto"/>
        </w:pBdr>
        <w:spacing w:before="0" w:beforeAutospacing="0" w:after="0" w:afterAutospacing="0" w:line="276" w:lineRule="auto"/>
        <w:jc w:val="center"/>
        <w:rPr>
          <w:rFonts w:ascii="Arial" w:hAnsi="Arial" w:cs="Arial"/>
          <w:sz w:val="20"/>
          <w:szCs w:val="20"/>
        </w:rPr>
      </w:pPr>
    </w:p>
    <w:p w:rsidR="00D47238" w:rsidRPr="006D4AEB" w:rsidRDefault="006D4AEB" w:rsidP="00E7277C">
      <w:pPr>
        <w:spacing w:before="240" w:after="0" w:line="480" w:lineRule="auto"/>
        <w:jc w:val="both"/>
        <w:rPr>
          <w:rFonts w:ascii="Arial" w:eastAsia="Calibri" w:hAnsi="Arial" w:cs="Arial"/>
          <w:b/>
          <w:lang w:bidi="hi-IN"/>
        </w:rPr>
      </w:pPr>
      <w:r w:rsidRPr="006D4AEB">
        <w:rPr>
          <w:rFonts w:ascii="Arial" w:eastAsia="Calibri" w:hAnsi="Arial" w:cs="Arial"/>
          <w:b/>
          <w:lang w:bidi="hi-IN"/>
        </w:rPr>
        <w:t>ABSTRACT</w:t>
      </w:r>
    </w:p>
    <w:p w:rsidR="009451D1" w:rsidRDefault="00D47238" w:rsidP="008F2809">
      <w:pPr>
        <w:spacing w:line="480" w:lineRule="auto"/>
        <w:ind w:firstLine="360"/>
        <w:jc w:val="both"/>
        <w:rPr>
          <w:rFonts w:ascii="Arial" w:hAnsi="Arial" w:cs="Arial"/>
          <w:sz w:val="20"/>
          <w:szCs w:val="20"/>
          <w:lang w:val="en-IN"/>
        </w:rPr>
      </w:pPr>
      <w:r w:rsidRPr="006D4AEB">
        <w:rPr>
          <w:rFonts w:ascii="Arial" w:eastAsia="Calibri" w:hAnsi="Arial" w:cs="Arial"/>
          <w:sz w:val="20"/>
          <w:szCs w:val="20"/>
          <w:lang w:bidi="hi-IN"/>
        </w:rPr>
        <w:t xml:space="preserve">Developing countries such as India, with their relatively higher dependence on agriculture for livelihoods, are more likely to suffer from such an impending climate change. </w:t>
      </w:r>
      <w:r w:rsidR="00176198">
        <w:rPr>
          <w:rFonts w:ascii="Arial" w:eastAsia="Calibri" w:hAnsi="Arial" w:cs="Arial"/>
          <w:sz w:val="20"/>
          <w:szCs w:val="20"/>
          <w:lang w:bidi="hi-IN"/>
        </w:rPr>
        <w:t xml:space="preserve">The study was conducted to </w:t>
      </w:r>
      <w:proofErr w:type="spellStart"/>
      <w:r w:rsidR="00176198">
        <w:rPr>
          <w:rFonts w:ascii="Arial" w:eastAsia="Calibri" w:hAnsi="Arial" w:cs="Arial"/>
          <w:sz w:val="20"/>
          <w:szCs w:val="20"/>
          <w:lang w:bidi="hi-IN"/>
        </w:rPr>
        <w:t>asses</w:t>
      </w:r>
      <w:proofErr w:type="spellEnd"/>
      <w:r w:rsidR="00176198">
        <w:rPr>
          <w:rFonts w:ascii="Arial" w:eastAsia="Calibri" w:hAnsi="Arial" w:cs="Arial"/>
          <w:sz w:val="20"/>
          <w:szCs w:val="20"/>
          <w:lang w:bidi="hi-IN"/>
        </w:rPr>
        <w:t xml:space="preserve"> the livelihood vulnerability of farmers in Jaipur and Udaipur district of Rajasthan and to find the drivers components which leads to increase their vulnerability. </w:t>
      </w:r>
      <w:r w:rsidR="00C35DE6">
        <w:rPr>
          <w:rFonts w:ascii="Arial" w:eastAsia="Calibri" w:hAnsi="Arial" w:cs="Arial"/>
          <w:sz w:val="20"/>
          <w:szCs w:val="20"/>
          <w:lang w:bidi="hi-IN"/>
        </w:rPr>
        <w:t>M</w:t>
      </w:r>
      <w:r w:rsidRPr="006D4AEB">
        <w:rPr>
          <w:rFonts w:ascii="Arial" w:eastAsia="Calibri" w:hAnsi="Arial" w:cs="Arial"/>
          <w:sz w:val="20"/>
          <w:szCs w:val="20"/>
          <w:lang w:bidi="hi-IN"/>
        </w:rPr>
        <w:t xml:space="preserve">ultistage sampling </w:t>
      </w:r>
      <w:proofErr w:type="gramStart"/>
      <w:r w:rsidRPr="006D4AEB">
        <w:rPr>
          <w:rFonts w:ascii="Arial" w:eastAsia="Calibri" w:hAnsi="Arial" w:cs="Arial"/>
          <w:sz w:val="20"/>
          <w:szCs w:val="20"/>
          <w:lang w:bidi="hi-IN"/>
        </w:rPr>
        <w:t>were</w:t>
      </w:r>
      <w:proofErr w:type="gramEnd"/>
      <w:r w:rsidRPr="006D4AEB">
        <w:rPr>
          <w:rFonts w:ascii="Arial" w:eastAsia="Calibri" w:hAnsi="Arial" w:cs="Arial"/>
          <w:sz w:val="20"/>
          <w:szCs w:val="20"/>
          <w:lang w:bidi="hi-IN"/>
        </w:rPr>
        <w:t xml:space="preserve"> used to select 240 respondents </w:t>
      </w:r>
      <w:r w:rsidR="00357972" w:rsidRPr="006D4AEB">
        <w:rPr>
          <w:rFonts w:ascii="Arial" w:eastAsia="Calibri" w:hAnsi="Arial" w:cs="Arial"/>
          <w:sz w:val="20"/>
          <w:szCs w:val="20"/>
          <w:lang w:bidi="hi-IN"/>
        </w:rPr>
        <w:t xml:space="preserve">randomly </w:t>
      </w:r>
      <w:r w:rsidRPr="006D4AEB">
        <w:rPr>
          <w:rFonts w:ascii="Arial" w:eastAsia="Calibri" w:hAnsi="Arial" w:cs="Arial"/>
          <w:sz w:val="20"/>
          <w:szCs w:val="20"/>
          <w:lang w:bidi="hi-IN"/>
        </w:rPr>
        <w:t>from Jaipur and Udaipur districts in Rajasthan</w:t>
      </w:r>
      <w:r w:rsidR="00357972" w:rsidRPr="006D4AEB">
        <w:rPr>
          <w:rFonts w:ascii="Arial" w:eastAsia="Calibri" w:hAnsi="Arial" w:cs="Arial"/>
          <w:sz w:val="20"/>
          <w:szCs w:val="20"/>
          <w:lang w:bidi="hi-IN"/>
        </w:rPr>
        <w:t>.</w:t>
      </w:r>
      <w:r w:rsidR="009451D1" w:rsidRPr="006D4AEB">
        <w:rPr>
          <w:rFonts w:ascii="Arial" w:eastAsia="Calibri" w:hAnsi="Arial" w:cs="Arial"/>
          <w:sz w:val="20"/>
          <w:szCs w:val="20"/>
          <w:lang w:bidi="hi-IN"/>
        </w:rPr>
        <w:t xml:space="preserve"> </w:t>
      </w:r>
      <w:r w:rsidR="009451D1" w:rsidRPr="006D4AEB">
        <w:rPr>
          <w:rFonts w:ascii="Arial" w:eastAsia="Times New Roman" w:hAnsi="Arial" w:cs="Arial"/>
          <w:sz w:val="20"/>
          <w:szCs w:val="20"/>
          <w:lang w:bidi="hi-IN"/>
        </w:rPr>
        <w:t xml:space="preserve">The Livelihood Vulnerability Index includes seven major components: Socio-Demographic Profile (SDP), Livelihood Strategies (LS), Social Networks (SN), Health (H), Food (F), Water (A), and Natural Disasters and Climate Variability. Each is comprised of several indicators or sub-components. </w:t>
      </w:r>
      <w:r w:rsidR="00F21985" w:rsidRPr="006D4AEB">
        <w:rPr>
          <w:rFonts w:ascii="Arial" w:eastAsia="Times New Roman" w:hAnsi="Arial" w:cs="Arial"/>
          <w:sz w:val="20"/>
          <w:szCs w:val="20"/>
          <w:lang w:bidi="hi-IN"/>
        </w:rPr>
        <w:t xml:space="preserve">Descriptive statistics were applied to compute both the Livelihood Vulnerability Index (LVI) and the LVI based on the Intergovernmental Panel on Climate Change (IPCC) framework. </w:t>
      </w:r>
      <w:r w:rsidR="009451D1" w:rsidRPr="006D4AEB">
        <w:rPr>
          <w:rFonts w:ascii="Arial" w:hAnsi="Arial" w:cs="Arial"/>
          <w:sz w:val="20"/>
          <w:szCs w:val="20"/>
        </w:rPr>
        <w:t xml:space="preserve">The livelihood vulnerability analysis showed that both Jaipur and Udaipur households were moderately to highly vulnerable, with exposure to climate variability, limited adaptive capacity, and sensitivity in key components such as food security, water access, and health services. Limited adaptive capacity, particularly due to low education levels and dependency on agriculture, compounds the risk. </w:t>
      </w:r>
      <w:r w:rsidR="009451D1" w:rsidRPr="006D4AEB">
        <w:rPr>
          <w:rFonts w:ascii="Arial" w:hAnsi="Arial" w:cs="Arial"/>
          <w:sz w:val="20"/>
          <w:szCs w:val="20"/>
          <w:lang w:val="en-IN"/>
        </w:rPr>
        <w:t>This imbalance between high exposure and limited resilience mechanisms demands targeted policy interventions that prioritize water management, food security, livelihood diversification, and improved social and institutional support.</w:t>
      </w:r>
    </w:p>
    <w:p w:rsidR="00E7277C" w:rsidRPr="00E7277C" w:rsidRDefault="006D4AEB" w:rsidP="00E7277C">
      <w:pPr>
        <w:spacing w:line="480" w:lineRule="auto"/>
        <w:jc w:val="both"/>
        <w:rPr>
          <w:rFonts w:ascii="Arial" w:hAnsi="Arial" w:cs="Arial"/>
          <w:sz w:val="20"/>
          <w:szCs w:val="20"/>
        </w:rPr>
      </w:pPr>
      <w:r w:rsidRPr="006D4AEB">
        <w:rPr>
          <w:rFonts w:ascii="Arial" w:hAnsi="Arial" w:cs="Arial"/>
          <w:i/>
          <w:sz w:val="20"/>
          <w:szCs w:val="20"/>
          <w:lang w:val="en-IN"/>
        </w:rPr>
        <w:t>Keywords:</w:t>
      </w:r>
      <w:r>
        <w:rPr>
          <w:rFonts w:ascii="Arial" w:hAnsi="Arial" w:cs="Arial"/>
          <w:sz w:val="20"/>
          <w:szCs w:val="20"/>
          <w:lang w:val="en-IN"/>
        </w:rPr>
        <w:t xml:space="preserve"> </w:t>
      </w:r>
      <w:r w:rsidRPr="006D4AEB">
        <w:rPr>
          <w:rFonts w:ascii="Arial" w:hAnsi="Arial" w:cs="Arial"/>
          <w:i/>
          <w:sz w:val="20"/>
          <w:szCs w:val="20"/>
          <w:lang w:val="en-IN"/>
        </w:rPr>
        <w:t xml:space="preserve">Adaptive capacity, Exposure, Sensitivity and </w:t>
      </w:r>
      <w:r w:rsidR="00E7277C">
        <w:rPr>
          <w:rFonts w:ascii="Arial" w:hAnsi="Arial" w:cs="Arial"/>
          <w:i/>
          <w:sz w:val="20"/>
          <w:szCs w:val="20"/>
          <w:lang w:val="en-IN"/>
        </w:rPr>
        <w:t>Index value</w:t>
      </w:r>
    </w:p>
    <w:p w:rsidR="00D47238" w:rsidRPr="006D4AEB" w:rsidRDefault="006D4AEB" w:rsidP="008F2809">
      <w:pPr>
        <w:spacing w:after="0" w:line="480" w:lineRule="auto"/>
        <w:jc w:val="both"/>
        <w:rPr>
          <w:rFonts w:ascii="Arial" w:eastAsia="Times New Roman" w:hAnsi="Arial" w:cs="Arial"/>
          <w:b/>
          <w:lang w:val="en-IN" w:bidi="hi-IN"/>
        </w:rPr>
      </w:pPr>
      <w:r w:rsidRPr="006D4AEB">
        <w:rPr>
          <w:rFonts w:ascii="Arial" w:eastAsia="Times New Roman" w:hAnsi="Arial" w:cs="Arial"/>
          <w:b/>
          <w:lang w:val="en-IN" w:bidi="hi-IN"/>
        </w:rPr>
        <w:t>1. INTRODUCTION</w:t>
      </w:r>
    </w:p>
    <w:p w:rsidR="00F21985" w:rsidRPr="00001D9E" w:rsidRDefault="00F21985" w:rsidP="00001D9E">
      <w:pPr>
        <w:spacing w:before="100" w:beforeAutospacing="1" w:after="0" w:line="480" w:lineRule="auto"/>
        <w:jc w:val="both"/>
        <w:rPr>
          <w:rFonts w:ascii="Arial" w:hAnsi="Arial" w:cs="Arial"/>
          <w:sz w:val="20"/>
        </w:rPr>
      </w:pPr>
      <w:r w:rsidRPr="006D4AEB">
        <w:rPr>
          <w:rFonts w:ascii="Arial" w:eastAsia="Calibri" w:hAnsi="Arial" w:cs="Arial"/>
          <w:sz w:val="20"/>
          <w:szCs w:val="20"/>
          <w:lang w:val="en-IN" w:bidi="hi-IN"/>
        </w:rPr>
        <w:t xml:space="preserve">Agriculture in developing countries requires substantial transformation to address the intertwined challenges of food insecurity and climate change (FAO, 2010). Climate change is widely recognized as the most pressing developmental challenge of the 21st century, posing significant risks to human </w:t>
      </w:r>
      <w:r w:rsidRPr="006D4AEB">
        <w:rPr>
          <w:rFonts w:ascii="Arial" w:eastAsia="Calibri" w:hAnsi="Arial" w:cs="Arial"/>
          <w:sz w:val="20"/>
          <w:szCs w:val="20"/>
          <w:lang w:val="en-IN" w:bidi="hi-IN"/>
        </w:rPr>
        <w:lastRenderedPageBreak/>
        <w:t>society, natural resources, and key sectors such as forestry, agriculture, and the environment</w:t>
      </w:r>
      <w:r w:rsidR="009F34AA">
        <w:rPr>
          <w:rFonts w:ascii="Arial" w:eastAsia="Calibri" w:hAnsi="Arial" w:cs="Arial"/>
          <w:sz w:val="20"/>
          <w:szCs w:val="20"/>
          <w:lang w:val="en-IN" w:bidi="hi-IN"/>
        </w:rPr>
        <w:t xml:space="preserve"> (Saleem </w:t>
      </w:r>
      <w:r w:rsidR="009F34AA" w:rsidRPr="00001D9E">
        <w:rPr>
          <w:rFonts w:ascii="Arial" w:eastAsia="Calibri" w:hAnsi="Arial" w:cs="Arial"/>
          <w:i/>
          <w:sz w:val="20"/>
          <w:szCs w:val="20"/>
          <w:lang w:val="en-IN" w:bidi="hi-IN"/>
        </w:rPr>
        <w:t>et al</w:t>
      </w:r>
      <w:r w:rsidR="009F34AA">
        <w:rPr>
          <w:rFonts w:ascii="Arial" w:eastAsia="Calibri" w:hAnsi="Arial" w:cs="Arial"/>
          <w:sz w:val="20"/>
          <w:szCs w:val="20"/>
          <w:lang w:val="en-IN" w:bidi="hi-IN"/>
        </w:rPr>
        <w:t>., 2024)</w:t>
      </w:r>
      <w:r w:rsidRPr="006D4AEB">
        <w:rPr>
          <w:rFonts w:ascii="Arial" w:eastAsia="Calibri" w:hAnsi="Arial" w:cs="Arial"/>
          <w:sz w:val="20"/>
          <w:szCs w:val="20"/>
          <w:lang w:val="en-IN" w:bidi="hi-IN"/>
        </w:rPr>
        <w:t>. It refers to long-term alterations in temperature and weather patterns, which can occur naturally due to solar activity or volcanic eruptions. However, since the 1800s, h</w:t>
      </w:r>
      <w:r w:rsidR="00276D60" w:rsidRPr="006D4AEB">
        <w:rPr>
          <w:rFonts w:ascii="Arial" w:eastAsia="Calibri" w:hAnsi="Arial" w:cs="Arial"/>
          <w:sz w:val="20"/>
          <w:szCs w:val="20"/>
          <w:lang w:val="en-IN" w:bidi="hi-IN"/>
        </w:rPr>
        <w:t xml:space="preserve">uman activities </w:t>
      </w:r>
      <w:r w:rsidRPr="006D4AEB">
        <w:rPr>
          <w:rFonts w:ascii="Arial" w:eastAsia="Calibri" w:hAnsi="Arial" w:cs="Arial"/>
          <w:sz w:val="20"/>
          <w:szCs w:val="20"/>
          <w:lang w:val="en-IN" w:bidi="hi-IN"/>
        </w:rPr>
        <w:t>particularly the burning of fossil f</w:t>
      </w:r>
      <w:r w:rsidR="00276D60" w:rsidRPr="006D4AEB">
        <w:rPr>
          <w:rFonts w:ascii="Arial" w:eastAsia="Calibri" w:hAnsi="Arial" w:cs="Arial"/>
          <w:sz w:val="20"/>
          <w:szCs w:val="20"/>
          <w:lang w:val="en-IN" w:bidi="hi-IN"/>
        </w:rPr>
        <w:t xml:space="preserve">uels such as coal, oil, and gases </w:t>
      </w:r>
      <w:r w:rsidRPr="006D4AEB">
        <w:rPr>
          <w:rFonts w:ascii="Arial" w:eastAsia="Calibri" w:hAnsi="Arial" w:cs="Arial"/>
          <w:sz w:val="20"/>
          <w:szCs w:val="20"/>
          <w:lang w:val="en-IN" w:bidi="hi-IN"/>
        </w:rPr>
        <w:t xml:space="preserve">have been the </w:t>
      </w:r>
      <w:r w:rsidR="00276D60" w:rsidRPr="006D4AEB">
        <w:rPr>
          <w:rFonts w:ascii="Arial" w:eastAsia="Calibri" w:hAnsi="Arial" w:cs="Arial"/>
          <w:sz w:val="20"/>
          <w:szCs w:val="20"/>
          <w:lang w:val="en-IN" w:bidi="hi-IN"/>
        </w:rPr>
        <w:t>major</w:t>
      </w:r>
      <w:r w:rsidRPr="006D4AEB">
        <w:rPr>
          <w:rFonts w:ascii="Arial" w:eastAsia="Calibri" w:hAnsi="Arial" w:cs="Arial"/>
          <w:sz w:val="20"/>
          <w:szCs w:val="20"/>
          <w:lang w:val="en-IN" w:bidi="hi-IN"/>
        </w:rPr>
        <w:t xml:space="preserve"> drivers of climate change. These activities release greenhouse gases that form a heat-trapping layer around the Earth, leading to rising global temperatures. Major contributors to these emissions include energy, industry, transport, construction, agriculture, and land use</w:t>
      </w:r>
      <w:r w:rsidR="009F34AA">
        <w:rPr>
          <w:rFonts w:ascii="Arial" w:eastAsia="Calibri" w:hAnsi="Arial" w:cs="Arial"/>
          <w:sz w:val="20"/>
          <w:szCs w:val="20"/>
          <w:lang w:val="en-IN" w:bidi="hi-IN"/>
        </w:rPr>
        <w:t xml:space="preserve"> (United Nation, n.d.)</w:t>
      </w:r>
      <w:r w:rsidRPr="006D4AEB">
        <w:rPr>
          <w:rFonts w:ascii="Arial" w:eastAsia="Calibri" w:hAnsi="Arial" w:cs="Arial"/>
          <w:sz w:val="20"/>
          <w:szCs w:val="20"/>
          <w:lang w:val="en-IN" w:bidi="hi-IN"/>
        </w:rPr>
        <w:t>.</w:t>
      </w:r>
      <w:r w:rsidR="001B1B7A">
        <w:rPr>
          <w:rFonts w:ascii="Arial" w:eastAsia="Calibri" w:hAnsi="Arial" w:cs="Arial"/>
          <w:sz w:val="20"/>
          <w:szCs w:val="20"/>
          <w:lang w:val="en-IN" w:bidi="hi-IN"/>
        </w:rPr>
        <w:t xml:space="preserve"> </w:t>
      </w:r>
      <w:r w:rsidR="000C1838">
        <w:rPr>
          <w:rFonts w:ascii="Arial" w:eastAsia="Calibri" w:hAnsi="Arial" w:cs="Arial"/>
          <w:sz w:val="20"/>
          <w:szCs w:val="20"/>
          <w:lang w:val="en-IN" w:bidi="hi-IN"/>
        </w:rPr>
        <w:t>Rajasthan</w:t>
      </w:r>
      <w:r w:rsidR="001B1B7A" w:rsidRPr="001B1B7A">
        <w:rPr>
          <w:rFonts w:ascii="Arial" w:eastAsia="Calibri" w:hAnsi="Arial" w:cs="Arial"/>
          <w:sz w:val="20"/>
          <w:szCs w:val="20"/>
          <w:lang w:val="en-IN" w:bidi="hi-IN"/>
        </w:rPr>
        <w:t xml:space="preserve"> is one of the most vulnerable states to climate change in India (Rama Rao</w:t>
      </w:r>
      <w:r w:rsidR="001B1B7A">
        <w:rPr>
          <w:rFonts w:ascii="Arial" w:eastAsia="Calibri" w:hAnsi="Arial" w:cs="Arial"/>
          <w:sz w:val="20"/>
          <w:szCs w:val="20"/>
          <w:lang w:val="en-IN" w:bidi="hi-IN"/>
        </w:rPr>
        <w:t xml:space="preserve"> </w:t>
      </w:r>
      <w:r w:rsidR="001B1B7A" w:rsidRPr="00001D9E">
        <w:rPr>
          <w:rFonts w:ascii="Arial" w:eastAsia="Calibri" w:hAnsi="Arial" w:cs="Arial"/>
          <w:i/>
          <w:sz w:val="20"/>
          <w:szCs w:val="20"/>
          <w:lang w:val="en-IN" w:bidi="hi-IN"/>
        </w:rPr>
        <w:t>et al.</w:t>
      </w:r>
      <w:r w:rsidR="001B1B7A" w:rsidRPr="001B1B7A">
        <w:rPr>
          <w:rFonts w:ascii="Arial" w:eastAsia="Calibri" w:hAnsi="Arial" w:cs="Arial"/>
          <w:sz w:val="20"/>
          <w:szCs w:val="20"/>
          <w:lang w:val="en-IN" w:bidi="hi-IN"/>
        </w:rPr>
        <w:t>, 2019). Rajasthan has experienced a significant increase in temperature over the past few decades. In the Western Rajasthan during last 40 years (1971-2010) the annual mean temperature has shown significant change and it has risen by 2.4 0C for the month of June and 1.4 0C increase for the month of January (Kaushik, 2019).</w:t>
      </w:r>
      <w:r w:rsidR="000C1838">
        <w:rPr>
          <w:rFonts w:ascii="Arial" w:eastAsia="Calibri" w:hAnsi="Arial" w:cs="Arial"/>
          <w:sz w:val="20"/>
          <w:szCs w:val="20"/>
          <w:lang w:val="en-IN" w:bidi="hi-IN"/>
        </w:rPr>
        <w:t xml:space="preserve"> </w:t>
      </w:r>
      <w:r w:rsidR="000C1838" w:rsidRPr="00872B0D">
        <w:rPr>
          <w:rFonts w:ascii="Arial" w:hAnsi="Arial" w:cs="Arial"/>
          <w:sz w:val="20"/>
        </w:rPr>
        <w:t>Vulnerability, as defined by IPCC (2001), is shaped by exposure to external stresses, the sensitivity of systems to those stresses, and their adaptive capacity to respond, adjust, and recover.</w:t>
      </w:r>
    </w:p>
    <w:p w:rsidR="00F21985" w:rsidRPr="00001D9E" w:rsidRDefault="00F21985" w:rsidP="00001D9E">
      <w:pPr>
        <w:spacing w:line="480" w:lineRule="auto"/>
        <w:jc w:val="both"/>
        <w:rPr>
          <w:rFonts w:ascii="Arial" w:hAnsi="Arial" w:cs="Arial"/>
          <w:color w:val="222222"/>
          <w:sz w:val="20"/>
          <w:szCs w:val="20"/>
          <w:shd w:val="clear" w:color="auto" w:fill="FFFFFF"/>
        </w:rPr>
      </w:pPr>
      <w:r w:rsidRPr="000C1838">
        <w:rPr>
          <w:rFonts w:ascii="Arial" w:eastAsia="Calibri" w:hAnsi="Arial" w:cs="Arial"/>
          <w:sz w:val="20"/>
          <w:szCs w:val="20"/>
          <w:lang w:val="en-IN" w:bidi="hi-IN"/>
        </w:rPr>
        <w:t>In India, agriculture has historically served as the backbone of the economy and remains vital for livelihoods (</w:t>
      </w:r>
      <w:proofErr w:type="spellStart"/>
      <w:r w:rsidRPr="000C1838">
        <w:rPr>
          <w:rFonts w:ascii="Arial" w:eastAsia="Calibri" w:hAnsi="Arial" w:cs="Arial"/>
          <w:sz w:val="20"/>
          <w:szCs w:val="20"/>
          <w:lang w:val="en-IN" w:bidi="hi-IN"/>
        </w:rPr>
        <w:t>Dadheech</w:t>
      </w:r>
      <w:proofErr w:type="spellEnd"/>
      <w:r w:rsidRPr="000C1838">
        <w:rPr>
          <w:rFonts w:ascii="Arial" w:eastAsia="Calibri" w:hAnsi="Arial" w:cs="Arial"/>
          <w:sz w:val="20"/>
          <w:szCs w:val="20"/>
          <w:lang w:val="en-IN" w:bidi="hi-IN"/>
        </w:rPr>
        <w:t xml:space="preserve"> and Kaur, 2025). Given its biological nature, agricultural production is highly sensitive to climate, making projected climatic shifts a critical concern for the sustainability of both food systems and rural livelihoods</w:t>
      </w:r>
      <w:r w:rsidR="0057117B" w:rsidRPr="000C1838">
        <w:rPr>
          <w:rFonts w:ascii="Arial" w:eastAsia="Calibri" w:hAnsi="Arial" w:cs="Arial"/>
          <w:sz w:val="20"/>
          <w:szCs w:val="20"/>
          <w:lang w:val="en-IN" w:bidi="hi-IN"/>
        </w:rPr>
        <w:t xml:space="preserve"> (</w:t>
      </w:r>
      <w:proofErr w:type="spellStart"/>
      <w:r w:rsidR="0057117B" w:rsidRPr="000C1838">
        <w:rPr>
          <w:rFonts w:ascii="Arial" w:eastAsia="Calibri" w:hAnsi="Arial" w:cs="Arial"/>
          <w:sz w:val="20"/>
          <w:szCs w:val="20"/>
          <w:lang w:val="en-IN" w:bidi="hi-IN"/>
        </w:rPr>
        <w:t>Alawode</w:t>
      </w:r>
      <w:proofErr w:type="spellEnd"/>
      <w:r w:rsidR="0057117B" w:rsidRPr="000C1838">
        <w:rPr>
          <w:rFonts w:ascii="Arial" w:eastAsia="Calibri" w:hAnsi="Arial" w:cs="Arial"/>
          <w:sz w:val="20"/>
          <w:szCs w:val="20"/>
          <w:lang w:val="en-IN" w:bidi="hi-IN"/>
        </w:rPr>
        <w:t>, 2025)</w:t>
      </w:r>
      <w:r w:rsidRPr="000C1838">
        <w:rPr>
          <w:rFonts w:ascii="Arial" w:eastAsia="Calibri" w:hAnsi="Arial" w:cs="Arial"/>
          <w:sz w:val="20"/>
          <w:szCs w:val="20"/>
          <w:lang w:val="en-IN" w:bidi="hi-IN"/>
        </w:rPr>
        <w:t>. Climate change increase existing issues such as land degradation, rising input costs, market volatility, and declining productivity responses, thereby intensifying threats to agricultural sustainability</w:t>
      </w:r>
      <w:r w:rsidR="0057117B" w:rsidRPr="000C1838">
        <w:rPr>
          <w:rFonts w:ascii="Arial" w:eastAsia="Calibri" w:hAnsi="Arial" w:cs="Arial"/>
          <w:sz w:val="20"/>
          <w:szCs w:val="20"/>
          <w:lang w:val="en-IN" w:bidi="hi-IN"/>
        </w:rPr>
        <w:t xml:space="preserve"> (Bakhsh, 2022; </w:t>
      </w:r>
      <w:proofErr w:type="spellStart"/>
      <w:r w:rsidR="00564DE6" w:rsidRPr="000C1838">
        <w:rPr>
          <w:rFonts w:ascii="Arial" w:eastAsia="Calibri" w:hAnsi="Arial" w:cs="Arial"/>
          <w:sz w:val="20"/>
          <w:szCs w:val="20"/>
          <w:lang w:val="en-IN" w:bidi="hi-IN"/>
        </w:rPr>
        <w:t>Kakumanu</w:t>
      </w:r>
      <w:proofErr w:type="spellEnd"/>
      <w:r w:rsidR="00564DE6" w:rsidRPr="000C1838">
        <w:rPr>
          <w:rFonts w:ascii="Arial" w:eastAsia="Calibri" w:hAnsi="Arial" w:cs="Arial"/>
          <w:sz w:val="20"/>
          <w:szCs w:val="20"/>
          <w:lang w:val="en-IN" w:bidi="hi-IN"/>
        </w:rPr>
        <w:t xml:space="preserve"> and </w:t>
      </w:r>
      <w:proofErr w:type="spellStart"/>
      <w:r w:rsidR="00564DE6" w:rsidRPr="000C1838">
        <w:rPr>
          <w:rFonts w:ascii="Arial" w:eastAsia="Calibri" w:hAnsi="Arial" w:cs="Arial"/>
          <w:sz w:val="20"/>
          <w:szCs w:val="20"/>
          <w:lang w:val="en-IN" w:bidi="hi-IN"/>
        </w:rPr>
        <w:t>Srider</w:t>
      </w:r>
      <w:proofErr w:type="spellEnd"/>
      <w:r w:rsidR="00564DE6" w:rsidRPr="000C1838">
        <w:rPr>
          <w:rFonts w:ascii="Arial" w:eastAsia="Calibri" w:hAnsi="Arial" w:cs="Arial"/>
          <w:sz w:val="20"/>
          <w:szCs w:val="20"/>
          <w:lang w:val="en-IN" w:bidi="hi-IN"/>
        </w:rPr>
        <w:t>, 2025; Gupta, 2019)</w:t>
      </w:r>
      <w:r w:rsidRPr="000C1838">
        <w:rPr>
          <w:rFonts w:ascii="Arial" w:eastAsia="Calibri" w:hAnsi="Arial" w:cs="Arial"/>
          <w:sz w:val="20"/>
          <w:szCs w:val="20"/>
          <w:lang w:val="en-IN" w:bidi="hi-IN"/>
        </w:rPr>
        <w:t>. Developing nations like India, with a high reliance on agriculture for employment and income, are particularly vulnerable. Climate change not only reduces crop productivity but also increases farm income instability, production risks, and livelihood insecurity</w:t>
      </w:r>
      <w:r w:rsidR="00966E9A" w:rsidRPr="000C1838">
        <w:rPr>
          <w:rFonts w:ascii="Arial" w:eastAsia="Calibri" w:hAnsi="Arial" w:cs="Arial"/>
          <w:sz w:val="20"/>
          <w:szCs w:val="20"/>
          <w:lang w:val="en-IN" w:bidi="hi-IN"/>
        </w:rPr>
        <w:t xml:space="preserve"> (</w:t>
      </w:r>
      <w:proofErr w:type="spellStart"/>
      <w:r w:rsidR="00966E9A" w:rsidRPr="000C1838">
        <w:rPr>
          <w:rFonts w:ascii="Arial" w:eastAsia="Calibri" w:hAnsi="Arial" w:cs="Arial"/>
          <w:sz w:val="20"/>
          <w:szCs w:val="20"/>
          <w:lang w:val="en-IN" w:bidi="hi-IN"/>
        </w:rPr>
        <w:t>Ado</w:t>
      </w:r>
      <w:r w:rsidR="00564DE6" w:rsidRPr="000C1838">
        <w:rPr>
          <w:rFonts w:ascii="Arial" w:eastAsia="Calibri" w:hAnsi="Arial" w:cs="Arial"/>
          <w:sz w:val="20"/>
          <w:szCs w:val="20"/>
          <w:lang w:val="en-IN" w:bidi="hi-IN"/>
        </w:rPr>
        <w:t>m</w:t>
      </w:r>
      <w:proofErr w:type="spellEnd"/>
      <w:r w:rsidR="00564DE6" w:rsidRPr="000C1838">
        <w:rPr>
          <w:rFonts w:ascii="Arial" w:eastAsia="Calibri" w:hAnsi="Arial" w:cs="Arial"/>
          <w:sz w:val="20"/>
          <w:szCs w:val="20"/>
          <w:lang w:val="en-IN" w:bidi="hi-IN"/>
        </w:rPr>
        <w:t>, 2024)</w:t>
      </w:r>
      <w:r w:rsidRPr="000C1838">
        <w:rPr>
          <w:rFonts w:ascii="Arial" w:eastAsia="Calibri" w:hAnsi="Arial" w:cs="Arial"/>
          <w:sz w:val="20"/>
          <w:szCs w:val="20"/>
          <w:lang w:val="en-IN" w:bidi="hi-IN"/>
        </w:rPr>
        <w:t xml:space="preserve">. The Intergovernmental Panel on Climate Change identifies South Asia, including India, as a climate hotspot, projecting significant reductions in food crop yields such as rice and wheat. Seasonal variations in rainfall patterns affect irrigation water availability, while rising temperatures and heat stress adversely influence livestock productivity, compounding livelihood risks (Kumar </w:t>
      </w:r>
      <w:r w:rsidRPr="000C1838">
        <w:rPr>
          <w:rFonts w:ascii="Arial" w:eastAsia="Calibri" w:hAnsi="Arial" w:cs="Arial"/>
          <w:i/>
          <w:sz w:val="20"/>
          <w:szCs w:val="20"/>
          <w:lang w:val="en-IN" w:bidi="hi-IN"/>
        </w:rPr>
        <w:t>et al</w:t>
      </w:r>
      <w:r w:rsidRPr="000C1838">
        <w:rPr>
          <w:rFonts w:ascii="Arial" w:eastAsia="Calibri" w:hAnsi="Arial" w:cs="Arial"/>
          <w:sz w:val="20"/>
          <w:szCs w:val="20"/>
          <w:lang w:val="en-IN" w:bidi="hi-IN"/>
        </w:rPr>
        <w:t>., 2014). Indian farmers’ dependence on monsoon rains, combined with limited adaptive capacity and weak infrastructure, leaves them highly exposed to climatic shocks such as erratic rainfall, droughts, floods, and rising temperatures (</w:t>
      </w:r>
      <w:proofErr w:type="spellStart"/>
      <w:r w:rsidR="00B76891" w:rsidRPr="000C1838">
        <w:rPr>
          <w:rFonts w:ascii="Arial" w:eastAsia="Calibri" w:hAnsi="Arial" w:cs="Arial"/>
          <w:sz w:val="20"/>
          <w:szCs w:val="20"/>
          <w:lang w:val="en-IN" w:bidi="hi-IN"/>
        </w:rPr>
        <w:t>Nagendiran</w:t>
      </w:r>
      <w:proofErr w:type="spellEnd"/>
      <w:r w:rsidR="00B76891" w:rsidRPr="000C1838">
        <w:rPr>
          <w:rFonts w:ascii="Arial" w:eastAsia="Calibri" w:hAnsi="Arial" w:cs="Arial"/>
          <w:sz w:val="20"/>
          <w:szCs w:val="20"/>
          <w:lang w:val="en-IN" w:bidi="hi-IN"/>
        </w:rPr>
        <w:t xml:space="preserve"> and Sathya, 2024</w:t>
      </w:r>
      <w:r w:rsidRPr="000C1838">
        <w:rPr>
          <w:rFonts w:ascii="Arial" w:eastAsia="Calibri" w:hAnsi="Arial" w:cs="Arial"/>
          <w:sz w:val="20"/>
          <w:szCs w:val="20"/>
          <w:lang w:val="en-IN" w:bidi="hi-IN"/>
        </w:rPr>
        <w:t xml:space="preserve">; </w:t>
      </w:r>
      <w:proofErr w:type="spellStart"/>
      <w:r w:rsidRPr="000C1838">
        <w:rPr>
          <w:rFonts w:ascii="Arial" w:eastAsia="Calibri" w:hAnsi="Arial" w:cs="Arial"/>
          <w:sz w:val="20"/>
          <w:szCs w:val="20"/>
          <w:lang w:val="en-IN" w:bidi="hi-IN"/>
        </w:rPr>
        <w:t>Birthal</w:t>
      </w:r>
      <w:proofErr w:type="spellEnd"/>
      <w:r w:rsidRPr="000C1838">
        <w:rPr>
          <w:rFonts w:ascii="Arial" w:eastAsia="Calibri" w:hAnsi="Arial" w:cs="Arial"/>
          <w:sz w:val="20"/>
          <w:szCs w:val="20"/>
          <w:lang w:val="en-IN" w:bidi="hi-IN"/>
        </w:rPr>
        <w:t xml:space="preserve"> </w:t>
      </w:r>
      <w:r w:rsidRPr="000C1838">
        <w:rPr>
          <w:rFonts w:ascii="Arial" w:eastAsia="Calibri" w:hAnsi="Arial" w:cs="Arial"/>
          <w:i/>
          <w:sz w:val="20"/>
          <w:szCs w:val="20"/>
          <w:lang w:val="en-IN" w:bidi="hi-IN"/>
        </w:rPr>
        <w:t>et al</w:t>
      </w:r>
      <w:r w:rsidRPr="000C1838">
        <w:rPr>
          <w:rFonts w:ascii="Arial" w:eastAsia="Calibri" w:hAnsi="Arial" w:cs="Arial"/>
          <w:sz w:val="20"/>
          <w:szCs w:val="20"/>
          <w:lang w:val="en-IN" w:bidi="hi-IN"/>
        </w:rPr>
        <w:t xml:space="preserve">., 2014). Empirical applications of the </w:t>
      </w:r>
      <w:r w:rsidRPr="000C1838">
        <w:rPr>
          <w:rFonts w:ascii="Arial" w:eastAsia="Calibri" w:hAnsi="Arial" w:cs="Arial"/>
          <w:sz w:val="20"/>
          <w:szCs w:val="20"/>
          <w:lang w:val="en-IN" w:bidi="hi-IN"/>
        </w:rPr>
        <w:lastRenderedPageBreak/>
        <w:t xml:space="preserve">Livelihood Vulnerability Index (LVI) further reveal that smallholders, tenant farmers, and tribal communities are especially at risk due to fragmented landholdings, limited access to formal credit and insurance, high dependence on climate-sensitive income sources, and poor irrigation facilities (Jatav </w:t>
      </w:r>
      <w:r w:rsidRPr="000C1838">
        <w:rPr>
          <w:rFonts w:ascii="Arial" w:eastAsia="Calibri" w:hAnsi="Arial" w:cs="Arial"/>
          <w:i/>
          <w:sz w:val="20"/>
          <w:szCs w:val="20"/>
          <w:lang w:val="en-IN" w:bidi="hi-IN"/>
        </w:rPr>
        <w:t>et al.</w:t>
      </w:r>
      <w:r w:rsidRPr="000C1838">
        <w:rPr>
          <w:rFonts w:ascii="Arial" w:eastAsia="Calibri" w:hAnsi="Arial" w:cs="Arial"/>
          <w:sz w:val="20"/>
          <w:szCs w:val="20"/>
          <w:lang w:val="en-IN" w:bidi="hi-IN"/>
        </w:rPr>
        <w:t xml:space="preserve">, 2024; Sundaran </w:t>
      </w:r>
      <w:r w:rsidRPr="000C1838">
        <w:rPr>
          <w:rFonts w:ascii="Arial" w:eastAsia="Calibri" w:hAnsi="Arial" w:cs="Arial"/>
          <w:i/>
          <w:sz w:val="20"/>
          <w:szCs w:val="20"/>
          <w:lang w:val="en-IN" w:bidi="hi-IN"/>
        </w:rPr>
        <w:t>et al</w:t>
      </w:r>
      <w:r w:rsidRPr="000C1838">
        <w:rPr>
          <w:rFonts w:ascii="Arial" w:eastAsia="Calibri" w:hAnsi="Arial" w:cs="Arial"/>
          <w:sz w:val="20"/>
          <w:szCs w:val="20"/>
          <w:lang w:val="en-IN" w:bidi="hi-IN"/>
        </w:rPr>
        <w:t xml:space="preserve">., 2024). Thus, climate change impacts extend beyond crop yields, threatening the broader livelihood security of rural households. </w:t>
      </w:r>
      <w:proofErr w:type="spellStart"/>
      <w:proofErr w:type="gramStart"/>
      <w:r w:rsidR="00DC1066" w:rsidRPr="000C1838">
        <w:rPr>
          <w:rFonts w:ascii="Arial" w:hAnsi="Arial" w:cs="Arial"/>
          <w:color w:val="222222"/>
          <w:sz w:val="20"/>
          <w:szCs w:val="20"/>
          <w:shd w:val="clear" w:color="auto" w:fill="FFFFFF"/>
        </w:rPr>
        <w:t>Their</w:t>
      </w:r>
      <w:proofErr w:type="spellEnd"/>
      <w:proofErr w:type="gramEnd"/>
      <w:r w:rsidR="00DC1066" w:rsidRPr="000C1838">
        <w:rPr>
          <w:rFonts w:ascii="Arial" w:hAnsi="Arial" w:cs="Arial"/>
          <w:color w:val="222222"/>
          <w:sz w:val="20"/>
          <w:szCs w:val="20"/>
          <w:shd w:val="clear" w:color="auto" w:fill="FFFFFF"/>
        </w:rPr>
        <w:t xml:space="preserve"> i</w:t>
      </w:r>
      <w:r w:rsidR="00DC1066" w:rsidRPr="003C00C3">
        <w:rPr>
          <w:rFonts w:ascii="Arial" w:hAnsi="Arial" w:cs="Arial"/>
          <w:color w:val="222222"/>
          <w:sz w:val="20"/>
          <w:szCs w:val="20"/>
          <w:shd w:val="clear" w:color="auto" w:fill="FFFFFF"/>
        </w:rPr>
        <w:t>s lack of detailed studies on the livelihood vulnerability of farm households in Jaipur and Udaipur district of Rajasthan. Although livelihood vulnerability assessments have been conducted in other regions, limited work has been done to estimate the exposur</w:t>
      </w:r>
      <w:r w:rsidR="00DC1066" w:rsidRPr="00001D9E">
        <w:rPr>
          <w:rFonts w:ascii="Arial" w:hAnsi="Arial" w:cs="Arial"/>
          <w:color w:val="222222"/>
          <w:sz w:val="20"/>
          <w:szCs w:val="20"/>
          <w:shd w:val="clear" w:color="auto" w:fill="FFFFFF"/>
        </w:rPr>
        <w:t xml:space="preserve">e, sensitivity, and adaptive capacities of farm households of selected district. This is crucial in a state where agriculture remains heavily rain dependent and susceptible to climate stressors. </w:t>
      </w:r>
      <w:r w:rsidRPr="000C1838">
        <w:rPr>
          <w:rFonts w:ascii="Arial" w:eastAsia="Calibri" w:hAnsi="Arial" w:cs="Arial"/>
          <w:sz w:val="20"/>
          <w:szCs w:val="20"/>
          <w:lang w:val="en-IN" w:bidi="hi-IN"/>
        </w:rPr>
        <w:t>This study, therefore, seeks to assess the vulnerability of farm households to climate-induced risks.</w:t>
      </w:r>
    </w:p>
    <w:p w:rsidR="00520E26" w:rsidRDefault="006D4AEB" w:rsidP="008F2809">
      <w:pPr>
        <w:spacing w:line="480" w:lineRule="auto"/>
        <w:rPr>
          <w:rFonts w:ascii="Arial" w:eastAsia="Calibri" w:hAnsi="Arial" w:cs="Arial"/>
          <w:b/>
          <w:lang w:bidi="hi-IN"/>
        </w:rPr>
      </w:pPr>
      <w:r w:rsidRPr="006D4AEB">
        <w:rPr>
          <w:rFonts w:ascii="Arial" w:eastAsia="Calibri" w:hAnsi="Arial" w:cs="Arial"/>
          <w:b/>
          <w:lang w:bidi="hi-IN"/>
        </w:rPr>
        <w:t>2. METHODOLOGY</w:t>
      </w:r>
    </w:p>
    <w:p w:rsidR="00E56F7C" w:rsidRDefault="00FD0DE9" w:rsidP="008F2809">
      <w:pPr>
        <w:spacing w:line="480" w:lineRule="auto"/>
        <w:rPr>
          <w:rFonts w:ascii="Arial" w:eastAsia="Calibri" w:hAnsi="Arial" w:cs="Arial"/>
          <w:b/>
          <w:lang w:bidi="hi-IN"/>
        </w:rPr>
      </w:pPr>
      <w:r>
        <w:rPr>
          <w:rFonts w:ascii="Arial" w:eastAsia="Calibri" w:hAnsi="Arial" w:cs="Arial"/>
          <w:b/>
          <w:lang w:bidi="hi-IN"/>
        </w:rPr>
        <w:t xml:space="preserve">2.1: </w:t>
      </w:r>
      <w:r w:rsidR="00E56F7C">
        <w:rPr>
          <w:rFonts w:ascii="Arial" w:eastAsia="Calibri" w:hAnsi="Arial" w:cs="Arial"/>
          <w:b/>
          <w:lang w:bidi="hi-IN"/>
        </w:rPr>
        <w:t xml:space="preserve">Description of the study area </w:t>
      </w:r>
    </w:p>
    <w:p w:rsidR="00E56F7C" w:rsidRDefault="00ED1296" w:rsidP="00001D9E">
      <w:pPr>
        <w:jc w:val="both"/>
        <w:rPr>
          <w:rFonts w:ascii="Arial" w:eastAsia="Calibri" w:hAnsi="Arial" w:cs="Arial"/>
          <w:b/>
          <w:lang w:bidi="hi-IN"/>
        </w:rPr>
      </w:pPr>
      <w:r w:rsidRPr="00E64102">
        <w:rPr>
          <w:rFonts w:ascii="Arial" w:hAnsi="Arial" w:cs="Arial"/>
          <w:sz w:val="20"/>
        </w:rPr>
        <w:t xml:space="preserve">Rajasthan, the largest state in India in terms of area, is </w:t>
      </w:r>
      <w:r>
        <w:rPr>
          <w:rFonts w:ascii="Arial" w:hAnsi="Arial" w:cs="Arial"/>
          <w:sz w:val="20"/>
        </w:rPr>
        <w:t>characterized by</w:t>
      </w:r>
      <w:r w:rsidRPr="00E64102">
        <w:rPr>
          <w:rFonts w:ascii="Arial" w:hAnsi="Arial" w:cs="Arial"/>
          <w:sz w:val="20"/>
        </w:rPr>
        <w:t xml:space="preserve"> its arid climate, </w:t>
      </w:r>
      <w:proofErr w:type="spellStart"/>
      <w:r>
        <w:rPr>
          <w:rFonts w:ascii="Arial" w:hAnsi="Arial" w:cs="Arial"/>
          <w:sz w:val="20"/>
        </w:rPr>
        <w:t>gaint</w:t>
      </w:r>
      <w:proofErr w:type="spellEnd"/>
      <w:r w:rsidRPr="00E64102">
        <w:rPr>
          <w:rFonts w:ascii="Arial" w:hAnsi="Arial" w:cs="Arial"/>
          <w:sz w:val="20"/>
        </w:rPr>
        <w:t xml:space="preserve"> desert landscape, and frequent extreme weather events. The state’s economy is predominantly supported by agriculture and industry, with tourism also contributing significantly. As per the 2011 census, Rajasthan accounted for 11.47 per cent of the country’s total cultivator population. Agriculture serves as the foundation of the state economy, with nearly two-thirds of the population (around 65 per cent) depending on farming and allied sectors for their livelihood (Swain </w:t>
      </w:r>
      <w:r w:rsidRPr="00E64102">
        <w:rPr>
          <w:rFonts w:ascii="Arial" w:hAnsi="Arial" w:cs="Arial"/>
          <w:i/>
          <w:sz w:val="20"/>
        </w:rPr>
        <w:t>et a</w:t>
      </w:r>
      <w:r w:rsidRPr="00E64102">
        <w:rPr>
          <w:rFonts w:ascii="Arial" w:hAnsi="Arial" w:cs="Arial"/>
          <w:sz w:val="20"/>
        </w:rPr>
        <w:t xml:space="preserve">l., 2012). Rajasthan has also been identified as one of the </w:t>
      </w:r>
      <w:proofErr w:type="spellStart"/>
      <w:r w:rsidRPr="00E64102">
        <w:rPr>
          <w:rFonts w:ascii="Arial" w:hAnsi="Arial" w:cs="Arial"/>
          <w:sz w:val="20"/>
        </w:rPr>
        <w:t>states</w:t>
      </w:r>
      <w:proofErr w:type="spellEnd"/>
      <w:r w:rsidRPr="00E64102">
        <w:rPr>
          <w:rFonts w:ascii="Arial" w:hAnsi="Arial" w:cs="Arial"/>
          <w:sz w:val="20"/>
        </w:rPr>
        <w:t xml:space="preserve"> most vulnerable to the impacts of climate change in</w:t>
      </w:r>
      <w:r>
        <w:rPr>
          <w:rFonts w:ascii="Arial" w:hAnsi="Arial" w:cs="Arial"/>
          <w:sz w:val="20"/>
        </w:rPr>
        <w:t xml:space="preserve"> India (Rama Rao </w:t>
      </w:r>
      <w:r w:rsidRPr="00E64102">
        <w:rPr>
          <w:rFonts w:ascii="Arial" w:hAnsi="Arial" w:cs="Arial"/>
          <w:i/>
          <w:sz w:val="20"/>
        </w:rPr>
        <w:t>et al.,</w:t>
      </w:r>
      <w:r>
        <w:rPr>
          <w:rFonts w:ascii="Arial" w:hAnsi="Arial" w:cs="Arial"/>
          <w:sz w:val="20"/>
        </w:rPr>
        <w:t xml:space="preserve"> 2019). </w:t>
      </w:r>
      <w:r w:rsidRPr="00E64102">
        <w:rPr>
          <w:rFonts w:ascii="Arial" w:hAnsi="Arial" w:cs="Arial"/>
          <w:sz w:val="20"/>
        </w:rPr>
        <w:t>Jaipur district, situated in the semi-arid eastern plain zone (Agro-climatic zone 3-A), covers an area of 11,061.44 sq. km, lying between latitudes 26°25’ and 27°51’ North and longitudes 74°55’ and 76°15’ East, forming part of the east-central Rajasthan. The district receives an average annual rainfall of 565 mm, with a normal annual rainfall of 527 mm, and experiences hot summe</w:t>
      </w:r>
      <w:r>
        <w:rPr>
          <w:rFonts w:ascii="Arial" w:hAnsi="Arial" w:cs="Arial"/>
          <w:sz w:val="20"/>
        </w:rPr>
        <w:t xml:space="preserve">rs and relatively mild winters. </w:t>
      </w:r>
      <w:r w:rsidRPr="00E64102">
        <w:rPr>
          <w:rFonts w:ascii="Arial" w:hAnsi="Arial" w:cs="Arial"/>
          <w:sz w:val="20"/>
        </w:rPr>
        <w:t xml:space="preserve">Udaipur district extends between 23°46’ and 25°05’ North latitude and 73°09’ to 74°35’ East longitude, covering 13,419 sq. km. The area is marked by an undulating terrain, with the Aravalli ranges stretching in a northeast–southwest direction across its western part. Falling under the Sub-Humid South Plain and Aravalli Hill Zone, the district is characterized by moderate rainfall and significant temperature variation, ranging from 0°C–25°C in winters to 26°C–50°C in summers. The average annual rainfall is about 637 mm, while the normal rainfall is recorded at 633.5 mm, with the southern region of the district receiving comparatively higher </w:t>
      </w:r>
      <w:proofErr w:type="spellStart"/>
      <w:proofErr w:type="gramStart"/>
      <w:r w:rsidRPr="00E64102">
        <w:rPr>
          <w:rFonts w:ascii="Arial" w:hAnsi="Arial" w:cs="Arial"/>
          <w:sz w:val="20"/>
        </w:rPr>
        <w:t>rainfall.</w:t>
      </w:r>
      <w:r w:rsidR="00E56F7C">
        <w:rPr>
          <w:rFonts w:ascii="Arial" w:eastAsia="Calibri" w:hAnsi="Arial" w:cs="Arial"/>
          <w:b/>
          <w:lang w:bidi="hi-IN"/>
        </w:rPr>
        <w:t>Show</w:t>
      </w:r>
      <w:proofErr w:type="spellEnd"/>
      <w:proofErr w:type="gramEnd"/>
      <w:r w:rsidR="00E56F7C">
        <w:rPr>
          <w:rFonts w:ascii="Arial" w:eastAsia="Calibri" w:hAnsi="Arial" w:cs="Arial"/>
          <w:b/>
          <w:lang w:bidi="hi-IN"/>
        </w:rPr>
        <w:t xml:space="preserve"> the study area map</w:t>
      </w:r>
    </w:p>
    <w:p w:rsidR="00FD0DE9" w:rsidRPr="006D4AEB" w:rsidRDefault="00FD0DE9" w:rsidP="00001D9E">
      <w:pPr>
        <w:jc w:val="both"/>
        <w:rPr>
          <w:rFonts w:ascii="Arial" w:eastAsia="Calibri" w:hAnsi="Arial" w:cs="Arial"/>
          <w:b/>
          <w:lang w:bidi="hi-IN"/>
        </w:rPr>
      </w:pPr>
      <w:r w:rsidRPr="00001D9E">
        <w:rPr>
          <w:rFonts w:ascii="Arial" w:eastAsia="Calibri" w:hAnsi="Arial" w:cs="Arial"/>
          <w:b/>
          <w:noProof/>
          <w:lang w:val="en-IN" w:eastAsia="en-IN"/>
        </w:rPr>
        <w:lastRenderedPageBreak/>
        <w:drawing>
          <wp:inline distT="0" distB="0" distL="0" distR="0">
            <wp:extent cx="5731510" cy="405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areapap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3205"/>
                    </a:xfrm>
                    <a:prstGeom prst="rect">
                      <a:avLst/>
                    </a:prstGeom>
                  </pic:spPr>
                </pic:pic>
              </a:graphicData>
            </a:graphic>
          </wp:inline>
        </w:drawing>
      </w:r>
    </w:p>
    <w:p w:rsidR="00FD0DE9" w:rsidRDefault="00FD0DE9" w:rsidP="008F2809">
      <w:pPr>
        <w:spacing w:after="0" w:line="480" w:lineRule="auto"/>
        <w:rPr>
          <w:rFonts w:ascii="Arial" w:eastAsia="Calibri" w:hAnsi="Arial" w:cs="Arial"/>
          <w:b/>
          <w:lang w:bidi="hi-IN"/>
        </w:rPr>
      </w:pPr>
      <w:r>
        <w:rPr>
          <w:rFonts w:ascii="Arial" w:eastAsia="Calibri" w:hAnsi="Arial" w:cs="Arial"/>
          <w:b/>
          <w:lang w:bidi="hi-IN"/>
        </w:rPr>
        <w:t>Fig1: Map of study area selection</w:t>
      </w:r>
    </w:p>
    <w:p w:rsidR="00EC45E0" w:rsidRPr="006D4AEB" w:rsidRDefault="00AF5D15" w:rsidP="008F2809">
      <w:pPr>
        <w:spacing w:after="0" w:line="480" w:lineRule="auto"/>
        <w:rPr>
          <w:rFonts w:ascii="Arial" w:eastAsia="Calibri" w:hAnsi="Arial" w:cs="Arial"/>
          <w:b/>
          <w:lang w:bidi="hi-IN"/>
        </w:rPr>
      </w:pPr>
      <w:r w:rsidRPr="006D4AEB">
        <w:rPr>
          <w:rFonts w:ascii="Arial" w:eastAsia="Calibri" w:hAnsi="Arial" w:cs="Arial"/>
          <w:b/>
          <w:lang w:bidi="hi-IN"/>
        </w:rPr>
        <w:t>2.</w:t>
      </w:r>
      <w:r w:rsidR="00FD0DE9">
        <w:rPr>
          <w:rFonts w:ascii="Arial" w:eastAsia="Calibri" w:hAnsi="Arial" w:cs="Arial"/>
          <w:b/>
          <w:lang w:bidi="hi-IN"/>
        </w:rPr>
        <w:t>2</w:t>
      </w:r>
      <w:r w:rsidRPr="006D4AEB">
        <w:rPr>
          <w:rFonts w:ascii="Arial" w:eastAsia="Calibri" w:hAnsi="Arial" w:cs="Arial"/>
          <w:b/>
          <w:lang w:bidi="hi-IN"/>
        </w:rPr>
        <w:t xml:space="preserve">: </w:t>
      </w:r>
      <w:r w:rsidR="00EC45E0" w:rsidRPr="006D4AEB">
        <w:rPr>
          <w:rFonts w:ascii="Arial" w:eastAsia="Calibri" w:hAnsi="Arial" w:cs="Arial"/>
          <w:b/>
          <w:lang w:bidi="hi-IN"/>
        </w:rPr>
        <w:t>Sampling technology</w:t>
      </w:r>
    </w:p>
    <w:p w:rsidR="00EC45E0" w:rsidRPr="00001D9E" w:rsidRDefault="00C23E7F" w:rsidP="00001D9E">
      <w:pPr>
        <w:jc w:val="both"/>
        <w:rPr>
          <w:rFonts w:ascii="Arial" w:hAnsi="Arial" w:cs="Arial"/>
          <w:szCs w:val="24"/>
        </w:rPr>
      </w:pPr>
      <w:r w:rsidRPr="006D4AEB">
        <w:rPr>
          <w:rFonts w:ascii="Arial" w:eastAsia="Calibri" w:hAnsi="Arial" w:cs="Arial"/>
          <w:sz w:val="20"/>
          <w:szCs w:val="20"/>
          <w:lang w:bidi="hi-IN"/>
        </w:rPr>
        <w:t xml:space="preserve">For the selection of farmers multistage sampling were used. </w:t>
      </w:r>
      <w:r w:rsidR="00D745F1" w:rsidRPr="007A5ECF">
        <w:rPr>
          <w:rFonts w:ascii="Arial" w:hAnsi="Arial" w:cs="Arial"/>
          <w:sz w:val="20"/>
        </w:rPr>
        <w:t>Multistage sampling is particularly useful for studying large and widely scattered populations. It provides flexibility in selecting different sampling techniques at various stages, reduces both time and cost, and often produces more reliable results than simpler methods when the population is complex.</w:t>
      </w:r>
      <w:r w:rsidR="00D745F1">
        <w:rPr>
          <w:rFonts w:ascii="Arial" w:hAnsi="Arial" w:cs="Arial"/>
          <w:szCs w:val="24"/>
        </w:rPr>
        <w:t xml:space="preserve"> </w:t>
      </w:r>
      <w:r w:rsidRPr="006D4AEB">
        <w:rPr>
          <w:rFonts w:ascii="Arial" w:eastAsia="Calibri" w:hAnsi="Arial" w:cs="Arial"/>
          <w:sz w:val="20"/>
          <w:szCs w:val="20"/>
          <w:lang w:bidi="hi-IN"/>
        </w:rPr>
        <w:t>Jaipur and Udaipur districts were selected purposively on the basis of highest rural population. From selected district two tehsils from each district were selected randomly</w:t>
      </w:r>
      <w:r w:rsidR="00EC45E0" w:rsidRPr="006D4AEB">
        <w:rPr>
          <w:rFonts w:ascii="Arial" w:eastAsia="Calibri" w:hAnsi="Arial" w:cs="Arial"/>
          <w:sz w:val="20"/>
          <w:szCs w:val="20"/>
          <w:lang w:bidi="hi-IN"/>
        </w:rPr>
        <w:t xml:space="preserve">. </w:t>
      </w:r>
      <w:proofErr w:type="spellStart"/>
      <w:r w:rsidR="00EC45E0" w:rsidRPr="006D4AEB">
        <w:rPr>
          <w:rFonts w:ascii="Arial" w:eastAsia="Times New Roman" w:hAnsi="Arial" w:cs="Arial"/>
          <w:sz w:val="20"/>
          <w:szCs w:val="20"/>
          <w:lang w:bidi="hi-IN"/>
        </w:rPr>
        <w:t>Mauzamabad</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Phulera</w:t>
      </w:r>
      <w:proofErr w:type="spellEnd"/>
      <w:r w:rsidR="00EC45E0" w:rsidRPr="006D4AEB">
        <w:rPr>
          <w:rFonts w:ascii="Arial" w:eastAsia="Times New Roman" w:hAnsi="Arial" w:cs="Arial"/>
          <w:sz w:val="20"/>
          <w:szCs w:val="20"/>
          <w:lang w:bidi="hi-IN"/>
        </w:rPr>
        <w:t xml:space="preserve"> tehsils were chosen from Jaipur district, while </w:t>
      </w:r>
      <w:proofErr w:type="spellStart"/>
      <w:r w:rsidR="00EC45E0" w:rsidRPr="006D4AEB">
        <w:rPr>
          <w:rFonts w:ascii="Arial" w:eastAsia="Times New Roman" w:hAnsi="Arial" w:cs="Arial"/>
          <w:sz w:val="20"/>
          <w:szCs w:val="20"/>
          <w:lang w:bidi="hi-IN"/>
        </w:rPr>
        <w:t>Salumber</w:t>
      </w:r>
      <w:proofErr w:type="spellEnd"/>
      <w:r w:rsidR="00EC45E0" w:rsidRPr="006D4AEB">
        <w:rPr>
          <w:rFonts w:ascii="Arial" w:eastAsia="Times New Roman" w:hAnsi="Arial" w:cs="Arial"/>
          <w:sz w:val="20"/>
          <w:szCs w:val="20"/>
          <w:lang w:bidi="hi-IN"/>
        </w:rPr>
        <w:t xml:space="preserve"> and Sarada tehsils were selected from Udaipur district. </w:t>
      </w:r>
      <w:r w:rsidR="00A01BA4">
        <w:rPr>
          <w:rFonts w:ascii="Arial" w:eastAsia="Times New Roman" w:hAnsi="Arial" w:cs="Arial"/>
          <w:sz w:val="20"/>
          <w:szCs w:val="20"/>
          <w:lang w:bidi="hi-IN"/>
        </w:rPr>
        <w:t>T</w:t>
      </w:r>
      <w:r w:rsidR="00EC45E0" w:rsidRPr="006D4AEB">
        <w:rPr>
          <w:rFonts w:ascii="Arial" w:eastAsia="Times New Roman" w:hAnsi="Arial" w:cs="Arial"/>
          <w:sz w:val="20"/>
          <w:szCs w:val="20"/>
          <w:lang w:bidi="hi-IN"/>
        </w:rPr>
        <w:t xml:space="preserve">wo villages were selected randomly from each of the tehsils identified in the previous stage. From </w:t>
      </w:r>
      <w:proofErr w:type="spellStart"/>
      <w:r w:rsidR="00EC45E0" w:rsidRPr="006D4AEB">
        <w:rPr>
          <w:rFonts w:ascii="Arial" w:eastAsia="Times New Roman" w:hAnsi="Arial" w:cs="Arial"/>
          <w:sz w:val="20"/>
          <w:szCs w:val="20"/>
          <w:lang w:bidi="hi-IN"/>
        </w:rPr>
        <w:t>Mauzamabad</w:t>
      </w:r>
      <w:proofErr w:type="spellEnd"/>
      <w:r w:rsidR="00EC45E0" w:rsidRPr="006D4AEB">
        <w:rPr>
          <w:rFonts w:ascii="Arial" w:eastAsia="Times New Roman" w:hAnsi="Arial" w:cs="Arial"/>
          <w:sz w:val="20"/>
          <w:szCs w:val="20"/>
          <w:lang w:bidi="hi-IN"/>
        </w:rPr>
        <w:t xml:space="preserve"> tehsil of Jaipur district, the villages </w:t>
      </w:r>
      <w:proofErr w:type="spellStart"/>
      <w:r w:rsidR="00EC45E0" w:rsidRPr="006D4AEB">
        <w:rPr>
          <w:rFonts w:ascii="Arial" w:eastAsia="Times New Roman" w:hAnsi="Arial" w:cs="Arial"/>
          <w:sz w:val="20"/>
          <w:szCs w:val="20"/>
          <w:lang w:bidi="hi-IN"/>
        </w:rPr>
        <w:t>Ugariyawas</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Gurha</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Bairsal</w:t>
      </w:r>
      <w:proofErr w:type="spellEnd"/>
      <w:r w:rsidR="00EC45E0" w:rsidRPr="006D4AEB">
        <w:rPr>
          <w:rFonts w:ascii="Arial" w:eastAsia="Times New Roman" w:hAnsi="Arial" w:cs="Arial"/>
          <w:sz w:val="20"/>
          <w:szCs w:val="20"/>
          <w:lang w:bidi="hi-IN"/>
        </w:rPr>
        <w:t xml:space="preserve"> were selected, whereas from </w:t>
      </w:r>
      <w:proofErr w:type="spellStart"/>
      <w:r w:rsidR="00EC45E0" w:rsidRPr="006D4AEB">
        <w:rPr>
          <w:rFonts w:ascii="Arial" w:eastAsia="Times New Roman" w:hAnsi="Arial" w:cs="Arial"/>
          <w:sz w:val="20"/>
          <w:szCs w:val="20"/>
          <w:lang w:bidi="hi-IN"/>
        </w:rPr>
        <w:t>Phulera</w:t>
      </w:r>
      <w:proofErr w:type="spellEnd"/>
      <w:r w:rsidR="00EC45E0" w:rsidRPr="006D4AEB">
        <w:rPr>
          <w:rFonts w:ascii="Arial" w:eastAsia="Times New Roman" w:hAnsi="Arial" w:cs="Arial"/>
          <w:sz w:val="20"/>
          <w:szCs w:val="20"/>
          <w:lang w:bidi="hi-IN"/>
        </w:rPr>
        <w:t xml:space="preserve"> tehsil, </w:t>
      </w:r>
      <w:proofErr w:type="spellStart"/>
      <w:r w:rsidR="00EC45E0" w:rsidRPr="006D4AEB">
        <w:rPr>
          <w:rFonts w:ascii="Arial" w:eastAsia="Times New Roman" w:hAnsi="Arial" w:cs="Arial"/>
          <w:sz w:val="20"/>
          <w:szCs w:val="20"/>
          <w:lang w:bidi="hi-IN"/>
        </w:rPr>
        <w:t>Kanwarasa</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Jorpura</w:t>
      </w:r>
      <w:proofErr w:type="spellEnd"/>
      <w:r w:rsidR="00EC45E0" w:rsidRPr="006D4AEB">
        <w:rPr>
          <w:rFonts w:ascii="Arial" w:eastAsia="Times New Roman" w:hAnsi="Arial" w:cs="Arial"/>
          <w:sz w:val="20"/>
          <w:szCs w:val="20"/>
          <w:lang w:bidi="hi-IN"/>
        </w:rPr>
        <w:t xml:space="preserve"> villages were chosen through random sampling. Similarly, in Udaipur district, the villages </w:t>
      </w:r>
      <w:proofErr w:type="spellStart"/>
      <w:r w:rsidR="00EC45E0" w:rsidRPr="006D4AEB">
        <w:rPr>
          <w:rFonts w:ascii="Arial" w:eastAsia="Times New Roman" w:hAnsi="Arial" w:cs="Arial"/>
          <w:sz w:val="20"/>
          <w:szCs w:val="20"/>
          <w:lang w:bidi="hi-IN"/>
        </w:rPr>
        <w:t>Seriya</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Bujhara</w:t>
      </w:r>
      <w:proofErr w:type="spellEnd"/>
      <w:r w:rsidR="00EC45E0" w:rsidRPr="006D4AEB">
        <w:rPr>
          <w:rFonts w:ascii="Arial" w:eastAsia="Times New Roman" w:hAnsi="Arial" w:cs="Arial"/>
          <w:sz w:val="20"/>
          <w:szCs w:val="20"/>
          <w:lang w:bidi="hi-IN"/>
        </w:rPr>
        <w:t xml:space="preserve"> were randomly selected from </w:t>
      </w:r>
      <w:proofErr w:type="spellStart"/>
      <w:r w:rsidR="00EC45E0" w:rsidRPr="006D4AEB">
        <w:rPr>
          <w:rFonts w:ascii="Arial" w:eastAsia="Times New Roman" w:hAnsi="Arial" w:cs="Arial"/>
          <w:sz w:val="20"/>
          <w:szCs w:val="20"/>
          <w:lang w:bidi="hi-IN"/>
        </w:rPr>
        <w:t>Salumber</w:t>
      </w:r>
      <w:proofErr w:type="spellEnd"/>
      <w:r w:rsidR="00EC45E0" w:rsidRPr="006D4AEB">
        <w:rPr>
          <w:rFonts w:ascii="Arial" w:eastAsia="Times New Roman" w:hAnsi="Arial" w:cs="Arial"/>
          <w:sz w:val="20"/>
          <w:szCs w:val="20"/>
          <w:lang w:bidi="hi-IN"/>
        </w:rPr>
        <w:t xml:space="preserve"> tehsil, while </w:t>
      </w:r>
      <w:proofErr w:type="spellStart"/>
      <w:r w:rsidR="00EC45E0" w:rsidRPr="006D4AEB">
        <w:rPr>
          <w:rFonts w:ascii="Arial" w:eastAsia="Times New Roman" w:hAnsi="Arial" w:cs="Arial"/>
          <w:sz w:val="20"/>
          <w:szCs w:val="20"/>
          <w:lang w:bidi="hi-IN"/>
        </w:rPr>
        <w:t>Bheempur</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Shyampuria</w:t>
      </w:r>
      <w:proofErr w:type="spellEnd"/>
      <w:r w:rsidR="00EC45E0" w:rsidRPr="006D4AEB">
        <w:rPr>
          <w:rFonts w:ascii="Arial" w:eastAsia="Times New Roman" w:hAnsi="Arial" w:cs="Arial"/>
          <w:sz w:val="20"/>
          <w:szCs w:val="20"/>
          <w:lang w:bidi="hi-IN"/>
        </w:rPr>
        <w:t xml:space="preserve"> were selected from Sarada tehsil. In the final stage of sampling, a sample of 30 farmers was randomly selected from each of the eight selected villages. </w:t>
      </w:r>
      <w:proofErr w:type="gramStart"/>
      <w:r w:rsidR="00EC45E0" w:rsidRPr="006D4AEB">
        <w:rPr>
          <w:rFonts w:ascii="Arial" w:eastAsia="Times New Roman" w:hAnsi="Arial" w:cs="Arial"/>
          <w:sz w:val="20"/>
          <w:szCs w:val="20"/>
          <w:lang w:bidi="hi-IN"/>
        </w:rPr>
        <w:t>Thus</w:t>
      </w:r>
      <w:proofErr w:type="gramEnd"/>
      <w:r w:rsidR="00EC45E0" w:rsidRPr="006D4AEB">
        <w:rPr>
          <w:rFonts w:ascii="Arial" w:eastAsia="Times New Roman" w:hAnsi="Arial" w:cs="Arial"/>
          <w:sz w:val="20"/>
          <w:szCs w:val="20"/>
          <w:lang w:bidi="hi-IN"/>
        </w:rPr>
        <w:t xml:space="preserve"> making a total sample size of 240 for the purpose of the study.</w:t>
      </w:r>
    </w:p>
    <w:p w:rsidR="00691581" w:rsidRPr="008F2809" w:rsidRDefault="00AF5D15" w:rsidP="008F2809">
      <w:pPr>
        <w:spacing w:after="0" w:line="480" w:lineRule="auto"/>
        <w:rPr>
          <w:rFonts w:ascii="Arial" w:eastAsia="Calibri" w:hAnsi="Arial" w:cs="Arial"/>
          <w:b/>
          <w:sz w:val="20"/>
          <w:szCs w:val="20"/>
          <w:lang w:bidi="hi-IN"/>
        </w:rPr>
      </w:pPr>
      <w:r w:rsidRPr="008F2809">
        <w:rPr>
          <w:rFonts w:ascii="Arial" w:eastAsia="Calibri" w:hAnsi="Arial" w:cs="Arial"/>
          <w:b/>
          <w:sz w:val="20"/>
          <w:szCs w:val="20"/>
          <w:lang w:bidi="hi-IN"/>
        </w:rPr>
        <w:t>2.</w:t>
      </w:r>
      <w:r w:rsidR="00FD0DE9">
        <w:rPr>
          <w:rFonts w:ascii="Arial" w:eastAsia="Calibri" w:hAnsi="Arial" w:cs="Arial"/>
          <w:b/>
          <w:sz w:val="20"/>
          <w:szCs w:val="20"/>
          <w:lang w:bidi="hi-IN"/>
        </w:rPr>
        <w:t>3</w:t>
      </w:r>
      <w:r w:rsidRPr="008F2809">
        <w:rPr>
          <w:rFonts w:ascii="Arial" w:eastAsia="Calibri" w:hAnsi="Arial" w:cs="Arial"/>
          <w:b/>
          <w:sz w:val="20"/>
          <w:szCs w:val="20"/>
          <w:lang w:bidi="hi-IN"/>
        </w:rPr>
        <w:t xml:space="preserve">: </w:t>
      </w:r>
      <w:r w:rsidR="00EC45E0" w:rsidRPr="008F2809">
        <w:rPr>
          <w:rFonts w:ascii="Arial" w:eastAsia="Calibri" w:hAnsi="Arial" w:cs="Arial"/>
          <w:b/>
          <w:sz w:val="20"/>
          <w:szCs w:val="20"/>
          <w:lang w:bidi="hi-IN"/>
        </w:rPr>
        <w:t>Analytical tool</w:t>
      </w:r>
    </w:p>
    <w:p w:rsidR="0083301A" w:rsidRPr="008F2809" w:rsidRDefault="0083301A"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The Livelihood Vulnerability Index (LVI) was constructed using seven key components: Socio-Demographic Profile (SDP), Livelihood Strategies (LS), Social Networks (SN), Health (H), Food (F), Water (A), and Natural Disasters and Climate Variability. Each of these components consists of multiple indicators or sub-components, identified through an extensive review of relevant literature. In </w:t>
      </w:r>
      <w:r w:rsidRPr="008F2809">
        <w:rPr>
          <w:rFonts w:ascii="Arial" w:eastAsia="Times New Roman" w:hAnsi="Arial" w:cs="Arial"/>
          <w:sz w:val="20"/>
          <w:szCs w:val="20"/>
          <w:lang w:bidi="hi-IN"/>
        </w:rPr>
        <w:lastRenderedPageBreak/>
        <w:t>the calculation of the LVI, all major components were assigned equal weight. To ensure comparability and integration within the index, the maximum and minimum values of the indicators were standardized, with the standardization process applied as follows</w:t>
      </w:r>
      <w:r w:rsidR="00365606">
        <w:rPr>
          <w:rFonts w:ascii="Arial" w:eastAsia="Times New Roman" w:hAnsi="Arial" w:cs="Arial"/>
          <w:sz w:val="20"/>
          <w:szCs w:val="20"/>
          <w:lang w:bidi="hi-IN"/>
        </w:rPr>
        <w:t xml:space="preserve"> </w:t>
      </w:r>
      <w:r w:rsidR="00365606" w:rsidRPr="008F2809">
        <w:rPr>
          <w:rFonts w:ascii="Arial" w:eastAsia="Times New Roman" w:hAnsi="Arial" w:cs="Arial"/>
          <w:sz w:val="20"/>
          <w:szCs w:val="20"/>
          <w:lang w:bidi="hi-IN"/>
        </w:rPr>
        <w:t xml:space="preserve">(Hahn </w:t>
      </w:r>
      <w:r w:rsidR="00365606" w:rsidRPr="008F2809">
        <w:rPr>
          <w:rFonts w:ascii="Arial" w:eastAsia="Times New Roman" w:hAnsi="Arial" w:cs="Arial"/>
          <w:i/>
          <w:sz w:val="20"/>
          <w:szCs w:val="20"/>
          <w:lang w:bidi="hi-IN"/>
        </w:rPr>
        <w:t>et al.</w:t>
      </w:r>
      <w:r w:rsidR="00365606" w:rsidRPr="008F2809">
        <w:rPr>
          <w:rFonts w:ascii="Arial" w:eastAsia="Times New Roman" w:hAnsi="Arial" w:cs="Arial"/>
          <w:sz w:val="20"/>
          <w:szCs w:val="20"/>
          <w:lang w:bidi="hi-IN"/>
        </w:rPr>
        <w:t>, 2009)</w:t>
      </w:r>
      <w:r w:rsidRPr="008F2809">
        <w:rPr>
          <w:rFonts w:ascii="Arial" w:eastAsia="Times New Roman" w:hAnsi="Arial" w:cs="Arial"/>
          <w:sz w:val="20"/>
          <w:szCs w:val="20"/>
          <w:lang w:bidi="hi-IN"/>
        </w:rPr>
        <w:t>:</w:t>
      </w:r>
    </w:p>
    <w:p w:rsidR="00520E26" w:rsidRPr="008F2809" w:rsidRDefault="00472973" w:rsidP="008F2809">
      <w:pPr>
        <w:spacing w:line="480" w:lineRule="auto"/>
        <w:jc w:val="both"/>
        <w:rPr>
          <w:rFonts w:ascii="Cambria Math" w:eastAsia="Times New Roman" w:hAnsi="Cambria Math" w:cs="Arial"/>
          <w:sz w:val="20"/>
          <w:szCs w:val="20"/>
          <w:lang w:bidi="hi-IN"/>
          <w:oMath/>
        </w:rPr>
      </w:pPr>
      <m:oMathPara>
        <m:oMath>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index S</m:t>
              </m:r>
            </m:e>
            <m:sub>
              <m:r>
                <m:rPr>
                  <m:sty m:val="p"/>
                </m:rPr>
                <w:rPr>
                  <w:rFonts w:ascii="Cambria Math" w:eastAsia="Times New Roman" w:hAnsi="Cambria Math" w:cs="Arial"/>
                  <w:sz w:val="20"/>
                  <w:szCs w:val="20"/>
                  <w:lang w:bidi="hi-IN"/>
                </w:rPr>
                <m:t>d</m:t>
              </m:r>
            </m:sub>
          </m:sSub>
          <m:r>
            <m:rPr>
              <m:sty m:val="p"/>
            </m:rPr>
            <w:rPr>
              <w:rFonts w:ascii="Cambria Math" w:eastAsia="Times New Roman" w:hAnsi="Cambria Math" w:cs="Arial"/>
              <w:sz w:val="20"/>
              <w:szCs w:val="20"/>
              <w:lang w:bidi="hi-IN"/>
            </w:rPr>
            <m:t>=</m:t>
          </m:r>
          <m:f>
            <m:fPr>
              <m:ctrlPr>
                <w:rPr>
                  <w:rFonts w:ascii="Cambria Math" w:eastAsia="Times New Roman" w:hAnsi="Cambria Math" w:cs="Arial"/>
                  <w:i/>
                  <w:sz w:val="20"/>
                  <w:szCs w:val="20"/>
                  <w:lang w:bidi="hi-IN"/>
                </w:rPr>
              </m:ctrlPr>
            </m:fPr>
            <m:num>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d</m:t>
                  </m:r>
                </m:sub>
              </m:sSub>
              <m:r>
                <m:rPr>
                  <m:sty m:val="p"/>
                </m:rP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min</m:t>
                  </m:r>
                </m:sub>
              </m:sSub>
            </m:num>
            <m:den>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max</m:t>
                  </m:r>
                </m:sub>
              </m:sSub>
              <m:r>
                <m:rPr>
                  <m:sty m:val="p"/>
                </m:rP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min</m:t>
                  </m:r>
                </m:sub>
              </m:sSub>
            </m:den>
          </m:f>
          <m:r>
            <m:rPr>
              <m:sty m:val="p"/>
            </m:rPr>
            <w:rPr>
              <w:rFonts w:ascii="Cambria Math" w:eastAsia="Times New Roman" w:hAnsi="Cambria Math" w:cs="Arial"/>
              <w:sz w:val="20"/>
              <w:szCs w:val="20"/>
              <w:lang w:bidi="hi-IN"/>
            </w:rPr>
            <m:t xml:space="preserve">  …………………..(1)</m:t>
          </m:r>
        </m:oMath>
      </m:oMathPara>
    </w:p>
    <w:p w:rsidR="00520E26" w:rsidRPr="008F2809" w:rsidRDefault="00520E26" w:rsidP="008F2809">
      <w:pPr>
        <w:spacing w:line="480" w:lineRule="auto"/>
        <w:jc w:val="both"/>
        <w:rPr>
          <w:rFonts w:ascii="Arial" w:eastAsia="Times New Roman" w:hAnsi="Arial" w:cs="Arial"/>
          <w:sz w:val="20"/>
          <w:szCs w:val="20"/>
          <w:lang w:bidi="hi-IN"/>
        </w:rPr>
      </w:pPr>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 S</w:t>
      </w:r>
      <w:r w:rsidRPr="008F2809">
        <w:rPr>
          <w:rFonts w:ascii="Arial" w:eastAsia="Times New Roman" w:hAnsi="Arial" w:cs="Arial"/>
          <w:sz w:val="20"/>
          <w:szCs w:val="20"/>
          <w:vertAlign w:val="subscript"/>
          <w:lang w:bidi="hi-IN"/>
        </w:rPr>
        <w:t>d</w:t>
      </w:r>
      <w:r w:rsidRPr="008F2809">
        <w:rPr>
          <w:rFonts w:ascii="Arial" w:eastAsia="Times New Roman" w:hAnsi="Arial" w:cs="Arial"/>
          <w:sz w:val="20"/>
          <w:szCs w:val="20"/>
          <w:lang w:bidi="hi-IN"/>
        </w:rPr>
        <w:t xml:space="preserve"> = Original sub component for farm household of </w:t>
      </w:r>
      <w:proofErr w:type="spellStart"/>
      <w:r w:rsidRPr="008F2809">
        <w:rPr>
          <w:rFonts w:ascii="Arial" w:eastAsia="Times New Roman" w:hAnsi="Arial" w:cs="Arial"/>
          <w:sz w:val="20"/>
          <w:szCs w:val="20"/>
          <w:lang w:bidi="hi-IN"/>
        </w:rPr>
        <w:t>dth</w:t>
      </w:r>
      <w:proofErr w:type="spellEnd"/>
      <w:r w:rsidRPr="008F2809">
        <w:rPr>
          <w:rFonts w:ascii="Arial" w:eastAsia="Times New Roman" w:hAnsi="Arial" w:cs="Arial"/>
          <w:sz w:val="20"/>
          <w:szCs w:val="20"/>
          <w:lang w:bidi="hi-IN"/>
        </w:rPr>
        <w:t xml:space="preserve"> district</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S</w:t>
      </w:r>
      <w:r w:rsidRPr="008F2809">
        <w:rPr>
          <w:rFonts w:ascii="Arial" w:eastAsia="Times New Roman" w:hAnsi="Arial" w:cs="Arial"/>
          <w:sz w:val="20"/>
          <w:szCs w:val="20"/>
          <w:vertAlign w:val="subscript"/>
          <w:lang w:bidi="hi-IN"/>
        </w:rPr>
        <w:t>min</w:t>
      </w:r>
      <w:proofErr w:type="spellEnd"/>
      <w:r w:rsidRPr="008F2809">
        <w:rPr>
          <w:rFonts w:ascii="Arial" w:eastAsia="Times New Roman" w:hAnsi="Arial" w:cs="Arial"/>
          <w:sz w:val="20"/>
          <w:szCs w:val="20"/>
          <w:lang w:bidi="hi-IN"/>
        </w:rPr>
        <w:t>= minimum value for each sub component determined using data from all the selected farm household</w:t>
      </w:r>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S</w:t>
      </w:r>
      <w:r w:rsidRPr="008F2809">
        <w:rPr>
          <w:rFonts w:ascii="Arial" w:eastAsia="Times New Roman" w:hAnsi="Arial" w:cs="Arial"/>
          <w:sz w:val="20"/>
          <w:szCs w:val="20"/>
          <w:vertAlign w:val="subscript"/>
          <w:lang w:bidi="hi-IN"/>
        </w:rPr>
        <w:t>max</w:t>
      </w:r>
      <w:r w:rsidRPr="008F2809">
        <w:rPr>
          <w:rFonts w:ascii="Arial" w:eastAsia="Times New Roman" w:hAnsi="Arial" w:cs="Arial"/>
          <w:sz w:val="20"/>
          <w:szCs w:val="20"/>
          <w:lang w:bidi="hi-IN"/>
        </w:rPr>
        <w:t xml:space="preserve">= maximum value for each sub component determined using data from all the farm household. </w:t>
      </w:r>
    </w:p>
    <w:p w:rsidR="0083301A" w:rsidRPr="008F2809" w:rsidRDefault="0083301A"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Higher indicator values reflected greater levels of exposure and sensitivity. </w:t>
      </w:r>
      <w:r w:rsidR="009043F7" w:rsidRPr="008F2809">
        <w:rPr>
          <w:rFonts w:ascii="Arial" w:hAnsi="Arial" w:cs="Arial"/>
          <w:sz w:val="20"/>
          <w:szCs w:val="20"/>
        </w:rPr>
        <w:t>The values of indicator will reversed after normalization for adaptive capacity to maintain the consistency with other components</w:t>
      </w:r>
      <w:r w:rsidR="009043F7" w:rsidRPr="008F2809">
        <w:rPr>
          <w:rFonts w:ascii="Arial" w:eastAsia="Times New Roman" w:hAnsi="Arial" w:cs="Arial"/>
          <w:sz w:val="20"/>
          <w:szCs w:val="20"/>
          <w:lang w:bidi="hi-IN"/>
        </w:rPr>
        <w:t xml:space="preserve">. </w:t>
      </w:r>
      <w:r w:rsidRPr="008F2809">
        <w:rPr>
          <w:rFonts w:ascii="Arial" w:eastAsia="Times New Roman" w:hAnsi="Arial" w:cs="Arial"/>
          <w:sz w:val="20"/>
          <w:szCs w:val="20"/>
          <w:lang w:bidi="hi-IN"/>
        </w:rPr>
        <w:t xml:space="preserve">Once all indicators were standardized, each major component was calculated as the average of its corresponding indicators (Hahn </w:t>
      </w:r>
      <w:r w:rsidRPr="008F2809">
        <w:rPr>
          <w:rFonts w:ascii="Arial" w:eastAsia="Times New Roman" w:hAnsi="Arial" w:cs="Arial"/>
          <w:i/>
          <w:sz w:val="20"/>
          <w:szCs w:val="20"/>
          <w:lang w:bidi="hi-IN"/>
        </w:rPr>
        <w:t>et al.</w:t>
      </w:r>
      <w:r w:rsidRPr="008F2809">
        <w:rPr>
          <w:rFonts w:ascii="Arial" w:eastAsia="Times New Roman" w:hAnsi="Arial" w:cs="Arial"/>
          <w:sz w:val="20"/>
          <w:szCs w:val="20"/>
          <w:lang w:bidi="hi-IN"/>
        </w:rPr>
        <w:t>, 2009).</w:t>
      </w:r>
    </w:p>
    <w:p w:rsidR="00520E26" w:rsidRPr="008F2809" w:rsidRDefault="00472973" w:rsidP="008F2809">
      <w:pPr>
        <w:spacing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n</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index S</m:t>
                      </m:r>
                    </m:e>
                    <m:sub>
                      <m:r>
                        <w:rPr>
                          <w:rFonts w:ascii="Cambria Math" w:eastAsia="Times New Roman" w:hAnsi="Cambria Math" w:cs="Arial"/>
                          <w:sz w:val="20"/>
                          <w:szCs w:val="20"/>
                          <w:lang w:bidi="hi-IN"/>
                        </w:rPr>
                        <m:t>di</m:t>
                      </m:r>
                    </m:sub>
                  </m:sSub>
                </m:e>
              </m:nary>
            </m:num>
            <m:den>
              <m:r>
                <w:rPr>
                  <w:rFonts w:ascii="Cambria Math" w:eastAsia="Times New Roman" w:hAnsi="Cambria Math" w:cs="Arial"/>
                  <w:sz w:val="20"/>
                  <w:szCs w:val="20"/>
                  <w:lang w:bidi="hi-IN"/>
                </w:rPr>
                <m:t>n</m:t>
              </m:r>
            </m:den>
          </m:f>
          <m:r>
            <w:rPr>
              <w:rFonts w:ascii="Cambria Math" w:eastAsia="Times New Roman" w:hAnsi="Cambria Math" w:cs="Arial"/>
              <w:sz w:val="20"/>
              <w:szCs w:val="20"/>
              <w:lang w:bidi="hi-IN"/>
            </w:rPr>
            <m:t xml:space="preserve"> ………………..(2)</m:t>
          </m:r>
        </m:oMath>
      </m:oMathPara>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w:t>
      </w:r>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M</w:t>
      </w:r>
      <w:r w:rsidRPr="008F2809">
        <w:rPr>
          <w:rFonts w:ascii="Arial" w:eastAsia="Times New Roman" w:hAnsi="Arial" w:cs="Arial"/>
          <w:sz w:val="20"/>
          <w:szCs w:val="20"/>
          <w:vertAlign w:val="subscript"/>
          <w:lang w:bidi="hi-IN"/>
        </w:rPr>
        <w:t>d</w:t>
      </w:r>
      <w:r w:rsidRPr="008F2809">
        <w:rPr>
          <w:rFonts w:ascii="Arial" w:eastAsia="Times New Roman" w:hAnsi="Arial" w:cs="Arial"/>
          <w:sz w:val="20"/>
          <w:szCs w:val="20"/>
          <w:lang w:bidi="hi-IN"/>
        </w:rPr>
        <w:t xml:space="preserve">=components (SDP, LS, SN, F, W, H, NDCV) for district d, </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IndexS</w:t>
      </w:r>
      <w:r w:rsidRPr="008F2809">
        <w:rPr>
          <w:rFonts w:ascii="Arial" w:eastAsia="Times New Roman" w:hAnsi="Arial" w:cs="Arial"/>
          <w:sz w:val="20"/>
          <w:szCs w:val="20"/>
          <w:vertAlign w:val="subscript"/>
          <w:lang w:bidi="hi-IN"/>
        </w:rPr>
        <w:t>di</w:t>
      </w:r>
      <w:proofErr w:type="spellEnd"/>
      <w:r w:rsidRPr="008F2809">
        <w:rPr>
          <w:rFonts w:ascii="Arial" w:eastAsia="Times New Roman" w:hAnsi="Arial" w:cs="Arial"/>
          <w:sz w:val="20"/>
          <w:szCs w:val="20"/>
          <w:lang w:bidi="hi-IN"/>
        </w:rPr>
        <w:t xml:space="preserve"> = indicator, indexed by i which compositely make up each major components </w:t>
      </w:r>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 n = the number of indicators in each major component.</w:t>
      </w:r>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The weight </w:t>
      </w:r>
      <w:proofErr w:type="spellStart"/>
      <w:r w:rsidRPr="008F2809">
        <w:rPr>
          <w:rFonts w:ascii="Arial" w:eastAsia="Times New Roman" w:hAnsi="Arial" w:cs="Arial"/>
          <w:sz w:val="20"/>
          <w:szCs w:val="20"/>
          <w:lang w:bidi="hi-IN"/>
        </w:rPr>
        <w:t>w</w:t>
      </w:r>
      <w:r w:rsidRPr="008F2809">
        <w:rPr>
          <w:rFonts w:ascii="Arial" w:eastAsia="Times New Roman" w:hAnsi="Arial" w:cs="Arial"/>
          <w:sz w:val="20"/>
          <w:szCs w:val="20"/>
          <w:vertAlign w:val="subscript"/>
          <w:lang w:bidi="hi-IN"/>
        </w:rPr>
        <w:t>j</w:t>
      </w:r>
      <w:proofErr w:type="spellEnd"/>
      <w:r w:rsidRPr="008F2809">
        <w:rPr>
          <w:rFonts w:ascii="Arial" w:eastAsia="Times New Roman" w:hAnsi="Arial" w:cs="Arial"/>
          <w:sz w:val="20"/>
          <w:szCs w:val="20"/>
          <w:lang w:bidi="hi-IN"/>
        </w:rPr>
        <w:t xml:space="preserve"> will be determined by</w:t>
      </w:r>
    </w:p>
    <w:p w:rsidR="00520E26" w:rsidRPr="008F2809" w:rsidRDefault="00472973" w:rsidP="008F2809">
      <w:pPr>
        <w:spacing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r>
                <w:rPr>
                  <w:rFonts w:ascii="Cambria Math" w:eastAsia="Times New Roman" w:hAnsi="Cambria Math" w:cs="Arial"/>
                  <w:sz w:val="20"/>
                  <w:szCs w:val="20"/>
                  <w:lang w:bidi="hi-IN"/>
                </w:rPr>
                <m:t>mi</m:t>
              </m:r>
            </m:sub>
          </m:sSub>
          <m:r>
            <w:rPr>
              <w:rFonts w:ascii="Cambria Math" w:eastAsia="Times New Roman" w:hAnsi="Cambria Math" w:cs="Arial"/>
              <w:sz w:val="20"/>
              <w:szCs w:val="20"/>
              <w:lang w:bidi="hi-IN"/>
            </w:rPr>
            <m:t xml:space="preserve">= </m:t>
          </m:r>
          <m:f>
            <m:fPr>
              <m:type m:val="skw"/>
              <m:ctrlPr>
                <w:rPr>
                  <w:rFonts w:ascii="Cambria Math" w:eastAsia="Times New Roman" w:hAnsi="Cambria Math" w:cs="Arial"/>
                  <w:i/>
                  <w:sz w:val="20"/>
                  <w:szCs w:val="20"/>
                  <w:lang w:bidi="hi-IN"/>
                </w:rPr>
              </m:ctrlPr>
            </m:fPr>
            <m:num>
              <m:r>
                <w:rPr>
                  <w:rFonts w:ascii="Cambria Math" w:eastAsia="Times New Roman" w:hAnsi="Cambria Math" w:cs="Arial"/>
                  <w:sz w:val="20"/>
                  <w:szCs w:val="20"/>
                  <w:lang w:bidi="hi-IN"/>
                </w:rPr>
                <m:t>c</m:t>
              </m:r>
            </m:num>
            <m:den>
              <m:rad>
                <m:radPr>
                  <m:degHide m:val="1"/>
                  <m:ctrlPr>
                    <w:rPr>
                      <w:rFonts w:ascii="Cambria Math" w:eastAsia="Times New Roman" w:hAnsi="Cambria Math" w:cs="Arial"/>
                      <w:i/>
                      <w:sz w:val="20"/>
                      <w:szCs w:val="20"/>
                      <w:lang w:bidi="hi-IN"/>
                    </w:rPr>
                  </m:ctrlPr>
                </m:radPr>
                <m:deg/>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var</m:t>
                      </m:r>
                    </m:e>
                    <m:sub>
                      <m:r>
                        <w:rPr>
                          <w:rFonts w:ascii="Cambria Math" w:eastAsia="Times New Roman" w:hAnsi="Cambria Math" w:cs="Arial"/>
                          <w:sz w:val="20"/>
                          <w:szCs w:val="20"/>
                          <w:lang w:bidi="hi-IN"/>
                        </w:rPr>
                        <m:t>i</m:t>
                      </m:r>
                    </m:sub>
                  </m:sSub>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e>
                  </m:d>
                </m:e>
              </m:rad>
            </m:den>
          </m:f>
        </m:oMath>
      </m:oMathPara>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 c is a normalizing constant such that</w:t>
      </w:r>
    </w:p>
    <w:p w:rsidR="00520E26" w:rsidRPr="008F2809" w:rsidRDefault="00520E26" w:rsidP="008F2809">
      <w:pPr>
        <w:spacing w:line="480" w:lineRule="auto"/>
        <w:jc w:val="both"/>
        <w:rPr>
          <w:rFonts w:ascii="Arial" w:eastAsia="Times New Roman" w:hAnsi="Arial" w:cs="Arial"/>
          <w:sz w:val="20"/>
          <w:szCs w:val="20"/>
          <w:lang w:bidi="hi-IN"/>
        </w:rPr>
      </w:pPr>
      <m:oMathPara>
        <m:oMath>
          <m:r>
            <w:rPr>
              <w:rFonts w:ascii="Cambria Math" w:eastAsia="Times New Roman" w:hAnsi="Cambria Math" w:cs="Arial"/>
              <w:sz w:val="20"/>
              <w:szCs w:val="20"/>
              <w:lang w:bidi="hi-IN"/>
            </w:rPr>
            <m:t xml:space="preserve">c= </m:t>
          </m:r>
          <m:sSup>
            <m:sSupPr>
              <m:ctrlPr>
                <w:rPr>
                  <w:rFonts w:ascii="Cambria Math" w:eastAsia="Times New Roman" w:hAnsi="Cambria Math" w:cs="Arial"/>
                  <w:i/>
                  <w:sz w:val="20"/>
                  <w:szCs w:val="20"/>
                  <w:lang w:bidi="hi-IN"/>
                </w:rPr>
              </m:ctrlPr>
            </m:sSupPr>
            <m:e>
              <m:d>
                <m:dPr>
                  <m:begChr m:val="["/>
                  <m:endChr m:val="]"/>
                  <m:ctrlPr>
                    <w:rPr>
                      <w:rFonts w:ascii="Cambria Math" w:eastAsia="Times New Roman" w:hAnsi="Cambria Math" w:cs="Arial"/>
                      <w:i/>
                      <w:sz w:val="20"/>
                      <w:szCs w:val="20"/>
                      <w:lang w:bidi="hi-IN"/>
                    </w:rPr>
                  </m:ctrlPr>
                </m:dPr>
                <m:e>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j=1</m:t>
                      </m:r>
                    </m:sub>
                    <m:sup>
                      <m:r>
                        <w:rPr>
                          <w:rFonts w:ascii="Cambria Math" w:eastAsia="Times New Roman" w:hAnsi="Cambria Math" w:cs="Arial"/>
                          <w:sz w:val="20"/>
                          <w:szCs w:val="20"/>
                          <w:lang w:bidi="hi-IN"/>
                        </w:rPr>
                        <m:t>k</m:t>
                      </m:r>
                    </m:sup>
                    <m:e>
                      <m:f>
                        <m:fPr>
                          <m:type m:val="skw"/>
                          <m:ctrlPr>
                            <w:rPr>
                              <w:rFonts w:ascii="Cambria Math" w:eastAsia="Times New Roman" w:hAnsi="Cambria Math" w:cs="Arial"/>
                              <w:i/>
                              <w:sz w:val="20"/>
                              <w:szCs w:val="20"/>
                              <w:lang w:bidi="hi-IN"/>
                            </w:rPr>
                          </m:ctrlPr>
                        </m:fPr>
                        <m:num>
                          <m:r>
                            <w:rPr>
                              <w:rFonts w:ascii="Cambria Math" w:eastAsia="Times New Roman" w:hAnsi="Cambria Math" w:cs="Arial"/>
                              <w:sz w:val="20"/>
                              <w:szCs w:val="20"/>
                              <w:lang w:bidi="hi-IN"/>
                            </w:rPr>
                            <m:t>1</m:t>
                          </m:r>
                        </m:num>
                        <m:den>
                          <m:rad>
                            <m:radPr>
                              <m:degHide m:val="1"/>
                              <m:ctrlPr>
                                <w:rPr>
                                  <w:rFonts w:ascii="Cambria Math" w:eastAsia="Times New Roman" w:hAnsi="Cambria Math" w:cs="Arial"/>
                                  <w:i/>
                                  <w:sz w:val="20"/>
                                  <w:szCs w:val="20"/>
                                  <w:lang w:bidi="hi-IN"/>
                                </w:rPr>
                              </m:ctrlPr>
                            </m:radPr>
                            <m:deg/>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var</m:t>
                                  </m:r>
                                </m:e>
                                <m:sub>
                                  <m:r>
                                    <w:rPr>
                                      <w:rFonts w:ascii="Cambria Math" w:eastAsia="Times New Roman" w:hAnsi="Cambria Math" w:cs="Arial"/>
                                      <w:sz w:val="20"/>
                                      <w:szCs w:val="20"/>
                                      <w:lang w:bidi="hi-IN"/>
                                    </w:rPr>
                                    <m:t>i</m:t>
                                  </m:r>
                                </m:sub>
                              </m:sSub>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e>
                              </m:d>
                            </m:e>
                          </m:rad>
                        </m:den>
                      </m:f>
                    </m:e>
                  </m:nary>
                </m:e>
              </m:d>
            </m:e>
            <m:sup>
              <m:r>
                <w:rPr>
                  <w:rFonts w:ascii="Cambria Math" w:eastAsia="Times New Roman" w:hAnsi="Cambria Math" w:cs="Arial"/>
                  <w:sz w:val="20"/>
                  <w:szCs w:val="20"/>
                  <w:lang w:bidi="hi-IN"/>
                </w:rPr>
                <m:t>-1</m:t>
              </m:r>
            </m:sup>
          </m:sSup>
        </m:oMath>
      </m:oMathPara>
    </w:p>
    <w:p w:rsidR="00EA493D" w:rsidRPr="008F2809" w:rsidRDefault="00EA493D" w:rsidP="008F2809">
      <w:pPr>
        <w:spacing w:after="0" w:line="480" w:lineRule="auto"/>
        <w:jc w:val="both"/>
        <w:rPr>
          <w:rFonts w:ascii="Arial" w:eastAsia="Times New Roman" w:hAnsi="Arial" w:cs="Arial"/>
          <w:sz w:val="20"/>
          <w:szCs w:val="20"/>
          <w:lang w:val="en-IN" w:bidi="hi-IN"/>
        </w:rPr>
      </w:pPr>
      <w:r w:rsidRPr="008F2809">
        <w:rPr>
          <w:rFonts w:ascii="Arial" w:eastAsia="Times New Roman" w:hAnsi="Arial" w:cs="Arial"/>
          <w:sz w:val="20"/>
          <w:szCs w:val="20"/>
          <w:lang w:val="en-IN" w:bidi="hi-IN"/>
        </w:rPr>
        <w:lastRenderedPageBreak/>
        <w:t xml:space="preserve">Since most of the sub-components in the above categories take values between “0” and “1,” an equal-weighted average was applied for analysis. After deriving the major components for each district, they were combined using Eq. 2 to estimate the district-level LVI (Hahn </w:t>
      </w:r>
      <w:r w:rsidRPr="008F2809">
        <w:rPr>
          <w:rFonts w:ascii="Arial" w:eastAsia="Times New Roman" w:hAnsi="Arial" w:cs="Arial"/>
          <w:i/>
          <w:sz w:val="20"/>
          <w:szCs w:val="20"/>
          <w:lang w:val="en-IN" w:bidi="hi-IN"/>
        </w:rPr>
        <w:t>et al</w:t>
      </w:r>
      <w:r w:rsidRPr="008F2809">
        <w:rPr>
          <w:rFonts w:ascii="Arial" w:eastAsia="Times New Roman" w:hAnsi="Arial" w:cs="Arial"/>
          <w:sz w:val="20"/>
          <w:szCs w:val="20"/>
          <w:lang w:val="en-IN" w:bidi="hi-IN"/>
        </w:rPr>
        <w:t>., 2009).</w:t>
      </w:r>
    </w:p>
    <w:p w:rsidR="00520E26" w:rsidRPr="008F2809" w:rsidRDefault="00472973" w:rsidP="008F2809">
      <w:pPr>
        <w:spacing w:after="0"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LVI</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d</m:t>
                      </m:r>
                    </m:e>
                    <m:sub>
                      <m:r>
                        <w:rPr>
                          <w:rFonts w:ascii="Cambria Math" w:eastAsia="Times New Roman" w:hAnsi="Cambria Math" w:cs="Arial"/>
                          <w:sz w:val="20"/>
                          <w:szCs w:val="20"/>
                          <w:lang w:bidi="hi-IN"/>
                        </w:rPr>
                        <m:t>i</m:t>
                      </m:r>
                    </m:sub>
                  </m:sSub>
                </m:sub>
              </m:sSub>
            </m:num>
            <m:den>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den>
          </m:f>
        </m:oMath>
      </m:oMathPara>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Where </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LVI</w:t>
      </w:r>
      <w:r w:rsidRPr="008F2809">
        <w:rPr>
          <w:rFonts w:ascii="Arial" w:eastAsia="Times New Roman" w:hAnsi="Arial" w:cs="Arial"/>
          <w:sz w:val="20"/>
          <w:szCs w:val="20"/>
          <w:vertAlign w:val="subscript"/>
          <w:lang w:bidi="hi-IN"/>
        </w:rPr>
        <w:t>d</w:t>
      </w:r>
      <w:proofErr w:type="spellEnd"/>
      <w:r w:rsidRPr="008F2809">
        <w:rPr>
          <w:rFonts w:ascii="Arial" w:eastAsia="Times New Roman" w:hAnsi="Arial" w:cs="Arial"/>
          <w:sz w:val="20"/>
          <w:szCs w:val="20"/>
          <w:lang w:bidi="hi-IN"/>
        </w:rPr>
        <w:t xml:space="preserve"> denotes the livelihood vulnerability index for district d, </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W</w:t>
      </w:r>
      <w:r w:rsidRPr="008F2809">
        <w:rPr>
          <w:rFonts w:ascii="Arial" w:eastAsia="Times New Roman" w:hAnsi="Arial" w:cs="Arial"/>
          <w:sz w:val="20"/>
          <w:szCs w:val="20"/>
          <w:vertAlign w:val="subscript"/>
          <w:lang w:bidi="hi-IN"/>
        </w:rPr>
        <w:t>Mi</w:t>
      </w:r>
      <w:proofErr w:type="spellEnd"/>
      <w:r w:rsidRPr="008F2809">
        <w:rPr>
          <w:rFonts w:ascii="Arial" w:eastAsia="Times New Roman" w:hAnsi="Arial" w:cs="Arial"/>
          <w:sz w:val="20"/>
          <w:szCs w:val="20"/>
          <w:lang w:bidi="hi-IN"/>
        </w:rPr>
        <w:t xml:space="preserve"> determined by the number of subcomponents that make up each major component, contribute equally to the overall LVI</w:t>
      </w:r>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M</w:t>
      </w:r>
      <w:r w:rsidRPr="008F2809">
        <w:rPr>
          <w:rFonts w:ascii="Arial" w:eastAsia="Times New Roman" w:hAnsi="Arial" w:cs="Arial"/>
          <w:sz w:val="20"/>
          <w:szCs w:val="20"/>
          <w:vertAlign w:val="subscript"/>
          <w:lang w:bidi="hi-IN"/>
        </w:rPr>
        <w:t>bi</w:t>
      </w:r>
      <w:r w:rsidRPr="008F2809">
        <w:rPr>
          <w:rFonts w:ascii="Arial" w:eastAsia="Times New Roman" w:hAnsi="Arial" w:cs="Arial"/>
          <w:sz w:val="20"/>
          <w:szCs w:val="20"/>
          <w:lang w:bidi="hi-IN"/>
        </w:rPr>
        <w:t xml:space="preserve"> denotes sub-components (SDP, LS, SN, F, W, H, </w:t>
      </w:r>
      <w:proofErr w:type="gramStart"/>
      <w:r w:rsidRPr="008F2809">
        <w:rPr>
          <w:rFonts w:ascii="Arial" w:eastAsia="Times New Roman" w:hAnsi="Arial" w:cs="Arial"/>
          <w:sz w:val="20"/>
          <w:szCs w:val="20"/>
          <w:lang w:bidi="hi-IN"/>
        </w:rPr>
        <w:t>NDCV)  for</w:t>
      </w:r>
      <w:proofErr w:type="gramEnd"/>
      <w:r w:rsidRPr="008F2809">
        <w:rPr>
          <w:rFonts w:ascii="Arial" w:eastAsia="Times New Roman" w:hAnsi="Arial" w:cs="Arial"/>
          <w:sz w:val="20"/>
          <w:szCs w:val="20"/>
          <w:lang w:bidi="hi-IN"/>
        </w:rPr>
        <w:t xml:space="preserve"> district d.</w:t>
      </w:r>
    </w:p>
    <w:p w:rsidR="00520E26" w:rsidRPr="006D4AEB" w:rsidRDefault="006D4AEB" w:rsidP="008F2809">
      <w:pPr>
        <w:spacing w:line="480" w:lineRule="auto"/>
        <w:jc w:val="both"/>
        <w:rPr>
          <w:rFonts w:ascii="Arial" w:eastAsia="Times New Roman" w:hAnsi="Arial" w:cs="Arial"/>
          <w:b/>
          <w:lang w:bidi="hi-IN"/>
        </w:rPr>
      </w:pPr>
      <w:r w:rsidRPr="006D4AEB">
        <w:rPr>
          <w:rFonts w:ascii="Arial" w:eastAsia="Times New Roman" w:hAnsi="Arial" w:cs="Arial"/>
          <w:b/>
          <w:lang w:bidi="hi-IN"/>
        </w:rPr>
        <w:t>Table 1</w:t>
      </w:r>
      <w:r w:rsidR="00520E26" w:rsidRPr="006D4AEB">
        <w:rPr>
          <w:rFonts w:ascii="Arial" w:eastAsia="Times New Roman" w:hAnsi="Arial" w:cs="Arial"/>
          <w:b/>
          <w:lang w:bidi="hi-IN"/>
        </w:rPr>
        <w:t>. Components used to construct livelihood vulnerability index</w:t>
      </w:r>
    </w:p>
    <w:tbl>
      <w:tblPr>
        <w:tblStyle w:val="TableGrid1"/>
        <w:tblW w:w="0" w:type="auto"/>
        <w:tblLook w:val="04A0" w:firstRow="1" w:lastRow="0" w:firstColumn="1" w:lastColumn="0" w:noHBand="0" w:noVBand="1"/>
      </w:tblPr>
      <w:tblGrid>
        <w:gridCol w:w="2646"/>
        <w:gridCol w:w="6596"/>
      </w:tblGrid>
      <w:tr w:rsidR="00520E26" w:rsidRPr="006D4AEB" w:rsidTr="00745CA6">
        <w:tc>
          <w:tcPr>
            <w:tcW w:w="2718" w:type="dxa"/>
          </w:tcPr>
          <w:p w:rsidR="00520E26" w:rsidRPr="006D4AEB" w:rsidRDefault="00520E26" w:rsidP="008F2809">
            <w:pPr>
              <w:spacing w:line="480" w:lineRule="auto"/>
              <w:rPr>
                <w:rFonts w:ascii="Arial" w:eastAsia="Times New Roman" w:hAnsi="Arial" w:cs="Arial"/>
                <w:b/>
                <w:bCs/>
                <w:sz w:val="22"/>
                <w:szCs w:val="22"/>
                <w:lang w:bidi="hi-IN"/>
              </w:rPr>
            </w:pPr>
            <w:r w:rsidRPr="006D4AEB">
              <w:rPr>
                <w:rFonts w:ascii="Arial" w:eastAsia="Times New Roman" w:hAnsi="Arial" w:cs="Arial"/>
                <w:b/>
                <w:bCs/>
                <w:sz w:val="22"/>
                <w:szCs w:val="22"/>
                <w:lang w:bidi="hi-IN"/>
              </w:rPr>
              <w:t>Sub components</w:t>
            </w:r>
          </w:p>
        </w:tc>
        <w:tc>
          <w:tcPr>
            <w:tcW w:w="6858" w:type="dxa"/>
          </w:tcPr>
          <w:p w:rsidR="00520E26" w:rsidRPr="006D4AEB" w:rsidRDefault="00520E26" w:rsidP="008F2809">
            <w:pPr>
              <w:spacing w:line="480" w:lineRule="auto"/>
              <w:rPr>
                <w:rFonts w:ascii="Arial" w:eastAsia="Times New Roman" w:hAnsi="Arial" w:cs="Arial"/>
                <w:b/>
                <w:bCs/>
                <w:sz w:val="22"/>
                <w:szCs w:val="22"/>
                <w:lang w:bidi="hi-IN"/>
              </w:rPr>
            </w:pPr>
            <w:r w:rsidRPr="006D4AEB">
              <w:rPr>
                <w:rFonts w:ascii="Arial" w:eastAsia="Times New Roman" w:hAnsi="Arial" w:cs="Arial"/>
                <w:b/>
                <w:bCs/>
                <w:sz w:val="22"/>
                <w:szCs w:val="22"/>
                <w:lang w:bidi="hi-IN"/>
              </w:rPr>
              <w:t>Indicators</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Social demographic profile</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Dependency ratio</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Female-Headed Households</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Head of Household with No Formal Schooling</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Livelihood strategies</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Any household Members Working Outside the Village</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Main Income from Agriculture or Natural Resources</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 xml:space="preserve"> Loan taken by household in past one year</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Health</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Average time to health facility (minutes)</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Chronic Illness in Family</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Social network</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Help Received to Help Given Ratio</w:t>
            </w:r>
          </w:p>
          <w:p w:rsidR="00520E26" w:rsidRPr="006D4AEB" w:rsidRDefault="00520E26" w:rsidP="008F2809">
            <w:pPr>
              <w:numPr>
                <w:ilvl w:val="0"/>
                <w:numId w:val="1"/>
              </w:numPr>
              <w:spacing w:before="100" w:beforeAutospacing="1" w:after="100" w:afterAutospacing="1" w:line="480" w:lineRule="auto"/>
              <w:rPr>
                <w:rFonts w:ascii="Arial" w:eastAsia="Times New Roman" w:hAnsi="Arial" w:cs="Arial"/>
                <w:sz w:val="22"/>
                <w:szCs w:val="22"/>
              </w:rPr>
            </w:pPr>
            <w:r w:rsidRPr="006D4AEB">
              <w:rPr>
                <w:rFonts w:ascii="Arial" w:eastAsia="Times New Roman" w:hAnsi="Arial" w:cs="Arial"/>
                <w:sz w:val="22"/>
                <w:szCs w:val="22"/>
              </w:rPr>
              <w:t>Money Borrowed to Lent Ratio</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Food</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Dependence on Own Farm for Food</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Average crop diversity index</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Lack of seed Savings</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Water</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Inconsistent water supply</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Use of Natural Water Sources</w:t>
            </w:r>
            <w:r w:rsidRPr="006D4AEB">
              <w:rPr>
                <w:rFonts w:ascii="Arial" w:eastAsia="Times New Roman" w:hAnsi="Arial" w:cs="Arial"/>
                <w:sz w:val="22"/>
                <w:szCs w:val="22"/>
                <w:lang w:bidi="hi-IN"/>
              </w:rPr>
              <w:t xml:space="preserve"> such as hand pump, </w:t>
            </w:r>
            <w:r w:rsidRPr="006D4AEB">
              <w:rPr>
                <w:rFonts w:ascii="Arial" w:eastAsia="Times New Roman" w:hAnsi="Arial" w:cs="Arial"/>
                <w:sz w:val="22"/>
                <w:szCs w:val="22"/>
                <w:lang w:bidi="hi-IN"/>
              </w:rPr>
              <w:lastRenderedPageBreak/>
              <w:t>tubewell, well</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Drinking Water treatment</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lastRenderedPageBreak/>
              <w:t>Natural disasters and climate variability</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Drought experience by household</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Percentage of households reported increase in temperature</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Percentage of household reported uneven rainfall</w:t>
            </w:r>
          </w:p>
        </w:tc>
      </w:tr>
    </w:tbl>
    <w:p w:rsidR="00520E26" w:rsidRPr="006D4AEB" w:rsidRDefault="00AF5D15" w:rsidP="003D40A8">
      <w:pPr>
        <w:spacing w:before="240" w:after="0" w:line="480" w:lineRule="auto"/>
        <w:ind w:left="990" w:hanging="990"/>
        <w:jc w:val="both"/>
        <w:rPr>
          <w:rFonts w:ascii="Arial" w:eastAsia="Times New Roman" w:hAnsi="Arial" w:cs="Arial"/>
          <w:b/>
          <w:sz w:val="20"/>
          <w:szCs w:val="20"/>
          <w:lang w:bidi="hi-IN"/>
        </w:rPr>
      </w:pPr>
      <w:r w:rsidRPr="006D4AEB">
        <w:rPr>
          <w:rFonts w:ascii="Arial" w:eastAsia="Times New Roman" w:hAnsi="Arial" w:cs="Arial"/>
          <w:b/>
          <w:sz w:val="20"/>
          <w:szCs w:val="20"/>
          <w:lang w:bidi="hi-IN"/>
        </w:rPr>
        <w:t>2.</w:t>
      </w:r>
      <w:r w:rsidR="00FD0DE9">
        <w:rPr>
          <w:rFonts w:ascii="Arial" w:eastAsia="Times New Roman" w:hAnsi="Arial" w:cs="Arial"/>
          <w:b/>
          <w:sz w:val="20"/>
          <w:szCs w:val="20"/>
          <w:lang w:bidi="hi-IN"/>
        </w:rPr>
        <w:t>3</w:t>
      </w:r>
      <w:r w:rsidRPr="006D4AEB">
        <w:rPr>
          <w:rFonts w:ascii="Arial" w:eastAsia="Times New Roman" w:hAnsi="Arial" w:cs="Arial"/>
          <w:b/>
          <w:sz w:val="20"/>
          <w:szCs w:val="20"/>
          <w:lang w:bidi="hi-IN"/>
        </w:rPr>
        <w:t xml:space="preserve">.1: </w:t>
      </w:r>
      <w:r w:rsidR="00520E26" w:rsidRPr="006D4AEB">
        <w:rPr>
          <w:rFonts w:ascii="Arial" w:eastAsia="Times New Roman" w:hAnsi="Arial" w:cs="Arial"/>
          <w:b/>
          <w:sz w:val="20"/>
          <w:szCs w:val="20"/>
          <w:lang w:bidi="hi-IN"/>
        </w:rPr>
        <w:t>Livelihood vulnerability index-Intergovernmental Panel on Climate Change framework approach</w:t>
      </w:r>
    </w:p>
    <w:p w:rsidR="00EA493D" w:rsidRPr="006D4AEB" w:rsidRDefault="00EA493D" w:rsidP="008F2809">
      <w:pPr>
        <w:spacing w:line="480" w:lineRule="auto"/>
        <w:jc w:val="both"/>
        <w:rPr>
          <w:rFonts w:ascii="Arial" w:eastAsia="Times New Roman" w:hAnsi="Arial" w:cs="Arial"/>
          <w:sz w:val="20"/>
          <w:szCs w:val="20"/>
          <w:lang w:val="en-IN" w:bidi="hi-IN"/>
        </w:rPr>
      </w:pPr>
      <w:r w:rsidRPr="006D4AEB">
        <w:rPr>
          <w:rFonts w:ascii="Arial" w:eastAsia="Times New Roman" w:hAnsi="Arial" w:cs="Arial"/>
          <w:sz w:val="20"/>
          <w:szCs w:val="20"/>
          <w:lang w:val="en-IN" w:bidi="hi-IN"/>
        </w:rPr>
        <w:t xml:space="preserve">According to the IPCC, livelihood vulnerability is determined by the interaction of exposure, sensitivity, and adaptive capacity, though the framework does not explicitly outline the relationship among them (Shah </w:t>
      </w:r>
      <w:r w:rsidRPr="006D4AEB">
        <w:rPr>
          <w:rFonts w:ascii="Arial" w:eastAsia="Times New Roman" w:hAnsi="Arial" w:cs="Arial"/>
          <w:i/>
          <w:sz w:val="20"/>
          <w:szCs w:val="20"/>
          <w:lang w:val="en-IN" w:bidi="hi-IN"/>
        </w:rPr>
        <w:t>et al.</w:t>
      </w:r>
      <w:r w:rsidRPr="006D4AEB">
        <w:rPr>
          <w:rFonts w:ascii="Arial" w:eastAsia="Times New Roman" w:hAnsi="Arial" w:cs="Arial"/>
          <w:sz w:val="20"/>
          <w:szCs w:val="20"/>
          <w:lang w:val="en-IN" w:bidi="hi-IN"/>
        </w:rPr>
        <w:t>, 2013). The LVI-IPCC method relies on household-level primary data to assess its subcomponents. In this framework, exposure (e.g., natural disasters and climate variability), adaptive capacity (including socio-demographic profile, livelihood strategies and social networks,), and sensitivity (covering health, food, and water) are the major components that shape overall vulnerability.</w:t>
      </w:r>
    </w:p>
    <w:p w:rsidR="00520E26" w:rsidRPr="006D4AEB" w:rsidRDefault="00520E26" w:rsidP="008F2809">
      <w:pPr>
        <w:spacing w:after="0" w:line="480" w:lineRule="auto"/>
        <w:jc w:val="both"/>
        <w:rPr>
          <w:rFonts w:ascii="Arial" w:eastAsia="Times New Roman" w:hAnsi="Arial" w:cs="Arial"/>
          <w:b/>
          <w:lang w:bidi="hi-IN"/>
        </w:rPr>
      </w:pPr>
      <w:r w:rsidRPr="006D4AEB">
        <w:rPr>
          <w:rFonts w:ascii="Arial" w:eastAsia="Times New Roman" w:hAnsi="Arial" w:cs="Arial"/>
          <w:b/>
          <w:lang w:bidi="hi-IN"/>
        </w:rPr>
        <w:t>Table 2: Components of livelihood vulnerability index according to IPCC</w:t>
      </w:r>
    </w:p>
    <w:tbl>
      <w:tblPr>
        <w:tblStyle w:val="TableGrid1"/>
        <w:tblW w:w="0" w:type="auto"/>
        <w:tblLook w:val="04A0" w:firstRow="1" w:lastRow="0" w:firstColumn="1" w:lastColumn="0" w:noHBand="0" w:noVBand="1"/>
      </w:tblPr>
      <w:tblGrid>
        <w:gridCol w:w="4621"/>
        <w:gridCol w:w="4621"/>
      </w:tblGrid>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b/>
                <w:sz w:val="22"/>
                <w:szCs w:val="22"/>
              </w:rPr>
            </w:pPr>
            <w:r w:rsidRPr="006D4AEB">
              <w:rPr>
                <w:rFonts w:ascii="Arial" w:eastAsia="Times New Roman" w:hAnsi="Arial" w:cs="Arial"/>
                <w:b/>
                <w:sz w:val="22"/>
                <w:szCs w:val="22"/>
              </w:rPr>
              <w:t>IPCC contributing factors to vulnerability</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7315F8" w:rsidP="008F2809">
            <w:pPr>
              <w:spacing w:line="480" w:lineRule="auto"/>
              <w:jc w:val="both"/>
              <w:rPr>
                <w:rFonts w:ascii="Arial" w:eastAsia="Times New Roman" w:hAnsi="Arial" w:cs="Arial"/>
                <w:b/>
                <w:sz w:val="22"/>
                <w:szCs w:val="22"/>
              </w:rPr>
            </w:pPr>
            <w:r w:rsidRPr="006D4AEB">
              <w:rPr>
                <w:rFonts w:ascii="Arial" w:eastAsia="Times New Roman" w:hAnsi="Arial" w:cs="Arial"/>
                <w:b/>
                <w:sz w:val="22"/>
                <w:szCs w:val="22"/>
              </w:rPr>
              <w:t>sub</w:t>
            </w:r>
            <w:r w:rsidR="00520E26" w:rsidRPr="006D4AEB">
              <w:rPr>
                <w:rFonts w:ascii="Arial" w:eastAsia="Times New Roman" w:hAnsi="Arial" w:cs="Arial"/>
                <w:b/>
                <w:sz w:val="22"/>
                <w:szCs w:val="22"/>
              </w:rPr>
              <w:t xml:space="preserve"> components</w:t>
            </w:r>
          </w:p>
        </w:tc>
      </w:tr>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Exposure</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Natural disasters and climate variability</w:t>
            </w:r>
          </w:p>
        </w:tc>
      </w:tr>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Adaptive capacity</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Socio-demographic profile</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 xml:space="preserve">livelihood strategies </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Social network</w:t>
            </w:r>
          </w:p>
        </w:tc>
      </w:tr>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Sensitivity</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Health</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Food</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Water</w:t>
            </w:r>
          </w:p>
        </w:tc>
      </w:tr>
    </w:tbl>
    <w:p w:rsidR="00520E26" w:rsidRPr="006D4AEB" w:rsidRDefault="00472973" w:rsidP="008F2809">
      <w:pPr>
        <w:spacing w:before="240"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CF</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d</m:t>
                      </m:r>
                    </m:e>
                    <m:sub>
                      <m:r>
                        <w:rPr>
                          <w:rFonts w:ascii="Cambria Math" w:eastAsia="Times New Roman" w:hAnsi="Cambria Math" w:cs="Arial"/>
                          <w:sz w:val="20"/>
                          <w:szCs w:val="20"/>
                          <w:lang w:bidi="hi-IN"/>
                        </w:rPr>
                        <m:t>i</m:t>
                      </m:r>
                    </m:sub>
                  </m:sSub>
                </m:sub>
              </m:sSub>
            </m:num>
            <m:den>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den>
          </m:f>
        </m:oMath>
      </m:oMathPara>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Where,</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lastRenderedPageBreak/>
        <w:t>CF</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 An IPCC-defined contributing factor (exposure, sensitivity or adaptive capacity) for the district d,</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t>M</w:t>
      </w:r>
      <w:r w:rsidRPr="006D4AEB">
        <w:rPr>
          <w:rFonts w:ascii="Arial" w:eastAsia="Times New Roman" w:hAnsi="Arial" w:cs="Arial"/>
          <w:sz w:val="20"/>
          <w:szCs w:val="20"/>
          <w:vertAlign w:val="subscript"/>
          <w:lang w:bidi="hi-IN"/>
        </w:rPr>
        <w:t>di</w:t>
      </w:r>
      <w:proofErr w:type="spellEnd"/>
      <w:r w:rsidRPr="006D4AEB">
        <w:rPr>
          <w:rFonts w:ascii="Arial" w:eastAsia="Times New Roman" w:hAnsi="Arial" w:cs="Arial"/>
          <w:sz w:val="20"/>
          <w:szCs w:val="20"/>
          <w:lang w:bidi="hi-IN"/>
        </w:rPr>
        <w:t xml:space="preserve"> = The major components for the district d, indexed by i, </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proofErr w:type="gramStart"/>
      <w:r w:rsidRPr="006D4AEB">
        <w:rPr>
          <w:rFonts w:ascii="Arial" w:eastAsia="Times New Roman" w:hAnsi="Arial" w:cs="Arial"/>
          <w:sz w:val="20"/>
          <w:szCs w:val="20"/>
          <w:lang w:bidi="hi-IN"/>
        </w:rPr>
        <w:t>W</w:t>
      </w:r>
      <w:r w:rsidRPr="006D4AEB">
        <w:rPr>
          <w:rFonts w:ascii="Arial" w:eastAsia="Times New Roman" w:hAnsi="Arial" w:cs="Arial"/>
          <w:sz w:val="20"/>
          <w:szCs w:val="20"/>
          <w:vertAlign w:val="subscript"/>
          <w:lang w:bidi="hi-IN"/>
        </w:rPr>
        <w:t>mi</w:t>
      </w:r>
      <w:proofErr w:type="spellEnd"/>
      <w:r w:rsidRPr="006D4AEB">
        <w:rPr>
          <w:rFonts w:ascii="Arial" w:eastAsia="Times New Roman" w:hAnsi="Arial" w:cs="Arial"/>
          <w:sz w:val="20"/>
          <w:szCs w:val="20"/>
          <w:lang w:bidi="hi-IN"/>
        </w:rPr>
        <w:t xml:space="preserve">  =</w:t>
      </w:r>
      <w:proofErr w:type="gramEnd"/>
      <w:r w:rsidRPr="006D4AEB">
        <w:rPr>
          <w:rFonts w:ascii="Arial" w:eastAsia="Times New Roman" w:hAnsi="Arial" w:cs="Arial"/>
          <w:sz w:val="20"/>
          <w:szCs w:val="20"/>
          <w:lang w:bidi="hi-IN"/>
        </w:rPr>
        <w:t xml:space="preserve"> The weightage of each major component, </w:t>
      </w:r>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 xml:space="preserve"> n </w:t>
      </w:r>
      <w:proofErr w:type="gramStart"/>
      <w:r w:rsidRPr="006D4AEB">
        <w:rPr>
          <w:rFonts w:ascii="Arial" w:eastAsia="Times New Roman" w:hAnsi="Arial" w:cs="Arial"/>
          <w:sz w:val="20"/>
          <w:szCs w:val="20"/>
          <w:lang w:bidi="hi-IN"/>
        </w:rPr>
        <w:t>=  The</w:t>
      </w:r>
      <w:proofErr w:type="gramEnd"/>
      <w:r w:rsidRPr="006D4AEB">
        <w:rPr>
          <w:rFonts w:ascii="Arial" w:eastAsia="Times New Roman" w:hAnsi="Arial" w:cs="Arial"/>
          <w:sz w:val="20"/>
          <w:szCs w:val="20"/>
          <w:lang w:bidi="hi-IN"/>
        </w:rPr>
        <w:t xml:space="preserve"> number of major components in each contributing factor.</w:t>
      </w:r>
    </w:p>
    <w:p w:rsidR="00520E26" w:rsidRPr="006D4AEB" w:rsidRDefault="00520E26" w:rsidP="008F2809">
      <w:pPr>
        <w:spacing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Once exposure, sensitivity and adaptive capacity were calculated, the three contributing factors were combined.</w:t>
      </w:r>
    </w:p>
    <w:p w:rsidR="00520E26" w:rsidRPr="006D4AEB" w:rsidRDefault="00520E26" w:rsidP="008F2809">
      <w:pPr>
        <w:spacing w:line="480" w:lineRule="auto"/>
        <w:jc w:val="both"/>
        <w:rPr>
          <w:rFonts w:ascii="Arial" w:eastAsia="Times New Roman" w:hAnsi="Arial" w:cs="Arial"/>
          <w:sz w:val="20"/>
          <w:szCs w:val="20"/>
          <w:lang w:bidi="hi-IN"/>
        </w:rPr>
      </w:pPr>
      <m:oMathPara>
        <m:oMath>
          <m:r>
            <w:rPr>
              <w:rFonts w:ascii="Cambria Math" w:eastAsia="Times New Roman" w:hAnsi="Cambria Math" w:cs="Arial"/>
              <w:sz w:val="20"/>
              <w:szCs w:val="20"/>
              <w:lang w:bidi="hi-IN"/>
            </w:rPr>
            <m:t xml:space="preserve">LVI-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IPCC</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e</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a</m:t>
                  </m:r>
                </m:e>
                <m:sub>
                  <m:r>
                    <w:rPr>
                      <w:rFonts w:ascii="Cambria Math" w:eastAsia="Times New Roman" w:hAnsi="Cambria Math" w:cs="Arial"/>
                      <w:sz w:val="20"/>
                      <w:szCs w:val="20"/>
                      <w:lang w:bidi="hi-IN"/>
                    </w:rPr>
                    <m:t>d</m:t>
                  </m:r>
                </m:sub>
              </m:sSub>
            </m:e>
          </m:d>
          <m:r>
            <w:rPr>
              <w:rFonts w:ascii="Cambria Math" w:eastAsia="Times New Roman" w:hAnsi="Cambria Math" w:cs="Arial"/>
              <w:sz w:val="20"/>
              <w:szCs w:val="20"/>
              <w:lang w:bidi="hi-IN"/>
            </w:rPr>
            <m:t xml:space="preserve"> ×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s</m:t>
              </m:r>
            </m:e>
            <m:sub>
              <m:r>
                <w:rPr>
                  <w:rFonts w:ascii="Cambria Math" w:eastAsia="Times New Roman" w:hAnsi="Cambria Math" w:cs="Arial"/>
                  <w:sz w:val="20"/>
                  <w:szCs w:val="20"/>
                  <w:lang w:bidi="hi-IN"/>
                </w:rPr>
                <m:t>d</m:t>
              </m:r>
            </m:sub>
          </m:sSub>
        </m:oMath>
      </m:oMathPara>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Where,</w:t>
      </w:r>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LVI-</w:t>
      </w:r>
      <w:proofErr w:type="spellStart"/>
      <w:r w:rsidRPr="006D4AEB">
        <w:rPr>
          <w:rFonts w:ascii="Arial" w:eastAsia="Times New Roman" w:hAnsi="Arial" w:cs="Arial"/>
          <w:sz w:val="20"/>
          <w:szCs w:val="20"/>
          <w:lang w:bidi="hi-IN"/>
        </w:rPr>
        <w:t>IPCC</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is the LVI for the district d using the IPCC vulnerability framework,</w:t>
      </w:r>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e</w:t>
      </w:r>
      <w:r w:rsidRPr="006D4AEB">
        <w:rPr>
          <w:rFonts w:ascii="Arial" w:eastAsia="Times New Roman" w:hAnsi="Arial" w:cs="Arial"/>
          <w:sz w:val="20"/>
          <w:szCs w:val="20"/>
          <w:vertAlign w:val="subscript"/>
          <w:lang w:bidi="hi-IN"/>
        </w:rPr>
        <w:t>d</w:t>
      </w:r>
      <w:r w:rsidRPr="006D4AEB">
        <w:rPr>
          <w:rFonts w:ascii="Arial" w:eastAsia="Times New Roman" w:hAnsi="Arial" w:cs="Arial"/>
          <w:sz w:val="20"/>
          <w:szCs w:val="20"/>
          <w:lang w:bidi="hi-IN"/>
        </w:rPr>
        <w:t xml:space="preserve"> </w:t>
      </w:r>
      <w:proofErr w:type="gramStart"/>
      <w:r w:rsidRPr="006D4AEB">
        <w:rPr>
          <w:rFonts w:ascii="Arial" w:eastAsia="Times New Roman" w:hAnsi="Arial" w:cs="Arial"/>
          <w:sz w:val="20"/>
          <w:szCs w:val="20"/>
          <w:lang w:bidi="hi-IN"/>
        </w:rPr>
        <w:t>=  The</w:t>
      </w:r>
      <w:proofErr w:type="gramEnd"/>
      <w:r w:rsidRPr="006D4AEB">
        <w:rPr>
          <w:rFonts w:ascii="Arial" w:eastAsia="Times New Roman" w:hAnsi="Arial" w:cs="Arial"/>
          <w:sz w:val="20"/>
          <w:szCs w:val="20"/>
          <w:lang w:bidi="hi-IN"/>
        </w:rPr>
        <w:t xml:space="preserve"> calculated exposure score for the district d (equivalent to the natural disaster),</w:t>
      </w:r>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a</w:t>
      </w:r>
      <w:r w:rsidRPr="006D4AEB">
        <w:rPr>
          <w:rFonts w:ascii="Arial" w:eastAsia="Times New Roman" w:hAnsi="Arial" w:cs="Arial"/>
          <w:sz w:val="20"/>
          <w:szCs w:val="20"/>
          <w:vertAlign w:val="subscript"/>
          <w:lang w:bidi="hi-IN"/>
        </w:rPr>
        <w:t>d</w:t>
      </w:r>
      <w:r w:rsidRPr="006D4AEB">
        <w:rPr>
          <w:rFonts w:ascii="Arial" w:eastAsia="Times New Roman" w:hAnsi="Arial" w:cs="Arial"/>
          <w:sz w:val="20"/>
          <w:szCs w:val="20"/>
          <w:lang w:bidi="hi-IN"/>
        </w:rPr>
        <w:t xml:space="preserve"> </w:t>
      </w:r>
      <w:proofErr w:type="gramStart"/>
      <w:r w:rsidRPr="006D4AEB">
        <w:rPr>
          <w:rFonts w:ascii="Arial" w:eastAsia="Times New Roman" w:hAnsi="Arial" w:cs="Arial"/>
          <w:sz w:val="20"/>
          <w:szCs w:val="20"/>
          <w:lang w:bidi="hi-IN"/>
        </w:rPr>
        <w:t xml:space="preserve">=  </w:t>
      </w:r>
      <w:r w:rsidRPr="006D4AEB">
        <w:rPr>
          <w:rFonts w:ascii="Arial" w:eastAsia="Times New Roman" w:hAnsi="Arial" w:cs="Arial"/>
          <w:sz w:val="20"/>
          <w:szCs w:val="20"/>
          <w:lang w:bidi="hi-IN"/>
        </w:rPr>
        <w:tab/>
      </w:r>
      <w:proofErr w:type="gramEnd"/>
      <w:r w:rsidRPr="006D4AEB">
        <w:rPr>
          <w:rFonts w:ascii="Arial" w:eastAsia="Times New Roman" w:hAnsi="Arial" w:cs="Arial"/>
          <w:sz w:val="20"/>
          <w:szCs w:val="20"/>
          <w:lang w:bidi="hi-IN"/>
        </w:rPr>
        <w:t>The calculated adaptive capacity score for the district d (weightage average of socio-demographic, livelihood strategies, social networks, as major components),</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t>s</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w:t>
      </w:r>
      <w:proofErr w:type="gramStart"/>
      <w:r w:rsidRPr="006D4AEB">
        <w:rPr>
          <w:rFonts w:ascii="Arial" w:eastAsia="Times New Roman" w:hAnsi="Arial" w:cs="Arial"/>
          <w:sz w:val="20"/>
          <w:szCs w:val="20"/>
          <w:lang w:bidi="hi-IN"/>
        </w:rPr>
        <w:t>=  The</w:t>
      </w:r>
      <w:proofErr w:type="gramEnd"/>
      <w:r w:rsidRPr="006D4AEB">
        <w:rPr>
          <w:rFonts w:ascii="Arial" w:eastAsia="Times New Roman" w:hAnsi="Arial" w:cs="Arial"/>
          <w:sz w:val="20"/>
          <w:szCs w:val="20"/>
          <w:lang w:bidi="hi-IN"/>
        </w:rPr>
        <w:t xml:space="preserve"> calculated sensitivity score for the district d (weightage average of health, food and water major components).</w:t>
      </w:r>
    </w:p>
    <w:p w:rsidR="00520E26" w:rsidRPr="008F2809" w:rsidRDefault="00520E26" w:rsidP="008F2809">
      <w:pPr>
        <w:spacing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The LVI-IPCC is scaled from −1 (least vulnerable) to 1 (most vulnerable).</w:t>
      </w:r>
    </w:p>
    <w:p w:rsidR="00EC45E0" w:rsidRDefault="006D4AEB" w:rsidP="008F2809">
      <w:pPr>
        <w:spacing w:after="0" w:line="480" w:lineRule="auto"/>
        <w:jc w:val="both"/>
        <w:rPr>
          <w:rFonts w:ascii="Arial" w:hAnsi="Arial" w:cs="Arial"/>
          <w:b/>
        </w:rPr>
      </w:pPr>
      <w:r w:rsidRPr="006D4AEB">
        <w:rPr>
          <w:rFonts w:ascii="Arial" w:hAnsi="Arial" w:cs="Arial"/>
          <w:b/>
        </w:rPr>
        <w:t>3. RESULTS AND DISCUSSION</w:t>
      </w:r>
    </w:p>
    <w:p w:rsidR="001C416A" w:rsidRPr="006D4AEB" w:rsidRDefault="001C416A" w:rsidP="008F2809">
      <w:pPr>
        <w:spacing w:after="0" w:line="480" w:lineRule="auto"/>
        <w:jc w:val="both"/>
        <w:rPr>
          <w:rFonts w:ascii="Arial" w:hAnsi="Arial" w:cs="Arial"/>
          <w:b/>
        </w:rPr>
      </w:pPr>
      <w:r>
        <w:rPr>
          <w:rFonts w:ascii="Arial" w:hAnsi="Arial" w:cs="Arial"/>
          <w:b/>
        </w:rPr>
        <w:t xml:space="preserve">Insert title: </w:t>
      </w:r>
      <w:r w:rsidR="009604DB">
        <w:rPr>
          <w:rFonts w:ascii="Arial" w:hAnsi="Arial" w:cs="Arial"/>
          <w:b/>
        </w:rPr>
        <w:t xml:space="preserve">3.1: </w:t>
      </w:r>
      <w:r w:rsidRPr="006D4AEB">
        <w:rPr>
          <w:rFonts w:ascii="Arial" w:hAnsi="Arial" w:cs="Arial"/>
          <w:b/>
          <w:bCs/>
        </w:rPr>
        <w:t xml:space="preserve">Livelihood vulnerability index of </w:t>
      </w:r>
      <w:r w:rsidR="009604DB">
        <w:rPr>
          <w:rFonts w:ascii="Arial" w:hAnsi="Arial" w:cs="Arial"/>
          <w:b/>
          <w:bCs/>
        </w:rPr>
        <w:t>farmers in Jaipur and Udaipur district</w:t>
      </w:r>
    </w:p>
    <w:p w:rsidR="000358CE" w:rsidRPr="00EE46FF" w:rsidRDefault="00EE46FF" w:rsidP="00001D9E">
      <w:pPr>
        <w:jc w:val="both"/>
        <w:rPr>
          <w:rFonts w:ascii="Arial" w:hAnsi="Arial" w:cs="Arial"/>
          <w:sz w:val="20"/>
          <w:szCs w:val="24"/>
        </w:rPr>
      </w:pPr>
      <w:r w:rsidRPr="00BE78CF">
        <w:rPr>
          <w:rFonts w:ascii="Arial" w:hAnsi="Arial" w:cs="Arial"/>
          <w:sz w:val="20"/>
        </w:rPr>
        <w:t>The Livelihood Vulnerability Index (LVI) is a framework designed to evaluate how vulnerable communities are to various hazards and risks that may affect the stability and sustainability of their livelihoods.</w:t>
      </w:r>
      <w:r>
        <w:rPr>
          <w:rFonts w:ascii="Arial" w:hAnsi="Arial" w:cs="Arial"/>
          <w:sz w:val="20"/>
          <w:szCs w:val="24"/>
        </w:rPr>
        <w:t xml:space="preserve"> Finding from the Jaipur and Udaipur district related different components of livelihood vulnerability index represents in </w:t>
      </w:r>
      <w:r>
        <w:rPr>
          <w:rFonts w:ascii="Arial" w:hAnsi="Arial" w:cs="Arial"/>
          <w:sz w:val="20"/>
          <w:szCs w:val="20"/>
        </w:rPr>
        <w:t>t</w:t>
      </w:r>
      <w:r w:rsidR="000358CE" w:rsidRPr="006D4AEB">
        <w:rPr>
          <w:rFonts w:ascii="Arial" w:hAnsi="Arial" w:cs="Arial"/>
          <w:sz w:val="20"/>
          <w:szCs w:val="20"/>
        </w:rPr>
        <w:t>he table 3</w:t>
      </w:r>
      <w:r>
        <w:rPr>
          <w:rFonts w:ascii="Arial" w:hAnsi="Arial" w:cs="Arial"/>
          <w:sz w:val="20"/>
          <w:szCs w:val="20"/>
        </w:rPr>
        <w:t>,</w:t>
      </w:r>
      <w:r w:rsidR="000358CE" w:rsidRPr="006D4AEB">
        <w:rPr>
          <w:rFonts w:ascii="Arial" w:hAnsi="Arial" w:cs="Arial"/>
          <w:sz w:val="20"/>
          <w:szCs w:val="20"/>
        </w:rPr>
        <w:t xml:space="preserve"> </w:t>
      </w:r>
      <w:r>
        <w:rPr>
          <w:rFonts w:ascii="Arial" w:hAnsi="Arial" w:cs="Arial"/>
          <w:sz w:val="20"/>
          <w:szCs w:val="20"/>
        </w:rPr>
        <w:t xml:space="preserve">which </w:t>
      </w:r>
      <w:r w:rsidR="000358CE" w:rsidRPr="006D4AEB">
        <w:rPr>
          <w:rFonts w:ascii="Arial" w:hAnsi="Arial" w:cs="Arial"/>
          <w:sz w:val="20"/>
          <w:szCs w:val="20"/>
        </w:rPr>
        <w:t xml:space="preserve">showed that the highest vulnerability index value for sub-components in Jaipur district was found under the </w:t>
      </w:r>
      <w:r w:rsidR="000358CE" w:rsidRPr="006D4AEB">
        <w:rPr>
          <w:rFonts w:ascii="Arial" w:hAnsi="Arial" w:cs="Arial"/>
          <w:iCs/>
          <w:sz w:val="20"/>
          <w:szCs w:val="20"/>
        </w:rPr>
        <w:t>Livelihood Strategies</w:t>
      </w:r>
      <w:r w:rsidR="000358CE" w:rsidRPr="006D4AEB">
        <w:rPr>
          <w:rFonts w:ascii="Arial" w:hAnsi="Arial" w:cs="Arial"/>
          <w:sz w:val="20"/>
          <w:szCs w:val="20"/>
        </w:rPr>
        <w:t xml:space="preserve"> (0.617), suggesting that most of the respondents depends on agriculture for their income, had higher loan dependency and one of the family members work outside the village for income. This was closely followed by </w:t>
      </w:r>
      <w:r w:rsidR="000358CE" w:rsidRPr="006D4AEB">
        <w:rPr>
          <w:rFonts w:ascii="Arial" w:hAnsi="Arial" w:cs="Arial"/>
          <w:iCs/>
          <w:sz w:val="20"/>
          <w:szCs w:val="20"/>
        </w:rPr>
        <w:t>Natural Disasters and Climate Variability</w:t>
      </w:r>
      <w:r w:rsidR="000358CE" w:rsidRPr="006D4AEB">
        <w:rPr>
          <w:rFonts w:ascii="Arial" w:hAnsi="Arial" w:cs="Arial"/>
          <w:sz w:val="20"/>
          <w:szCs w:val="20"/>
        </w:rPr>
        <w:t xml:space="preserve"> (0.569) and </w:t>
      </w:r>
      <w:r w:rsidR="000358CE" w:rsidRPr="006D4AEB">
        <w:rPr>
          <w:rFonts w:ascii="Arial" w:hAnsi="Arial" w:cs="Arial"/>
          <w:iCs/>
          <w:sz w:val="20"/>
          <w:szCs w:val="20"/>
        </w:rPr>
        <w:t>Water</w:t>
      </w:r>
      <w:r w:rsidR="000358CE" w:rsidRPr="006D4AEB">
        <w:rPr>
          <w:rFonts w:ascii="Arial" w:hAnsi="Arial" w:cs="Arial"/>
          <w:sz w:val="20"/>
          <w:szCs w:val="20"/>
        </w:rPr>
        <w:t xml:space="preserve"> (0.567) index value, higher value of both sub components were due to increased temperature, uneven rainfall, higher water inconsistency, use of natural water sources for drinking and most of respondents do not treat drinking water. The index value for </w:t>
      </w:r>
      <w:r w:rsidR="000358CE" w:rsidRPr="006D4AEB">
        <w:rPr>
          <w:rFonts w:ascii="Arial" w:hAnsi="Arial" w:cs="Arial"/>
          <w:iCs/>
          <w:sz w:val="20"/>
          <w:szCs w:val="20"/>
        </w:rPr>
        <w:t>Food</w:t>
      </w:r>
      <w:r w:rsidR="000358CE" w:rsidRPr="006D4AEB">
        <w:rPr>
          <w:rFonts w:ascii="Arial" w:hAnsi="Arial" w:cs="Arial"/>
          <w:sz w:val="20"/>
          <w:szCs w:val="20"/>
        </w:rPr>
        <w:t xml:space="preserve"> component was found 0.477, showed higher dependency of respondents on own grown food crop. The </w:t>
      </w:r>
      <w:r w:rsidR="000358CE" w:rsidRPr="006D4AEB">
        <w:rPr>
          <w:rFonts w:ascii="Arial" w:hAnsi="Arial" w:cs="Arial"/>
          <w:iCs/>
          <w:sz w:val="20"/>
          <w:szCs w:val="20"/>
        </w:rPr>
        <w:t>Health</w:t>
      </w:r>
      <w:r w:rsidR="000358CE" w:rsidRPr="006D4AEB">
        <w:rPr>
          <w:rFonts w:ascii="Arial" w:hAnsi="Arial" w:cs="Arial"/>
          <w:sz w:val="20"/>
          <w:szCs w:val="20"/>
        </w:rPr>
        <w:t xml:space="preserve"> index value (0.332) was found lower, indicating better health conditions and access to facilities among the respondents in Jaipur district. </w:t>
      </w:r>
      <w:r w:rsidR="000358CE" w:rsidRPr="006D4AEB">
        <w:rPr>
          <w:rFonts w:ascii="Arial" w:hAnsi="Arial" w:cs="Arial"/>
          <w:iCs/>
          <w:sz w:val="20"/>
          <w:szCs w:val="20"/>
        </w:rPr>
        <w:t>Health</w:t>
      </w:r>
      <w:r w:rsidR="000358CE" w:rsidRPr="006D4AEB">
        <w:rPr>
          <w:rFonts w:ascii="Arial" w:hAnsi="Arial" w:cs="Arial"/>
          <w:sz w:val="20"/>
          <w:szCs w:val="20"/>
        </w:rPr>
        <w:t xml:space="preserve"> (0.359) and </w:t>
      </w:r>
      <w:r w:rsidR="000358CE" w:rsidRPr="006D4AEB">
        <w:rPr>
          <w:rFonts w:ascii="Arial" w:hAnsi="Arial" w:cs="Arial"/>
          <w:iCs/>
          <w:sz w:val="20"/>
          <w:szCs w:val="20"/>
        </w:rPr>
        <w:t>social demographic profile</w:t>
      </w:r>
      <w:r w:rsidR="000358CE" w:rsidRPr="006D4AEB">
        <w:rPr>
          <w:rFonts w:ascii="Arial" w:hAnsi="Arial" w:cs="Arial"/>
          <w:sz w:val="20"/>
          <w:szCs w:val="20"/>
        </w:rPr>
        <w:t xml:space="preserve"> (0.291) sub components reflect lower vulnerability, due to better proximity to health facilities and comparatively lower illiteracy among household heads. The </w:t>
      </w:r>
      <w:r w:rsidR="000358CE" w:rsidRPr="006D4AEB">
        <w:rPr>
          <w:rFonts w:ascii="Arial" w:hAnsi="Arial" w:cs="Arial"/>
          <w:iCs/>
          <w:sz w:val="20"/>
          <w:szCs w:val="20"/>
        </w:rPr>
        <w:t>Social Network</w:t>
      </w:r>
      <w:r w:rsidR="000358CE" w:rsidRPr="006D4AEB">
        <w:rPr>
          <w:rFonts w:ascii="Arial" w:hAnsi="Arial" w:cs="Arial"/>
          <w:i/>
          <w:iCs/>
          <w:sz w:val="20"/>
          <w:szCs w:val="20"/>
        </w:rPr>
        <w:t xml:space="preserve"> </w:t>
      </w:r>
      <w:r w:rsidR="000358CE" w:rsidRPr="006D4AEB">
        <w:rPr>
          <w:rFonts w:ascii="Arial" w:hAnsi="Arial" w:cs="Arial"/>
          <w:sz w:val="20"/>
          <w:szCs w:val="20"/>
        </w:rPr>
        <w:t xml:space="preserve">index value was found to be 0.353 which was higher than Udaipur. The Livelihood Vulnerability Index for Jaipur district was found to be </w:t>
      </w:r>
      <w:r w:rsidR="000358CE" w:rsidRPr="006D4AEB">
        <w:rPr>
          <w:rFonts w:ascii="Arial" w:hAnsi="Arial" w:cs="Arial"/>
          <w:bCs/>
          <w:sz w:val="20"/>
          <w:szCs w:val="20"/>
        </w:rPr>
        <w:t>0.466</w:t>
      </w:r>
      <w:r w:rsidR="000358CE" w:rsidRPr="006D4AEB">
        <w:rPr>
          <w:rFonts w:ascii="Arial" w:hAnsi="Arial" w:cs="Arial"/>
          <w:sz w:val="20"/>
          <w:szCs w:val="20"/>
        </w:rPr>
        <w:t xml:space="preserve"> which was slightly lower than Udaipur. This suggests that relatively better livelihood stability compared to Udaipur.</w:t>
      </w:r>
    </w:p>
    <w:p w:rsidR="000358CE" w:rsidRPr="006D4AEB" w:rsidRDefault="000358CE" w:rsidP="008F2809">
      <w:pPr>
        <w:spacing w:after="0" w:line="480" w:lineRule="auto"/>
        <w:ind w:firstLine="720"/>
        <w:jc w:val="both"/>
        <w:rPr>
          <w:rFonts w:ascii="Arial" w:hAnsi="Arial" w:cs="Arial"/>
          <w:sz w:val="20"/>
          <w:szCs w:val="20"/>
        </w:rPr>
      </w:pPr>
      <w:r w:rsidRPr="006D4AEB">
        <w:rPr>
          <w:rFonts w:ascii="Arial" w:hAnsi="Arial" w:cs="Arial"/>
          <w:sz w:val="20"/>
          <w:szCs w:val="20"/>
        </w:rPr>
        <w:lastRenderedPageBreak/>
        <w:t xml:space="preserve">Table 3 represents the sub component-wise Livelihood Vulnerability Index (LVI) values of respondents in Udaipur district. Among all the components, the </w:t>
      </w:r>
      <w:r w:rsidRPr="006D4AEB">
        <w:rPr>
          <w:rFonts w:ascii="Arial" w:hAnsi="Arial" w:cs="Arial"/>
          <w:iCs/>
          <w:sz w:val="20"/>
          <w:szCs w:val="20"/>
        </w:rPr>
        <w:t>Water</w:t>
      </w:r>
      <w:r w:rsidRPr="006D4AEB">
        <w:rPr>
          <w:rFonts w:ascii="Arial" w:hAnsi="Arial" w:cs="Arial"/>
          <w:sz w:val="20"/>
          <w:szCs w:val="20"/>
        </w:rPr>
        <w:t xml:space="preserve"> component had the highest index value of 0.633, indicating significant reliance on natural water sources in the district</w:t>
      </w:r>
      <w:r w:rsidR="005E5C8E">
        <w:rPr>
          <w:rFonts w:ascii="Arial" w:hAnsi="Arial" w:cs="Arial"/>
          <w:sz w:val="20"/>
          <w:szCs w:val="20"/>
        </w:rPr>
        <w:t>.</w:t>
      </w:r>
      <w:r w:rsidR="005E5C8E">
        <w:rPr>
          <w:rFonts w:ascii="Arial" w:hAnsi="Arial" w:cs="Arial"/>
          <w:sz w:val="20"/>
          <w:szCs w:val="20"/>
          <w:lang w:val="en-IN"/>
        </w:rPr>
        <w:t xml:space="preserve"> The finding</w:t>
      </w:r>
      <w:r w:rsidR="003B74CE">
        <w:rPr>
          <w:rFonts w:ascii="Arial" w:hAnsi="Arial" w:cs="Arial"/>
          <w:sz w:val="20"/>
          <w:szCs w:val="20"/>
          <w:lang w:val="en-IN"/>
        </w:rPr>
        <w:t xml:space="preserve"> was supported by </w:t>
      </w:r>
      <w:r w:rsidR="005E5C8E">
        <w:rPr>
          <w:rFonts w:ascii="Arial" w:hAnsi="Arial" w:cs="Arial"/>
          <w:sz w:val="20"/>
          <w:szCs w:val="20"/>
          <w:lang w:val="en-IN"/>
        </w:rPr>
        <w:t xml:space="preserve">study </w:t>
      </w:r>
      <w:r w:rsidR="003B74CE">
        <w:rPr>
          <w:rFonts w:ascii="Arial" w:hAnsi="Arial" w:cs="Arial"/>
          <w:sz w:val="20"/>
          <w:szCs w:val="20"/>
          <w:lang w:val="en-IN"/>
        </w:rPr>
        <w:t xml:space="preserve">of Shamshad and </w:t>
      </w:r>
      <w:proofErr w:type="spellStart"/>
      <w:r w:rsidR="007D46AB">
        <w:rPr>
          <w:rFonts w:ascii="Arial" w:hAnsi="Arial" w:cs="Arial"/>
          <w:sz w:val="20"/>
          <w:szCs w:val="20"/>
          <w:lang w:val="en-IN"/>
        </w:rPr>
        <w:t>Chaplot</w:t>
      </w:r>
      <w:proofErr w:type="spellEnd"/>
      <w:r w:rsidR="007D46AB">
        <w:rPr>
          <w:rFonts w:ascii="Arial" w:hAnsi="Arial" w:cs="Arial"/>
          <w:sz w:val="20"/>
          <w:szCs w:val="20"/>
          <w:lang w:val="en-IN"/>
        </w:rPr>
        <w:t xml:space="preserve"> (2018) on water condition on Udaipur</w:t>
      </w:r>
      <w:r w:rsidR="003B74CE">
        <w:rPr>
          <w:rFonts w:ascii="Arial" w:hAnsi="Arial" w:cs="Arial"/>
          <w:sz w:val="20"/>
          <w:szCs w:val="20"/>
          <w:lang w:val="en-IN"/>
        </w:rPr>
        <w:t>.</w:t>
      </w:r>
      <w:r w:rsidRPr="006D4AEB">
        <w:rPr>
          <w:rFonts w:ascii="Arial" w:hAnsi="Arial" w:cs="Arial"/>
          <w:sz w:val="20"/>
          <w:szCs w:val="20"/>
        </w:rPr>
        <w:t xml:space="preserve">This was followed by the Food sub components (0.613), suggesting challenges with food security like low crop diversity or seed storage. The index value for </w:t>
      </w:r>
      <w:r w:rsidRPr="006D4AEB">
        <w:rPr>
          <w:rFonts w:ascii="Arial" w:hAnsi="Arial" w:cs="Arial"/>
          <w:iCs/>
          <w:sz w:val="20"/>
          <w:szCs w:val="20"/>
        </w:rPr>
        <w:t>Natural Disasters and Climate Variability</w:t>
      </w:r>
      <w:r w:rsidRPr="006D4AEB">
        <w:rPr>
          <w:rFonts w:ascii="Arial" w:hAnsi="Arial" w:cs="Arial"/>
          <w:i/>
          <w:iCs/>
          <w:sz w:val="20"/>
          <w:szCs w:val="20"/>
        </w:rPr>
        <w:t xml:space="preserve"> </w:t>
      </w:r>
      <w:r w:rsidRPr="006D4AEB">
        <w:rPr>
          <w:rFonts w:ascii="Arial" w:hAnsi="Arial" w:cs="Arial"/>
          <w:sz w:val="20"/>
          <w:szCs w:val="20"/>
        </w:rPr>
        <w:t xml:space="preserve">sub component was found 0.575 because of erratic rainfall and increases in temperature. The fourth highest sub component was </w:t>
      </w:r>
      <w:r w:rsidRPr="006D4AEB">
        <w:rPr>
          <w:rFonts w:ascii="Arial" w:hAnsi="Arial" w:cs="Arial"/>
          <w:iCs/>
          <w:sz w:val="20"/>
          <w:szCs w:val="20"/>
        </w:rPr>
        <w:t>Livelihood Strategies</w:t>
      </w:r>
      <w:r w:rsidRPr="006D4AEB">
        <w:rPr>
          <w:rFonts w:ascii="Arial" w:hAnsi="Arial" w:cs="Arial"/>
          <w:i/>
          <w:iCs/>
          <w:sz w:val="20"/>
          <w:szCs w:val="20"/>
        </w:rPr>
        <w:t xml:space="preserve"> </w:t>
      </w:r>
      <w:r w:rsidRPr="006D4AEB">
        <w:rPr>
          <w:rFonts w:ascii="Arial" w:hAnsi="Arial" w:cs="Arial"/>
          <w:sz w:val="20"/>
          <w:szCs w:val="20"/>
        </w:rPr>
        <w:t xml:space="preserve">which index value was found to be 0.575, highlighting limited diversification in livelihood options and dependency on agriculture and allied sources of income. </w:t>
      </w:r>
      <w:r w:rsidRPr="006D4AEB">
        <w:rPr>
          <w:rFonts w:ascii="Arial" w:hAnsi="Arial" w:cs="Arial"/>
          <w:iCs/>
          <w:sz w:val="20"/>
          <w:szCs w:val="20"/>
        </w:rPr>
        <w:t>Health</w:t>
      </w:r>
      <w:r w:rsidRPr="006D4AEB">
        <w:rPr>
          <w:rFonts w:ascii="Arial" w:hAnsi="Arial" w:cs="Arial"/>
          <w:i/>
          <w:iCs/>
          <w:sz w:val="20"/>
          <w:szCs w:val="20"/>
        </w:rPr>
        <w:t xml:space="preserve"> </w:t>
      </w:r>
      <w:r w:rsidRPr="006D4AEB">
        <w:rPr>
          <w:rFonts w:ascii="Arial" w:hAnsi="Arial" w:cs="Arial"/>
          <w:sz w:val="20"/>
          <w:szCs w:val="20"/>
        </w:rPr>
        <w:t xml:space="preserve">sub components showed moderate vulnerability with index values of 0.441. In contrast, the lowest index was observed for the </w:t>
      </w:r>
      <w:r w:rsidRPr="006D4AEB">
        <w:rPr>
          <w:rFonts w:ascii="Arial" w:hAnsi="Arial" w:cs="Arial"/>
          <w:iCs/>
          <w:sz w:val="20"/>
          <w:szCs w:val="20"/>
        </w:rPr>
        <w:t>Social Network</w:t>
      </w:r>
      <w:r w:rsidRPr="006D4AEB">
        <w:rPr>
          <w:rFonts w:ascii="Arial" w:hAnsi="Arial" w:cs="Arial"/>
          <w:sz w:val="20"/>
          <w:szCs w:val="20"/>
        </w:rPr>
        <w:t xml:space="preserve"> component (0.304), implying better mutual support and community connectivity. The Livelihood Vulnerability Index for Udaipur district was calculated to be 0.499.</w:t>
      </w:r>
    </w:p>
    <w:p w:rsidR="005C5040" w:rsidRPr="006D4AEB" w:rsidRDefault="005C5040" w:rsidP="008F2809">
      <w:pPr>
        <w:spacing w:line="480" w:lineRule="auto"/>
        <w:ind w:firstLine="720"/>
        <w:jc w:val="both"/>
        <w:rPr>
          <w:rFonts w:ascii="Arial" w:hAnsi="Arial" w:cs="Arial"/>
          <w:sz w:val="20"/>
          <w:szCs w:val="20"/>
          <w:lang w:val="en-IN"/>
        </w:rPr>
      </w:pPr>
      <w:r w:rsidRPr="006D4AEB">
        <w:rPr>
          <w:rFonts w:ascii="Arial" w:hAnsi="Arial" w:cs="Arial"/>
          <w:sz w:val="20"/>
          <w:szCs w:val="20"/>
          <w:lang w:val="en-IN"/>
        </w:rPr>
        <w:t>The overall values in Table 3 reveal that across both districts, livelihood strategi</w:t>
      </w:r>
      <w:r w:rsidR="002A43A4" w:rsidRPr="006D4AEB">
        <w:rPr>
          <w:rFonts w:ascii="Arial" w:hAnsi="Arial" w:cs="Arial"/>
          <w:sz w:val="20"/>
          <w:szCs w:val="20"/>
          <w:lang w:val="en-IN"/>
        </w:rPr>
        <w:t>es (0.596</w:t>
      </w:r>
      <w:r w:rsidRPr="006D4AEB">
        <w:rPr>
          <w:rFonts w:ascii="Arial" w:hAnsi="Arial" w:cs="Arial"/>
          <w:sz w:val="20"/>
          <w:szCs w:val="20"/>
          <w:lang w:val="en-IN"/>
        </w:rPr>
        <w:t xml:space="preserve">), water (0.600), and natural disasters and climate variability (0.572) emerged as the most critical drivers of vulnerability. </w:t>
      </w:r>
      <w:r w:rsidR="00A449A5" w:rsidRPr="006D4AEB">
        <w:rPr>
          <w:rFonts w:ascii="Arial" w:hAnsi="Arial" w:cs="Arial"/>
          <w:sz w:val="20"/>
          <w:szCs w:val="20"/>
          <w:lang w:val="en-IN"/>
        </w:rPr>
        <w:t>These high index values</w:t>
      </w:r>
      <w:r w:rsidRPr="006D4AEB">
        <w:rPr>
          <w:rFonts w:ascii="Arial" w:hAnsi="Arial" w:cs="Arial"/>
          <w:sz w:val="20"/>
          <w:szCs w:val="20"/>
          <w:lang w:val="en-IN"/>
        </w:rPr>
        <w:t xml:space="preserve"> showed that dependency of households on agriculture, unreliable water resources, and exposure to climatic extremes. Index value for food (0.575) also contributed significantly, reflecting challenges of crop diversity and storage practices. Comparatively, </w:t>
      </w:r>
      <w:r w:rsidR="002A43A4" w:rsidRPr="006D4AEB">
        <w:rPr>
          <w:rFonts w:ascii="Arial" w:hAnsi="Arial" w:cs="Arial"/>
          <w:sz w:val="20"/>
          <w:szCs w:val="20"/>
          <w:lang w:val="en-IN"/>
        </w:rPr>
        <w:t>socio-demographic profile (0.323</w:t>
      </w:r>
      <w:r w:rsidRPr="006D4AEB">
        <w:rPr>
          <w:rFonts w:ascii="Arial" w:hAnsi="Arial" w:cs="Arial"/>
          <w:sz w:val="20"/>
          <w:szCs w:val="20"/>
          <w:lang w:val="en-IN"/>
        </w:rPr>
        <w:t>), social net</w:t>
      </w:r>
      <w:r w:rsidR="002A43A4" w:rsidRPr="006D4AEB">
        <w:rPr>
          <w:rFonts w:ascii="Arial" w:hAnsi="Arial" w:cs="Arial"/>
          <w:sz w:val="20"/>
          <w:szCs w:val="20"/>
          <w:lang w:val="en-IN"/>
        </w:rPr>
        <w:t>works (0.329), and health (0.400</w:t>
      </w:r>
      <w:r w:rsidRPr="006D4AEB">
        <w:rPr>
          <w:rFonts w:ascii="Arial" w:hAnsi="Arial" w:cs="Arial"/>
          <w:sz w:val="20"/>
          <w:szCs w:val="20"/>
          <w:lang w:val="en-IN"/>
        </w:rPr>
        <w:t>) reflected lower vulnerability, suggesting better community support, demographic resilience, and moderate access to healthcare.</w:t>
      </w:r>
    </w:p>
    <w:p w:rsidR="00EC45E0" w:rsidRPr="006D4AEB" w:rsidRDefault="00EC45E0" w:rsidP="008F2809">
      <w:pPr>
        <w:spacing w:after="0" w:line="480" w:lineRule="auto"/>
        <w:jc w:val="both"/>
        <w:rPr>
          <w:rFonts w:ascii="Arial" w:hAnsi="Arial" w:cs="Arial"/>
          <w:b/>
          <w:bCs/>
        </w:rPr>
      </w:pPr>
      <w:r w:rsidRPr="006D4AEB">
        <w:rPr>
          <w:rFonts w:ascii="Arial" w:hAnsi="Arial" w:cs="Arial"/>
          <w:b/>
          <w:bCs/>
        </w:rPr>
        <w:t>Table 3: Livelihood vulnerability index of respondents in Jaipur and Udaipur districts</w:t>
      </w:r>
    </w:p>
    <w:tbl>
      <w:tblPr>
        <w:tblStyle w:val="TableGrid1"/>
        <w:tblW w:w="4999" w:type="pct"/>
        <w:tblLook w:val="0420" w:firstRow="1" w:lastRow="0" w:firstColumn="0" w:lastColumn="0" w:noHBand="0" w:noVBand="1"/>
      </w:tblPr>
      <w:tblGrid>
        <w:gridCol w:w="932"/>
        <w:gridCol w:w="2766"/>
        <w:gridCol w:w="1848"/>
        <w:gridCol w:w="1848"/>
        <w:gridCol w:w="1846"/>
      </w:tblGrid>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S.No.</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Components</w:t>
            </w:r>
          </w:p>
        </w:tc>
        <w:tc>
          <w:tcPr>
            <w:tcW w:w="1000" w:type="pct"/>
          </w:tcPr>
          <w:p w:rsidR="00EA48B7" w:rsidRPr="006D4AEB" w:rsidRDefault="00EA48B7" w:rsidP="008F2809">
            <w:pPr>
              <w:spacing w:line="480" w:lineRule="auto"/>
              <w:jc w:val="center"/>
              <w:rPr>
                <w:rFonts w:ascii="Arial" w:hAnsi="Arial" w:cs="Arial"/>
                <w:b/>
                <w:bCs/>
                <w:sz w:val="22"/>
                <w:szCs w:val="22"/>
              </w:rPr>
            </w:pPr>
            <w:r w:rsidRPr="006D4AEB">
              <w:rPr>
                <w:rFonts w:ascii="Arial" w:hAnsi="Arial" w:cs="Arial"/>
                <w:b/>
                <w:bCs/>
                <w:sz w:val="22"/>
                <w:szCs w:val="22"/>
              </w:rPr>
              <w:t>Jaipur</w:t>
            </w:r>
          </w:p>
        </w:tc>
        <w:tc>
          <w:tcPr>
            <w:tcW w:w="1000" w:type="pct"/>
            <w:hideMark/>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
                <w:bCs/>
                <w:sz w:val="22"/>
                <w:szCs w:val="22"/>
              </w:rPr>
              <w:t>Udaipur</w:t>
            </w:r>
          </w:p>
        </w:tc>
        <w:tc>
          <w:tcPr>
            <w:tcW w:w="999" w:type="pct"/>
            <w:hideMark/>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
                <w:bCs/>
                <w:sz w:val="22"/>
                <w:szCs w:val="22"/>
              </w:rPr>
              <w:t>Overall</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1</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Social demographic profile</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0.291</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0.355</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0.323</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2</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Livelihood strategies</w:t>
            </w:r>
          </w:p>
        </w:tc>
        <w:tc>
          <w:tcPr>
            <w:tcW w:w="1000"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0.617</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0.596</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3</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Health</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0.332</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0.441</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0.400</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lastRenderedPageBreak/>
              <w:t>4</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Social network</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0.353</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0.304</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0.329</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5</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Food</w:t>
            </w:r>
          </w:p>
        </w:tc>
        <w:tc>
          <w:tcPr>
            <w:tcW w:w="1000"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0.536</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0.613</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6</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Water</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0.567</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0.633</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0.600</w:t>
            </w:r>
          </w:p>
        </w:tc>
      </w:tr>
      <w:tr w:rsidR="00EA48B7" w:rsidRPr="006D4AEB" w:rsidTr="00EA48B7">
        <w:trPr>
          <w:trHeight w:val="1206"/>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7</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Natural disasters and climate variability</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0.569</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0.572</w:t>
            </w:r>
          </w:p>
        </w:tc>
      </w:tr>
      <w:tr w:rsidR="00EA48B7" w:rsidRPr="006D4AEB" w:rsidTr="00EA48B7">
        <w:trPr>
          <w:trHeight w:val="569"/>
        </w:trPr>
        <w:tc>
          <w:tcPr>
            <w:tcW w:w="2001" w:type="pct"/>
            <w:gridSpan w:val="2"/>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 xml:space="preserve"> Livelihood Vulnerability Index</w:t>
            </w:r>
          </w:p>
        </w:tc>
        <w:tc>
          <w:tcPr>
            <w:tcW w:w="1000" w:type="pct"/>
            <w:vAlign w:val="center"/>
          </w:tcPr>
          <w:p w:rsidR="00EA48B7" w:rsidRPr="006D4AEB" w:rsidRDefault="00EA48B7" w:rsidP="008F2809">
            <w:pPr>
              <w:spacing w:line="480" w:lineRule="auto"/>
              <w:jc w:val="center"/>
              <w:rPr>
                <w:rFonts w:ascii="Arial" w:hAnsi="Arial" w:cs="Arial"/>
                <w:bCs/>
                <w:sz w:val="22"/>
                <w:szCs w:val="22"/>
              </w:rPr>
            </w:pPr>
            <w:r w:rsidRPr="006D4AEB">
              <w:rPr>
                <w:rFonts w:ascii="Arial" w:hAnsi="Arial" w:cs="Arial"/>
                <w:bCs/>
                <w:sz w:val="22"/>
                <w:szCs w:val="22"/>
              </w:rPr>
              <w:t>0.466</w:t>
            </w:r>
          </w:p>
        </w:tc>
        <w:tc>
          <w:tcPr>
            <w:tcW w:w="1000" w:type="pct"/>
            <w:vAlign w:val="center"/>
            <w:hideMark/>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Cs/>
                <w:sz w:val="22"/>
                <w:szCs w:val="22"/>
              </w:rPr>
              <w:t>0.499</w:t>
            </w:r>
          </w:p>
        </w:tc>
        <w:tc>
          <w:tcPr>
            <w:tcW w:w="999" w:type="pct"/>
            <w:vAlign w:val="center"/>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Cs/>
                <w:sz w:val="22"/>
                <w:szCs w:val="22"/>
                <w:lang w:val="en-IN"/>
              </w:rPr>
              <w:t>0.483</w:t>
            </w:r>
          </w:p>
        </w:tc>
      </w:tr>
    </w:tbl>
    <w:p w:rsidR="003D40A8" w:rsidRDefault="003D40A8" w:rsidP="008F2809">
      <w:pPr>
        <w:spacing w:before="240" w:after="0" w:line="480" w:lineRule="auto"/>
        <w:rPr>
          <w:rFonts w:ascii="Arial" w:hAnsi="Arial" w:cs="Arial"/>
          <w:b/>
        </w:rPr>
      </w:pPr>
    </w:p>
    <w:p w:rsidR="0061679C" w:rsidRPr="006D4AEB" w:rsidRDefault="00AF5D15" w:rsidP="008F2809">
      <w:pPr>
        <w:spacing w:before="240" w:after="0" w:line="480" w:lineRule="auto"/>
        <w:rPr>
          <w:rFonts w:ascii="Arial" w:hAnsi="Arial" w:cs="Arial"/>
        </w:rPr>
      </w:pPr>
      <w:r w:rsidRPr="006D4AEB">
        <w:rPr>
          <w:rFonts w:ascii="Arial" w:hAnsi="Arial" w:cs="Arial"/>
          <w:b/>
        </w:rPr>
        <w:t>3.</w:t>
      </w:r>
      <w:r w:rsidR="009604DB">
        <w:rPr>
          <w:rFonts w:ascii="Arial" w:hAnsi="Arial" w:cs="Arial"/>
          <w:b/>
        </w:rPr>
        <w:t>2</w:t>
      </w:r>
      <w:r w:rsidRPr="006D4AEB">
        <w:rPr>
          <w:rFonts w:ascii="Arial" w:hAnsi="Arial" w:cs="Arial"/>
          <w:b/>
        </w:rPr>
        <w:t>:</w:t>
      </w:r>
      <w:r w:rsidRPr="006D4AEB">
        <w:rPr>
          <w:rFonts w:ascii="Arial" w:hAnsi="Arial" w:cs="Arial"/>
        </w:rPr>
        <w:t xml:space="preserve"> </w:t>
      </w:r>
      <w:r w:rsidR="00EC45E0" w:rsidRPr="006D4AEB">
        <w:rPr>
          <w:rFonts w:ascii="Arial" w:hAnsi="Arial" w:cs="Arial"/>
        </w:rPr>
        <w:t xml:space="preserve"> </w:t>
      </w:r>
      <w:r w:rsidR="00EC45E0" w:rsidRPr="006D4AEB">
        <w:rPr>
          <w:rFonts w:ascii="Arial" w:eastAsia="Times New Roman" w:hAnsi="Arial" w:cs="Arial"/>
          <w:b/>
          <w:bCs/>
        </w:rPr>
        <w:t xml:space="preserve">IPCC-Defined Livelihood Vulnerability Index for respondents in Jaipur </w:t>
      </w:r>
      <w:r w:rsidR="00114E98" w:rsidRPr="006D4AEB">
        <w:rPr>
          <w:rFonts w:ascii="Arial" w:eastAsia="Times New Roman" w:hAnsi="Arial" w:cs="Arial"/>
          <w:b/>
          <w:bCs/>
        </w:rPr>
        <w:t xml:space="preserve">and Udaipur </w:t>
      </w:r>
      <w:r w:rsidR="00EC45E0" w:rsidRPr="006D4AEB">
        <w:rPr>
          <w:rFonts w:ascii="Arial" w:eastAsia="Times New Roman" w:hAnsi="Arial" w:cs="Arial"/>
          <w:b/>
          <w:bCs/>
        </w:rPr>
        <w:t>district of Rajasthan</w:t>
      </w:r>
    </w:p>
    <w:p w:rsidR="000358CE" w:rsidRPr="006D4AEB" w:rsidRDefault="000358CE" w:rsidP="008F2809">
      <w:pPr>
        <w:spacing w:line="480" w:lineRule="auto"/>
        <w:ind w:firstLine="720"/>
        <w:jc w:val="both"/>
        <w:rPr>
          <w:rFonts w:ascii="Arial" w:eastAsia="Times New Roman" w:hAnsi="Arial" w:cs="Arial"/>
          <w:sz w:val="20"/>
          <w:szCs w:val="20"/>
        </w:rPr>
      </w:pPr>
      <w:r w:rsidRPr="006D4AEB">
        <w:rPr>
          <w:rFonts w:ascii="Arial" w:eastAsia="Times New Roman" w:hAnsi="Arial" w:cs="Arial"/>
          <w:sz w:val="20"/>
          <w:szCs w:val="20"/>
        </w:rPr>
        <w:t xml:space="preserve">Table 4 shows that the highest index value was observed under </w:t>
      </w:r>
      <w:r w:rsidRPr="006D4AEB">
        <w:rPr>
          <w:rFonts w:ascii="Arial" w:eastAsia="Times New Roman" w:hAnsi="Arial" w:cs="Arial"/>
          <w:iCs/>
          <w:sz w:val="20"/>
          <w:szCs w:val="20"/>
        </w:rPr>
        <w:t>Exposure</w:t>
      </w:r>
      <w:r w:rsidRPr="006D4AEB">
        <w:rPr>
          <w:rFonts w:ascii="Arial" w:eastAsia="Times New Roman" w:hAnsi="Arial" w:cs="Arial"/>
          <w:sz w:val="20"/>
          <w:szCs w:val="20"/>
        </w:rPr>
        <w:t xml:space="preserve"> (0.569), indicating that households in Jaipur are significantly exposed to climate-related hazards and extreme weather events, particularly in the context of water stress and climate variability as reflected in the corresponding sub-components of table 4. These findings align with the study of </w:t>
      </w:r>
      <w:proofErr w:type="spellStart"/>
      <w:r w:rsidRPr="006D4AEB">
        <w:rPr>
          <w:rFonts w:ascii="Arial" w:eastAsia="Times New Roman" w:hAnsi="Arial" w:cs="Arial"/>
          <w:sz w:val="20"/>
          <w:szCs w:val="20"/>
        </w:rPr>
        <w:t>Tatawat</w:t>
      </w:r>
      <w:proofErr w:type="spellEnd"/>
      <w:r w:rsidRPr="006D4AEB">
        <w:rPr>
          <w:rFonts w:ascii="Arial" w:eastAsia="Times New Roman" w:hAnsi="Arial" w:cs="Arial"/>
          <w:sz w:val="20"/>
          <w:szCs w:val="20"/>
        </w:rPr>
        <w:t xml:space="preserve"> and </w:t>
      </w:r>
      <w:proofErr w:type="spellStart"/>
      <w:r w:rsidRPr="006D4AEB">
        <w:rPr>
          <w:rFonts w:ascii="Arial" w:eastAsia="Times New Roman" w:hAnsi="Arial" w:cs="Arial"/>
          <w:sz w:val="20"/>
          <w:szCs w:val="20"/>
        </w:rPr>
        <w:t>Chandel</w:t>
      </w:r>
      <w:proofErr w:type="spellEnd"/>
      <w:r w:rsidRPr="006D4AEB">
        <w:rPr>
          <w:rFonts w:ascii="Arial" w:eastAsia="Times New Roman" w:hAnsi="Arial" w:cs="Arial"/>
          <w:sz w:val="20"/>
          <w:szCs w:val="20"/>
        </w:rPr>
        <w:t>, 2007</w:t>
      </w:r>
      <w:r w:rsidR="00201C83">
        <w:rPr>
          <w:rFonts w:ascii="Arial" w:eastAsia="Times New Roman" w:hAnsi="Arial" w:cs="Arial"/>
          <w:sz w:val="20"/>
          <w:szCs w:val="20"/>
        </w:rPr>
        <w:t xml:space="preserve">; Saxena and </w:t>
      </w:r>
      <w:proofErr w:type="spellStart"/>
      <w:r w:rsidR="00201C83">
        <w:rPr>
          <w:rFonts w:ascii="Arial" w:eastAsia="Times New Roman" w:hAnsi="Arial" w:cs="Arial"/>
          <w:sz w:val="20"/>
          <w:szCs w:val="20"/>
        </w:rPr>
        <w:t>Chandela</w:t>
      </w:r>
      <w:proofErr w:type="spellEnd"/>
      <w:r w:rsidR="00201C83">
        <w:rPr>
          <w:rFonts w:ascii="Arial" w:eastAsia="Times New Roman" w:hAnsi="Arial" w:cs="Arial"/>
          <w:sz w:val="20"/>
          <w:szCs w:val="20"/>
        </w:rPr>
        <w:t>, 2024</w:t>
      </w:r>
      <w:r w:rsidRPr="006D4AEB">
        <w:rPr>
          <w:rFonts w:ascii="Arial" w:eastAsia="Times New Roman" w:hAnsi="Arial" w:cs="Arial"/>
          <w:sz w:val="20"/>
          <w:szCs w:val="20"/>
        </w:rPr>
        <w:t xml:space="preserve">. The </w:t>
      </w:r>
      <w:r w:rsidRPr="006D4AEB">
        <w:rPr>
          <w:rFonts w:ascii="Arial" w:eastAsia="Times New Roman" w:hAnsi="Arial" w:cs="Arial"/>
          <w:iCs/>
          <w:sz w:val="20"/>
          <w:szCs w:val="20"/>
        </w:rPr>
        <w:t>Sensitivity</w:t>
      </w:r>
      <w:r w:rsidRPr="006D4AEB">
        <w:rPr>
          <w:rFonts w:ascii="Arial" w:eastAsia="Times New Roman" w:hAnsi="Arial" w:cs="Arial"/>
          <w:sz w:val="20"/>
          <w:szCs w:val="20"/>
        </w:rPr>
        <w:t xml:space="preserve"> index was found 0.487, suggesting a moderate degree of risk to exposure due to better household health conditions, facilities and food security. These results find support in the work of Jatav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2022. The </w:t>
      </w:r>
      <w:r w:rsidRPr="006D4AEB">
        <w:rPr>
          <w:rFonts w:ascii="Arial" w:eastAsia="Times New Roman" w:hAnsi="Arial" w:cs="Arial"/>
          <w:iCs/>
          <w:sz w:val="20"/>
          <w:szCs w:val="20"/>
        </w:rPr>
        <w:t>Adaptive Capacity</w:t>
      </w:r>
      <w:r w:rsidRPr="006D4AEB">
        <w:rPr>
          <w:rFonts w:ascii="Arial" w:eastAsia="Times New Roman" w:hAnsi="Arial" w:cs="Arial"/>
          <w:sz w:val="20"/>
          <w:szCs w:val="20"/>
        </w:rPr>
        <w:t xml:space="preserve"> index value was calculated at 0.580, which points to a moderate potential of households to adapt to climate-induced risks. This capacity is supported by relatively lower vulnerability in socio-demographic characteristics (0.291) and social networking (0.353). The IPCC Livelihood Vulnerability Index value was found –0.005, indicating moderate vulnerability under the IPCC approach and adaptive capacity offset the impact of exposure to climate change.</w:t>
      </w:r>
    </w:p>
    <w:p w:rsidR="00EC45E0" w:rsidRPr="006D4AEB" w:rsidRDefault="00114E98" w:rsidP="008F2809">
      <w:pPr>
        <w:spacing w:after="0" w:line="480" w:lineRule="auto"/>
        <w:ind w:left="1276" w:hanging="1276"/>
        <w:jc w:val="both"/>
        <w:rPr>
          <w:rFonts w:ascii="Arial" w:hAnsi="Arial" w:cs="Arial"/>
          <w:b/>
          <w:bCs/>
        </w:rPr>
      </w:pPr>
      <w:r w:rsidRPr="006D4AEB">
        <w:rPr>
          <w:rFonts w:ascii="Arial" w:hAnsi="Arial" w:cs="Arial"/>
          <w:b/>
          <w:bCs/>
        </w:rPr>
        <w:t xml:space="preserve">Table </w:t>
      </w:r>
      <w:proofErr w:type="gramStart"/>
      <w:r w:rsidRPr="006D4AEB">
        <w:rPr>
          <w:rFonts w:ascii="Arial" w:hAnsi="Arial" w:cs="Arial"/>
          <w:b/>
          <w:bCs/>
        </w:rPr>
        <w:t xml:space="preserve">4 </w:t>
      </w:r>
      <w:r w:rsidR="00EC45E0" w:rsidRPr="006D4AEB">
        <w:rPr>
          <w:rFonts w:ascii="Arial" w:hAnsi="Arial" w:cs="Arial"/>
          <w:b/>
          <w:bCs/>
        </w:rPr>
        <w:t>:</w:t>
      </w:r>
      <w:proofErr w:type="gramEnd"/>
      <w:r w:rsidR="00EC45E0" w:rsidRPr="006D4AEB">
        <w:rPr>
          <w:rFonts w:ascii="Arial" w:hAnsi="Arial" w:cs="Arial"/>
          <w:b/>
          <w:bCs/>
        </w:rPr>
        <w:t xml:space="preserve"> IPCC define livelihood vulnerability index for respondents in Jaipur </w:t>
      </w:r>
      <w:r w:rsidRPr="006D4AEB">
        <w:rPr>
          <w:rFonts w:ascii="Arial" w:hAnsi="Arial" w:cs="Arial"/>
          <w:b/>
          <w:bCs/>
        </w:rPr>
        <w:t xml:space="preserve">and Udaipur </w:t>
      </w:r>
      <w:r w:rsidR="00EC45E0" w:rsidRPr="006D4AEB">
        <w:rPr>
          <w:rFonts w:ascii="Arial" w:hAnsi="Arial" w:cs="Arial"/>
          <w:b/>
          <w:bCs/>
        </w:rPr>
        <w:t>district of Rajasthan</w:t>
      </w:r>
    </w:p>
    <w:tbl>
      <w:tblPr>
        <w:tblStyle w:val="TableGrid1"/>
        <w:tblW w:w="5000" w:type="pct"/>
        <w:tblLook w:val="0420" w:firstRow="1" w:lastRow="0" w:firstColumn="0" w:lastColumn="0" w:noHBand="0" w:noVBand="1"/>
      </w:tblPr>
      <w:tblGrid>
        <w:gridCol w:w="973"/>
        <w:gridCol w:w="3492"/>
        <w:gridCol w:w="1591"/>
        <w:gridCol w:w="1593"/>
        <w:gridCol w:w="1593"/>
      </w:tblGrid>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
                <w:bCs/>
                <w:sz w:val="22"/>
                <w:szCs w:val="22"/>
                <w:lang w:val="en-IN"/>
              </w:rPr>
              <w:t>S.No.</w:t>
            </w:r>
          </w:p>
        </w:tc>
        <w:tc>
          <w:tcPr>
            <w:tcW w:w="1889"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
                <w:bCs/>
                <w:sz w:val="22"/>
                <w:szCs w:val="22"/>
                <w:lang w:val="en-IN"/>
              </w:rPr>
              <w:t>Major Components</w:t>
            </w:r>
          </w:p>
        </w:tc>
        <w:tc>
          <w:tcPr>
            <w:tcW w:w="861" w:type="pct"/>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Jaipur</w:t>
            </w:r>
          </w:p>
        </w:tc>
        <w:tc>
          <w:tcPr>
            <w:tcW w:w="862" w:type="pct"/>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Udaipur</w:t>
            </w:r>
          </w:p>
        </w:tc>
        <w:tc>
          <w:tcPr>
            <w:tcW w:w="862" w:type="pct"/>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Overall</w:t>
            </w:r>
          </w:p>
        </w:tc>
      </w:tr>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lastRenderedPageBreak/>
              <w:t>1</w:t>
            </w:r>
          </w:p>
        </w:tc>
        <w:tc>
          <w:tcPr>
            <w:tcW w:w="1889"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Adaptive capacity</w:t>
            </w:r>
          </w:p>
        </w:tc>
        <w:tc>
          <w:tcPr>
            <w:tcW w:w="861" w:type="pct"/>
            <w:vAlign w:val="center"/>
            <w:hideMark/>
          </w:tcPr>
          <w:p w:rsidR="005F6B34" w:rsidRPr="006D4AEB" w:rsidRDefault="005F6B34" w:rsidP="008F2809">
            <w:pPr>
              <w:spacing w:line="480" w:lineRule="auto"/>
              <w:jc w:val="center"/>
              <w:rPr>
                <w:rFonts w:ascii="Arial" w:hAnsi="Arial" w:cs="Arial"/>
                <w:bCs/>
                <w:color w:val="000000"/>
                <w:sz w:val="22"/>
                <w:szCs w:val="22"/>
              </w:rPr>
            </w:pPr>
            <w:r w:rsidRPr="006D4AEB">
              <w:rPr>
                <w:rFonts w:ascii="Arial" w:hAnsi="Arial" w:cs="Arial"/>
                <w:bCs/>
                <w:color w:val="000000"/>
                <w:sz w:val="22"/>
                <w:szCs w:val="22"/>
              </w:rPr>
              <w:t>0.580</w:t>
            </w:r>
          </w:p>
        </w:tc>
        <w:tc>
          <w:tcPr>
            <w:tcW w:w="862" w:type="pct"/>
            <w:vAlign w:val="center"/>
            <w:hideMark/>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0.543</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0.562</w:t>
            </w:r>
          </w:p>
        </w:tc>
      </w:tr>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2</w:t>
            </w:r>
          </w:p>
        </w:tc>
        <w:tc>
          <w:tcPr>
            <w:tcW w:w="1889"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Sensitivity</w:t>
            </w:r>
          </w:p>
        </w:tc>
        <w:tc>
          <w:tcPr>
            <w:tcW w:w="861" w:type="pct"/>
            <w:vAlign w:val="center"/>
            <w:hideMark/>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0.487</w:t>
            </w:r>
          </w:p>
        </w:tc>
        <w:tc>
          <w:tcPr>
            <w:tcW w:w="862" w:type="pct"/>
            <w:vAlign w:val="center"/>
            <w:hideMark/>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0.516</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0.502</w:t>
            </w:r>
          </w:p>
        </w:tc>
      </w:tr>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3</w:t>
            </w:r>
          </w:p>
        </w:tc>
        <w:tc>
          <w:tcPr>
            <w:tcW w:w="1889"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Exposure</w:t>
            </w:r>
          </w:p>
        </w:tc>
        <w:tc>
          <w:tcPr>
            <w:tcW w:w="861" w:type="pct"/>
            <w:vAlign w:val="center"/>
            <w:hideMark/>
          </w:tcPr>
          <w:p w:rsidR="005F6B34" w:rsidRPr="006D4AEB" w:rsidRDefault="005F6B34" w:rsidP="008F2809">
            <w:pPr>
              <w:spacing w:line="480" w:lineRule="auto"/>
              <w:jc w:val="center"/>
              <w:rPr>
                <w:rFonts w:ascii="Arial" w:hAnsi="Arial" w:cs="Arial"/>
                <w:sz w:val="22"/>
                <w:szCs w:val="22"/>
              </w:rPr>
            </w:pPr>
            <w:r w:rsidRPr="006D4AEB">
              <w:rPr>
                <w:rFonts w:ascii="Arial" w:hAnsi="Arial" w:cs="Arial"/>
                <w:sz w:val="22"/>
                <w:szCs w:val="22"/>
              </w:rPr>
              <w:t>0.569</w:t>
            </w:r>
          </w:p>
        </w:tc>
        <w:tc>
          <w:tcPr>
            <w:tcW w:w="862" w:type="pct"/>
            <w:vAlign w:val="center"/>
            <w:hideMark/>
          </w:tcPr>
          <w:p w:rsidR="005F6B34" w:rsidRPr="006D4AEB" w:rsidRDefault="005F6B34" w:rsidP="008F2809">
            <w:pPr>
              <w:spacing w:line="480" w:lineRule="auto"/>
              <w:jc w:val="center"/>
              <w:rPr>
                <w:rFonts w:ascii="Arial" w:hAnsi="Arial" w:cs="Arial"/>
                <w:sz w:val="22"/>
                <w:szCs w:val="22"/>
              </w:rPr>
            </w:pPr>
            <w:r w:rsidRPr="006D4AEB">
              <w:rPr>
                <w:rFonts w:ascii="Arial" w:hAnsi="Arial" w:cs="Arial"/>
                <w:sz w:val="22"/>
                <w:szCs w:val="22"/>
              </w:rPr>
              <w:t>0.575</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0.572</w:t>
            </w:r>
          </w:p>
        </w:tc>
      </w:tr>
      <w:tr w:rsidR="005F6B34" w:rsidRPr="006D4AEB" w:rsidTr="00133D9F">
        <w:trPr>
          <w:trHeight w:val="1041"/>
        </w:trPr>
        <w:tc>
          <w:tcPr>
            <w:tcW w:w="2415" w:type="pct"/>
            <w:gridSpan w:val="2"/>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lang w:val="en-IN"/>
              </w:rPr>
              <w:t>IPCC-Livelihood Vulnerability Index</w:t>
            </w:r>
          </w:p>
        </w:tc>
        <w:tc>
          <w:tcPr>
            <w:tcW w:w="861"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color w:val="000000"/>
                <w:sz w:val="22"/>
                <w:szCs w:val="22"/>
              </w:rPr>
              <w:t>-0.005</w:t>
            </w:r>
          </w:p>
        </w:tc>
        <w:tc>
          <w:tcPr>
            <w:tcW w:w="862"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color w:val="000000"/>
                <w:sz w:val="22"/>
                <w:szCs w:val="22"/>
              </w:rPr>
              <w:t>0.017</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0.006</w:t>
            </w:r>
          </w:p>
        </w:tc>
      </w:tr>
    </w:tbl>
    <w:p w:rsidR="000358CE" w:rsidRPr="006D4AEB" w:rsidRDefault="000358CE" w:rsidP="008F2809">
      <w:pPr>
        <w:spacing w:before="240" w:after="0" w:line="480" w:lineRule="auto"/>
        <w:jc w:val="both"/>
        <w:rPr>
          <w:rFonts w:ascii="Arial" w:eastAsia="Times New Roman" w:hAnsi="Arial" w:cs="Arial"/>
          <w:sz w:val="20"/>
          <w:szCs w:val="20"/>
        </w:rPr>
      </w:pPr>
      <w:r w:rsidRPr="006D4AEB">
        <w:rPr>
          <w:rFonts w:ascii="Arial" w:eastAsia="Times New Roman" w:hAnsi="Arial" w:cs="Arial"/>
          <w:sz w:val="20"/>
          <w:szCs w:val="20"/>
        </w:rPr>
        <w:t>The results indicated that adaptive capacity was relatively moderate, suggesting limited ability of communities to cope with and adjust to climate-related shocks. Sensitivity was found moderate, indicates livelihoods remain significantly dependent on climate sensitive resources, while exposure is high, pointing to frequent and intense climate risks. The low Livelihood Vulnerability Index value reflected that livelihood vulnerability was not extreme.</w:t>
      </w:r>
    </w:p>
    <w:p w:rsidR="00EC45E0" w:rsidRPr="008F2809" w:rsidRDefault="000358CE" w:rsidP="008F2809">
      <w:pPr>
        <w:tabs>
          <w:tab w:val="left" w:pos="0"/>
        </w:tabs>
        <w:spacing w:after="0" w:line="480" w:lineRule="auto"/>
        <w:jc w:val="both"/>
        <w:rPr>
          <w:rFonts w:ascii="Arial" w:eastAsia="Times New Roman" w:hAnsi="Arial" w:cs="Arial"/>
          <w:sz w:val="20"/>
          <w:szCs w:val="20"/>
        </w:rPr>
      </w:pPr>
      <w:r w:rsidRPr="006D4AEB">
        <w:rPr>
          <w:rFonts w:ascii="Arial" w:eastAsia="Times New Roman" w:hAnsi="Arial" w:cs="Arial"/>
          <w:sz w:val="20"/>
          <w:szCs w:val="20"/>
        </w:rPr>
        <w:t xml:space="preserve">In the Udaipur district, the LVI-IPCC was derived using the same components. From table 5., the highest index was found for </w:t>
      </w:r>
      <w:r w:rsidRPr="006D4AEB">
        <w:rPr>
          <w:rFonts w:ascii="Arial" w:eastAsia="Times New Roman" w:hAnsi="Arial" w:cs="Arial"/>
          <w:iCs/>
          <w:sz w:val="20"/>
          <w:szCs w:val="20"/>
        </w:rPr>
        <w:t>Exposure</w:t>
      </w:r>
      <w:r w:rsidRPr="006D4AEB">
        <w:rPr>
          <w:rFonts w:ascii="Arial" w:eastAsia="Times New Roman" w:hAnsi="Arial" w:cs="Arial"/>
          <w:sz w:val="20"/>
          <w:szCs w:val="20"/>
        </w:rPr>
        <w:t xml:space="preserve"> (0.575), which was slightly higher than Jaipur, indicating that Udaipur households are more directly affected by climate variability and natural disasters. The </w:t>
      </w:r>
      <w:r w:rsidRPr="006D4AEB">
        <w:rPr>
          <w:rFonts w:ascii="Arial" w:eastAsia="Times New Roman" w:hAnsi="Arial" w:cs="Arial"/>
          <w:iCs/>
          <w:sz w:val="20"/>
          <w:szCs w:val="20"/>
        </w:rPr>
        <w:t>Sensitivity</w:t>
      </w:r>
      <w:r w:rsidRPr="006D4AEB">
        <w:rPr>
          <w:rFonts w:ascii="Arial" w:eastAsia="Times New Roman" w:hAnsi="Arial" w:cs="Arial"/>
          <w:sz w:val="20"/>
          <w:szCs w:val="20"/>
        </w:rPr>
        <w:t xml:space="preserve"> index in Udaipur was also found to be higher at 0.516, implying greater reliance on vulnerable sectors like agriculture, a higher percentage of families with chronic illness and more time require to reach health facilities. This is supported by the higher component values of </w:t>
      </w:r>
      <w:r w:rsidRPr="006D4AEB">
        <w:rPr>
          <w:rFonts w:ascii="Arial" w:eastAsia="Times New Roman" w:hAnsi="Arial" w:cs="Arial"/>
          <w:iCs/>
          <w:sz w:val="20"/>
          <w:szCs w:val="20"/>
        </w:rPr>
        <w:t>Health</w:t>
      </w:r>
      <w:r w:rsidRPr="006D4AEB">
        <w:rPr>
          <w:rFonts w:ascii="Arial" w:eastAsia="Times New Roman" w:hAnsi="Arial" w:cs="Arial"/>
          <w:sz w:val="20"/>
          <w:szCs w:val="20"/>
        </w:rPr>
        <w:t xml:space="preserve"> (0.441) and </w:t>
      </w:r>
      <w:r w:rsidRPr="006D4AEB">
        <w:rPr>
          <w:rFonts w:ascii="Arial" w:eastAsia="Times New Roman" w:hAnsi="Arial" w:cs="Arial"/>
          <w:iCs/>
          <w:sz w:val="20"/>
          <w:szCs w:val="20"/>
        </w:rPr>
        <w:t>Food</w:t>
      </w:r>
      <w:r w:rsidRPr="006D4AEB">
        <w:rPr>
          <w:rFonts w:ascii="Arial" w:eastAsia="Times New Roman" w:hAnsi="Arial" w:cs="Arial"/>
          <w:sz w:val="20"/>
          <w:szCs w:val="20"/>
        </w:rPr>
        <w:t xml:space="preserve"> (0.613) from table </w:t>
      </w:r>
      <w:r w:rsidR="00D938F5">
        <w:rPr>
          <w:rFonts w:ascii="Arial" w:eastAsia="Times New Roman" w:hAnsi="Arial" w:cs="Arial"/>
          <w:sz w:val="20"/>
          <w:szCs w:val="20"/>
        </w:rPr>
        <w:t>5</w:t>
      </w:r>
      <w:r w:rsidRPr="006D4AEB">
        <w:rPr>
          <w:rFonts w:ascii="Arial" w:eastAsia="Times New Roman" w:hAnsi="Arial" w:cs="Arial"/>
          <w:sz w:val="20"/>
          <w:szCs w:val="20"/>
        </w:rPr>
        <w:t xml:space="preserve"> These findings align with the study of Mahapatra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2021; Jatav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2022. The </w:t>
      </w:r>
      <w:r w:rsidRPr="006D4AEB">
        <w:rPr>
          <w:rFonts w:ascii="Arial" w:eastAsia="Times New Roman" w:hAnsi="Arial" w:cs="Arial"/>
          <w:iCs/>
          <w:sz w:val="20"/>
          <w:szCs w:val="20"/>
        </w:rPr>
        <w:t>Adaptive Capacity</w:t>
      </w:r>
      <w:r w:rsidRPr="006D4AEB">
        <w:rPr>
          <w:rFonts w:ascii="Arial" w:eastAsia="Times New Roman" w:hAnsi="Arial" w:cs="Arial"/>
          <w:sz w:val="20"/>
          <w:szCs w:val="20"/>
        </w:rPr>
        <w:t xml:space="preserve"> index in Udaipur (0.543) was slightly lower than Jaipur (0.580), revealing marginal limitations in social demographic conditions, institutional support, and livelihood diversity. This is evidenced by higher values in livelihood strategies (0.575). </w:t>
      </w:r>
      <w:r w:rsidRPr="006D4AEB">
        <w:rPr>
          <w:rFonts w:ascii="Arial" w:eastAsia="Times New Roman" w:hAnsi="Arial" w:cs="Arial"/>
          <w:bCs/>
          <w:sz w:val="20"/>
          <w:szCs w:val="20"/>
        </w:rPr>
        <w:t xml:space="preserve">This </w:t>
      </w:r>
      <w:r w:rsidR="003B74CE">
        <w:rPr>
          <w:rFonts w:ascii="Arial" w:eastAsia="Times New Roman" w:hAnsi="Arial" w:cs="Arial"/>
          <w:bCs/>
          <w:sz w:val="20"/>
          <w:szCs w:val="20"/>
        </w:rPr>
        <w:t>finding</w:t>
      </w:r>
      <w:r w:rsidR="003B74CE" w:rsidRPr="006D4AEB">
        <w:rPr>
          <w:rFonts w:ascii="Arial" w:eastAsia="Times New Roman" w:hAnsi="Arial" w:cs="Arial"/>
          <w:bCs/>
          <w:sz w:val="20"/>
          <w:szCs w:val="20"/>
        </w:rPr>
        <w:t xml:space="preserve"> </w:t>
      </w:r>
      <w:r w:rsidR="009604DB">
        <w:rPr>
          <w:rFonts w:ascii="Arial" w:eastAsia="Times New Roman" w:hAnsi="Arial" w:cs="Arial"/>
          <w:bCs/>
          <w:sz w:val="20"/>
          <w:szCs w:val="20"/>
        </w:rPr>
        <w:t>was in line with the findings of</w:t>
      </w:r>
      <w:r w:rsidRPr="006D4AEB">
        <w:rPr>
          <w:rFonts w:ascii="Arial" w:eastAsia="Times New Roman" w:hAnsi="Arial" w:cs="Arial"/>
          <w:bCs/>
          <w:sz w:val="20"/>
          <w:szCs w:val="20"/>
        </w:rPr>
        <w:t xml:space="preserve"> Reddy and Reddy, 2015.</w:t>
      </w:r>
      <w:r w:rsidRPr="006D4AEB">
        <w:rPr>
          <w:rFonts w:ascii="Arial" w:eastAsia="Times New Roman" w:hAnsi="Arial" w:cs="Arial"/>
          <w:sz w:val="20"/>
          <w:szCs w:val="20"/>
        </w:rPr>
        <w:t xml:space="preserve"> The IPCC Livelihood Vulnerability Index value for Udaipur was found to be 0.017, which is higher than that of Jaipur, placing Udaipur in a more vulnerable category under the IPCC-defined structure. </w:t>
      </w:r>
      <w:r w:rsidR="008F2809">
        <w:rPr>
          <w:rFonts w:ascii="Arial" w:eastAsia="Times New Roman" w:hAnsi="Arial" w:cs="Arial"/>
          <w:sz w:val="20"/>
          <w:szCs w:val="20"/>
        </w:rPr>
        <w:t xml:space="preserve"> </w:t>
      </w:r>
      <w:r w:rsidR="00001F08" w:rsidRPr="006D4AEB">
        <w:rPr>
          <w:rFonts w:ascii="Arial" w:hAnsi="Arial" w:cs="Arial"/>
          <w:sz w:val="20"/>
          <w:szCs w:val="20"/>
          <w:lang w:val="en-IN"/>
        </w:rPr>
        <w:t>The overall indices indicate that exposure (0.572) is the highest contributor to vulnerability</w:t>
      </w:r>
      <w:r w:rsidR="002A43A4" w:rsidRPr="006D4AEB">
        <w:rPr>
          <w:rFonts w:ascii="Arial" w:hAnsi="Arial" w:cs="Arial"/>
          <w:sz w:val="20"/>
          <w:szCs w:val="20"/>
          <w:lang w:val="en-IN"/>
        </w:rPr>
        <w:t>, followed by sensitivity (0.502</w:t>
      </w:r>
      <w:r w:rsidR="00001F08" w:rsidRPr="006D4AEB">
        <w:rPr>
          <w:rFonts w:ascii="Arial" w:hAnsi="Arial" w:cs="Arial"/>
          <w:sz w:val="20"/>
          <w:szCs w:val="20"/>
          <w:lang w:val="en-IN"/>
        </w:rPr>
        <w:t>)</w:t>
      </w:r>
      <w:r w:rsidR="002A43A4" w:rsidRPr="006D4AEB">
        <w:rPr>
          <w:rFonts w:ascii="Arial" w:hAnsi="Arial" w:cs="Arial"/>
          <w:sz w:val="20"/>
          <w:szCs w:val="20"/>
          <w:lang w:val="en-IN"/>
        </w:rPr>
        <w:t>.</w:t>
      </w:r>
      <w:r w:rsidR="00001F08" w:rsidRPr="006D4AEB">
        <w:rPr>
          <w:rFonts w:ascii="Arial" w:hAnsi="Arial" w:cs="Arial"/>
          <w:sz w:val="20"/>
          <w:szCs w:val="20"/>
          <w:lang w:val="en-IN"/>
        </w:rPr>
        <w:t xml:space="preserve"> T</w:t>
      </w:r>
      <w:r w:rsidR="002A43A4" w:rsidRPr="006D4AEB">
        <w:rPr>
          <w:rFonts w:ascii="Arial" w:hAnsi="Arial" w:cs="Arial"/>
          <w:sz w:val="20"/>
          <w:szCs w:val="20"/>
          <w:lang w:val="en-IN"/>
        </w:rPr>
        <w:t>he overall IPCC-LVI value (0.006</w:t>
      </w:r>
      <w:r w:rsidR="00001F08" w:rsidRPr="006D4AEB">
        <w:rPr>
          <w:rFonts w:ascii="Arial" w:hAnsi="Arial" w:cs="Arial"/>
          <w:sz w:val="20"/>
          <w:szCs w:val="20"/>
          <w:lang w:val="en-IN"/>
        </w:rPr>
        <w:t xml:space="preserve">) highlights moderate vulnerability across both districts, with exposure to climate variability and water stress being major challenges These results emphasized that while households </w:t>
      </w:r>
      <w:r w:rsidR="00001F08" w:rsidRPr="006D4AEB">
        <w:rPr>
          <w:rFonts w:ascii="Arial" w:hAnsi="Arial" w:cs="Arial"/>
          <w:sz w:val="20"/>
          <w:szCs w:val="20"/>
          <w:lang w:val="en-IN"/>
        </w:rPr>
        <w:lastRenderedPageBreak/>
        <w:t>had moderate resilience in health and demographic aspects, their high exposure and limited adaptive capacity render them vulnerable to climate induced risks.</w:t>
      </w:r>
      <w:r w:rsidR="0061679C" w:rsidRPr="006D4AEB">
        <w:rPr>
          <w:rFonts w:ascii="Arial" w:hAnsi="Arial" w:cs="Arial"/>
          <w:sz w:val="20"/>
          <w:szCs w:val="20"/>
          <w:lang w:val="en-IN"/>
        </w:rPr>
        <w:t xml:space="preserve"> </w:t>
      </w:r>
    </w:p>
    <w:p w:rsidR="000358CE" w:rsidRPr="006D4AEB" w:rsidRDefault="000358CE" w:rsidP="008F2809">
      <w:pPr>
        <w:spacing w:line="480" w:lineRule="auto"/>
        <w:ind w:firstLine="360"/>
        <w:jc w:val="both"/>
        <w:rPr>
          <w:rFonts w:ascii="Arial" w:hAnsi="Arial" w:cs="Arial"/>
          <w:sz w:val="20"/>
          <w:szCs w:val="20"/>
        </w:rPr>
      </w:pPr>
      <w:r w:rsidRPr="006D4AEB">
        <w:rPr>
          <w:rFonts w:ascii="Arial" w:hAnsi="Arial" w:cs="Arial"/>
          <w:sz w:val="20"/>
          <w:szCs w:val="20"/>
        </w:rPr>
        <w:t>The findings revealed that adaptive capacity was considerably low, limiting the ability of communities to withstand and recover from climate induced stresses. Sensitivity and exposure were both high, indicating that livelihoods were heavily dependent on climate sensitive resources and were frequently subject to adverse climatic events. The relatively higher Livelihood Vulnerability Index value reflects a significant overall vulnerability, driven mainly by the gap between high exposure and low adaptive capacity. This scenario calls for urgent, targeted interventions to enhance resilience, diversify income sources, and reduce risk factors. The livelihood vulnerability analysis showed that both Jaipur and Udaipur households were less to moderately vulnerable, with exposure to climate variability, limited adaptive capacity, and sensitivity in key components such as food security, water access, and health services. Limited adaptive capacity, particularly due to low education levels, working outside the village and dependency on agriculture, compounds the risk.</w:t>
      </w:r>
    </w:p>
    <w:p w:rsidR="00EC45E0" w:rsidRPr="006D4AEB" w:rsidRDefault="006D4AEB" w:rsidP="008F2809">
      <w:pPr>
        <w:spacing w:after="0" w:line="480" w:lineRule="auto"/>
        <w:rPr>
          <w:rFonts w:ascii="Arial" w:hAnsi="Arial" w:cs="Arial"/>
          <w:b/>
        </w:rPr>
      </w:pPr>
      <w:r w:rsidRPr="006D4AEB">
        <w:rPr>
          <w:rFonts w:ascii="Arial" w:hAnsi="Arial" w:cs="Arial"/>
          <w:b/>
        </w:rPr>
        <w:t>4. CONCLUSION</w:t>
      </w:r>
    </w:p>
    <w:p w:rsidR="002A5AA7" w:rsidRPr="002A5AA7" w:rsidRDefault="00001F08" w:rsidP="002A5AA7">
      <w:pPr>
        <w:spacing w:before="100" w:beforeAutospacing="1" w:after="100" w:afterAutospacing="1" w:line="480" w:lineRule="auto"/>
        <w:jc w:val="both"/>
        <w:rPr>
          <w:rFonts w:ascii="Arial" w:eastAsia="Times New Roman" w:hAnsi="Arial" w:cs="Arial"/>
          <w:sz w:val="20"/>
          <w:szCs w:val="20"/>
          <w:lang w:eastAsia="en-IN"/>
        </w:rPr>
      </w:pPr>
      <w:r w:rsidRPr="0053330E">
        <w:rPr>
          <w:rFonts w:ascii="Arial" w:hAnsi="Arial" w:cs="Arial"/>
          <w:sz w:val="20"/>
          <w:szCs w:val="20"/>
          <w:lang w:val="en-IN"/>
        </w:rPr>
        <w:t xml:space="preserve">In Jaipur, livelihood </w:t>
      </w:r>
      <w:r w:rsidR="00295E9F" w:rsidRPr="0053330E">
        <w:rPr>
          <w:rFonts w:ascii="Arial" w:hAnsi="Arial" w:cs="Arial"/>
          <w:sz w:val="20"/>
          <w:szCs w:val="20"/>
          <w:lang w:val="en-IN"/>
        </w:rPr>
        <w:t>vulnerability was</w:t>
      </w:r>
      <w:r w:rsidRPr="0053330E">
        <w:rPr>
          <w:rFonts w:ascii="Arial" w:hAnsi="Arial" w:cs="Arial"/>
          <w:sz w:val="20"/>
          <w:szCs w:val="20"/>
          <w:lang w:val="en-IN"/>
        </w:rPr>
        <w:t xml:space="preserve"> primarily driven by reliance on agriculture, loan dependency, and water stress, although relatively better access to education and healthcare provides some resili</w:t>
      </w:r>
      <w:r w:rsidR="00295E9F" w:rsidRPr="0053330E">
        <w:rPr>
          <w:rFonts w:ascii="Arial" w:hAnsi="Arial" w:cs="Arial"/>
          <w:sz w:val="20"/>
          <w:szCs w:val="20"/>
          <w:lang w:val="en-IN"/>
        </w:rPr>
        <w:t>ence. In contrast, Udaipur faced</w:t>
      </w:r>
      <w:r w:rsidRPr="0053330E">
        <w:rPr>
          <w:rFonts w:ascii="Arial" w:hAnsi="Arial" w:cs="Arial"/>
          <w:sz w:val="20"/>
          <w:szCs w:val="20"/>
          <w:lang w:val="en-IN"/>
        </w:rPr>
        <w:t xml:space="preserve"> greater livelihood challenges due to higher dependence on natural water sources, weaker food security, and limited livelihood </w:t>
      </w:r>
      <w:proofErr w:type="gramStart"/>
      <w:r w:rsidRPr="0053330E">
        <w:rPr>
          <w:rFonts w:ascii="Arial" w:hAnsi="Arial" w:cs="Arial"/>
          <w:sz w:val="20"/>
          <w:szCs w:val="20"/>
          <w:lang w:val="en-IN"/>
        </w:rPr>
        <w:t>diversification.</w:t>
      </w:r>
      <w:r w:rsidR="002A5AA7">
        <w:rPr>
          <w:rFonts w:ascii="Arial" w:eastAsia="Times New Roman" w:hAnsi="Arial" w:cs="Arial"/>
          <w:sz w:val="20"/>
          <w:szCs w:val="20"/>
          <w:lang w:eastAsia="en-IN"/>
        </w:rPr>
        <w:t>In</w:t>
      </w:r>
      <w:proofErr w:type="gramEnd"/>
      <w:r w:rsidR="002A5AA7">
        <w:rPr>
          <w:rFonts w:ascii="Arial" w:eastAsia="Times New Roman" w:hAnsi="Arial" w:cs="Arial"/>
          <w:sz w:val="20"/>
          <w:szCs w:val="20"/>
          <w:lang w:eastAsia="en-IN"/>
        </w:rPr>
        <w:t xml:space="preserve"> Udaipur, water component vulnerability was</w:t>
      </w:r>
      <w:r w:rsidR="002A5AA7" w:rsidRPr="00107EFC">
        <w:rPr>
          <w:rFonts w:ascii="Arial" w:eastAsia="Times New Roman" w:hAnsi="Arial" w:cs="Arial"/>
          <w:sz w:val="20"/>
          <w:szCs w:val="20"/>
          <w:lang w:eastAsia="en-IN"/>
        </w:rPr>
        <w:t xml:space="preserve"> found to be higher. A majority of farm households use untreated water and depend on natural sources such as wells and handpumps. The depletion of the groundwater table and increasing water pollution have raised health risks for households using untreated water, which in turn increases their overall health vulnerability. Access to healthcare is also limited, as households often need more time to reach hospitals due to their distance from residential areas. Most farmers rely mainly on their own farm produce for consumption, which further heightens their vulnerability in adverse situations caused by climate change.</w:t>
      </w:r>
      <w:r w:rsidR="002A5AA7" w:rsidRPr="00823A97">
        <w:rPr>
          <w:rFonts w:ascii="Arial" w:eastAsia="Times New Roman" w:hAnsi="Arial" w:cs="Arial"/>
          <w:sz w:val="20"/>
          <w:szCs w:val="20"/>
          <w:lang w:eastAsia="en-IN"/>
        </w:rPr>
        <w:t xml:space="preserve"> </w:t>
      </w:r>
      <w:r w:rsidR="002A5AA7" w:rsidRPr="00107EFC">
        <w:rPr>
          <w:rFonts w:ascii="Arial" w:eastAsia="Times New Roman" w:hAnsi="Arial" w:cs="Arial"/>
          <w:sz w:val="20"/>
          <w:szCs w:val="20"/>
          <w:lang w:eastAsia="en-IN"/>
        </w:rPr>
        <w:t>In Jaipur, inconsistent water supply</w:t>
      </w:r>
      <w:r w:rsidR="00201C83">
        <w:rPr>
          <w:rFonts w:ascii="Arial" w:eastAsia="Times New Roman" w:hAnsi="Arial" w:cs="Arial"/>
          <w:sz w:val="20"/>
          <w:szCs w:val="20"/>
          <w:lang w:eastAsia="en-IN"/>
        </w:rPr>
        <w:t>, polluted water</w:t>
      </w:r>
      <w:r w:rsidR="002A5AA7" w:rsidRPr="00107EFC">
        <w:rPr>
          <w:rFonts w:ascii="Arial" w:eastAsia="Times New Roman" w:hAnsi="Arial" w:cs="Arial"/>
          <w:sz w:val="20"/>
          <w:szCs w:val="20"/>
          <w:lang w:eastAsia="en-IN"/>
        </w:rPr>
        <w:t xml:space="preserve"> and declining groundwater levels are major concerns. Many households often depend on water tank supply for drinking purposes, which makes them vulnerable to water shortages. However, being close to Jaipur city provides households better access to employment opportunities compared to Udaipur. Despite this, livelihood vulnerability remains high due to the heavy dependence on loans for </w:t>
      </w:r>
      <w:r w:rsidR="002A5AA7" w:rsidRPr="00107EFC">
        <w:rPr>
          <w:rFonts w:ascii="Arial" w:eastAsia="Times New Roman" w:hAnsi="Arial" w:cs="Arial"/>
          <w:sz w:val="20"/>
          <w:szCs w:val="20"/>
          <w:lang w:eastAsia="en-IN"/>
        </w:rPr>
        <w:lastRenderedPageBreak/>
        <w:t xml:space="preserve">agricultural operations. On the positive side, healthcare facilities in Jaipur are relatively better because of the state government’s efforts. The district’s rapid development and higher adaptive capacity make it less vulnerable compared to Udaipur, where a large share of households are tribal and </w:t>
      </w:r>
      <w:r w:rsidR="002A5AA7">
        <w:rPr>
          <w:rFonts w:ascii="Arial" w:eastAsia="Times New Roman" w:hAnsi="Arial" w:cs="Arial"/>
          <w:sz w:val="20"/>
          <w:szCs w:val="20"/>
          <w:lang w:eastAsia="en-IN"/>
        </w:rPr>
        <w:t>uneducated</w:t>
      </w:r>
      <w:r w:rsidR="002A5AA7" w:rsidRPr="00107EFC">
        <w:rPr>
          <w:rFonts w:ascii="Arial" w:eastAsia="Times New Roman" w:hAnsi="Arial" w:cs="Arial"/>
          <w:sz w:val="20"/>
          <w:szCs w:val="20"/>
          <w:lang w:eastAsia="en-IN"/>
        </w:rPr>
        <w:t>.</w:t>
      </w:r>
      <w:r w:rsidR="002A5AA7">
        <w:rPr>
          <w:rFonts w:ascii="Arial" w:eastAsia="Times New Roman" w:hAnsi="Arial" w:cs="Arial"/>
          <w:sz w:val="20"/>
          <w:szCs w:val="20"/>
          <w:lang w:eastAsia="en-IN"/>
        </w:rPr>
        <w:t xml:space="preserve"> </w:t>
      </w:r>
      <w:r w:rsidR="002A5AA7" w:rsidRPr="00107EFC">
        <w:rPr>
          <w:rFonts w:ascii="Arial" w:eastAsia="Times New Roman" w:hAnsi="Arial" w:cs="Arial"/>
          <w:sz w:val="20"/>
          <w:szCs w:val="20"/>
          <w:lang w:eastAsia="en-IN"/>
        </w:rPr>
        <w:t>In this context, policymakers should focus on strengthening healthcare services in tribal areas and promoting awareness among households about the need to treat water before use. New employment opportunities should be developed for households that depend solely on farming. In Jaipur, reducing dependence on agricultural credit through the promotion of cooperatives and Farmer Producer Organizations (FPOs) can help increase farmers’ income and bargaining power, ensuring better use of their proximity to developed markets.</w:t>
      </w:r>
      <w:r w:rsidR="002A5AA7" w:rsidRPr="00823A97">
        <w:rPr>
          <w:rFonts w:ascii="Arial" w:eastAsia="Times New Roman" w:hAnsi="Arial" w:cs="Arial"/>
          <w:sz w:val="20"/>
          <w:szCs w:val="20"/>
          <w:lang w:eastAsia="en-IN"/>
        </w:rPr>
        <w:t xml:space="preserve"> </w:t>
      </w:r>
      <w:r w:rsidR="002A5AA7" w:rsidRPr="00823A97">
        <w:rPr>
          <w:rFonts w:ascii="Arial" w:hAnsi="Arial" w:cs="Arial"/>
          <w:sz w:val="20"/>
          <w:szCs w:val="20"/>
        </w:rPr>
        <w:t>Policies should focus on ensuring the efficient use of groundwater by promoting its recharge during the rainy season and encouraging the recycling of wastewater. At the same time, efforts are needed to develop a sustainable water management system that balances agricultura</w:t>
      </w:r>
      <w:r w:rsidR="002A5AA7">
        <w:rPr>
          <w:rFonts w:ascii="Arial" w:hAnsi="Arial" w:cs="Arial"/>
          <w:sz w:val="20"/>
          <w:szCs w:val="20"/>
        </w:rPr>
        <w:t xml:space="preserve">l needs with long </w:t>
      </w:r>
      <w:r w:rsidR="002A5AA7" w:rsidRPr="00823A97">
        <w:rPr>
          <w:rFonts w:ascii="Arial" w:hAnsi="Arial" w:cs="Arial"/>
          <w:sz w:val="20"/>
          <w:szCs w:val="20"/>
        </w:rPr>
        <w:t>term conservation. Such mea</w:t>
      </w:r>
      <w:r w:rsidR="002A5AA7">
        <w:rPr>
          <w:rFonts w:ascii="Arial" w:hAnsi="Arial" w:cs="Arial"/>
          <w:sz w:val="20"/>
          <w:szCs w:val="20"/>
        </w:rPr>
        <w:t xml:space="preserve">sures will help reduce the over </w:t>
      </w:r>
      <w:r w:rsidR="002A5AA7" w:rsidRPr="00823A97">
        <w:rPr>
          <w:rFonts w:ascii="Arial" w:hAnsi="Arial" w:cs="Arial"/>
          <w:sz w:val="20"/>
          <w:szCs w:val="20"/>
        </w:rPr>
        <w:t>extraction of groundwater, improve water av</w:t>
      </w:r>
      <w:r w:rsidR="002A5AA7">
        <w:rPr>
          <w:rFonts w:ascii="Arial" w:hAnsi="Arial" w:cs="Arial"/>
          <w:sz w:val="20"/>
          <w:szCs w:val="20"/>
        </w:rPr>
        <w:t xml:space="preserve">ailability, </w:t>
      </w:r>
      <w:r w:rsidR="002A5AA7" w:rsidRPr="0053330E">
        <w:rPr>
          <w:rFonts w:ascii="Arial" w:hAnsi="Arial" w:cs="Arial"/>
          <w:sz w:val="20"/>
          <w:szCs w:val="20"/>
          <w:lang w:val="en-IN"/>
        </w:rPr>
        <w:t xml:space="preserve">enhancing the adaptive capacity of rural households </w:t>
      </w:r>
      <w:r w:rsidR="002A5AA7">
        <w:rPr>
          <w:rFonts w:ascii="Arial" w:hAnsi="Arial" w:cs="Arial"/>
          <w:sz w:val="20"/>
          <w:szCs w:val="20"/>
        </w:rPr>
        <w:t xml:space="preserve">and support climate </w:t>
      </w:r>
      <w:r w:rsidR="002A5AA7" w:rsidRPr="00823A97">
        <w:rPr>
          <w:rFonts w:ascii="Arial" w:hAnsi="Arial" w:cs="Arial"/>
          <w:sz w:val="20"/>
          <w:szCs w:val="20"/>
        </w:rPr>
        <w:t>resilient farming practices.</w:t>
      </w:r>
      <w:r w:rsidR="002A5AA7">
        <w:rPr>
          <w:rFonts w:ascii="Arial" w:hAnsi="Arial" w:cs="Arial"/>
          <w:sz w:val="20"/>
          <w:szCs w:val="20"/>
        </w:rPr>
        <w:t xml:space="preserve"> </w:t>
      </w:r>
    </w:p>
    <w:p w:rsidR="003F59BC" w:rsidRPr="003F59BC" w:rsidRDefault="003F59BC" w:rsidP="003F59BC">
      <w:pPr>
        <w:spacing w:line="480" w:lineRule="auto"/>
        <w:jc w:val="both"/>
        <w:rPr>
          <w:rFonts w:ascii="Arial" w:hAnsi="Arial" w:cs="Arial"/>
          <w:color w:val="222222"/>
          <w:sz w:val="20"/>
          <w:szCs w:val="20"/>
          <w:shd w:val="clear" w:color="auto" w:fill="FFFFFF"/>
        </w:rPr>
      </w:pPr>
      <w:r w:rsidRPr="003F59BC">
        <w:rPr>
          <w:rFonts w:ascii="Arial" w:hAnsi="Arial" w:cs="Arial"/>
          <w:color w:val="222222"/>
          <w:sz w:val="20"/>
          <w:szCs w:val="20"/>
          <w:shd w:val="clear" w:color="auto" w:fill="FFFFFF"/>
        </w:rPr>
        <w:t>COMPETING INTERESTS DISCLAIMER:</w:t>
      </w:r>
    </w:p>
    <w:p w:rsidR="003F59BC" w:rsidRDefault="003F59BC" w:rsidP="003F59BC">
      <w:pPr>
        <w:spacing w:line="480" w:lineRule="auto"/>
        <w:jc w:val="both"/>
        <w:rPr>
          <w:rFonts w:ascii="Arial" w:hAnsi="Arial" w:cs="Arial"/>
          <w:color w:val="222222"/>
          <w:sz w:val="20"/>
          <w:szCs w:val="20"/>
          <w:shd w:val="clear" w:color="auto" w:fill="FFFFFF"/>
        </w:rPr>
      </w:pPr>
      <w:r w:rsidRPr="003F59BC">
        <w:rPr>
          <w:rFonts w:ascii="Arial" w:hAnsi="Arial" w:cs="Arial"/>
          <w:color w:val="222222"/>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rsidR="00C2125A" w:rsidRDefault="00C2125A" w:rsidP="003F59BC">
      <w:pPr>
        <w:spacing w:line="480" w:lineRule="auto"/>
        <w:jc w:val="both"/>
        <w:rPr>
          <w:rFonts w:ascii="Arial" w:hAnsi="Arial" w:cs="Arial"/>
          <w:color w:val="222222"/>
          <w:sz w:val="20"/>
          <w:szCs w:val="20"/>
          <w:shd w:val="clear" w:color="auto" w:fill="FFFFFF"/>
        </w:rPr>
      </w:pPr>
    </w:p>
    <w:p w:rsidR="00C2125A" w:rsidRDefault="00C2125A" w:rsidP="00C2125A">
      <w:pPr>
        <w:rPr>
          <w:rFonts w:eastAsiaTheme="minorHAnsi"/>
        </w:rPr>
      </w:pPr>
      <w:r>
        <w:t>Disclaimer (Artificial intelligence)</w:t>
      </w:r>
    </w:p>
    <w:p w:rsidR="00C2125A" w:rsidRDefault="00C2125A" w:rsidP="00C2125A">
      <w:r>
        <w:t xml:space="preserve">Option 1: </w:t>
      </w:r>
    </w:p>
    <w:p w:rsidR="00C2125A" w:rsidRDefault="00C2125A" w:rsidP="00C2125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C2125A" w:rsidRDefault="00C2125A" w:rsidP="00C2125A">
      <w:r>
        <w:t xml:space="preserve">Option 2: </w:t>
      </w:r>
    </w:p>
    <w:p w:rsidR="00C2125A" w:rsidRDefault="00C2125A" w:rsidP="00C2125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2125A" w:rsidRDefault="00C2125A" w:rsidP="00C2125A">
      <w:r>
        <w:lastRenderedPageBreak/>
        <w:t>Details of the AI usage are given below:</w:t>
      </w:r>
    </w:p>
    <w:p w:rsidR="00C2125A" w:rsidRDefault="00C2125A" w:rsidP="00C2125A">
      <w:r>
        <w:t>1.</w:t>
      </w:r>
    </w:p>
    <w:p w:rsidR="00C2125A" w:rsidRDefault="00C2125A" w:rsidP="00C2125A">
      <w:r>
        <w:t>2.</w:t>
      </w:r>
    </w:p>
    <w:p w:rsidR="00C2125A" w:rsidRDefault="00C2125A" w:rsidP="00C2125A">
      <w:r>
        <w:t>3.</w:t>
      </w:r>
    </w:p>
    <w:p w:rsidR="00C2125A" w:rsidRDefault="00C2125A" w:rsidP="00C2125A"/>
    <w:p w:rsidR="00C2125A" w:rsidRDefault="00C2125A" w:rsidP="00C2125A"/>
    <w:p w:rsidR="00C2125A" w:rsidRDefault="00C2125A" w:rsidP="003F59BC">
      <w:pPr>
        <w:spacing w:line="480" w:lineRule="auto"/>
        <w:jc w:val="both"/>
        <w:rPr>
          <w:rFonts w:ascii="Arial" w:hAnsi="Arial" w:cs="Arial"/>
          <w:color w:val="222222"/>
          <w:sz w:val="20"/>
          <w:szCs w:val="20"/>
          <w:shd w:val="clear" w:color="auto" w:fill="FFFFFF"/>
        </w:rPr>
      </w:pPr>
    </w:p>
    <w:p w:rsidR="003F59BC" w:rsidRDefault="003F59BC" w:rsidP="008F2809">
      <w:pPr>
        <w:spacing w:line="480" w:lineRule="auto"/>
        <w:jc w:val="both"/>
        <w:rPr>
          <w:rFonts w:ascii="Arial" w:hAnsi="Arial" w:cs="Arial"/>
          <w:color w:val="222222"/>
          <w:sz w:val="20"/>
          <w:szCs w:val="20"/>
          <w:shd w:val="clear" w:color="auto" w:fill="FFFFFF"/>
        </w:rPr>
      </w:pPr>
    </w:p>
    <w:p w:rsidR="003F59BC" w:rsidRPr="008F2809" w:rsidRDefault="003F59BC" w:rsidP="008F2809">
      <w:pPr>
        <w:spacing w:line="480" w:lineRule="auto"/>
        <w:jc w:val="both"/>
        <w:rPr>
          <w:rFonts w:ascii="Arial" w:hAnsi="Arial" w:cs="Arial"/>
          <w:color w:val="222222"/>
          <w:sz w:val="20"/>
          <w:szCs w:val="20"/>
          <w:shd w:val="clear" w:color="auto" w:fill="FFFFFF"/>
        </w:rPr>
      </w:pPr>
    </w:p>
    <w:p w:rsidR="0053330E" w:rsidRDefault="006D4AEB" w:rsidP="00E7277C">
      <w:pPr>
        <w:tabs>
          <w:tab w:val="left" w:pos="2927"/>
        </w:tabs>
        <w:spacing w:after="0" w:line="480" w:lineRule="auto"/>
        <w:jc w:val="both"/>
        <w:rPr>
          <w:rFonts w:ascii="Arial" w:hAnsi="Arial" w:cs="Arial"/>
          <w:b/>
        </w:rPr>
      </w:pPr>
      <w:r w:rsidRPr="006D4AEB">
        <w:rPr>
          <w:rFonts w:ascii="Arial" w:hAnsi="Arial" w:cs="Arial"/>
          <w:b/>
        </w:rPr>
        <w:t>REFERENCE</w:t>
      </w:r>
    </w:p>
    <w:p w:rsidR="00EA191B" w:rsidRPr="009F737A" w:rsidRDefault="00EA191B" w:rsidP="00EA191B">
      <w:pPr>
        <w:spacing w:before="100" w:beforeAutospacing="1" w:after="0" w:line="480" w:lineRule="auto"/>
        <w:jc w:val="both"/>
        <w:rPr>
          <w:rFonts w:ascii="Arial" w:hAnsi="Arial" w:cs="Arial"/>
          <w:sz w:val="20"/>
          <w:szCs w:val="20"/>
        </w:rPr>
      </w:pPr>
      <w:r w:rsidRPr="009F737A">
        <w:rPr>
          <w:rFonts w:ascii="Arial" w:hAnsi="Arial" w:cs="Arial"/>
          <w:sz w:val="20"/>
          <w:szCs w:val="20"/>
        </w:rPr>
        <w:t>FAO. (2010). Climate-Smart Ag</w:t>
      </w:r>
      <w:bookmarkStart w:id="0" w:name="_GoBack"/>
      <w:bookmarkEnd w:id="0"/>
      <w:r w:rsidRPr="009F737A">
        <w:rPr>
          <w:rFonts w:ascii="Arial" w:hAnsi="Arial" w:cs="Arial"/>
          <w:sz w:val="20"/>
          <w:szCs w:val="20"/>
        </w:rPr>
        <w:t xml:space="preserve">riculture: Policies, Practices and Financing for Food Security, Adaptation and Mitigation. Food and Agriculture </w:t>
      </w:r>
      <w:proofErr w:type="spellStart"/>
      <w:r w:rsidRPr="009F737A">
        <w:rPr>
          <w:rFonts w:ascii="Arial" w:hAnsi="Arial" w:cs="Arial"/>
          <w:sz w:val="20"/>
          <w:szCs w:val="20"/>
        </w:rPr>
        <w:t>Organisation</w:t>
      </w:r>
      <w:proofErr w:type="spellEnd"/>
      <w:r w:rsidRPr="009F737A">
        <w:rPr>
          <w:rFonts w:ascii="Arial" w:hAnsi="Arial" w:cs="Arial"/>
          <w:sz w:val="20"/>
          <w:szCs w:val="20"/>
        </w:rPr>
        <w:t>, United Nations, Rome.</w:t>
      </w:r>
    </w:p>
    <w:p w:rsidR="00EA191B" w:rsidRPr="009F737A" w:rsidRDefault="00EA191B" w:rsidP="00EA191B">
      <w:pPr>
        <w:spacing w:after="0" w:line="480" w:lineRule="auto"/>
        <w:jc w:val="both"/>
        <w:rPr>
          <w:rFonts w:ascii="Arial" w:hAnsi="Arial" w:cs="Arial"/>
          <w:color w:val="222222"/>
          <w:sz w:val="20"/>
          <w:szCs w:val="20"/>
          <w:shd w:val="clear" w:color="auto" w:fill="FFFFFF"/>
        </w:rPr>
      </w:pPr>
      <w:r w:rsidRPr="009F737A">
        <w:rPr>
          <w:rFonts w:ascii="Arial" w:hAnsi="Arial" w:cs="Arial"/>
          <w:color w:val="222222"/>
          <w:sz w:val="20"/>
          <w:szCs w:val="20"/>
          <w:shd w:val="clear" w:color="auto" w:fill="FFFFFF"/>
        </w:rPr>
        <w:t>Saleem, A., Anwar, S., Nawaz, T., Fahad, S., Saud, S., Ur Rahman, T., Khan M.N.R. and Nawaz, T. (2024). Securing a sustainable future: the climate change threat to agriculture, food security, and sustainable development goals. </w:t>
      </w:r>
      <w:r w:rsidRPr="009F737A">
        <w:rPr>
          <w:rFonts w:ascii="Arial" w:hAnsi="Arial" w:cs="Arial"/>
          <w:i/>
          <w:iCs/>
          <w:color w:val="222222"/>
          <w:sz w:val="20"/>
          <w:szCs w:val="20"/>
          <w:shd w:val="clear" w:color="auto" w:fill="FFFFFF"/>
        </w:rPr>
        <w:t>Journal of Umm Al-</w:t>
      </w:r>
      <w:proofErr w:type="spellStart"/>
      <w:r w:rsidRPr="009F737A">
        <w:rPr>
          <w:rFonts w:ascii="Arial" w:hAnsi="Arial" w:cs="Arial"/>
          <w:i/>
          <w:iCs/>
          <w:color w:val="222222"/>
          <w:sz w:val="20"/>
          <w:szCs w:val="20"/>
          <w:shd w:val="clear" w:color="auto" w:fill="FFFFFF"/>
        </w:rPr>
        <w:t>Qura</w:t>
      </w:r>
      <w:proofErr w:type="spellEnd"/>
      <w:r w:rsidRPr="009F737A">
        <w:rPr>
          <w:rFonts w:ascii="Arial" w:hAnsi="Arial" w:cs="Arial"/>
          <w:i/>
          <w:iCs/>
          <w:color w:val="222222"/>
          <w:sz w:val="20"/>
          <w:szCs w:val="20"/>
          <w:shd w:val="clear" w:color="auto" w:fill="FFFFFF"/>
        </w:rPr>
        <w:t xml:space="preserve"> University for Applied Sciences</w:t>
      </w:r>
      <w:r w:rsidRPr="009F737A">
        <w:rPr>
          <w:rFonts w:ascii="Arial" w:hAnsi="Arial" w:cs="Arial"/>
          <w:color w:val="222222"/>
          <w:sz w:val="20"/>
          <w:szCs w:val="20"/>
          <w:shd w:val="clear" w:color="auto" w:fill="FFFFFF"/>
        </w:rPr>
        <w:t xml:space="preserve">, 1-17. </w:t>
      </w:r>
      <w:hyperlink r:id="rId8" w:history="1">
        <w:r w:rsidRPr="009F737A">
          <w:rPr>
            <w:rStyle w:val="Hyperlink"/>
            <w:rFonts w:ascii="Arial" w:hAnsi="Arial" w:cs="Arial"/>
            <w:sz w:val="20"/>
            <w:szCs w:val="20"/>
            <w:shd w:val="clear" w:color="auto" w:fill="FFFFFF"/>
          </w:rPr>
          <w:t>https://doi.org/10.1007/s43994-024-00177-3</w:t>
        </w:r>
      </w:hyperlink>
      <w:r w:rsidRPr="009F737A">
        <w:rPr>
          <w:rFonts w:ascii="Arial" w:hAnsi="Arial" w:cs="Arial"/>
          <w:color w:val="222222"/>
          <w:sz w:val="20"/>
          <w:szCs w:val="20"/>
          <w:shd w:val="clear" w:color="auto" w:fill="FFFFFF"/>
        </w:rPr>
        <w:t>.</w:t>
      </w:r>
    </w:p>
    <w:p w:rsidR="00EA191B" w:rsidRDefault="00EA191B" w:rsidP="00EA191B">
      <w:pPr>
        <w:spacing w:after="0" w:line="480" w:lineRule="auto"/>
        <w:jc w:val="both"/>
        <w:rPr>
          <w:rFonts w:ascii="Arial" w:hAnsi="Arial" w:cs="Arial"/>
          <w:color w:val="222222"/>
          <w:sz w:val="20"/>
          <w:szCs w:val="20"/>
          <w:shd w:val="clear" w:color="auto" w:fill="FFFFFF"/>
        </w:rPr>
      </w:pPr>
      <w:r w:rsidRPr="009F737A">
        <w:rPr>
          <w:rFonts w:ascii="Arial" w:hAnsi="Arial" w:cs="Arial"/>
          <w:color w:val="222222"/>
          <w:sz w:val="20"/>
          <w:szCs w:val="20"/>
          <w:shd w:val="clear" w:color="auto" w:fill="FFFFFF"/>
        </w:rPr>
        <w:t xml:space="preserve">United Nation (n.d.). What is climate change? United Nation Climate Change. </w:t>
      </w:r>
      <w:proofErr w:type="spellStart"/>
      <w:r w:rsidRPr="009F737A">
        <w:rPr>
          <w:rFonts w:ascii="Arial" w:hAnsi="Arial" w:cs="Arial"/>
          <w:color w:val="222222"/>
          <w:sz w:val="20"/>
          <w:szCs w:val="20"/>
          <w:shd w:val="clear" w:color="auto" w:fill="FFFFFF"/>
        </w:rPr>
        <w:t>Retrived</w:t>
      </w:r>
      <w:proofErr w:type="spellEnd"/>
      <w:r w:rsidRPr="009F737A">
        <w:rPr>
          <w:rFonts w:ascii="Arial" w:hAnsi="Arial" w:cs="Arial"/>
          <w:color w:val="222222"/>
          <w:sz w:val="20"/>
          <w:szCs w:val="20"/>
          <w:shd w:val="clear" w:color="auto" w:fill="FFFFFF"/>
        </w:rPr>
        <w:t xml:space="preserve"> 25 July 2025, from </w:t>
      </w:r>
      <w:hyperlink r:id="rId9" w:history="1">
        <w:r w:rsidRPr="009F737A">
          <w:rPr>
            <w:rStyle w:val="Hyperlink"/>
            <w:rFonts w:ascii="Arial" w:hAnsi="Arial" w:cs="Arial"/>
            <w:sz w:val="20"/>
            <w:szCs w:val="20"/>
            <w:shd w:val="clear" w:color="auto" w:fill="FFFFFF"/>
          </w:rPr>
          <w:t>https://www.un.org/en/climatechange/what-is-climate-change</w:t>
        </w:r>
      </w:hyperlink>
      <w:r w:rsidRPr="009F737A">
        <w:rPr>
          <w:rFonts w:ascii="Arial" w:hAnsi="Arial" w:cs="Arial"/>
          <w:color w:val="222222"/>
          <w:sz w:val="20"/>
          <w:szCs w:val="20"/>
          <w:shd w:val="clear" w:color="auto" w:fill="FFFFFF"/>
        </w:rPr>
        <w:t>.</w:t>
      </w:r>
    </w:p>
    <w:p w:rsidR="001B1B7A" w:rsidRPr="009F737A" w:rsidRDefault="001B1B7A" w:rsidP="001B1B7A">
      <w:pPr>
        <w:spacing w:after="0" w:line="480" w:lineRule="auto"/>
        <w:jc w:val="both"/>
        <w:rPr>
          <w:rFonts w:ascii="Arial" w:hAnsi="Arial" w:cs="Arial"/>
          <w:sz w:val="20"/>
          <w:szCs w:val="20"/>
        </w:rPr>
      </w:pPr>
      <w:r w:rsidRPr="009F737A">
        <w:rPr>
          <w:rFonts w:ascii="Arial" w:hAnsi="Arial" w:cs="Arial"/>
          <w:sz w:val="20"/>
          <w:szCs w:val="20"/>
        </w:rPr>
        <w:t xml:space="preserve">Rama Rao, C.A., Raju, B.M.K., Islam, A., </w:t>
      </w:r>
      <w:proofErr w:type="spellStart"/>
      <w:r w:rsidRPr="009F737A">
        <w:rPr>
          <w:rFonts w:ascii="Arial" w:hAnsi="Arial" w:cs="Arial"/>
          <w:sz w:val="20"/>
          <w:szCs w:val="20"/>
        </w:rPr>
        <w:t>SubbaRao</w:t>
      </w:r>
      <w:proofErr w:type="spellEnd"/>
      <w:r w:rsidRPr="009F737A">
        <w:rPr>
          <w:rFonts w:ascii="Arial" w:hAnsi="Arial" w:cs="Arial"/>
          <w:sz w:val="20"/>
          <w:szCs w:val="20"/>
        </w:rPr>
        <w:t>, A.V.M., Rao, K.V., Ravindra Chary, G., Nagarjuna Kumar, R., Prabhakar, M., Sammi Reddy, K., Bhaskar, S. and Chaudhari, S.K. (2019). Risk and Vulnerability Assessment of Indian Agriculture to Climate Change. ICAR-Central Research Institute for Dryland Agriculture, Hyderabad, pp.124</w:t>
      </w:r>
    </w:p>
    <w:p w:rsidR="001B1B7A" w:rsidRDefault="001B1B7A" w:rsidP="00EA191B">
      <w:pPr>
        <w:spacing w:after="0" w:line="480" w:lineRule="auto"/>
        <w:jc w:val="both"/>
        <w:rPr>
          <w:rFonts w:ascii="Arial" w:hAnsi="Arial" w:cs="Arial"/>
          <w:color w:val="222222"/>
          <w:sz w:val="20"/>
          <w:szCs w:val="20"/>
          <w:shd w:val="clear" w:color="auto" w:fill="FFFFFF"/>
        </w:rPr>
      </w:pPr>
      <w:r w:rsidRPr="001B1B7A">
        <w:rPr>
          <w:rFonts w:ascii="Arial" w:hAnsi="Arial" w:cs="Arial"/>
          <w:color w:val="222222"/>
          <w:sz w:val="20"/>
          <w:szCs w:val="20"/>
          <w:shd w:val="clear" w:color="auto" w:fill="FFFFFF"/>
        </w:rPr>
        <w:t>Kaushik, N. (2019). Climate change: A trend analysis of Western Rajasthan. Journal of Global Resources, 5(1):83-89.</w:t>
      </w:r>
    </w:p>
    <w:p w:rsidR="000C1838" w:rsidRPr="009F737A" w:rsidRDefault="000C1838" w:rsidP="00EA191B">
      <w:pPr>
        <w:spacing w:after="0" w:line="480" w:lineRule="auto"/>
        <w:jc w:val="both"/>
        <w:rPr>
          <w:rFonts w:ascii="Arial" w:hAnsi="Arial" w:cs="Arial"/>
          <w:color w:val="222222"/>
          <w:sz w:val="20"/>
          <w:szCs w:val="20"/>
          <w:shd w:val="clear" w:color="auto" w:fill="FFFFFF"/>
        </w:rPr>
      </w:pPr>
      <w:r>
        <w:t>IPCC. (2001). Climate change 2001: Impacts, Adaptation and Vulnerability. Summary for Policymakers, WMO.</w:t>
      </w:r>
    </w:p>
    <w:p w:rsidR="00EA191B" w:rsidRPr="009F737A" w:rsidRDefault="00EA191B" w:rsidP="00EA191B">
      <w:pPr>
        <w:spacing w:after="0" w:line="480" w:lineRule="auto"/>
        <w:jc w:val="both"/>
        <w:rPr>
          <w:rFonts w:ascii="Arial" w:hAnsi="Arial" w:cs="Arial"/>
          <w:sz w:val="20"/>
          <w:szCs w:val="20"/>
        </w:rPr>
      </w:pPr>
      <w:proofErr w:type="spellStart"/>
      <w:r w:rsidRPr="009F737A">
        <w:rPr>
          <w:rFonts w:ascii="Arial" w:hAnsi="Arial" w:cs="Arial"/>
          <w:sz w:val="20"/>
          <w:szCs w:val="20"/>
        </w:rPr>
        <w:lastRenderedPageBreak/>
        <w:t>Dadheech</w:t>
      </w:r>
      <w:proofErr w:type="spellEnd"/>
      <w:r w:rsidRPr="009F737A">
        <w:rPr>
          <w:rFonts w:ascii="Arial" w:hAnsi="Arial" w:cs="Arial"/>
          <w:sz w:val="20"/>
          <w:szCs w:val="20"/>
        </w:rPr>
        <w:t>, V., &amp; Kaur, M. (2025). Barriers Perceived by the Farmers in Adoption of Organic Farming. Journal of Scientific Research and Reports, 31(6): 1265-1277.</w:t>
      </w:r>
    </w:p>
    <w:p w:rsidR="00EA191B" w:rsidRPr="009F737A" w:rsidRDefault="00EA191B" w:rsidP="00EA191B">
      <w:pPr>
        <w:spacing w:after="0" w:line="480" w:lineRule="auto"/>
        <w:jc w:val="both"/>
        <w:rPr>
          <w:rFonts w:ascii="Arial" w:hAnsi="Arial" w:cs="Arial"/>
          <w:iCs/>
          <w:color w:val="222222"/>
          <w:sz w:val="20"/>
          <w:szCs w:val="20"/>
          <w:shd w:val="clear" w:color="auto" w:fill="FFFFFF"/>
        </w:rPr>
      </w:pPr>
      <w:proofErr w:type="spellStart"/>
      <w:r w:rsidRPr="009F737A">
        <w:rPr>
          <w:rFonts w:ascii="Arial" w:hAnsi="Arial" w:cs="Arial"/>
          <w:color w:val="222222"/>
          <w:sz w:val="20"/>
          <w:szCs w:val="20"/>
          <w:shd w:val="clear" w:color="auto" w:fill="FFFFFF"/>
        </w:rPr>
        <w:t>Alawode</w:t>
      </w:r>
      <w:proofErr w:type="spellEnd"/>
      <w:r w:rsidRPr="009F737A">
        <w:rPr>
          <w:rFonts w:ascii="Arial" w:hAnsi="Arial" w:cs="Arial"/>
          <w:color w:val="222222"/>
          <w:sz w:val="20"/>
          <w:szCs w:val="20"/>
          <w:shd w:val="clear" w:color="auto" w:fill="FFFFFF"/>
        </w:rPr>
        <w:t>, A. (2025). Assessing climate change impacts on agricultural productivity and rural livelihoods in Sub-Saharan Africa. </w:t>
      </w:r>
      <w:r w:rsidRPr="009F737A">
        <w:rPr>
          <w:rFonts w:ascii="Arial" w:hAnsi="Arial" w:cs="Arial"/>
          <w:i/>
          <w:iCs/>
          <w:color w:val="222222"/>
          <w:sz w:val="20"/>
          <w:szCs w:val="20"/>
          <w:shd w:val="clear" w:color="auto" w:fill="FFFFFF"/>
        </w:rPr>
        <w:t>International Journal of Research Publication and Reviews</w:t>
      </w:r>
      <w:r w:rsidRPr="009F737A">
        <w:rPr>
          <w:rFonts w:ascii="Arial" w:hAnsi="Arial" w:cs="Arial"/>
          <w:iCs/>
          <w:color w:val="222222"/>
          <w:sz w:val="20"/>
          <w:szCs w:val="20"/>
          <w:shd w:val="clear" w:color="auto" w:fill="FFFFFF"/>
        </w:rPr>
        <w:t xml:space="preserve">, 6(5): 4508-4523. </w:t>
      </w:r>
      <w:hyperlink r:id="rId10" w:history="1">
        <w:r w:rsidRPr="009F737A">
          <w:rPr>
            <w:rStyle w:val="Hyperlink"/>
            <w:rFonts w:ascii="Arial" w:hAnsi="Arial" w:cs="Arial"/>
            <w:iCs/>
            <w:sz w:val="20"/>
            <w:szCs w:val="20"/>
            <w:shd w:val="clear" w:color="auto" w:fill="FFFFFF"/>
          </w:rPr>
          <w:t>https://doi.org/10.55248/gengpi.6.0525.1734</w:t>
        </w:r>
      </w:hyperlink>
      <w:r w:rsidRPr="009F737A">
        <w:rPr>
          <w:rFonts w:ascii="Arial" w:hAnsi="Arial" w:cs="Arial"/>
          <w:iCs/>
          <w:color w:val="222222"/>
          <w:sz w:val="20"/>
          <w:szCs w:val="20"/>
          <w:shd w:val="clear" w:color="auto" w:fill="FFFFFF"/>
        </w:rPr>
        <w:t>.</w:t>
      </w:r>
    </w:p>
    <w:p w:rsidR="00EA191B" w:rsidRPr="009F737A" w:rsidRDefault="00EA191B" w:rsidP="00EA191B">
      <w:pPr>
        <w:spacing w:after="0" w:line="480" w:lineRule="auto"/>
        <w:jc w:val="both"/>
        <w:rPr>
          <w:rFonts w:ascii="Arial" w:hAnsi="Arial" w:cs="Arial"/>
          <w:color w:val="222222"/>
          <w:sz w:val="20"/>
          <w:szCs w:val="20"/>
          <w:shd w:val="clear" w:color="auto" w:fill="FFFFFF"/>
        </w:rPr>
      </w:pPr>
      <w:r w:rsidRPr="009F737A">
        <w:rPr>
          <w:rFonts w:ascii="Arial" w:hAnsi="Arial" w:cs="Arial"/>
          <w:color w:val="222222"/>
          <w:sz w:val="20"/>
          <w:szCs w:val="20"/>
          <w:shd w:val="clear" w:color="auto" w:fill="FFFFFF"/>
        </w:rPr>
        <w:t xml:space="preserve">Bakhsh, K., Naqvi, S.A.A. and Nasim, W. (2022). Effects of Climate Change on the Socioeconomic Conditions of Farmers: A Case Study. In: </w:t>
      </w:r>
      <w:proofErr w:type="spellStart"/>
      <w:r w:rsidRPr="009F737A">
        <w:rPr>
          <w:rFonts w:ascii="Arial" w:hAnsi="Arial" w:cs="Arial"/>
          <w:color w:val="222222"/>
          <w:sz w:val="20"/>
          <w:szCs w:val="20"/>
          <w:shd w:val="clear" w:color="auto" w:fill="FFFFFF"/>
        </w:rPr>
        <w:t>Jatoi</w:t>
      </w:r>
      <w:proofErr w:type="spellEnd"/>
      <w:r w:rsidRPr="009F737A">
        <w:rPr>
          <w:rFonts w:ascii="Arial" w:hAnsi="Arial" w:cs="Arial"/>
          <w:color w:val="222222"/>
          <w:sz w:val="20"/>
          <w:szCs w:val="20"/>
          <w:shd w:val="clear" w:color="auto" w:fill="FFFFFF"/>
        </w:rPr>
        <w:t xml:space="preserve">, W.N., Mubeen, M., Ahmad, A., Cheema, M.A., Lin, Z., and Hashmi, M.Z. (eds), </w:t>
      </w:r>
      <w:r w:rsidRPr="009F737A">
        <w:rPr>
          <w:rFonts w:ascii="Arial" w:hAnsi="Arial" w:cs="Arial"/>
          <w:i/>
          <w:color w:val="222222"/>
          <w:sz w:val="20"/>
          <w:szCs w:val="20"/>
          <w:shd w:val="clear" w:color="auto" w:fill="FFFFFF"/>
        </w:rPr>
        <w:t>Building Climate Resilience in Agriculture</w:t>
      </w:r>
      <w:r w:rsidRPr="009F737A">
        <w:rPr>
          <w:rFonts w:ascii="Arial" w:hAnsi="Arial" w:cs="Arial"/>
          <w:color w:val="222222"/>
          <w:sz w:val="20"/>
          <w:szCs w:val="20"/>
          <w:shd w:val="clear" w:color="auto" w:fill="FFFFFF"/>
        </w:rPr>
        <w:t xml:space="preserve">. Springer, Cham. </w:t>
      </w:r>
      <w:hyperlink r:id="rId11" w:history="1">
        <w:r w:rsidRPr="009F737A">
          <w:rPr>
            <w:rStyle w:val="Hyperlink"/>
            <w:rFonts w:ascii="Arial" w:hAnsi="Arial" w:cs="Arial"/>
            <w:sz w:val="20"/>
            <w:szCs w:val="20"/>
            <w:shd w:val="clear" w:color="auto" w:fill="FFFFFF"/>
          </w:rPr>
          <w:t>https://doi.org/10.1007/978-3-030-79408-8_16</w:t>
        </w:r>
      </w:hyperlink>
      <w:r w:rsidRPr="009F737A">
        <w:rPr>
          <w:rFonts w:ascii="Arial" w:hAnsi="Arial" w:cs="Arial"/>
          <w:color w:val="222222"/>
          <w:sz w:val="20"/>
          <w:szCs w:val="20"/>
          <w:shd w:val="clear" w:color="auto" w:fill="FFFFFF"/>
        </w:rPr>
        <w:t>.</w:t>
      </w:r>
    </w:p>
    <w:p w:rsidR="00EA191B" w:rsidRPr="009F737A" w:rsidRDefault="00EA191B" w:rsidP="00EA191B">
      <w:pPr>
        <w:spacing w:after="0" w:line="480" w:lineRule="auto"/>
        <w:jc w:val="both"/>
        <w:rPr>
          <w:rFonts w:ascii="Arial" w:hAnsi="Arial" w:cs="Arial"/>
          <w:sz w:val="20"/>
          <w:szCs w:val="20"/>
        </w:rPr>
      </w:pPr>
      <w:proofErr w:type="spellStart"/>
      <w:r w:rsidRPr="009F737A">
        <w:rPr>
          <w:rFonts w:ascii="Arial" w:hAnsi="Arial" w:cs="Arial"/>
          <w:bCs/>
          <w:sz w:val="20"/>
          <w:szCs w:val="20"/>
          <w:shd w:val="clear" w:color="auto" w:fill="FFFFFF"/>
        </w:rPr>
        <w:t>Kakumanu</w:t>
      </w:r>
      <w:proofErr w:type="spellEnd"/>
      <w:r w:rsidRPr="009F737A">
        <w:rPr>
          <w:rFonts w:ascii="Arial" w:hAnsi="Arial" w:cs="Arial"/>
          <w:bCs/>
          <w:sz w:val="20"/>
          <w:szCs w:val="20"/>
          <w:shd w:val="clear" w:color="auto" w:fill="FFFFFF"/>
        </w:rPr>
        <w:t xml:space="preserve">, N.S. and </w:t>
      </w:r>
      <w:proofErr w:type="spellStart"/>
      <w:r w:rsidRPr="009F737A">
        <w:rPr>
          <w:rFonts w:ascii="Arial" w:hAnsi="Arial" w:cs="Arial"/>
          <w:bCs/>
          <w:sz w:val="20"/>
          <w:szCs w:val="20"/>
          <w:shd w:val="clear" w:color="auto" w:fill="FFFFFF"/>
        </w:rPr>
        <w:t>Srider</w:t>
      </w:r>
      <w:proofErr w:type="spellEnd"/>
      <w:r w:rsidRPr="009F737A">
        <w:rPr>
          <w:rFonts w:ascii="Arial" w:hAnsi="Arial" w:cs="Arial"/>
          <w:bCs/>
          <w:sz w:val="20"/>
          <w:szCs w:val="20"/>
          <w:shd w:val="clear" w:color="auto" w:fill="FFFFFF"/>
        </w:rPr>
        <w:t xml:space="preserve">, P. (2025). </w:t>
      </w:r>
      <w:r w:rsidRPr="009F737A">
        <w:rPr>
          <w:rFonts w:ascii="Arial" w:hAnsi="Arial" w:cs="Arial"/>
          <w:sz w:val="20"/>
          <w:szCs w:val="20"/>
        </w:rPr>
        <w:t xml:space="preserve">Assessing </w:t>
      </w:r>
      <w:proofErr w:type="gramStart"/>
      <w:r w:rsidRPr="009F737A">
        <w:rPr>
          <w:rFonts w:ascii="Arial" w:hAnsi="Arial" w:cs="Arial"/>
          <w:sz w:val="20"/>
          <w:szCs w:val="20"/>
        </w:rPr>
        <w:t>The</w:t>
      </w:r>
      <w:proofErr w:type="gramEnd"/>
      <w:r w:rsidRPr="009F737A">
        <w:rPr>
          <w:rFonts w:ascii="Arial" w:hAnsi="Arial" w:cs="Arial"/>
          <w:sz w:val="20"/>
          <w:szCs w:val="20"/>
        </w:rPr>
        <w:t xml:space="preserve"> Effects Of Climate Change On </w:t>
      </w:r>
      <w:proofErr w:type="spellStart"/>
      <w:r w:rsidRPr="009F737A">
        <w:rPr>
          <w:rFonts w:ascii="Arial" w:hAnsi="Arial" w:cs="Arial"/>
          <w:sz w:val="20"/>
          <w:szCs w:val="20"/>
        </w:rPr>
        <w:t>Mcx</w:t>
      </w:r>
      <w:proofErr w:type="spellEnd"/>
      <w:r w:rsidRPr="009F737A">
        <w:rPr>
          <w:rFonts w:ascii="Arial" w:hAnsi="Arial" w:cs="Arial"/>
          <w:sz w:val="20"/>
          <w:szCs w:val="20"/>
        </w:rPr>
        <w:t xml:space="preserve"> Agricultural Commodity Prices In India. </w:t>
      </w:r>
      <w:r w:rsidRPr="009F737A">
        <w:rPr>
          <w:rFonts w:ascii="Arial" w:hAnsi="Arial" w:cs="Arial"/>
          <w:i/>
          <w:iCs/>
          <w:sz w:val="20"/>
          <w:szCs w:val="20"/>
        </w:rPr>
        <w:t>International Journal of Environmental Sciences</w:t>
      </w:r>
      <w:r w:rsidRPr="009F737A">
        <w:rPr>
          <w:rFonts w:ascii="Arial" w:hAnsi="Arial" w:cs="Arial"/>
          <w:sz w:val="20"/>
          <w:szCs w:val="20"/>
        </w:rPr>
        <w:t>, </w:t>
      </w:r>
      <w:r w:rsidRPr="009F737A">
        <w:rPr>
          <w:rFonts w:ascii="Arial" w:hAnsi="Arial" w:cs="Arial"/>
          <w:iCs/>
          <w:sz w:val="20"/>
          <w:szCs w:val="20"/>
        </w:rPr>
        <w:t>11</w:t>
      </w:r>
      <w:r w:rsidRPr="009F737A">
        <w:rPr>
          <w:rFonts w:ascii="Arial" w:hAnsi="Arial" w:cs="Arial"/>
          <w:sz w:val="20"/>
          <w:szCs w:val="20"/>
        </w:rPr>
        <w:t>(4s): 1399- 1407. </w:t>
      </w:r>
      <w:hyperlink r:id="rId12" w:history="1">
        <w:r w:rsidRPr="009F737A">
          <w:rPr>
            <w:rStyle w:val="Hyperlink"/>
            <w:rFonts w:ascii="Arial" w:hAnsi="Arial" w:cs="Arial"/>
            <w:color w:val="4B7D92"/>
            <w:sz w:val="20"/>
            <w:szCs w:val="20"/>
          </w:rPr>
          <w:t>https://doi.org/10.64252/33a23q18</w:t>
        </w:r>
      </w:hyperlink>
      <w:r w:rsidRPr="009F737A">
        <w:rPr>
          <w:rFonts w:ascii="Arial" w:hAnsi="Arial" w:cs="Arial"/>
          <w:sz w:val="20"/>
          <w:szCs w:val="20"/>
        </w:rPr>
        <w:t>.</w:t>
      </w:r>
    </w:p>
    <w:p w:rsidR="00EA191B" w:rsidRPr="009F737A" w:rsidRDefault="00EA191B" w:rsidP="00EA191B">
      <w:pPr>
        <w:spacing w:after="0" w:line="480" w:lineRule="auto"/>
        <w:jc w:val="both"/>
        <w:rPr>
          <w:rFonts w:ascii="Arial" w:hAnsi="Arial" w:cs="Arial"/>
          <w:color w:val="222222"/>
          <w:sz w:val="20"/>
          <w:szCs w:val="20"/>
          <w:shd w:val="clear" w:color="auto" w:fill="FFFFFF"/>
        </w:rPr>
      </w:pPr>
      <w:r w:rsidRPr="009F737A">
        <w:rPr>
          <w:rFonts w:ascii="Arial" w:hAnsi="Arial" w:cs="Arial"/>
          <w:color w:val="222222"/>
          <w:sz w:val="20"/>
          <w:szCs w:val="20"/>
          <w:shd w:val="clear" w:color="auto" w:fill="FFFFFF"/>
        </w:rPr>
        <w:t>Gupta, G. S. (2019). Land degradation and challenges of food security. </w:t>
      </w:r>
      <w:r w:rsidRPr="009F737A">
        <w:rPr>
          <w:rFonts w:ascii="Arial" w:hAnsi="Arial" w:cs="Arial"/>
          <w:i/>
          <w:iCs/>
          <w:color w:val="222222"/>
          <w:sz w:val="20"/>
          <w:szCs w:val="20"/>
          <w:shd w:val="clear" w:color="auto" w:fill="FFFFFF"/>
        </w:rPr>
        <w:t>Review of. European Studies</w:t>
      </w:r>
      <w:r w:rsidRPr="009F737A">
        <w:rPr>
          <w:rFonts w:ascii="Arial" w:hAnsi="Arial" w:cs="Arial"/>
          <w:color w:val="222222"/>
          <w:sz w:val="20"/>
          <w:szCs w:val="20"/>
          <w:shd w:val="clear" w:color="auto" w:fill="FFFFFF"/>
        </w:rPr>
        <w:t>, </w:t>
      </w:r>
      <w:r w:rsidRPr="009F737A">
        <w:rPr>
          <w:rFonts w:ascii="Arial" w:hAnsi="Arial" w:cs="Arial"/>
          <w:iCs/>
          <w:color w:val="222222"/>
          <w:sz w:val="20"/>
          <w:szCs w:val="20"/>
          <w:shd w:val="clear" w:color="auto" w:fill="FFFFFF"/>
        </w:rPr>
        <w:t>11</w:t>
      </w:r>
      <w:r w:rsidRPr="009F737A">
        <w:rPr>
          <w:rFonts w:ascii="Arial" w:hAnsi="Arial" w:cs="Arial"/>
          <w:color w:val="222222"/>
          <w:sz w:val="20"/>
          <w:szCs w:val="20"/>
          <w:shd w:val="clear" w:color="auto" w:fill="FFFFFF"/>
        </w:rPr>
        <w:t xml:space="preserve">(1): 63. </w:t>
      </w:r>
      <w:hyperlink r:id="rId13" w:history="1">
        <w:r w:rsidRPr="009F737A">
          <w:rPr>
            <w:rStyle w:val="Hyperlink"/>
            <w:rFonts w:ascii="Arial" w:hAnsi="Arial" w:cs="Arial"/>
            <w:sz w:val="20"/>
            <w:szCs w:val="20"/>
            <w:shd w:val="clear" w:color="auto" w:fill="FFFFFF"/>
          </w:rPr>
          <w:t>https://doi.org/10.5539/res.v11n1p63</w:t>
        </w:r>
      </w:hyperlink>
      <w:r w:rsidRPr="009F737A">
        <w:rPr>
          <w:rFonts w:ascii="Arial" w:hAnsi="Arial" w:cs="Arial"/>
          <w:color w:val="222222"/>
          <w:sz w:val="20"/>
          <w:szCs w:val="20"/>
          <w:shd w:val="clear" w:color="auto" w:fill="FFFFFF"/>
        </w:rPr>
        <w:t>.</w:t>
      </w:r>
    </w:p>
    <w:p w:rsidR="00EA191B" w:rsidRPr="009F737A" w:rsidRDefault="00EA191B" w:rsidP="00EA191B">
      <w:pPr>
        <w:spacing w:after="0" w:line="480" w:lineRule="auto"/>
        <w:jc w:val="both"/>
        <w:rPr>
          <w:rFonts w:ascii="Arial" w:hAnsi="Arial" w:cs="Arial"/>
          <w:color w:val="222222"/>
          <w:sz w:val="20"/>
          <w:szCs w:val="20"/>
          <w:shd w:val="clear" w:color="auto" w:fill="FFFFFF"/>
        </w:rPr>
      </w:pPr>
      <w:proofErr w:type="spellStart"/>
      <w:r w:rsidRPr="009F737A">
        <w:rPr>
          <w:rFonts w:ascii="Arial" w:hAnsi="Arial" w:cs="Arial"/>
          <w:color w:val="222222"/>
          <w:sz w:val="20"/>
          <w:szCs w:val="20"/>
          <w:shd w:val="clear" w:color="auto" w:fill="FFFFFF"/>
        </w:rPr>
        <w:t>Adom</w:t>
      </w:r>
      <w:proofErr w:type="spellEnd"/>
      <w:r w:rsidRPr="009F737A">
        <w:rPr>
          <w:rFonts w:ascii="Arial" w:hAnsi="Arial" w:cs="Arial"/>
          <w:color w:val="222222"/>
          <w:sz w:val="20"/>
          <w:szCs w:val="20"/>
          <w:shd w:val="clear" w:color="auto" w:fill="FFFFFF"/>
        </w:rPr>
        <w:t>, P. K. (2024). The socioeconomic impact of climate change in developing countries over the next decades: A literature survey. </w:t>
      </w:r>
      <w:proofErr w:type="spellStart"/>
      <w:r w:rsidRPr="009F737A">
        <w:rPr>
          <w:rFonts w:ascii="Arial" w:hAnsi="Arial" w:cs="Arial"/>
          <w:i/>
          <w:iCs/>
          <w:color w:val="222222"/>
          <w:sz w:val="20"/>
          <w:szCs w:val="20"/>
          <w:shd w:val="clear" w:color="auto" w:fill="FFFFFF"/>
        </w:rPr>
        <w:t>Heliyon</w:t>
      </w:r>
      <w:proofErr w:type="spellEnd"/>
      <w:r w:rsidRPr="009F737A">
        <w:rPr>
          <w:rFonts w:ascii="Arial" w:hAnsi="Arial" w:cs="Arial"/>
          <w:color w:val="222222"/>
          <w:sz w:val="20"/>
          <w:szCs w:val="20"/>
          <w:shd w:val="clear" w:color="auto" w:fill="FFFFFF"/>
        </w:rPr>
        <w:t>, </w:t>
      </w:r>
      <w:r w:rsidRPr="009F737A">
        <w:rPr>
          <w:rFonts w:ascii="Arial" w:hAnsi="Arial" w:cs="Arial"/>
          <w:i/>
          <w:iCs/>
          <w:color w:val="222222"/>
          <w:sz w:val="20"/>
          <w:szCs w:val="20"/>
          <w:shd w:val="clear" w:color="auto" w:fill="FFFFFF"/>
        </w:rPr>
        <w:t>10</w:t>
      </w:r>
      <w:r w:rsidRPr="009F737A">
        <w:rPr>
          <w:rFonts w:ascii="Arial" w:hAnsi="Arial" w:cs="Arial"/>
          <w:color w:val="222222"/>
          <w:sz w:val="20"/>
          <w:szCs w:val="20"/>
          <w:shd w:val="clear" w:color="auto" w:fill="FFFFFF"/>
        </w:rPr>
        <w:t xml:space="preserve">(15). </w:t>
      </w:r>
      <w:hyperlink r:id="rId14" w:history="1">
        <w:r w:rsidRPr="009F737A">
          <w:rPr>
            <w:rStyle w:val="Hyperlink"/>
            <w:rFonts w:ascii="Arial" w:hAnsi="Arial" w:cs="Arial"/>
            <w:sz w:val="20"/>
            <w:szCs w:val="20"/>
            <w:shd w:val="clear" w:color="auto" w:fill="FFFFFF"/>
          </w:rPr>
          <w:t>https://doi.org/10.1016/j.heliyon.2024.e35134</w:t>
        </w:r>
      </w:hyperlink>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t xml:space="preserve">Kumar, S.N., Aggarwal, P.K., Rani, D.S., Saxena, R., Chauhan, N., and Jain, S. (2014). Vulnerability of wheat production to climate change in India. Climate Research, 59(3): 173–187. </w:t>
      </w:r>
    </w:p>
    <w:p w:rsidR="00EA191B" w:rsidRPr="009F737A" w:rsidRDefault="00EA191B" w:rsidP="00EA191B">
      <w:pPr>
        <w:spacing w:after="0" w:line="480" w:lineRule="auto"/>
        <w:jc w:val="both"/>
        <w:rPr>
          <w:rFonts w:ascii="Arial" w:hAnsi="Arial" w:cs="Arial"/>
          <w:color w:val="222222"/>
          <w:sz w:val="20"/>
          <w:szCs w:val="20"/>
          <w:shd w:val="clear" w:color="auto" w:fill="FFFFFF"/>
        </w:rPr>
      </w:pPr>
      <w:proofErr w:type="spellStart"/>
      <w:r w:rsidRPr="009F737A">
        <w:rPr>
          <w:rFonts w:ascii="Arial" w:hAnsi="Arial" w:cs="Arial"/>
          <w:sz w:val="20"/>
          <w:szCs w:val="20"/>
        </w:rPr>
        <w:t>Nagendiran</w:t>
      </w:r>
      <w:proofErr w:type="spellEnd"/>
      <w:r w:rsidRPr="009F737A">
        <w:rPr>
          <w:rFonts w:ascii="Arial" w:hAnsi="Arial" w:cs="Arial"/>
          <w:sz w:val="20"/>
          <w:szCs w:val="20"/>
        </w:rPr>
        <w:t xml:space="preserve">, K. and Sathya, R. (2024). Economic Impacts of Climate Change on Indian Farmers and Rural Livelihoods. </w:t>
      </w:r>
      <w:r w:rsidRPr="009F737A">
        <w:rPr>
          <w:rFonts w:ascii="Arial" w:hAnsi="Arial" w:cs="Arial"/>
          <w:i/>
          <w:sz w:val="20"/>
          <w:szCs w:val="20"/>
        </w:rPr>
        <w:t>International Journal for Multidisciplinary Research</w:t>
      </w:r>
      <w:r w:rsidRPr="009F737A">
        <w:rPr>
          <w:rFonts w:ascii="Arial" w:hAnsi="Arial" w:cs="Arial"/>
          <w:sz w:val="20"/>
          <w:szCs w:val="20"/>
        </w:rPr>
        <w:t>, 6(6): 1-6</w:t>
      </w:r>
    </w:p>
    <w:p w:rsidR="00EA191B" w:rsidRPr="009F737A" w:rsidRDefault="00EA191B" w:rsidP="00EA191B">
      <w:pPr>
        <w:spacing w:after="0" w:line="480" w:lineRule="auto"/>
        <w:jc w:val="both"/>
        <w:rPr>
          <w:rFonts w:ascii="Arial" w:hAnsi="Arial" w:cs="Arial"/>
          <w:sz w:val="20"/>
          <w:szCs w:val="20"/>
        </w:rPr>
      </w:pPr>
      <w:proofErr w:type="spellStart"/>
      <w:r w:rsidRPr="009F737A">
        <w:rPr>
          <w:rFonts w:ascii="Arial" w:hAnsi="Arial" w:cs="Arial"/>
          <w:sz w:val="20"/>
          <w:szCs w:val="20"/>
        </w:rPr>
        <w:t>Birthal</w:t>
      </w:r>
      <w:proofErr w:type="spellEnd"/>
      <w:r w:rsidRPr="009F737A">
        <w:rPr>
          <w:rFonts w:ascii="Arial" w:hAnsi="Arial" w:cs="Arial"/>
          <w:sz w:val="20"/>
          <w:szCs w:val="20"/>
        </w:rPr>
        <w:t>, P. S., Khan, T., Negi, D. S., &amp; Agarwal, S. (2014). Impact of climate change on yields of major food crops in India: Implications for food security. Agricultural Economics Research Review, 27(2): 145–155.</w:t>
      </w:r>
    </w:p>
    <w:p w:rsidR="00EA191B" w:rsidRPr="009F737A" w:rsidRDefault="00EA191B" w:rsidP="00EA191B">
      <w:pPr>
        <w:spacing w:after="0" w:line="480" w:lineRule="auto"/>
        <w:jc w:val="both"/>
        <w:rPr>
          <w:rFonts w:ascii="Arial" w:hAnsi="Arial" w:cs="Arial"/>
          <w:sz w:val="20"/>
          <w:szCs w:val="20"/>
        </w:rPr>
      </w:pPr>
      <w:proofErr w:type="spellStart"/>
      <w:r w:rsidRPr="009F737A">
        <w:rPr>
          <w:rFonts w:ascii="Arial" w:hAnsi="Arial" w:cs="Arial"/>
          <w:sz w:val="20"/>
          <w:szCs w:val="20"/>
        </w:rPr>
        <w:t>Jatav</w:t>
      </w:r>
      <w:proofErr w:type="spellEnd"/>
      <w:r w:rsidRPr="009F737A">
        <w:rPr>
          <w:rFonts w:ascii="Arial" w:hAnsi="Arial" w:cs="Arial"/>
          <w:sz w:val="20"/>
          <w:szCs w:val="20"/>
        </w:rPr>
        <w:t xml:space="preserve">, S. S. (2024). Farmers’ perception of climate change and livelihood vulnerability: a comparative study of Bundelkhand and Central regions of Uttar Pradesh, India. Discover Sustainability, 5(1): </w:t>
      </w:r>
      <w:proofErr w:type="gramStart"/>
      <w:r w:rsidRPr="009F737A">
        <w:rPr>
          <w:rFonts w:ascii="Arial" w:hAnsi="Arial" w:cs="Arial"/>
          <w:sz w:val="20"/>
          <w:szCs w:val="20"/>
        </w:rPr>
        <w:t>11..</w:t>
      </w:r>
      <w:proofErr w:type="gramEnd"/>
    </w:p>
    <w:p w:rsidR="00EA191B" w:rsidRPr="009F737A" w:rsidRDefault="00EA191B" w:rsidP="00EA191B">
      <w:pPr>
        <w:spacing w:after="0" w:line="480" w:lineRule="auto"/>
        <w:jc w:val="both"/>
        <w:rPr>
          <w:rFonts w:ascii="Arial" w:hAnsi="Arial" w:cs="Arial"/>
          <w:sz w:val="20"/>
          <w:szCs w:val="20"/>
        </w:rPr>
      </w:pPr>
      <w:proofErr w:type="spellStart"/>
      <w:r w:rsidRPr="009F737A">
        <w:rPr>
          <w:rFonts w:ascii="Arial" w:hAnsi="Arial" w:cs="Arial"/>
          <w:sz w:val="20"/>
          <w:szCs w:val="20"/>
        </w:rPr>
        <w:t>Sundaran</w:t>
      </w:r>
      <w:proofErr w:type="spellEnd"/>
      <w:r w:rsidRPr="009F737A">
        <w:rPr>
          <w:rFonts w:ascii="Arial" w:hAnsi="Arial" w:cs="Arial"/>
          <w:sz w:val="20"/>
          <w:szCs w:val="20"/>
        </w:rPr>
        <w:t xml:space="preserve">, N. K., Radhakrishnan, A., Ravindran, D., Bonny, B. </w:t>
      </w:r>
      <w:proofErr w:type="spellStart"/>
      <w:r w:rsidRPr="009F737A">
        <w:rPr>
          <w:rFonts w:ascii="Arial" w:hAnsi="Arial" w:cs="Arial"/>
          <w:sz w:val="20"/>
          <w:szCs w:val="20"/>
        </w:rPr>
        <w:t>P.and</w:t>
      </w:r>
      <w:proofErr w:type="spellEnd"/>
      <w:r w:rsidRPr="009F737A">
        <w:rPr>
          <w:rFonts w:ascii="Arial" w:hAnsi="Arial" w:cs="Arial"/>
          <w:sz w:val="20"/>
          <w:szCs w:val="20"/>
        </w:rPr>
        <w:t xml:space="preserve"> Nandini, N. V. (2024). Climate Change and Farmer Livelihoods in Wayanad, India: A Livelihood Vulnerability Index Assessment. Natural Hazards and Earth System Sciences Discussions, 1-23.</w:t>
      </w:r>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t xml:space="preserve">Swain, M., </w:t>
      </w:r>
      <w:proofErr w:type="spellStart"/>
      <w:r w:rsidRPr="009F737A">
        <w:rPr>
          <w:rFonts w:ascii="Arial" w:hAnsi="Arial" w:cs="Arial"/>
          <w:sz w:val="20"/>
          <w:szCs w:val="20"/>
        </w:rPr>
        <w:t>Kalamkar</w:t>
      </w:r>
      <w:proofErr w:type="spellEnd"/>
      <w:r w:rsidRPr="009F737A">
        <w:rPr>
          <w:rFonts w:ascii="Arial" w:hAnsi="Arial" w:cs="Arial"/>
          <w:sz w:val="20"/>
          <w:szCs w:val="20"/>
        </w:rPr>
        <w:t xml:space="preserve">, S. S., and Ojha, M. (2012). State of Rajasthan </w:t>
      </w:r>
      <w:proofErr w:type="spellStart"/>
      <w:r w:rsidRPr="009F737A">
        <w:rPr>
          <w:rFonts w:ascii="Arial" w:hAnsi="Arial" w:cs="Arial"/>
          <w:sz w:val="20"/>
          <w:szCs w:val="20"/>
        </w:rPr>
        <w:t>Agriculture.VallabhVidyanagar</w:t>
      </w:r>
      <w:proofErr w:type="spellEnd"/>
      <w:r w:rsidRPr="009F737A">
        <w:rPr>
          <w:rFonts w:ascii="Arial" w:hAnsi="Arial" w:cs="Arial"/>
          <w:sz w:val="20"/>
          <w:szCs w:val="20"/>
        </w:rPr>
        <w:t xml:space="preserve">, Anand District, Gujarat: </w:t>
      </w:r>
      <w:proofErr w:type="spellStart"/>
      <w:r w:rsidRPr="009F737A">
        <w:rPr>
          <w:rFonts w:ascii="Arial" w:hAnsi="Arial" w:cs="Arial"/>
          <w:sz w:val="20"/>
          <w:szCs w:val="20"/>
        </w:rPr>
        <w:t>Agro</w:t>
      </w:r>
      <w:proofErr w:type="spellEnd"/>
      <w:r w:rsidRPr="009F737A">
        <w:rPr>
          <w:rFonts w:ascii="Arial" w:hAnsi="Arial" w:cs="Arial"/>
          <w:sz w:val="20"/>
          <w:szCs w:val="20"/>
        </w:rPr>
        <w:t>-Economic Research Centre, Sardar Patel University.</w:t>
      </w:r>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lastRenderedPageBreak/>
        <w:t xml:space="preserve">Hahn, M. B., </w:t>
      </w:r>
      <w:proofErr w:type="spellStart"/>
      <w:r w:rsidRPr="009F737A">
        <w:rPr>
          <w:rFonts w:ascii="Arial" w:hAnsi="Arial" w:cs="Arial"/>
          <w:sz w:val="20"/>
          <w:szCs w:val="20"/>
        </w:rPr>
        <w:t>Riederer</w:t>
      </w:r>
      <w:proofErr w:type="spellEnd"/>
      <w:r w:rsidRPr="009F737A">
        <w:rPr>
          <w:rFonts w:ascii="Arial" w:hAnsi="Arial" w:cs="Arial"/>
          <w:sz w:val="20"/>
          <w:szCs w:val="20"/>
        </w:rPr>
        <w:t xml:space="preserve">, A. M. and Foster, S. O. (2009). The livelihood vulnerability index: A pragmatic approach to assessing risks from climate variability and change— A case study in Mozambique. Global Environmental Change, 19(1): 74–88. </w:t>
      </w:r>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t xml:space="preserve">Shah, K.U., </w:t>
      </w:r>
      <w:proofErr w:type="spellStart"/>
      <w:r w:rsidRPr="009F737A">
        <w:rPr>
          <w:rFonts w:ascii="Arial" w:hAnsi="Arial" w:cs="Arial"/>
          <w:sz w:val="20"/>
          <w:szCs w:val="20"/>
        </w:rPr>
        <w:t>Dulal</w:t>
      </w:r>
      <w:proofErr w:type="spellEnd"/>
      <w:r w:rsidRPr="009F737A">
        <w:rPr>
          <w:rFonts w:ascii="Arial" w:hAnsi="Arial" w:cs="Arial"/>
          <w:sz w:val="20"/>
          <w:szCs w:val="20"/>
        </w:rPr>
        <w:t xml:space="preserve">, H.B., Johnson, C. and Baptiste, A. (2013). Understanding livelihood vulnerability to climate change: Applying the livelihood vulnerability index in Trinidad and Tobago. </w:t>
      </w:r>
      <w:proofErr w:type="spellStart"/>
      <w:r w:rsidRPr="009F737A">
        <w:rPr>
          <w:rFonts w:ascii="Arial" w:hAnsi="Arial" w:cs="Arial"/>
          <w:sz w:val="20"/>
          <w:szCs w:val="20"/>
        </w:rPr>
        <w:t>Geoforum</w:t>
      </w:r>
      <w:proofErr w:type="spellEnd"/>
      <w:r w:rsidRPr="009F737A">
        <w:rPr>
          <w:rFonts w:ascii="Arial" w:hAnsi="Arial" w:cs="Arial"/>
          <w:sz w:val="20"/>
          <w:szCs w:val="20"/>
        </w:rPr>
        <w:t xml:space="preserve">, 47: 125–137. </w:t>
      </w:r>
    </w:p>
    <w:p w:rsidR="00EA191B" w:rsidRPr="009F737A" w:rsidRDefault="00EA191B" w:rsidP="00EA191B">
      <w:pPr>
        <w:spacing w:after="0" w:line="480" w:lineRule="auto"/>
        <w:jc w:val="both"/>
        <w:rPr>
          <w:rFonts w:ascii="Arial" w:hAnsi="Arial" w:cs="Arial"/>
          <w:sz w:val="20"/>
          <w:szCs w:val="20"/>
        </w:rPr>
      </w:pPr>
      <w:proofErr w:type="spellStart"/>
      <w:r w:rsidRPr="009F737A">
        <w:rPr>
          <w:rFonts w:ascii="Arial" w:hAnsi="Arial" w:cs="Arial"/>
          <w:sz w:val="20"/>
          <w:szCs w:val="20"/>
        </w:rPr>
        <w:t>Tatawat</w:t>
      </w:r>
      <w:proofErr w:type="spellEnd"/>
      <w:r w:rsidRPr="009F737A">
        <w:rPr>
          <w:rFonts w:ascii="Arial" w:hAnsi="Arial" w:cs="Arial"/>
          <w:sz w:val="20"/>
          <w:szCs w:val="20"/>
        </w:rPr>
        <w:t xml:space="preserve">, R. K. and Singh </w:t>
      </w:r>
      <w:proofErr w:type="spellStart"/>
      <w:r w:rsidRPr="009F737A">
        <w:rPr>
          <w:rFonts w:ascii="Arial" w:hAnsi="Arial" w:cs="Arial"/>
          <w:sz w:val="20"/>
          <w:szCs w:val="20"/>
        </w:rPr>
        <w:t>Chandel</w:t>
      </w:r>
      <w:proofErr w:type="spellEnd"/>
      <w:r w:rsidRPr="009F737A">
        <w:rPr>
          <w:rFonts w:ascii="Arial" w:hAnsi="Arial" w:cs="Arial"/>
          <w:sz w:val="20"/>
          <w:szCs w:val="20"/>
        </w:rPr>
        <w:t xml:space="preserve">, C.P. (2008). Quality of ground water of Jaipur city, Rajasthan (India) and its suitability for domestic and irrigation purpose. Applied Ecology and Environmental Research, 6: 79-88. </w:t>
      </w:r>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t xml:space="preserve">Saxena, A. and </w:t>
      </w:r>
      <w:proofErr w:type="spellStart"/>
      <w:r w:rsidRPr="009F737A">
        <w:rPr>
          <w:rFonts w:ascii="Arial" w:hAnsi="Arial" w:cs="Arial"/>
          <w:sz w:val="20"/>
          <w:szCs w:val="20"/>
        </w:rPr>
        <w:t>Chandela</w:t>
      </w:r>
      <w:proofErr w:type="spellEnd"/>
      <w:r w:rsidRPr="009F737A">
        <w:rPr>
          <w:rFonts w:ascii="Arial" w:hAnsi="Arial" w:cs="Arial"/>
          <w:sz w:val="20"/>
          <w:szCs w:val="20"/>
        </w:rPr>
        <w:t xml:space="preserve">, A.K.S. (2024). An analysis of water supply system in Jaipur city: Problems and prospects. International Journal of Geography, Geology and Environment, 7(1): 8-14. </w:t>
      </w:r>
      <w:hyperlink r:id="rId15" w:history="1">
        <w:r w:rsidRPr="009F737A">
          <w:rPr>
            <w:rStyle w:val="Hyperlink"/>
            <w:rFonts w:ascii="Arial" w:hAnsi="Arial" w:cs="Arial"/>
            <w:sz w:val="20"/>
            <w:szCs w:val="20"/>
          </w:rPr>
          <w:t>https://doi.org/10.22271/27067483.2025.v7.i1a.323</w:t>
        </w:r>
      </w:hyperlink>
      <w:r w:rsidRPr="009F737A">
        <w:rPr>
          <w:rFonts w:ascii="Arial" w:hAnsi="Arial" w:cs="Arial"/>
          <w:sz w:val="20"/>
          <w:szCs w:val="20"/>
        </w:rPr>
        <w:t>.</w:t>
      </w:r>
    </w:p>
    <w:p w:rsidR="00EA191B" w:rsidRPr="009F737A" w:rsidRDefault="00EA191B" w:rsidP="00EA191B">
      <w:pPr>
        <w:spacing w:after="0" w:line="480" w:lineRule="auto"/>
        <w:jc w:val="both"/>
        <w:rPr>
          <w:rFonts w:ascii="Arial" w:hAnsi="Arial" w:cs="Arial"/>
          <w:sz w:val="20"/>
          <w:szCs w:val="20"/>
        </w:rPr>
      </w:pPr>
      <w:proofErr w:type="spellStart"/>
      <w:r w:rsidRPr="009F737A">
        <w:rPr>
          <w:rFonts w:ascii="Arial" w:hAnsi="Arial" w:cs="Arial"/>
          <w:sz w:val="20"/>
          <w:szCs w:val="20"/>
        </w:rPr>
        <w:t>Jatav</w:t>
      </w:r>
      <w:proofErr w:type="spellEnd"/>
      <w:r w:rsidRPr="009F737A">
        <w:rPr>
          <w:rFonts w:ascii="Arial" w:hAnsi="Arial" w:cs="Arial"/>
          <w:sz w:val="20"/>
          <w:szCs w:val="20"/>
        </w:rPr>
        <w:t xml:space="preserve">, S.S., Nayak S., Singh, N.P. and Naik, K. (2022).  Measuring and Mapping Food Security Status of Rajasthan, India: A District-Level Analysis. Frontier in Sustainable Food System, 6:831396. </w:t>
      </w:r>
      <w:proofErr w:type="spellStart"/>
      <w:r w:rsidRPr="009F737A">
        <w:rPr>
          <w:rFonts w:ascii="Arial" w:hAnsi="Arial" w:cs="Arial"/>
          <w:sz w:val="20"/>
          <w:szCs w:val="20"/>
        </w:rPr>
        <w:t>doi</w:t>
      </w:r>
      <w:proofErr w:type="spellEnd"/>
      <w:r w:rsidRPr="009F737A">
        <w:rPr>
          <w:rFonts w:ascii="Arial" w:hAnsi="Arial" w:cs="Arial"/>
          <w:sz w:val="20"/>
          <w:szCs w:val="20"/>
        </w:rPr>
        <w:t>: 10.3389/fsufs.2022.831396.</w:t>
      </w:r>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t xml:space="preserve">Mahapatra, B., </w:t>
      </w:r>
      <w:proofErr w:type="spellStart"/>
      <w:r w:rsidRPr="009F737A">
        <w:rPr>
          <w:rFonts w:ascii="Arial" w:hAnsi="Arial" w:cs="Arial"/>
          <w:sz w:val="20"/>
          <w:szCs w:val="20"/>
        </w:rPr>
        <w:t>Walia</w:t>
      </w:r>
      <w:proofErr w:type="spellEnd"/>
      <w:r w:rsidRPr="009F737A">
        <w:rPr>
          <w:rFonts w:ascii="Arial" w:hAnsi="Arial" w:cs="Arial"/>
          <w:sz w:val="20"/>
          <w:szCs w:val="20"/>
        </w:rPr>
        <w:t xml:space="preserve">, M., Rao, C. A. R., Raju, B. M. K., and </w:t>
      </w:r>
      <w:proofErr w:type="spellStart"/>
      <w:r w:rsidRPr="009F737A">
        <w:rPr>
          <w:rFonts w:ascii="Arial" w:hAnsi="Arial" w:cs="Arial"/>
          <w:sz w:val="20"/>
          <w:szCs w:val="20"/>
        </w:rPr>
        <w:t>Saggurti</w:t>
      </w:r>
      <w:proofErr w:type="spellEnd"/>
      <w:r w:rsidRPr="009F737A">
        <w:rPr>
          <w:rFonts w:ascii="Arial" w:hAnsi="Arial" w:cs="Arial"/>
          <w:sz w:val="20"/>
          <w:szCs w:val="20"/>
        </w:rPr>
        <w:t xml:space="preserve">, N. (2021). Vulnerability of agriculture to climate change increases the risk of child malnutrition: Evidence from a large-scale observational study in India. </w:t>
      </w:r>
      <w:proofErr w:type="spellStart"/>
      <w:r w:rsidRPr="009F737A">
        <w:rPr>
          <w:rFonts w:ascii="Arial" w:hAnsi="Arial" w:cs="Arial"/>
          <w:sz w:val="20"/>
          <w:szCs w:val="20"/>
        </w:rPr>
        <w:t>PloS</w:t>
      </w:r>
      <w:proofErr w:type="spellEnd"/>
      <w:r w:rsidRPr="009F737A">
        <w:rPr>
          <w:rFonts w:ascii="Arial" w:hAnsi="Arial" w:cs="Arial"/>
          <w:sz w:val="20"/>
          <w:szCs w:val="20"/>
        </w:rPr>
        <w:t xml:space="preserve"> one: 16(6)</w:t>
      </w:r>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t>Reddy, K. R. and Reddy, T. C. S. (2015). Indebtedness and financial inclusion among the tribal: An experience of woman self-help group member households in Andhra Pradesh. The Microfinance Review, 7(1):1–18.</w:t>
      </w:r>
    </w:p>
    <w:p w:rsidR="00EA191B" w:rsidRPr="009F737A" w:rsidRDefault="00EA191B" w:rsidP="00EA191B">
      <w:pPr>
        <w:spacing w:after="0" w:line="480" w:lineRule="auto"/>
        <w:jc w:val="both"/>
        <w:rPr>
          <w:rFonts w:ascii="Arial" w:hAnsi="Arial" w:cs="Arial"/>
          <w:sz w:val="20"/>
          <w:szCs w:val="20"/>
        </w:rPr>
      </w:pPr>
      <w:r w:rsidRPr="009F737A">
        <w:rPr>
          <w:rFonts w:ascii="Arial" w:hAnsi="Arial" w:cs="Arial"/>
          <w:sz w:val="20"/>
          <w:szCs w:val="20"/>
        </w:rPr>
        <w:t xml:space="preserve">Shamshad and </w:t>
      </w:r>
      <w:proofErr w:type="spellStart"/>
      <w:r w:rsidRPr="009F737A">
        <w:rPr>
          <w:rFonts w:ascii="Arial" w:hAnsi="Arial" w:cs="Arial"/>
          <w:sz w:val="20"/>
          <w:szCs w:val="20"/>
        </w:rPr>
        <w:t>Chaplot</w:t>
      </w:r>
      <w:proofErr w:type="spellEnd"/>
      <w:r w:rsidRPr="009F737A">
        <w:rPr>
          <w:rFonts w:ascii="Arial" w:hAnsi="Arial" w:cs="Arial"/>
          <w:sz w:val="20"/>
          <w:szCs w:val="20"/>
        </w:rPr>
        <w:t>, B. (2018). WATER CONDITIONS IN UDAIPUR: THE CITY OF LAKES</w:t>
      </w:r>
      <w:r w:rsidRPr="009F737A">
        <w:rPr>
          <w:rFonts w:ascii="Arial" w:hAnsi="Arial" w:cs="Arial"/>
          <w:i/>
          <w:sz w:val="20"/>
          <w:szCs w:val="20"/>
        </w:rPr>
        <w:t>. Indian Journal of Regional Science</w:t>
      </w:r>
      <w:r w:rsidRPr="009F737A">
        <w:rPr>
          <w:rFonts w:ascii="Arial" w:hAnsi="Arial" w:cs="Arial"/>
          <w:sz w:val="20"/>
          <w:szCs w:val="20"/>
        </w:rPr>
        <w:t>, 1(1): 129-137.</w:t>
      </w:r>
    </w:p>
    <w:p w:rsidR="0053330E" w:rsidRPr="0053330E" w:rsidRDefault="0053330E" w:rsidP="006D3B83">
      <w:pPr>
        <w:tabs>
          <w:tab w:val="left" w:pos="2927"/>
        </w:tabs>
        <w:spacing w:after="0" w:line="480" w:lineRule="auto"/>
        <w:jc w:val="both"/>
        <w:rPr>
          <w:rFonts w:ascii="Arial" w:hAnsi="Arial" w:cs="Arial"/>
          <w:sz w:val="20"/>
          <w:szCs w:val="20"/>
        </w:rPr>
      </w:pPr>
    </w:p>
    <w:p w:rsidR="00001F08" w:rsidRPr="006D4AEB" w:rsidRDefault="006D4AEB" w:rsidP="008F2809">
      <w:pPr>
        <w:tabs>
          <w:tab w:val="left" w:pos="2927"/>
        </w:tabs>
        <w:spacing w:line="480" w:lineRule="auto"/>
        <w:jc w:val="both"/>
        <w:rPr>
          <w:rFonts w:ascii="Arial" w:hAnsi="Arial" w:cs="Arial"/>
          <w:b/>
        </w:rPr>
      </w:pPr>
      <w:r w:rsidRPr="006D4AEB">
        <w:rPr>
          <w:rFonts w:ascii="Arial" w:hAnsi="Arial" w:cs="Arial"/>
          <w:b/>
        </w:rPr>
        <w:tab/>
      </w:r>
    </w:p>
    <w:p w:rsidR="00357972" w:rsidRPr="00F67ECB" w:rsidRDefault="00357972" w:rsidP="008F2809">
      <w:pPr>
        <w:spacing w:line="480" w:lineRule="auto"/>
        <w:jc w:val="both"/>
        <w:rPr>
          <w:rFonts w:ascii="Times New Roman" w:hAnsi="Times New Roman" w:cs="Times New Roman"/>
          <w:color w:val="222222"/>
          <w:sz w:val="24"/>
          <w:szCs w:val="24"/>
          <w:shd w:val="clear" w:color="auto" w:fill="FFFFFF"/>
        </w:rPr>
      </w:pPr>
    </w:p>
    <w:p w:rsidR="00A449A5" w:rsidRPr="00A449A5" w:rsidRDefault="00A449A5" w:rsidP="008F2809">
      <w:pPr>
        <w:spacing w:line="480" w:lineRule="auto"/>
        <w:jc w:val="both"/>
        <w:rPr>
          <w:rFonts w:ascii="Arial" w:hAnsi="Arial" w:cs="Arial"/>
          <w:bCs/>
          <w:sz w:val="24"/>
        </w:rPr>
      </w:pPr>
    </w:p>
    <w:p w:rsidR="00A449A5" w:rsidRPr="00EC45E0" w:rsidRDefault="00A449A5" w:rsidP="008F2809">
      <w:pPr>
        <w:spacing w:line="480" w:lineRule="auto"/>
        <w:jc w:val="both"/>
        <w:rPr>
          <w:rFonts w:ascii="Arial" w:hAnsi="Arial" w:cs="Arial"/>
          <w:sz w:val="24"/>
        </w:rPr>
      </w:pPr>
    </w:p>
    <w:sectPr w:rsidR="00A449A5" w:rsidRPr="00EC45E0" w:rsidSect="00A740A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973" w:rsidRDefault="00472973" w:rsidP="00E7277C">
      <w:pPr>
        <w:spacing w:after="0" w:line="240" w:lineRule="auto"/>
      </w:pPr>
      <w:r>
        <w:separator/>
      </w:r>
    </w:p>
  </w:endnote>
  <w:endnote w:type="continuationSeparator" w:id="0">
    <w:p w:rsidR="00472973" w:rsidRDefault="00472973" w:rsidP="00E7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1A" w:rsidRDefault="00FF2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1A" w:rsidRDefault="00FF2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1A" w:rsidRDefault="00FF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973" w:rsidRDefault="00472973" w:rsidP="00E7277C">
      <w:pPr>
        <w:spacing w:after="0" w:line="240" w:lineRule="auto"/>
      </w:pPr>
      <w:r>
        <w:separator/>
      </w:r>
    </w:p>
  </w:footnote>
  <w:footnote w:type="continuationSeparator" w:id="0">
    <w:p w:rsidR="00472973" w:rsidRDefault="00472973" w:rsidP="00E7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1A" w:rsidRDefault="00472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1A" w:rsidRDefault="00472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1A" w:rsidRDefault="00472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9A6"/>
    <w:multiLevelType w:val="hybridMultilevel"/>
    <w:tmpl w:val="6B749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77E5"/>
    <w:multiLevelType w:val="hybridMultilevel"/>
    <w:tmpl w:val="9CF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E4724"/>
    <w:multiLevelType w:val="hybridMultilevel"/>
    <w:tmpl w:val="0CA8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A6BC8"/>
    <w:multiLevelType w:val="hybridMultilevel"/>
    <w:tmpl w:val="0FE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7440E"/>
    <w:multiLevelType w:val="hybridMultilevel"/>
    <w:tmpl w:val="32E86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F14BB"/>
    <w:multiLevelType w:val="hybridMultilevel"/>
    <w:tmpl w:val="9CF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A7B"/>
    <w:rsid w:val="00001D9E"/>
    <w:rsid w:val="00001F08"/>
    <w:rsid w:val="00003514"/>
    <w:rsid w:val="000358CE"/>
    <w:rsid w:val="00061438"/>
    <w:rsid w:val="000763A6"/>
    <w:rsid w:val="000C1838"/>
    <w:rsid w:val="00114E98"/>
    <w:rsid w:val="00133D9F"/>
    <w:rsid w:val="00176198"/>
    <w:rsid w:val="001B19B0"/>
    <w:rsid w:val="001B1B7A"/>
    <w:rsid w:val="001C416A"/>
    <w:rsid w:val="001D1070"/>
    <w:rsid w:val="00201C83"/>
    <w:rsid w:val="00276D60"/>
    <w:rsid w:val="00295E9F"/>
    <w:rsid w:val="002A43A4"/>
    <w:rsid w:val="002A5AA7"/>
    <w:rsid w:val="002B45C6"/>
    <w:rsid w:val="002B645C"/>
    <w:rsid w:val="002B6A50"/>
    <w:rsid w:val="00357972"/>
    <w:rsid w:val="00365606"/>
    <w:rsid w:val="003B5DFA"/>
    <w:rsid w:val="003B74CE"/>
    <w:rsid w:val="003C00C3"/>
    <w:rsid w:val="003D40A8"/>
    <w:rsid w:val="003F2586"/>
    <w:rsid w:val="003F28B7"/>
    <w:rsid w:val="003F59BC"/>
    <w:rsid w:val="00404D44"/>
    <w:rsid w:val="004708FB"/>
    <w:rsid w:val="00472973"/>
    <w:rsid w:val="004C00CD"/>
    <w:rsid w:val="004C058B"/>
    <w:rsid w:val="00520E26"/>
    <w:rsid w:val="00531C92"/>
    <w:rsid w:val="0053330E"/>
    <w:rsid w:val="0056301D"/>
    <w:rsid w:val="00564DE6"/>
    <w:rsid w:val="0056752A"/>
    <w:rsid w:val="0057117B"/>
    <w:rsid w:val="005A0A7B"/>
    <w:rsid w:val="005B3504"/>
    <w:rsid w:val="005C5040"/>
    <w:rsid w:val="005D69A2"/>
    <w:rsid w:val="005E2C0A"/>
    <w:rsid w:val="005E5C8E"/>
    <w:rsid w:val="005F6772"/>
    <w:rsid w:val="005F6B34"/>
    <w:rsid w:val="005F7027"/>
    <w:rsid w:val="006042EF"/>
    <w:rsid w:val="0061168B"/>
    <w:rsid w:val="00614167"/>
    <w:rsid w:val="0061679C"/>
    <w:rsid w:val="00633436"/>
    <w:rsid w:val="00691581"/>
    <w:rsid w:val="00692A40"/>
    <w:rsid w:val="006942C3"/>
    <w:rsid w:val="006D3B83"/>
    <w:rsid w:val="006D4AEB"/>
    <w:rsid w:val="00704B97"/>
    <w:rsid w:val="007315F8"/>
    <w:rsid w:val="007D46AB"/>
    <w:rsid w:val="007D57E0"/>
    <w:rsid w:val="007D6443"/>
    <w:rsid w:val="00805F25"/>
    <w:rsid w:val="0081552C"/>
    <w:rsid w:val="0083301A"/>
    <w:rsid w:val="008379F6"/>
    <w:rsid w:val="00846270"/>
    <w:rsid w:val="008543E0"/>
    <w:rsid w:val="00865FE6"/>
    <w:rsid w:val="00877B9B"/>
    <w:rsid w:val="00886C8B"/>
    <w:rsid w:val="008F2809"/>
    <w:rsid w:val="009043F7"/>
    <w:rsid w:val="00905D86"/>
    <w:rsid w:val="009279D6"/>
    <w:rsid w:val="009451D1"/>
    <w:rsid w:val="0096026A"/>
    <w:rsid w:val="009604DB"/>
    <w:rsid w:val="00966E9A"/>
    <w:rsid w:val="009B2FA1"/>
    <w:rsid w:val="009E4755"/>
    <w:rsid w:val="009F34AA"/>
    <w:rsid w:val="00A01BA4"/>
    <w:rsid w:val="00A265D0"/>
    <w:rsid w:val="00A449A5"/>
    <w:rsid w:val="00A462EB"/>
    <w:rsid w:val="00A65D6F"/>
    <w:rsid w:val="00A740AB"/>
    <w:rsid w:val="00A90276"/>
    <w:rsid w:val="00AD6B9F"/>
    <w:rsid w:val="00AF5D15"/>
    <w:rsid w:val="00B16E06"/>
    <w:rsid w:val="00B219A8"/>
    <w:rsid w:val="00B66465"/>
    <w:rsid w:val="00B76891"/>
    <w:rsid w:val="00B849AD"/>
    <w:rsid w:val="00BB778A"/>
    <w:rsid w:val="00C02661"/>
    <w:rsid w:val="00C2125A"/>
    <w:rsid w:val="00C23E7F"/>
    <w:rsid w:val="00C35DE6"/>
    <w:rsid w:val="00C924D1"/>
    <w:rsid w:val="00C9356C"/>
    <w:rsid w:val="00CA621E"/>
    <w:rsid w:val="00CD4AA7"/>
    <w:rsid w:val="00D47238"/>
    <w:rsid w:val="00D504AE"/>
    <w:rsid w:val="00D745F1"/>
    <w:rsid w:val="00D82FAF"/>
    <w:rsid w:val="00D938F5"/>
    <w:rsid w:val="00DC1066"/>
    <w:rsid w:val="00DC6410"/>
    <w:rsid w:val="00E06845"/>
    <w:rsid w:val="00E0730F"/>
    <w:rsid w:val="00E56F7C"/>
    <w:rsid w:val="00E7277C"/>
    <w:rsid w:val="00E976DE"/>
    <w:rsid w:val="00EA191B"/>
    <w:rsid w:val="00EA1A33"/>
    <w:rsid w:val="00EA48B7"/>
    <w:rsid w:val="00EA493D"/>
    <w:rsid w:val="00EC45E0"/>
    <w:rsid w:val="00EC7E60"/>
    <w:rsid w:val="00ED1296"/>
    <w:rsid w:val="00EE46FF"/>
    <w:rsid w:val="00F21985"/>
    <w:rsid w:val="00F21D3E"/>
    <w:rsid w:val="00F37C59"/>
    <w:rsid w:val="00F67ECB"/>
    <w:rsid w:val="00FD0DE9"/>
    <w:rsid w:val="00FD6E43"/>
    <w:rsid w:val="00FF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CD0AE2"/>
  <w15:docId w15:val="{69D8A77B-0CFC-4A75-9381-DC8F0AF1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4A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20E26"/>
    <w:pPr>
      <w:spacing w:after="0" w:line="240" w:lineRule="auto"/>
    </w:pPr>
    <w:rPr>
      <w:rFonts w:ascii="Times New Roman" w:eastAsia="Calibri" w:hAnsi="Times New Roman"/>
      <w:sz w:val="24"/>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2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26"/>
    <w:rPr>
      <w:rFonts w:ascii="Tahoma" w:eastAsiaTheme="minorEastAsia" w:hAnsi="Tahoma" w:cs="Tahoma"/>
      <w:sz w:val="16"/>
      <w:szCs w:val="16"/>
      <w:lang w:val="en-US"/>
    </w:rPr>
  </w:style>
  <w:style w:type="character" w:styleId="Emphasis">
    <w:name w:val="Emphasis"/>
    <w:basedOn w:val="DefaultParagraphFont"/>
    <w:uiPriority w:val="20"/>
    <w:qFormat/>
    <w:rsid w:val="00520E26"/>
    <w:rPr>
      <w:i/>
      <w:iCs/>
    </w:rPr>
  </w:style>
  <w:style w:type="character" w:styleId="Strong">
    <w:name w:val="Strong"/>
    <w:basedOn w:val="DefaultParagraphFont"/>
    <w:uiPriority w:val="22"/>
    <w:qFormat/>
    <w:rsid w:val="00520E26"/>
    <w:rPr>
      <w:b/>
      <w:bCs/>
    </w:rPr>
  </w:style>
  <w:style w:type="table" w:customStyle="1" w:styleId="TableGrid2">
    <w:name w:val="Table Grid2"/>
    <w:basedOn w:val="TableNormal"/>
    <w:next w:val="TableGrid"/>
    <w:uiPriority w:val="59"/>
    <w:rsid w:val="00EC45E0"/>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5FE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E72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77C"/>
    <w:rPr>
      <w:rFonts w:eastAsiaTheme="minorEastAsia"/>
      <w:lang w:val="en-US"/>
    </w:rPr>
  </w:style>
  <w:style w:type="paragraph" w:styleId="Footer">
    <w:name w:val="footer"/>
    <w:basedOn w:val="Normal"/>
    <w:link w:val="FooterChar"/>
    <w:uiPriority w:val="99"/>
    <w:unhideWhenUsed/>
    <w:rsid w:val="00E72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77C"/>
    <w:rPr>
      <w:rFonts w:eastAsiaTheme="minorEastAsia"/>
      <w:lang w:val="en-US"/>
    </w:rPr>
  </w:style>
  <w:style w:type="character" w:styleId="Hyperlink">
    <w:name w:val="Hyperlink"/>
    <w:basedOn w:val="DefaultParagraphFont"/>
    <w:uiPriority w:val="99"/>
    <w:unhideWhenUsed/>
    <w:rsid w:val="00E7277C"/>
    <w:rPr>
      <w:color w:val="0000FF" w:themeColor="hyperlink"/>
      <w:u w:val="single"/>
    </w:rPr>
  </w:style>
  <w:style w:type="character" w:customStyle="1" w:styleId="UnresolvedMention1">
    <w:name w:val="Unresolved Mention1"/>
    <w:basedOn w:val="DefaultParagraphFont"/>
    <w:uiPriority w:val="99"/>
    <w:semiHidden/>
    <w:unhideWhenUsed/>
    <w:rsid w:val="009B2FA1"/>
    <w:rPr>
      <w:color w:val="605E5C"/>
      <w:shd w:val="clear" w:color="auto" w:fill="E1DFDD"/>
    </w:rPr>
  </w:style>
  <w:style w:type="paragraph" w:styleId="ListParagraph">
    <w:name w:val="List Paragraph"/>
    <w:basedOn w:val="Normal"/>
    <w:uiPriority w:val="34"/>
    <w:qFormat/>
    <w:rsid w:val="003F59BC"/>
    <w:pPr>
      <w:ind w:left="720"/>
      <w:contextualSpacing/>
    </w:pPr>
  </w:style>
  <w:style w:type="character" w:styleId="CommentReference">
    <w:name w:val="annotation reference"/>
    <w:basedOn w:val="DefaultParagraphFont"/>
    <w:uiPriority w:val="99"/>
    <w:semiHidden/>
    <w:unhideWhenUsed/>
    <w:rsid w:val="00B66465"/>
    <w:rPr>
      <w:sz w:val="16"/>
      <w:szCs w:val="16"/>
    </w:rPr>
  </w:style>
  <w:style w:type="paragraph" w:styleId="CommentText">
    <w:name w:val="annotation text"/>
    <w:basedOn w:val="Normal"/>
    <w:link w:val="CommentTextChar"/>
    <w:uiPriority w:val="99"/>
    <w:semiHidden/>
    <w:unhideWhenUsed/>
    <w:rsid w:val="00B66465"/>
    <w:pPr>
      <w:spacing w:line="240" w:lineRule="auto"/>
    </w:pPr>
    <w:rPr>
      <w:sz w:val="20"/>
      <w:szCs w:val="20"/>
    </w:rPr>
  </w:style>
  <w:style w:type="character" w:customStyle="1" w:styleId="CommentTextChar">
    <w:name w:val="Comment Text Char"/>
    <w:basedOn w:val="DefaultParagraphFont"/>
    <w:link w:val="CommentText"/>
    <w:uiPriority w:val="99"/>
    <w:semiHidden/>
    <w:rsid w:val="00B6646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66465"/>
    <w:rPr>
      <w:b/>
      <w:bCs/>
    </w:rPr>
  </w:style>
  <w:style w:type="character" w:customStyle="1" w:styleId="CommentSubjectChar">
    <w:name w:val="Comment Subject Char"/>
    <w:basedOn w:val="CommentTextChar"/>
    <w:link w:val="CommentSubject"/>
    <w:uiPriority w:val="99"/>
    <w:semiHidden/>
    <w:rsid w:val="00B66465"/>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356">
      <w:bodyDiv w:val="1"/>
      <w:marLeft w:val="0"/>
      <w:marRight w:val="0"/>
      <w:marTop w:val="0"/>
      <w:marBottom w:val="0"/>
      <w:divBdr>
        <w:top w:val="none" w:sz="0" w:space="0" w:color="auto"/>
        <w:left w:val="none" w:sz="0" w:space="0" w:color="auto"/>
        <w:bottom w:val="none" w:sz="0" w:space="0" w:color="auto"/>
        <w:right w:val="none" w:sz="0" w:space="0" w:color="auto"/>
      </w:divBdr>
    </w:div>
    <w:div w:id="239605371">
      <w:bodyDiv w:val="1"/>
      <w:marLeft w:val="0"/>
      <w:marRight w:val="0"/>
      <w:marTop w:val="0"/>
      <w:marBottom w:val="0"/>
      <w:divBdr>
        <w:top w:val="none" w:sz="0" w:space="0" w:color="auto"/>
        <w:left w:val="none" w:sz="0" w:space="0" w:color="auto"/>
        <w:bottom w:val="none" w:sz="0" w:space="0" w:color="auto"/>
        <w:right w:val="none" w:sz="0" w:space="0" w:color="auto"/>
      </w:divBdr>
      <w:divsChild>
        <w:div w:id="1509128671">
          <w:marLeft w:val="0"/>
          <w:marRight w:val="0"/>
          <w:marTop w:val="0"/>
          <w:marBottom w:val="0"/>
          <w:divBdr>
            <w:top w:val="none" w:sz="0" w:space="0" w:color="auto"/>
            <w:left w:val="none" w:sz="0" w:space="0" w:color="auto"/>
            <w:bottom w:val="none" w:sz="0" w:space="0" w:color="auto"/>
            <w:right w:val="none" w:sz="0" w:space="0" w:color="auto"/>
          </w:divBdr>
          <w:divsChild>
            <w:div w:id="1675565961">
              <w:marLeft w:val="0"/>
              <w:marRight w:val="0"/>
              <w:marTop w:val="0"/>
              <w:marBottom w:val="0"/>
              <w:divBdr>
                <w:top w:val="none" w:sz="0" w:space="0" w:color="auto"/>
                <w:left w:val="none" w:sz="0" w:space="0" w:color="auto"/>
                <w:bottom w:val="none" w:sz="0" w:space="0" w:color="auto"/>
                <w:right w:val="none" w:sz="0" w:space="0" w:color="auto"/>
              </w:divBdr>
              <w:divsChild>
                <w:div w:id="1846284298">
                  <w:marLeft w:val="0"/>
                  <w:marRight w:val="0"/>
                  <w:marTop w:val="0"/>
                  <w:marBottom w:val="0"/>
                  <w:divBdr>
                    <w:top w:val="none" w:sz="0" w:space="0" w:color="auto"/>
                    <w:left w:val="none" w:sz="0" w:space="0" w:color="auto"/>
                    <w:bottom w:val="none" w:sz="0" w:space="0" w:color="auto"/>
                    <w:right w:val="none" w:sz="0" w:space="0" w:color="auto"/>
                  </w:divBdr>
                  <w:divsChild>
                    <w:div w:id="1214148498">
                      <w:marLeft w:val="0"/>
                      <w:marRight w:val="0"/>
                      <w:marTop w:val="0"/>
                      <w:marBottom w:val="0"/>
                      <w:divBdr>
                        <w:top w:val="none" w:sz="0" w:space="0" w:color="auto"/>
                        <w:left w:val="none" w:sz="0" w:space="0" w:color="auto"/>
                        <w:bottom w:val="none" w:sz="0" w:space="0" w:color="auto"/>
                        <w:right w:val="none" w:sz="0" w:space="0" w:color="auto"/>
                      </w:divBdr>
                      <w:divsChild>
                        <w:div w:id="342243327">
                          <w:marLeft w:val="0"/>
                          <w:marRight w:val="0"/>
                          <w:marTop w:val="0"/>
                          <w:marBottom w:val="0"/>
                          <w:divBdr>
                            <w:top w:val="none" w:sz="0" w:space="0" w:color="auto"/>
                            <w:left w:val="none" w:sz="0" w:space="0" w:color="auto"/>
                            <w:bottom w:val="none" w:sz="0" w:space="0" w:color="auto"/>
                            <w:right w:val="none" w:sz="0" w:space="0" w:color="auto"/>
                          </w:divBdr>
                          <w:divsChild>
                            <w:div w:id="996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688806">
      <w:bodyDiv w:val="1"/>
      <w:marLeft w:val="0"/>
      <w:marRight w:val="0"/>
      <w:marTop w:val="0"/>
      <w:marBottom w:val="0"/>
      <w:divBdr>
        <w:top w:val="none" w:sz="0" w:space="0" w:color="auto"/>
        <w:left w:val="none" w:sz="0" w:space="0" w:color="auto"/>
        <w:bottom w:val="none" w:sz="0" w:space="0" w:color="auto"/>
        <w:right w:val="none" w:sz="0" w:space="0" w:color="auto"/>
      </w:divBdr>
    </w:div>
    <w:div w:id="626547688">
      <w:bodyDiv w:val="1"/>
      <w:marLeft w:val="0"/>
      <w:marRight w:val="0"/>
      <w:marTop w:val="0"/>
      <w:marBottom w:val="0"/>
      <w:divBdr>
        <w:top w:val="none" w:sz="0" w:space="0" w:color="auto"/>
        <w:left w:val="none" w:sz="0" w:space="0" w:color="auto"/>
        <w:bottom w:val="none" w:sz="0" w:space="0" w:color="auto"/>
        <w:right w:val="none" w:sz="0" w:space="0" w:color="auto"/>
      </w:divBdr>
    </w:div>
    <w:div w:id="672686262">
      <w:bodyDiv w:val="1"/>
      <w:marLeft w:val="0"/>
      <w:marRight w:val="0"/>
      <w:marTop w:val="0"/>
      <w:marBottom w:val="0"/>
      <w:divBdr>
        <w:top w:val="none" w:sz="0" w:space="0" w:color="auto"/>
        <w:left w:val="none" w:sz="0" w:space="0" w:color="auto"/>
        <w:bottom w:val="none" w:sz="0" w:space="0" w:color="auto"/>
        <w:right w:val="none" w:sz="0" w:space="0" w:color="auto"/>
      </w:divBdr>
    </w:div>
    <w:div w:id="856774523">
      <w:bodyDiv w:val="1"/>
      <w:marLeft w:val="0"/>
      <w:marRight w:val="0"/>
      <w:marTop w:val="0"/>
      <w:marBottom w:val="0"/>
      <w:divBdr>
        <w:top w:val="none" w:sz="0" w:space="0" w:color="auto"/>
        <w:left w:val="none" w:sz="0" w:space="0" w:color="auto"/>
        <w:bottom w:val="none" w:sz="0" w:space="0" w:color="auto"/>
        <w:right w:val="none" w:sz="0" w:space="0" w:color="auto"/>
      </w:divBdr>
    </w:div>
    <w:div w:id="868488782">
      <w:bodyDiv w:val="1"/>
      <w:marLeft w:val="0"/>
      <w:marRight w:val="0"/>
      <w:marTop w:val="0"/>
      <w:marBottom w:val="0"/>
      <w:divBdr>
        <w:top w:val="none" w:sz="0" w:space="0" w:color="auto"/>
        <w:left w:val="none" w:sz="0" w:space="0" w:color="auto"/>
        <w:bottom w:val="none" w:sz="0" w:space="0" w:color="auto"/>
        <w:right w:val="none" w:sz="0" w:space="0" w:color="auto"/>
      </w:divBdr>
    </w:div>
    <w:div w:id="901141365">
      <w:bodyDiv w:val="1"/>
      <w:marLeft w:val="0"/>
      <w:marRight w:val="0"/>
      <w:marTop w:val="0"/>
      <w:marBottom w:val="0"/>
      <w:divBdr>
        <w:top w:val="none" w:sz="0" w:space="0" w:color="auto"/>
        <w:left w:val="none" w:sz="0" w:space="0" w:color="auto"/>
        <w:bottom w:val="none" w:sz="0" w:space="0" w:color="auto"/>
        <w:right w:val="none" w:sz="0" w:space="0" w:color="auto"/>
      </w:divBdr>
      <w:divsChild>
        <w:div w:id="576524374">
          <w:marLeft w:val="0"/>
          <w:marRight w:val="0"/>
          <w:marTop w:val="0"/>
          <w:marBottom w:val="0"/>
          <w:divBdr>
            <w:top w:val="none" w:sz="0" w:space="0" w:color="auto"/>
            <w:left w:val="none" w:sz="0" w:space="0" w:color="auto"/>
            <w:bottom w:val="none" w:sz="0" w:space="0" w:color="auto"/>
            <w:right w:val="none" w:sz="0" w:space="0" w:color="auto"/>
          </w:divBdr>
          <w:divsChild>
            <w:div w:id="1389919051">
              <w:marLeft w:val="0"/>
              <w:marRight w:val="0"/>
              <w:marTop w:val="0"/>
              <w:marBottom w:val="0"/>
              <w:divBdr>
                <w:top w:val="none" w:sz="0" w:space="0" w:color="auto"/>
                <w:left w:val="none" w:sz="0" w:space="0" w:color="auto"/>
                <w:bottom w:val="none" w:sz="0" w:space="0" w:color="auto"/>
                <w:right w:val="none" w:sz="0" w:space="0" w:color="auto"/>
              </w:divBdr>
              <w:divsChild>
                <w:div w:id="589890499">
                  <w:marLeft w:val="0"/>
                  <w:marRight w:val="0"/>
                  <w:marTop w:val="0"/>
                  <w:marBottom w:val="0"/>
                  <w:divBdr>
                    <w:top w:val="none" w:sz="0" w:space="0" w:color="auto"/>
                    <w:left w:val="none" w:sz="0" w:space="0" w:color="auto"/>
                    <w:bottom w:val="none" w:sz="0" w:space="0" w:color="auto"/>
                    <w:right w:val="none" w:sz="0" w:space="0" w:color="auto"/>
                  </w:divBdr>
                  <w:divsChild>
                    <w:div w:id="2010016453">
                      <w:marLeft w:val="0"/>
                      <w:marRight w:val="0"/>
                      <w:marTop w:val="0"/>
                      <w:marBottom w:val="0"/>
                      <w:divBdr>
                        <w:top w:val="none" w:sz="0" w:space="0" w:color="auto"/>
                        <w:left w:val="none" w:sz="0" w:space="0" w:color="auto"/>
                        <w:bottom w:val="none" w:sz="0" w:space="0" w:color="auto"/>
                        <w:right w:val="none" w:sz="0" w:space="0" w:color="auto"/>
                      </w:divBdr>
                      <w:divsChild>
                        <w:div w:id="533733348">
                          <w:marLeft w:val="0"/>
                          <w:marRight w:val="0"/>
                          <w:marTop w:val="0"/>
                          <w:marBottom w:val="0"/>
                          <w:divBdr>
                            <w:top w:val="none" w:sz="0" w:space="0" w:color="auto"/>
                            <w:left w:val="none" w:sz="0" w:space="0" w:color="auto"/>
                            <w:bottom w:val="none" w:sz="0" w:space="0" w:color="auto"/>
                            <w:right w:val="none" w:sz="0" w:space="0" w:color="auto"/>
                          </w:divBdr>
                          <w:divsChild>
                            <w:div w:id="18679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604599">
      <w:bodyDiv w:val="1"/>
      <w:marLeft w:val="0"/>
      <w:marRight w:val="0"/>
      <w:marTop w:val="0"/>
      <w:marBottom w:val="0"/>
      <w:divBdr>
        <w:top w:val="none" w:sz="0" w:space="0" w:color="auto"/>
        <w:left w:val="none" w:sz="0" w:space="0" w:color="auto"/>
        <w:bottom w:val="none" w:sz="0" w:space="0" w:color="auto"/>
        <w:right w:val="none" w:sz="0" w:space="0" w:color="auto"/>
      </w:divBdr>
      <w:divsChild>
        <w:div w:id="1623924697">
          <w:marLeft w:val="0"/>
          <w:marRight w:val="0"/>
          <w:marTop w:val="0"/>
          <w:marBottom w:val="0"/>
          <w:divBdr>
            <w:top w:val="none" w:sz="0" w:space="0" w:color="auto"/>
            <w:left w:val="none" w:sz="0" w:space="0" w:color="auto"/>
            <w:bottom w:val="none" w:sz="0" w:space="0" w:color="auto"/>
            <w:right w:val="none" w:sz="0" w:space="0" w:color="auto"/>
          </w:divBdr>
          <w:divsChild>
            <w:div w:id="1449081662">
              <w:marLeft w:val="0"/>
              <w:marRight w:val="0"/>
              <w:marTop w:val="0"/>
              <w:marBottom w:val="0"/>
              <w:divBdr>
                <w:top w:val="none" w:sz="0" w:space="0" w:color="auto"/>
                <w:left w:val="none" w:sz="0" w:space="0" w:color="auto"/>
                <w:bottom w:val="none" w:sz="0" w:space="0" w:color="auto"/>
                <w:right w:val="none" w:sz="0" w:space="0" w:color="auto"/>
              </w:divBdr>
              <w:divsChild>
                <w:div w:id="189883618">
                  <w:marLeft w:val="0"/>
                  <w:marRight w:val="0"/>
                  <w:marTop w:val="0"/>
                  <w:marBottom w:val="0"/>
                  <w:divBdr>
                    <w:top w:val="none" w:sz="0" w:space="0" w:color="auto"/>
                    <w:left w:val="none" w:sz="0" w:space="0" w:color="auto"/>
                    <w:bottom w:val="none" w:sz="0" w:space="0" w:color="auto"/>
                    <w:right w:val="none" w:sz="0" w:space="0" w:color="auto"/>
                  </w:divBdr>
                  <w:divsChild>
                    <w:div w:id="704788694">
                      <w:marLeft w:val="0"/>
                      <w:marRight w:val="0"/>
                      <w:marTop w:val="0"/>
                      <w:marBottom w:val="0"/>
                      <w:divBdr>
                        <w:top w:val="none" w:sz="0" w:space="0" w:color="auto"/>
                        <w:left w:val="none" w:sz="0" w:space="0" w:color="auto"/>
                        <w:bottom w:val="none" w:sz="0" w:space="0" w:color="auto"/>
                        <w:right w:val="none" w:sz="0" w:space="0" w:color="auto"/>
                      </w:divBdr>
                      <w:divsChild>
                        <w:div w:id="298844271">
                          <w:marLeft w:val="0"/>
                          <w:marRight w:val="0"/>
                          <w:marTop w:val="0"/>
                          <w:marBottom w:val="0"/>
                          <w:divBdr>
                            <w:top w:val="none" w:sz="0" w:space="0" w:color="auto"/>
                            <w:left w:val="none" w:sz="0" w:space="0" w:color="auto"/>
                            <w:bottom w:val="none" w:sz="0" w:space="0" w:color="auto"/>
                            <w:right w:val="none" w:sz="0" w:space="0" w:color="auto"/>
                          </w:divBdr>
                          <w:divsChild>
                            <w:div w:id="20752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21638">
      <w:bodyDiv w:val="1"/>
      <w:marLeft w:val="0"/>
      <w:marRight w:val="0"/>
      <w:marTop w:val="0"/>
      <w:marBottom w:val="0"/>
      <w:divBdr>
        <w:top w:val="none" w:sz="0" w:space="0" w:color="auto"/>
        <w:left w:val="none" w:sz="0" w:space="0" w:color="auto"/>
        <w:bottom w:val="none" w:sz="0" w:space="0" w:color="auto"/>
        <w:right w:val="none" w:sz="0" w:space="0" w:color="auto"/>
      </w:divBdr>
    </w:div>
    <w:div w:id="1557551061">
      <w:bodyDiv w:val="1"/>
      <w:marLeft w:val="0"/>
      <w:marRight w:val="0"/>
      <w:marTop w:val="0"/>
      <w:marBottom w:val="0"/>
      <w:divBdr>
        <w:top w:val="none" w:sz="0" w:space="0" w:color="auto"/>
        <w:left w:val="none" w:sz="0" w:space="0" w:color="auto"/>
        <w:bottom w:val="none" w:sz="0" w:space="0" w:color="auto"/>
        <w:right w:val="none" w:sz="0" w:space="0" w:color="auto"/>
      </w:divBdr>
    </w:div>
    <w:div w:id="1747679152">
      <w:bodyDiv w:val="1"/>
      <w:marLeft w:val="0"/>
      <w:marRight w:val="0"/>
      <w:marTop w:val="0"/>
      <w:marBottom w:val="0"/>
      <w:divBdr>
        <w:top w:val="none" w:sz="0" w:space="0" w:color="auto"/>
        <w:left w:val="none" w:sz="0" w:space="0" w:color="auto"/>
        <w:bottom w:val="none" w:sz="0" w:space="0" w:color="auto"/>
        <w:right w:val="none" w:sz="0" w:space="0" w:color="auto"/>
      </w:divBdr>
      <w:divsChild>
        <w:div w:id="1991664866">
          <w:marLeft w:val="0"/>
          <w:marRight w:val="0"/>
          <w:marTop w:val="0"/>
          <w:marBottom w:val="0"/>
          <w:divBdr>
            <w:top w:val="none" w:sz="0" w:space="0" w:color="auto"/>
            <w:left w:val="none" w:sz="0" w:space="0" w:color="auto"/>
            <w:bottom w:val="none" w:sz="0" w:space="0" w:color="auto"/>
            <w:right w:val="none" w:sz="0" w:space="0" w:color="auto"/>
          </w:divBdr>
          <w:divsChild>
            <w:div w:id="110174660">
              <w:marLeft w:val="0"/>
              <w:marRight w:val="0"/>
              <w:marTop w:val="0"/>
              <w:marBottom w:val="0"/>
              <w:divBdr>
                <w:top w:val="none" w:sz="0" w:space="0" w:color="auto"/>
                <w:left w:val="none" w:sz="0" w:space="0" w:color="auto"/>
                <w:bottom w:val="none" w:sz="0" w:space="0" w:color="auto"/>
                <w:right w:val="none" w:sz="0" w:space="0" w:color="auto"/>
              </w:divBdr>
              <w:divsChild>
                <w:div w:id="1752237944">
                  <w:marLeft w:val="0"/>
                  <w:marRight w:val="0"/>
                  <w:marTop w:val="0"/>
                  <w:marBottom w:val="0"/>
                  <w:divBdr>
                    <w:top w:val="none" w:sz="0" w:space="0" w:color="auto"/>
                    <w:left w:val="none" w:sz="0" w:space="0" w:color="auto"/>
                    <w:bottom w:val="none" w:sz="0" w:space="0" w:color="auto"/>
                    <w:right w:val="none" w:sz="0" w:space="0" w:color="auto"/>
                  </w:divBdr>
                  <w:divsChild>
                    <w:div w:id="1208954836">
                      <w:marLeft w:val="0"/>
                      <w:marRight w:val="0"/>
                      <w:marTop w:val="0"/>
                      <w:marBottom w:val="0"/>
                      <w:divBdr>
                        <w:top w:val="none" w:sz="0" w:space="0" w:color="auto"/>
                        <w:left w:val="none" w:sz="0" w:space="0" w:color="auto"/>
                        <w:bottom w:val="none" w:sz="0" w:space="0" w:color="auto"/>
                        <w:right w:val="none" w:sz="0" w:space="0" w:color="auto"/>
                      </w:divBdr>
                      <w:divsChild>
                        <w:div w:id="1779714956">
                          <w:marLeft w:val="0"/>
                          <w:marRight w:val="0"/>
                          <w:marTop w:val="0"/>
                          <w:marBottom w:val="0"/>
                          <w:divBdr>
                            <w:top w:val="none" w:sz="0" w:space="0" w:color="auto"/>
                            <w:left w:val="none" w:sz="0" w:space="0" w:color="auto"/>
                            <w:bottom w:val="none" w:sz="0" w:space="0" w:color="auto"/>
                            <w:right w:val="none" w:sz="0" w:space="0" w:color="auto"/>
                          </w:divBdr>
                          <w:divsChild>
                            <w:div w:id="16801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16427">
      <w:bodyDiv w:val="1"/>
      <w:marLeft w:val="0"/>
      <w:marRight w:val="0"/>
      <w:marTop w:val="0"/>
      <w:marBottom w:val="0"/>
      <w:divBdr>
        <w:top w:val="none" w:sz="0" w:space="0" w:color="auto"/>
        <w:left w:val="none" w:sz="0" w:space="0" w:color="auto"/>
        <w:bottom w:val="none" w:sz="0" w:space="0" w:color="auto"/>
        <w:right w:val="none" w:sz="0" w:space="0" w:color="auto"/>
      </w:divBdr>
    </w:div>
    <w:div w:id="18847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3994-024-00177-3" TargetMode="External"/><Relationship Id="rId13" Type="http://schemas.openxmlformats.org/officeDocument/2006/relationships/hyperlink" Target="https://doi.org/10.5539/res.v11n1p6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64252/33a23q1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79408-8_16" TargetMode="External"/><Relationship Id="rId5" Type="http://schemas.openxmlformats.org/officeDocument/2006/relationships/footnotes" Target="footnotes.xml"/><Relationship Id="rId15" Type="http://schemas.openxmlformats.org/officeDocument/2006/relationships/hyperlink" Target="https://doi.org/10.22271/27067483.2025.v7.i1a.323" TargetMode="External"/><Relationship Id="rId23" Type="http://schemas.openxmlformats.org/officeDocument/2006/relationships/theme" Target="theme/theme1.xml"/><Relationship Id="rId10" Type="http://schemas.openxmlformats.org/officeDocument/2006/relationships/hyperlink" Target="https://doi.org/10.55248/gengpi.6.0525.173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n.org/en/climatechange/what-is-climate-change" TargetMode="External"/><Relationship Id="rId14" Type="http://schemas.openxmlformats.org/officeDocument/2006/relationships/hyperlink" Target="https://doi.org/10.1016/j.heliyon.2024.e351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16</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107</cp:revision>
  <dcterms:created xsi:type="dcterms:W3CDTF">2025-08-19T12:35:00Z</dcterms:created>
  <dcterms:modified xsi:type="dcterms:W3CDTF">2025-08-28T07:17:00Z</dcterms:modified>
</cp:coreProperties>
</file>