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983D" w14:textId="68B9D25D" w:rsidR="00754C9A" w:rsidRDefault="00E112C7" w:rsidP="007C0428">
      <w:pPr>
        <w:pStyle w:val="Title"/>
        <w:spacing w:after="0"/>
        <w:jc w:val="left"/>
        <w:rPr>
          <w:rFonts w:ascii="Arial" w:hAnsi="Arial" w:cs="Arial"/>
        </w:rPr>
      </w:pPr>
      <w:r w:rsidRPr="00E112C7">
        <w:rPr>
          <w:rFonts w:ascii="Arial" w:hAnsi="Arial" w:cs="Arial"/>
          <w:bCs/>
          <w:i/>
          <w:iCs/>
          <w:u w:val="single"/>
        </w:rPr>
        <w:t>Original Research Article</w:t>
      </w:r>
    </w:p>
    <w:p w14:paraId="45DC3C6A" w14:textId="2D068E7E" w:rsidR="006437A2" w:rsidRDefault="006437A2" w:rsidP="007C0428">
      <w:pPr>
        <w:rPr>
          <w:lang w:eastAsia="fr-FR"/>
        </w:rPr>
      </w:pPr>
    </w:p>
    <w:p w14:paraId="6F954566" w14:textId="6F766567" w:rsidR="006437A2" w:rsidRPr="006437A2" w:rsidRDefault="006437A2" w:rsidP="007C0428">
      <w:pPr>
        <w:rPr>
          <w:rFonts w:ascii="Arial" w:hAnsi="Arial" w:cs="Arial"/>
          <w:b/>
          <w:sz w:val="32"/>
          <w:lang w:eastAsia="fr-FR"/>
        </w:rPr>
      </w:pPr>
      <w:r>
        <w:rPr>
          <w:lang w:eastAsia="fr-FR"/>
        </w:rPr>
        <w:t xml:space="preserve"> </w:t>
      </w:r>
      <w:r w:rsidRPr="006437A2">
        <w:rPr>
          <w:rFonts w:ascii="Arial" w:hAnsi="Arial" w:cs="Arial"/>
          <w:b/>
          <w:sz w:val="32"/>
          <w:highlight w:val="cyan"/>
        </w:rPr>
        <w:t>Unmasking Sarcopenic Obesity in Chronic Hepatitis: A Cross-Sectional Study of Body Composition and Pro-Inflammatory Diets in Lomé, Togo</w:t>
      </w:r>
    </w:p>
    <w:p w14:paraId="56E39561" w14:textId="77777777" w:rsidR="006C1179" w:rsidRPr="006C1179" w:rsidRDefault="006C1179" w:rsidP="007C0428">
      <w:pPr>
        <w:rPr>
          <w:lang w:eastAsia="fr-FR"/>
        </w:rPr>
      </w:pPr>
    </w:p>
    <w:p w14:paraId="20524837" w14:textId="77777777" w:rsidR="00B01FCD" w:rsidRDefault="00B01FCD" w:rsidP="007C0428">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296529" w:rsidRPr="001E44FE" w14:paraId="507008CA" w14:textId="77777777" w:rsidTr="0067382D">
        <w:tc>
          <w:tcPr>
            <w:tcW w:w="9396" w:type="dxa"/>
            <w:shd w:val="clear" w:color="auto" w:fill="F2F2F2"/>
          </w:tcPr>
          <w:p w14:paraId="6B99202C" w14:textId="740E4B83" w:rsidR="006437A2" w:rsidRPr="006437A2" w:rsidRDefault="00F5476C" w:rsidP="007C0428">
            <w:pPr>
              <w:pStyle w:val="NormalWeb"/>
              <w:rPr>
                <w:rFonts w:ascii="Arial" w:hAnsi="Arial" w:cs="Arial"/>
                <w:sz w:val="20"/>
                <w:szCs w:val="20"/>
              </w:rPr>
            </w:pPr>
            <w:proofErr w:type="gramStart"/>
            <w:r>
              <w:rPr>
                <w:rStyle w:val="citation-35"/>
                <w:rFonts w:ascii="Arial" w:hAnsi="Arial" w:cs="Arial"/>
                <w:b/>
                <w:bCs/>
                <w:sz w:val="20"/>
                <w:szCs w:val="20"/>
              </w:rPr>
              <w:t>Introduction</w:t>
            </w:r>
            <w:r w:rsidR="006437A2" w:rsidRPr="006437A2">
              <w:rPr>
                <w:rStyle w:val="citation-35"/>
                <w:rFonts w:ascii="Arial" w:hAnsi="Arial" w:cs="Arial"/>
                <w:b/>
                <w:bCs/>
                <w:sz w:val="20"/>
                <w:szCs w:val="20"/>
              </w:rPr>
              <w:t>:</w:t>
            </w:r>
            <w:proofErr w:type="gramEnd"/>
            <w:r w:rsidR="006437A2" w:rsidRPr="006437A2">
              <w:rPr>
                <w:rStyle w:val="citation-35"/>
                <w:rFonts w:ascii="Arial" w:hAnsi="Arial" w:cs="Arial"/>
                <w:sz w:val="20"/>
                <w:szCs w:val="20"/>
              </w:rPr>
              <w:t xml:space="preserve"> In </w:t>
            </w:r>
            <w:proofErr w:type="spellStart"/>
            <w:r w:rsidR="006437A2" w:rsidRPr="006437A2">
              <w:rPr>
                <w:rStyle w:val="citation-35"/>
                <w:rFonts w:ascii="Arial" w:hAnsi="Arial" w:cs="Arial"/>
                <w:sz w:val="20"/>
                <w:szCs w:val="20"/>
              </w:rPr>
              <w:t>sub-Saharan</w:t>
            </w:r>
            <w:proofErr w:type="spellEnd"/>
            <w:r w:rsidR="006437A2" w:rsidRPr="006437A2">
              <w:rPr>
                <w:rStyle w:val="citation-35"/>
                <w:rFonts w:ascii="Arial" w:hAnsi="Arial" w:cs="Arial"/>
                <w:sz w:val="20"/>
                <w:szCs w:val="20"/>
              </w:rPr>
              <w:t xml:space="preserve"> </w:t>
            </w:r>
            <w:proofErr w:type="spellStart"/>
            <w:r w:rsidR="006437A2" w:rsidRPr="006437A2">
              <w:rPr>
                <w:rStyle w:val="citation-35"/>
                <w:rFonts w:ascii="Arial" w:hAnsi="Arial" w:cs="Arial"/>
                <w:sz w:val="20"/>
                <w:szCs w:val="20"/>
              </w:rPr>
              <w:t>Africa</w:t>
            </w:r>
            <w:proofErr w:type="spellEnd"/>
            <w:r w:rsidR="006437A2" w:rsidRPr="006437A2">
              <w:rPr>
                <w:rStyle w:val="citation-35"/>
                <w:rFonts w:ascii="Arial" w:hAnsi="Arial" w:cs="Arial"/>
                <w:sz w:val="20"/>
                <w:szCs w:val="20"/>
              </w:rPr>
              <w:t xml:space="preserve">, the convergence of </w:t>
            </w:r>
            <w:proofErr w:type="spellStart"/>
            <w:r w:rsidR="006437A2" w:rsidRPr="006437A2">
              <w:rPr>
                <w:rStyle w:val="citation-35"/>
                <w:rFonts w:ascii="Arial" w:hAnsi="Arial" w:cs="Arial"/>
                <w:sz w:val="20"/>
                <w:szCs w:val="20"/>
              </w:rPr>
              <w:t>endemic</w:t>
            </w:r>
            <w:proofErr w:type="spellEnd"/>
            <w:r w:rsidR="006437A2" w:rsidRPr="006437A2">
              <w:rPr>
                <w:rStyle w:val="citation-35"/>
                <w:rFonts w:ascii="Arial" w:hAnsi="Arial" w:cs="Arial"/>
                <w:sz w:val="20"/>
                <w:szCs w:val="20"/>
              </w:rPr>
              <w:t xml:space="preserve"> </w:t>
            </w:r>
            <w:proofErr w:type="spellStart"/>
            <w:r w:rsidR="006437A2" w:rsidRPr="006437A2">
              <w:rPr>
                <w:rStyle w:val="citation-35"/>
                <w:rFonts w:ascii="Arial" w:hAnsi="Arial" w:cs="Arial"/>
                <w:sz w:val="20"/>
                <w:szCs w:val="20"/>
              </w:rPr>
              <w:t>chronic</w:t>
            </w:r>
            <w:proofErr w:type="spellEnd"/>
            <w:r w:rsidR="006437A2" w:rsidRPr="006437A2">
              <w:rPr>
                <w:rStyle w:val="citation-35"/>
                <w:rFonts w:ascii="Arial" w:hAnsi="Arial" w:cs="Arial"/>
                <w:sz w:val="20"/>
                <w:szCs w:val="20"/>
              </w:rPr>
              <w:t xml:space="preserve"> viral </w:t>
            </w:r>
            <w:proofErr w:type="spellStart"/>
            <w:r w:rsidR="006437A2" w:rsidRPr="006437A2">
              <w:rPr>
                <w:rStyle w:val="citation-35"/>
                <w:rFonts w:ascii="Arial" w:hAnsi="Arial" w:cs="Arial"/>
                <w:sz w:val="20"/>
                <w:szCs w:val="20"/>
              </w:rPr>
              <w:t>hepatitis</w:t>
            </w:r>
            <w:proofErr w:type="spellEnd"/>
            <w:r w:rsidR="006437A2" w:rsidRPr="006437A2">
              <w:rPr>
                <w:rStyle w:val="citation-35"/>
                <w:rFonts w:ascii="Arial" w:hAnsi="Arial" w:cs="Arial"/>
                <w:sz w:val="20"/>
                <w:szCs w:val="20"/>
              </w:rPr>
              <w:t xml:space="preserve"> and a </w:t>
            </w:r>
            <w:proofErr w:type="spellStart"/>
            <w:r w:rsidR="006437A2" w:rsidRPr="006437A2">
              <w:rPr>
                <w:rStyle w:val="citation-35"/>
                <w:rFonts w:ascii="Arial" w:hAnsi="Arial" w:cs="Arial"/>
                <w:sz w:val="20"/>
                <w:szCs w:val="20"/>
              </w:rPr>
              <w:t>rising</w:t>
            </w:r>
            <w:proofErr w:type="spellEnd"/>
            <w:r w:rsidR="006437A2" w:rsidRPr="006437A2">
              <w:rPr>
                <w:rStyle w:val="citation-35"/>
                <w:rFonts w:ascii="Arial" w:hAnsi="Arial" w:cs="Arial"/>
                <w:sz w:val="20"/>
                <w:szCs w:val="20"/>
              </w:rPr>
              <w:t xml:space="preserve">, </w:t>
            </w:r>
            <w:proofErr w:type="spellStart"/>
            <w:r w:rsidR="006437A2" w:rsidRPr="006437A2">
              <w:rPr>
                <w:rStyle w:val="citation-35"/>
                <w:rFonts w:ascii="Arial" w:hAnsi="Arial" w:cs="Arial"/>
                <w:sz w:val="20"/>
                <w:szCs w:val="20"/>
              </w:rPr>
              <w:t>diet-driven</w:t>
            </w:r>
            <w:proofErr w:type="spellEnd"/>
            <w:r w:rsidR="006437A2" w:rsidRPr="006437A2">
              <w:rPr>
                <w:rStyle w:val="citation-35"/>
                <w:rFonts w:ascii="Arial" w:hAnsi="Arial" w:cs="Arial"/>
                <w:sz w:val="20"/>
                <w:szCs w:val="20"/>
              </w:rPr>
              <w:t xml:space="preserve"> </w:t>
            </w:r>
            <w:proofErr w:type="spellStart"/>
            <w:r w:rsidR="006437A2" w:rsidRPr="006437A2">
              <w:rPr>
                <w:rStyle w:val="citation-35"/>
                <w:rFonts w:ascii="Arial" w:hAnsi="Arial" w:cs="Arial"/>
                <w:sz w:val="20"/>
                <w:szCs w:val="20"/>
              </w:rPr>
              <w:t>metabolic</w:t>
            </w:r>
            <w:proofErr w:type="spellEnd"/>
            <w:r w:rsidR="006437A2" w:rsidRPr="006437A2">
              <w:rPr>
                <w:rStyle w:val="citation-35"/>
                <w:rFonts w:ascii="Arial" w:hAnsi="Arial" w:cs="Arial"/>
                <w:sz w:val="20"/>
                <w:szCs w:val="20"/>
              </w:rPr>
              <w:t xml:space="preserve"> syndrome </w:t>
            </w:r>
            <w:proofErr w:type="spellStart"/>
            <w:r w:rsidR="006437A2" w:rsidRPr="006437A2">
              <w:rPr>
                <w:rStyle w:val="citation-35"/>
                <w:rFonts w:ascii="Arial" w:hAnsi="Arial" w:cs="Arial"/>
                <w:sz w:val="20"/>
                <w:szCs w:val="20"/>
              </w:rPr>
              <w:t>presents</w:t>
            </w:r>
            <w:proofErr w:type="spellEnd"/>
            <w:r w:rsidR="006437A2" w:rsidRPr="006437A2">
              <w:rPr>
                <w:rStyle w:val="citation-35"/>
                <w:rFonts w:ascii="Arial" w:hAnsi="Arial" w:cs="Arial"/>
                <w:sz w:val="20"/>
                <w:szCs w:val="20"/>
              </w:rPr>
              <w:t xml:space="preserve"> a "dual </w:t>
            </w:r>
            <w:proofErr w:type="spellStart"/>
            <w:r w:rsidR="006437A2" w:rsidRPr="006437A2">
              <w:rPr>
                <w:rStyle w:val="citation-35"/>
                <w:rFonts w:ascii="Arial" w:hAnsi="Arial" w:cs="Arial"/>
                <w:sz w:val="20"/>
                <w:szCs w:val="20"/>
              </w:rPr>
              <w:t>burden</w:t>
            </w:r>
            <w:proofErr w:type="spellEnd"/>
            <w:r w:rsidR="006437A2" w:rsidRPr="006437A2">
              <w:rPr>
                <w:rStyle w:val="citation-35"/>
                <w:rFonts w:ascii="Arial" w:hAnsi="Arial" w:cs="Arial"/>
                <w:sz w:val="20"/>
                <w:szCs w:val="20"/>
              </w:rPr>
              <w:t>"</w:t>
            </w:r>
            <w:r w:rsidR="006437A2" w:rsidRPr="006437A2">
              <w:rPr>
                <w:rFonts w:ascii="Arial" w:hAnsi="Arial" w:cs="Arial"/>
                <w:sz w:val="20"/>
                <w:szCs w:val="20"/>
              </w:rPr>
              <w:t xml:space="preserve">. </w:t>
            </w:r>
            <w:r w:rsidR="006437A2" w:rsidRPr="006437A2">
              <w:rPr>
                <w:rStyle w:val="citation-34"/>
                <w:rFonts w:ascii="Arial" w:hAnsi="Arial" w:cs="Arial"/>
                <w:sz w:val="20"/>
                <w:szCs w:val="20"/>
              </w:rPr>
              <w:t xml:space="preserve">This intersection </w:t>
            </w:r>
            <w:proofErr w:type="spellStart"/>
            <w:r w:rsidR="006437A2" w:rsidRPr="006437A2">
              <w:rPr>
                <w:rStyle w:val="citation-34"/>
                <w:rFonts w:ascii="Arial" w:hAnsi="Arial" w:cs="Arial"/>
                <w:sz w:val="20"/>
                <w:szCs w:val="20"/>
              </w:rPr>
              <w:t>may</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accelerate</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liver</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disease</w:t>
            </w:r>
            <w:proofErr w:type="spellEnd"/>
            <w:r w:rsidR="006437A2" w:rsidRPr="006437A2">
              <w:rPr>
                <w:rStyle w:val="citation-34"/>
                <w:rFonts w:ascii="Arial" w:hAnsi="Arial" w:cs="Arial"/>
                <w:sz w:val="20"/>
                <w:szCs w:val="20"/>
              </w:rPr>
              <w:t xml:space="preserve"> progression, </w:t>
            </w:r>
            <w:proofErr w:type="spellStart"/>
            <w:r w:rsidR="006437A2" w:rsidRPr="006437A2">
              <w:rPr>
                <w:rStyle w:val="citation-34"/>
                <w:rFonts w:ascii="Arial" w:hAnsi="Arial" w:cs="Arial"/>
                <w:sz w:val="20"/>
                <w:szCs w:val="20"/>
              </w:rPr>
              <w:t>yet</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its</w:t>
            </w:r>
            <w:proofErr w:type="spellEnd"/>
            <w:r w:rsidR="006437A2" w:rsidRPr="006437A2">
              <w:rPr>
                <w:rStyle w:val="citation-34"/>
                <w:rFonts w:ascii="Arial" w:hAnsi="Arial" w:cs="Arial"/>
                <w:sz w:val="20"/>
                <w:szCs w:val="20"/>
              </w:rPr>
              <w:t xml:space="preserve"> impact on body composition </w:t>
            </w:r>
            <w:proofErr w:type="spellStart"/>
            <w:r w:rsidR="006437A2" w:rsidRPr="006437A2">
              <w:rPr>
                <w:rStyle w:val="citation-34"/>
                <w:rFonts w:ascii="Arial" w:hAnsi="Arial" w:cs="Arial"/>
                <w:sz w:val="20"/>
                <w:szCs w:val="20"/>
              </w:rPr>
              <w:t>is</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poorly</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understood</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particularly</w:t>
            </w:r>
            <w:proofErr w:type="spellEnd"/>
            <w:r w:rsidR="006437A2" w:rsidRPr="006437A2">
              <w:rPr>
                <w:rStyle w:val="citation-34"/>
                <w:rFonts w:ascii="Arial" w:hAnsi="Arial" w:cs="Arial"/>
                <w:sz w:val="20"/>
                <w:szCs w:val="20"/>
              </w:rPr>
              <w:t xml:space="preserve"> as </w:t>
            </w:r>
            <w:proofErr w:type="spellStart"/>
            <w:r w:rsidR="006437A2" w:rsidRPr="006437A2">
              <w:rPr>
                <w:rStyle w:val="citation-34"/>
                <w:rFonts w:ascii="Arial" w:hAnsi="Arial" w:cs="Arial"/>
                <w:sz w:val="20"/>
                <w:szCs w:val="20"/>
              </w:rPr>
              <w:t>conventional</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metrics</w:t>
            </w:r>
            <w:proofErr w:type="spellEnd"/>
            <w:r w:rsidR="006437A2" w:rsidRPr="006437A2">
              <w:rPr>
                <w:rStyle w:val="citation-34"/>
                <w:rFonts w:ascii="Arial" w:hAnsi="Arial" w:cs="Arial"/>
                <w:sz w:val="20"/>
                <w:szCs w:val="20"/>
              </w:rPr>
              <w:t xml:space="preserve"> like Body Mass Index (BMI) can </w:t>
            </w:r>
            <w:proofErr w:type="spellStart"/>
            <w:r w:rsidR="006437A2" w:rsidRPr="006437A2">
              <w:rPr>
                <w:rStyle w:val="citation-34"/>
                <w:rFonts w:ascii="Arial" w:hAnsi="Arial" w:cs="Arial"/>
                <w:sz w:val="20"/>
                <w:szCs w:val="20"/>
              </w:rPr>
              <w:t>mask</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perilous</w:t>
            </w:r>
            <w:proofErr w:type="spellEnd"/>
            <w:r w:rsidR="006437A2" w:rsidRPr="006437A2">
              <w:rPr>
                <w:rStyle w:val="citation-34"/>
                <w:rFonts w:ascii="Arial" w:hAnsi="Arial" w:cs="Arial"/>
                <w:sz w:val="20"/>
                <w:szCs w:val="20"/>
              </w:rPr>
              <w:t xml:space="preserve"> </w:t>
            </w:r>
            <w:proofErr w:type="spellStart"/>
            <w:r w:rsidR="006437A2" w:rsidRPr="006437A2">
              <w:rPr>
                <w:rStyle w:val="citation-34"/>
                <w:rFonts w:ascii="Arial" w:hAnsi="Arial" w:cs="Arial"/>
                <w:sz w:val="20"/>
                <w:szCs w:val="20"/>
              </w:rPr>
              <w:t>phenotypes</w:t>
            </w:r>
            <w:proofErr w:type="spellEnd"/>
            <w:r w:rsidR="006437A2" w:rsidRPr="006437A2">
              <w:rPr>
                <w:rFonts w:ascii="Arial" w:hAnsi="Arial" w:cs="Arial"/>
                <w:sz w:val="20"/>
                <w:szCs w:val="20"/>
              </w:rPr>
              <w:t xml:space="preserve">. </w:t>
            </w:r>
            <w:r w:rsidR="006437A2" w:rsidRPr="006437A2">
              <w:rPr>
                <w:rStyle w:val="citation-33"/>
                <w:rFonts w:ascii="Arial" w:hAnsi="Arial" w:cs="Arial"/>
                <w:sz w:val="20"/>
                <w:szCs w:val="20"/>
              </w:rPr>
              <w:t xml:space="preserve">In Lomé, Togo, a </w:t>
            </w:r>
            <w:proofErr w:type="spellStart"/>
            <w:r w:rsidR="006437A2" w:rsidRPr="006437A2">
              <w:rPr>
                <w:rStyle w:val="citation-33"/>
                <w:rFonts w:ascii="Arial" w:hAnsi="Arial" w:cs="Arial"/>
                <w:sz w:val="20"/>
                <w:szCs w:val="20"/>
              </w:rPr>
              <w:t>region</w:t>
            </w:r>
            <w:proofErr w:type="spellEnd"/>
            <w:r w:rsidR="006437A2" w:rsidRPr="006437A2">
              <w:rPr>
                <w:rStyle w:val="citation-33"/>
                <w:rFonts w:ascii="Arial" w:hAnsi="Arial" w:cs="Arial"/>
                <w:sz w:val="20"/>
                <w:szCs w:val="20"/>
              </w:rPr>
              <w:t xml:space="preserve"> of high </w:t>
            </w:r>
            <w:proofErr w:type="spellStart"/>
            <w:r w:rsidR="006437A2" w:rsidRPr="006437A2">
              <w:rPr>
                <w:rStyle w:val="citation-33"/>
                <w:rFonts w:ascii="Arial" w:hAnsi="Arial" w:cs="Arial"/>
                <w:sz w:val="20"/>
                <w:szCs w:val="20"/>
              </w:rPr>
              <w:t>hepatitis</w:t>
            </w:r>
            <w:proofErr w:type="spellEnd"/>
            <w:r w:rsidR="006437A2" w:rsidRPr="006437A2">
              <w:rPr>
                <w:rStyle w:val="citation-33"/>
                <w:rFonts w:ascii="Arial" w:hAnsi="Arial" w:cs="Arial"/>
                <w:sz w:val="20"/>
                <w:szCs w:val="20"/>
              </w:rPr>
              <w:t xml:space="preserve"> B virus (HBV) </w:t>
            </w:r>
            <w:proofErr w:type="spellStart"/>
            <w:r w:rsidR="006437A2" w:rsidRPr="006437A2">
              <w:rPr>
                <w:rStyle w:val="citation-33"/>
                <w:rFonts w:ascii="Arial" w:hAnsi="Arial" w:cs="Arial"/>
                <w:sz w:val="20"/>
                <w:szCs w:val="20"/>
              </w:rPr>
              <w:t>endemicity</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this</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study</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aimed</w:t>
            </w:r>
            <w:proofErr w:type="spellEnd"/>
            <w:r w:rsidR="006437A2" w:rsidRPr="006437A2">
              <w:rPr>
                <w:rStyle w:val="citation-33"/>
                <w:rFonts w:ascii="Arial" w:hAnsi="Arial" w:cs="Arial"/>
                <w:sz w:val="20"/>
                <w:szCs w:val="20"/>
              </w:rPr>
              <w:t xml:space="preserve"> to move </w:t>
            </w:r>
            <w:proofErr w:type="spellStart"/>
            <w:r w:rsidR="006437A2" w:rsidRPr="006437A2">
              <w:rPr>
                <w:rStyle w:val="citation-33"/>
                <w:rFonts w:ascii="Arial" w:hAnsi="Arial" w:cs="Arial"/>
                <w:sz w:val="20"/>
                <w:szCs w:val="20"/>
              </w:rPr>
              <w:t>beyond</w:t>
            </w:r>
            <w:proofErr w:type="spellEnd"/>
            <w:r w:rsidR="006437A2" w:rsidRPr="006437A2">
              <w:rPr>
                <w:rStyle w:val="citation-33"/>
                <w:rFonts w:ascii="Arial" w:hAnsi="Arial" w:cs="Arial"/>
                <w:sz w:val="20"/>
                <w:szCs w:val="20"/>
              </w:rPr>
              <w:t xml:space="preserve"> BMI to </w:t>
            </w:r>
            <w:proofErr w:type="spellStart"/>
            <w:r w:rsidR="006437A2" w:rsidRPr="006437A2">
              <w:rPr>
                <w:rStyle w:val="citation-33"/>
                <w:rFonts w:ascii="Arial" w:hAnsi="Arial" w:cs="Arial"/>
                <w:sz w:val="20"/>
                <w:szCs w:val="20"/>
              </w:rPr>
              <w:t>characterize</w:t>
            </w:r>
            <w:proofErr w:type="spellEnd"/>
            <w:r w:rsidR="006437A2" w:rsidRPr="006437A2">
              <w:rPr>
                <w:rStyle w:val="citation-33"/>
                <w:rFonts w:ascii="Arial" w:hAnsi="Arial" w:cs="Arial"/>
                <w:sz w:val="20"/>
                <w:szCs w:val="20"/>
              </w:rPr>
              <w:t xml:space="preserve"> the </w:t>
            </w:r>
            <w:proofErr w:type="spellStart"/>
            <w:r w:rsidR="006437A2" w:rsidRPr="006437A2">
              <w:rPr>
                <w:rStyle w:val="citation-33"/>
                <w:rFonts w:ascii="Arial" w:hAnsi="Arial" w:cs="Arial"/>
                <w:sz w:val="20"/>
                <w:szCs w:val="20"/>
              </w:rPr>
              <w:t>true</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nutritional</w:t>
            </w:r>
            <w:proofErr w:type="spellEnd"/>
            <w:r w:rsidR="006437A2" w:rsidRPr="006437A2">
              <w:rPr>
                <w:rStyle w:val="citation-33"/>
                <w:rFonts w:ascii="Arial" w:hAnsi="Arial" w:cs="Arial"/>
                <w:sz w:val="20"/>
                <w:szCs w:val="20"/>
              </w:rPr>
              <w:t xml:space="preserve"> and </w:t>
            </w:r>
            <w:proofErr w:type="spellStart"/>
            <w:r w:rsidR="006437A2" w:rsidRPr="006437A2">
              <w:rPr>
                <w:rStyle w:val="citation-33"/>
                <w:rFonts w:ascii="Arial" w:hAnsi="Arial" w:cs="Arial"/>
                <w:sz w:val="20"/>
                <w:szCs w:val="20"/>
              </w:rPr>
              <w:t>metabolic</w:t>
            </w:r>
            <w:proofErr w:type="spellEnd"/>
            <w:r w:rsidR="006437A2" w:rsidRPr="006437A2">
              <w:rPr>
                <w:rStyle w:val="citation-33"/>
                <w:rFonts w:ascii="Arial" w:hAnsi="Arial" w:cs="Arial"/>
                <w:sz w:val="20"/>
                <w:szCs w:val="20"/>
              </w:rPr>
              <w:t xml:space="preserve"> profiles of patients </w:t>
            </w:r>
            <w:proofErr w:type="spellStart"/>
            <w:r w:rsidR="006437A2" w:rsidRPr="006437A2">
              <w:rPr>
                <w:rStyle w:val="citation-33"/>
                <w:rFonts w:ascii="Arial" w:hAnsi="Arial" w:cs="Arial"/>
                <w:sz w:val="20"/>
                <w:szCs w:val="20"/>
              </w:rPr>
              <w:t>with</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chronic</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hepatitis</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focusing</w:t>
            </w:r>
            <w:proofErr w:type="spellEnd"/>
            <w:r w:rsidR="006437A2" w:rsidRPr="006437A2">
              <w:rPr>
                <w:rStyle w:val="citation-33"/>
                <w:rFonts w:ascii="Arial" w:hAnsi="Arial" w:cs="Arial"/>
                <w:sz w:val="20"/>
                <w:szCs w:val="20"/>
              </w:rPr>
              <w:t xml:space="preserve"> on the </w:t>
            </w:r>
            <w:proofErr w:type="spellStart"/>
            <w:r w:rsidR="006437A2" w:rsidRPr="006437A2">
              <w:rPr>
                <w:rStyle w:val="citation-33"/>
                <w:rFonts w:ascii="Arial" w:hAnsi="Arial" w:cs="Arial"/>
                <w:sz w:val="20"/>
                <w:szCs w:val="20"/>
              </w:rPr>
              <w:t>prevalence</w:t>
            </w:r>
            <w:proofErr w:type="spellEnd"/>
            <w:r w:rsidR="006437A2" w:rsidRPr="006437A2">
              <w:rPr>
                <w:rStyle w:val="citation-33"/>
                <w:rFonts w:ascii="Arial" w:hAnsi="Arial" w:cs="Arial"/>
                <w:sz w:val="20"/>
                <w:szCs w:val="20"/>
              </w:rPr>
              <w:t xml:space="preserve"> of </w:t>
            </w:r>
            <w:proofErr w:type="spellStart"/>
            <w:r w:rsidR="006437A2" w:rsidRPr="006437A2">
              <w:rPr>
                <w:rStyle w:val="citation-33"/>
                <w:rFonts w:ascii="Arial" w:hAnsi="Arial" w:cs="Arial"/>
                <w:sz w:val="20"/>
                <w:szCs w:val="20"/>
              </w:rPr>
              <w:t>sarcopenic</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obesity</w:t>
            </w:r>
            <w:proofErr w:type="spellEnd"/>
            <w:r w:rsidR="006437A2" w:rsidRPr="006437A2">
              <w:rPr>
                <w:rStyle w:val="citation-33"/>
                <w:rFonts w:ascii="Arial" w:hAnsi="Arial" w:cs="Arial"/>
                <w:sz w:val="20"/>
                <w:szCs w:val="20"/>
              </w:rPr>
              <w:t xml:space="preserve"> and </w:t>
            </w:r>
            <w:proofErr w:type="spellStart"/>
            <w:r w:rsidR="006437A2" w:rsidRPr="006437A2">
              <w:rPr>
                <w:rStyle w:val="citation-33"/>
                <w:rFonts w:ascii="Arial" w:hAnsi="Arial" w:cs="Arial"/>
                <w:sz w:val="20"/>
                <w:szCs w:val="20"/>
              </w:rPr>
              <w:t>its</w:t>
            </w:r>
            <w:proofErr w:type="spellEnd"/>
            <w:r w:rsidR="006437A2" w:rsidRPr="006437A2">
              <w:rPr>
                <w:rStyle w:val="citation-33"/>
                <w:rFonts w:ascii="Arial" w:hAnsi="Arial" w:cs="Arial"/>
                <w:sz w:val="20"/>
                <w:szCs w:val="20"/>
              </w:rPr>
              <w:t xml:space="preserve"> association </w:t>
            </w:r>
            <w:proofErr w:type="spellStart"/>
            <w:r w:rsidR="006437A2" w:rsidRPr="006437A2">
              <w:rPr>
                <w:rStyle w:val="citation-33"/>
                <w:rFonts w:ascii="Arial" w:hAnsi="Arial" w:cs="Arial"/>
                <w:sz w:val="20"/>
                <w:szCs w:val="20"/>
              </w:rPr>
              <w:t>with</w:t>
            </w:r>
            <w:proofErr w:type="spellEnd"/>
            <w:r w:rsidR="006437A2" w:rsidRPr="006437A2">
              <w:rPr>
                <w:rStyle w:val="citation-33"/>
                <w:rFonts w:ascii="Arial" w:hAnsi="Arial" w:cs="Arial"/>
                <w:sz w:val="20"/>
                <w:szCs w:val="20"/>
              </w:rPr>
              <w:t xml:space="preserve"> pro-</w:t>
            </w:r>
            <w:proofErr w:type="spellStart"/>
            <w:r w:rsidR="006437A2" w:rsidRPr="006437A2">
              <w:rPr>
                <w:rStyle w:val="citation-33"/>
                <w:rFonts w:ascii="Arial" w:hAnsi="Arial" w:cs="Arial"/>
                <w:sz w:val="20"/>
                <w:szCs w:val="20"/>
              </w:rPr>
              <w:t>inflammatory</w:t>
            </w:r>
            <w:proofErr w:type="spellEnd"/>
            <w:r w:rsidR="006437A2" w:rsidRPr="006437A2">
              <w:rPr>
                <w:rStyle w:val="citation-33"/>
                <w:rFonts w:ascii="Arial" w:hAnsi="Arial" w:cs="Arial"/>
                <w:sz w:val="20"/>
                <w:szCs w:val="20"/>
              </w:rPr>
              <w:t xml:space="preserve"> </w:t>
            </w:r>
            <w:proofErr w:type="spellStart"/>
            <w:r w:rsidR="006437A2" w:rsidRPr="006437A2">
              <w:rPr>
                <w:rStyle w:val="citation-33"/>
                <w:rFonts w:ascii="Arial" w:hAnsi="Arial" w:cs="Arial"/>
                <w:sz w:val="20"/>
                <w:szCs w:val="20"/>
              </w:rPr>
              <w:t>dietary</w:t>
            </w:r>
            <w:proofErr w:type="spellEnd"/>
            <w:r w:rsidR="006437A2" w:rsidRPr="006437A2">
              <w:rPr>
                <w:rStyle w:val="citation-33"/>
                <w:rFonts w:ascii="Arial" w:hAnsi="Arial" w:cs="Arial"/>
                <w:sz w:val="20"/>
                <w:szCs w:val="20"/>
              </w:rPr>
              <w:t xml:space="preserve"> patterns</w:t>
            </w:r>
            <w:r w:rsidR="006437A2" w:rsidRPr="006437A2">
              <w:rPr>
                <w:rFonts w:ascii="Arial" w:hAnsi="Arial" w:cs="Arial"/>
                <w:sz w:val="20"/>
                <w:szCs w:val="20"/>
              </w:rPr>
              <w:t>.</w:t>
            </w:r>
          </w:p>
          <w:p w14:paraId="6C74247A" w14:textId="14D6AEF3" w:rsidR="006437A2" w:rsidRPr="006437A2" w:rsidRDefault="006437A2" w:rsidP="007C0428">
            <w:pPr>
              <w:pStyle w:val="NormalWeb"/>
              <w:rPr>
                <w:rFonts w:ascii="Arial" w:hAnsi="Arial" w:cs="Arial"/>
                <w:sz w:val="20"/>
                <w:szCs w:val="20"/>
              </w:rPr>
            </w:pPr>
            <w:r w:rsidRPr="006437A2">
              <w:rPr>
                <w:rStyle w:val="citation-32"/>
                <w:rFonts w:ascii="Arial" w:hAnsi="Arial" w:cs="Arial"/>
                <w:b/>
                <w:bCs/>
                <w:sz w:val="20"/>
                <w:szCs w:val="20"/>
              </w:rPr>
              <w:t>Methods</w:t>
            </w:r>
            <w:r w:rsidR="00F5476C">
              <w:rPr>
                <w:rStyle w:val="citation-32"/>
                <w:rFonts w:ascii="Arial" w:hAnsi="Arial" w:cs="Arial"/>
                <w:b/>
                <w:bCs/>
                <w:sz w:val="20"/>
                <w:szCs w:val="20"/>
              </w:rPr>
              <w:t xml:space="preserve"> and </w:t>
            </w:r>
            <w:proofErr w:type="gramStart"/>
            <w:r w:rsidR="00F5476C">
              <w:rPr>
                <w:rStyle w:val="citation-32"/>
                <w:rFonts w:ascii="Arial" w:hAnsi="Arial" w:cs="Arial"/>
                <w:b/>
                <w:bCs/>
                <w:sz w:val="20"/>
                <w:szCs w:val="20"/>
              </w:rPr>
              <w:t>Patients</w:t>
            </w:r>
            <w:r w:rsidRPr="006437A2">
              <w:rPr>
                <w:rStyle w:val="citation-32"/>
                <w:rFonts w:ascii="Arial" w:hAnsi="Arial" w:cs="Arial"/>
                <w:b/>
                <w:bCs/>
                <w:sz w:val="20"/>
                <w:szCs w:val="20"/>
              </w:rPr>
              <w:t>:</w:t>
            </w:r>
            <w:proofErr w:type="gramEnd"/>
            <w:r w:rsidRPr="006437A2">
              <w:rPr>
                <w:rStyle w:val="citation-32"/>
                <w:rFonts w:ascii="Arial" w:hAnsi="Arial" w:cs="Arial"/>
                <w:sz w:val="20"/>
                <w:szCs w:val="20"/>
              </w:rPr>
              <w:t xml:space="preserve"> A cross-sectional </w:t>
            </w:r>
            <w:proofErr w:type="spellStart"/>
            <w:r w:rsidRPr="006437A2">
              <w:rPr>
                <w:rStyle w:val="citation-32"/>
                <w:rFonts w:ascii="Arial" w:hAnsi="Arial" w:cs="Arial"/>
                <w:sz w:val="20"/>
                <w:szCs w:val="20"/>
              </w:rPr>
              <w:t>study</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was</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conducted</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between</w:t>
            </w:r>
            <w:proofErr w:type="spellEnd"/>
            <w:r w:rsidRPr="006437A2">
              <w:rPr>
                <w:rStyle w:val="citation-32"/>
                <w:rFonts w:ascii="Arial" w:hAnsi="Arial" w:cs="Arial"/>
                <w:sz w:val="20"/>
                <w:szCs w:val="20"/>
              </w:rPr>
              <w:t xml:space="preserve"> June and </w:t>
            </w:r>
            <w:proofErr w:type="spellStart"/>
            <w:r w:rsidRPr="006437A2">
              <w:rPr>
                <w:rStyle w:val="citation-32"/>
                <w:rFonts w:ascii="Arial" w:hAnsi="Arial" w:cs="Arial"/>
                <w:sz w:val="20"/>
                <w:szCs w:val="20"/>
              </w:rPr>
              <w:t>October</w:t>
            </w:r>
            <w:proofErr w:type="spellEnd"/>
            <w:r w:rsidRPr="006437A2">
              <w:rPr>
                <w:rStyle w:val="citation-32"/>
                <w:rFonts w:ascii="Arial" w:hAnsi="Arial" w:cs="Arial"/>
                <w:sz w:val="20"/>
                <w:szCs w:val="20"/>
              </w:rPr>
              <w:t xml:space="preserve"> 2024 at the Lomé </w:t>
            </w:r>
            <w:proofErr w:type="spellStart"/>
            <w:r w:rsidRPr="006437A2">
              <w:rPr>
                <w:rStyle w:val="citation-32"/>
                <w:rFonts w:ascii="Arial" w:hAnsi="Arial" w:cs="Arial"/>
                <w:sz w:val="20"/>
                <w:szCs w:val="20"/>
              </w:rPr>
              <w:t>University</w:t>
            </w:r>
            <w:proofErr w:type="spellEnd"/>
            <w:r w:rsidRPr="006437A2">
              <w:rPr>
                <w:rStyle w:val="citation-32"/>
                <w:rFonts w:ascii="Arial" w:hAnsi="Arial" w:cs="Arial"/>
                <w:sz w:val="20"/>
                <w:szCs w:val="20"/>
              </w:rPr>
              <w:t xml:space="preserve"> Hospital Centre, </w:t>
            </w:r>
            <w:proofErr w:type="spellStart"/>
            <w:r w:rsidRPr="006437A2">
              <w:rPr>
                <w:rStyle w:val="citation-32"/>
                <w:rFonts w:ascii="Arial" w:hAnsi="Arial" w:cs="Arial"/>
                <w:sz w:val="20"/>
                <w:szCs w:val="20"/>
              </w:rPr>
              <w:t>recruiting</w:t>
            </w:r>
            <w:proofErr w:type="spellEnd"/>
            <w:r w:rsidRPr="006437A2">
              <w:rPr>
                <w:rStyle w:val="citation-32"/>
                <w:rFonts w:ascii="Arial" w:hAnsi="Arial" w:cs="Arial"/>
                <w:sz w:val="20"/>
                <w:szCs w:val="20"/>
              </w:rPr>
              <w:t xml:space="preserve"> 363 </w:t>
            </w:r>
            <w:proofErr w:type="spellStart"/>
            <w:r w:rsidRPr="006437A2">
              <w:rPr>
                <w:rStyle w:val="citation-32"/>
                <w:rFonts w:ascii="Arial" w:hAnsi="Arial" w:cs="Arial"/>
                <w:sz w:val="20"/>
                <w:szCs w:val="20"/>
              </w:rPr>
              <w:t>adult</w:t>
            </w:r>
            <w:proofErr w:type="spellEnd"/>
            <w:r w:rsidRPr="006437A2">
              <w:rPr>
                <w:rStyle w:val="citation-32"/>
                <w:rFonts w:ascii="Arial" w:hAnsi="Arial" w:cs="Arial"/>
                <w:sz w:val="20"/>
                <w:szCs w:val="20"/>
              </w:rPr>
              <w:t xml:space="preserve"> patients </w:t>
            </w:r>
            <w:proofErr w:type="spellStart"/>
            <w:r w:rsidRPr="006437A2">
              <w:rPr>
                <w:rStyle w:val="citation-32"/>
                <w:rFonts w:ascii="Arial" w:hAnsi="Arial" w:cs="Arial"/>
                <w:sz w:val="20"/>
                <w:szCs w:val="20"/>
              </w:rPr>
              <w:t>with</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chronic</w:t>
            </w:r>
            <w:proofErr w:type="spellEnd"/>
            <w:r w:rsidRPr="006437A2">
              <w:rPr>
                <w:rStyle w:val="citation-32"/>
                <w:rFonts w:ascii="Arial" w:hAnsi="Arial" w:cs="Arial"/>
                <w:sz w:val="20"/>
                <w:szCs w:val="20"/>
              </w:rPr>
              <w:t xml:space="preserve"> </w:t>
            </w:r>
            <w:proofErr w:type="spellStart"/>
            <w:r w:rsidRPr="006437A2">
              <w:rPr>
                <w:rStyle w:val="citation-32"/>
                <w:rFonts w:ascii="Arial" w:hAnsi="Arial" w:cs="Arial"/>
                <w:sz w:val="20"/>
                <w:szCs w:val="20"/>
              </w:rPr>
              <w:t>hepatitis</w:t>
            </w:r>
            <w:proofErr w:type="spellEnd"/>
            <w:r w:rsidRPr="006437A2">
              <w:rPr>
                <w:rStyle w:val="citation-32"/>
                <w:rFonts w:ascii="Arial" w:hAnsi="Arial" w:cs="Arial"/>
                <w:sz w:val="20"/>
                <w:szCs w:val="20"/>
              </w:rPr>
              <w:t xml:space="preserve"> B </w:t>
            </w:r>
            <w:proofErr w:type="spellStart"/>
            <w:r w:rsidRPr="006437A2">
              <w:rPr>
                <w:rStyle w:val="citation-32"/>
                <w:rFonts w:ascii="Arial" w:hAnsi="Arial" w:cs="Arial"/>
                <w:sz w:val="20"/>
                <w:szCs w:val="20"/>
              </w:rPr>
              <w:t>or</w:t>
            </w:r>
            <w:proofErr w:type="spellEnd"/>
            <w:r w:rsidRPr="006437A2">
              <w:rPr>
                <w:rStyle w:val="citation-32"/>
                <w:rFonts w:ascii="Arial" w:hAnsi="Arial" w:cs="Arial"/>
                <w:sz w:val="20"/>
                <w:szCs w:val="20"/>
              </w:rPr>
              <w:t xml:space="preserve"> C</w:t>
            </w:r>
            <w:r w:rsidRPr="006437A2">
              <w:rPr>
                <w:rFonts w:ascii="Arial" w:hAnsi="Arial" w:cs="Arial"/>
                <w:sz w:val="20"/>
                <w:szCs w:val="20"/>
              </w:rPr>
              <w:t xml:space="preserve">. </w:t>
            </w:r>
            <w:r w:rsidRPr="006437A2">
              <w:rPr>
                <w:rStyle w:val="citation-31"/>
                <w:rFonts w:ascii="Arial" w:hAnsi="Arial" w:cs="Arial"/>
                <w:sz w:val="20"/>
                <w:szCs w:val="20"/>
              </w:rPr>
              <w:t xml:space="preserve">Body composition, </w:t>
            </w:r>
            <w:proofErr w:type="spellStart"/>
            <w:r w:rsidRPr="006437A2">
              <w:rPr>
                <w:rStyle w:val="citation-31"/>
                <w:rFonts w:ascii="Arial" w:hAnsi="Arial" w:cs="Arial"/>
                <w:sz w:val="20"/>
                <w:szCs w:val="20"/>
              </w:rPr>
              <w:t>including</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visceral</w:t>
            </w:r>
            <w:proofErr w:type="spellEnd"/>
            <w:r w:rsidRPr="006437A2">
              <w:rPr>
                <w:rStyle w:val="citation-31"/>
                <w:rFonts w:ascii="Arial" w:hAnsi="Arial" w:cs="Arial"/>
                <w:sz w:val="20"/>
                <w:szCs w:val="20"/>
              </w:rPr>
              <w:t xml:space="preserve"> fat and </w:t>
            </w:r>
            <w:proofErr w:type="spellStart"/>
            <w:r w:rsidRPr="006437A2">
              <w:rPr>
                <w:rStyle w:val="citation-31"/>
                <w:rFonts w:ascii="Arial" w:hAnsi="Arial" w:cs="Arial"/>
                <w:sz w:val="20"/>
                <w:szCs w:val="20"/>
              </w:rPr>
              <w:t>protein</w:t>
            </w:r>
            <w:proofErr w:type="spellEnd"/>
            <w:r w:rsidRPr="006437A2">
              <w:rPr>
                <w:rStyle w:val="citation-31"/>
                <w:rFonts w:ascii="Arial" w:hAnsi="Arial" w:cs="Arial"/>
                <w:sz w:val="20"/>
                <w:szCs w:val="20"/>
              </w:rPr>
              <w:t xml:space="preserve"> mass, </w:t>
            </w:r>
            <w:proofErr w:type="spellStart"/>
            <w:r w:rsidRPr="006437A2">
              <w:rPr>
                <w:rStyle w:val="citation-31"/>
                <w:rFonts w:ascii="Arial" w:hAnsi="Arial" w:cs="Arial"/>
                <w:sz w:val="20"/>
                <w:szCs w:val="20"/>
              </w:rPr>
              <w:t>was</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assessed</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using</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bioelectrical</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impedance</w:t>
            </w:r>
            <w:proofErr w:type="spellEnd"/>
            <w:r w:rsidRPr="006437A2">
              <w:rPr>
                <w:rStyle w:val="citation-31"/>
                <w:rFonts w:ascii="Arial" w:hAnsi="Arial" w:cs="Arial"/>
                <w:sz w:val="20"/>
                <w:szCs w:val="20"/>
              </w:rPr>
              <w:t xml:space="preserve"> </w:t>
            </w:r>
            <w:proofErr w:type="spellStart"/>
            <w:r w:rsidRPr="006437A2">
              <w:rPr>
                <w:rStyle w:val="citation-31"/>
                <w:rFonts w:ascii="Arial" w:hAnsi="Arial" w:cs="Arial"/>
                <w:sz w:val="20"/>
                <w:szCs w:val="20"/>
              </w:rPr>
              <w:t>analysis</w:t>
            </w:r>
            <w:proofErr w:type="spellEnd"/>
            <w:r w:rsidRPr="006437A2">
              <w:rPr>
                <w:rStyle w:val="citation-31"/>
                <w:rFonts w:ascii="Arial" w:hAnsi="Arial" w:cs="Arial"/>
                <w:sz w:val="20"/>
                <w:szCs w:val="20"/>
              </w:rPr>
              <w:t xml:space="preserve"> (BIA)</w:t>
            </w:r>
            <w:r w:rsidRPr="006437A2">
              <w:rPr>
                <w:rFonts w:ascii="Arial" w:hAnsi="Arial" w:cs="Arial"/>
                <w:sz w:val="20"/>
                <w:szCs w:val="20"/>
              </w:rPr>
              <w:t xml:space="preserve">. </w:t>
            </w:r>
            <w:proofErr w:type="spellStart"/>
            <w:r w:rsidRPr="006437A2">
              <w:rPr>
                <w:rStyle w:val="citation-30"/>
                <w:rFonts w:ascii="Arial" w:hAnsi="Arial" w:cs="Arial"/>
                <w:sz w:val="20"/>
                <w:szCs w:val="20"/>
              </w:rPr>
              <w:t>Hepatic</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steatosis</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was</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identified</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from</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ultrasonography</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results</w:t>
            </w:r>
            <w:proofErr w:type="spellEnd"/>
            <w:r w:rsidRPr="006437A2">
              <w:rPr>
                <w:rStyle w:val="citation-30"/>
                <w:rFonts w:ascii="Arial" w:hAnsi="Arial" w:cs="Arial"/>
                <w:sz w:val="20"/>
                <w:szCs w:val="20"/>
              </w:rPr>
              <w:t xml:space="preserve"> in patient records, and a semi-quantitative </w:t>
            </w:r>
            <w:proofErr w:type="spellStart"/>
            <w:r w:rsidRPr="006437A2">
              <w:rPr>
                <w:rStyle w:val="citation-30"/>
                <w:rFonts w:ascii="Arial" w:hAnsi="Arial" w:cs="Arial"/>
                <w:sz w:val="20"/>
                <w:szCs w:val="20"/>
              </w:rPr>
              <w:t>food</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frequency</w:t>
            </w:r>
            <w:proofErr w:type="spellEnd"/>
            <w:r w:rsidRPr="006437A2">
              <w:rPr>
                <w:rStyle w:val="citation-30"/>
                <w:rFonts w:ascii="Arial" w:hAnsi="Arial" w:cs="Arial"/>
                <w:sz w:val="20"/>
                <w:szCs w:val="20"/>
              </w:rPr>
              <w:t xml:space="preserve"> questionnaire </w:t>
            </w:r>
            <w:proofErr w:type="spellStart"/>
            <w:r w:rsidRPr="006437A2">
              <w:rPr>
                <w:rStyle w:val="citation-30"/>
                <w:rFonts w:ascii="Arial" w:hAnsi="Arial" w:cs="Arial"/>
                <w:sz w:val="20"/>
                <w:szCs w:val="20"/>
              </w:rPr>
              <w:t>evaluated</w:t>
            </w:r>
            <w:proofErr w:type="spellEnd"/>
            <w:r w:rsidRPr="006437A2">
              <w:rPr>
                <w:rStyle w:val="citation-30"/>
                <w:rFonts w:ascii="Arial" w:hAnsi="Arial" w:cs="Arial"/>
                <w:sz w:val="20"/>
                <w:szCs w:val="20"/>
              </w:rPr>
              <w:t xml:space="preserve"> pro-</w:t>
            </w:r>
            <w:proofErr w:type="spellStart"/>
            <w:r w:rsidRPr="006437A2">
              <w:rPr>
                <w:rStyle w:val="citation-30"/>
                <w:rFonts w:ascii="Arial" w:hAnsi="Arial" w:cs="Arial"/>
                <w:sz w:val="20"/>
                <w:szCs w:val="20"/>
              </w:rPr>
              <w:t>inflammatory</w:t>
            </w:r>
            <w:proofErr w:type="spellEnd"/>
            <w:r w:rsidRPr="006437A2">
              <w:rPr>
                <w:rStyle w:val="citation-30"/>
                <w:rFonts w:ascii="Arial" w:hAnsi="Arial" w:cs="Arial"/>
                <w:sz w:val="20"/>
                <w:szCs w:val="20"/>
              </w:rPr>
              <w:t xml:space="preserve"> </w:t>
            </w:r>
            <w:proofErr w:type="spellStart"/>
            <w:r w:rsidRPr="006437A2">
              <w:rPr>
                <w:rStyle w:val="citation-30"/>
                <w:rFonts w:ascii="Arial" w:hAnsi="Arial" w:cs="Arial"/>
                <w:sz w:val="20"/>
                <w:szCs w:val="20"/>
              </w:rPr>
              <w:t>dietary</w:t>
            </w:r>
            <w:proofErr w:type="spellEnd"/>
            <w:r w:rsidRPr="006437A2">
              <w:rPr>
                <w:rStyle w:val="citation-30"/>
                <w:rFonts w:ascii="Arial" w:hAnsi="Arial" w:cs="Arial"/>
                <w:sz w:val="20"/>
                <w:szCs w:val="20"/>
              </w:rPr>
              <w:t xml:space="preserve"> habits</w:t>
            </w:r>
            <w:r w:rsidRPr="006437A2">
              <w:rPr>
                <w:rFonts w:ascii="Arial" w:hAnsi="Arial" w:cs="Arial"/>
                <w:sz w:val="20"/>
                <w:szCs w:val="20"/>
              </w:rPr>
              <w:t>.</w:t>
            </w:r>
          </w:p>
          <w:p w14:paraId="3EA85D1F" w14:textId="77777777" w:rsidR="006437A2" w:rsidRPr="006437A2" w:rsidRDefault="006437A2" w:rsidP="007C0428">
            <w:pPr>
              <w:pStyle w:val="NormalWeb"/>
              <w:rPr>
                <w:rFonts w:ascii="Arial" w:hAnsi="Arial" w:cs="Arial"/>
                <w:sz w:val="20"/>
                <w:szCs w:val="20"/>
              </w:rPr>
            </w:pPr>
            <w:proofErr w:type="spellStart"/>
            <w:proofErr w:type="gramStart"/>
            <w:r w:rsidRPr="006437A2">
              <w:rPr>
                <w:rStyle w:val="citation-29"/>
                <w:rFonts w:ascii="Arial" w:hAnsi="Arial" w:cs="Arial"/>
                <w:b/>
                <w:bCs/>
                <w:sz w:val="20"/>
                <w:szCs w:val="20"/>
              </w:rPr>
              <w:t>Results</w:t>
            </w:r>
            <w:proofErr w:type="spellEnd"/>
            <w:r w:rsidRPr="006437A2">
              <w:rPr>
                <w:rStyle w:val="citation-29"/>
                <w:rFonts w:ascii="Arial" w:hAnsi="Arial" w:cs="Arial"/>
                <w:b/>
                <w:bCs/>
                <w:sz w:val="20"/>
                <w:szCs w:val="20"/>
              </w:rPr>
              <w:t>:</w:t>
            </w:r>
            <w:proofErr w:type="gramEnd"/>
            <w:r w:rsidRPr="006437A2">
              <w:rPr>
                <w:rStyle w:val="citation-29"/>
                <w:rFonts w:ascii="Arial" w:hAnsi="Arial" w:cs="Arial"/>
                <w:sz w:val="20"/>
                <w:szCs w:val="20"/>
              </w:rPr>
              <w:t xml:space="preserve"> The </w:t>
            </w:r>
            <w:proofErr w:type="spellStart"/>
            <w:r w:rsidRPr="006437A2">
              <w:rPr>
                <w:rStyle w:val="citation-29"/>
                <w:rFonts w:ascii="Arial" w:hAnsi="Arial" w:cs="Arial"/>
                <w:sz w:val="20"/>
                <w:szCs w:val="20"/>
              </w:rPr>
              <w:t>cohort</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was</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predominantly</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infected</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with</w:t>
            </w:r>
            <w:proofErr w:type="spellEnd"/>
            <w:r w:rsidRPr="006437A2">
              <w:rPr>
                <w:rStyle w:val="citation-29"/>
                <w:rFonts w:ascii="Arial" w:hAnsi="Arial" w:cs="Arial"/>
                <w:sz w:val="20"/>
                <w:szCs w:val="20"/>
              </w:rPr>
              <w:t xml:space="preserve"> HBV (81.5%) and </w:t>
            </w:r>
            <w:proofErr w:type="spellStart"/>
            <w:r w:rsidRPr="006437A2">
              <w:rPr>
                <w:rStyle w:val="citation-29"/>
                <w:rFonts w:ascii="Arial" w:hAnsi="Arial" w:cs="Arial"/>
                <w:sz w:val="20"/>
                <w:szCs w:val="20"/>
              </w:rPr>
              <w:t>exhibited</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significant</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metabolic</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comorbidity</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with</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hepatic</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steatosis</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present</w:t>
            </w:r>
            <w:proofErr w:type="spellEnd"/>
            <w:r w:rsidRPr="006437A2">
              <w:rPr>
                <w:rStyle w:val="citation-29"/>
                <w:rFonts w:ascii="Arial" w:hAnsi="Arial" w:cs="Arial"/>
                <w:sz w:val="20"/>
                <w:szCs w:val="20"/>
              </w:rPr>
              <w:t xml:space="preserve"> </w:t>
            </w:r>
            <w:proofErr w:type="spellStart"/>
            <w:r w:rsidRPr="006437A2">
              <w:rPr>
                <w:rStyle w:val="citation-29"/>
                <w:rFonts w:ascii="Arial" w:hAnsi="Arial" w:cs="Arial"/>
                <w:sz w:val="20"/>
                <w:szCs w:val="20"/>
              </w:rPr>
              <w:t>in</w:t>
            </w:r>
            <w:proofErr w:type="spellEnd"/>
            <w:r w:rsidRPr="006437A2">
              <w:rPr>
                <w:rStyle w:val="citation-29"/>
                <w:rFonts w:ascii="Arial" w:hAnsi="Arial" w:cs="Arial"/>
                <w:sz w:val="20"/>
                <w:szCs w:val="20"/>
              </w:rPr>
              <w:t xml:space="preserve"> 55.2% of patients</w:t>
            </w:r>
            <w:r w:rsidRPr="006437A2">
              <w:rPr>
                <w:rFonts w:ascii="Arial" w:hAnsi="Arial" w:cs="Arial"/>
                <w:sz w:val="20"/>
                <w:szCs w:val="20"/>
              </w:rPr>
              <w:t xml:space="preserve">. </w:t>
            </w:r>
            <w:r w:rsidRPr="006437A2">
              <w:rPr>
                <w:rStyle w:val="citation-28"/>
                <w:rFonts w:ascii="Arial" w:hAnsi="Arial" w:cs="Arial"/>
                <w:sz w:val="20"/>
                <w:szCs w:val="20"/>
              </w:rPr>
              <w:t xml:space="preserve">BIA </w:t>
            </w:r>
            <w:proofErr w:type="spellStart"/>
            <w:r w:rsidRPr="006437A2">
              <w:rPr>
                <w:rStyle w:val="citation-28"/>
                <w:rFonts w:ascii="Arial" w:hAnsi="Arial" w:cs="Arial"/>
                <w:sz w:val="20"/>
                <w:szCs w:val="20"/>
              </w:rPr>
              <w:t>unmasked</w:t>
            </w:r>
            <w:proofErr w:type="spellEnd"/>
            <w:r w:rsidRPr="006437A2">
              <w:rPr>
                <w:rStyle w:val="citation-28"/>
                <w:rFonts w:ascii="Arial" w:hAnsi="Arial" w:cs="Arial"/>
                <w:sz w:val="20"/>
                <w:szCs w:val="20"/>
              </w:rPr>
              <w:t xml:space="preserve"> a </w:t>
            </w:r>
            <w:proofErr w:type="spellStart"/>
            <w:r w:rsidRPr="006437A2">
              <w:rPr>
                <w:rStyle w:val="citation-28"/>
                <w:rFonts w:ascii="Arial" w:hAnsi="Arial" w:cs="Arial"/>
                <w:sz w:val="20"/>
                <w:szCs w:val="20"/>
              </w:rPr>
              <w:t>profound</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nutritional</w:t>
            </w:r>
            <w:proofErr w:type="spellEnd"/>
            <w:r w:rsidRPr="006437A2">
              <w:rPr>
                <w:rStyle w:val="citation-28"/>
                <w:rFonts w:ascii="Arial" w:hAnsi="Arial" w:cs="Arial"/>
                <w:sz w:val="20"/>
                <w:szCs w:val="20"/>
              </w:rPr>
              <w:t xml:space="preserve"> </w:t>
            </w:r>
            <w:proofErr w:type="spellStart"/>
            <w:proofErr w:type="gramStart"/>
            <w:r w:rsidRPr="006437A2">
              <w:rPr>
                <w:rStyle w:val="citation-28"/>
                <w:rFonts w:ascii="Arial" w:hAnsi="Arial" w:cs="Arial"/>
                <w:sz w:val="20"/>
                <w:szCs w:val="20"/>
              </w:rPr>
              <w:t>paradox</w:t>
            </w:r>
            <w:proofErr w:type="spellEnd"/>
            <w:r w:rsidRPr="006437A2">
              <w:rPr>
                <w:rStyle w:val="citation-28"/>
                <w:rFonts w:ascii="Arial" w:hAnsi="Arial" w:cs="Arial"/>
                <w:sz w:val="20"/>
                <w:szCs w:val="20"/>
              </w:rPr>
              <w:t>:</w:t>
            </w:r>
            <w:proofErr w:type="gram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a</w:t>
            </w:r>
            <w:proofErr w:type="spellEnd"/>
            <w:r w:rsidRPr="006437A2">
              <w:rPr>
                <w:rStyle w:val="citation-28"/>
                <w:rFonts w:ascii="Arial" w:hAnsi="Arial" w:cs="Arial"/>
                <w:sz w:val="20"/>
                <w:szCs w:val="20"/>
              </w:rPr>
              <w:t xml:space="preserve"> high </w:t>
            </w:r>
            <w:proofErr w:type="spellStart"/>
            <w:r w:rsidRPr="006437A2">
              <w:rPr>
                <w:rStyle w:val="citation-28"/>
                <w:rFonts w:ascii="Arial" w:hAnsi="Arial" w:cs="Arial"/>
                <w:sz w:val="20"/>
                <w:szCs w:val="20"/>
              </w:rPr>
              <w:t>prevalence</w:t>
            </w:r>
            <w:proofErr w:type="spellEnd"/>
            <w:r w:rsidRPr="006437A2">
              <w:rPr>
                <w:rStyle w:val="citation-28"/>
                <w:rFonts w:ascii="Arial" w:hAnsi="Arial" w:cs="Arial"/>
                <w:sz w:val="20"/>
                <w:szCs w:val="20"/>
              </w:rPr>
              <w:t xml:space="preserve"> of </w:t>
            </w:r>
            <w:proofErr w:type="spellStart"/>
            <w:r w:rsidRPr="006437A2">
              <w:rPr>
                <w:rStyle w:val="citation-28"/>
                <w:rFonts w:ascii="Arial" w:hAnsi="Arial" w:cs="Arial"/>
                <w:sz w:val="20"/>
                <w:szCs w:val="20"/>
              </w:rPr>
              <w:t>visceral</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obesity</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affecting</w:t>
            </w:r>
            <w:proofErr w:type="spellEnd"/>
            <w:r w:rsidRPr="006437A2">
              <w:rPr>
                <w:rStyle w:val="citation-28"/>
                <w:rFonts w:ascii="Arial" w:hAnsi="Arial" w:cs="Arial"/>
                <w:sz w:val="20"/>
                <w:szCs w:val="20"/>
              </w:rPr>
              <w:t xml:space="preserve"> 59.4% of men and 76.7% of </w:t>
            </w:r>
            <w:proofErr w:type="spellStart"/>
            <w:r w:rsidRPr="006437A2">
              <w:rPr>
                <w:rStyle w:val="citation-28"/>
                <w:rFonts w:ascii="Arial" w:hAnsi="Arial" w:cs="Arial"/>
                <w:sz w:val="20"/>
                <w:szCs w:val="20"/>
              </w:rPr>
              <w:t>women</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coexisted</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with</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severe</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protein</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depletion</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found</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in</w:t>
            </w:r>
            <w:proofErr w:type="spellEnd"/>
            <w:r w:rsidRPr="006437A2">
              <w:rPr>
                <w:rStyle w:val="citation-28"/>
                <w:rFonts w:ascii="Arial" w:hAnsi="Arial" w:cs="Arial"/>
                <w:sz w:val="20"/>
                <w:szCs w:val="20"/>
              </w:rPr>
              <w:t xml:space="preserve"> 59.4% of men and 82.9% of </w:t>
            </w:r>
            <w:proofErr w:type="spellStart"/>
            <w:r w:rsidRPr="006437A2">
              <w:rPr>
                <w:rStyle w:val="citation-28"/>
                <w:rFonts w:ascii="Arial" w:hAnsi="Arial" w:cs="Arial"/>
                <w:sz w:val="20"/>
                <w:szCs w:val="20"/>
              </w:rPr>
              <w:t>women</w:t>
            </w:r>
            <w:proofErr w:type="spellEnd"/>
            <w:r w:rsidRPr="006437A2">
              <w:rPr>
                <w:rStyle w:val="citation-28"/>
                <w:rFonts w:ascii="Arial" w:hAnsi="Arial" w:cs="Arial"/>
                <w:sz w:val="20"/>
                <w:szCs w:val="20"/>
              </w:rPr>
              <w:t xml:space="preserve">), the signature of </w:t>
            </w:r>
            <w:proofErr w:type="spellStart"/>
            <w:r w:rsidRPr="006437A2">
              <w:rPr>
                <w:rStyle w:val="citation-28"/>
                <w:rFonts w:ascii="Arial" w:hAnsi="Arial" w:cs="Arial"/>
                <w:sz w:val="20"/>
                <w:szCs w:val="20"/>
              </w:rPr>
              <w:t>sarcopenic</w:t>
            </w:r>
            <w:proofErr w:type="spellEnd"/>
            <w:r w:rsidRPr="006437A2">
              <w:rPr>
                <w:rStyle w:val="citation-28"/>
                <w:rFonts w:ascii="Arial" w:hAnsi="Arial" w:cs="Arial"/>
                <w:sz w:val="20"/>
                <w:szCs w:val="20"/>
              </w:rPr>
              <w:t xml:space="preserve"> </w:t>
            </w:r>
            <w:proofErr w:type="spellStart"/>
            <w:r w:rsidRPr="006437A2">
              <w:rPr>
                <w:rStyle w:val="citation-28"/>
                <w:rFonts w:ascii="Arial" w:hAnsi="Arial" w:cs="Arial"/>
                <w:sz w:val="20"/>
                <w:szCs w:val="20"/>
              </w:rPr>
              <w:t>obesity</w:t>
            </w:r>
            <w:proofErr w:type="spellEnd"/>
            <w:r w:rsidRPr="006437A2">
              <w:rPr>
                <w:rFonts w:ascii="Arial" w:hAnsi="Arial" w:cs="Arial"/>
                <w:sz w:val="20"/>
                <w:szCs w:val="20"/>
              </w:rPr>
              <w:t xml:space="preserve">. </w:t>
            </w:r>
            <w:r w:rsidRPr="006437A2">
              <w:rPr>
                <w:rStyle w:val="citation-27"/>
                <w:rFonts w:ascii="Arial" w:hAnsi="Arial" w:cs="Arial"/>
                <w:sz w:val="20"/>
                <w:szCs w:val="20"/>
              </w:rPr>
              <w:t xml:space="preserve">This adverse </w:t>
            </w:r>
            <w:proofErr w:type="spellStart"/>
            <w:r w:rsidRPr="006437A2">
              <w:rPr>
                <w:rStyle w:val="citation-27"/>
                <w:rFonts w:ascii="Arial" w:hAnsi="Arial" w:cs="Arial"/>
                <w:sz w:val="20"/>
                <w:szCs w:val="20"/>
              </w:rPr>
              <w:t>phenotype</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was</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strongly</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linked</w:t>
            </w:r>
            <w:proofErr w:type="spellEnd"/>
            <w:r w:rsidRPr="006437A2">
              <w:rPr>
                <w:rStyle w:val="citation-27"/>
                <w:rFonts w:ascii="Arial" w:hAnsi="Arial" w:cs="Arial"/>
                <w:sz w:val="20"/>
                <w:szCs w:val="20"/>
              </w:rPr>
              <w:t xml:space="preserve"> to a pro-</w:t>
            </w:r>
            <w:proofErr w:type="spellStart"/>
            <w:r w:rsidRPr="006437A2">
              <w:rPr>
                <w:rStyle w:val="citation-27"/>
                <w:rFonts w:ascii="Arial" w:hAnsi="Arial" w:cs="Arial"/>
                <w:sz w:val="20"/>
                <w:szCs w:val="20"/>
              </w:rPr>
              <w:t>inflammatory</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diet</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characterized</w:t>
            </w:r>
            <w:proofErr w:type="spellEnd"/>
            <w:r w:rsidRPr="006437A2">
              <w:rPr>
                <w:rStyle w:val="citation-27"/>
                <w:rFonts w:ascii="Arial" w:hAnsi="Arial" w:cs="Arial"/>
                <w:sz w:val="20"/>
                <w:szCs w:val="20"/>
              </w:rPr>
              <w:t xml:space="preserve"> by </w:t>
            </w:r>
            <w:proofErr w:type="spellStart"/>
            <w:r w:rsidRPr="006437A2">
              <w:rPr>
                <w:rStyle w:val="citation-27"/>
                <w:rFonts w:ascii="Arial" w:hAnsi="Arial" w:cs="Arial"/>
                <w:sz w:val="20"/>
                <w:szCs w:val="20"/>
              </w:rPr>
              <w:t>near-universal</w:t>
            </w:r>
            <w:proofErr w:type="spellEnd"/>
            <w:r w:rsidRPr="006437A2">
              <w:rPr>
                <w:rStyle w:val="citation-27"/>
                <w:rFonts w:ascii="Arial" w:hAnsi="Arial" w:cs="Arial"/>
                <w:sz w:val="20"/>
                <w:szCs w:val="20"/>
              </w:rPr>
              <w:t xml:space="preserve"> use of </w:t>
            </w:r>
            <w:proofErr w:type="spellStart"/>
            <w:r w:rsidRPr="006437A2">
              <w:rPr>
                <w:rStyle w:val="citation-27"/>
                <w:rFonts w:ascii="Arial" w:hAnsi="Arial" w:cs="Arial"/>
                <w:sz w:val="20"/>
                <w:szCs w:val="20"/>
              </w:rPr>
              <w:t>industrial</w:t>
            </w:r>
            <w:proofErr w:type="spellEnd"/>
            <w:r w:rsidRPr="006437A2">
              <w:rPr>
                <w:rStyle w:val="citation-27"/>
                <w:rFonts w:ascii="Arial" w:hAnsi="Arial" w:cs="Arial"/>
                <w:sz w:val="20"/>
                <w:szCs w:val="20"/>
              </w:rPr>
              <w:t xml:space="preserve"> bouillon cubes (&gt;86%), </w:t>
            </w:r>
            <w:proofErr w:type="spellStart"/>
            <w:r w:rsidRPr="006437A2">
              <w:rPr>
                <w:rStyle w:val="citation-27"/>
                <w:rFonts w:ascii="Arial" w:hAnsi="Arial" w:cs="Arial"/>
                <w:sz w:val="20"/>
                <w:szCs w:val="20"/>
              </w:rPr>
              <w:t>regular</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consumption</w:t>
            </w:r>
            <w:proofErr w:type="spellEnd"/>
            <w:r w:rsidRPr="006437A2">
              <w:rPr>
                <w:rStyle w:val="citation-27"/>
                <w:rFonts w:ascii="Arial" w:hAnsi="Arial" w:cs="Arial"/>
                <w:sz w:val="20"/>
                <w:szCs w:val="20"/>
              </w:rPr>
              <w:t xml:space="preserve"> of </w:t>
            </w:r>
            <w:proofErr w:type="spellStart"/>
            <w:r w:rsidRPr="006437A2">
              <w:rPr>
                <w:rStyle w:val="citation-27"/>
                <w:rFonts w:ascii="Arial" w:hAnsi="Arial" w:cs="Arial"/>
                <w:sz w:val="20"/>
                <w:szCs w:val="20"/>
              </w:rPr>
              <w:t>sugary</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products</w:t>
            </w:r>
            <w:proofErr w:type="spellEnd"/>
            <w:r w:rsidRPr="006437A2">
              <w:rPr>
                <w:rStyle w:val="citation-27"/>
                <w:rFonts w:ascii="Arial" w:hAnsi="Arial" w:cs="Arial"/>
                <w:sz w:val="20"/>
                <w:szCs w:val="20"/>
              </w:rPr>
              <w:t xml:space="preserve"> (&gt;88%), and a high </w:t>
            </w:r>
            <w:proofErr w:type="spellStart"/>
            <w:r w:rsidRPr="006437A2">
              <w:rPr>
                <w:rStyle w:val="citation-27"/>
                <w:rFonts w:ascii="Arial" w:hAnsi="Arial" w:cs="Arial"/>
                <w:sz w:val="20"/>
                <w:szCs w:val="20"/>
              </w:rPr>
              <w:t>dependency</w:t>
            </w:r>
            <w:proofErr w:type="spellEnd"/>
            <w:r w:rsidRPr="006437A2">
              <w:rPr>
                <w:rStyle w:val="citation-27"/>
                <w:rFonts w:ascii="Arial" w:hAnsi="Arial" w:cs="Arial"/>
                <w:sz w:val="20"/>
                <w:szCs w:val="20"/>
              </w:rPr>
              <w:t xml:space="preserve"> on </w:t>
            </w:r>
            <w:proofErr w:type="spellStart"/>
            <w:r w:rsidRPr="006437A2">
              <w:rPr>
                <w:rStyle w:val="citation-27"/>
                <w:rFonts w:ascii="Arial" w:hAnsi="Arial" w:cs="Arial"/>
                <w:sz w:val="20"/>
                <w:szCs w:val="20"/>
              </w:rPr>
              <w:t>commercially</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prepared</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street</w:t>
            </w:r>
            <w:proofErr w:type="spellEnd"/>
            <w:r w:rsidRPr="006437A2">
              <w:rPr>
                <w:rStyle w:val="citation-27"/>
                <w:rFonts w:ascii="Arial" w:hAnsi="Arial" w:cs="Arial"/>
                <w:sz w:val="20"/>
                <w:szCs w:val="20"/>
              </w:rPr>
              <w:t xml:space="preserve"> </w:t>
            </w:r>
            <w:proofErr w:type="spellStart"/>
            <w:r w:rsidRPr="006437A2">
              <w:rPr>
                <w:rStyle w:val="citation-27"/>
                <w:rFonts w:ascii="Arial" w:hAnsi="Arial" w:cs="Arial"/>
                <w:sz w:val="20"/>
                <w:szCs w:val="20"/>
              </w:rPr>
              <w:t>food</w:t>
            </w:r>
            <w:proofErr w:type="spellEnd"/>
            <w:r w:rsidRPr="006437A2">
              <w:rPr>
                <w:rStyle w:val="citation-27"/>
                <w:rFonts w:ascii="Arial" w:hAnsi="Arial" w:cs="Arial"/>
                <w:sz w:val="20"/>
                <w:szCs w:val="20"/>
              </w:rPr>
              <w:t>" (76.9%)</w:t>
            </w:r>
            <w:r w:rsidRPr="006437A2">
              <w:rPr>
                <w:rFonts w:ascii="Arial" w:hAnsi="Arial" w:cs="Arial"/>
                <w:sz w:val="20"/>
                <w:szCs w:val="20"/>
              </w:rPr>
              <w:t>.</w:t>
            </w:r>
          </w:p>
          <w:p w14:paraId="5C095164" w14:textId="77777777" w:rsidR="006437A2" w:rsidRPr="006437A2" w:rsidRDefault="006437A2" w:rsidP="007C0428">
            <w:pPr>
              <w:pStyle w:val="NormalWeb"/>
              <w:rPr>
                <w:rFonts w:ascii="Arial" w:hAnsi="Arial" w:cs="Arial"/>
                <w:sz w:val="20"/>
                <w:szCs w:val="20"/>
              </w:rPr>
            </w:pPr>
            <w:proofErr w:type="gramStart"/>
            <w:r w:rsidRPr="006437A2">
              <w:rPr>
                <w:rStyle w:val="citation-26"/>
                <w:rFonts w:ascii="Arial" w:hAnsi="Arial" w:cs="Arial"/>
                <w:b/>
                <w:bCs/>
                <w:sz w:val="20"/>
                <w:szCs w:val="20"/>
              </w:rPr>
              <w:t>Conclusion:</w:t>
            </w:r>
            <w:proofErr w:type="gramEnd"/>
            <w:r w:rsidRPr="006437A2">
              <w:rPr>
                <w:rStyle w:val="citation-26"/>
                <w:rFonts w:ascii="Arial" w:hAnsi="Arial" w:cs="Arial"/>
                <w:sz w:val="20"/>
                <w:szCs w:val="20"/>
              </w:rPr>
              <w:t xml:space="preserve"> Patients </w:t>
            </w:r>
            <w:proofErr w:type="spellStart"/>
            <w:r w:rsidRPr="006437A2">
              <w:rPr>
                <w:rStyle w:val="citation-26"/>
                <w:rFonts w:ascii="Arial" w:hAnsi="Arial" w:cs="Arial"/>
                <w:sz w:val="20"/>
                <w:szCs w:val="20"/>
              </w:rPr>
              <w:t>with</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chronic</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hepatitis</w:t>
            </w:r>
            <w:proofErr w:type="spellEnd"/>
            <w:r w:rsidRPr="006437A2">
              <w:rPr>
                <w:rStyle w:val="citation-26"/>
                <w:rFonts w:ascii="Arial" w:hAnsi="Arial" w:cs="Arial"/>
                <w:sz w:val="20"/>
                <w:szCs w:val="20"/>
              </w:rPr>
              <w:t xml:space="preserve"> in Lomé face </w:t>
            </w:r>
            <w:proofErr w:type="spellStart"/>
            <w:r w:rsidRPr="006437A2">
              <w:rPr>
                <w:rStyle w:val="citation-26"/>
                <w:rFonts w:ascii="Arial" w:hAnsi="Arial" w:cs="Arial"/>
                <w:sz w:val="20"/>
                <w:szCs w:val="20"/>
              </w:rPr>
              <w:t>a</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synergistic</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threat</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from</w:t>
            </w:r>
            <w:proofErr w:type="spellEnd"/>
            <w:r w:rsidRPr="006437A2">
              <w:rPr>
                <w:rStyle w:val="citation-26"/>
                <w:rFonts w:ascii="Arial" w:hAnsi="Arial" w:cs="Arial"/>
                <w:sz w:val="20"/>
                <w:szCs w:val="20"/>
              </w:rPr>
              <w:t xml:space="preserve"> viral infection and a </w:t>
            </w:r>
            <w:proofErr w:type="spellStart"/>
            <w:r w:rsidRPr="006437A2">
              <w:rPr>
                <w:rStyle w:val="citation-26"/>
                <w:rFonts w:ascii="Arial" w:hAnsi="Arial" w:cs="Arial"/>
                <w:sz w:val="20"/>
                <w:szCs w:val="20"/>
              </w:rPr>
              <w:t>diet-induced</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metabolic</w:t>
            </w:r>
            <w:proofErr w:type="spellEnd"/>
            <w:r w:rsidRPr="006437A2">
              <w:rPr>
                <w:rStyle w:val="citation-26"/>
                <w:rFonts w:ascii="Arial" w:hAnsi="Arial" w:cs="Arial"/>
                <w:sz w:val="20"/>
                <w:szCs w:val="20"/>
              </w:rPr>
              <w:t xml:space="preserve"> syndrome, </w:t>
            </w:r>
            <w:proofErr w:type="spellStart"/>
            <w:r w:rsidRPr="006437A2">
              <w:rPr>
                <w:rStyle w:val="citation-26"/>
                <w:rFonts w:ascii="Arial" w:hAnsi="Arial" w:cs="Arial"/>
                <w:sz w:val="20"/>
                <w:szCs w:val="20"/>
              </w:rPr>
              <w:t>manifesting</w:t>
            </w:r>
            <w:proofErr w:type="spellEnd"/>
            <w:r w:rsidRPr="006437A2">
              <w:rPr>
                <w:rStyle w:val="citation-26"/>
                <w:rFonts w:ascii="Arial" w:hAnsi="Arial" w:cs="Arial"/>
                <w:sz w:val="20"/>
                <w:szCs w:val="20"/>
              </w:rPr>
              <w:t xml:space="preserve"> as </w:t>
            </w:r>
            <w:proofErr w:type="spellStart"/>
            <w:r w:rsidRPr="006437A2">
              <w:rPr>
                <w:rStyle w:val="citation-26"/>
                <w:rFonts w:ascii="Arial" w:hAnsi="Arial" w:cs="Arial"/>
                <w:sz w:val="20"/>
                <w:szCs w:val="20"/>
              </w:rPr>
              <w:t>highly</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prevalent</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clinically</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occult</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sarcopenic</w:t>
            </w:r>
            <w:proofErr w:type="spellEnd"/>
            <w:r w:rsidRPr="006437A2">
              <w:rPr>
                <w:rStyle w:val="citation-26"/>
                <w:rFonts w:ascii="Arial" w:hAnsi="Arial" w:cs="Arial"/>
                <w:sz w:val="20"/>
                <w:szCs w:val="20"/>
              </w:rPr>
              <w:t xml:space="preserve"> </w:t>
            </w:r>
            <w:proofErr w:type="spellStart"/>
            <w:r w:rsidRPr="006437A2">
              <w:rPr>
                <w:rStyle w:val="citation-26"/>
                <w:rFonts w:ascii="Arial" w:hAnsi="Arial" w:cs="Arial"/>
                <w:sz w:val="20"/>
                <w:szCs w:val="20"/>
              </w:rPr>
              <w:t>obesity</w:t>
            </w:r>
            <w:proofErr w:type="spellEnd"/>
            <w:r w:rsidRPr="006437A2">
              <w:rPr>
                <w:rFonts w:ascii="Arial" w:hAnsi="Arial" w:cs="Arial"/>
                <w:sz w:val="20"/>
                <w:szCs w:val="20"/>
              </w:rPr>
              <w:t xml:space="preserve">. </w:t>
            </w:r>
            <w:r w:rsidRPr="006437A2">
              <w:rPr>
                <w:rStyle w:val="citation-25"/>
                <w:rFonts w:ascii="Arial" w:hAnsi="Arial" w:cs="Arial"/>
                <w:sz w:val="20"/>
                <w:szCs w:val="20"/>
              </w:rPr>
              <w:t xml:space="preserve">The </w:t>
            </w:r>
            <w:proofErr w:type="spellStart"/>
            <w:r w:rsidRPr="006437A2">
              <w:rPr>
                <w:rStyle w:val="citation-25"/>
                <w:rFonts w:ascii="Arial" w:hAnsi="Arial" w:cs="Arial"/>
                <w:sz w:val="20"/>
                <w:szCs w:val="20"/>
              </w:rPr>
              <w:t>continued</w:t>
            </w:r>
            <w:proofErr w:type="spellEnd"/>
            <w:r w:rsidRPr="006437A2">
              <w:rPr>
                <w:rStyle w:val="citation-25"/>
                <w:rFonts w:ascii="Arial" w:hAnsi="Arial" w:cs="Arial"/>
                <w:sz w:val="20"/>
                <w:szCs w:val="20"/>
              </w:rPr>
              <w:t xml:space="preserve"> </w:t>
            </w:r>
            <w:proofErr w:type="spellStart"/>
            <w:r w:rsidRPr="006437A2">
              <w:rPr>
                <w:rStyle w:val="citation-25"/>
                <w:rFonts w:ascii="Arial" w:hAnsi="Arial" w:cs="Arial"/>
                <w:sz w:val="20"/>
                <w:szCs w:val="20"/>
              </w:rPr>
              <w:t>reliance</w:t>
            </w:r>
            <w:proofErr w:type="spellEnd"/>
            <w:r w:rsidRPr="006437A2">
              <w:rPr>
                <w:rStyle w:val="citation-25"/>
                <w:rFonts w:ascii="Arial" w:hAnsi="Arial" w:cs="Arial"/>
                <w:sz w:val="20"/>
                <w:szCs w:val="20"/>
              </w:rPr>
              <w:t xml:space="preserve"> on BMI for </w:t>
            </w:r>
            <w:proofErr w:type="spellStart"/>
            <w:r w:rsidRPr="006437A2">
              <w:rPr>
                <w:rStyle w:val="citation-25"/>
                <w:rFonts w:ascii="Arial" w:hAnsi="Arial" w:cs="Arial"/>
                <w:sz w:val="20"/>
                <w:szCs w:val="20"/>
              </w:rPr>
              <w:t>nutritional</w:t>
            </w:r>
            <w:proofErr w:type="spellEnd"/>
            <w:r w:rsidRPr="006437A2">
              <w:rPr>
                <w:rStyle w:val="citation-25"/>
                <w:rFonts w:ascii="Arial" w:hAnsi="Arial" w:cs="Arial"/>
                <w:sz w:val="20"/>
                <w:szCs w:val="20"/>
              </w:rPr>
              <w:t xml:space="preserve"> </w:t>
            </w:r>
            <w:proofErr w:type="spellStart"/>
            <w:r w:rsidRPr="006437A2">
              <w:rPr>
                <w:rStyle w:val="citation-25"/>
                <w:rFonts w:ascii="Arial" w:hAnsi="Arial" w:cs="Arial"/>
                <w:sz w:val="20"/>
                <w:szCs w:val="20"/>
              </w:rPr>
              <w:t>assessment</w:t>
            </w:r>
            <w:proofErr w:type="spellEnd"/>
            <w:r w:rsidRPr="006437A2">
              <w:rPr>
                <w:rStyle w:val="citation-25"/>
                <w:rFonts w:ascii="Arial" w:hAnsi="Arial" w:cs="Arial"/>
                <w:sz w:val="20"/>
                <w:szCs w:val="20"/>
              </w:rPr>
              <w:t xml:space="preserve"> </w:t>
            </w:r>
            <w:proofErr w:type="spellStart"/>
            <w:r w:rsidRPr="006437A2">
              <w:rPr>
                <w:rStyle w:val="citation-25"/>
                <w:rFonts w:ascii="Arial" w:hAnsi="Arial" w:cs="Arial"/>
                <w:sz w:val="20"/>
                <w:szCs w:val="20"/>
              </w:rPr>
              <w:t>is</w:t>
            </w:r>
            <w:proofErr w:type="spellEnd"/>
            <w:r w:rsidRPr="006437A2">
              <w:rPr>
                <w:rStyle w:val="citation-25"/>
                <w:rFonts w:ascii="Arial" w:hAnsi="Arial" w:cs="Arial"/>
                <w:sz w:val="20"/>
                <w:szCs w:val="20"/>
              </w:rPr>
              <w:t xml:space="preserve"> a </w:t>
            </w:r>
            <w:proofErr w:type="spellStart"/>
            <w:r w:rsidRPr="006437A2">
              <w:rPr>
                <w:rStyle w:val="citation-25"/>
                <w:rFonts w:ascii="Arial" w:hAnsi="Arial" w:cs="Arial"/>
                <w:sz w:val="20"/>
                <w:szCs w:val="20"/>
              </w:rPr>
              <w:t>clinical</w:t>
            </w:r>
            <w:proofErr w:type="spellEnd"/>
            <w:r w:rsidRPr="006437A2">
              <w:rPr>
                <w:rStyle w:val="citation-25"/>
                <w:rFonts w:ascii="Arial" w:hAnsi="Arial" w:cs="Arial"/>
                <w:sz w:val="20"/>
                <w:szCs w:val="20"/>
              </w:rPr>
              <w:t xml:space="preserve"> </w:t>
            </w:r>
            <w:proofErr w:type="spellStart"/>
            <w:r w:rsidRPr="006437A2">
              <w:rPr>
                <w:rStyle w:val="citation-25"/>
                <w:rFonts w:ascii="Arial" w:hAnsi="Arial" w:cs="Arial"/>
                <w:sz w:val="20"/>
                <w:szCs w:val="20"/>
              </w:rPr>
              <w:t>failure</w:t>
            </w:r>
            <w:proofErr w:type="spellEnd"/>
            <w:r w:rsidRPr="006437A2">
              <w:rPr>
                <w:rStyle w:val="citation-25"/>
                <w:rFonts w:ascii="Arial" w:hAnsi="Arial" w:cs="Arial"/>
                <w:sz w:val="20"/>
                <w:szCs w:val="20"/>
              </w:rPr>
              <w:t xml:space="preserve"> in </w:t>
            </w:r>
            <w:proofErr w:type="spellStart"/>
            <w:r w:rsidRPr="006437A2">
              <w:rPr>
                <w:rStyle w:val="citation-25"/>
                <w:rFonts w:ascii="Arial" w:hAnsi="Arial" w:cs="Arial"/>
                <w:sz w:val="20"/>
                <w:szCs w:val="20"/>
              </w:rPr>
              <w:t>this</w:t>
            </w:r>
            <w:proofErr w:type="spellEnd"/>
            <w:r w:rsidRPr="006437A2">
              <w:rPr>
                <w:rStyle w:val="citation-25"/>
                <w:rFonts w:ascii="Arial" w:hAnsi="Arial" w:cs="Arial"/>
                <w:sz w:val="20"/>
                <w:szCs w:val="20"/>
              </w:rPr>
              <w:t xml:space="preserve"> population</w:t>
            </w:r>
            <w:r w:rsidRPr="006437A2">
              <w:rPr>
                <w:rFonts w:ascii="Arial" w:hAnsi="Arial" w:cs="Arial"/>
                <w:sz w:val="20"/>
                <w:szCs w:val="20"/>
              </w:rPr>
              <w:t xml:space="preserve">. </w:t>
            </w:r>
            <w:r w:rsidRPr="006437A2">
              <w:rPr>
                <w:rStyle w:val="citation-24"/>
                <w:rFonts w:ascii="Arial" w:hAnsi="Arial" w:cs="Arial"/>
                <w:sz w:val="20"/>
                <w:szCs w:val="20"/>
              </w:rPr>
              <w:t xml:space="preserve">A </w:t>
            </w:r>
            <w:proofErr w:type="spellStart"/>
            <w:r w:rsidRPr="006437A2">
              <w:rPr>
                <w:rStyle w:val="citation-24"/>
                <w:rFonts w:ascii="Arial" w:hAnsi="Arial" w:cs="Arial"/>
                <w:sz w:val="20"/>
                <w:szCs w:val="20"/>
              </w:rPr>
              <w:t>paradigm</w:t>
            </w:r>
            <w:proofErr w:type="spellEnd"/>
            <w:r w:rsidRPr="006437A2">
              <w:rPr>
                <w:rStyle w:val="citation-24"/>
                <w:rFonts w:ascii="Arial" w:hAnsi="Arial" w:cs="Arial"/>
                <w:sz w:val="20"/>
                <w:szCs w:val="20"/>
              </w:rPr>
              <w:t xml:space="preserve"> shift in management </w:t>
            </w:r>
            <w:proofErr w:type="spellStart"/>
            <w:r w:rsidRPr="006437A2">
              <w:rPr>
                <w:rStyle w:val="citation-24"/>
                <w:rFonts w:ascii="Arial" w:hAnsi="Arial" w:cs="Arial"/>
                <w:sz w:val="20"/>
                <w:szCs w:val="20"/>
              </w:rPr>
              <w:t>is</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imperative</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requiring</w:t>
            </w:r>
            <w:proofErr w:type="spellEnd"/>
            <w:r w:rsidRPr="006437A2">
              <w:rPr>
                <w:rStyle w:val="citation-24"/>
                <w:rFonts w:ascii="Arial" w:hAnsi="Arial" w:cs="Arial"/>
                <w:sz w:val="20"/>
                <w:szCs w:val="20"/>
              </w:rPr>
              <w:t xml:space="preserve"> the </w:t>
            </w:r>
            <w:proofErr w:type="spellStart"/>
            <w:r w:rsidRPr="006437A2">
              <w:rPr>
                <w:rStyle w:val="citation-24"/>
                <w:rFonts w:ascii="Arial" w:hAnsi="Arial" w:cs="Arial"/>
                <w:sz w:val="20"/>
                <w:szCs w:val="20"/>
              </w:rPr>
              <w:t>systematic</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integration</w:t>
            </w:r>
            <w:proofErr w:type="spellEnd"/>
            <w:r w:rsidRPr="006437A2">
              <w:rPr>
                <w:rStyle w:val="citation-24"/>
                <w:rFonts w:ascii="Arial" w:hAnsi="Arial" w:cs="Arial"/>
                <w:sz w:val="20"/>
                <w:szCs w:val="20"/>
              </w:rPr>
              <w:t xml:space="preserve"> of body composition </w:t>
            </w:r>
            <w:proofErr w:type="spellStart"/>
            <w:r w:rsidRPr="006437A2">
              <w:rPr>
                <w:rStyle w:val="citation-24"/>
                <w:rFonts w:ascii="Arial" w:hAnsi="Arial" w:cs="Arial"/>
                <w:sz w:val="20"/>
                <w:szCs w:val="20"/>
              </w:rPr>
              <w:t>analysis</w:t>
            </w:r>
            <w:proofErr w:type="spellEnd"/>
            <w:r w:rsidRPr="006437A2">
              <w:rPr>
                <w:rStyle w:val="citation-24"/>
                <w:rFonts w:ascii="Arial" w:hAnsi="Arial" w:cs="Arial"/>
                <w:sz w:val="20"/>
                <w:szCs w:val="20"/>
              </w:rPr>
              <w:t xml:space="preserve"> and the </w:t>
            </w:r>
            <w:proofErr w:type="spellStart"/>
            <w:r w:rsidRPr="006437A2">
              <w:rPr>
                <w:rStyle w:val="citation-24"/>
                <w:rFonts w:ascii="Arial" w:hAnsi="Arial" w:cs="Arial"/>
                <w:sz w:val="20"/>
                <w:szCs w:val="20"/>
              </w:rPr>
              <w:t>elevation</w:t>
            </w:r>
            <w:proofErr w:type="spellEnd"/>
            <w:r w:rsidRPr="006437A2">
              <w:rPr>
                <w:rStyle w:val="citation-24"/>
                <w:rFonts w:ascii="Arial" w:hAnsi="Arial" w:cs="Arial"/>
                <w:sz w:val="20"/>
                <w:szCs w:val="20"/>
              </w:rPr>
              <w:t xml:space="preserve"> of </w:t>
            </w:r>
            <w:proofErr w:type="spellStart"/>
            <w:r w:rsidRPr="006437A2">
              <w:rPr>
                <w:rStyle w:val="citation-24"/>
                <w:rFonts w:ascii="Arial" w:hAnsi="Arial" w:cs="Arial"/>
                <w:sz w:val="20"/>
                <w:szCs w:val="20"/>
              </w:rPr>
              <w:t>culturally</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adapted</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nutritional</w:t>
            </w:r>
            <w:proofErr w:type="spellEnd"/>
            <w:r w:rsidRPr="006437A2">
              <w:rPr>
                <w:rStyle w:val="citation-24"/>
                <w:rFonts w:ascii="Arial" w:hAnsi="Arial" w:cs="Arial"/>
                <w:sz w:val="20"/>
                <w:szCs w:val="20"/>
              </w:rPr>
              <w:t xml:space="preserve"> </w:t>
            </w:r>
            <w:proofErr w:type="spellStart"/>
            <w:r w:rsidRPr="006437A2">
              <w:rPr>
                <w:rStyle w:val="citation-24"/>
                <w:rFonts w:ascii="Arial" w:hAnsi="Arial" w:cs="Arial"/>
                <w:sz w:val="20"/>
                <w:szCs w:val="20"/>
              </w:rPr>
              <w:t>therapy</w:t>
            </w:r>
            <w:proofErr w:type="spellEnd"/>
            <w:r w:rsidRPr="006437A2">
              <w:rPr>
                <w:rStyle w:val="citation-24"/>
                <w:rFonts w:ascii="Arial" w:hAnsi="Arial" w:cs="Arial"/>
                <w:sz w:val="20"/>
                <w:szCs w:val="20"/>
              </w:rPr>
              <w:t xml:space="preserve"> to a central </w:t>
            </w:r>
            <w:proofErr w:type="spellStart"/>
            <w:r w:rsidRPr="006437A2">
              <w:rPr>
                <w:rStyle w:val="citation-24"/>
                <w:rFonts w:ascii="Arial" w:hAnsi="Arial" w:cs="Arial"/>
                <w:sz w:val="20"/>
                <w:szCs w:val="20"/>
              </w:rPr>
              <w:t>pillar</w:t>
            </w:r>
            <w:proofErr w:type="spellEnd"/>
            <w:r w:rsidRPr="006437A2">
              <w:rPr>
                <w:rStyle w:val="citation-24"/>
                <w:rFonts w:ascii="Arial" w:hAnsi="Arial" w:cs="Arial"/>
                <w:sz w:val="20"/>
                <w:szCs w:val="20"/>
              </w:rPr>
              <w:t xml:space="preserve"> of patient care</w:t>
            </w:r>
            <w:r w:rsidRPr="006437A2">
              <w:rPr>
                <w:rFonts w:ascii="Arial" w:hAnsi="Arial" w:cs="Arial"/>
                <w:sz w:val="20"/>
                <w:szCs w:val="20"/>
              </w:rPr>
              <w:t>.</w:t>
            </w:r>
          </w:p>
          <w:p w14:paraId="292D7862" w14:textId="77777777" w:rsidR="00505F06" w:rsidRPr="00BA1B01" w:rsidRDefault="00505F06" w:rsidP="007C0428">
            <w:pPr>
              <w:pStyle w:val="Body"/>
              <w:spacing w:after="0"/>
              <w:jc w:val="left"/>
              <w:rPr>
                <w:rFonts w:ascii="Arial" w:eastAsia="Calibri" w:hAnsi="Arial" w:cs="Arial"/>
                <w:szCs w:val="22"/>
              </w:rPr>
            </w:pPr>
          </w:p>
        </w:tc>
      </w:tr>
    </w:tbl>
    <w:p w14:paraId="750E0845" w14:textId="77777777" w:rsidR="00505F06" w:rsidRPr="005B73E9" w:rsidRDefault="00A24E7E" w:rsidP="007C0428">
      <w:pPr>
        <w:pStyle w:val="NormalWeb"/>
      </w:pPr>
      <w:r>
        <w:rPr>
          <w:rFonts w:ascii="Arial" w:hAnsi="Arial" w:cs="Arial"/>
          <w:i/>
        </w:rPr>
        <w:t xml:space="preserve">Keywords: </w:t>
      </w:r>
      <w:proofErr w:type="spellStart"/>
      <w:r w:rsidR="007C37E6" w:rsidRPr="007C37E6">
        <w:rPr>
          <w:rFonts w:ascii="Arial" w:hAnsi="Arial" w:cs="Arial"/>
          <w:i/>
          <w:sz w:val="20"/>
          <w:szCs w:val="20"/>
        </w:rPr>
        <w:t>Chronic</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Hepatitis</w:t>
      </w:r>
      <w:proofErr w:type="spellEnd"/>
      <w:r w:rsidR="007C37E6" w:rsidRPr="007C37E6">
        <w:rPr>
          <w:rFonts w:ascii="Arial" w:hAnsi="Arial" w:cs="Arial"/>
          <w:i/>
          <w:sz w:val="20"/>
          <w:szCs w:val="20"/>
        </w:rPr>
        <w:t xml:space="preserve"> B, </w:t>
      </w:r>
      <w:proofErr w:type="spellStart"/>
      <w:r w:rsidR="007C37E6" w:rsidRPr="007C37E6">
        <w:rPr>
          <w:rFonts w:ascii="Arial" w:hAnsi="Arial" w:cs="Arial"/>
          <w:i/>
          <w:sz w:val="20"/>
          <w:szCs w:val="20"/>
        </w:rPr>
        <w:t>Sarcopenic</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Obesity</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Metabolic</w:t>
      </w:r>
      <w:proofErr w:type="spellEnd"/>
      <w:r w:rsidR="007C37E6" w:rsidRPr="007C37E6">
        <w:rPr>
          <w:rFonts w:ascii="Arial" w:hAnsi="Arial" w:cs="Arial"/>
          <w:i/>
          <w:sz w:val="20"/>
          <w:szCs w:val="20"/>
        </w:rPr>
        <w:t xml:space="preserve"> Syndrome, </w:t>
      </w:r>
      <w:proofErr w:type="spellStart"/>
      <w:r w:rsidR="007C37E6" w:rsidRPr="007C37E6">
        <w:rPr>
          <w:rFonts w:ascii="Arial" w:hAnsi="Arial" w:cs="Arial"/>
          <w:i/>
          <w:sz w:val="20"/>
          <w:szCs w:val="20"/>
        </w:rPr>
        <w:t>Dietary</w:t>
      </w:r>
      <w:proofErr w:type="spellEnd"/>
      <w:r w:rsidR="007C37E6" w:rsidRPr="007C37E6">
        <w:rPr>
          <w:rFonts w:ascii="Arial" w:hAnsi="Arial" w:cs="Arial"/>
          <w:i/>
          <w:sz w:val="20"/>
          <w:szCs w:val="20"/>
        </w:rPr>
        <w:t xml:space="preserve"> Patterns, Body Composition, </w:t>
      </w:r>
      <w:proofErr w:type="spellStart"/>
      <w:r w:rsidR="007C37E6" w:rsidRPr="007C37E6">
        <w:rPr>
          <w:rFonts w:ascii="Arial" w:hAnsi="Arial" w:cs="Arial"/>
          <w:i/>
          <w:sz w:val="20"/>
          <w:szCs w:val="20"/>
        </w:rPr>
        <w:t>Hepatic</w:t>
      </w:r>
      <w:proofErr w:type="spellEnd"/>
      <w:r w:rsidR="007C37E6" w:rsidRPr="007C37E6">
        <w:rPr>
          <w:rFonts w:ascii="Arial" w:hAnsi="Arial" w:cs="Arial"/>
          <w:i/>
          <w:sz w:val="20"/>
          <w:szCs w:val="20"/>
        </w:rPr>
        <w:t xml:space="preserve"> </w:t>
      </w:r>
      <w:proofErr w:type="spellStart"/>
      <w:r w:rsidR="007C37E6" w:rsidRPr="007C37E6">
        <w:rPr>
          <w:rFonts w:ascii="Arial" w:hAnsi="Arial" w:cs="Arial"/>
          <w:i/>
          <w:sz w:val="20"/>
          <w:szCs w:val="20"/>
        </w:rPr>
        <w:t>Steatosis</w:t>
      </w:r>
      <w:proofErr w:type="spellEnd"/>
      <w:r w:rsidR="007C37E6" w:rsidRPr="007C37E6">
        <w:rPr>
          <w:rFonts w:ascii="Arial" w:hAnsi="Arial" w:cs="Arial"/>
          <w:i/>
          <w:sz w:val="20"/>
          <w:szCs w:val="20"/>
        </w:rPr>
        <w:t>, Togo</w:t>
      </w:r>
    </w:p>
    <w:p w14:paraId="36602592" w14:textId="77777777" w:rsidR="007F7B32" w:rsidRDefault="00902823" w:rsidP="007C0428">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8E1819" w14:textId="77777777" w:rsidR="007C37E6" w:rsidRPr="007C37E6" w:rsidRDefault="007C37E6" w:rsidP="007C0428">
      <w:pPr>
        <w:spacing w:before="100" w:beforeAutospacing="1" w:after="100" w:afterAutospacing="1"/>
        <w:rPr>
          <w:rFonts w:ascii="Arial" w:hAnsi="Arial" w:cs="Arial"/>
          <w:lang w:eastAsia="fr-FR"/>
        </w:rPr>
      </w:pPr>
      <w:r w:rsidRPr="007C37E6">
        <w:rPr>
          <w:rFonts w:ascii="Arial" w:hAnsi="Arial" w:cs="Arial"/>
          <w:lang w:eastAsia="fr-FR"/>
        </w:rPr>
        <w:t>Chronic viral hepatitis remains a crucial global health challenge, with the World Health Organization estimating that hepatitis B (VHB) and C (VHC) viruses cause approximately 3,500 deaths daily worldwide [World Health Organization, 2024]. Sub-Saharan Africa bears a disproportionate share of this burden, particularly for VHB, where it is highly endemic [Schweitzer et al., 2015]. Togo exemplifies this regional challenge, with a national seroprevalence of chronic VHB infection estimated from 9.6% to 20%, positioning it as a country of high endemicity [Lawson-</w:t>
      </w:r>
      <w:proofErr w:type="spellStart"/>
      <w:r w:rsidRPr="007C37E6">
        <w:rPr>
          <w:rFonts w:ascii="Arial" w:hAnsi="Arial" w:cs="Arial"/>
          <w:lang w:eastAsia="fr-FR"/>
        </w:rPr>
        <w:t>Ananissah</w:t>
      </w:r>
      <w:proofErr w:type="spellEnd"/>
      <w:r w:rsidRPr="007C37E6">
        <w:rPr>
          <w:rFonts w:ascii="Arial" w:hAnsi="Arial" w:cs="Arial"/>
          <w:lang w:eastAsia="fr-FR"/>
        </w:rPr>
        <w:t xml:space="preserve"> et al., 2017 ; Degbe et al., 2025]. This epidemiological landscape is consistent with observations across West Africa, where prevalence rates frequently exceed 8% [</w:t>
      </w:r>
      <w:proofErr w:type="spellStart"/>
      <w:r w:rsidRPr="007C37E6">
        <w:rPr>
          <w:rFonts w:ascii="Arial" w:hAnsi="Arial" w:cs="Arial"/>
          <w:lang w:eastAsia="fr-FR"/>
        </w:rPr>
        <w:t>Kouamé</w:t>
      </w:r>
      <w:proofErr w:type="spellEnd"/>
      <w:r w:rsidRPr="007C37E6">
        <w:rPr>
          <w:rFonts w:ascii="Arial" w:hAnsi="Arial" w:cs="Arial"/>
          <w:lang w:eastAsia="fr-FR"/>
        </w:rPr>
        <w:t xml:space="preserve"> et al., 2021 ; </w:t>
      </w:r>
      <w:proofErr w:type="spellStart"/>
      <w:r w:rsidRPr="007C37E6">
        <w:rPr>
          <w:rFonts w:ascii="Arial" w:hAnsi="Arial" w:cs="Arial"/>
          <w:lang w:eastAsia="fr-FR"/>
        </w:rPr>
        <w:t>Sangaré</w:t>
      </w:r>
      <w:proofErr w:type="spellEnd"/>
      <w:r w:rsidRPr="007C37E6">
        <w:rPr>
          <w:rFonts w:ascii="Arial" w:hAnsi="Arial" w:cs="Arial"/>
          <w:lang w:eastAsia="fr-FR"/>
        </w:rPr>
        <w:t xml:space="preserve"> et al., 2020]. The insidious progression of chronic </w:t>
      </w:r>
      <w:r w:rsidRPr="007C37E6">
        <w:rPr>
          <w:rFonts w:ascii="Arial" w:hAnsi="Arial" w:cs="Arial"/>
          <w:lang w:eastAsia="fr-FR"/>
        </w:rPr>
        <w:lastRenderedPageBreak/>
        <w:t>VHB infection towards cirrhosis and hepatocellular carcinoma (CHC) solidifies its status as a leading cause of morbidity and mortality in the region [</w:t>
      </w:r>
      <w:proofErr w:type="spellStart"/>
      <w:r w:rsidRPr="007C37E6">
        <w:rPr>
          <w:rFonts w:ascii="Arial" w:hAnsi="Arial" w:cs="Arial"/>
          <w:lang w:eastAsia="fr-FR"/>
        </w:rPr>
        <w:t>Terrault</w:t>
      </w:r>
      <w:proofErr w:type="spellEnd"/>
      <w:r w:rsidRPr="007C37E6">
        <w:rPr>
          <w:rFonts w:ascii="Arial" w:hAnsi="Arial" w:cs="Arial"/>
          <w:lang w:eastAsia="fr-FR"/>
        </w:rPr>
        <w:t xml:space="preserve"> et al., 2023].</w:t>
      </w:r>
    </w:p>
    <w:p w14:paraId="633F4A8D" w14:textId="41ED57C2" w:rsidR="007C37E6" w:rsidRDefault="007C37E6" w:rsidP="007C0428">
      <w:pPr>
        <w:spacing w:before="100" w:beforeAutospacing="1" w:after="100" w:afterAutospacing="1"/>
        <w:rPr>
          <w:rFonts w:ascii="Arial" w:hAnsi="Arial" w:cs="Arial"/>
          <w:lang w:eastAsia="fr-FR"/>
        </w:rPr>
      </w:pPr>
      <w:r w:rsidRPr="007C37E6">
        <w:rPr>
          <w:rFonts w:ascii="Arial" w:hAnsi="Arial" w:cs="Arial"/>
          <w:lang w:eastAsia="fr-FR"/>
        </w:rPr>
        <w:t xml:space="preserve">Running parallel to this persistent infectious disease burden is the rapid emergence of a second </w:t>
      </w:r>
      <w:r w:rsidR="0067382D" w:rsidRPr="007C37E6">
        <w:rPr>
          <w:rFonts w:ascii="Arial" w:hAnsi="Arial" w:cs="Arial"/>
          <w:lang w:eastAsia="fr-FR"/>
        </w:rPr>
        <w:t>pandemic:</w:t>
      </w:r>
      <w:r w:rsidRPr="007C37E6">
        <w:rPr>
          <w:rFonts w:ascii="Arial" w:hAnsi="Arial" w:cs="Arial"/>
          <w:lang w:eastAsia="fr-FR"/>
        </w:rPr>
        <w:t xml:space="preserve"> metabolic syndrome. Urban centers across Africa, including Lomé, are at the epicenter of a profound nutritional transition. This shift is characterized by the displacement of traditional diets (rich in fiber and complex carbohydrates) by Westernized dietary patterns high in energy density, refined sugars, and saturated fats [Popkin et al., 2012]. This transition, coupled with increasing sedentarism, has fueled a dramatic rise in the prevalence of abdominal obesity, type 2 diabetes, and dyslipidemia [</w:t>
      </w:r>
      <w:proofErr w:type="spellStart"/>
      <w:r w:rsidRPr="007C37E6">
        <w:rPr>
          <w:rFonts w:ascii="Arial" w:hAnsi="Arial" w:cs="Arial"/>
          <w:lang w:eastAsia="fr-FR"/>
        </w:rPr>
        <w:t>Aminde</w:t>
      </w:r>
      <w:proofErr w:type="spellEnd"/>
      <w:r w:rsidRPr="007C37E6">
        <w:rPr>
          <w:rFonts w:ascii="Arial" w:hAnsi="Arial" w:cs="Arial"/>
          <w:lang w:eastAsia="fr-FR"/>
        </w:rPr>
        <w:t xml:space="preserve"> et al., 2017]. The primary hepatic manifestation of this metabolic dysregulation is non-alcoholic fatty liver disease (NAFLD), which has become a leading cause of chronic liver disease globally and is increasingly recognized in African populations [</w:t>
      </w:r>
      <w:proofErr w:type="spellStart"/>
      <w:r w:rsidRPr="007C37E6">
        <w:rPr>
          <w:rFonts w:ascii="Arial" w:hAnsi="Arial" w:cs="Arial"/>
          <w:lang w:eastAsia="fr-FR"/>
        </w:rPr>
        <w:t>Younossi</w:t>
      </w:r>
      <w:proofErr w:type="spellEnd"/>
      <w:r w:rsidRPr="007C37E6">
        <w:rPr>
          <w:rFonts w:ascii="Arial" w:hAnsi="Arial" w:cs="Arial"/>
          <w:lang w:eastAsia="fr-FR"/>
        </w:rPr>
        <w:t xml:space="preserve"> et al., 2016].</w:t>
      </w:r>
    </w:p>
    <w:p w14:paraId="494C7B8D" w14:textId="2575984C" w:rsidR="00620AED" w:rsidRPr="007C37E6" w:rsidRDefault="00620AED" w:rsidP="007C0428">
      <w:pPr>
        <w:spacing w:before="100" w:beforeAutospacing="1" w:after="100" w:afterAutospacing="1"/>
        <w:rPr>
          <w:rFonts w:ascii="Arial" w:hAnsi="Arial" w:cs="Arial"/>
          <w:lang w:eastAsia="fr-FR"/>
        </w:rPr>
      </w:pPr>
      <w:r w:rsidRPr="00620AED">
        <w:rPr>
          <w:rFonts w:ascii="Arial" w:hAnsi="Arial" w:cs="Arial"/>
          <w:highlight w:val="yellow"/>
          <w:lang w:eastAsia="fr-FR"/>
        </w:rPr>
        <w:t>In Togo, this trend is palpable; recent data from urban centers like Lomé indicate a rising prevalence of overweight and obesity, reaching over 30% in some adult populations, while the national prevalence of diabetes mellitus is estimated to be between 2.5% and 6.0%, with significantly higher rates in urban settings [</w:t>
      </w:r>
      <w:proofErr w:type="spellStart"/>
      <w:r w:rsidRPr="00620AED">
        <w:rPr>
          <w:rFonts w:ascii="Arial" w:hAnsi="Arial" w:cs="Arial"/>
          <w:highlight w:val="yellow"/>
          <w:lang w:eastAsia="fr-FR"/>
        </w:rPr>
        <w:t>Tcheyi</w:t>
      </w:r>
      <w:proofErr w:type="spellEnd"/>
      <w:r w:rsidRPr="00620AED">
        <w:rPr>
          <w:rFonts w:ascii="Arial" w:hAnsi="Arial" w:cs="Arial"/>
          <w:highlight w:val="yellow"/>
          <w:lang w:eastAsia="fr-FR"/>
        </w:rPr>
        <w:t xml:space="preserve"> et al., 2021]. Across sub-Saharan Africa, the situation is similarly concerning, with the prevalence of obesity having more than doubled in the past three decades and diabetes now affecting an estimated 24 million people, a figure projected to increase by 129% by 2045 [IDF, 2021; Hruby &amp; Hu, 2015]. The primary hepatic manifestation of this metabolic dysregulation is non-alcoholic fatty liver disease (NAFLD), which has become a leading cause of chronic liver disease globally and is increasingly recognized in African populations [</w:t>
      </w:r>
      <w:proofErr w:type="spellStart"/>
      <w:r w:rsidRPr="00620AED">
        <w:rPr>
          <w:rFonts w:ascii="Arial" w:hAnsi="Arial" w:cs="Arial"/>
          <w:highlight w:val="yellow"/>
          <w:lang w:eastAsia="fr-FR"/>
        </w:rPr>
        <w:t>Younossi</w:t>
      </w:r>
      <w:proofErr w:type="spellEnd"/>
      <w:r w:rsidRPr="00620AED">
        <w:rPr>
          <w:rFonts w:ascii="Arial" w:hAnsi="Arial" w:cs="Arial"/>
          <w:highlight w:val="yellow"/>
          <w:lang w:eastAsia="fr-FR"/>
        </w:rPr>
        <w:t xml:space="preserve"> et al., 2016].</w:t>
      </w:r>
    </w:p>
    <w:p w14:paraId="5E4E3F0C" w14:textId="77777777" w:rsidR="00620AED" w:rsidRDefault="007C37E6" w:rsidP="007C0428">
      <w:pPr>
        <w:spacing w:before="100" w:beforeAutospacing="1" w:after="100" w:afterAutospacing="1"/>
        <w:rPr>
          <w:rFonts w:ascii="Arial" w:hAnsi="Arial" w:cs="Arial"/>
          <w:lang w:eastAsia="fr-FR"/>
        </w:rPr>
      </w:pPr>
      <w:r w:rsidRPr="007C37E6">
        <w:rPr>
          <w:rFonts w:ascii="Arial" w:hAnsi="Arial" w:cs="Arial"/>
          <w:lang w:eastAsia="fr-FR"/>
        </w:rPr>
        <w:t>The convergence of these two pandemics within the Togolese population creates a critical "dual burden," where chronic viral hepatitis and metabolic dysfunction intersect, potentially creating a synergy that accelerates liver damage [</w:t>
      </w:r>
      <w:proofErr w:type="spellStart"/>
      <w:r w:rsidRPr="007C37E6">
        <w:rPr>
          <w:rFonts w:ascii="Arial" w:hAnsi="Arial" w:cs="Arial"/>
          <w:lang w:eastAsia="fr-FR"/>
        </w:rPr>
        <w:t>Targher</w:t>
      </w:r>
      <w:proofErr w:type="spellEnd"/>
      <w:r w:rsidRPr="007C37E6">
        <w:rPr>
          <w:rFonts w:ascii="Arial" w:hAnsi="Arial" w:cs="Arial"/>
          <w:lang w:eastAsia="fr-FR"/>
        </w:rPr>
        <w:t xml:space="preserve"> et al., 2012]. A significant knowledge gap exists, however, regarding the precise nature and extent of this interaction in the West African context. Specifically, the impact of this dual burden on true body composition remains poorly characterized. The Body Mass Index (BMI), a widely used but crude metric, is fundamentally incapable of distinguishing between adipose and lean muscle mass, thereby masking potentially dangerous phenotypes [Prentice &amp; Jebb, 2001].</w:t>
      </w:r>
      <w:r w:rsidR="00620AED">
        <w:rPr>
          <w:rFonts w:ascii="Arial" w:hAnsi="Arial" w:cs="Arial"/>
          <w:lang w:eastAsia="fr-FR"/>
        </w:rPr>
        <w:t xml:space="preserve"> </w:t>
      </w:r>
    </w:p>
    <w:p w14:paraId="6F1C82C1" w14:textId="5F6161DF" w:rsidR="00620AED" w:rsidRDefault="00620AED" w:rsidP="007C0428">
      <w:pPr>
        <w:spacing w:before="100" w:beforeAutospacing="1" w:after="100" w:afterAutospacing="1"/>
        <w:rPr>
          <w:rFonts w:ascii="Arial" w:hAnsi="Arial" w:cs="Arial"/>
          <w:lang w:eastAsia="fr-FR"/>
        </w:rPr>
      </w:pPr>
      <w:r w:rsidRPr="00620AED">
        <w:rPr>
          <w:rFonts w:ascii="Arial" w:hAnsi="Arial" w:cs="Arial"/>
          <w:highlight w:val="yellow"/>
          <w:lang w:eastAsia="fr-FR"/>
        </w:rPr>
        <w:t xml:space="preserve">This limitation is well-documented internationally. Large-scale studies have repeatedly demonstrated that BMI has a low sensitivity for detecting excess adiposity, particularly the metabolically harmful visceral fat. For instance, research has shown that up to 50% of individuals classified as having a normal BMI may actually have excess body fat ("normal-weight obesity"), a condition associated with a cardiometabolic risk profile similar to that of overtly obese individuals [Romero-Corral et al., 2008; </w:t>
      </w:r>
      <w:proofErr w:type="spellStart"/>
      <w:r w:rsidRPr="00620AED">
        <w:rPr>
          <w:rFonts w:ascii="Arial" w:hAnsi="Arial" w:cs="Arial"/>
          <w:highlight w:val="yellow"/>
          <w:lang w:eastAsia="fr-FR"/>
        </w:rPr>
        <w:t>Okorodudu</w:t>
      </w:r>
      <w:proofErr w:type="spellEnd"/>
      <w:r w:rsidRPr="00620AED">
        <w:rPr>
          <w:rFonts w:ascii="Arial" w:hAnsi="Arial" w:cs="Arial"/>
          <w:highlight w:val="yellow"/>
          <w:lang w:eastAsia="fr-FR"/>
        </w:rPr>
        <w:t xml:space="preserve"> et al., 2010]. This discrepancy is particularly pronounced in non-European populations, including those of African descent, where body composition at a given BMI can differ significantly, making BMI an even less reliable tool for assessing metabolic risk [</w:t>
      </w:r>
      <w:proofErr w:type="spellStart"/>
      <w:r w:rsidRPr="00620AED">
        <w:rPr>
          <w:rFonts w:ascii="Arial" w:hAnsi="Arial" w:cs="Arial"/>
          <w:highlight w:val="yellow"/>
          <w:lang w:eastAsia="fr-FR"/>
        </w:rPr>
        <w:t>Deurenberg</w:t>
      </w:r>
      <w:proofErr w:type="spellEnd"/>
      <w:r w:rsidRPr="00620AED">
        <w:rPr>
          <w:rFonts w:ascii="Arial" w:hAnsi="Arial" w:cs="Arial"/>
          <w:highlight w:val="yellow"/>
          <w:lang w:eastAsia="fr-FR"/>
        </w:rPr>
        <w:t xml:space="preserve"> et al., 2002].</w:t>
      </w:r>
    </w:p>
    <w:p w14:paraId="0E1BEA67" w14:textId="2ACAAD6B" w:rsidR="007C37E6" w:rsidRDefault="00620AED" w:rsidP="007C0428">
      <w:pPr>
        <w:spacing w:before="100" w:beforeAutospacing="1" w:after="100" w:afterAutospacing="1"/>
        <w:rPr>
          <w:rFonts w:ascii="Arial" w:hAnsi="Arial" w:cs="Arial"/>
          <w:lang w:eastAsia="fr-FR"/>
        </w:rPr>
      </w:pPr>
      <w:r>
        <w:rPr>
          <w:rFonts w:ascii="Arial" w:hAnsi="Arial" w:cs="Arial"/>
          <w:lang w:eastAsia="fr-FR"/>
        </w:rPr>
        <w:t xml:space="preserve"> This situation</w:t>
      </w:r>
      <w:r w:rsidR="007C37E6" w:rsidRPr="007C37E6">
        <w:rPr>
          <w:rFonts w:ascii="Arial" w:hAnsi="Arial" w:cs="Arial"/>
          <w:lang w:eastAsia="fr-FR"/>
        </w:rPr>
        <w:t xml:space="preserve"> is particularly relevant for identifying sarcopenic obesity, a condition defined by the coexistence of excess fat mass and depleted muscle mass, which may represent a more accurate and ominous prognostic indicator than either condition alone [Cruz-Jentoft et al., 2019]. To date, scientific literature from Togo that employs detailed body composition analysis to investigate this phenomenon among patients with chronic hepatitis is virtually non-existent.</w:t>
      </w:r>
      <w:r>
        <w:rPr>
          <w:rFonts w:ascii="Arial" w:hAnsi="Arial" w:cs="Arial"/>
          <w:lang w:eastAsia="fr-FR"/>
        </w:rPr>
        <w:t xml:space="preserve"> </w:t>
      </w:r>
    </w:p>
    <w:p w14:paraId="3C6BA90E" w14:textId="07D90D46" w:rsidR="00620AED" w:rsidRPr="007C37E6" w:rsidRDefault="00620AED" w:rsidP="007C0428">
      <w:pPr>
        <w:spacing w:before="100" w:beforeAutospacing="1" w:after="100" w:afterAutospacing="1"/>
        <w:rPr>
          <w:rFonts w:ascii="Arial" w:hAnsi="Arial" w:cs="Arial"/>
          <w:lang w:eastAsia="fr-FR"/>
        </w:rPr>
      </w:pPr>
      <w:r w:rsidRPr="00620AED">
        <w:rPr>
          <w:rFonts w:ascii="Arial" w:hAnsi="Arial" w:cs="Arial"/>
          <w:highlight w:val="yellow"/>
          <w:lang w:eastAsia="fr-FR"/>
        </w:rPr>
        <w:t>Globally, the prevalence of sarcopenia varies widely depending on the definition and population, affecting 10-40% of older adults, but it is increasingly recognized in younger populations with chronic diseases [Cruz-Jentoft et al., 2019]. When it co-occurs with obesity, forming sarcopenic obesity, its prevalence ranges from 4% to 12% in the general older population but can be substantially higher in clinical cohorts [Batsis et al., 2014]. Data specific to African populations remain scarce, largely due to the lack of validated, ethnicity-specific cut-offs for muscle mass. However, existing studies suggest that individuals of African descent may have higher lean mass and bone mineral density than Caucasians, yet they are not protected from age-related muscle loss and its functional consequences [Al-</w:t>
      </w:r>
      <w:proofErr w:type="spellStart"/>
      <w:r w:rsidRPr="00620AED">
        <w:rPr>
          <w:rFonts w:ascii="Arial" w:hAnsi="Arial" w:cs="Arial"/>
          <w:highlight w:val="yellow"/>
          <w:lang w:eastAsia="fr-FR"/>
        </w:rPr>
        <w:t>Sofiani</w:t>
      </w:r>
      <w:proofErr w:type="spellEnd"/>
      <w:r w:rsidRPr="00620AED">
        <w:rPr>
          <w:rFonts w:ascii="Arial" w:hAnsi="Arial" w:cs="Arial"/>
          <w:highlight w:val="yellow"/>
          <w:lang w:eastAsia="fr-FR"/>
        </w:rPr>
        <w:t xml:space="preserve"> et al., 2021]. Critically, sarcopenia is often underdiagnosed in individuals with obesity because their body weight can remain </w:t>
      </w:r>
      <w:r w:rsidRPr="00620AED">
        <w:rPr>
          <w:rFonts w:ascii="Arial" w:hAnsi="Arial" w:cs="Arial"/>
          <w:highlight w:val="yellow"/>
          <w:lang w:eastAsia="fr-FR"/>
        </w:rPr>
        <w:lastRenderedPageBreak/>
        <w:t>stable or even increase, masking the underlying loss of muscle tissue. To date, scientific literature from Togo that employs detailed body composition analysis to investigate this phenomenon among patients with chronic hepatitis is virtually non-existent.</w:t>
      </w:r>
    </w:p>
    <w:p w14:paraId="5FFC2976" w14:textId="77777777" w:rsidR="007C37E6" w:rsidRPr="007C37E6" w:rsidRDefault="007C37E6" w:rsidP="007C0428">
      <w:pPr>
        <w:spacing w:before="100" w:beforeAutospacing="1" w:after="100" w:afterAutospacing="1"/>
        <w:rPr>
          <w:rFonts w:ascii="Arial" w:hAnsi="Arial" w:cs="Arial"/>
          <w:lang w:eastAsia="fr-FR"/>
        </w:rPr>
      </w:pPr>
      <w:r w:rsidRPr="007C37E6">
        <w:rPr>
          <w:rFonts w:ascii="Arial" w:hAnsi="Arial" w:cs="Arial"/>
          <w:lang w:eastAsia="fr-FR"/>
        </w:rPr>
        <w:t>Therefore, the objective of this study was to characterize the nutritional and metabolic profiles of patients with chronic hepatitis at the Lomé University Hospital Centre (CHU Campus). Specifically, this research aimed to determine the prevalence of steatosis and sarcopenic obesity and to describe the dietary patterns and food consumption habits prevalent in this vulnerable population.</w:t>
      </w:r>
    </w:p>
    <w:p w14:paraId="67CF8EF9" w14:textId="77777777" w:rsidR="00790ADA" w:rsidRPr="00FB3A86" w:rsidRDefault="00790ADA" w:rsidP="007C0428">
      <w:pPr>
        <w:pStyle w:val="Body"/>
        <w:spacing w:after="0"/>
        <w:jc w:val="left"/>
        <w:rPr>
          <w:rFonts w:ascii="Arial" w:hAnsi="Arial" w:cs="Arial"/>
        </w:rPr>
      </w:pPr>
    </w:p>
    <w:p w14:paraId="20ACD102" w14:textId="77777777" w:rsidR="00790ADA" w:rsidRPr="00FB3A86" w:rsidRDefault="00902823" w:rsidP="007C0428">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20DAF872" w14:textId="77777777" w:rsidR="00540720" w:rsidRPr="00540720" w:rsidRDefault="00540720" w:rsidP="007C0428">
      <w:pPr>
        <w:spacing w:before="100" w:beforeAutospacing="1" w:after="100" w:afterAutospacing="1"/>
        <w:rPr>
          <w:rFonts w:ascii="Arial" w:hAnsi="Arial" w:cs="Arial"/>
          <w:sz w:val="22"/>
          <w:lang w:eastAsia="fr-FR"/>
        </w:rPr>
      </w:pPr>
      <w:r w:rsidRPr="00540720">
        <w:rPr>
          <w:rFonts w:ascii="Arial" w:hAnsi="Arial" w:cs="Arial"/>
          <w:b/>
          <w:bCs/>
          <w:sz w:val="22"/>
          <w:lang w:eastAsia="fr-FR"/>
        </w:rPr>
        <w:t>2.1.Study design and setting</w:t>
      </w:r>
      <w:r w:rsidRPr="00540720">
        <w:rPr>
          <w:rFonts w:ascii="Arial" w:hAnsi="Arial" w:cs="Arial"/>
          <w:sz w:val="22"/>
          <w:lang w:eastAsia="fr-FR"/>
        </w:rPr>
        <w:t xml:space="preserve"> </w:t>
      </w:r>
    </w:p>
    <w:p w14:paraId="0B79E22B" w14:textId="773D235C"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lang w:eastAsia="fr-FR"/>
        </w:rPr>
        <w:t>A cross-sectional study with descriptive and analytical components was conducted between June and October 2024. The study took p</w:t>
      </w:r>
      <w:r w:rsidR="0065435E">
        <w:rPr>
          <w:rFonts w:ascii="Arial" w:hAnsi="Arial" w:cs="Arial"/>
          <w:lang w:eastAsia="fr-FR"/>
        </w:rPr>
        <w:t xml:space="preserve">lace at the Department of </w:t>
      </w:r>
      <w:r w:rsidR="0065435E" w:rsidRPr="00EB4989">
        <w:rPr>
          <w:rFonts w:ascii="Arial" w:hAnsi="Arial" w:cs="Arial"/>
          <w:highlight w:val="yellow"/>
          <w:lang w:eastAsia="fr-FR"/>
        </w:rPr>
        <w:t>G</w:t>
      </w:r>
      <w:r w:rsidRPr="00EB4989">
        <w:rPr>
          <w:rFonts w:ascii="Arial" w:hAnsi="Arial" w:cs="Arial"/>
          <w:highlight w:val="yellow"/>
          <w:lang w:eastAsia="fr-FR"/>
        </w:rPr>
        <w:t xml:space="preserve">astroenterology </w:t>
      </w:r>
      <w:r w:rsidRPr="00EB4989">
        <w:rPr>
          <w:rFonts w:ascii="Arial" w:hAnsi="Arial" w:cs="Arial"/>
          <w:lang w:eastAsia="fr-FR"/>
        </w:rPr>
        <w:t>of</w:t>
      </w:r>
      <w:r w:rsidRPr="00540720">
        <w:rPr>
          <w:rFonts w:ascii="Arial" w:hAnsi="Arial" w:cs="Arial"/>
          <w:lang w:eastAsia="fr-FR"/>
        </w:rPr>
        <w:t xml:space="preserve"> the Lomé University Hospital Centre (CHU Campus). This facility was selected as it is the national tertiary </w:t>
      </w:r>
      <w:proofErr w:type="gramStart"/>
      <w:r w:rsidRPr="00540720">
        <w:rPr>
          <w:rFonts w:ascii="Arial" w:hAnsi="Arial" w:cs="Arial"/>
          <w:lang w:eastAsia="fr-FR"/>
        </w:rPr>
        <w:t xml:space="preserve">referral  </w:t>
      </w:r>
      <w:r w:rsidR="008B4B33" w:rsidRPr="00FA7EF9">
        <w:rPr>
          <w:rFonts w:ascii="Arial" w:hAnsi="Arial" w:cs="Arial"/>
          <w:highlight w:val="cyan"/>
          <w:lang w:eastAsia="fr-FR"/>
        </w:rPr>
        <w:t>center</w:t>
      </w:r>
      <w:proofErr w:type="gramEnd"/>
      <w:r w:rsidR="008B4B33" w:rsidRPr="00FA7EF9">
        <w:rPr>
          <w:rFonts w:ascii="Arial" w:hAnsi="Arial" w:cs="Arial"/>
          <w:highlight w:val="cyan"/>
          <w:lang w:eastAsia="fr-FR"/>
        </w:rPr>
        <w:t xml:space="preserve"> for gastrointestinal disorders</w:t>
      </w:r>
      <w:r w:rsidR="008B4B33" w:rsidRPr="00540720">
        <w:rPr>
          <w:rFonts w:ascii="Arial" w:hAnsi="Arial" w:cs="Arial"/>
          <w:lang w:eastAsia="fr-FR"/>
        </w:rPr>
        <w:t xml:space="preserve"> </w:t>
      </w:r>
      <w:r w:rsidRPr="00540720">
        <w:rPr>
          <w:rFonts w:ascii="Arial" w:hAnsi="Arial" w:cs="Arial"/>
          <w:lang w:eastAsia="fr-FR"/>
        </w:rPr>
        <w:t>in Togo, ensuring a large and representative patient cohort.</w:t>
      </w:r>
    </w:p>
    <w:p w14:paraId="5DE63A4D" w14:textId="77777777" w:rsidR="00540720" w:rsidRPr="00540720" w:rsidRDefault="00540720" w:rsidP="007C0428">
      <w:pPr>
        <w:spacing w:before="100" w:beforeAutospacing="1" w:after="100" w:afterAutospacing="1"/>
        <w:rPr>
          <w:rFonts w:ascii="Arial" w:hAnsi="Arial" w:cs="Arial"/>
          <w:sz w:val="22"/>
          <w:lang w:eastAsia="fr-FR"/>
        </w:rPr>
      </w:pPr>
      <w:r w:rsidRPr="00540720">
        <w:rPr>
          <w:rFonts w:ascii="Arial" w:hAnsi="Arial" w:cs="Arial"/>
          <w:b/>
          <w:bCs/>
          <w:sz w:val="22"/>
          <w:lang w:eastAsia="fr-FR"/>
        </w:rPr>
        <w:t>2.2. Study population</w:t>
      </w:r>
      <w:r w:rsidRPr="00540720">
        <w:rPr>
          <w:rFonts w:ascii="Arial" w:hAnsi="Arial" w:cs="Arial"/>
          <w:sz w:val="22"/>
          <w:lang w:eastAsia="fr-FR"/>
        </w:rPr>
        <w:t xml:space="preserve"> </w:t>
      </w:r>
    </w:p>
    <w:p w14:paraId="64577C07"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lang w:eastAsia="fr-FR"/>
        </w:rPr>
        <w:t>The study population consisted of patients of both sexes attending the clinic for the management of chronic hepatitis. From this population, a cohort of 363 patients who met the eligibility criteria was consecutively recruited.</w:t>
      </w:r>
    </w:p>
    <w:p w14:paraId="0B3E1381" w14:textId="77777777" w:rsidR="00540720" w:rsidRPr="00540720" w:rsidRDefault="00540720" w:rsidP="007C0428">
      <w:pPr>
        <w:spacing w:before="100" w:beforeAutospacing="1" w:after="100" w:afterAutospacing="1"/>
        <w:rPr>
          <w:rFonts w:ascii="Arial" w:hAnsi="Arial" w:cs="Arial"/>
          <w:b/>
          <w:i/>
          <w:sz w:val="22"/>
          <w:lang w:eastAsia="fr-FR"/>
        </w:rPr>
      </w:pPr>
      <w:r w:rsidRPr="00540720">
        <w:rPr>
          <w:rFonts w:ascii="Arial" w:hAnsi="Arial" w:cs="Arial"/>
          <w:b/>
          <w:bCs/>
          <w:sz w:val="22"/>
          <w:lang w:eastAsia="fr-FR"/>
        </w:rPr>
        <w:t xml:space="preserve">2.2.1. </w:t>
      </w:r>
      <w:r w:rsidRPr="00540720">
        <w:rPr>
          <w:rFonts w:ascii="Arial" w:hAnsi="Arial" w:cs="Arial"/>
          <w:b/>
          <w:i/>
          <w:sz w:val="22"/>
          <w:lang w:eastAsia="fr-FR"/>
        </w:rPr>
        <w:t>Inclusion criteria</w:t>
      </w:r>
    </w:p>
    <w:p w14:paraId="677EF21C" w14:textId="77777777" w:rsidR="00540720" w:rsidRPr="00540720" w:rsidRDefault="00540720" w:rsidP="007C0428">
      <w:pPr>
        <w:rPr>
          <w:rFonts w:ascii="Arial" w:hAnsi="Arial" w:cs="Arial"/>
          <w:lang w:eastAsia="fr-FR"/>
        </w:rPr>
      </w:pPr>
      <w:r w:rsidRPr="00540720">
        <w:rPr>
          <w:rFonts w:ascii="Arial" w:hAnsi="Arial" w:cs="Arial"/>
          <w:lang w:eastAsia="fr-FR"/>
        </w:rPr>
        <w:t xml:space="preserve">Inclusion criteria were: </w:t>
      </w:r>
    </w:p>
    <w:p w14:paraId="0C1B097F" w14:textId="77777777" w:rsidR="00540720" w:rsidRPr="00540720" w:rsidRDefault="00540720" w:rsidP="007C0428">
      <w:pPr>
        <w:rPr>
          <w:rFonts w:ascii="Arial" w:hAnsi="Arial" w:cs="Arial"/>
          <w:lang w:eastAsia="fr-FR"/>
        </w:rPr>
      </w:pPr>
      <w:r w:rsidRPr="00540720">
        <w:rPr>
          <w:rFonts w:ascii="Arial" w:hAnsi="Arial" w:cs="Arial"/>
          <w:lang w:eastAsia="fr-FR"/>
        </w:rPr>
        <w:t xml:space="preserve">- a confirmed diagnosis of chronic hepatitis B (positive HBsAg) or hepatitis C (positive anti-HCV antibodies with detectable HCV RNA) ; </w:t>
      </w:r>
    </w:p>
    <w:p w14:paraId="04480124" w14:textId="77777777" w:rsidR="00540720" w:rsidRPr="00540720" w:rsidRDefault="00540720" w:rsidP="007C0428">
      <w:pPr>
        <w:rPr>
          <w:rFonts w:ascii="Arial" w:hAnsi="Arial" w:cs="Arial"/>
          <w:lang w:eastAsia="fr-FR"/>
        </w:rPr>
      </w:pPr>
      <w:r w:rsidRPr="00540720">
        <w:rPr>
          <w:rFonts w:ascii="Arial" w:hAnsi="Arial" w:cs="Arial"/>
          <w:lang w:eastAsia="fr-FR"/>
        </w:rPr>
        <w:t>- providing informed consent to participate.</w:t>
      </w:r>
    </w:p>
    <w:p w14:paraId="596077CD" w14:textId="77777777" w:rsidR="00540720" w:rsidRPr="00540720" w:rsidRDefault="00540720" w:rsidP="007C0428">
      <w:pPr>
        <w:rPr>
          <w:rFonts w:ascii="Arial" w:hAnsi="Arial" w:cs="Arial"/>
          <w:lang w:eastAsia="fr-FR"/>
        </w:rPr>
      </w:pPr>
    </w:p>
    <w:p w14:paraId="64E0D660" w14:textId="77777777" w:rsidR="00540720" w:rsidRPr="00540720" w:rsidRDefault="00540720" w:rsidP="007C0428">
      <w:pPr>
        <w:spacing w:before="100" w:beforeAutospacing="1" w:after="100" w:afterAutospacing="1"/>
        <w:rPr>
          <w:rFonts w:ascii="Arial" w:hAnsi="Arial" w:cs="Arial"/>
          <w:i/>
          <w:sz w:val="22"/>
          <w:lang w:eastAsia="fr-FR"/>
        </w:rPr>
      </w:pPr>
      <w:r w:rsidRPr="00540720">
        <w:rPr>
          <w:rFonts w:ascii="Arial" w:hAnsi="Arial" w:cs="Arial"/>
          <w:bCs/>
          <w:sz w:val="22"/>
          <w:lang w:eastAsia="fr-FR"/>
        </w:rPr>
        <w:t>2.2.2.</w:t>
      </w:r>
      <w:r w:rsidRPr="00540720">
        <w:rPr>
          <w:rFonts w:ascii="Arial" w:hAnsi="Arial" w:cs="Arial"/>
          <w:i/>
          <w:sz w:val="22"/>
          <w:lang w:eastAsia="fr-FR"/>
        </w:rPr>
        <w:t xml:space="preserve"> Exclusion criteria</w:t>
      </w:r>
    </w:p>
    <w:p w14:paraId="208D1817" w14:textId="77777777" w:rsidR="00540720" w:rsidRPr="00540720" w:rsidRDefault="00540720" w:rsidP="007C0428">
      <w:pPr>
        <w:rPr>
          <w:rFonts w:ascii="Arial" w:hAnsi="Arial" w:cs="Arial"/>
          <w:lang w:eastAsia="fr-FR"/>
        </w:rPr>
      </w:pPr>
      <w:r w:rsidRPr="00540720">
        <w:rPr>
          <w:rFonts w:ascii="Arial" w:hAnsi="Arial" w:cs="Arial"/>
          <w:lang w:eastAsia="fr-FR"/>
        </w:rPr>
        <w:t xml:space="preserve">Exclusion criteria included : </w:t>
      </w:r>
    </w:p>
    <w:p w14:paraId="5FE1DD74" w14:textId="3676DD70" w:rsidR="00540720" w:rsidRPr="00540720" w:rsidRDefault="00540720" w:rsidP="007C0428">
      <w:pPr>
        <w:rPr>
          <w:rFonts w:ascii="Arial" w:hAnsi="Arial" w:cs="Arial"/>
          <w:lang w:eastAsia="fr-FR"/>
        </w:rPr>
      </w:pPr>
      <w:r w:rsidRPr="00540720">
        <w:rPr>
          <w:rFonts w:ascii="Arial" w:hAnsi="Arial" w:cs="Arial"/>
          <w:lang w:eastAsia="fr-FR"/>
        </w:rPr>
        <w:t xml:space="preserve">- the presence of a predominant, severe </w:t>
      </w:r>
      <w:proofErr w:type="gramStart"/>
      <w:r w:rsidR="00510D15" w:rsidRPr="00BE01BE">
        <w:rPr>
          <w:rFonts w:ascii="Arial" w:hAnsi="Arial" w:cs="Arial"/>
          <w:color w:val="FF0000"/>
          <w:highlight w:val="cyan"/>
          <w:lang w:eastAsia="fr-FR"/>
        </w:rPr>
        <w:t>Non-gastrointestinal</w:t>
      </w:r>
      <w:proofErr w:type="gramEnd"/>
      <w:r w:rsidR="00510D15" w:rsidRPr="00BE01BE">
        <w:rPr>
          <w:rFonts w:ascii="Arial" w:hAnsi="Arial" w:cs="Arial"/>
          <w:color w:val="FF0000"/>
          <w:highlight w:val="cyan"/>
          <w:lang w:eastAsia="fr-FR"/>
        </w:rPr>
        <w:t xml:space="preserve"> comorbidities</w:t>
      </w:r>
      <w:r w:rsidR="00510D15" w:rsidRPr="00540720">
        <w:rPr>
          <w:rFonts w:ascii="Arial" w:hAnsi="Arial" w:cs="Arial"/>
          <w:lang w:eastAsia="fr-FR"/>
        </w:rPr>
        <w:t xml:space="preserve"> </w:t>
      </w:r>
      <w:r w:rsidRPr="00540720">
        <w:rPr>
          <w:rFonts w:ascii="Arial" w:hAnsi="Arial" w:cs="Arial"/>
          <w:lang w:eastAsia="fr-FR"/>
        </w:rPr>
        <w:t xml:space="preserve">(e.g., decompensated heart or renal failure) that could confound the </w:t>
      </w:r>
      <w:proofErr w:type="gramStart"/>
      <w:r w:rsidRPr="00540720">
        <w:rPr>
          <w:rFonts w:ascii="Arial" w:hAnsi="Arial" w:cs="Arial"/>
          <w:lang w:eastAsia="fr-FR"/>
        </w:rPr>
        <w:t>results ;</w:t>
      </w:r>
      <w:proofErr w:type="gramEnd"/>
      <w:r w:rsidRPr="00540720">
        <w:rPr>
          <w:rFonts w:ascii="Arial" w:hAnsi="Arial" w:cs="Arial"/>
          <w:lang w:eastAsia="fr-FR"/>
        </w:rPr>
        <w:t xml:space="preserve"> </w:t>
      </w:r>
    </w:p>
    <w:p w14:paraId="76F9A6B2" w14:textId="77777777" w:rsidR="00540720" w:rsidRPr="00540720" w:rsidRDefault="00540720" w:rsidP="007C0428">
      <w:pPr>
        <w:rPr>
          <w:rFonts w:ascii="Arial" w:hAnsi="Arial" w:cs="Arial"/>
          <w:lang w:eastAsia="fr-FR"/>
        </w:rPr>
      </w:pPr>
      <w:r w:rsidRPr="00540720">
        <w:rPr>
          <w:rFonts w:ascii="Arial" w:hAnsi="Arial" w:cs="Arial"/>
          <w:lang w:eastAsia="fr-FR"/>
        </w:rPr>
        <w:t>- a critical clinical state that prevented a reliable nutritional assessment or dietary interview ; and (3) the presence of clinically significant ascites or peripheral edema, which interferes with the accuracy of bioelectrical impedance analysis.</w:t>
      </w:r>
    </w:p>
    <w:p w14:paraId="627CE8A8" w14:textId="77777777" w:rsidR="00540720" w:rsidRPr="00540720" w:rsidRDefault="00540720" w:rsidP="007C0428">
      <w:pPr>
        <w:rPr>
          <w:rFonts w:ascii="Arial" w:hAnsi="Arial" w:cs="Arial"/>
          <w:lang w:eastAsia="fr-FR"/>
        </w:rPr>
      </w:pPr>
    </w:p>
    <w:p w14:paraId="6CF667BE" w14:textId="77777777" w:rsidR="00540720" w:rsidRPr="00540720" w:rsidRDefault="00540720" w:rsidP="007C0428">
      <w:pPr>
        <w:spacing w:before="100" w:beforeAutospacing="1" w:after="100" w:afterAutospacing="1"/>
        <w:rPr>
          <w:rFonts w:ascii="Arial" w:hAnsi="Arial" w:cs="Arial"/>
          <w:sz w:val="22"/>
          <w:lang w:eastAsia="fr-FR"/>
        </w:rPr>
      </w:pPr>
      <w:r w:rsidRPr="00540720">
        <w:rPr>
          <w:rFonts w:ascii="Arial" w:hAnsi="Arial" w:cs="Arial"/>
          <w:b/>
          <w:bCs/>
          <w:sz w:val="22"/>
          <w:lang w:eastAsia="fr-FR"/>
        </w:rPr>
        <w:t>2.3. Data collection</w:t>
      </w:r>
      <w:r w:rsidRPr="00540720">
        <w:rPr>
          <w:rFonts w:ascii="Arial" w:hAnsi="Arial" w:cs="Arial"/>
          <w:sz w:val="22"/>
          <w:lang w:eastAsia="fr-FR"/>
        </w:rPr>
        <w:t xml:space="preserve"> </w:t>
      </w:r>
    </w:p>
    <w:p w14:paraId="43F6E7BF"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lang w:eastAsia="fr-FR"/>
        </w:rPr>
        <w:t>Data were collected prospectively using a structured questionnaire.</w:t>
      </w:r>
    </w:p>
    <w:p w14:paraId="722570D0"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b/>
          <w:bCs/>
          <w:sz w:val="22"/>
          <w:lang w:eastAsia="fr-FR"/>
        </w:rPr>
        <w:t>2.3.1. Sociodemographic and clinical data</w:t>
      </w:r>
      <w:r w:rsidRPr="00540720">
        <w:rPr>
          <w:rFonts w:ascii="Arial" w:hAnsi="Arial" w:cs="Arial"/>
          <w:sz w:val="22"/>
          <w:lang w:eastAsia="fr-FR"/>
        </w:rPr>
        <w:t xml:space="preserve"> </w:t>
      </w:r>
    </w:p>
    <w:p w14:paraId="2165C105"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lang w:eastAsia="fr-FR"/>
        </w:rPr>
        <w:t>Information on age, sex, and socioeconomic status was collected through direct interviews. Clinical data, including the etiology of hepatitis, comorbidities, and results from abdominal ultrasonography used to detect hepatic steatosis, were extracted from patient medical records.</w:t>
      </w:r>
    </w:p>
    <w:p w14:paraId="57AA8E31" w14:textId="77777777" w:rsidR="00540720" w:rsidRPr="00540720" w:rsidRDefault="00540720" w:rsidP="007C0428">
      <w:pPr>
        <w:spacing w:before="100" w:beforeAutospacing="1" w:after="100" w:afterAutospacing="1"/>
        <w:rPr>
          <w:rFonts w:ascii="Arial" w:hAnsi="Arial" w:cs="Arial"/>
          <w:sz w:val="22"/>
          <w:lang w:eastAsia="fr-FR"/>
        </w:rPr>
      </w:pPr>
      <w:r w:rsidRPr="00540720">
        <w:rPr>
          <w:rFonts w:ascii="Arial" w:hAnsi="Arial" w:cs="Arial"/>
          <w:b/>
          <w:bCs/>
          <w:sz w:val="22"/>
          <w:lang w:eastAsia="fr-FR"/>
        </w:rPr>
        <w:lastRenderedPageBreak/>
        <w:t>2.3.2. Nutritional assessment</w:t>
      </w:r>
    </w:p>
    <w:p w14:paraId="451DE28A"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lang w:eastAsia="fr-FR"/>
        </w:rPr>
        <w:t xml:space="preserve">Body composition was assessed using a ZOETOUCH, brand bioelectrical impedance analysis (BIA) device, Model CF 398BLE, made in CHINA. Measurements were taken in the morning after an overnight fast to minimize variability and adhere to the manufacturer's recommendations. Patients were measured in light clothing and without shoes. The following parameters were recorded : body fat percentage, skeletal muscle mass, visceral fat level, and total body water. BMI was also calculated as weight (kg) divided by height squared (m²). </w:t>
      </w:r>
    </w:p>
    <w:p w14:paraId="2688A1D3"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lang w:eastAsia="fr-FR"/>
        </w:rPr>
        <w:t>Visceral obesity was defined as a visceral fat level of ≥10, a threshold indicated by the manufacturer to be associated with a high metabolic risk. Protein depletion was identified when the protein mass index was categorized as 'Low' based on the manufacturer's integrated reference standards   The use of these non-population-specific thresholds for a West African population is acknowledged as a limitation and warrants future research to establish local norms</w:t>
      </w:r>
    </w:p>
    <w:p w14:paraId="62B4DF63"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b/>
          <w:bCs/>
          <w:sz w:val="22"/>
          <w:lang w:eastAsia="fr-FR"/>
        </w:rPr>
        <w:t>2.3.3. Dietary assessment</w:t>
      </w:r>
      <w:r w:rsidRPr="00540720">
        <w:rPr>
          <w:rFonts w:ascii="Arial" w:hAnsi="Arial" w:cs="Arial"/>
          <w:sz w:val="22"/>
          <w:lang w:eastAsia="fr-FR"/>
        </w:rPr>
        <w:t xml:space="preserve"> </w:t>
      </w:r>
    </w:p>
    <w:p w14:paraId="4FEABA99"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lang w:eastAsia="fr-FR"/>
        </w:rPr>
        <w:t xml:space="preserve">A semi-quantitative Food Frequency Questionnaire (FFQ) was specifically developed for this study. The questionnaire was pre-tested with 20 patients to ensure its clarity and cultural relevance. It should be noted that a formal validation against a reference method, such as 24-hour recalls, was not conducted in this study, which represents a limitation. The questionnaire was designed to assess the consumption frequency of key local food items, including primary sources of carbohydrates (maize, rice, yam), proteins, and fats (e.g., palm oil, refined oils). It also specifically queried the intake of sugary products (sodas, juices), the use of industrial bouillon cubes for seasoning, and the reliance on out-of-home meals, particularly from street food vendors. </w:t>
      </w:r>
    </w:p>
    <w:p w14:paraId="7B054D0E" w14:textId="77777777" w:rsidR="00540720" w:rsidRPr="00540720" w:rsidRDefault="00540720" w:rsidP="007C0428">
      <w:pPr>
        <w:spacing w:before="100" w:beforeAutospacing="1" w:after="100" w:afterAutospacing="1"/>
        <w:rPr>
          <w:rFonts w:ascii="Arial" w:hAnsi="Arial" w:cs="Arial"/>
          <w:b/>
          <w:bCs/>
          <w:sz w:val="22"/>
          <w:lang w:eastAsia="fr-FR"/>
        </w:rPr>
      </w:pPr>
      <w:r w:rsidRPr="00540720">
        <w:rPr>
          <w:rFonts w:ascii="Arial" w:hAnsi="Arial" w:cs="Arial"/>
          <w:b/>
          <w:bCs/>
          <w:sz w:val="22"/>
          <w:lang w:eastAsia="fr-FR"/>
        </w:rPr>
        <w:t>2.4. Biochemical analysis</w:t>
      </w:r>
    </w:p>
    <w:p w14:paraId="156A0B3F"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lang w:eastAsia="fr-FR"/>
        </w:rPr>
        <w:t xml:space="preserve"> Venous blood samples were collected from each participant. Serological markers, including HBsAg and anti-HCV antibodies, were used to confirm the etiology of the viral hepatitis. </w:t>
      </w:r>
    </w:p>
    <w:p w14:paraId="203E3ECA" w14:textId="77777777" w:rsidR="00540720" w:rsidRPr="00540720" w:rsidRDefault="00540720" w:rsidP="007C0428">
      <w:pPr>
        <w:spacing w:before="100" w:beforeAutospacing="1" w:after="100" w:afterAutospacing="1"/>
        <w:rPr>
          <w:rFonts w:ascii="Arial" w:hAnsi="Arial" w:cs="Arial"/>
          <w:sz w:val="22"/>
          <w:lang w:eastAsia="fr-FR"/>
        </w:rPr>
      </w:pPr>
      <w:r w:rsidRPr="00540720">
        <w:rPr>
          <w:rFonts w:ascii="Arial" w:hAnsi="Arial" w:cs="Arial"/>
          <w:b/>
          <w:bCs/>
          <w:sz w:val="22"/>
          <w:lang w:eastAsia="fr-FR"/>
        </w:rPr>
        <w:t>2.5. Statistical analysis</w:t>
      </w:r>
      <w:r w:rsidRPr="00540720">
        <w:rPr>
          <w:rFonts w:ascii="Arial" w:hAnsi="Arial" w:cs="Arial"/>
          <w:sz w:val="22"/>
          <w:lang w:eastAsia="fr-FR"/>
        </w:rPr>
        <w:t xml:space="preserve"> </w:t>
      </w:r>
    </w:p>
    <w:p w14:paraId="0EFB8921" w14:textId="77777777" w:rsidR="00540720" w:rsidRPr="00540720" w:rsidRDefault="00540720" w:rsidP="007C0428">
      <w:pPr>
        <w:spacing w:before="100" w:beforeAutospacing="1" w:after="100" w:afterAutospacing="1"/>
        <w:rPr>
          <w:rFonts w:ascii="Arial" w:hAnsi="Arial" w:cs="Arial"/>
          <w:lang w:eastAsia="fr-FR"/>
        </w:rPr>
      </w:pPr>
      <w:r w:rsidRPr="00540720">
        <w:rPr>
          <w:rFonts w:ascii="Arial" w:hAnsi="Arial" w:cs="Arial"/>
          <w:lang w:eastAsia="fr-FR"/>
        </w:rPr>
        <w:t xml:space="preserve">Data were analyzed using SPSS software (version 20.1) and GraphPad Prism 8.2. Descriptive statistics were used to summarize the characteristics of the cohort; frequencies and percentages were calculated for categorical variables, while means and standard deviations (SD) were calculated for continuous variables. To compare profiles between groups (e.g., men versus women), Student’s </w:t>
      </w:r>
      <w:proofErr w:type="spellStart"/>
      <w:r w:rsidRPr="00540720">
        <w:rPr>
          <w:rFonts w:ascii="Arial" w:hAnsi="Arial" w:cs="Arial"/>
          <w:lang w:eastAsia="fr-FR"/>
        </w:rPr>
        <w:t>umpair</w:t>
      </w:r>
      <w:proofErr w:type="spellEnd"/>
      <w:r w:rsidRPr="00540720">
        <w:rPr>
          <w:rFonts w:ascii="Arial" w:hAnsi="Arial" w:cs="Arial"/>
          <w:lang w:eastAsia="fr-FR"/>
        </w:rPr>
        <w:t xml:space="preserve"> t-test, the Chi-square (χ²) test were used for categorical variables and the independent samples Student's t-test was used for continuous variables. The threshold for statistical significance was set at p &lt; 0.05 for all tests.</w:t>
      </w:r>
    </w:p>
    <w:p w14:paraId="3F5D81AD" w14:textId="77777777" w:rsidR="00790ADA" w:rsidRPr="00FB3A86" w:rsidRDefault="00790ADA" w:rsidP="007C0428">
      <w:pPr>
        <w:pStyle w:val="Body"/>
        <w:spacing w:after="0"/>
        <w:jc w:val="left"/>
        <w:rPr>
          <w:rFonts w:ascii="Arial" w:hAnsi="Arial" w:cs="Arial"/>
        </w:rPr>
      </w:pPr>
    </w:p>
    <w:p w14:paraId="0144A5DD" w14:textId="77777777" w:rsidR="00902823" w:rsidRDefault="00000F8F" w:rsidP="007C0428">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9BC4DC" w14:textId="77777777" w:rsidR="00731D8C" w:rsidRPr="00731D8C" w:rsidRDefault="00731D8C" w:rsidP="007C0428">
      <w:pPr>
        <w:spacing w:before="100" w:beforeAutospacing="1" w:after="100" w:afterAutospacing="1"/>
        <w:outlineLvl w:val="2"/>
        <w:rPr>
          <w:rFonts w:ascii="Arial" w:hAnsi="Arial" w:cs="Arial"/>
          <w:b/>
          <w:bCs/>
          <w:lang w:eastAsia="fr-FR"/>
        </w:rPr>
      </w:pPr>
      <w:r w:rsidRPr="00731D8C">
        <w:rPr>
          <w:rFonts w:ascii="Arial" w:hAnsi="Arial" w:cs="Arial"/>
          <w:b/>
          <w:bCs/>
          <w:lang w:eastAsia="fr-FR"/>
        </w:rPr>
        <w:t>3.RESULTS</w:t>
      </w:r>
    </w:p>
    <w:p w14:paraId="0FDC00E5" w14:textId="77777777" w:rsidR="00731D8C" w:rsidRPr="00731D8C" w:rsidRDefault="00731D8C" w:rsidP="007C0428">
      <w:pPr>
        <w:pStyle w:val="Heading2"/>
        <w:rPr>
          <w:rFonts w:ascii="Arial" w:hAnsi="Arial" w:cs="Arial"/>
          <w:b/>
          <w:color w:val="auto"/>
          <w:sz w:val="20"/>
          <w:szCs w:val="20"/>
        </w:rPr>
      </w:pPr>
      <w:r w:rsidRPr="00731D8C">
        <w:rPr>
          <w:rFonts w:ascii="Arial" w:hAnsi="Arial" w:cs="Arial"/>
          <w:b/>
          <w:color w:val="auto"/>
          <w:sz w:val="20"/>
          <w:szCs w:val="20"/>
        </w:rPr>
        <w:t xml:space="preserve">3.1. </w:t>
      </w:r>
      <w:proofErr w:type="spellStart"/>
      <w:r w:rsidRPr="00731D8C">
        <w:rPr>
          <w:rFonts w:ascii="Arial" w:hAnsi="Arial" w:cs="Arial"/>
          <w:b/>
          <w:color w:val="auto"/>
          <w:sz w:val="20"/>
          <w:szCs w:val="20"/>
        </w:rPr>
        <w:t>Sociodemographic</w:t>
      </w:r>
      <w:proofErr w:type="spellEnd"/>
      <w:r w:rsidRPr="00731D8C">
        <w:rPr>
          <w:rFonts w:ascii="Arial" w:hAnsi="Arial" w:cs="Arial"/>
          <w:b/>
          <w:color w:val="auto"/>
          <w:sz w:val="20"/>
          <w:szCs w:val="20"/>
        </w:rPr>
        <w:t xml:space="preserve"> profile of patients</w:t>
      </w:r>
    </w:p>
    <w:p w14:paraId="061B0F63" w14:textId="4F6B0343" w:rsidR="00731D8C" w:rsidRDefault="00731D8C" w:rsidP="007C0428">
      <w:pPr>
        <w:pStyle w:val="NormalWeb"/>
        <w:rPr>
          <w:rFonts w:ascii="Arial" w:hAnsi="Arial" w:cs="Arial"/>
          <w:sz w:val="20"/>
          <w:szCs w:val="20"/>
        </w:rPr>
      </w:pPr>
      <w:r w:rsidRPr="00731D8C">
        <w:rPr>
          <w:rFonts w:ascii="Arial" w:hAnsi="Arial" w:cs="Arial"/>
          <w:sz w:val="20"/>
          <w:szCs w:val="20"/>
        </w:rPr>
        <w:t xml:space="preserve">The </w:t>
      </w:r>
      <w:proofErr w:type="spellStart"/>
      <w:r w:rsidRPr="00731D8C">
        <w:rPr>
          <w:rFonts w:ascii="Arial" w:hAnsi="Arial" w:cs="Arial"/>
          <w:sz w:val="20"/>
          <w:szCs w:val="20"/>
        </w:rPr>
        <w:t>analysis</w:t>
      </w:r>
      <w:proofErr w:type="spellEnd"/>
      <w:r w:rsidRPr="00731D8C">
        <w:rPr>
          <w:rFonts w:ascii="Arial" w:hAnsi="Arial" w:cs="Arial"/>
          <w:sz w:val="20"/>
          <w:szCs w:val="20"/>
        </w:rPr>
        <w:t xml:space="preserve"> of the </w:t>
      </w:r>
      <w:proofErr w:type="spellStart"/>
      <w:r w:rsidRPr="00731D8C">
        <w:rPr>
          <w:rFonts w:ascii="Arial" w:hAnsi="Arial" w:cs="Arial"/>
          <w:sz w:val="20"/>
          <w:szCs w:val="20"/>
        </w:rPr>
        <w:t>sociodemographic</w:t>
      </w:r>
      <w:proofErr w:type="spellEnd"/>
      <w:r w:rsidRPr="00731D8C">
        <w:rPr>
          <w:rFonts w:ascii="Arial" w:hAnsi="Arial" w:cs="Arial"/>
          <w:sz w:val="20"/>
          <w:szCs w:val="20"/>
        </w:rPr>
        <w:t xml:space="preserve"> </w:t>
      </w:r>
      <w:proofErr w:type="spellStart"/>
      <w:r w:rsidRPr="00731D8C">
        <w:rPr>
          <w:rFonts w:ascii="Arial" w:hAnsi="Arial" w:cs="Arial"/>
          <w:sz w:val="20"/>
          <w:szCs w:val="20"/>
        </w:rPr>
        <w:t>characteristics</w:t>
      </w:r>
      <w:proofErr w:type="spellEnd"/>
      <w:r w:rsidRPr="00731D8C">
        <w:rPr>
          <w:rFonts w:ascii="Arial" w:hAnsi="Arial" w:cs="Arial"/>
          <w:sz w:val="20"/>
          <w:szCs w:val="20"/>
        </w:rPr>
        <w:t xml:space="preserve"> of the </w:t>
      </w:r>
      <w:proofErr w:type="spellStart"/>
      <w:r w:rsidRPr="00731D8C">
        <w:rPr>
          <w:rFonts w:ascii="Arial" w:hAnsi="Arial" w:cs="Arial"/>
          <w:sz w:val="20"/>
          <w:szCs w:val="20"/>
        </w:rPr>
        <w:t>study</w:t>
      </w:r>
      <w:proofErr w:type="spellEnd"/>
      <w:r w:rsidRPr="00731D8C">
        <w:rPr>
          <w:rFonts w:ascii="Arial" w:hAnsi="Arial" w:cs="Arial"/>
          <w:sz w:val="20"/>
          <w:szCs w:val="20"/>
        </w:rPr>
        <w:t xml:space="preserve"> population (</w:t>
      </w:r>
      <w:r w:rsidRPr="00731D8C">
        <w:rPr>
          <w:rStyle w:val="mord"/>
          <w:rFonts w:ascii="Arial" w:hAnsi="Arial" w:cs="Arial"/>
          <w:sz w:val="20"/>
          <w:szCs w:val="20"/>
        </w:rPr>
        <w:t>N</w:t>
      </w:r>
      <w:r w:rsidRPr="00731D8C">
        <w:rPr>
          <w:rStyle w:val="mrel"/>
          <w:rFonts w:ascii="Arial" w:hAnsi="Arial" w:cs="Arial"/>
          <w:sz w:val="20"/>
          <w:szCs w:val="20"/>
        </w:rPr>
        <w:t>=</w:t>
      </w:r>
      <w:r w:rsidRPr="00731D8C">
        <w:rPr>
          <w:rStyle w:val="mord"/>
          <w:rFonts w:ascii="Arial" w:hAnsi="Arial" w:cs="Arial"/>
          <w:sz w:val="20"/>
          <w:szCs w:val="20"/>
        </w:rPr>
        <w:t>363</w:t>
      </w:r>
      <w:r w:rsidRPr="00731D8C">
        <w:rPr>
          <w:rFonts w:ascii="Arial" w:hAnsi="Arial" w:cs="Arial"/>
          <w:sz w:val="20"/>
          <w:szCs w:val="20"/>
        </w:rPr>
        <w:t xml:space="preserve">) </w:t>
      </w:r>
      <w:proofErr w:type="spellStart"/>
      <w:r w:rsidRPr="00731D8C">
        <w:rPr>
          <w:rFonts w:ascii="Arial" w:hAnsi="Arial" w:cs="Arial"/>
          <w:sz w:val="20"/>
          <w:szCs w:val="20"/>
        </w:rPr>
        <w:t>reveals</w:t>
      </w:r>
      <w:proofErr w:type="spellEnd"/>
      <w:r w:rsidRPr="00731D8C">
        <w:rPr>
          <w:rFonts w:ascii="Arial" w:hAnsi="Arial" w:cs="Arial"/>
          <w:sz w:val="20"/>
          <w:szCs w:val="20"/>
        </w:rPr>
        <w:t xml:space="preserve"> a </w:t>
      </w:r>
      <w:proofErr w:type="spellStart"/>
      <w:r w:rsidRPr="00731D8C">
        <w:rPr>
          <w:rFonts w:ascii="Arial" w:hAnsi="Arial" w:cs="Arial"/>
          <w:sz w:val="20"/>
          <w:szCs w:val="20"/>
        </w:rPr>
        <w:t>heterogeneous</w:t>
      </w:r>
      <w:proofErr w:type="spellEnd"/>
      <w:r w:rsidRPr="00731D8C">
        <w:rPr>
          <w:rFonts w:ascii="Arial" w:hAnsi="Arial" w:cs="Arial"/>
          <w:sz w:val="20"/>
          <w:szCs w:val="20"/>
        </w:rPr>
        <w:t xml:space="preserve"> profile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notable </w:t>
      </w:r>
      <w:proofErr w:type="spellStart"/>
      <w:r w:rsidRPr="00731D8C">
        <w:rPr>
          <w:rFonts w:ascii="Arial" w:hAnsi="Arial" w:cs="Arial"/>
          <w:sz w:val="20"/>
          <w:szCs w:val="20"/>
        </w:rPr>
        <w:t>differences</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sexes. The </w:t>
      </w:r>
      <w:proofErr w:type="spellStart"/>
      <w:r w:rsidRPr="00731D8C">
        <w:rPr>
          <w:rFonts w:ascii="Arial" w:hAnsi="Arial" w:cs="Arial"/>
          <w:sz w:val="20"/>
          <w:szCs w:val="20"/>
        </w:rPr>
        <w:t>overall</w:t>
      </w:r>
      <w:proofErr w:type="spellEnd"/>
      <w:r w:rsidRPr="00731D8C">
        <w:rPr>
          <w:rFonts w:ascii="Arial" w:hAnsi="Arial" w:cs="Arial"/>
          <w:sz w:val="20"/>
          <w:szCs w:val="20"/>
        </w:rPr>
        <w:t xml:space="preserve"> population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predominantly</w:t>
      </w:r>
      <w:proofErr w:type="spellEnd"/>
      <w:r w:rsidRPr="00731D8C">
        <w:rPr>
          <w:rFonts w:ascii="Arial" w:hAnsi="Arial" w:cs="Arial"/>
          <w:sz w:val="20"/>
          <w:szCs w:val="20"/>
        </w:rPr>
        <w:t xml:space="preserve"> male, </w:t>
      </w:r>
      <w:proofErr w:type="spellStart"/>
      <w:r w:rsidRPr="00731D8C">
        <w:rPr>
          <w:rFonts w:ascii="Arial" w:hAnsi="Arial" w:cs="Arial"/>
          <w:sz w:val="20"/>
          <w:szCs w:val="20"/>
        </w:rPr>
        <w:t>consisting</w:t>
      </w:r>
      <w:proofErr w:type="spellEnd"/>
      <w:r w:rsidRPr="00731D8C">
        <w:rPr>
          <w:rFonts w:ascii="Arial" w:hAnsi="Arial" w:cs="Arial"/>
          <w:sz w:val="20"/>
          <w:szCs w:val="20"/>
        </w:rPr>
        <w:t xml:space="preserve"> of </w:t>
      </w:r>
      <w:r w:rsidRPr="00731D8C">
        <w:rPr>
          <w:rFonts w:ascii="Arial" w:hAnsi="Arial" w:cs="Arial"/>
          <w:bCs/>
          <w:sz w:val="20"/>
          <w:szCs w:val="20"/>
        </w:rPr>
        <w:t xml:space="preserve">234 men (64.5%) and 129 </w:t>
      </w:r>
      <w:proofErr w:type="spellStart"/>
      <w:r w:rsidRPr="00731D8C">
        <w:rPr>
          <w:rFonts w:ascii="Arial" w:hAnsi="Arial" w:cs="Arial"/>
          <w:bCs/>
          <w:sz w:val="20"/>
          <w:szCs w:val="20"/>
        </w:rPr>
        <w:t>women</w:t>
      </w:r>
      <w:proofErr w:type="spellEnd"/>
      <w:r w:rsidRPr="00731D8C">
        <w:rPr>
          <w:rFonts w:ascii="Arial" w:hAnsi="Arial" w:cs="Arial"/>
          <w:bCs/>
          <w:sz w:val="20"/>
          <w:szCs w:val="20"/>
        </w:rPr>
        <w:t xml:space="preserve"> (35.5%)</w:t>
      </w:r>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a </w:t>
      </w:r>
      <w:proofErr w:type="spellStart"/>
      <w:r w:rsidRPr="00731D8C">
        <w:rPr>
          <w:rFonts w:ascii="Arial" w:hAnsi="Arial" w:cs="Arial"/>
          <w:sz w:val="20"/>
          <w:szCs w:val="20"/>
        </w:rPr>
        <w:t>mean</w:t>
      </w:r>
      <w:proofErr w:type="spellEnd"/>
      <w:r w:rsidRPr="00731D8C">
        <w:rPr>
          <w:rFonts w:ascii="Arial" w:hAnsi="Arial" w:cs="Arial"/>
          <w:sz w:val="20"/>
          <w:szCs w:val="20"/>
        </w:rPr>
        <w:t xml:space="preserve"> </w:t>
      </w:r>
      <w:proofErr w:type="spellStart"/>
      <w:r w:rsidRPr="00731D8C">
        <w:rPr>
          <w:rFonts w:ascii="Arial" w:hAnsi="Arial" w:cs="Arial"/>
          <w:sz w:val="20"/>
          <w:szCs w:val="20"/>
        </w:rPr>
        <w:t>age</w:t>
      </w:r>
      <w:proofErr w:type="spellEnd"/>
      <w:r w:rsidRPr="00731D8C">
        <w:rPr>
          <w:rFonts w:ascii="Arial" w:hAnsi="Arial" w:cs="Arial"/>
          <w:sz w:val="20"/>
          <w:szCs w:val="20"/>
        </w:rPr>
        <w:t xml:space="preserve"> of </w:t>
      </w:r>
      <w:r w:rsidRPr="00731D8C">
        <w:rPr>
          <w:rStyle w:val="mord"/>
          <w:rFonts w:ascii="Arial" w:hAnsi="Arial" w:cs="Arial"/>
          <w:sz w:val="20"/>
          <w:szCs w:val="20"/>
        </w:rPr>
        <w:t>35.8</w:t>
      </w:r>
      <w:r w:rsidRPr="00731D8C">
        <w:rPr>
          <w:rStyle w:val="mbin"/>
          <w:rFonts w:ascii="Arial" w:hAnsi="Arial" w:cs="Arial"/>
          <w:sz w:val="20"/>
          <w:szCs w:val="20"/>
        </w:rPr>
        <w:t>±</w:t>
      </w:r>
      <w:r w:rsidRPr="00731D8C">
        <w:rPr>
          <w:rStyle w:val="mord"/>
          <w:rFonts w:ascii="Arial" w:hAnsi="Arial" w:cs="Arial"/>
          <w:sz w:val="20"/>
          <w:szCs w:val="20"/>
        </w:rPr>
        <w:t>15. 1years.A</w:t>
      </w:r>
      <w:r w:rsidRPr="00731D8C">
        <w:rPr>
          <w:rFonts w:ascii="Arial" w:hAnsi="Arial" w:cs="Arial"/>
          <w:sz w:val="20"/>
          <w:szCs w:val="20"/>
        </w:rPr>
        <w:t xml:space="preserve"> </w:t>
      </w:r>
      <w:proofErr w:type="spellStart"/>
      <w:r w:rsidRPr="00731D8C">
        <w:rPr>
          <w:rFonts w:ascii="Arial" w:hAnsi="Arial" w:cs="Arial"/>
          <w:sz w:val="20"/>
          <w:szCs w:val="20"/>
        </w:rPr>
        <w:t>statistically</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age</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difference</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the sexes (</w:t>
      </w:r>
      <w:r w:rsidRPr="00731D8C">
        <w:rPr>
          <w:rStyle w:val="mord"/>
          <w:rFonts w:ascii="Arial" w:hAnsi="Arial" w:cs="Arial"/>
          <w:sz w:val="20"/>
          <w:szCs w:val="20"/>
        </w:rPr>
        <w:t>p</w:t>
      </w:r>
      <w:r w:rsidRPr="00731D8C">
        <w:rPr>
          <w:rStyle w:val="mrel"/>
          <w:rFonts w:ascii="Arial" w:hAnsi="Arial" w:cs="Arial"/>
          <w:sz w:val="20"/>
          <w:szCs w:val="20"/>
        </w:rPr>
        <w:t>=</w:t>
      </w:r>
      <w:r w:rsidRPr="00731D8C">
        <w:rPr>
          <w:rStyle w:val="mord"/>
          <w:rFonts w:ascii="Arial" w:hAnsi="Arial" w:cs="Arial"/>
          <w:sz w:val="20"/>
          <w:szCs w:val="20"/>
        </w:rPr>
        <w:t>0.0005</w:t>
      </w:r>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in </w:t>
      </w:r>
      <w:proofErr w:type="spellStart"/>
      <w:r w:rsidRPr="00731D8C">
        <w:rPr>
          <w:rFonts w:ascii="Arial" w:hAnsi="Arial" w:cs="Arial"/>
          <w:sz w:val="20"/>
          <w:szCs w:val="20"/>
        </w:rPr>
        <w:t>our</w:t>
      </w:r>
      <w:proofErr w:type="spellEnd"/>
      <w:r w:rsidRPr="00731D8C">
        <w:rPr>
          <w:rFonts w:ascii="Arial" w:hAnsi="Arial" w:cs="Arial"/>
          <w:sz w:val="20"/>
          <w:szCs w:val="20"/>
        </w:rPr>
        <w:t xml:space="preserve"> </w:t>
      </w:r>
      <w:proofErr w:type="spellStart"/>
      <w:r w:rsidRPr="00731D8C">
        <w:rPr>
          <w:rFonts w:ascii="Arial" w:hAnsi="Arial" w:cs="Arial"/>
          <w:sz w:val="20"/>
          <w:szCs w:val="20"/>
        </w:rPr>
        <w:t>cohort</w:t>
      </w:r>
      <w:proofErr w:type="spellEnd"/>
      <w:r w:rsidRPr="00731D8C">
        <w:rPr>
          <w:rFonts w:ascii="Arial" w:hAnsi="Arial" w:cs="Arial"/>
          <w:sz w:val="20"/>
          <w:szCs w:val="20"/>
        </w:rPr>
        <w:t xml:space="preserve"> </w:t>
      </w:r>
      <w:proofErr w:type="spellStart"/>
      <w:r w:rsidRPr="00731D8C">
        <w:rPr>
          <w:rFonts w:ascii="Arial" w:hAnsi="Arial" w:cs="Arial"/>
          <w:sz w:val="20"/>
          <w:szCs w:val="20"/>
        </w:rPr>
        <w:t>being</w:t>
      </w:r>
      <w:proofErr w:type="spellEnd"/>
      <w:r w:rsidRPr="00731D8C">
        <w:rPr>
          <w:rFonts w:ascii="Arial" w:hAnsi="Arial" w:cs="Arial"/>
          <w:sz w:val="20"/>
          <w:szCs w:val="20"/>
        </w:rPr>
        <w:t xml:space="preserve">, on </w:t>
      </w:r>
      <w:proofErr w:type="spellStart"/>
      <w:r w:rsidRPr="00731D8C">
        <w:rPr>
          <w:rFonts w:ascii="Arial" w:hAnsi="Arial" w:cs="Arial"/>
          <w:sz w:val="20"/>
          <w:szCs w:val="20"/>
        </w:rPr>
        <w:t>average</w:t>
      </w:r>
      <w:proofErr w:type="spellEnd"/>
      <w:r w:rsidRPr="00731D8C">
        <w:rPr>
          <w:rFonts w:ascii="Arial" w:hAnsi="Arial" w:cs="Arial"/>
          <w:sz w:val="20"/>
          <w:szCs w:val="20"/>
        </w:rPr>
        <w:t xml:space="preserve">, </w:t>
      </w:r>
      <w:proofErr w:type="spellStart"/>
      <w:r w:rsidRPr="00731D8C">
        <w:rPr>
          <w:rFonts w:ascii="Arial" w:hAnsi="Arial" w:cs="Arial"/>
          <w:sz w:val="20"/>
          <w:szCs w:val="20"/>
        </w:rPr>
        <w:t>older</w:t>
      </w:r>
      <w:proofErr w:type="spellEnd"/>
      <w:r w:rsidRPr="00731D8C">
        <w:rPr>
          <w:rFonts w:ascii="Arial" w:hAnsi="Arial" w:cs="Arial"/>
          <w:sz w:val="20"/>
          <w:szCs w:val="20"/>
        </w:rPr>
        <w:t xml:space="preserve"> (</w:t>
      </w:r>
      <w:r w:rsidRPr="00731D8C">
        <w:rPr>
          <w:rStyle w:val="mord"/>
          <w:rFonts w:ascii="Arial" w:hAnsi="Arial" w:cs="Arial"/>
          <w:sz w:val="20"/>
          <w:szCs w:val="20"/>
        </w:rPr>
        <w:t>39.2</w:t>
      </w:r>
      <w:r w:rsidRPr="00731D8C">
        <w:rPr>
          <w:rStyle w:val="mbin"/>
          <w:rFonts w:ascii="Arial" w:hAnsi="Arial" w:cs="Arial"/>
          <w:sz w:val="20"/>
          <w:szCs w:val="20"/>
        </w:rPr>
        <w:t>±</w:t>
      </w:r>
      <w:r w:rsidRPr="00731D8C">
        <w:rPr>
          <w:rStyle w:val="mord"/>
          <w:rFonts w:ascii="Arial" w:hAnsi="Arial" w:cs="Arial"/>
          <w:sz w:val="20"/>
          <w:szCs w:val="20"/>
        </w:rPr>
        <w:t>15.5</w:t>
      </w:r>
      <w:r w:rsidRPr="00731D8C">
        <w:rPr>
          <w:rFonts w:ascii="Arial" w:hAnsi="Arial" w:cs="Arial"/>
          <w:sz w:val="20"/>
          <w:szCs w:val="20"/>
        </w:rPr>
        <w:t xml:space="preserve">years) </w:t>
      </w:r>
      <w:proofErr w:type="spellStart"/>
      <w:r w:rsidRPr="00731D8C">
        <w:rPr>
          <w:rFonts w:ascii="Arial" w:hAnsi="Arial" w:cs="Arial"/>
          <w:sz w:val="20"/>
          <w:szCs w:val="20"/>
        </w:rPr>
        <w:t>than</w:t>
      </w:r>
      <w:proofErr w:type="spellEnd"/>
      <w:r w:rsidRPr="00731D8C">
        <w:rPr>
          <w:rFonts w:ascii="Arial" w:hAnsi="Arial" w:cs="Arial"/>
          <w:sz w:val="20"/>
          <w:szCs w:val="20"/>
        </w:rPr>
        <w:t xml:space="preserve"> men (</w:t>
      </w:r>
      <w:r w:rsidRPr="00731D8C">
        <w:rPr>
          <w:rStyle w:val="mord"/>
          <w:rFonts w:ascii="Arial" w:hAnsi="Arial" w:cs="Arial"/>
          <w:sz w:val="20"/>
          <w:szCs w:val="20"/>
        </w:rPr>
        <w:t>34.0</w:t>
      </w:r>
      <w:r w:rsidRPr="00731D8C">
        <w:rPr>
          <w:rStyle w:val="mbin"/>
          <w:rFonts w:ascii="Arial" w:hAnsi="Arial" w:cs="Arial"/>
          <w:sz w:val="20"/>
          <w:szCs w:val="20"/>
        </w:rPr>
        <w:t>±</w:t>
      </w:r>
      <w:r w:rsidRPr="00731D8C">
        <w:rPr>
          <w:rStyle w:val="mord"/>
          <w:rFonts w:ascii="Arial" w:hAnsi="Arial" w:cs="Arial"/>
          <w:sz w:val="20"/>
          <w:szCs w:val="20"/>
        </w:rPr>
        <w:t>14.8</w:t>
      </w:r>
      <w:r w:rsidRPr="00731D8C">
        <w:rPr>
          <w:rFonts w:ascii="Arial" w:hAnsi="Arial" w:cs="Arial"/>
          <w:sz w:val="20"/>
          <w:szCs w:val="20"/>
        </w:rPr>
        <w:t xml:space="preserve"> </w:t>
      </w:r>
      <w:proofErr w:type="spellStart"/>
      <w:r w:rsidRPr="00731D8C">
        <w:rPr>
          <w:rFonts w:ascii="Arial" w:hAnsi="Arial" w:cs="Arial"/>
          <w:sz w:val="20"/>
          <w:szCs w:val="20"/>
        </w:rPr>
        <w:t>years</w:t>
      </w:r>
      <w:proofErr w:type="spellEnd"/>
      <w:r w:rsidRPr="00731D8C">
        <w:rPr>
          <w:rFonts w:ascii="Arial" w:hAnsi="Arial" w:cs="Arial"/>
          <w:sz w:val="20"/>
          <w:szCs w:val="20"/>
        </w:rPr>
        <w:t xml:space="preserve">). </w:t>
      </w:r>
    </w:p>
    <w:p w14:paraId="7486C234" w14:textId="77777777" w:rsidR="00F76BF0" w:rsidRPr="00731D8C" w:rsidRDefault="00F76BF0" w:rsidP="007C0428">
      <w:pPr>
        <w:pStyle w:val="NormalWeb"/>
        <w:rPr>
          <w:rFonts w:ascii="Arial" w:hAnsi="Arial" w:cs="Arial"/>
          <w:sz w:val="20"/>
          <w:szCs w:val="20"/>
        </w:rPr>
      </w:pPr>
      <w:proofErr w:type="spellStart"/>
      <w:r w:rsidRPr="00731D8C">
        <w:rPr>
          <w:rFonts w:ascii="Arial" w:hAnsi="Arial" w:cs="Arial"/>
          <w:sz w:val="20"/>
          <w:szCs w:val="20"/>
        </w:rPr>
        <w:lastRenderedPageBreak/>
        <w:t>Regarding</w:t>
      </w:r>
      <w:proofErr w:type="spellEnd"/>
      <w:r w:rsidRPr="00731D8C">
        <w:rPr>
          <w:rFonts w:ascii="Arial" w:hAnsi="Arial" w:cs="Arial"/>
          <w:sz w:val="20"/>
          <w:szCs w:val="20"/>
        </w:rPr>
        <w:t xml:space="preserve"> </w:t>
      </w:r>
      <w:proofErr w:type="spellStart"/>
      <w:r w:rsidRPr="00731D8C">
        <w:rPr>
          <w:rFonts w:ascii="Arial" w:hAnsi="Arial" w:cs="Arial"/>
          <w:sz w:val="20"/>
          <w:szCs w:val="20"/>
        </w:rPr>
        <w:t>educational</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a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disparity</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highlighted</w:t>
      </w:r>
      <w:proofErr w:type="spellEnd"/>
      <w:r w:rsidRPr="00731D8C">
        <w:rPr>
          <w:rFonts w:ascii="Arial" w:hAnsi="Arial" w:cs="Arial"/>
          <w:sz w:val="20"/>
          <w:szCs w:val="20"/>
        </w:rPr>
        <w:t xml:space="preserve"> (</w:t>
      </w:r>
      <w:r w:rsidRPr="00731D8C">
        <w:rPr>
          <w:rStyle w:val="mord"/>
          <w:rFonts w:ascii="Arial" w:hAnsi="Arial" w:cs="Arial"/>
          <w:sz w:val="20"/>
          <w:szCs w:val="20"/>
        </w:rPr>
        <w:t>p</w:t>
      </w:r>
      <w:r w:rsidRPr="00731D8C">
        <w:rPr>
          <w:rStyle w:val="mrel"/>
          <w:rFonts w:ascii="Arial" w:hAnsi="Arial" w:cs="Arial"/>
          <w:sz w:val="20"/>
          <w:szCs w:val="20"/>
        </w:rPr>
        <w:t>&lt;</w:t>
      </w:r>
      <w:r w:rsidRPr="00731D8C">
        <w:rPr>
          <w:rStyle w:val="mord"/>
          <w:rFonts w:ascii="Arial" w:hAnsi="Arial" w:cs="Arial"/>
          <w:sz w:val="20"/>
          <w:szCs w:val="20"/>
        </w:rPr>
        <w:t>0.001</w:t>
      </w:r>
      <w:r w:rsidRPr="00731D8C">
        <w:rPr>
          <w:rFonts w:ascii="Arial" w:hAnsi="Arial" w:cs="Arial"/>
          <w:sz w:val="20"/>
          <w:szCs w:val="20"/>
        </w:rPr>
        <w:t xml:space="preserve">). Men </w:t>
      </w:r>
      <w:proofErr w:type="spellStart"/>
      <w:r w:rsidRPr="00731D8C">
        <w:rPr>
          <w:rFonts w:ascii="Arial" w:hAnsi="Arial" w:cs="Arial"/>
          <w:sz w:val="20"/>
          <w:szCs w:val="20"/>
        </w:rPr>
        <w:t>generally</w:t>
      </w:r>
      <w:proofErr w:type="spellEnd"/>
      <w:r w:rsidRPr="00731D8C">
        <w:rPr>
          <w:rFonts w:ascii="Arial" w:hAnsi="Arial" w:cs="Arial"/>
          <w:sz w:val="20"/>
          <w:szCs w:val="20"/>
        </w:rPr>
        <w:t xml:space="preserve"> </w:t>
      </w:r>
      <w:proofErr w:type="spellStart"/>
      <w:r w:rsidRPr="00731D8C">
        <w:rPr>
          <w:rFonts w:ascii="Arial" w:hAnsi="Arial" w:cs="Arial"/>
          <w:sz w:val="20"/>
          <w:szCs w:val="20"/>
        </w:rPr>
        <w:t>had</w:t>
      </w:r>
      <w:proofErr w:type="spellEnd"/>
      <w:r w:rsidRPr="00731D8C">
        <w:rPr>
          <w:rFonts w:ascii="Arial" w:hAnsi="Arial" w:cs="Arial"/>
          <w:sz w:val="20"/>
          <w:szCs w:val="20"/>
        </w:rPr>
        <w:t xml:space="preserve"> a </w:t>
      </w:r>
      <w:proofErr w:type="spellStart"/>
      <w:r w:rsidRPr="00731D8C">
        <w:rPr>
          <w:rFonts w:ascii="Arial" w:hAnsi="Arial" w:cs="Arial"/>
          <w:sz w:val="20"/>
          <w:szCs w:val="20"/>
        </w:rPr>
        <w:t>higher</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of </w:t>
      </w:r>
      <w:proofErr w:type="spellStart"/>
      <w:r w:rsidRPr="00731D8C">
        <w:rPr>
          <w:rFonts w:ascii="Arial" w:hAnsi="Arial" w:cs="Arial"/>
          <w:sz w:val="20"/>
          <w:szCs w:val="20"/>
        </w:rPr>
        <w:t>education</w:t>
      </w:r>
      <w:proofErr w:type="spellEnd"/>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r w:rsidRPr="00731D8C">
        <w:rPr>
          <w:rFonts w:ascii="Arial" w:hAnsi="Arial" w:cs="Arial"/>
          <w:bCs/>
          <w:sz w:val="20"/>
          <w:szCs w:val="20"/>
        </w:rPr>
        <w:t>61.5%</w:t>
      </w:r>
      <w:r w:rsidRPr="00731D8C">
        <w:rPr>
          <w:rFonts w:ascii="Arial" w:hAnsi="Arial" w:cs="Arial"/>
          <w:sz w:val="20"/>
          <w:szCs w:val="20"/>
        </w:rPr>
        <w:t xml:space="preserve"> </w:t>
      </w:r>
      <w:proofErr w:type="spellStart"/>
      <w:r w:rsidRPr="00731D8C">
        <w:rPr>
          <w:rFonts w:ascii="Arial" w:hAnsi="Arial" w:cs="Arial"/>
          <w:sz w:val="20"/>
          <w:szCs w:val="20"/>
        </w:rPr>
        <w:t>having</w:t>
      </w:r>
      <w:proofErr w:type="spellEnd"/>
      <w:r w:rsidRPr="00731D8C">
        <w:rPr>
          <w:rFonts w:ascii="Arial" w:hAnsi="Arial" w:cs="Arial"/>
          <w:sz w:val="20"/>
          <w:szCs w:val="20"/>
        </w:rPr>
        <w:t xml:space="preserve"> </w:t>
      </w:r>
      <w:proofErr w:type="spellStart"/>
      <w:r w:rsidRPr="00731D8C">
        <w:rPr>
          <w:rFonts w:ascii="Arial" w:hAnsi="Arial" w:cs="Arial"/>
          <w:sz w:val="20"/>
          <w:szCs w:val="20"/>
        </w:rPr>
        <w:t>reached</w:t>
      </w:r>
      <w:proofErr w:type="spellEnd"/>
      <w:r w:rsidRPr="00731D8C">
        <w:rPr>
          <w:rFonts w:ascii="Arial" w:hAnsi="Arial" w:cs="Arial"/>
          <w:sz w:val="20"/>
          <w:szCs w:val="20"/>
        </w:rPr>
        <w:t xml:space="preserve"> at least a </w:t>
      </w:r>
      <w:proofErr w:type="spellStart"/>
      <w:r w:rsidRPr="00731D8C">
        <w:rPr>
          <w:rFonts w:ascii="Arial" w:hAnsi="Arial" w:cs="Arial"/>
          <w:sz w:val="20"/>
          <w:szCs w:val="20"/>
        </w:rPr>
        <w:t>secondary</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r w:rsidRPr="00731D8C">
        <w:rPr>
          <w:rFonts w:ascii="Arial" w:hAnsi="Arial" w:cs="Arial"/>
          <w:sz w:val="20"/>
          <w:szCs w:val="20"/>
        </w:rPr>
        <w:t xml:space="preserve">, </w:t>
      </w:r>
      <w:proofErr w:type="spellStart"/>
      <w:r w:rsidRPr="00731D8C">
        <w:rPr>
          <w:rFonts w:ascii="Arial" w:hAnsi="Arial" w:cs="Arial"/>
          <w:sz w:val="20"/>
          <w:szCs w:val="20"/>
        </w:rPr>
        <w:t>compared</w:t>
      </w:r>
      <w:proofErr w:type="spellEnd"/>
      <w:r w:rsidRPr="00731D8C">
        <w:rPr>
          <w:rFonts w:ascii="Arial" w:hAnsi="Arial" w:cs="Arial"/>
          <w:sz w:val="20"/>
          <w:szCs w:val="20"/>
        </w:rPr>
        <w:t xml:space="preserve"> to </w:t>
      </w:r>
      <w:r w:rsidRPr="00731D8C">
        <w:rPr>
          <w:rFonts w:ascii="Arial" w:hAnsi="Arial" w:cs="Arial"/>
          <w:bCs/>
          <w:sz w:val="20"/>
          <w:szCs w:val="20"/>
        </w:rPr>
        <w:t>34.2%</w:t>
      </w:r>
      <w:r w:rsidRPr="00731D8C">
        <w:rPr>
          <w:rFonts w:ascii="Arial" w:hAnsi="Arial" w:cs="Arial"/>
          <w:sz w:val="20"/>
          <w:szCs w:val="20"/>
        </w:rPr>
        <w:t xml:space="preserve"> for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Conversely</w:t>
      </w:r>
      <w:proofErr w:type="spellEnd"/>
      <w:r w:rsidRPr="00731D8C">
        <w:rPr>
          <w:rFonts w:ascii="Arial" w:hAnsi="Arial" w:cs="Arial"/>
          <w:sz w:val="20"/>
          <w:szCs w:val="20"/>
        </w:rPr>
        <w:t xml:space="preserve">, the proportion of </w:t>
      </w:r>
      <w:proofErr w:type="spellStart"/>
      <w:r w:rsidRPr="00731D8C">
        <w:rPr>
          <w:rFonts w:ascii="Arial" w:hAnsi="Arial" w:cs="Arial"/>
          <w:sz w:val="20"/>
          <w:szCs w:val="20"/>
        </w:rPr>
        <w:t>uneducated</w:t>
      </w:r>
      <w:proofErr w:type="spellEnd"/>
      <w:r w:rsidRPr="00731D8C">
        <w:rPr>
          <w:rFonts w:ascii="Arial" w:hAnsi="Arial" w:cs="Arial"/>
          <w:sz w:val="20"/>
          <w:szCs w:val="20"/>
        </w:rPr>
        <w:t xml:space="preserve"> </w:t>
      </w:r>
      <w:proofErr w:type="spellStart"/>
      <w:r w:rsidRPr="00731D8C">
        <w:rPr>
          <w:rFonts w:ascii="Arial" w:hAnsi="Arial" w:cs="Arial"/>
          <w:sz w:val="20"/>
          <w:szCs w:val="20"/>
        </w:rPr>
        <w:t>individuals</w:t>
      </w:r>
      <w:proofErr w:type="spellEnd"/>
      <w:r w:rsidRPr="00731D8C">
        <w:rPr>
          <w:rFonts w:ascii="Arial" w:hAnsi="Arial" w:cs="Arial"/>
          <w:sz w:val="20"/>
          <w:szCs w:val="20"/>
        </w:rPr>
        <w:t xml:space="preserve"> </w:t>
      </w:r>
      <w:proofErr w:type="spellStart"/>
      <w:r w:rsidRPr="00731D8C">
        <w:rPr>
          <w:rFonts w:ascii="Arial" w:hAnsi="Arial" w:cs="Arial"/>
          <w:sz w:val="20"/>
          <w:szCs w:val="20"/>
        </w:rPr>
        <w:t>was</w:t>
      </w:r>
      <w:proofErr w:type="spellEnd"/>
      <w:r w:rsidRPr="00731D8C">
        <w:rPr>
          <w:rFonts w:ascii="Arial" w:hAnsi="Arial" w:cs="Arial"/>
          <w:sz w:val="20"/>
          <w:szCs w:val="20"/>
        </w:rPr>
        <w:t xml:space="preserve"> </w:t>
      </w:r>
      <w:proofErr w:type="spellStart"/>
      <w:r w:rsidRPr="00731D8C">
        <w:rPr>
          <w:rFonts w:ascii="Arial" w:hAnsi="Arial" w:cs="Arial"/>
          <w:sz w:val="20"/>
          <w:szCs w:val="20"/>
        </w:rPr>
        <w:t>nearly</w:t>
      </w:r>
      <w:proofErr w:type="spellEnd"/>
      <w:r w:rsidRPr="00731D8C">
        <w:rPr>
          <w:rFonts w:ascii="Arial" w:hAnsi="Arial" w:cs="Arial"/>
          <w:sz w:val="20"/>
          <w:szCs w:val="20"/>
        </w:rPr>
        <w:t xml:space="preserve"> </w:t>
      </w:r>
      <w:proofErr w:type="spellStart"/>
      <w:r w:rsidRPr="00731D8C">
        <w:rPr>
          <w:rFonts w:ascii="Arial" w:hAnsi="Arial" w:cs="Arial"/>
          <w:sz w:val="20"/>
          <w:szCs w:val="20"/>
        </w:rPr>
        <w:t>three</w:t>
      </w:r>
      <w:proofErr w:type="spellEnd"/>
      <w:r w:rsidRPr="00731D8C">
        <w:rPr>
          <w:rFonts w:ascii="Arial" w:hAnsi="Arial" w:cs="Arial"/>
          <w:sz w:val="20"/>
          <w:szCs w:val="20"/>
        </w:rPr>
        <w:t xml:space="preserve"> times </w:t>
      </w:r>
      <w:proofErr w:type="spellStart"/>
      <w:r w:rsidRPr="00731D8C">
        <w:rPr>
          <w:rFonts w:ascii="Arial" w:hAnsi="Arial" w:cs="Arial"/>
          <w:sz w:val="20"/>
          <w:szCs w:val="20"/>
        </w:rPr>
        <w:t>greater</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r w:rsidRPr="00731D8C">
        <w:rPr>
          <w:rFonts w:ascii="Arial" w:hAnsi="Arial" w:cs="Arial"/>
          <w:bCs/>
          <w:sz w:val="20"/>
          <w:szCs w:val="20"/>
        </w:rPr>
        <w:t>31.8%</w:t>
      </w:r>
      <w:r w:rsidRPr="00731D8C">
        <w:rPr>
          <w:rFonts w:ascii="Arial" w:hAnsi="Arial" w:cs="Arial"/>
          <w:sz w:val="20"/>
          <w:szCs w:val="20"/>
        </w:rPr>
        <w:t xml:space="preserve">) </w:t>
      </w:r>
      <w:proofErr w:type="spellStart"/>
      <w:r w:rsidRPr="00731D8C">
        <w:rPr>
          <w:rFonts w:ascii="Arial" w:hAnsi="Arial" w:cs="Arial"/>
          <w:sz w:val="20"/>
          <w:szCs w:val="20"/>
        </w:rPr>
        <w:t>than</w:t>
      </w:r>
      <w:proofErr w:type="spellEnd"/>
      <w:r w:rsidRPr="00731D8C">
        <w:rPr>
          <w:rFonts w:ascii="Arial" w:hAnsi="Arial" w:cs="Arial"/>
          <w:sz w:val="20"/>
          <w:szCs w:val="20"/>
        </w:rPr>
        <w:t xml:space="preserve"> </w:t>
      </w:r>
      <w:proofErr w:type="spellStart"/>
      <w:r w:rsidRPr="00731D8C">
        <w:rPr>
          <w:rFonts w:ascii="Arial" w:hAnsi="Arial" w:cs="Arial"/>
          <w:sz w:val="20"/>
          <w:szCs w:val="20"/>
        </w:rPr>
        <w:t>among</w:t>
      </w:r>
      <w:proofErr w:type="spellEnd"/>
      <w:r w:rsidRPr="00731D8C">
        <w:rPr>
          <w:rFonts w:ascii="Arial" w:hAnsi="Arial" w:cs="Arial"/>
          <w:sz w:val="20"/>
          <w:szCs w:val="20"/>
        </w:rPr>
        <w:t xml:space="preserve"> men (</w:t>
      </w:r>
      <w:r w:rsidRPr="00731D8C">
        <w:rPr>
          <w:rFonts w:ascii="Arial" w:hAnsi="Arial" w:cs="Arial"/>
          <w:bCs/>
          <w:sz w:val="20"/>
          <w:szCs w:val="20"/>
        </w:rPr>
        <w:t>12.0%</w:t>
      </w:r>
      <w:r w:rsidRPr="00731D8C">
        <w:rPr>
          <w:rFonts w:ascii="Arial" w:hAnsi="Arial" w:cs="Arial"/>
          <w:sz w:val="20"/>
          <w:szCs w:val="20"/>
        </w:rPr>
        <w:t>).</w:t>
      </w:r>
    </w:p>
    <w:p w14:paraId="7F679C7F" w14:textId="77777777" w:rsidR="00731D8C" w:rsidRPr="00731D8C" w:rsidRDefault="00731D8C" w:rsidP="007C0428">
      <w:pPr>
        <w:pStyle w:val="NormalWeb"/>
        <w:rPr>
          <w:rFonts w:ascii="Arial" w:hAnsi="Arial" w:cs="Arial"/>
          <w:sz w:val="20"/>
          <w:szCs w:val="20"/>
        </w:rPr>
      </w:pPr>
      <w:proofErr w:type="spellStart"/>
      <w:r w:rsidRPr="00731D8C">
        <w:rPr>
          <w:rFonts w:ascii="Arial" w:hAnsi="Arial" w:cs="Arial"/>
          <w:sz w:val="20"/>
          <w:szCs w:val="20"/>
        </w:rPr>
        <w:t>From</w:t>
      </w:r>
      <w:proofErr w:type="spellEnd"/>
      <w:r w:rsidRPr="00731D8C">
        <w:rPr>
          <w:rFonts w:ascii="Arial" w:hAnsi="Arial" w:cs="Arial"/>
          <w:sz w:val="20"/>
          <w:szCs w:val="20"/>
        </w:rPr>
        <w:t xml:space="preserve"> a </w:t>
      </w:r>
      <w:proofErr w:type="spellStart"/>
      <w:r w:rsidRPr="00731D8C">
        <w:rPr>
          <w:rFonts w:ascii="Arial" w:hAnsi="Arial" w:cs="Arial"/>
          <w:sz w:val="20"/>
          <w:szCs w:val="20"/>
        </w:rPr>
        <w:t>socioeconomic</w:t>
      </w:r>
      <w:proofErr w:type="spellEnd"/>
      <w:r w:rsidRPr="00731D8C">
        <w:rPr>
          <w:rFonts w:ascii="Arial" w:hAnsi="Arial" w:cs="Arial"/>
          <w:sz w:val="20"/>
          <w:szCs w:val="20"/>
        </w:rPr>
        <w:t xml:space="preserve"> perspective, </w:t>
      </w:r>
      <w:proofErr w:type="spellStart"/>
      <w:r w:rsidRPr="00731D8C">
        <w:rPr>
          <w:rFonts w:ascii="Arial" w:hAnsi="Arial" w:cs="Arial"/>
          <w:sz w:val="20"/>
          <w:szCs w:val="20"/>
        </w:rPr>
        <w:t>despite</w:t>
      </w:r>
      <w:proofErr w:type="spellEnd"/>
      <w:r w:rsidRPr="00731D8C">
        <w:rPr>
          <w:rFonts w:ascii="Arial" w:hAnsi="Arial" w:cs="Arial"/>
          <w:sz w:val="20"/>
          <w:szCs w:val="20"/>
        </w:rPr>
        <w:t xml:space="preserve"> the </w:t>
      </w:r>
      <w:proofErr w:type="spellStart"/>
      <w:r w:rsidRPr="00731D8C">
        <w:rPr>
          <w:rFonts w:ascii="Arial" w:hAnsi="Arial" w:cs="Arial"/>
          <w:sz w:val="20"/>
          <w:szCs w:val="20"/>
        </w:rPr>
        <w:t>differences</w:t>
      </w:r>
      <w:proofErr w:type="spellEnd"/>
      <w:r w:rsidRPr="00731D8C">
        <w:rPr>
          <w:rFonts w:ascii="Arial" w:hAnsi="Arial" w:cs="Arial"/>
          <w:sz w:val="20"/>
          <w:szCs w:val="20"/>
        </w:rPr>
        <w:t xml:space="preserve"> </w:t>
      </w:r>
      <w:proofErr w:type="spellStart"/>
      <w:r w:rsidRPr="00731D8C">
        <w:rPr>
          <w:rFonts w:ascii="Arial" w:hAnsi="Arial" w:cs="Arial"/>
          <w:sz w:val="20"/>
          <w:szCs w:val="20"/>
        </w:rPr>
        <w:t>observed</w:t>
      </w:r>
      <w:proofErr w:type="spellEnd"/>
      <w:r w:rsidRPr="00731D8C">
        <w:rPr>
          <w:rFonts w:ascii="Arial" w:hAnsi="Arial" w:cs="Arial"/>
          <w:sz w:val="20"/>
          <w:szCs w:val="20"/>
        </w:rPr>
        <w:t xml:space="preserve"> </w:t>
      </w:r>
      <w:proofErr w:type="spellStart"/>
      <w:r w:rsidRPr="00731D8C">
        <w:rPr>
          <w:rFonts w:ascii="Arial" w:hAnsi="Arial" w:cs="Arial"/>
          <w:sz w:val="20"/>
          <w:szCs w:val="20"/>
        </w:rPr>
        <w:t>elsewhere</w:t>
      </w:r>
      <w:proofErr w:type="spellEnd"/>
      <w:r w:rsidRPr="00731D8C">
        <w:rPr>
          <w:rFonts w:ascii="Arial" w:hAnsi="Arial" w:cs="Arial"/>
          <w:sz w:val="20"/>
          <w:szCs w:val="20"/>
        </w:rPr>
        <w:t xml:space="preserve">, the distribution of </w:t>
      </w: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w:t>
      </w:r>
      <w:proofErr w:type="spellStart"/>
      <w:r w:rsidRPr="00731D8C">
        <w:rPr>
          <w:rFonts w:ascii="Arial" w:hAnsi="Arial" w:cs="Arial"/>
          <w:sz w:val="20"/>
          <w:szCs w:val="20"/>
        </w:rPr>
        <w:t>did</w:t>
      </w:r>
      <w:proofErr w:type="spellEnd"/>
      <w:r w:rsidRPr="00731D8C">
        <w:rPr>
          <w:rFonts w:ascii="Arial" w:hAnsi="Arial" w:cs="Arial"/>
          <w:sz w:val="20"/>
          <w:szCs w:val="20"/>
        </w:rPr>
        <w:t xml:space="preserve"> not show a </w:t>
      </w:r>
      <w:proofErr w:type="spellStart"/>
      <w:r w:rsidRPr="00731D8C">
        <w:rPr>
          <w:rFonts w:ascii="Arial" w:hAnsi="Arial" w:cs="Arial"/>
          <w:sz w:val="20"/>
          <w:szCs w:val="20"/>
        </w:rPr>
        <w:t>statistically</w:t>
      </w:r>
      <w:proofErr w:type="spellEnd"/>
      <w:r w:rsidRPr="00731D8C">
        <w:rPr>
          <w:rFonts w:ascii="Arial" w:hAnsi="Arial" w:cs="Arial"/>
          <w:sz w:val="20"/>
          <w:szCs w:val="20"/>
        </w:rPr>
        <w:t xml:space="preserve"> </w:t>
      </w:r>
      <w:proofErr w:type="spellStart"/>
      <w:r w:rsidRPr="00731D8C">
        <w:rPr>
          <w:rFonts w:ascii="Arial" w:hAnsi="Arial" w:cs="Arial"/>
          <w:sz w:val="20"/>
          <w:szCs w:val="20"/>
        </w:rPr>
        <w:t>significant</w:t>
      </w:r>
      <w:proofErr w:type="spellEnd"/>
      <w:r w:rsidRPr="00731D8C">
        <w:rPr>
          <w:rFonts w:ascii="Arial" w:hAnsi="Arial" w:cs="Arial"/>
          <w:sz w:val="20"/>
          <w:szCs w:val="20"/>
        </w:rPr>
        <w:t xml:space="preserve"> </w:t>
      </w:r>
      <w:proofErr w:type="spellStart"/>
      <w:r w:rsidRPr="00731D8C">
        <w:rPr>
          <w:rFonts w:ascii="Arial" w:hAnsi="Arial" w:cs="Arial"/>
          <w:sz w:val="20"/>
          <w:szCs w:val="20"/>
        </w:rPr>
        <w:t>difference</w:t>
      </w:r>
      <w:proofErr w:type="spellEnd"/>
      <w:r w:rsidRPr="00731D8C">
        <w:rPr>
          <w:rFonts w:ascii="Arial" w:hAnsi="Arial" w:cs="Arial"/>
          <w:sz w:val="20"/>
          <w:szCs w:val="20"/>
        </w:rPr>
        <w:t xml:space="preserve"> </w:t>
      </w:r>
      <w:proofErr w:type="spellStart"/>
      <w:r w:rsidRPr="00731D8C">
        <w:rPr>
          <w:rFonts w:ascii="Arial" w:hAnsi="Arial" w:cs="Arial"/>
          <w:sz w:val="20"/>
          <w:szCs w:val="20"/>
        </w:rPr>
        <w:t>between</w:t>
      </w:r>
      <w:proofErr w:type="spellEnd"/>
      <w:r w:rsidRPr="00731D8C">
        <w:rPr>
          <w:rFonts w:ascii="Arial" w:hAnsi="Arial" w:cs="Arial"/>
          <w:sz w:val="20"/>
          <w:szCs w:val="20"/>
        </w:rPr>
        <w:t xml:space="preserve"> the </w:t>
      </w:r>
      <w:proofErr w:type="spellStart"/>
      <w:r w:rsidRPr="00731D8C">
        <w:rPr>
          <w:rFonts w:ascii="Arial" w:hAnsi="Arial" w:cs="Arial"/>
          <w:sz w:val="20"/>
          <w:szCs w:val="20"/>
        </w:rPr>
        <w:t>two</w:t>
      </w:r>
      <w:proofErr w:type="spellEnd"/>
      <w:r w:rsidRPr="00731D8C">
        <w:rPr>
          <w:rFonts w:ascii="Arial" w:hAnsi="Arial" w:cs="Arial"/>
          <w:sz w:val="20"/>
          <w:szCs w:val="20"/>
        </w:rPr>
        <w:t xml:space="preserve"> groups (</w:t>
      </w:r>
      <w:r w:rsidRPr="00731D8C">
        <w:rPr>
          <w:rStyle w:val="mord"/>
          <w:rFonts w:ascii="Arial" w:hAnsi="Arial" w:cs="Arial"/>
          <w:sz w:val="20"/>
          <w:szCs w:val="20"/>
        </w:rPr>
        <w:t>p</w:t>
      </w:r>
      <w:r w:rsidRPr="00731D8C">
        <w:rPr>
          <w:rStyle w:val="mrel"/>
          <w:rFonts w:ascii="Arial" w:hAnsi="Arial" w:cs="Arial"/>
          <w:sz w:val="20"/>
          <w:szCs w:val="20"/>
        </w:rPr>
        <w:t>&gt;</w:t>
      </w:r>
      <w:r w:rsidRPr="00731D8C">
        <w:rPr>
          <w:rStyle w:val="mord"/>
          <w:rFonts w:ascii="Arial" w:hAnsi="Arial" w:cs="Arial"/>
          <w:sz w:val="20"/>
          <w:szCs w:val="20"/>
        </w:rPr>
        <w:t>0.05</w:t>
      </w:r>
      <w:r w:rsidRPr="00731D8C">
        <w:rPr>
          <w:rFonts w:ascii="Arial" w:hAnsi="Arial" w:cs="Arial"/>
          <w:sz w:val="20"/>
          <w:szCs w:val="20"/>
        </w:rPr>
        <w:t xml:space="preserve">). </w:t>
      </w:r>
      <w:proofErr w:type="spellStart"/>
      <w:r w:rsidRPr="00731D8C">
        <w:rPr>
          <w:rFonts w:ascii="Arial" w:hAnsi="Arial" w:cs="Arial"/>
          <w:sz w:val="20"/>
          <w:szCs w:val="20"/>
        </w:rPr>
        <w:t>Economic</w:t>
      </w:r>
      <w:proofErr w:type="spellEnd"/>
      <w:r w:rsidRPr="00731D8C">
        <w:rPr>
          <w:rFonts w:ascii="Arial" w:hAnsi="Arial" w:cs="Arial"/>
          <w:sz w:val="20"/>
          <w:szCs w:val="20"/>
        </w:rPr>
        <w:t xml:space="preserve"> </w:t>
      </w:r>
      <w:proofErr w:type="spellStart"/>
      <w:r w:rsidRPr="00731D8C">
        <w:rPr>
          <w:rFonts w:ascii="Arial" w:hAnsi="Arial" w:cs="Arial"/>
          <w:sz w:val="20"/>
          <w:szCs w:val="20"/>
        </w:rPr>
        <w:t>precariousness</w:t>
      </w:r>
      <w:proofErr w:type="spellEnd"/>
      <w:r w:rsidRPr="00731D8C">
        <w:rPr>
          <w:rFonts w:ascii="Arial" w:hAnsi="Arial" w:cs="Arial"/>
          <w:sz w:val="20"/>
          <w:szCs w:val="20"/>
        </w:rPr>
        <w:t xml:space="preserve"> </w:t>
      </w:r>
      <w:proofErr w:type="spellStart"/>
      <w:r w:rsidRPr="00731D8C">
        <w:rPr>
          <w:rFonts w:ascii="Arial" w:hAnsi="Arial" w:cs="Arial"/>
          <w:sz w:val="20"/>
          <w:szCs w:val="20"/>
        </w:rPr>
        <w:t>affected</w:t>
      </w:r>
      <w:proofErr w:type="spellEnd"/>
      <w:r w:rsidRPr="00731D8C">
        <w:rPr>
          <w:rFonts w:ascii="Arial" w:hAnsi="Arial" w:cs="Arial"/>
          <w:sz w:val="20"/>
          <w:szCs w:val="20"/>
        </w:rPr>
        <w:t xml:space="preserve"> the </w:t>
      </w:r>
      <w:proofErr w:type="spellStart"/>
      <w:r w:rsidRPr="00731D8C">
        <w:rPr>
          <w:rFonts w:ascii="Arial" w:hAnsi="Arial" w:cs="Arial"/>
          <w:sz w:val="20"/>
          <w:szCs w:val="20"/>
        </w:rPr>
        <w:t>entire</w:t>
      </w:r>
      <w:proofErr w:type="spellEnd"/>
      <w:r w:rsidRPr="00731D8C">
        <w:rPr>
          <w:rFonts w:ascii="Arial" w:hAnsi="Arial" w:cs="Arial"/>
          <w:sz w:val="20"/>
          <w:szCs w:val="20"/>
        </w:rPr>
        <w:t xml:space="preserve"> </w:t>
      </w:r>
      <w:proofErr w:type="spellStart"/>
      <w:r w:rsidRPr="00731D8C">
        <w:rPr>
          <w:rFonts w:ascii="Arial" w:hAnsi="Arial" w:cs="Arial"/>
          <w:sz w:val="20"/>
          <w:szCs w:val="20"/>
        </w:rPr>
        <w:t>cohort</w:t>
      </w:r>
      <w:proofErr w:type="spellEnd"/>
      <w:r w:rsidRPr="00731D8C">
        <w:rPr>
          <w:rFonts w:ascii="Arial" w:hAnsi="Arial" w:cs="Arial"/>
          <w:sz w:val="20"/>
          <w:szCs w:val="20"/>
        </w:rPr>
        <w:t xml:space="preserve">, </w:t>
      </w:r>
      <w:proofErr w:type="spellStart"/>
      <w:r w:rsidRPr="00731D8C">
        <w:rPr>
          <w:rFonts w:ascii="Arial" w:hAnsi="Arial" w:cs="Arial"/>
          <w:sz w:val="20"/>
          <w:szCs w:val="20"/>
        </w:rPr>
        <w:t>with</w:t>
      </w:r>
      <w:proofErr w:type="spellEnd"/>
      <w:r w:rsidRPr="00731D8C">
        <w:rPr>
          <w:rFonts w:ascii="Arial" w:hAnsi="Arial" w:cs="Arial"/>
          <w:sz w:val="20"/>
          <w:szCs w:val="20"/>
        </w:rPr>
        <w:t xml:space="preserve"> </w:t>
      </w:r>
      <w:r w:rsidRPr="00731D8C">
        <w:rPr>
          <w:rFonts w:ascii="Arial" w:hAnsi="Arial" w:cs="Arial"/>
          <w:bCs/>
          <w:sz w:val="20"/>
          <w:szCs w:val="20"/>
        </w:rPr>
        <w:t>over 85%</w:t>
      </w:r>
      <w:r w:rsidRPr="00731D8C">
        <w:rPr>
          <w:rFonts w:ascii="Arial" w:hAnsi="Arial" w:cs="Arial"/>
          <w:sz w:val="20"/>
          <w:szCs w:val="20"/>
        </w:rPr>
        <w:t xml:space="preserve"> of patients (</w:t>
      </w:r>
      <w:proofErr w:type="spellStart"/>
      <w:r w:rsidRPr="00731D8C">
        <w:rPr>
          <w:rFonts w:ascii="Arial" w:hAnsi="Arial" w:cs="Arial"/>
          <w:sz w:val="20"/>
          <w:szCs w:val="20"/>
        </w:rPr>
        <w:t>both</w:t>
      </w:r>
      <w:proofErr w:type="spellEnd"/>
      <w:r w:rsidRPr="00731D8C">
        <w:rPr>
          <w:rFonts w:ascii="Arial" w:hAnsi="Arial" w:cs="Arial"/>
          <w:sz w:val="20"/>
          <w:szCs w:val="20"/>
        </w:rPr>
        <w:t xml:space="preserve"> men and </w:t>
      </w:r>
      <w:proofErr w:type="spellStart"/>
      <w:r w:rsidRPr="00731D8C">
        <w:rPr>
          <w:rFonts w:ascii="Arial" w:hAnsi="Arial" w:cs="Arial"/>
          <w:sz w:val="20"/>
          <w:szCs w:val="20"/>
        </w:rPr>
        <w:t>women</w:t>
      </w:r>
      <w:proofErr w:type="spellEnd"/>
      <w:r w:rsidRPr="00731D8C">
        <w:rPr>
          <w:rFonts w:ascii="Arial" w:hAnsi="Arial" w:cs="Arial"/>
          <w:sz w:val="20"/>
          <w:szCs w:val="20"/>
        </w:rPr>
        <w:t xml:space="preserve">) </w:t>
      </w:r>
      <w:proofErr w:type="spellStart"/>
      <w:r w:rsidRPr="00731D8C">
        <w:rPr>
          <w:rFonts w:ascii="Arial" w:hAnsi="Arial" w:cs="Arial"/>
          <w:sz w:val="20"/>
          <w:szCs w:val="20"/>
        </w:rPr>
        <w:t>having</w:t>
      </w:r>
      <w:proofErr w:type="spellEnd"/>
      <w:r w:rsidRPr="00731D8C">
        <w:rPr>
          <w:rFonts w:ascii="Arial" w:hAnsi="Arial" w:cs="Arial"/>
          <w:sz w:val="20"/>
          <w:szCs w:val="20"/>
        </w:rPr>
        <w:t xml:space="preserve"> a </w:t>
      </w: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w:t>
      </w:r>
      <w:proofErr w:type="spellStart"/>
      <w:r w:rsidRPr="00731D8C">
        <w:rPr>
          <w:rFonts w:ascii="Arial" w:hAnsi="Arial" w:cs="Arial"/>
          <w:sz w:val="20"/>
          <w:szCs w:val="20"/>
        </w:rPr>
        <w:t>below</w:t>
      </w:r>
      <w:proofErr w:type="spellEnd"/>
      <w:r w:rsidRPr="00731D8C">
        <w:rPr>
          <w:rFonts w:ascii="Arial" w:hAnsi="Arial" w:cs="Arial"/>
          <w:sz w:val="20"/>
          <w:szCs w:val="20"/>
        </w:rPr>
        <w:t xml:space="preserve"> 100,000 CFA francs. The </w:t>
      </w:r>
      <w:proofErr w:type="spellStart"/>
      <w:r w:rsidRPr="00731D8C">
        <w:rPr>
          <w:rFonts w:ascii="Arial" w:hAnsi="Arial" w:cs="Arial"/>
          <w:sz w:val="20"/>
          <w:szCs w:val="20"/>
        </w:rPr>
        <w:t>detailed</w:t>
      </w:r>
      <w:proofErr w:type="spellEnd"/>
      <w:r w:rsidRPr="00731D8C">
        <w:rPr>
          <w:rFonts w:ascii="Arial" w:hAnsi="Arial" w:cs="Arial"/>
          <w:sz w:val="20"/>
          <w:szCs w:val="20"/>
        </w:rPr>
        <w:t xml:space="preserve"> distribution of </w:t>
      </w:r>
      <w:proofErr w:type="spellStart"/>
      <w:r w:rsidRPr="00731D8C">
        <w:rPr>
          <w:rFonts w:ascii="Arial" w:hAnsi="Arial" w:cs="Arial"/>
          <w:sz w:val="20"/>
          <w:szCs w:val="20"/>
        </w:rPr>
        <w:t>these</w:t>
      </w:r>
      <w:proofErr w:type="spellEnd"/>
      <w:r w:rsidRPr="00731D8C">
        <w:rPr>
          <w:rFonts w:ascii="Arial" w:hAnsi="Arial" w:cs="Arial"/>
          <w:sz w:val="20"/>
          <w:szCs w:val="20"/>
        </w:rPr>
        <w:t xml:space="preserve"> </w:t>
      </w:r>
      <w:proofErr w:type="spellStart"/>
      <w:r w:rsidRPr="00731D8C">
        <w:rPr>
          <w:rFonts w:ascii="Arial" w:hAnsi="Arial" w:cs="Arial"/>
          <w:sz w:val="20"/>
          <w:szCs w:val="20"/>
        </w:rPr>
        <w:t>characteristics</w:t>
      </w:r>
      <w:proofErr w:type="spellEnd"/>
      <w:r w:rsidRPr="00731D8C">
        <w:rPr>
          <w:rFonts w:ascii="Arial" w:hAnsi="Arial" w:cs="Arial"/>
          <w:sz w:val="20"/>
          <w:szCs w:val="20"/>
        </w:rPr>
        <w:t xml:space="preserve"> </w:t>
      </w:r>
      <w:proofErr w:type="spellStart"/>
      <w:r w:rsidRPr="00731D8C">
        <w:rPr>
          <w:rFonts w:ascii="Arial" w:hAnsi="Arial" w:cs="Arial"/>
          <w:sz w:val="20"/>
          <w:szCs w:val="20"/>
        </w:rPr>
        <w:t>is</w:t>
      </w:r>
      <w:proofErr w:type="spellEnd"/>
      <w:r w:rsidRPr="00731D8C">
        <w:rPr>
          <w:rFonts w:ascii="Arial" w:hAnsi="Arial" w:cs="Arial"/>
          <w:sz w:val="20"/>
          <w:szCs w:val="20"/>
        </w:rPr>
        <w:t xml:space="preserve"> </w:t>
      </w:r>
      <w:proofErr w:type="spellStart"/>
      <w:r w:rsidRPr="00731D8C">
        <w:rPr>
          <w:rFonts w:ascii="Arial" w:hAnsi="Arial" w:cs="Arial"/>
          <w:sz w:val="20"/>
          <w:szCs w:val="20"/>
        </w:rPr>
        <w:t>presented</w:t>
      </w:r>
      <w:proofErr w:type="spellEnd"/>
      <w:r w:rsidRPr="00731D8C">
        <w:rPr>
          <w:rFonts w:ascii="Arial" w:hAnsi="Arial" w:cs="Arial"/>
          <w:sz w:val="20"/>
          <w:szCs w:val="20"/>
        </w:rPr>
        <w:t xml:space="preserve"> in Table 1.</w:t>
      </w:r>
    </w:p>
    <w:p w14:paraId="44EBB7F0" w14:textId="77777777" w:rsidR="00731D8C" w:rsidRPr="00731D8C" w:rsidRDefault="00731D8C" w:rsidP="007C0428">
      <w:pPr>
        <w:pStyle w:val="NormalWeb"/>
        <w:rPr>
          <w:rFonts w:ascii="Arial" w:hAnsi="Arial" w:cs="Arial"/>
          <w:b/>
          <w:sz w:val="20"/>
          <w:szCs w:val="20"/>
        </w:rPr>
      </w:pPr>
      <w:r w:rsidRPr="00731D8C">
        <w:rPr>
          <w:rFonts w:ascii="Arial" w:hAnsi="Arial" w:cs="Arial"/>
          <w:b/>
          <w:sz w:val="20"/>
          <w:szCs w:val="20"/>
        </w:rPr>
        <w:t xml:space="preserve">Table 1: </w:t>
      </w:r>
      <w:proofErr w:type="spellStart"/>
      <w:r w:rsidRPr="00731D8C">
        <w:rPr>
          <w:rFonts w:ascii="Arial" w:hAnsi="Arial" w:cs="Arial"/>
          <w:b/>
          <w:sz w:val="20"/>
          <w:szCs w:val="20"/>
        </w:rPr>
        <w:t>Sociodemographic</w:t>
      </w:r>
      <w:proofErr w:type="spellEnd"/>
      <w:r w:rsidRPr="00731D8C">
        <w:rPr>
          <w:rFonts w:ascii="Arial" w:hAnsi="Arial" w:cs="Arial"/>
          <w:b/>
          <w:sz w:val="20"/>
          <w:szCs w:val="20"/>
        </w:rPr>
        <w:t xml:space="preserve"> </w:t>
      </w:r>
      <w:proofErr w:type="spellStart"/>
      <w:r w:rsidRPr="00731D8C">
        <w:rPr>
          <w:rFonts w:ascii="Arial" w:hAnsi="Arial" w:cs="Arial"/>
          <w:b/>
          <w:sz w:val="20"/>
          <w:szCs w:val="20"/>
        </w:rPr>
        <w:t>characteristics</w:t>
      </w:r>
      <w:proofErr w:type="spellEnd"/>
      <w:r w:rsidRPr="00731D8C">
        <w:rPr>
          <w:rFonts w:ascii="Arial" w:hAnsi="Arial" w:cs="Arial"/>
          <w:b/>
          <w:sz w:val="20"/>
          <w:szCs w:val="20"/>
        </w:rPr>
        <w:t xml:space="preserve"> of the </w:t>
      </w:r>
      <w:proofErr w:type="spellStart"/>
      <w:r w:rsidRPr="00731D8C">
        <w:rPr>
          <w:rFonts w:ascii="Arial" w:hAnsi="Arial" w:cs="Arial"/>
          <w:b/>
          <w:sz w:val="20"/>
          <w:szCs w:val="20"/>
        </w:rPr>
        <w:t>study</w:t>
      </w:r>
      <w:proofErr w:type="spellEnd"/>
      <w:r w:rsidRPr="00731D8C">
        <w:rPr>
          <w:rFonts w:ascii="Arial" w:hAnsi="Arial" w:cs="Arial"/>
          <w:b/>
          <w:sz w:val="20"/>
          <w:szCs w:val="20"/>
        </w:rPr>
        <w:t xml:space="preserve"> population by </w:t>
      </w:r>
      <w:proofErr w:type="spellStart"/>
      <w:r w:rsidRPr="00731D8C">
        <w:rPr>
          <w:rFonts w:ascii="Arial" w:hAnsi="Arial" w:cs="Arial"/>
          <w:b/>
          <w:sz w:val="20"/>
          <w:szCs w:val="20"/>
        </w:rPr>
        <w:t>sex</w:t>
      </w:r>
      <w:proofErr w:type="spellEnd"/>
      <w:r w:rsidRPr="00731D8C">
        <w:rPr>
          <w:rFonts w:ascii="Arial" w:hAnsi="Arial" w:cs="Arial"/>
          <w:b/>
          <w:sz w:val="20"/>
          <w:szCs w:val="20"/>
        </w:rPr>
        <w:t xml:space="preserve"> (</w:t>
      </w:r>
      <w:r w:rsidRPr="00731D8C">
        <w:rPr>
          <w:rStyle w:val="mord"/>
          <w:rFonts w:ascii="Arial" w:hAnsi="Arial" w:cs="Arial"/>
          <w:b/>
          <w:sz w:val="20"/>
          <w:szCs w:val="20"/>
        </w:rPr>
        <w:t>n</w:t>
      </w:r>
      <w:r w:rsidRPr="00731D8C">
        <w:rPr>
          <w:rStyle w:val="mrel"/>
          <w:rFonts w:ascii="Arial" w:hAnsi="Arial" w:cs="Arial"/>
          <w:b/>
          <w:sz w:val="20"/>
          <w:szCs w:val="20"/>
        </w:rPr>
        <w:t>=</w:t>
      </w:r>
      <w:r w:rsidRPr="00731D8C">
        <w:rPr>
          <w:rStyle w:val="mord"/>
          <w:rFonts w:ascii="Arial" w:hAnsi="Arial" w:cs="Arial"/>
          <w:b/>
          <w:sz w:val="20"/>
          <w:szCs w:val="20"/>
        </w:rPr>
        <w:t>363</w:t>
      </w:r>
      <w:r w:rsidRPr="00731D8C">
        <w:rPr>
          <w:rFonts w:ascii="Arial" w:hAnsi="Arial" w:cs="Arial"/>
          <w:b/>
          <w:sz w:val="20"/>
          <w:szCs w:val="20"/>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1012"/>
        <w:gridCol w:w="1562"/>
        <w:gridCol w:w="1012"/>
        <w:gridCol w:w="1562"/>
        <w:gridCol w:w="2315"/>
      </w:tblGrid>
      <w:tr w:rsidR="00731D8C" w:rsidRPr="00731D8C" w14:paraId="07F1306E" w14:textId="77777777" w:rsidTr="005B73E9">
        <w:tc>
          <w:tcPr>
            <w:tcW w:w="0" w:type="auto"/>
            <w:vMerge w:val="restart"/>
            <w:hideMark/>
          </w:tcPr>
          <w:p w14:paraId="21FC3926" w14:textId="77777777" w:rsidR="00731D8C" w:rsidRPr="00731D8C" w:rsidRDefault="00731D8C" w:rsidP="007C0428">
            <w:pPr>
              <w:pStyle w:val="NormalWeb"/>
              <w:rPr>
                <w:rFonts w:ascii="Arial" w:hAnsi="Arial" w:cs="Arial"/>
                <w:b/>
                <w:bCs/>
                <w:sz w:val="20"/>
                <w:szCs w:val="20"/>
              </w:rPr>
            </w:pPr>
            <w:r w:rsidRPr="00731D8C">
              <w:rPr>
                <w:rStyle w:val="selected"/>
                <w:rFonts w:ascii="Arial" w:hAnsi="Arial" w:cs="Arial"/>
                <w:b/>
                <w:bCs/>
                <w:sz w:val="20"/>
                <w:szCs w:val="20"/>
              </w:rPr>
              <w:t>Caractéristiques</w:t>
            </w:r>
          </w:p>
        </w:tc>
        <w:tc>
          <w:tcPr>
            <w:tcW w:w="0" w:type="auto"/>
            <w:gridSpan w:val="2"/>
            <w:hideMark/>
          </w:tcPr>
          <w:p w14:paraId="64291ACE" w14:textId="77777777" w:rsidR="00731D8C" w:rsidRPr="00731D8C" w:rsidRDefault="00731D8C" w:rsidP="007C0428">
            <w:pPr>
              <w:pStyle w:val="NormalWeb"/>
              <w:rPr>
                <w:rFonts w:ascii="Arial" w:hAnsi="Arial" w:cs="Arial"/>
                <w:b/>
                <w:bCs/>
                <w:sz w:val="20"/>
                <w:szCs w:val="20"/>
              </w:rPr>
            </w:pPr>
            <w:r w:rsidRPr="00731D8C">
              <w:rPr>
                <w:rStyle w:val="selected"/>
                <w:rFonts w:ascii="Arial" w:hAnsi="Arial" w:cs="Arial"/>
                <w:b/>
                <w:bCs/>
                <w:sz w:val="20"/>
                <w:szCs w:val="20"/>
              </w:rPr>
              <w:t>Men (n=234)}</w:t>
            </w:r>
          </w:p>
        </w:tc>
        <w:tc>
          <w:tcPr>
            <w:tcW w:w="0" w:type="auto"/>
            <w:gridSpan w:val="2"/>
            <w:hideMark/>
          </w:tcPr>
          <w:p w14:paraId="17F62CED" w14:textId="77777777" w:rsidR="00731D8C" w:rsidRPr="00731D8C" w:rsidRDefault="00731D8C" w:rsidP="007C0428">
            <w:pPr>
              <w:pStyle w:val="NormalWeb"/>
              <w:rPr>
                <w:rFonts w:ascii="Arial" w:hAnsi="Arial" w:cs="Arial"/>
                <w:b/>
                <w:bCs/>
                <w:sz w:val="20"/>
                <w:szCs w:val="20"/>
              </w:rPr>
            </w:pPr>
            <w:proofErr w:type="spellStart"/>
            <w:r w:rsidRPr="00731D8C">
              <w:rPr>
                <w:rStyle w:val="selected"/>
                <w:rFonts w:ascii="Arial" w:hAnsi="Arial" w:cs="Arial"/>
                <w:b/>
                <w:bCs/>
                <w:sz w:val="20"/>
                <w:szCs w:val="20"/>
              </w:rPr>
              <w:t>Women</w:t>
            </w:r>
            <w:proofErr w:type="spellEnd"/>
            <w:r w:rsidRPr="00731D8C">
              <w:rPr>
                <w:rStyle w:val="selected"/>
                <w:rFonts w:ascii="Arial" w:hAnsi="Arial" w:cs="Arial"/>
                <w:b/>
                <w:bCs/>
                <w:sz w:val="20"/>
                <w:szCs w:val="20"/>
              </w:rPr>
              <w:t xml:space="preserve"> (n=129)</w:t>
            </w:r>
          </w:p>
        </w:tc>
        <w:tc>
          <w:tcPr>
            <w:tcW w:w="0" w:type="auto"/>
            <w:hideMark/>
          </w:tcPr>
          <w:p w14:paraId="5A263CA3" w14:textId="77777777" w:rsidR="00731D8C" w:rsidRPr="00731D8C" w:rsidRDefault="00731D8C" w:rsidP="007C0428">
            <w:pPr>
              <w:pStyle w:val="NormalWeb"/>
              <w:rPr>
                <w:rFonts w:ascii="Arial" w:hAnsi="Arial" w:cs="Arial"/>
                <w:b/>
                <w:bCs/>
                <w:sz w:val="20"/>
                <w:szCs w:val="20"/>
              </w:rPr>
            </w:pPr>
            <w:r w:rsidRPr="00731D8C">
              <w:rPr>
                <w:rStyle w:val="selected"/>
                <w:rFonts w:ascii="Arial" w:hAnsi="Arial" w:cs="Arial"/>
                <w:b/>
                <w:bCs/>
                <w:sz w:val="20"/>
                <w:szCs w:val="20"/>
              </w:rPr>
              <w:t xml:space="preserve">Comparaisons </w:t>
            </w:r>
            <w:r w:rsidRPr="00731D8C">
              <w:rPr>
                <w:rStyle w:val="selected"/>
                <w:rFonts w:ascii="Arial" w:hAnsi="Arial" w:cs="Arial"/>
                <w:b/>
                <w:bCs/>
                <w:i/>
                <w:sz w:val="20"/>
                <w:szCs w:val="20"/>
              </w:rPr>
              <w:t xml:space="preserve">Men versus </w:t>
            </w:r>
            <w:proofErr w:type="spellStart"/>
            <w:r w:rsidRPr="00731D8C">
              <w:rPr>
                <w:rStyle w:val="selected"/>
                <w:rFonts w:ascii="Arial" w:hAnsi="Arial" w:cs="Arial"/>
                <w:b/>
                <w:bCs/>
                <w:i/>
                <w:sz w:val="20"/>
                <w:szCs w:val="20"/>
              </w:rPr>
              <w:t>Women</w:t>
            </w:r>
            <w:proofErr w:type="spellEnd"/>
          </w:p>
        </w:tc>
      </w:tr>
      <w:tr w:rsidR="00731D8C" w:rsidRPr="00731D8C" w14:paraId="1A9E9928" w14:textId="77777777" w:rsidTr="005B73E9">
        <w:tc>
          <w:tcPr>
            <w:tcW w:w="0" w:type="auto"/>
            <w:vMerge/>
            <w:hideMark/>
          </w:tcPr>
          <w:p w14:paraId="4ADB9F10" w14:textId="77777777" w:rsidR="00731D8C" w:rsidRPr="00731D8C" w:rsidRDefault="00731D8C" w:rsidP="007C0428">
            <w:pPr>
              <w:pStyle w:val="NormalWeb"/>
              <w:rPr>
                <w:rFonts w:ascii="Arial" w:hAnsi="Arial" w:cs="Arial"/>
                <w:sz w:val="20"/>
                <w:szCs w:val="20"/>
              </w:rPr>
            </w:pPr>
          </w:p>
        </w:tc>
        <w:tc>
          <w:tcPr>
            <w:tcW w:w="0" w:type="auto"/>
            <w:hideMark/>
          </w:tcPr>
          <w:p w14:paraId="6671FE01"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b/>
                <w:bCs/>
                <w:sz w:val="20"/>
                <w:szCs w:val="20"/>
              </w:rPr>
              <w:t>Effectif (n)</w:t>
            </w:r>
          </w:p>
        </w:tc>
        <w:tc>
          <w:tcPr>
            <w:tcW w:w="0" w:type="auto"/>
            <w:hideMark/>
          </w:tcPr>
          <w:p w14:paraId="3E2A5A5C"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b/>
                <w:bCs/>
                <w:sz w:val="20"/>
                <w:szCs w:val="20"/>
              </w:rPr>
              <w:t>Pourcentage (%)</w:t>
            </w:r>
          </w:p>
        </w:tc>
        <w:tc>
          <w:tcPr>
            <w:tcW w:w="0" w:type="auto"/>
            <w:hideMark/>
          </w:tcPr>
          <w:p w14:paraId="79D947C5"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b/>
                <w:bCs/>
                <w:sz w:val="20"/>
                <w:szCs w:val="20"/>
              </w:rPr>
              <w:t>Effectif (n)</w:t>
            </w:r>
          </w:p>
        </w:tc>
        <w:tc>
          <w:tcPr>
            <w:tcW w:w="0" w:type="auto"/>
            <w:hideMark/>
          </w:tcPr>
          <w:p w14:paraId="1FA3544B"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b/>
                <w:bCs/>
                <w:sz w:val="20"/>
                <w:szCs w:val="20"/>
              </w:rPr>
              <w:t>Pourcentage (%)</w:t>
            </w:r>
          </w:p>
        </w:tc>
        <w:tc>
          <w:tcPr>
            <w:tcW w:w="0" w:type="auto"/>
            <w:hideMark/>
          </w:tcPr>
          <w:p w14:paraId="57E5814F" w14:textId="77777777" w:rsidR="00731D8C" w:rsidRPr="00731D8C" w:rsidRDefault="00731D8C" w:rsidP="007C0428">
            <w:pPr>
              <w:pStyle w:val="NormalWeb"/>
              <w:rPr>
                <w:rFonts w:ascii="Arial" w:hAnsi="Arial" w:cs="Arial"/>
                <w:sz w:val="20"/>
                <w:szCs w:val="20"/>
              </w:rPr>
            </w:pPr>
            <w:r w:rsidRPr="00731D8C">
              <w:rPr>
                <w:rFonts w:ascii="Arial" w:hAnsi="Arial" w:cs="Arial"/>
                <w:sz w:val="20"/>
                <w:szCs w:val="20"/>
              </w:rPr>
              <w:t>p-value</w:t>
            </w:r>
          </w:p>
        </w:tc>
      </w:tr>
      <w:tr w:rsidR="00731D8C" w:rsidRPr="00731D8C" w14:paraId="481D12CF" w14:textId="77777777" w:rsidTr="005B73E9">
        <w:tc>
          <w:tcPr>
            <w:tcW w:w="0" w:type="auto"/>
            <w:hideMark/>
          </w:tcPr>
          <w:p w14:paraId="516644C2"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b/>
                <w:bCs/>
                <w:sz w:val="20"/>
                <w:szCs w:val="20"/>
              </w:rPr>
              <w:t xml:space="preserve">Âge </w:t>
            </w:r>
            <w:r w:rsidRPr="00731D8C">
              <w:rPr>
                <w:rFonts w:ascii="Arial" w:hAnsi="Arial" w:cs="Arial"/>
                <w:sz w:val="20"/>
                <w:szCs w:val="20"/>
              </w:rPr>
              <w:t>(</w:t>
            </w:r>
            <w:proofErr w:type="spellStart"/>
            <w:r w:rsidRPr="00731D8C">
              <w:rPr>
                <w:rFonts w:ascii="Arial" w:hAnsi="Arial" w:cs="Arial"/>
                <w:sz w:val="20"/>
                <w:szCs w:val="20"/>
              </w:rPr>
              <w:t>mean</w:t>
            </w:r>
            <w:proofErr w:type="spellEnd"/>
            <w:r w:rsidRPr="00731D8C">
              <w:rPr>
                <w:rFonts w:ascii="Arial" w:hAnsi="Arial" w:cs="Arial"/>
                <w:sz w:val="20"/>
                <w:szCs w:val="20"/>
              </w:rPr>
              <w:t xml:space="preserve"> </w:t>
            </w:r>
            <w:r w:rsidRPr="00731D8C">
              <w:rPr>
                <w:rStyle w:val="selected"/>
                <w:rFonts w:ascii="Arial" w:hAnsi="Arial" w:cs="Arial"/>
                <w:sz w:val="20"/>
                <w:szCs w:val="20"/>
              </w:rPr>
              <w:t>± SD)</w:t>
            </w:r>
          </w:p>
        </w:tc>
        <w:tc>
          <w:tcPr>
            <w:tcW w:w="0" w:type="auto"/>
            <w:hideMark/>
          </w:tcPr>
          <w:p w14:paraId="5B68AD47"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34.0 ± 14.8</w:t>
            </w:r>
          </w:p>
        </w:tc>
        <w:tc>
          <w:tcPr>
            <w:tcW w:w="0" w:type="auto"/>
            <w:hideMark/>
          </w:tcPr>
          <w:p w14:paraId="59CC5EB9"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w:t>
            </w:r>
          </w:p>
        </w:tc>
        <w:tc>
          <w:tcPr>
            <w:tcW w:w="0" w:type="auto"/>
            <w:hideMark/>
          </w:tcPr>
          <w:p w14:paraId="105AC88F"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39.2 ± 15.5</w:t>
            </w:r>
          </w:p>
        </w:tc>
        <w:tc>
          <w:tcPr>
            <w:tcW w:w="0" w:type="auto"/>
            <w:hideMark/>
          </w:tcPr>
          <w:p w14:paraId="05CCD844"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w:t>
            </w:r>
          </w:p>
        </w:tc>
        <w:tc>
          <w:tcPr>
            <w:tcW w:w="0" w:type="auto"/>
            <w:hideMark/>
          </w:tcPr>
          <w:p w14:paraId="1E9152AA"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b/>
                <w:bCs/>
                <w:sz w:val="20"/>
                <w:szCs w:val="20"/>
              </w:rPr>
              <w:t>0.0005</w:t>
            </w:r>
          </w:p>
        </w:tc>
      </w:tr>
      <w:tr w:rsidR="00731D8C" w:rsidRPr="00731D8C" w14:paraId="73A7136E" w14:textId="77777777" w:rsidTr="005B73E9">
        <w:tc>
          <w:tcPr>
            <w:tcW w:w="0" w:type="auto"/>
            <w:hideMark/>
          </w:tcPr>
          <w:p w14:paraId="351CEF24" w14:textId="77777777" w:rsidR="00731D8C" w:rsidRPr="00731D8C" w:rsidRDefault="00731D8C" w:rsidP="007C0428">
            <w:pPr>
              <w:pStyle w:val="NormalWeb"/>
              <w:rPr>
                <w:rFonts w:ascii="Arial" w:hAnsi="Arial" w:cs="Arial"/>
                <w:sz w:val="20"/>
                <w:szCs w:val="20"/>
              </w:rPr>
            </w:pPr>
            <w:proofErr w:type="spellStart"/>
            <w:r w:rsidRPr="00731D8C">
              <w:rPr>
                <w:rFonts w:ascii="Arial" w:hAnsi="Arial" w:cs="Arial"/>
                <w:sz w:val="20"/>
                <w:szCs w:val="20"/>
              </w:rPr>
              <w:t>Educational</w:t>
            </w:r>
            <w:proofErr w:type="spellEnd"/>
            <w:r w:rsidRPr="00731D8C">
              <w:rPr>
                <w:rFonts w:ascii="Arial" w:hAnsi="Arial" w:cs="Arial"/>
                <w:sz w:val="20"/>
                <w:szCs w:val="20"/>
              </w:rPr>
              <w:t xml:space="preserve"> </w:t>
            </w:r>
            <w:proofErr w:type="spellStart"/>
            <w:r w:rsidRPr="00731D8C">
              <w:rPr>
                <w:rFonts w:ascii="Arial" w:hAnsi="Arial" w:cs="Arial"/>
                <w:sz w:val="20"/>
                <w:szCs w:val="20"/>
              </w:rPr>
              <w:t>Level</w:t>
            </w:r>
            <w:proofErr w:type="spellEnd"/>
          </w:p>
        </w:tc>
        <w:tc>
          <w:tcPr>
            <w:tcW w:w="0" w:type="auto"/>
            <w:hideMark/>
          </w:tcPr>
          <w:p w14:paraId="320F0016" w14:textId="77777777" w:rsidR="00731D8C" w:rsidRPr="00731D8C" w:rsidRDefault="00731D8C" w:rsidP="007C0428">
            <w:pPr>
              <w:pStyle w:val="NormalWeb"/>
              <w:rPr>
                <w:rFonts w:ascii="Arial" w:hAnsi="Arial" w:cs="Arial"/>
                <w:sz w:val="20"/>
                <w:szCs w:val="20"/>
              </w:rPr>
            </w:pPr>
          </w:p>
        </w:tc>
        <w:tc>
          <w:tcPr>
            <w:tcW w:w="0" w:type="auto"/>
            <w:hideMark/>
          </w:tcPr>
          <w:p w14:paraId="048314D4" w14:textId="77777777" w:rsidR="00731D8C" w:rsidRPr="00731D8C" w:rsidRDefault="00731D8C" w:rsidP="007C0428">
            <w:pPr>
              <w:pStyle w:val="NormalWeb"/>
              <w:rPr>
                <w:rFonts w:ascii="Arial" w:hAnsi="Arial" w:cs="Arial"/>
                <w:sz w:val="20"/>
                <w:szCs w:val="20"/>
              </w:rPr>
            </w:pPr>
          </w:p>
        </w:tc>
        <w:tc>
          <w:tcPr>
            <w:tcW w:w="0" w:type="auto"/>
            <w:hideMark/>
          </w:tcPr>
          <w:p w14:paraId="33C2AB69" w14:textId="77777777" w:rsidR="00731D8C" w:rsidRPr="00731D8C" w:rsidRDefault="00731D8C" w:rsidP="007C0428">
            <w:pPr>
              <w:pStyle w:val="NormalWeb"/>
              <w:rPr>
                <w:rFonts w:ascii="Arial" w:hAnsi="Arial" w:cs="Arial"/>
                <w:sz w:val="20"/>
                <w:szCs w:val="20"/>
              </w:rPr>
            </w:pPr>
          </w:p>
        </w:tc>
        <w:tc>
          <w:tcPr>
            <w:tcW w:w="0" w:type="auto"/>
            <w:hideMark/>
          </w:tcPr>
          <w:p w14:paraId="4E369CEE" w14:textId="77777777" w:rsidR="00731D8C" w:rsidRPr="00731D8C" w:rsidRDefault="00731D8C" w:rsidP="007C0428">
            <w:pPr>
              <w:pStyle w:val="NormalWeb"/>
              <w:rPr>
                <w:rFonts w:ascii="Arial" w:hAnsi="Arial" w:cs="Arial"/>
                <w:sz w:val="20"/>
                <w:szCs w:val="20"/>
              </w:rPr>
            </w:pPr>
          </w:p>
        </w:tc>
        <w:tc>
          <w:tcPr>
            <w:tcW w:w="0" w:type="auto"/>
            <w:vMerge w:val="restart"/>
            <w:hideMark/>
          </w:tcPr>
          <w:p w14:paraId="202F42BC" w14:textId="77777777" w:rsidR="00731D8C" w:rsidRPr="00731D8C" w:rsidRDefault="00731D8C" w:rsidP="007C0428">
            <w:pPr>
              <w:pStyle w:val="NormalWeb"/>
              <w:rPr>
                <w:rStyle w:val="selected"/>
                <w:rFonts w:ascii="Arial" w:hAnsi="Arial" w:cs="Arial"/>
                <w:b/>
                <w:bCs/>
                <w:sz w:val="20"/>
                <w:szCs w:val="20"/>
              </w:rPr>
            </w:pPr>
          </w:p>
          <w:p w14:paraId="501FEBD4"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b/>
                <w:bCs/>
                <w:sz w:val="20"/>
                <w:szCs w:val="20"/>
              </w:rPr>
              <w:t xml:space="preserve"> 0.001</w:t>
            </w:r>
          </w:p>
        </w:tc>
      </w:tr>
      <w:tr w:rsidR="00731D8C" w:rsidRPr="00731D8C" w14:paraId="68897C67" w14:textId="77777777" w:rsidTr="005B73E9">
        <w:tc>
          <w:tcPr>
            <w:tcW w:w="0" w:type="auto"/>
            <w:hideMark/>
          </w:tcPr>
          <w:p w14:paraId="6BA166FB" w14:textId="77777777" w:rsidR="00731D8C" w:rsidRPr="00731D8C" w:rsidRDefault="00731D8C" w:rsidP="007C0428">
            <w:pPr>
              <w:rPr>
                <w:rFonts w:ascii="Arial" w:hAnsi="Arial" w:cs="Arial"/>
                <w:sz w:val="20"/>
                <w:szCs w:val="20"/>
              </w:rPr>
            </w:pPr>
            <w:r w:rsidRPr="00731D8C">
              <w:rPr>
                <w:rFonts w:ascii="Arial" w:hAnsi="Arial" w:cs="Arial"/>
                <w:sz w:val="20"/>
                <w:szCs w:val="20"/>
              </w:rPr>
              <w:t>No formal education</w:t>
            </w:r>
          </w:p>
        </w:tc>
        <w:tc>
          <w:tcPr>
            <w:tcW w:w="0" w:type="auto"/>
            <w:hideMark/>
          </w:tcPr>
          <w:p w14:paraId="29F8AD7C"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28</w:t>
            </w:r>
          </w:p>
        </w:tc>
        <w:tc>
          <w:tcPr>
            <w:tcW w:w="0" w:type="auto"/>
            <w:hideMark/>
          </w:tcPr>
          <w:p w14:paraId="44244317"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12.0</w:t>
            </w:r>
          </w:p>
        </w:tc>
        <w:tc>
          <w:tcPr>
            <w:tcW w:w="0" w:type="auto"/>
            <w:hideMark/>
          </w:tcPr>
          <w:p w14:paraId="3E2EA96A"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41</w:t>
            </w:r>
          </w:p>
        </w:tc>
        <w:tc>
          <w:tcPr>
            <w:tcW w:w="0" w:type="auto"/>
            <w:hideMark/>
          </w:tcPr>
          <w:p w14:paraId="1F261C1B"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31.8</w:t>
            </w:r>
          </w:p>
        </w:tc>
        <w:tc>
          <w:tcPr>
            <w:tcW w:w="0" w:type="auto"/>
            <w:vMerge/>
            <w:hideMark/>
          </w:tcPr>
          <w:p w14:paraId="1410EE0F" w14:textId="77777777" w:rsidR="00731D8C" w:rsidRPr="00731D8C" w:rsidRDefault="00731D8C" w:rsidP="007C0428">
            <w:pPr>
              <w:pStyle w:val="NormalWeb"/>
              <w:rPr>
                <w:rFonts w:ascii="Arial" w:hAnsi="Arial" w:cs="Arial"/>
                <w:sz w:val="20"/>
                <w:szCs w:val="20"/>
              </w:rPr>
            </w:pPr>
          </w:p>
        </w:tc>
      </w:tr>
      <w:tr w:rsidR="00731D8C" w:rsidRPr="00731D8C" w14:paraId="02A3633B" w14:textId="77777777" w:rsidTr="005B73E9">
        <w:tc>
          <w:tcPr>
            <w:tcW w:w="0" w:type="auto"/>
            <w:hideMark/>
          </w:tcPr>
          <w:p w14:paraId="7D767C24" w14:textId="77777777" w:rsidR="00731D8C" w:rsidRPr="00731D8C" w:rsidRDefault="00731D8C" w:rsidP="007C0428">
            <w:pPr>
              <w:rPr>
                <w:rFonts w:ascii="Arial" w:hAnsi="Arial" w:cs="Arial"/>
                <w:sz w:val="20"/>
                <w:szCs w:val="20"/>
              </w:rPr>
            </w:pPr>
            <w:r w:rsidRPr="00731D8C">
              <w:rPr>
                <w:rFonts w:ascii="Arial" w:hAnsi="Arial" w:cs="Arial"/>
                <w:sz w:val="20"/>
                <w:szCs w:val="20"/>
              </w:rPr>
              <w:t>Primary</w:t>
            </w:r>
          </w:p>
        </w:tc>
        <w:tc>
          <w:tcPr>
            <w:tcW w:w="0" w:type="auto"/>
            <w:hideMark/>
          </w:tcPr>
          <w:p w14:paraId="45857387"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62</w:t>
            </w:r>
          </w:p>
        </w:tc>
        <w:tc>
          <w:tcPr>
            <w:tcW w:w="0" w:type="auto"/>
            <w:hideMark/>
          </w:tcPr>
          <w:p w14:paraId="2BADE506"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26.5</w:t>
            </w:r>
          </w:p>
        </w:tc>
        <w:tc>
          <w:tcPr>
            <w:tcW w:w="0" w:type="auto"/>
            <w:hideMark/>
          </w:tcPr>
          <w:p w14:paraId="4937EEFF"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44</w:t>
            </w:r>
          </w:p>
        </w:tc>
        <w:tc>
          <w:tcPr>
            <w:tcW w:w="0" w:type="auto"/>
            <w:hideMark/>
          </w:tcPr>
          <w:p w14:paraId="01D881FC"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34.1</w:t>
            </w:r>
          </w:p>
        </w:tc>
        <w:tc>
          <w:tcPr>
            <w:tcW w:w="0" w:type="auto"/>
            <w:vMerge/>
            <w:hideMark/>
          </w:tcPr>
          <w:p w14:paraId="69FF4FC0" w14:textId="77777777" w:rsidR="00731D8C" w:rsidRPr="00731D8C" w:rsidRDefault="00731D8C" w:rsidP="007C0428">
            <w:pPr>
              <w:pStyle w:val="NormalWeb"/>
              <w:rPr>
                <w:rFonts w:ascii="Arial" w:hAnsi="Arial" w:cs="Arial"/>
                <w:sz w:val="20"/>
                <w:szCs w:val="20"/>
              </w:rPr>
            </w:pPr>
          </w:p>
        </w:tc>
      </w:tr>
      <w:tr w:rsidR="00731D8C" w:rsidRPr="00731D8C" w14:paraId="16B4F72A" w14:textId="77777777" w:rsidTr="005B73E9">
        <w:tc>
          <w:tcPr>
            <w:tcW w:w="0" w:type="auto"/>
            <w:hideMark/>
          </w:tcPr>
          <w:p w14:paraId="512276D2" w14:textId="77777777" w:rsidR="00731D8C" w:rsidRPr="00731D8C" w:rsidRDefault="00731D8C" w:rsidP="007C0428">
            <w:pPr>
              <w:rPr>
                <w:rFonts w:ascii="Arial" w:hAnsi="Arial" w:cs="Arial"/>
                <w:sz w:val="20"/>
                <w:szCs w:val="20"/>
              </w:rPr>
            </w:pPr>
            <w:r w:rsidRPr="00731D8C">
              <w:rPr>
                <w:rFonts w:ascii="Arial" w:hAnsi="Arial" w:cs="Arial"/>
                <w:sz w:val="20"/>
                <w:szCs w:val="20"/>
              </w:rPr>
              <w:t>Secondary</w:t>
            </w:r>
          </w:p>
        </w:tc>
        <w:tc>
          <w:tcPr>
            <w:tcW w:w="0" w:type="auto"/>
            <w:hideMark/>
          </w:tcPr>
          <w:p w14:paraId="32352C76"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82</w:t>
            </w:r>
          </w:p>
        </w:tc>
        <w:tc>
          <w:tcPr>
            <w:tcW w:w="0" w:type="auto"/>
            <w:hideMark/>
          </w:tcPr>
          <w:p w14:paraId="3CF77100"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35.0</w:t>
            </w:r>
          </w:p>
        </w:tc>
        <w:tc>
          <w:tcPr>
            <w:tcW w:w="0" w:type="auto"/>
            <w:hideMark/>
          </w:tcPr>
          <w:p w14:paraId="7BB6E76F"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26</w:t>
            </w:r>
          </w:p>
        </w:tc>
        <w:tc>
          <w:tcPr>
            <w:tcW w:w="0" w:type="auto"/>
            <w:hideMark/>
          </w:tcPr>
          <w:p w14:paraId="32D996BE"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20.2</w:t>
            </w:r>
          </w:p>
        </w:tc>
        <w:tc>
          <w:tcPr>
            <w:tcW w:w="0" w:type="auto"/>
            <w:vMerge/>
            <w:hideMark/>
          </w:tcPr>
          <w:p w14:paraId="6078D5F5" w14:textId="77777777" w:rsidR="00731D8C" w:rsidRPr="00731D8C" w:rsidRDefault="00731D8C" w:rsidP="007C0428">
            <w:pPr>
              <w:pStyle w:val="NormalWeb"/>
              <w:rPr>
                <w:rFonts w:ascii="Arial" w:hAnsi="Arial" w:cs="Arial"/>
                <w:sz w:val="20"/>
                <w:szCs w:val="20"/>
              </w:rPr>
            </w:pPr>
          </w:p>
        </w:tc>
      </w:tr>
      <w:tr w:rsidR="00731D8C" w:rsidRPr="00731D8C" w14:paraId="660EF1DE" w14:textId="77777777" w:rsidTr="005B73E9">
        <w:tc>
          <w:tcPr>
            <w:tcW w:w="0" w:type="auto"/>
            <w:hideMark/>
          </w:tcPr>
          <w:p w14:paraId="377AD3F6" w14:textId="77777777" w:rsidR="00731D8C" w:rsidRPr="00731D8C" w:rsidRDefault="00731D8C" w:rsidP="007C0428">
            <w:pPr>
              <w:rPr>
                <w:rFonts w:ascii="Arial" w:hAnsi="Arial" w:cs="Arial"/>
                <w:sz w:val="20"/>
                <w:szCs w:val="20"/>
              </w:rPr>
            </w:pPr>
            <w:r w:rsidRPr="00731D8C">
              <w:rPr>
                <w:rFonts w:ascii="Arial" w:hAnsi="Arial" w:cs="Arial"/>
                <w:sz w:val="20"/>
                <w:szCs w:val="20"/>
              </w:rPr>
              <w:t>University</w:t>
            </w:r>
          </w:p>
        </w:tc>
        <w:tc>
          <w:tcPr>
            <w:tcW w:w="0" w:type="auto"/>
            <w:hideMark/>
          </w:tcPr>
          <w:p w14:paraId="7E2245B4"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62</w:t>
            </w:r>
          </w:p>
        </w:tc>
        <w:tc>
          <w:tcPr>
            <w:tcW w:w="0" w:type="auto"/>
            <w:hideMark/>
          </w:tcPr>
          <w:p w14:paraId="03D8F338"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26.5</w:t>
            </w:r>
          </w:p>
        </w:tc>
        <w:tc>
          <w:tcPr>
            <w:tcW w:w="0" w:type="auto"/>
            <w:hideMark/>
          </w:tcPr>
          <w:p w14:paraId="34F76351"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18</w:t>
            </w:r>
          </w:p>
        </w:tc>
        <w:tc>
          <w:tcPr>
            <w:tcW w:w="0" w:type="auto"/>
            <w:hideMark/>
          </w:tcPr>
          <w:p w14:paraId="11A9E834"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13.9</w:t>
            </w:r>
          </w:p>
        </w:tc>
        <w:tc>
          <w:tcPr>
            <w:tcW w:w="0" w:type="auto"/>
            <w:vMerge/>
            <w:hideMark/>
          </w:tcPr>
          <w:p w14:paraId="3E3DDB32" w14:textId="77777777" w:rsidR="00731D8C" w:rsidRPr="00731D8C" w:rsidRDefault="00731D8C" w:rsidP="007C0428">
            <w:pPr>
              <w:pStyle w:val="NormalWeb"/>
              <w:rPr>
                <w:rFonts w:ascii="Arial" w:hAnsi="Arial" w:cs="Arial"/>
                <w:sz w:val="20"/>
                <w:szCs w:val="20"/>
              </w:rPr>
            </w:pPr>
          </w:p>
        </w:tc>
      </w:tr>
      <w:tr w:rsidR="00731D8C" w:rsidRPr="00731D8C" w14:paraId="7FD36156" w14:textId="77777777" w:rsidTr="005B73E9">
        <w:tc>
          <w:tcPr>
            <w:tcW w:w="0" w:type="auto"/>
            <w:hideMark/>
          </w:tcPr>
          <w:p w14:paraId="6661B048" w14:textId="77777777" w:rsidR="00731D8C" w:rsidRPr="00731D8C" w:rsidRDefault="00731D8C" w:rsidP="007C0428">
            <w:pPr>
              <w:pStyle w:val="NormalWeb"/>
              <w:rPr>
                <w:rFonts w:ascii="Arial" w:hAnsi="Arial" w:cs="Arial"/>
                <w:sz w:val="20"/>
                <w:szCs w:val="20"/>
              </w:rPr>
            </w:pPr>
            <w:proofErr w:type="spellStart"/>
            <w:r w:rsidRPr="00731D8C">
              <w:rPr>
                <w:rFonts w:ascii="Arial" w:hAnsi="Arial" w:cs="Arial"/>
                <w:sz w:val="20"/>
                <w:szCs w:val="20"/>
              </w:rPr>
              <w:t>Monthly</w:t>
            </w:r>
            <w:proofErr w:type="spellEnd"/>
            <w:r w:rsidRPr="00731D8C">
              <w:rPr>
                <w:rFonts w:ascii="Arial" w:hAnsi="Arial" w:cs="Arial"/>
                <w:sz w:val="20"/>
                <w:szCs w:val="20"/>
              </w:rPr>
              <w:t xml:space="preserve"> </w:t>
            </w:r>
            <w:proofErr w:type="spellStart"/>
            <w:r w:rsidRPr="00731D8C">
              <w:rPr>
                <w:rFonts w:ascii="Arial" w:hAnsi="Arial" w:cs="Arial"/>
                <w:sz w:val="20"/>
                <w:szCs w:val="20"/>
              </w:rPr>
              <w:t>Income</w:t>
            </w:r>
            <w:proofErr w:type="spellEnd"/>
            <w:r w:rsidRPr="00731D8C">
              <w:rPr>
                <w:rFonts w:ascii="Arial" w:hAnsi="Arial" w:cs="Arial"/>
                <w:sz w:val="20"/>
                <w:szCs w:val="20"/>
              </w:rPr>
              <w:t xml:space="preserve"> (CFA)</w:t>
            </w:r>
          </w:p>
        </w:tc>
        <w:tc>
          <w:tcPr>
            <w:tcW w:w="0" w:type="auto"/>
            <w:hideMark/>
          </w:tcPr>
          <w:p w14:paraId="4CB4A3CE" w14:textId="77777777" w:rsidR="00731D8C" w:rsidRPr="00731D8C" w:rsidRDefault="00731D8C" w:rsidP="007C0428">
            <w:pPr>
              <w:pStyle w:val="NormalWeb"/>
              <w:rPr>
                <w:rFonts w:ascii="Arial" w:hAnsi="Arial" w:cs="Arial"/>
                <w:sz w:val="20"/>
                <w:szCs w:val="20"/>
              </w:rPr>
            </w:pPr>
          </w:p>
        </w:tc>
        <w:tc>
          <w:tcPr>
            <w:tcW w:w="0" w:type="auto"/>
            <w:hideMark/>
          </w:tcPr>
          <w:p w14:paraId="48FCF405" w14:textId="77777777" w:rsidR="00731D8C" w:rsidRPr="00731D8C" w:rsidRDefault="00731D8C" w:rsidP="007C0428">
            <w:pPr>
              <w:pStyle w:val="NormalWeb"/>
              <w:rPr>
                <w:rFonts w:ascii="Arial" w:hAnsi="Arial" w:cs="Arial"/>
                <w:sz w:val="20"/>
                <w:szCs w:val="20"/>
              </w:rPr>
            </w:pPr>
          </w:p>
        </w:tc>
        <w:tc>
          <w:tcPr>
            <w:tcW w:w="0" w:type="auto"/>
            <w:hideMark/>
          </w:tcPr>
          <w:p w14:paraId="2B2A4A05" w14:textId="77777777" w:rsidR="00731D8C" w:rsidRPr="00731D8C" w:rsidRDefault="00731D8C" w:rsidP="007C0428">
            <w:pPr>
              <w:pStyle w:val="NormalWeb"/>
              <w:rPr>
                <w:rFonts w:ascii="Arial" w:hAnsi="Arial" w:cs="Arial"/>
                <w:sz w:val="20"/>
                <w:szCs w:val="20"/>
              </w:rPr>
            </w:pPr>
          </w:p>
        </w:tc>
        <w:tc>
          <w:tcPr>
            <w:tcW w:w="0" w:type="auto"/>
            <w:hideMark/>
          </w:tcPr>
          <w:p w14:paraId="1066725E" w14:textId="77777777" w:rsidR="00731D8C" w:rsidRPr="00731D8C" w:rsidRDefault="00731D8C" w:rsidP="007C0428">
            <w:pPr>
              <w:pStyle w:val="NormalWeb"/>
              <w:rPr>
                <w:rFonts w:ascii="Arial" w:hAnsi="Arial" w:cs="Arial"/>
                <w:sz w:val="20"/>
                <w:szCs w:val="20"/>
              </w:rPr>
            </w:pPr>
          </w:p>
        </w:tc>
        <w:tc>
          <w:tcPr>
            <w:tcW w:w="0" w:type="auto"/>
            <w:hideMark/>
          </w:tcPr>
          <w:p w14:paraId="453E3DBD"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NS</w:t>
            </w:r>
          </w:p>
        </w:tc>
      </w:tr>
      <w:tr w:rsidR="00731D8C" w:rsidRPr="00731D8C" w14:paraId="048315E9" w14:textId="77777777" w:rsidTr="005B73E9">
        <w:tc>
          <w:tcPr>
            <w:tcW w:w="0" w:type="auto"/>
            <w:hideMark/>
          </w:tcPr>
          <w:p w14:paraId="6B4A0CBC"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i/>
                <w:iCs/>
                <w:sz w:val="20"/>
                <w:szCs w:val="20"/>
              </w:rPr>
              <w:t>≤ 52 500</w:t>
            </w:r>
          </w:p>
        </w:tc>
        <w:tc>
          <w:tcPr>
            <w:tcW w:w="0" w:type="auto"/>
            <w:hideMark/>
          </w:tcPr>
          <w:p w14:paraId="12D7891A"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120</w:t>
            </w:r>
          </w:p>
        </w:tc>
        <w:tc>
          <w:tcPr>
            <w:tcW w:w="0" w:type="auto"/>
            <w:hideMark/>
          </w:tcPr>
          <w:p w14:paraId="71B36736"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51.3</w:t>
            </w:r>
          </w:p>
        </w:tc>
        <w:tc>
          <w:tcPr>
            <w:tcW w:w="0" w:type="auto"/>
            <w:hideMark/>
          </w:tcPr>
          <w:p w14:paraId="0A8B6860"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60</w:t>
            </w:r>
          </w:p>
        </w:tc>
        <w:tc>
          <w:tcPr>
            <w:tcW w:w="0" w:type="auto"/>
            <w:hideMark/>
          </w:tcPr>
          <w:p w14:paraId="212FD1C4"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46.5</w:t>
            </w:r>
          </w:p>
        </w:tc>
        <w:tc>
          <w:tcPr>
            <w:tcW w:w="0" w:type="auto"/>
            <w:hideMark/>
          </w:tcPr>
          <w:p w14:paraId="428F0A18" w14:textId="77777777" w:rsidR="00731D8C" w:rsidRPr="00731D8C" w:rsidRDefault="00731D8C" w:rsidP="007C0428">
            <w:pPr>
              <w:pStyle w:val="NormalWeb"/>
              <w:rPr>
                <w:rFonts w:ascii="Arial" w:hAnsi="Arial" w:cs="Arial"/>
                <w:sz w:val="20"/>
                <w:szCs w:val="20"/>
              </w:rPr>
            </w:pPr>
          </w:p>
        </w:tc>
      </w:tr>
      <w:tr w:rsidR="00731D8C" w:rsidRPr="00731D8C" w14:paraId="21A326C1" w14:textId="77777777" w:rsidTr="005B73E9">
        <w:tc>
          <w:tcPr>
            <w:tcW w:w="0" w:type="auto"/>
            <w:hideMark/>
          </w:tcPr>
          <w:p w14:paraId="33EC414B"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i/>
                <w:iCs/>
                <w:sz w:val="20"/>
                <w:szCs w:val="20"/>
              </w:rPr>
              <w:t>52 501 - 100 000</w:t>
            </w:r>
          </w:p>
        </w:tc>
        <w:tc>
          <w:tcPr>
            <w:tcW w:w="0" w:type="auto"/>
            <w:hideMark/>
          </w:tcPr>
          <w:p w14:paraId="0991B630"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93</w:t>
            </w:r>
          </w:p>
        </w:tc>
        <w:tc>
          <w:tcPr>
            <w:tcW w:w="0" w:type="auto"/>
            <w:hideMark/>
          </w:tcPr>
          <w:p w14:paraId="3606FE0B"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39.7</w:t>
            </w:r>
          </w:p>
        </w:tc>
        <w:tc>
          <w:tcPr>
            <w:tcW w:w="0" w:type="auto"/>
            <w:hideMark/>
          </w:tcPr>
          <w:p w14:paraId="454CC516"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51</w:t>
            </w:r>
          </w:p>
        </w:tc>
        <w:tc>
          <w:tcPr>
            <w:tcW w:w="0" w:type="auto"/>
            <w:hideMark/>
          </w:tcPr>
          <w:p w14:paraId="2D31B5B5"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39.5</w:t>
            </w:r>
          </w:p>
        </w:tc>
        <w:tc>
          <w:tcPr>
            <w:tcW w:w="0" w:type="auto"/>
            <w:hideMark/>
          </w:tcPr>
          <w:p w14:paraId="6714BCFD" w14:textId="77777777" w:rsidR="00731D8C" w:rsidRPr="00731D8C" w:rsidRDefault="00731D8C" w:rsidP="007C0428">
            <w:pPr>
              <w:pStyle w:val="NormalWeb"/>
              <w:rPr>
                <w:rFonts w:ascii="Arial" w:hAnsi="Arial" w:cs="Arial"/>
                <w:sz w:val="20"/>
                <w:szCs w:val="20"/>
              </w:rPr>
            </w:pPr>
          </w:p>
        </w:tc>
      </w:tr>
      <w:tr w:rsidR="00731D8C" w:rsidRPr="00731D8C" w14:paraId="11FBF76C" w14:textId="77777777" w:rsidTr="005B73E9">
        <w:tc>
          <w:tcPr>
            <w:tcW w:w="0" w:type="auto"/>
            <w:hideMark/>
          </w:tcPr>
          <w:p w14:paraId="0B1282B9"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i/>
                <w:iCs/>
                <w:sz w:val="20"/>
                <w:szCs w:val="20"/>
              </w:rPr>
              <w:t>100 001 - 250 000</w:t>
            </w:r>
          </w:p>
        </w:tc>
        <w:tc>
          <w:tcPr>
            <w:tcW w:w="0" w:type="auto"/>
            <w:hideMark/>
          </w:tcPr>
          <w:p w14:paraId="602DA70E"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15</w:t>
            </w:r>
          </w:p>
        </w:tc>
        <w:tc>
          <w:tcPr>
            <w:tcW w:w="0" w:type="auto"/>
            <w:hideMark/>
          </w:tcPr>
          <w:p w14:paraId="526EB899"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6.4</w:t>
            </w:r>
          </w:p>
        </w:tc>
        <w:tc>
          <w:tcPr>
            <w:tcW w:w="0" w:type="auto"/>
            <w:hideMark/>
          </w:tcPr>
          <w:p w14:paraId="7CACB0BA"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17</w:t>
            </w:r>
          </w:p>
        </w:tc>
        <w:tc>
          <w:tcPr>
            <w:tcW w:w="0" w:type="auto"/>
            <w:hideMark/>
          </w:tcPr>
          <w:p w14:paraId="0804C609"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13.2</w:t>
            </w:r>
          </w:p>
        </w:tc>
        <w:tc>
          <w:tcPr>
            <w:tcW w:w="0" w:type="auto"/>
            <w:hideMark/>
          </w:tcPr>
          <w:p w14:paraId="3A2E017D" w14:textId="77777777" w:rsidR="00731D8C" w:rsidRPr="00731D8C" w:rsidRDefault="00731D8C" w:rsidP="007C0428">
            <w:pPr>
              <w:pStyle w:val="NormalWeb"/>
              <w:rPr>
                <w:rFonts w:ascii="Arial" w:hAnsi="Arial" w:cs="Arial"/>
                <w:sz w:val="20"/>
                <w:szCs w:val="20"/>
              </w:rPr>
            </w:pPr>
          </w:p>
        </w:tc>
      </w:tr>
      <w:tr w:rsidR="00731D8C" w:rsidRPr="00731D8C" w14:paraId="2E966880" w14:textId="77777777" w:rsidTr="005B73E9">
        <w:tc>
          <w:tcPr>
            <w:tcW w:w="0" w:type="auto"/>
            <w:hideMark/>
          </w:tcPr>
          <w:p w14:paraId="0A4FAA01"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i/>
                <w:iCs/>
                <w:sz w:val="20"/>
                <w:szCs w:val="20"/>
              </w:rPr>
              <w:t>≥ 250 001</w:t>
            </w:r>
          </w:p>
        </w:tc>
        <w:tc>
          <w:tcPr>
            <w:tcW w:w="0" w:type="auto"/>
            <w:hideMark/>
          </w:tcPr>
          <w:p w14:paraId="2D398B95"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6</w:t>
            </w:r>
          </w:p>
        </w:tc>
        <w:tc>
          <w:tcPr>
            <w:tcW w:w="0" w:type="auto"/>
            <w:hideMark/>
          </w:tcPr>
          <w:p w14:paraId="13AC94D8"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2.6</w:t>
            </w:r>
          </w:p>
        </w:tc>
        <w:tc>
          <w:tcPr>
            <w:tcW w:w="0" w:type="auto"/>
            <w:hideMark/>
          </w:tcPr>
          <w:p w14:paraId="5ED6E168"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1</w:t>
            </w:r>
          </w:p>
        </w:tc>
        <w:tc>
          <w:tcPr>
            <w:tcW w:w="0" w:type="auto"/>
            <w:hideMark/>
          </w:tcPr>
          <w:p w14:paraId="749242CC" w14:textId="77777777" w:rsidR="00731D8C" w:rsidRPr="00731D8C" w:rsidRDefault="00731D8C" w:rsidP="007C0428">
            <w:pPr>
              <w:pStyle w:val="NormalWeb"/>
              <w:rPr>
                <w:rFonts w:ascii="Arial" w:hAnsi="Arial" w:cs="Arial"/>
                <w:sz w:val="20"/>
                <w:szCs w:val="20"/>
              </w:rPr>
            </w:pPr>
            <w:r w:rsidRPr="00731D8C">
              <w:rPr>
                <w:rStyle w:val="selected"/>
                <w:rFonts w:ascii="Arial" w:hAnsi="Arial" w:cs="Arial"/>
                <w:sz w:val="20"/>
                <w:szCs w:val="20"/>
              </w:rPr>
              <w:t>0.8</w:t>
            </w:r>
          </w:p>
        </w:tc>
        <w:tc>
          <w:tcPr>
            <w:tcW w:w="0" w:type="auto"/>
            <w:hideMark/>
          </w:tcPr>
          <w:p w14:paraId="2A197B28" w14:textId="77777777" w:rsidR="00731D8C" w:rsidRPr="00731D8C" w:rsidRDefault="00731D8C" w:rsidP="007C0428">
            <w:pPr>
              <w:pStyle w:val="NormalWeb"/>
              <w:rPr>
                <w:rFonts w:ascii="Arial" w:hAnsi="Arial" w:cs="Arial"/>
                <w:sz w:val="20"/>
                <w:szCs w:val="20"/>
              </w:rPr>
            </w:pPr>
          </w:p>
        </w:tc>
      </w:tr>
    </w:tbl>
    <w:p w14:paraId="5B33CE77" w14:textId="77777777" w:rsidR="00731D8C" w:rsidRPr="00731D8C" w:rsidRDefault="00731D8C" w:rsidP="007C0428">
      <w:pPr>
        <w:spacing w:before="100" w:beforeAutospacing="1" w:after="100" w:afterAutospacing="1"/>
        <w:outlineLvl w:val="3"/>
        <w:rPr>
          <w:rFonts w:ascii="Arial" w:hAnsi="Arial" w:cs="Arial"/>
          <w:b/>
          <w:bCs/>
          <w:lang w:eastAsia="fr-FR"/>
        </w:rPr>
      </w:pPr>
      <w:r w:rsidRPr="00731D8C">
        <w:rPr>
          <w:rFonts w:ascii="Arial" w:hAnsi="Arial" w:cs="Arial"/>
          <w:b/>
          <w:bCs/>
          <w:lang w:eastAsia="fr-FR"/>
        </w:rPr>
        <w:t>3.2. Cohort profile and metabolic comorbidities</w:t>
      </w:r>
    </w:p>
    <w:p w14:paraId="6D848E82"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Table 2 summarizes the primary clinical and morphological characteristics of the 363 patients with chronic hepatitis. It details the viral etiology and highlights the prevalence of key structural abnormalities of the liver identified through ultrasonography.</w:t>
      </w:r>
    </w:p>
    <w:p w14:paraId="115C04EB"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b/>
          <w:bCs/>
          <w:lang w:eastAsia="fr-FR"/>
        </w:rPr>
        <w:t>Table 2 : Clinical and ultrasonographic profile of the hepatitis cohort (n=363)</w:t>
      </w:r>
    </w:p>
    <w:tbl>
      <w:tblPr>
        <w:tblStyle w:val="TableGrid"/>
        <w:tblW w:w="9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70"/>
        <w:gridCol w:w="3622"/>
        <w:gridCol w:w="1081"/>
        <w:gridCol w:w="1484"/>
      </w:tblGrid>
      <w:tr w:rsidR="00731D8C" w:rsidRPr="00731D8C" w14:paraId="0DA4BF46" w14:textId="77777777" w:rsidTr="00537802">
        <w:trPr>
          <w:trHeight w:val="551"/>
        </w:trPr>
        <w:tc>
          <w:tcPr>
            <w:tcW w:w="0" w:type="auto"/>
            <w:hideMark/>
          </w:tcPr>
          <w:p w14:paraId="1235703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Parameter</w:t>
            </w:r>
          </w:p>
        </w:tc>
        <w:tc>
          <w:tcPr>
            <w:tcW w:w="0" w:type="auto"/>
            <w:hideMark/>
          </w:tcPr>
          <w:p w14:paraId="271F5E81"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Category</w:t>
            </w:r>
          </w:p>
        </w:tc>
        <w:tc>
          <w:tcPr>
            <w:tcW w:w="0" w:type="auto"/>
            <w:hideMark/>
          </w:tcPr>
          <w:p w14:paraId="797930E2" w14:textId="77777777" w:rsidR="00731D8C" w:rsidRPr="00731D8C" w:rsidRDefault="00731D8C" w:rsidP="007C0428">
            <w:pPr>
              <w:rPr>
                <w:rFonts w:ascii="Arial" w:eastAsia="Times New Roman" w:hAnsi="Arial" w:cs="Arial"/>
                <w:b/>
                <w:bCs/>
                <w:sz w:val="20"/>
                <w:szCs w:val="20"/>
                <w:lang w:eastAsia="fr-FR"/>
              </w:rPr>
            </w:pPr>
            <w:proofErr w:type="spellStart"/>
            <w:r w:rsidRPr="00731D8C">
              <w:rPr>
                <w:rFonts w:ascii="Arial" w:eastAsia="Times New Roman" w:hAnsi="Arial" w:cs="Arial"/>
                <w:b/>
                <w:bCs/>
                <w:sz w:val="20"/>
                <w:szCs w:val="20"/>
                <w:lang w:eastAsia="fr-FR"/>
              </w:rPr>
              <w:t>Effectif</w:t>
            </w:r>
            <w:proofErr w:type="spellEnd"/>
            <w:r w:rsidRPr="00731D8C">
              <w:rPr>
                <w:rFonts w:ascii="Arial" w:eastAsia="Times New Roman" w:hAnsi="Arial" w:cs="Arial"/>
                <w:b/>
                <w:bCs/>
                <w:sz w:val="20"/>
                <w:szCs w:val="20"/>
                <w:lang w:eastAsia="fr-FR"/>
              </w:rPr>
              <w:t xml:space="preserve"> </w:t>
            </w:r>
          </w:p>
          <w:p w14:paraId="39554CE2"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 xml:space="preserve"> (n)</w:t>
            </w:r>
          </w:p>
        </w:tc>
        <w:tc>
          <w:tcPr>
            <w:tcW w:w="0" w:type="auto"/>
            <w:hideMark/>
          </w:tcPr>
          <w:p w14:paraId="18733A78" w14:textId="77777777" w:rsidR="00731D8C" w:rsidRPr="00731D8C" w:rsidRDefault="00731D8C" w:rsidP="007C0428">
            <w:pPr>
              <w:rPr>
                <w:rFonts w:ascii="Arial" w:eastAsia="Times New Roman" w:hAnsi="Arial" w:cs="Arial"/>
                <w:b/>
                <w:bCs/>
                <w:sz w:val="20"/>
                <w:szCs w:val="20"/>
                <w:lang w:eastAsia="fr-FR"/>
              </w:rPr>
            </w:pPr>
            <w:r w:rsidRPr="00731D8C">
              <w:rPr>
                <w:rFonts w:ascii="Arial" w:eastAsia="Times New Roman" w:hAnsi="Arial" w:cs="Arial"/>
                <w:b/>
                <w:bCs/>
                <w:sz w:val="20"/>
                <w:szCs w:val="20"/>
                <w:lang w:eastAsia="fr-FR"/>
              </w:rPr>
              <w:t xml:space="preserve">Frequency </w:t>
            </w:r>
          </w:p>
          <w:p w14:paraId="1796C232"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w:t>
            </w:r>
          </w:p>
        </w:tc>
      </w:tr>
      <w:tr w:rsidR="00731D8C" w:rsidRPr="00731D8C" w14:paraId="1FCDB3BB" w14:textId="77777777" w:rsidTr="00537802">
        <w:trPr>
          <w:trHeight w:val="280"/>
        </w:trPr>
        <w:tc>
          <w:tcPr>
            <w:tcW w:w="0" w:type="auto"/>
            <w:vMerge w:val="restart"/>
            <w:hideMark/>
          </w:tcPr>
          <w:p w14:paraId="044AA25F" w14:textId="77777777" w:rsidR="00731D8C" w:rsidRPr="00731D8C" w:rsidRDefault="00731D8C" w:rsidP="007C0428">
            <w:pPr>
              <w:rPr>
                <w:rFonts w:ascii="Arial" w:eastAsia="Times New Roman" w:hAnsi="Arial" w:cs="Arial"/>
                <w:b/>
                <w:bCs/>
                <w:sz w:val="20"/>
                <w:szCs w:val="20"/>
                <w:lang w:eastAsia="fr-FR"/>
              </w:rPr>
            </w:pPr>
          </w:p>
          <w:p w14:paraId="3E43C3FE"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Viral etiology</w:t>
            </w:r>
          </w:p>
        </w:tc>
        <w:tc>
          <w:tcPr>
            <w:tcW w:w="0" w:type="auto"/>
            <w:hideMark/>
          </w:tcPr>
          <w:p w14:paraId="48C2CAEE"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Hepatitis B virus (HBV)</w:t>
            </w:r>
          </w:p>
        </w:tc>
        <w:tc>
          <w:tcPr>
            <w:tcW w:w="0" w:type="auto"/>
            <w:hideMark/>
          </w:tcPr>
          <w:p w14:paraId="73EFD643"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296</w:t>
            </w:r>
          </w:p>
        </w:tc>
        <w:tc>
          <w:tcPr>
            <w:tcW w:w="0" w:type="auto"/>
            <w:hideMark/>
          </w:tcPr>
          <w:p w14:paraId="52FBC552"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81.5%</w:t>
            </w:r>
          </w:p>
        </w:tc>
      </w:tr>
      <w:tr w:rsidR="00731D8C" w:rsidRPr="00731D8C" w14:paraId="21154741" w14:textId="77777777" w:rsidTr="00537802">
        <w:trPr>
          <w:trHeight w:val="280"/>
        </w:trPr>
        <w:tc>
          <w:tcPr>
            <w:tcW w:w="0" w:type="auto"/>
            <w:vMerge/>
            <w:hideMark/>
          </w:tcPr>
          <w:p w14:paraId="3174D7B7" w14:textId="77777777" w:rsidR="00731D8C" w:rsidRPr="00731D8C" w:rsidRDefault="00731D8C" w:rsidP="007C0428">
            <w:pPr>
              <w:rPr>
                <w:rFonts w:ascii="Arial" w:eastAsia="Times New Roman" w:hAnsi="Arial" w:cs="Arial"/>
                <w:sz w:val="20"/>
                <w:szCs w:val="20"/>
                <w:lang w:eastAsia="fr-FR"/>
              </w:rPr>
            </w:pPr>
          </w:p>
        </w:tc>
        <w:tc>
          <w:tcPr>
            <w:tcW w:w="0" w:type="auto"/>
            <w:hideMark/>
          </w:tcPr>
          <w:p w14:paraId="6A844598"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Hepatitis C virus (HCV)</w:t>
            </w:r>
          </w:p>
        </w:tc>
        <w:tc>
          <w:tcPr>
            <w:tcW w:w="0" w:type="auto"/>
            <w:hideMark/>
          </w:tcPr>
          <w:p w14:paraId="6F6EC84F"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44</w:t>
            </w:r>
          </w:p>
        </w:tc>
        <w:tc>
          <w:tcPr>
            <w:tcW w:w="0" w:type="auto"/>
            <w:hideMark/>
          </w:tcPr>
          <w:p w14:paraId="080774B7"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12.1%</w:t>
            </w:r>
          </w:p>
        </w:tc>
      </w:tr>
      <w:tr w:rsidR="00731D8C" w:rsidRPr="00731D8C" w14:paraId="730D4AB4" w14:textId="77777777" w:rsidTr="00537802">
        <w:trPr>
          <w:trHeight w:val="270"/>
        </w:trPr>
        <w:tc>
          <w:tcPr>
            <w:tcW w:w="0" w:type="auto"/>
            <w:vMerge/>
            <w:hideMark/>
          </w:tcPr>
          <w:p w14:paraId="485B59FC" w14:textId="77777777" w:rsidR="00731D8C" w:rsidRPr="00731D8C" w:rsidRDefault="00731D8C" w:rsidP="007C0428">
            <w:pPr>
              <w:rPr>
                <w:rFonts w:ascii="Arial" w:eastAsia="Times New Roman" w:hAnsi="Arial" w:cs="Arial"/>
                <w:sz w:val="20"/>
                <w:szCs w:val="20"/>
                <w:lang w:eastAsia="fr-FR"/>
              </w:rPr>
            </w:pPr>
          </w:p>
        </w:tc>
        <w:tc>
          <w:tcPr>
            <w:tcW w:w="0" w:type="auto"/>
            <w:hideMark/>
          </w:tcPr>
          <w:p w14:paraId="7397FC6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HBV/HCV co-infection</w:t>
            </w:r>
          </w:p>
        </w:tc>
        <w:tc>
          <w:tcPr>
            <w:tcW w:w="0" w:type="auto"/>
            <w:hideMark/>
          </w:tcPr>
          <w:p w14:paraId="28BBC04F"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23</w:t>
            </w:r>
          </w:p>
        </w:tc>
        <w:tc>
          <w:tcPr>
            <w:tcW w:w="0" w:type="auto"/>
            <w:hideMark/>
          </w:tcPr>
          <w:p w14:paraId="45CD60F4"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6.3%</w:t>
            </w:r>
          </w:p>
        </w:tc>
      </w:tr>
      <w:tr w:rsidR="00731D8C" w:rsidRPr="00731D8C" w14:paraId="7E1E47E9" w14:textId="77777777" w:rsidTr="00537802">
        <w:trPr>
          <w:trHeight w:val="280"/>
        </w:trPr>
        <w:tc>
          <w:tcPr>
            <w:tcW w:w="0" w:type="auto"/>
            <w:vMerge w:val="restart"/>
            <w:hideMark/>
          </w:tcPr>
          <w:p w14:paraId="5FF7C1F7" w14:textId="77777777" w:rsidR="00731D8C" w:rsidRPr="00731D8C" w:rsidRDefault="00731D8C" w:rsidP="007C0428">
            <w:pPr>
              <w:rPr>
                <w:rFonts w:ascii="Arial" w:eastAsia="Times New Roman" w:hAnsi="Arial" w:cs="Arial"/>
                <w:b/>
                <w:bCs/>
                <w:sz w:val="20"/>
                <w:szCs w:val="20"/>
                <w:lang w:eastAsia="fr-FR"/>
              </w:rPr>
            </w:pPr>
          </w:p>
          <w:p w14:paraId="3ED91432" w14:textId="77777777" w:rsidR="00731D8C" w:rsidRPr="00731D8C" w:rsidRDefault="00731D8C" w:rsidP="007C0428">
            <w:pPr>
              <w:rPr>
                <w:rFonts w:ascii="Arial" w:eastAsia="Times New Roman" w:hAnsi="Arial" w:cs="Arial"/>
                <w:b/>
                <w:bCs/>
                <w:sz w:val="20"/>
                <w:szCs w:val="20"/>
                <w:lang w:eastAsia="fr-FR"/>
              </w:rPr>
            </w:pPr>
          </w:p>
          <w:p w14:paraId="28E8987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Ultrasonographic findings</w:t>
            </w:r>
          </w:p>
        </w:tc>
        <w:tc>
          <w:tcPr>
            <w:tcW w:w="0" w:type="auto"/>
            <w:hideMark/>
          </w:tcPr>
          <w:p w14:paraId="7E2E8A1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Hepatomegaly</w:t>
            </w:r>
          </w:p>
        </w:tc>
        <w:tc>
          <w:tcPr>
            <w:tcW w:w="0" w:type="auto"/>
            <w:hideMark/>
          </w:tcPr>
          <w:p w14:paraId="5A7555C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217</w:t>
            </w:r>
          </w:p>
        </w:tc>
        <w:tc>
          <w:tcPr>
            <w:tcW w:w="0" w:type="auto"/>
            <w:hideMark/>
          </w:tcPr>
          <w:p w14:paraId="6269563D"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59.9%</w:t>
            </w:r>
          </w:p>
        </w:tc>
      </w:tr>
      <w:tr w:rsidR="00731D8C" w:rsidRPr="00731D8C" w14:paraId="16395F69" w14:textId="77777777" w:rsidTr="00537802">
        <w:trPr>
          <w:trHeight w:val="280"/>
        </w:trPr>
        <w:tc>
          <w:tcPr>
            <w:tcW w:w="0" w:type="auto"/>
            <w:vMerge/>
            <w:hideMark/>
          </w:tcPr>
          <w:p w14:paraId="6AB9A91B" w14:textId="77777777" w:rsidR="00731D8C" w:rsidRPr="00731D8C" w:rsidRDefault="00731D8C" w:rsidP="007C0428">
            <w:pPr>
              <w:rPr>
                <w:rFonts w:ascii="Arial" w:eastAsia="Times New Roman" w:hAnsi="Arial" w:cs="Arial"/>
                <w:sz w:val="20"/>
                <w:szCs w:val="20"/>
                <w:lang w:eastAsia="fr-FR"/>
              </w:rPr>
            </w:pPr>
          </w:p>
        </w:tc>
        <w:tc>
          <w:tcPr>
            <w:tcW w:w="0" w:type="auto"/>
            <w:hideMark/>
          </w:tcPr>
          <w:p w14:paraId="6F996D90"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Hepatic steatosis</w:t>
            </w:r>
          </w:p>
        </w:tc>
        <w:tc>
          <w:tcPr>
            <w:tcW w:w="0" w:type="auto"/>
            <w:hideMark/>
          </w:tcPr>
          <w:p w14:paraId="6C0D17B5"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200</w:t>
            </w:r>
          </w:p>
        </w:tc>
        <w:tc>
          <w:tcPr>
            <w:tcW w:w="0" w:type="auto"/>
            <w:hideMark/>
          </w:tcPr>
          <w:p w14:paraId="4D537842"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55.2%</w:t>
            </w:r>
          </w:p>
        </w:tc>
      </w:tr>
      <w:tr w:rsidR="00731D8C" w:rsidRPr="00731D8C" w14:paraId="23A55785" w14:textId="77777777" w:rsidTr="00537802">
        <w:trPr>
          <w:trHeight w:val="551"/>
        </w:trPr>
        <w:tc>
          <w:tcPr>
            <w:tcW w:w="0" w:type="auto"/>
            <w:vMerge/>
            <w:hideMark/>
          </w:tcPr>
          <w:p w14:paraId="320DF40C" w14:textId="77777777" w:rsidR="00731D8C" w:rsidRPr="00731D8C" w:rsidRDefault="00731D8C" w:rsidP="007C0428">
            <w:pPr>
              <w:rPr>
                <w:rFonts w:ascii="Arial" w:eastAsia="Times New Roman" w:hAnsi="Arial" w:cs="Arial"/>
                <w:sz w:val="20"/>
                <w:szCs w:val="20"/>
                <w:lang w:eastAsia="fr-FR"/>
              </w:rPr>
            </w:pPr>
          </w:p>
        </w:tc>
        <w:tc>
          <w:tcPr>
            <w:tcW w:w="0" w:type="auto"/>
            <w:hideMark/>
          </w:tcPr>
          <w:p w14:paraId="5C582CFA"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Signs of compensated cirrhosis</w:t>
            </w:r>
          </w:p>
        </w:tc>
        <w:tc>
          <w:tcPr>
            <w:tcW w:w="0" w:type="auto"/>
            <w:hideMark/>
          </w:tcPr>
          <w:p w14:paraId="3DC24AA3"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48</w:t>
            </w:r>
          </w:p>
        </w:tc>
        <w:tc>
          <w:tcPr>
            <w:tcW w:w="0" w:type="auto"/>
            <w:hideMark/>
          </w:tcPr>
          <w:p w14:paraId="61B6248E"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13.3%</w:t>
            </w:r>
          </w:p>
        </w:tc>
      </w:tr>
      <w:tr w:rsidR="00731D8C" w:rsidRPr="00731D8C" w14:paraId="5B616158" w14:textId="77777777" w:rsidTr="00537802">
        <w:trPr>
          <w:trHeight w:val="280"/>
        </w:trPr>
        <w:tc>
          <w:tcPr>
            <w:tcW w:w="0" w:type="auto"/>
            <w:vMerge/>
            <w:hideMark/>
          </w:tcPr>
          <w:p w14:paraId="191B4D6E" w14:textId="77777777" w:rsidR="00731D8C" w:rsidRPr="00731D8C" w:rsidRDefault="00731D8C" w:rsidP="007C0428">
            <w:pPr>
              <w:rPr>
                <w:rFonts w:ascii="Arial" w:eastAsia="Times New Roman" w:hAnsi="Arial" w:cs="Arial"/>
                <w:sz w:val="20"/>
                <w:szCs w:val="20"/>
                <w:lang w:eastAsia="fr-FR"/>
              </w:rPr>
            </w:pPr>
          </w:p>
        </w:tc>
        <w:tc>
          <w:tcPr>
            <w:tcW w:w="0" w:type="auto"/>
            <w:hideMark/>
          </w:tcPr>
          <w:p w14:paraId="47762CB5"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Presence of nodule(s)</w:t>
            </w:r>
          </w:p>
        </w:tc>
        <w:tc>
          <w:tcPr>
            <w:tcW w:w="0" w:type="auto"/>
            <w:hideMark/>
          </w:tcPr>
          <w:p w14:paraId="1B9DFAFE"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36</w:t>
            </w:r>
          </w:p>
        </w:tc>
        <w:tc>
          <w:tcPr>
            <w:tcW w:w="0" w:type="auto"/>
            <w:hideMark/>
          </w:tcPr>
          <w:p w14:paraId="16B29095"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9.9%</w:t>
            </w:r>
          </w:p>
        </w:tc>
      </w:tr>
      <w:tr w:rsidR="00731D8C" w:rsidRPr="00731D8C" w14:paraId="1D17DD57" w14:textId="77777777" w:rsidTr="00537802">
        <w:trPr>
          <w:trHeight w:val="270"/>
        </w:trPr>
        <w:tc>
          <w:tcPr>
            <w:tcW w:w="0" w:type="auto"/>
            <w:vMerge/>
            <w:hideMark/>
          </w:tcPr>
          <w:p w14:paraId="41E0562B" w14:textId="77777777" w:rsidR="00731D8C" w:rsidRPr="00731D8C" w:rsidRDefault="00731D8C" w:rsidP="007C0428">
            <w:pPr>
              <w:rPr>
                <w:rFonts w:ascii="Arial" w:eastAsia="Times New Roman" w:hAnsi="Arial" w:cs="Arial"/>
                <w:sz w:val="20"/>
                <w:szCs w:val="20"/>
                <w:lang w:eastAsia="fr-FR"/>
              </w:rPr>
            </w:pPr>
          </w:p>
        </w:tc>
        <w:tc>
          <w:tcPr>
            <w:tcW w:w="0" w:type="auto"/>
            <w:hideMark/>
          </w:tcPr>
          <w:p w14:paraId="56568A5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Signs of fibrosis</w:t>
            </w:r>
          </w:p>
        </w:tc>
        <w:tc>
          <w:tcPr>
            <w:tcW w:w="0" w:type="auto"/>
            <w:hideMark/>
          </w:tcPr>
          <w:p w14:paraId="5106C3FD"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23</w:t>
            </w:r>
          </w:p>
        </w:tc>
        <w:tc>
          <w:tcPr>
            <w:tcW w:w="0" w:type="auto"/>
            <w:hideMark/>
          </w:tcPr>
          <w:p w14:paraId="0B998F37"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6.4%</w:t>
            </w:r>
          </w:p>
        </w:tc>
      </w:tr>
    </w:tbl>
    <w:p w14:paraId="37931A76"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lastRenderedPageBreak/>
        <w:t>The data presented in Table</w:t>
      </w:r>
      <w:r w:rsidRPr="00731D8C">
        <w:rPr>
          <w:rFonts w:ascii="Arial" w:hAnsi="Arial" w:cs="Arial"/>
          <w:bCs/>
          <w:lang w:eastAsia="fr-FR"/>
        </w:rPr>
        <w:t xml:space="preserve"> 2</w:t>
      </w:r>
      <w:r w:rsidRPr="00731D8C">
        <w:rPr>
          <w:rFonts w:ascii="Arial" w:hAnsi="Arial" w:cs="Arial"/>
          <w:lang w:eastAsia="fr-FR"/>
        </w:rPr>
        <w:t xml:space="preserve"> confirms the profound endemicity of </w:t>
      </w:r>
      <w:r w:rsidRPr="00731D8C">
        <w:rPr>
          <w:rFonts w:ascii="Arial" w:hAnsi="Arial" w:cs="Arial"/>
          <w:bCs/>
          <w:lang w:eastAsia="fr-FR"/>
        </w:rPr>
        <w:t>Hepatitis B Virus</w:t>
      </w:r>
      <w:r w:rsidRPr="00731D8C">
        <w:rPr>
          <w:rFonts w:ascii="Arial" w:hAnsi="Arial" w:cs="Arial"/>
          <w:lang w:eastAsia="fr-FR"/>
        </w:rPr>
        <w:t xml:space="preserve">, which is the etiological agent in over 81% of cases in this cohort. This aligns with national and regional epidemiological data, establishing a clear infectious disease burden. The most critical finding, however, is the remarkably high prevalence of </w:t>
      </w:r>
      <w:r w:rsidRPr="00731D8C">
        <w:rPr>
          <w:rFonts w:ascii="Arial" w:hAnsi="Arial" w:cs="Arial"/>
          <w:bCs/>
          <w:lang w:eastAsia="fr-FR"/>
        </w:rPr>
        <w:t>hepatic steatosis</w:t>
      </w:r>
      <w:r w:rsidRPr="00731D8C">
        <w:rPr>
          <w:rFonts w:ascii="Arial" w:hAnsi="Arial" w:cs="Arial"/>
          <w:lang w:eastAsia="fr-FR"/>
        </w:rPr>
        <w:t>, identified in 55.2% of the patients. This rate suggests a significant metabolic comorbidity that is superimposed upon the primary viral pathology. The frequent observation of hepatomegaly (59.9%) further supports the existence of a substantial inflammatory and/or infiltrative liver process. This "dual burden" of viral and metabolic injury likely creates a synergistic effect, potentially accelerating the progression toward advanced liver disease, as evidenced by the notable percentage of patients already showing signs of compensated cirrhosis (13.3%) and fibrosis (6.4%).</w:t>
      </w:r>
    </w:p>
    <w:p w14:paraId="216B0220" w14:textId="77777777" w:rsidR="00731D8C" w:rsidRPr="00731D8C" w:rsidRDefault="00731D8C" w:rsidP="007C0428">
      <w:pPr>
        <w:spacing w:before="100" w:beforeAutospacing="1" w:after="100" w:afterAutospacing="1"/>
        <w:outlineLvl w:val="3"/>
        <w:rPr>
          <w:rFonts w:ascii="Arial" w:hAnsi="Arial" w:cs="Arial"/>
          <w:b/>
          <w:bCs/>
          <w:lang w:eastAsia="fr-FR"/>
        </w:rPr>
      </w:pPr>
      <w:r w:rsidRPr="00731D8C">
        <w:rPr>
          <w:rFonts w:ascii="Arial" w:hAnsi="Arial" w:cs="Arial"/>
          <w:b/>
          <w:bCs/>
          <w:lang w:eastAsia="fr-FR"/>
        </w:rPr>
        <w:t>3.3. The nutritional paradox</w:t>
      </w:r>
    </w:p>
    <w:p w14:paraId="213D56A0" w14:textId="77777777" w:rsidR="00731D8C" w:rsidRPr="00731D8C" w:rsidRDefault="00731D8C" w:rsidP="007C0428">
      <w:pPr>
        <w:spacing w:before="100" w:beforeAutospacing="1" w:after="100" w:afterAutospacing="1"/>
        <w:outlineLvl w:val="3"/>
        <w:rPr>
          <w:rFonts w:ascii="Arial" w:hAnsi="Arial" w:cs="Arial"/>
          <w:b/>
          <w:bCs/>
          <w:lang w:eastAsia="fr-FR"/>
        </w:rPr>
      </w:pPr>
      <w:r w:rsidRPr="00731D8C">
        <w:rPr>
          <w:rFonts w:ascii="Arial" w:hAnsi="Arial" w:cs="Arial"/>
          <w:b/>
          <w:bCs/>
          <w:lang w:eastAsia="fr-FR"/>
        </w:rPr>
        <w:t xml:space="preserve"> 3.3.1. High visceral obesity coexisting with </w:t>
      </w:r>
      <w:proofErr w:type="spellStart"/>
      <w:r w:rsidRPr="00731D8C">
        <w:rPr>
          <w:rFonts w:ascii="Arial" w:hAnsi="Arial" w:cs="Arial"/>
          <w:b/>
          <w:bCs/>
          <w:lang w:eastAsia="fr-FR"/>
        </w:rPr>
        <w:t>muscl</w:t>
      </w:r>
      <w:proofErr w:type="spellEnd"/>
      <w:r w:rsidRPr="00731D8C">
        <w:rPr>
          <w:rFonts w:ascii="Arial" w:hAnsi="Arial" w:cs="Arial"/>
          <w:b/>
          <w:bCs/>
          <w:lang w:eastAsia="fr-FR"/>
        </w:rPr>
        <w:t xml:space="preserve"> mass depletion</w:t>
      </w:r>
    </w:p>
    <w:p w14:paraId="4930F92A"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Analysis of body composition via BIA unveiled a profound nutritional paradox that was obscured by standard anthropometry. While the majority of patients were classified as either normal weight or overweight based on their BMI, the BIA data painted a far more concerning picture.</w:t>
      </w:r>
    </w:p>
    <w:p w14:paraId="76D38D35"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Table 3 shows that, there was a high prevalence of visceral obesity, affecting 59.4% of men and 76.7% of women. This accumulation of metabolically active abdominal fat coexisted with clear evidence of severe protein depletion. A low protein index, was observed in 59.4% of men and a striking 82.9% of women. This combination of excess visceral adiposity and a deficit in muscle mass is characteristic of a sarcopenic obesity phenotype.</w:t>
      </w:r>
    </w:p>
    <w:p w14:paraId="2CDD1900"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As described above, Table 3 details the body composition of the patient cohort as determined by bioelectrical impedance analysis (BIA), stratified by sex. It contrasts the classifications from the standard Body Mass Index (BMI) with more precise metrics of adiposity and protein mass to unmask the underlying nutritional status.</w:t>
      </w:r>
    </w:p>
    <w:p w14:paraId="3914DA76"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b/>
          <w:bCs/>
          <w:lang w:eastAsia="fr-FR"/>
        </w:rPr>
        <w:t>Table 3: Body composition profile by sex, revealing a sarcopenic obesity phenotype (n=363)</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2984"/>
        <w:gridCol w:w="1329"/>
        <w:gridCol w:w="1619"/>
        <w:gridCol w:w="1246"/>
      </w:tblGrid>
      <w:tr w:rsidR="00731D8C" w:rsidRPr="00731D8C" w14:paraId="67E0316E" w14:textId="77777777" w:rsidTr="00537802">
        <w:tc>
          <w:tcPr>
            <w:tcW w:w="0" w:type="auto"/>
            <w:hideMark/>
          </w:tcPr>
          <w:p w14:paraId="700DA2F4"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Parameter</w:t>
            </w:r>
          </w:p>
        </w:tc>
        <w:tc>
          <w:tcPr>
            <w:tcW w:w="0" w:type="auto"/>
            <w:hideMark/>
          </w:tcPr>
          <w:p w14:paraId="56314C6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Category</w:t>
            </w:r>
          </w:p>
        </w:tc>
        <w:tc>
          <w:tcPr>
            <w:tcW w:w="0" w:type="auto"/>
            <w:hideMark/>
          </w:tcPr>
          <w:p w14:paraId="3C4DA6B9"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Men (n=234)</w:t>
            </w:r>
          </w:p>
        </w:tc>
        <w:tc>
          <w:tcPr>
            <w:tcW w:w="0" w:type="auto"/>
            <w:hideMark/>
          </w:tcPr>
          <w:p w14:paraId="0A01D8B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Women (n=129)</w:t>
            </w:r>
          </w:p>
        </w:tc>
        <w:tc>
          <w:tcPr>
            <w:tcW w:w="0" w:type="auto"/>
            <w:hideMark/>
          </w:tcPr>
          <w:p w14:paraId="03E44964"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p-value</w:t>
            </w:r>
          </w:p>
        </w:tc>
      </w:tr>
      <w:tr w:rsidR="00731D8C" w:rsidRPr="00731D8C" w14:paraId="5E46334D" w14:textId="77777777" w:rsidTr="00537802">
        <w:tc>
          <w:tcPr>
            <w:tcW w:w="0" w:type="auto"/>
            <w:hideMark/>
          </w:tcPr>
          <w:p w14:paraId="1ED53A54"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BMI</w:t>
            </w:r>
          </w:p>
        </w:tc>
        <w:tc>
          <w:tcPr>
            <w:tcW w:w="0" w:type="auto"/>
            <w:hideMark/>
          </w:tcPr>
          <w:p w14:paraId="752B7B89"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Overweight/Obese (≥25.0 kg/m²)</w:t>
            </w:r>
          </w:p>
        </w:tc>
        <w:tc>
          <w:tcPr>
            <w:tcW w:w="0" w:type="auto"/>
            <w:hideMark/>
          </w:tcPr>
          <w:p w14:paraId="202F1A80"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125 (53.4%)</w:t>
            </w:r>
          </w:p>
        </w:tc>
        <w:tc>
          <w:tcPr>
            <w:tcW w:w="0" w:type="auto"/>
            <w:hideMark/>
          </w:tcPr>
          <w:p w14:paraId="4A187159"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71 (55.0%)</w:t>
            </w:r>
          </w:p>
        </w:tc>
        <w:tc>
          <w:tcPr>
            <w:tcW w:w="0" w:type="auto"/>
            <w:hideMark/>
          </w:tcPr>
          <w:p w14:paraId="26C13CC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0.6929 (NS)</w:t>
            </w:r>
          </w:p>
        </w:tc>
      </w:tr>
      <w:tr w:rsidR="00731D8C" w:rsidRPr="00731D8C" w14:paraId="30E93955" w14:textId="77777777" w:rsidTr="00537802">
        <w:tc>
          <w:tcPr>
            <w:tcW w:w="0" w:type="auto"/>
            <w:hideMark/>
          </w:tcPr>
          <w:p w14:paraId="462AFEF8"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Visceral fat</w:t>
            </w:r>
          </w:p>
        </w:tc>
        <w:tc>
          <w:tcPr>
            <w:tcW w:w="0" w:type="auto"/>
            <w:hideMark/>
          </w:tcPr>
          <w:p w14:paraId="7A843C71"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Visceral obesity</w:t>
            </w:r>
          </w:p>
        </w:tc>
        <w:tc>
          <w:tcPr>
            <w:tcW w:w="0" w:type="auto"/>
            <w:hideMark/>
          </w:tcPr>
          <w:p w14:paraId="3E0FBEC6"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139 (59.4%)</w:t>
            </w:r>
          </w:p>
        </w:tc>
        <w:tc>
          <w:tcPr>
            <w:tcW w:w="0" w:type="auto"/>
            <w:hideMark/>
          </w:tcPr>
          <w:p w14:paraId="7D16985A"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99 (76.7%)</w:t>
            </w:r>
          </w:p>
        </w:tc>
        <w:tc>
          <w:tcPr>
            <w:tcW w:w="0" w:type="auto"/>
            <w:hideMark/>
          </w:tcPr>
          <w:p w14:paraId="66DFC082"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&lt;0.01</w:t>
            </w:r>
          </w:p>
        </w:tc>
      </w:tr>
      <w:tr w:rsidR="00731D8C" w:rsidRPr="00731D8C" w14:paraId="081081DF" w14:textId="77777777" w:rsidTr="00537802">
        <w:tc>
          <w:tcPr>
            <w:tcW w:w="0" w:type="auto"/>
            <w:hideMark/>
          </w:tcPr>
          <w:p w14:paraId="7E494040"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Skeletal muscle mass)</w:t>
            </w:r>
          </w:p>
        </w:tc>
        <w:tc>
          <w:tcPr>
            <w:tcW w:w="0" w:type="auto"/>
            <w:hideMark/>
          </w:tcPr>
          <w:p w14:paraId="5B32D74D"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Low (depletion)</w:t>
            </w:r>
          </w:p>
        </w:tc>
        <w:tc>
          <w:tcPr>
            <w:tcW w:w="0" w:type="auto"/>
            <w:hideMark/>
          </w:tcPr>
          <w:p w14:paraId="487A8F25"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158 (54.4%)</w:t>
            </w:r>
          </w:p>
        </w:tc>
        <w:tc>
          <w:tcPr>
            <w:tcW w:w="0" w:type="auto"/>
            <w:hideMark/>
          </w:tcPr>
          <w:p w14:paraId="20D2670B"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107 (82.9%)</w:t>
            </w:r>
          </w:p>
        </w:tc>
        <w:tc>
          <w:tcPr>
            <w:tcW w:w="0" w:type="auto"/>
            <w:hideMark/>
          </w:tcPr>
          <w:p w14:paraId="42C7DA5A"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&lt;0.001</w:t>
            </w:r>
          </w:p>
        </w:tc>
      </w:tr>
      <w:tr w:rsidR="00731D8C" w:rsidRPr="00731D8C" w14:paraId="3555DFE1" w14:textId="77777777" w:rsidTr="00537802">
        <w:tc>
          <w:tcPr>
            <w:tcW w:w="0" w:type="auto"/>
            <w:hideMark/>
          </w:tcPr>
          <w:p w14:paraId="7C52ECF3"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Body fat %</w:t>
            </w:r>
          </w:p>
        </w:tc>
        <w:tc>
          <w:tcPr>
            <w:tcW w:w="0" w:type="auto"/>
            <w:hideMark/>
          </w:tcPr>
          <w:p w14:paraId="1459152D"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Elevated</w:t>
            </w:r>
          </w:p>
        </w:tc>
        <w:tc>
          <w:tcPr>
            <w:tcW w:w="0" w:type="auto"/>
            <w:hideMark/>
          </w:tcPr>
          <w:p w14:paraId="388E0C3B"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63 (26.9%)</w:t>
            </w:r>
          </w:p>
        </w:tc>
        <w:tc>
          <w:tcPr>
            <w:tcW w:w="0" w:type="auto"/>
            <w:hideMark/>
          </w:tcPr>
          <w:p w14:paraId="3C7805B5"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79 (61.2%)</w:t>
            </w:r>
          </w:p>
        </w:tc>
        <w:tc>
          <w:tcPr>
            <w:tcW w:w="0" w:type="auto"/>
            <w:hideMark/>
          </w:tcPr>
          <w:p w14:paraId="637FB529"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&lt;0.001</w:t>
            </w:r>
          </w:p>
        </w:tc>
      </w:tr>
    </w:tbl>
    <w:p w14:paraId="3A7A897D"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bCs/>
          <w:lang w:eastAsia="fr-FR"/>
        </w:rPr>
        <w:t>Table 3</w:t>
      </w:r>
      <w:r w:rsidRPr="00731D8C">
        <w:rPr>
          <w:rFonts w:ascii="Arial" w:hAnsi="Arial" w:cs="Arial"/>
          <w:lang w:eastAsia="fr-FR"/>
        </w:rPr>
        <w:t xml:space="preserve"> uncovers a critical nutritional paradox that is entirely obscured by the Body Mass Index (BMI). While over half of the cohort falls into the "overweight" or "obese" BMI categories, the BIA data reveals a more dangerous underlying phenotype : </w:t>
      </w:r>
      <w:r w:rsidRPr="00731D8C">
        <w:rPr>
          <w:rFonts w:ascii="Arial" w:hAnsi="Arial" w:cs="Arial"/>
          <w:bCs/>
          <w:lang w:eastAsia="fr-FR"/>
        </w:rPr>
        <w:t>sarcopenic obesity</w:t>
      </w:r>
      <w:r w:rsidRPr="00731D8C">
        <w:rPr>
          <w:rFonts w:ascii="Arial" w:hAnsi="Arial" w:cs="Arial"/>
          <w:lang w:eastAsia="fr-FR"/>
        </w:rPr>
        <w:t xml:space="preserve">. This is characterized by the coexistence of high visceral adiposity and severe </w:t>
      </w:r>
      <w:proofErr w:type="spellStart"/>
      <w:r w:rsidRPr="00731D8C">
        <w:rPr>
          <w:rFonts w:ascii="Arial" w:hAnsi="Arial" w:cs="Arial"/>
          <w:lang w:eastAsia="fr-FR"/>
        </w:rPr>
        <w:t>muscl</w:t>
      </w:r>
      <w:proofErr w:type="spellEnd"/>
      <w:r w:rsidRPr="00731D8C">
        <w:rPr>
          <w:rFonts w:ascii="Arial" w:hAnsi="Arial" w:cs="Arial"/>
          <w:lang w:eastAsia="fr-FR"/>
        </w:rPr>
        <w:t xml:space="preserve"> mass depletion. The prevalence of visceral obesity is high, affecting 59.4% of men and soaring to 76.7% in women. Simultaneously, a low SMM, indicating significant muscle and protein loss, was identified in 59.4% of men and a striking 82.9% of women. This "double burden" of malnutrition is particularly pernicious, as visceral fat is a key driver of systemic inflammation and insulin resistance, while sarcopenia compromises functional capacity and is an independent predictor of poor outcomes in liver disease. The highly significant gender disparities, with women exhibiting worse profiles for both visceral obesity and protein depletion, underscore their heightened vulnerability. These findings powerfully demonstrate the inadequacy of BMI in this clinical context and advocate for the systematic use of body composition analysis to accurately assess metabolic risk.</w:t>
      </w:r>
    </w:p>
    <w:p w14:paraId="09F95695" w14:textId="77777777" w:rsidR="00731D8C" w:rsidRPr="00731D8C" w:rsidRDefault="00731D8C" w:rsidP="007C0428">
      <w:pPr>
        <w:spacing w:before="100" w:beforeAutospacing="1" w:after="100" w:afterAutospacing="1"/>
        <w:outlineLvl w:val="3"/>
        <w:rPr>
          <w:rFonts w:ascii="Arial" w:hAnsi="Arial" w:cs="Arial"/>
          <w:b/>
          <w:bCs/>
          <w:lang w:eastAsia="fr-FR"/>
        </w:rPr>
      </w:pPr>
      <w:r w:rsidRPr="00731D8C">
        <w:rPr>
          <w:rFonts w:ascii="Arial" w:hAnsi="Arial" w:cs="Arial"/>
          <w:b/>
          <w:bCs/>
          <w:lang w:eastAsia="fr-FR"/>
        </w:rPr>
        <w:t>3.3.2. Signature of a pro-inflammatory dietary pattern</w:t>
      </w:r>
    </w:p>
    <w:p w14:paraId="3D7B4142"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lastRenderedPageBreak/>
        <w:t xml:space="preserve">The dietary assessment identified a consistent and potentially deleterious food consumption signature across the cohort. Key findings </w:t>
      </w:r>
      <w:r w:rsidR="0067382D" w:rsidRPr="00731D8C">
        <w:rPr>
          <w:rFonts w:ascii="Arial" w:hAnsi="Arial" w:cs="Arial"/>
          <w:lang w:eastAsia="fr-FR"/>
        </w:rPr>
        <w:t>included:</w:t>
      </w:r>
    </w:p>
    <w:p w14:paraId="3C83647B" w14:textId="7D3C09D6" w:rsidR="00731D8C" w:rsidRPr="00DF784C" w:rsidRDefault="00731D8C" w:rsidP="007C0428">
      <w:pPr>
        <w:pStyle w:val="ListParagraph"/>
        <w:numPr>
          <w:ilvl w:val="0"/>
          <w:numId w:val="31"/>
        </w:numPr>
        <w:spacing w:before="100" w:beforeAutospacing="1" w:after="100" w:afterAutospacing="1"/>
        <w:rPr>
          <w:rFonts w:ascii="Arial" w:eastAsia="Times New Roman" w:hAnsi="Arial" w:cs="Arial"/>
          <w:sz w:val="20"/>
          <w:szCs w:val="20"/>
          <w:lang w:eastAsia="fr-FR"/>
        </w:rPr>
      </w:pPr>
      <w:r w:rsidRPr="00731D8C">
        <w:rPr>
          <w:rFonts w:ascii="Arial" w:eastAsia="Times New Roman" w:hAnsi="Arial" w:cs="Arial"/>
          <w:bCs/>
          <w:sz w:val="20"/>
          <w:szCs w:val="20"/>
          <w:lang w:eastAsia="fr-FR"/>
        </w:rPr>
        <w:t xml:space="preserve">High sodium and additive </w:t>
      </w:r>
      <w:proofErr w:type="spellStart"/>
      <w:r w:rsidRPr="00731D8C">
        <w:rPr>
          <w:rFonts w:ascii="Arial" w:eastAsia="Times New Roman" w:hAnsi="Arial" w:cs="Arial"/>
          <w:bCs/>
          <w:sz w:val="20"/>
          <w:szCs w:val="20"/>
          <w:lang w:eastAsia="fr-FR"/>
        </w:rPr>
        <w:t>intake</w:t>
      </w:r>
      <w:proofErr w:type="spellEnd"/>
      <w:r w:rsidRPr="00731D8C">
        <w:rPr>
          <w:rFonts w:ascii="Arial" w:eastAsia="Times New Roman" w:hAnsi="Arial" w:cs="Arial"/>
          <w:bCs/>
          <w:sz w:val="20"/>
          <w:szCs w:val="20"/>
          <w:lang w:eastAsia="fr-FR"/>
        </w:rPr>
        <w:t xml:space="preserve"> :</w:t>
      </w:r>
      <w:r w:rsidRPr="00731D8C">
        <w:rPr>
          <w:rFonts w:ascii="Arial" w:eastAsia="Times New Roman" w:hAnsi="Arial" w:cs="Arial"/>
          <w:sz w:val="20"/>
          <w:szCs w:val="20"/>
          <w:lang w:eastAsia="fr-FR"/>
        </w:rPr>
        <w:t xml:space="preserve"> The use of </w:t>
      </w:r>
      <w:proofErr w:type="spellStart"/>
      <w:r w:rsidRPr="00731D8C">
        <w:rPr>
          <w:rFonts w:ascii="Arial" w:eastAsia="Times New Roman" w:hAnsi="Arial" w:cs="Arial"/>
          <w:sz w:val="20"/>
          <w:szCs w:val="20"/>
          <w:lang w:eastAsia="fr-FR"/>
        </w:rPr>
        <w:t>industrial</w:t>
      </w:r>
      <w:proofErr w:type="spellEnd"/>
      <w:r w:rsidRPr="00731D8C">
        <w:rPr>
          <w:rFonts w:ascii="Arial" w:eastAsia="Times New Roman" w:hAnsi="Arial" w:cs="Arial"/>
          <w:sz w:val="20"/>
          <w:szCs w:val="20"/>
          <w:lang w:eastAsia="fr-FR"/>
        </w:rPr>
        <w:t xml:space="preserve"> bouillon cubes </w:t>
      </w:r>
      <w:proofErr w:type="spellStart"/>
      <w:r w:rsidRPr="00731D8C">
        <w:rPr>
          <w:rFonts w:ascii="Arial" w:eastAsia="Times New Roman" w:hAnsi="Arial" w:cs="Arial"/>
          <w:sz w:val="20"/>
          <w:szCs w:val="20"/>
          <w:lang w:eastAsia="fr-FR"/>
        </w:rPr>
        <w:t>was</w:t>
      </w:r>
      <w:proofErr w:type="spellEnd"/>
      <w:r w:rsidRPr="00731D8C">
        <w:rPr>
          <w:rFonts w:ascii="Arial" w:eastAsia="Times New Roman" w:hAnsi="Arial" w:cs="Arial"/>
          <w:sz w:val="20"/>
          <w:szCs w:val="20"/>
          <w:lang w:eastAsia="fr-FR"/>
        </w:rPr>
        <w:t xml:space="preserve"> quasi-</w:t>
      </w:r>
      <w:proofErr w:type="spellStart"/>
      <w:r w:rsidRPr="00731D8C">
        <w:rPr>
          <w:rFonts w:ascii="Arial" w:eastAsia="Times New Roman" w:hAnsi="Arial" w:cs="Arial"/>
          <w:sz w:val="20"/>
          <w:szCs w:val="20"/>
          <w:lang w:eastAsia="fr-FR"/>
        </w:rPr>
        <w:t>universal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reported</w:t>
      </w:r>
      <w:proofErr w:type="spellEnd"/>
      <w:r w:rsidRPr="00731D8C">
        <w:rPr>
          <w:rFonts w:ascii="Arial" w:eastAsia="Times New Roman" w:hAnsi="Arial" w:cs="Arial"/>
          <w:sz w:val="20"/>
          <w:szCs w:val="20"/>
          <w:lang w:eastAsia="fr-FR"/>
        </w:rPr>
        <w:t xml:space="preserve"> by 86.3% of men and 93.8% of </w:t>
      </w:r>
      <w:proofErr w:type="spellStart"/>
      <w:r w:rsidRPr="00731D8C">
        <w:rPr>
          <w:rFonts w:ascii="Arial" w:eastAsia="Times New Roman" w:hAnsi="Arial" w:cs="Arial"/>
          <w:sz w:val="20"/>
          <w:szCs w:val="20"/>
          <w:lang w:eastAsia="fr-FR"/>
        </w:rPr>
        <w:t>women</w:t>
      </w:r>
      <w:proofErr w:type="spellEnd"/>
      <w:r w:rsidRPr="00731D8C">
        <w:rPr>
          <w:rFonts w:ascii="Arial" w:eastAsia="Times New Roman" w:hAnsi="Arial" w:cs="Arial"/>
          <w:sz w:val="20"/>
          <w:szCs w:val="20"/>
          <w:lang w:eastAsia="fr-FR"/>
        </w:rPr>
        <w:t xml:space="preserve"> as a </w:t>
      </w:r>
      <w:proofErr w:type="spellStart"/>
      <w:r w:rsidRPr="00731D8C">
        <w:rPr>
          <w:rFonts w:ascii="Arial" w:eastAsia="Times New Roman" w:hAnsi="Arial" w:cs="Arial"/>
          <w:sz w:val="20"/>
          <w:szCs w:val="20"/>
          <w:lang w:eastAsia="fr-FR"/>
        </w:rPr>
        <w:t>primary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seasoning</w:t>
      </w:r>
      <w:proofErr w:type="spellEnd"/>
      <w:r w:rsidRPr="00731D8C">
        <w:rPr>
          <w:rFonts w:ascii="Arial" w:eastAsia="Times New Roman" w:hAnsi="Arial" w:cs="Arial"/>
          <w:sz w:val="20"/>
          <w:szCs w:val="20"/>
          <w:lang w:eastAsia="fr-FR"/>
        </w:rPr>
        <w:t xml:space="preserve"> agent.</w:t>
      </w:r>
      <w:r w:rsidR="00DF784C">
        <w:rPr>
          <w:rFonts w:ascii="Arial" w:eastAsia="Times New Roman" w:hAnsi="Arial" w:cs="Arial"/>
          <w:sz w:val="20"/>
          <w:szCs w:val="20"/>
          <w:lang w:eastAsia="fr-FR"/>
        </w:rPr>
        <w:t xml:space="preserve"> </w:t>
      </w:r>
      <w:r w:rsidR="00DF784C" w:rsidRPr="00DF784C">
        <w:rPr>
          <w:rFonts w:ascii="Arial" w:eastAsia="Times New Roman" w:hAnsi="Arial" w:cs="Arial"/>
          <w:sz w:val="20"/>
          <w:szCs w:val="20"/>
          <w:highlight w:val="cyan"/>
          <w:lang w:eastAsia="fr-FR"/>
        </w:rPr>
        <w:t xml:space="preserve">The composition of a </w:t>
      </w:r>
      <w:proofErr w:type="spellStart"/>
      <w:r w:rsidR="00DF784C" w:rsidRPr="00DF784C">
        <w:rPr>
          <w:rFonts w:ascii="Arial" w:eastAsia="Times New Roman" w:hAnsi="Arial" w:cs="Arial"/>
          <w:sz w:val="20"/>
          <w:szCs w:val="20"/>
          <w:highlight w:val="cyan"/>
          <w:lang w:eastAsia="fr-FR"/>
        </w:rPr>
        <w:t>typical</w:t>
      </w:r>
      <w:proofErr w:type="spellEnd"/>
      <w:r w:rsidR="00DF784C" w:rsidRPr="00DF784C">
        <w:rPr>
          <w:rFonts w:ascii="Arial" w:eastAsia="Times New Roman" w:hAnsi="Arial" w:cs="Arial"/>
          <w:sz w:val="20"/>
          <w:szCs w:val="20"/>
          <w:highlight w:val="cyan"/>
          <w:lang w:eastAsia="fr-FR"/>
        </w:rPr>
        <w:t xml:space="preserve"> bouillon cube, </w:t>
      </w:r>
      <w:proofErr w:type="spellStart"/>
      <w:r w:rsidR="00DF784C" w:rsidRPr="00DF784C">
        <w:rPr>
          <w:rFonts w:ascii="Arial" w:eastAsia="Times New Roman" w:hAnsi="Arial" w:cs="Arial"/>
          <w:sz w:val="20"/>
          <w:szCs w:val="20"/>
          <w:highlight w:val="cyan"/>
          <w:lang w:eastAsia="fr-FR"/>
        </w:rPr>
        <w:t>based</w:t>
      </w:r>
      <w:proofErr w:type="spellEnd"/>
      <w:r w:rsidR="00DF784C" w:rsidRPr="00DF784C">
        <w:rPr>
          <w:rFonts w:ascii="Arial" w:eastAsia="Times New Roman" w:hAnsi="Arial" w:cs="Arial"/>
          <w:sz w:val="20"/>
          <w:szCs w:val="20"/>
          <w:highlight w:val="cyan"/>
          <w:lang w:eastAsia="fr-FR"/>
        </w:rPr>
        <w:t xml:space="preserve"> on a single 4-gram cube, </w:t>
      </w:r>
      <w:proofErr w:type="spellStart"/>
      <w:r w:rsidR="00DF784C" w:rsidRPr="00DF784C">
        <w:rPr>
          <w:rFonts w:ascii="Arial" w:eastAsia="Times New Roman" w:hAnsi="Arial" w:cs="Arial"/>
          <w:sz w:val="20"/>
          <w:szCs w:val="20"/>
          <w:highlight w:val="cyan"/>
          <w:lang w:eastAsia="fr-FR"/>
        </w:rPr>
        <w:t>is</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dominated</w:t>
      </w:r>
      <w:proofErr w:type="spellEnd"/>
      <w:r w:rsidR="00DF784C" w:rsidRPr="00DF784C">
        <w:rPr>
          <w:rFonts w:ascii="Arial" w:eastAsia="Times New Roman" w:hAnsi="Arial" w:cs="Arial"/>
          <w:sz w:val="20"/>
          <w:szCs w:val="20"/>
          <w:highlight w:val="cyan"/>
          <w:lang w:eastAsia="fr-FR"/>
        </w:rPr>
        <w:t xml:space="preserve"> by </w:t>
      </w:r>
      <w:proofErr w:type="spellStart"/>
      <w:r w:rsidR="00DF784C" w:rsidRPr="00DF784C">
        <w:rPr>
          <w:rFonts w:ascii="Arial" w:eastAsia="Times New Roman" w:hAnsi="Arial" w:cs="Arial"/>
          <w:sz w:val="20"/>
          <w:szCs w:val="20"/>
          <w:highlight w:val="cyan"/>
          <w:lang w:eastAsia="fr-FR"/>
        </w:rPr>
        <w:t>salt</w:t>
      </w:r>
      <w:proofErr w:type="spellEnd"/>
      <w:r w:rsidR="00DF784C" w:rsidRPr="00DF784C">
        <w:rPr>
          <w:rFonts w:ascii="Arial" w:eastAsia="Times New Roman" w:hAnsi="Arial" w:cs="Arial"/>
          <w:sz w:val="20"/>
          <w:szCs w:val="20"/>
          <w:highlight w:val="cyan"/>
          <w:lang w:eastAsia="fr-FR"/>
        </w:rPr>
        <w:t xml:space="preserve"> at 52.9%. </w:t>
      </w:r>
      <w:proofErr w:type="spellStart"/>
      <w:r w:rsidR="00DF784C" w:rsidRPr="00DF784C">
        <w:rPr>
          <w:rFonts w:ascii="Arial" w:eastAsia="Times New Roman" w:hAnsi="Arial" w:cs="Arial"/>
          <w:sz w:val="20"/>
          <w:szCs w:val="20"/>
          <w:highlight w:val="cyan"/>
          <w:lang w:eastAsia="fr-FR"/>
        </w:rPr>
        <w:t>Other</w:t>
      </w:r>
      <w:proofErr w:type="spellEnd"/>
      <w:r w:rsidR="00DF784C" w:rsidRPr="00DF784C">
        <w:rPr>
          <w:rFonts w:ascii="Arial" w:eastAsia="Times New Roman" w:hAnsi="Arial" w:cs="Arial"/>
          <w:sz w:val="20"/>
          <w:szCs w:val="20"/>
          <w:highlight w:val="cyan"/>
          <w:lang w:eastAsia="fr-FR"/>
        </w:rPr>
        <w:t xml:space="preserve"> major components </w:t>
      </w:r>
      <w:proofErr w:type="spellStart"/>
      <w:r w:rsidR="00DF784C" w:rsidRPr="00DF784C">
        <w:rPr>
          <w:rFonts w:ascii="Arial" w:eastAsia="Times New Roman" w:hAnsi="Arial" w:cs="Arial"/>
          <w:sz w:val="20"/>
          <w:szCs w:val="20"/>
          <w:highlight w:val="cyan"/>
          <w:lang w:eastAsia="fr-FR"/>
        </w:rPr>
        <w:t>include</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sugar</w:t>
      </w:r>
      <w:proofErr w:type="spellEnd"/>
      <w:r w:rsidR="00DF784C" w:rsidRPr="00DF784C">
        <w:rPr>
          <w:rFonts w:ascii="Arial" w:eastAsia="Times New Roman" w:hAnsi="Arial" w:cs="Arial"/>
          <w:sz w:val="20"/>
          <w:szCs w:val="20"/>
          <w:highlight w:val="cyan"/>
          <w:lang w:eastAsia="fr-FR"/>
        </w:rPr>
        <w:t xml:space="preserve"> (12.5%), corn </w:t>
      </w:r>
      <w:proofErr w:type="spellStart"/>
      <w:r w:rsidR="00DF784C" w:rsidRPr="00DF784C">
        <w:rPr>
          <w:rFonts w:ascii="Arial" w:eastAsia="Times New Roman" w:hAnsi="Arial" w:cs="Arial"/>
          <w:sz w:val="20"/>
          <w:szCs w:val="20"/>
          <w:highlight w:val="cyan"/>
          <w:lang w:eastAsia="fr-FR"/>
        </w:rPr>
        <w:t>protein</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hydrolysate</w:t>
      </w:r>
      <w:proofErr w:type="spellEnd"/>
      <w:r w:rsidR="00DF784C" w:rsidRPr="00DF784C">
        <w:rPr>
          <w:rFonts w:ascii="Arial" w:eastAsia="Times New Roman" w:hAnsi="Arial" w:cs="Arial"/>
          <w:sz w:val="20"/>
          <w:szCs w:val="20"/>
          <w:highlight w:val="cyan"/>
          <w:lang w:eastAsia="fr-FR"/>
        </w:rPr>
        <w:t xml:space="preserve"> (11%), and </w:t>
      </w:r>
      <w:proofErr w:type="spellStart"/>
      <w:r w:rsidR="00DF784C" w:rsidRPr="00DF784C">
        <w:rPr>
          <w:rFonts w:ascii="Arial" w:eastAsia="Times New Roman" w:hAnsi="Arial" w:cs="Arial"/>
          <w:sz w:val="20"/>
          <w:szCs w:val="20"/>
          <w:highlight w:val="cyan"/>
          <w:lang w:eastAsia="fr-FR"/>
        </w:rPr>
        <w:t>monosodium</w:t>
      </w:r>
      <w:proofErr w:type="spellEnd"/>
      <w:r w:rsidR="00DF784C" w:rsidRPr="00DF784C">
        <w:rPr>
          <w:rFonts w:ascii="Arial" w:eastAsia="Times New Roman" w:hAnsi="Arial" w:cs="Arial"/>
          <w:sz w:val="20"/>
          <w:szCs w:val="20"/>
          <w:highlight w:val="cyan"/>
          <w:lang w:eastAsia="fr-FR"/>
        </w:rPr>
        <w:t xml:space="preserve"> glutamate (5.5%</w:t>
      </w:r>
      <w:proofErr w:type="gramStart"/>
      <w:r w:rsidR="00DF784C" w:rsidRPr="00DF784C">
        <w:rPr>
          <w:rFonts w:ascii="Arial" w:eastAsia="Times New Roman" w:hAnsi="Arial" w:cs="Arial"/>
          <w:sz w:val="20"/>
          <w:szCs w:val="20"/>
          <w:highlight w:val="cyan"/>
          <w:lang w:eastAsia="fr-FR"/>
        </w:rPr>
        <w:t>).The</w:t>
      </w:r>
      <w:proofErr w:type="gram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nutritional</w:t>
      </w:r>
      <w:proofErr w:type="spellEnd"/>
      <w:r w:rsidR="00DF784C" w:rsidRPr="00DF784C">
        <w:rPr>
          <w:rFonts w:ascii="Arial" w:eastAsia="Times New Roman" w:hAnsi="Arial" w:cs="Arial"/>
          <w:sz w:val="20"/>
          <w:szCs w:val="20"/>
          <w:highlight w:val="cyan"/>
          <w:lang w:eastAsia="fr-FR"/>
        </w:rPr>
        <w:t xml:space="preserve"> breakdown per cube shows </w:t>
      </w:r>
      <w:proofErr w:type="spellStart"/>
      <w:r w:rsidR="00DF784C" w:rsidRPr="00DF784C">
        <w:rPr>
          <w:rFonts w:ascii="Arial" w:eastAsia="Times New Roman" w:hAnsi="Arial" w:cs="Arial"/>
          <w:sz w:val="20"/>
          <w:szCs w:val="20"/>
          <w:highlight w:val="cyan"/>
          <w:lang w:eastAsia="fr-FR"/>
        </w:rPr>
        <w:t>that</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it</w:t>
      </w:r>
      <w:proofErr w:type="spellEnd"/>
      <w:r w:rsidR="00DF784C" w:rsidRPr="00DF784C">
        <w:rPr>
          <w:rFonts w:ascii="Arial" w:eastAsia="Times New Roman" w:hAnsi="Arial" w:cs="Arial"/>
          <w:sz w:val="20"/>
          <w:szCs w:val="20"/>
          <w:highlight w:val="cyan"/>
          <w:lang w:eastAsia="fr-FR"/>
        </w:rPr>
        <w:t xml:space="preserve"> </w:t>
      </w:r>
      <w:proofErr w:type="spellStart"/>
      <w:r w:rsidR="00DF784C" w:rsidRPr="00DF784C">
        <w:rPr>
          <w:rFonts w:ascii="Arial" w:eastAsia="Times New Roman" w:hAnsi="Arial" w:cs="Arial"/>
          <w:sz w:val="20"/>
          <w:szCs w:val="20"/>
          <w:highlight w:val="cyan"/>
          <w:lang w:eastAsia="fr-FR"/>
        </w:rPr>
        <w:t>provides</w:t>
      </w:r>
      <w:proofErr w:type="spellEnd"/>
      <w:r w:rsidR="00DF784C" w:rsidRPr="00DF784C">
        <w:rPr>
          <w:rFonts w:ascii="Arial" w:eastAsia="Times New Roman" w:hAnsi="Arial" w:cs="Arial"/>
          <w:sz w:val="20"/>
          <w:szCs w:val="20"/>
          <w:highlight w:val="cyan"/>
          <w:lang w:eastAsia="fr-FR"/>
        </w:rPr>
        <w:t xml:space="preserve"> 125 kcal or 523 kJ of </w:t>
      </w:r>
      <w:proofErr w:type="spellStart"/>
      <w:r w:rsidR="00DF784C" w:rsidRPr="00DF784C">
        <w:rPr>
          <w:rFonts w:ascii="Arial" w:eastAsia="Times New Roman" w:hAnsi="Arial" w:cs="Arial"/>
          <w:sz w:val="20"/>
          <w:szCs w:val="20"/>
          <w:highlight w:val="cyan"/>
          <w:lang w:eastAsia="fr-FR"/>
        </w:rPr>
        <w:t>energy</w:t>
      </w:r>
      <w:proofErr w:type="spellEnd"/>
      <w:r w:rsidR="00DF784C" w:rsidRPr="00DF784C">
        <w:rPr>
          <w:rFonts w:ascii="Arial" w:eastAsia="Times New Roman" w:hAnsi="Arial" w:cs="Arial"/>
          <w:sz w:val="20"/>
          <w:szCs w:val="20"/>
          <w:highlight w:val="cyan"/>
          <w:lang w:eastAsia="fr-FR"/>
        </w:rPr>
        <w:t xml:space="preserve">. It </w:t>
      </w:r>
      <w:proofErr w:type="spellStart"/>
      <w:r w:rsidR="00DF784C" w:rsidRPr="00DF784C">
        <w:rPr>
          <w:rFonts w:ascii="Arial" w:eastAsia="Times New Roman" w:hAnsi="Arial" w:cs="Arial"/>
          <w:sz w:val="20"/>
          <w:szCs w:val="20"/>
          <w:highlight w:val="cyan"/>
          <w:lang w:eastAsia="fr-FR"/>
        </w:rPr>
        <w:t>contains</w:t>
      </w:r>
      <w:proofErr w:type="spellEnd"/>
      <w:r w:rsidR="00DF784C" w:rsidRPr="00DF784C">
        <w:rPr>
          <w:rFonts w:ascii="Arial" w:eastAsia="Times New Roman" w:hAnsi="Arial" w:cs="Arial"/>
          <w:sz w:val="20"/>
          <w:szCs w:val="20"/>
          <w:highlight w:val="cyan"/>
          <w:lang w:eastAsia="fr-FR"/>
        </w:rPr>
        <w:t xml:space="preserve"> no fat, </w:t>
      </w:r>
      <w:proofErr w:type="spellStart"/>
      <w:r w:rsidR="00DF784C" w:rsidRPr="00DF784C">
        <w:rPr>
          <w:rFonts w:ascii="Arial" w:eastAsia="Times New Roman" w:hAnsi="Arial" w:cs="Arial"/>
          <w:sz w:val="20"/>
          <w:szCs w:val="20"/>
          <w:highlight w:val="cyan"/>
          <w:lang w:eastAsia="fr-FR"/>
        </w:rPr>
        <w:t>protein</w:t>
      </w:r>
      <w:proofErr w:type="spellEnd"/>
      <w:r w:rsidR="00DF784C" w:rsidRPr="00DF784C">
        <w:rPr>
          <w:rFonts w:ascii="Arial" w:eastAsia="Times New Roman" w:hAnsi="Arial" w:cs="Arial"/>
          <w:sz w:val="20"/>
          <w:szCs w:val="20"/>
          <w:highlight w:val="cyan"/>
          <w:lang w:eastAsia="fr-FR"/>
        </w:rPr>
        <w:t xml:space="preserve">, or </w:t>
      </w:r>
      <w:proofErr w:type="spellStart"/>
      <w:r w:rsidR="00DF784C" w:rsidRPr="00DF784C">
        <w:rPr>
          <w:rFonts w:ascii="Arial" w:eastAsia="Times New Roman" w:hAnsi="Arial" w:cs="Arial"/>
          <w:sz w:val="20"/>
          <w:szCs w:val="20"/>
          <w:highlight w:val="cyan"/>
          <w:lang w:eastAsia="fr-FR"/>
        </w:rPr>
        <w:t>cholesterol</w:t>
      </w:r>
      <w:proofErr w:type="spellEnd"/>
      <w:r w:rsidR="00DF784C" w:rsidRPr="00DF784C">
        <w:rPr>
          <w:rFonts w:ascii="Arial" w:eastAsia="Times New Roman" w:hAnsi="Arial" w:cs="Arial"/>
          <w:sz w:val="20"/>
          <w:szCs w:val="20"/>
          <w:highlight w:val="cyan"/>
          <w:lang w:eastAsia="fr-FR"/>
        </w:rPr>
        <w:t xml:space="preserve"> (0 g). Carbohydrates </w:t>
      </w:r>
      <w:proofErr w:type="spellStart"/>
      <w:r w:rsidR="00DF784C" w:rsidRPr="00DF784C">
        <w:rPr>
          <w:rFonts w:ascii="Arial" w:eastAsia="Times New Roman" w:hAnsi="Arial" w:cs="Arial"/>
          <w:sz w:val="20"/>
          <w:szCs w:val="20"/>
          <w:highlight w:val="cyan"/>
          <w:lang w:eastAsia="fr-FR"/>
        </w:rPr>
        <w:t>make</w:t>
      </w:r>
      <w:proofErr w:type="spellEnd"/>
      <w:r w:rsidR="00DF784C" w:rsidRPr="00DF784C">
        <w:rPr>
          <w:rFonts w:ascii="Arial" w:eastAsia="Times New Roman" w:hAnsi="Arial" w:cs="Arial"/>
          <w:sz w:val="20"/>
          <w:szCs w:val="20"/>
          <w:highlight w:val="cyan"/>
          <w:lang w:eastAsia="fr-FR"/>
        </w:rPr>
        <w:t xml:space="preserve"> up 25 g of the cube, all of </w:t>
      </w:r>
      <w:proofErr w:type="spellStart"/>
      <w:r w:rsidR="00DF784C" w:rsidRPr="00DF784C">
        <w:rPr>
          <w:rFonts w:ascii="Arial" w:eastAsia="Times New Roman" w:hAnsi="Arial" w:cs="Arial"/>
          <w:sz w:val="20"/>
          <w:szCs w:val="20"/>
          <w:highlight w:val="cyan"/>
          <w:lang w:eastAsia="fr-FR"/>
        </w:rPr>
        <w:t>which</w:t>
      </w:r>
      <w:proofErr w:type="spellEnd"/>
      <w:r w:rsidR="00DF784C" w:rsidRPr="00DF784C">
        <w:rPr>
          <w:rFonts w:ascii="Arial" w:eastAsia="Times New Roman" w:hAnsi="Arial" w:cs="Arial"/>
          <w:sz w:val="20"/>
          <w:szCs w:val="20"/>
          <w:highlight w:val="cyan"/>
          <w:lang w:eastAsia="fr-FR"/>
        </w:rPr>
        <w:t xml:space="preserve"> are </w:t>
      </w:r>
      <w:proofErr w:type="spellStart"/>
      <w:r w:rsidR="00DF784C" w:rsidRPr="00DF784C">
        <w:rPr>
          <w:rFonts w:ascii="Arial" w:eastAsia="Times New Roman" w:hAnsi="Arial" w:cs="Arial"/>
          <w:sz w:val="20"/>
          <w:szCs w:val="20"/>
          <w:highlight w:val="cyan"/>
          <w:lang w:eastAsia="fr-FR"/>
        </w:rPr>
        <w:t>sugars</w:t>
      </w:r>
      <w:proofErr w:type="spellEnd"/>
      <w:r w:rsidR="00DF784C" w:rsidRPr="00DF784C">
        <w:rPr>
          <w:rFonts w:ascii="Arial" w:eastAsia="Times New Roman" w:hAnsi="Arial" w:cs="Arial"/>
          <w:sz w:val="20"/>
          <w:szCs w:val="20"/>
          <w:highlight w:val="cyan"/>
          <w:lang w:eastAsia="fr-FR"/>
        </w:rPr>
        <w:t xml:space="preserve">. The total </w:t>
      </w:r>
      <w:proofErr w:type="spellStart"/>
      <w:r w:rsidR="00DF784C" w:rsidRPr="00DF784C">
        <w:rPr>
          <w:rFonts w:ascii="Arial" w:eastAsia="Times New Roman" w:hAnsi="Arial" w:cs="Arial"/>
          <w:sz w:val="20"/>
          <w:szCs w:val="20"/>
          <w:highlight w:val="cyan"/>
          <w:lang w:eastAsia="fr-FR"/>
        </w:rPr>
        <w:t>salt</w:t>
      </w:r>
      <w:proofErr w:type="spellEnd"/>
      <w:r w:rsidR="00DF784C" w:rsidRPr="00DF784C">
        <w:rPr>
          <w:rFonts w:ascii="Arial" w:eastAsia="Times New Roman" w:hAnsi="Arial" w:cs="Arial"/>
          <w:sz w:val="20"/>
          <w:szCs w:val="20"/>
          <w:highlight w:val="cyan"/>
          <w:lang w:eastAsia="fr-FR"/>
        </w:rPr>
        <w:t xml:space="preserve"> content </w:t>
      </w:r>
      <w:proofErr w:type="spellStart"/>
      <w:r w:rsidR="00DF784C" w:rsidRPr="00DF784C">
        <w:rPr>
          <w:rFonts w:ascii="Arial" w:eastAsia="Times New Roman" w:hAnsi="Arial" w:cs="Arial"/>
          <w:sz w:val="20"/>
          <w:szCs w:val="20"/>
          <w:highlight w:val="cyan"/>
          <w:lang w:eastAsia="fr-FR"/>
        </w:rPr>
        <w:t>is</w:t>
      </w:r>
      <w:proofErr w:type="spellEnd"/>
      <w:r w:rsidR="00DF784C" w:rsidRPr="00DF784C">
        <w:rPr>
          <w:rFonts w:ascii="Arial" w:eastAsia="Times New Roman" w:hAnsi="Arial" w:cs="Arial"/>
          <w:sz w:val="20"/>
          <w:szCs w:val="20"/>
          <w:highlight w:val="cyan"/>
          <w:lang w:eastAsia="fr-FR"/>
        </w:rPr>
        <w:t xml:space="preserve"> 60 g, </w:t>
      </w:r>
      <w:proofErr w:type="spellStart"/>
      <w:r w:rsidR="00DF784C" w:rsidRPr="00DF784C">
        <w:rPr>
          <w:rFonts w:ascii="Arial" w:eastAsia="Times New Roman" w:hAnsi="Arial" w:cs="Arial"/>
          <w:sz w:val="20"/>
          <w:szCs w:val="20"/>
          <w:highlight w:val="cyan"/>
          <w:lang w:eastAsia="fr-FR"/>
        </w:rPr>
        <w:t>which</w:t>
      </w:r>
      <w:proofErr w:type="spellEnd"/>
      <w:r w:rsidR="00DF784C" w:rsidRPr="00DF784C">
        <w:rPr>
          <w:rFonts w:ascii="Arial" w:eastAsia="Times New Roman" w:hAnsi="Arial" w:cs="Arial"/>
          <w:sz w:val="20"/>
          <w:szCs w:val="20"/>
          <w:highlight w:val="cyan"/>
          <w:lang w:eastAsia="fr-FR"/>
        </w:rPr>
        <w:t xml:space="preserve"> translates to </w:t>
      </w:r>
      <w:proofErr w:type="spellStart"/>
      <w:r w:rsidR="00DF784C" w:rsidRPr="00DF784C">
        <w:rPr>
          <w:rFonts w:ascii="Arial" w:eastAsia="Times New Roman" w:hAnsi="Arial" w:cs="Arial"/>
          <w:sz w:val="20"/>
          <w:szCs w:val="20"/>
          <w:highlight w:val="cyan"/>
          <w:lang w:eastAsia="fr-FR"/>
        </w:rPr>
        <w:t>approximately</w:t>
      </w:r>
      <w:proofErr w:type="spellEnd"/>
      <w:r w:rsidR="00DF784C" w:rsidRPr="00DF784C">
        <w:rPr>
          <w:rFonts w:ascii="Arial" w:eastAsia="Times New Roman" w:hAnsi="Arial" w:cs="Arial"/>
          <w:sz w:val="20"/>
          <w:szCs w:val="20"/>
          <w:highlight w:val="cyan"/>
          <w:lang w:eastAsia="fr-FR"/>
        </w:rPr>
        <w:t xml:space="preserve"> 2.4 g per cube</w:t>
      </w:r>
    </w:p>
    <w:p w14:paraId="17B2A4EB" w14:textId="77777777" w:rsidR="00731D8C" w:rsidRPr="00731D8C" w:rsidRDefault="00731D8C" w:rsidP="007C0428">
      <w:pPr>
        <w:pStyle w:val="ListParagraph"/>
        <w:numPr>
          <w:ilvl w:val="0"/>
          <w:numId w:val="31"/>
        </w:numPr>
        <w:spacing w:before="100" w:beforeAutospacing="1" w:after="100" w:afterAutospacing="1" w:line="240" w:lineRule="auto"/>
        <w:rPr>
          <w:rFonts w:ascii="Arial" w:eastAsia="Times New Roman" w:hAnsi="Arial" w:cs="Arial"/>
          <w:sz w:val="20"/>
          <w:szCs w:val="20"/>
          <w:lang w:eastAsia="fr-FR"/>
        </w:rPr>
      </w:pPr>
      <w:r w:rsidRPr="00731D8C">
        <w:rPr>
          <w:rFonts w:ascii="Arial" w:eastAsia="Times New Roman" w:hAnsi="Arial" w:cs="Arial"/>
          <w:bCs/>
          <w:sz w:val="20"/>
          <w:szCs w:val="20"/>
          <w:lang w:eastAsia="fr-FR"/>
        </w:rPr>
        <w:t xml:space="preserve">High </w:t>
      </w:r>
      <w:proofErr w:type="spellStart"/>
      <w:r w:rsidRPr="00731D8C">
        <w:rPr>
          <w:rFonts w:ascii="Arial" w:eastAsia="Times New Roman" w:hAnsi="Arial" w:cs="Arial"/>
          <w:bCs/>
          <w:sz w:val="20"/>
          <w:szCs w:val="20"/>
          <w:lang w:eastAsia="fr-FR"/>
        </w:rPr>
        <w:t>sugar</w:t>
      </w:r>
      <w:proofErr w:type="spellEnd"/>
      <w:r w:rsidRPr="00731D8C">
        <w:rPr>
          <w:rFonts w:ascii="Arial" w:eastAsia="Times New Roman" w:hAnsi="Arial" w:cs="Arial"/>
          <w:bCs/>
          <w:sz w:val="20"/>
          <w:szCs w:val="20"/>
          <w:lang w:eastAsia="fr-FR"/>
        </w:rPr>
        <w:t xml:space="preserve"> </w:t>
      </w:r>
      <w:proofErr w:type="spellStart"/>
      <w:r w:rsidRPr="00731D8C">
        <w:rPr>
          <w:rFonts w:ascii="Arial" w:eastAsia="Times New Roman" w:hAnsi="Arial" w:cs="Arial"/>
          <w:bCs/>
          <w:sz w:val="20"/>
          <w:szCs w:val="20"/>
          <w:lang w:eastAsia="fr-FR"/>
        </w:rPr>
        <w:t>consumption</w:t>
      </w:r>
      <w:proofErr w:type="spellEnd"/>
      <w:r w:rsidRPr="00731D8C">
        <w:rPr>
          <w:rFonts w:ascii="Arial" w:eastAsia="Times New Roman" w:hAnsi="Arial" w:cs="Arial"/>
          <w:bCs/>
          <w:sz w:val="20"/>
          <w:szCs w:val="20"/>
          <w:lang w:eastAsia="fr-FR"/>
        </w:rPr>
        <w:t xml:space="preserve"> :</w:t>
      </w:r>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vast</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majority</w:t>
      </w:r>
      <w:proofErr w:type="spellEnd"/>
      <w:r w:rsidRPr="00731D8C">
        <w:rPr>
          <w:rFonts w:ascii="Arial" w:eastAsia="Times New Roman" w:hAnsi="Arial" w:cs="Arial"/>
          <w:sz w:val="20"/>
          <w:szCs w:val="20"/>
          <w:lang w:eastAsia="fr-FR"/>
        </w:rPr>
        <w:t xml:space="preserve"> of participants (88.0% of men and 91.5% of </w:t>
      </w:r>
      <w:proofErr w:type="spellStart"/>
      <w:r w:rsidRPr="00731D8C">
        <w:rPr>
          <w:rFonts w:ascii="Arial" w:eastAsia="Times New Roman" w:hAnsi="Arial" w:cs="Arial"/>
          <w:sz w:val="20"/>
          <w:szCs w:val="20"/>
          <w:lang w:eastAsia="fr-FR"/>
        </w:rPr>
        <w:t>women</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regularly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consumed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sugary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products</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with</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sweetened</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energy</w:t>
      </w:r>
      <w:proofErr w:type="spellEnd"/>
      <w:r w:rsidRPr="00731D8C">
        <w:rPr>
          <w:rFonts w:ascii="Arial" w:eastAsia="Times New Roman" w:hAnsi="Arial" w:cs="Arial"/>
          <w:sz w:val="20"/>
          <w:szCs w:val="20"/>
          <w:lang w:eastAsia="fr-FR"/>
        </w:rPr>
        <w:t xml:space="preserve"> drinks </w:t>
      </w:r>
      <w:proofErr w:type="spellStart"/>
      <w:r w:rsidRPr="00731D8C">
        <w:rPr>
          <w:rFonts w:ascii="Arial" w:eastAsia="Times New Roman" w:hAnsi="Arial" w:cs="Arial"/>
          <w:sz w:val="20"/>
          <w:szCs w:val="20"/>
          <w:lang w:eastAsia="fr-FR"/>
        </w:rPr>
        <w:t>being</w:t>
      </w:r>
      <w:proofErr w:type="spellEnd"/>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primary</w:t>
      </w:r>
      <w:proofErr w:type="spellEnd"/>
      <w:r w:rsidRPr="00731D8C">
        <w:rPr>
          <w:rFonts w:ascii="Arial" w:eastAsia="Times New Roman" w:hAnsi="Arial" w:cs="Arial"/>
          <w:sz w:val="20"/>
          <w:szCs w:val="20"/>
          <w:lang w:eastAsia="fr-FR"/>
        </w:rPr>
        <w:t xml:space="preserve"> source.</w:t>
      </w:r>
    </w:p>
    <w:p w14:paraId="3B6D83DE" w14:textId="77777777" w:rsidR="00731D8C" w:rsidRPr="00731D8C" w:rsidRDefault="00731D8C" w:rsidP="007C0428">
      <w:pPr>
        <w:pStyle w:val="ListParagraph"/>
        <w:numPr>
          <w:ilvl w:val="0"/>
          <w:numId w:val="31"/>
        </w:numPr>
        <w:spacing w:before="100" w:beforeAutospacing="1" w:after="100" w:afterAutospacing="1" w:line="240" w:lineRule="auto"/>
        <w:rPr>
          <w:rFonts w:ascii="Arial" w:eastAsia="Times New Roman" w:hAnsi="Arial" w:cs="Arial"/>
          <w:sz w:val="20"/>
          <w:szCs w:val="20"/>
          <w:lang w:eastAsia="fr-FR"/>
        </w:rPr>
      </w:pPr>
      <w:r w:rsidRPr="00731D8C">
        <w:rPr>
          <w:rFonts w:ascii="Arial" w:eastAsia="Times New Roman" w:hAnsi="Arial" w:cs="Arial"/>
          <w:bCs/>
          <w:sz w:val="20"/>
          <w:szCs w:val="20"/>
          <w:lang w:eastAsia="fr-FR"/>
        </w:rPr>
        <w:t>Cooking fat profile :</w:t>
      </w:r>
      <w:r w:rsidRPr="00731D8C">
        <w:rPr>
          <w:rFonts w:ascii="Arial" w:eastAsia="Times New Roman" w:hAnsi="Arial" w:cs="Arial"/>
          <w:sz w:val="20"/>
          <w:szCs w:val="20"/>
          <w:lang w:eastAsia="fr-FR"/>
        </w:rPr>
        <w:t xml:space="preserve"> The </w:t>
      </w:r>
      <w:proofErr w:type="spellStart"/>
      <w:r w:rsidRPr="00731D8C">
        <w:rPr>
          <w:rFonts w:ascii="Arial" w:eastAsia="Times New Roman" w:hAnsi="Arial" w:cs="Arial"/>
          <w:sz w:val="20"/>
          <w:szCs w:val="20"/>
          <w:lang w:eastAsia="fr-FR"/>
        </w:rPr>
        <w:t>predominant</w:t>
      </w:r>
      <w:proofErr w:type="spellEnd"/>
      <w:r w:rsidRPr="00731D8C">
        <w:rPr>
          <w:rFonts w:ascii="Arial" w:eastAsia="Times New Roman" w:hAnsi="Arial" w:cs="Arial"/>
          <w:sz w:val="20"/>
          <w:szCs w:val="20"/>
          <w:lang w:eastAsia="fr-FR"/>
        </w:rPr>
        <w:t xml:space="preserve"> cooking fats </w:t>
      </w:r>
      <w:proofErr w:type="spellStart"/>
      <w:r w:rsidRPr="00731D8C">
        <w:rPr>
          <w:rFonts w:ascii="Arial" w:eastAsia="Times New Roman" w:hAnsi="Arial" w:cs="Arial"/>
          <w:sz w:val="20"/>
          <w:szCs w:val="20"/>
          <w:lang w:eastAsia="fr-FR"/>
        </w:rPr>
        <w:t>were</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refined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vegetable</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oils</w:t>
      </w:r>
      <w:proofErr w:type="spellEnd"/>
      <w:r w:rsidRPr="00731D8C">
        <w:rPr>
          <w:rFonts w:ascii="Arial" w:eastAsia="Times New Roman" w:hAnsi="Arial" w:cs="Arial"/>
          <w:sz w:val="20"/>
          <w:szCs w:val="20"/>
          <w:lang w:eastAsia="fr-FR"/>
        </w:rPr>
        <w:t xml:space="preserve"> and palm </w:t>
      </w:r>
      <w:proofErr w:type="spellStart"/>
      <w:r w:rsidRPr="00731D8C">
        <w:rPr>
          <w:rFonts w:ascii="Arial" w:eastAsia="Times New Roman" w:hAnsi="Arial" w:cs="Arial"/>
          <w:sz w:val="20"/>
          <w:szCs w:val="20"/>
          <w:lang w:eastAsia="fr-FR"/>
        </w:rPr>
        <w:t>oil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a</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significant</w:t>
      </w:r>
      <w:proofErr w:type="spellEnd"/>
      <w:r w:rsidRPr="00731D8C">
        <w:rPr>
          <w:rFonts w:ascii="Arial" w:eastAsia="Times New Roman" w:hAnsi="Arial" w:cs="Arial"/>
          <w:sz w:val="20"/>
          <w:szCs w:val="20"/>
          <w:lang w:eastAsia="fr-FR"/>
        </w:rPr>
        <w:t xml:space="preserve"> source of </w:t>
      </w:r>
      <w:proofErr w:type="spellStart"/>
      <w:r w:rsidRPr="00731D8C">
        <w:rPr>
          <w:rFonts w:ascii="Arial" w:eastAsia="Times New Roman" w:hAnsi="Arial" w:cs="Arial"/>
          <w:sz w:val="20"/>
          <w:szCs w:val="20"/>
          <w:lang w:eastAsia="fr-FR"/>
        </w:rPr>
        <w:t>saturated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fatty</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acids</w:t>
      </w:r>
      <w:proofErr w:type="spellEnd"/>
      <w:r w:rsidRPr="00731D8C">
        <w:rPr>
          <w:rFonts w:ascii="Arial" w:eastAsia="Times New Roman" w:hAnsi="Arial" w:cs="Arial"/>
          <w:sz w:val="20"/>
          <w:szCs w:val="20"/>
          <w:lang w:eastAsia="fr-FR"/>
        </w:rPr>
        <w:t>.</w:t>
      </w:r>
    </w:p>
    <w:p w14:paraId="7368B3D6" w14:textId="77777777" w:rsidR="00731D8C" w:rsidRPr="00731D8C" w:rsidRDefault="00731D8C" w:rsidP="007C0428">
      <w:pPr>
        <w:pStyle w:val="ListParagraph"/>
        <w:numPr>
          <w:ilvl w:val="0"/>
          <w:numId w:val="31"/>
        </w:numPr>
        <w:spacing w:before="100" w:beforeAutospacing="1" w:after="100" w:afterAutospacing="1" w:line="240" w:lineRule="auto"/>
        <w:rPr>
          <w:rFonts w:ascii="Arial" w:eastAsia="Times New Roman" w:hAnsi="Arial" w:cs="Arial"/>
          <w:sz w:val="20"/>
          <w:szCs w:val="20"/>
          <w:lang w:eastAsia="fr-FR"/>
        </w:rPr>
      </w:pPr>
      <w:proofErr w:type="spellStart"/>
      <w:r w:rsidRPr="00731D8C">
        <w:rPr>
          <w:rFonts w:ascii="Arial" w:eastAsia="Times New Roman" w:hAnsi="Arial" w:cs="Arial"/>
          <w:bCs/>
          <w:sz w:val="20"/>
          <w:szCs w:val="20"/>
          <w:lang w:eastAsia="fr-FR"/>
        </w:rPr>
        <w:t>Dependence</w:t>
      </w:r>
      <w:proofErr w:type="spellEnd"/>
      <w:r w:rsidRPr="00731D8C">
        <w:rPr>
          <w:rFonts w:ascii="Arial" w:eastAsia="Times New Roman" w:hAnsi="Arial" w:cs="Arial"/>
          <w:bCs/>
          <w:sz w:val="20"/>
          <w:szCs w:val="20"/>
          <w:lang w:eastAsia="fr-FR"/>
        </w:rPr>
        <w:t xml:space="preserve"> on </w:t>
      </w:r>
      <w:proofErr w:type="spellStart"/>
      <w:r w:rsidRPr="00731D8C">
        <w:rPr>
          <w:rFonts w:ascii="Arial" w:eastAsia="Times New Roman" w:hAnsi="Arial" w:cs="Arial"/>
          <w:bCs/>
          <w:sz w:val="20"/>
          <w:szCs w:val="20"/>
          <w:lang w:eastAsia="fr-FR"/>
        </w:rPr>
        <w:t>external</w:t>
      </w:r>
      <w:proofErr w:type="spellEnd"/>
      <w:r w:rsidRPr="00731D8C">
        <w:rPr>
          <w:rFonts w:ascii="Arial" w:eastAsia="Times New Roman" w:hAnsi="Arial" w:cs="Arial"/>
          <w:bCs/>
          <w:sz w:val="20"/>
          <w:szCs w:val="20"/>
          <w:lang w:eastAsia="fr-FR"/>
        </w:rPr>
        <w:t xml:space="preserve"> </w:t>
      </w:r>
      <w:proofErr w:type="spellStart"/>
      <w:r w:rsidRPr="00731D8C">
        <w:rPr>
          <w:rFonts w:ascii="Arial" w:eastAsia="Times New Roman" w:hAnsi="Arial" w:cs="Arial"/>
          <w:bCs/>
          <w:sz w:val="20"/>
          <w:szCs w:val="20"/>
          <w:lang w:eastAsia="fr-FR"/>
        </w:rPr>
        <w:t>food</w:t>
      </w:r>
      <w:proofErr w:type="spellEnd"/>
      <w:r w:rsidRPr="00731D8C">
        <w:rPr>
          <w:rFonts w:ascii="Arial" w:eastAsia="Times New Roman" w:hAnsi="Arial" w:cs="Arial"/>
          <w:bCs/>
          <w:sz w:val="20"/>
          <w:szCs w:val="20"/>
          <w:lang w:eastAsia="fr-FR"/>
        </w:rPr>
        <w:t xml:space="preserve"> sources :</w:t>
      </w:r>
      <w:r w:rsidRPr="00731D8C">
        <w:rPr>
          <w:rFonts w:ascii="Arial" w:eastAsia="Times New Roman" w:hAnsi="Arial" w:cs="Arial"/>
          <w:sz w:val="20"/>
          <w:szCs w:val="20"/>
          <w:lang w:eastAsia="fr-FR"/>
        </w:rPr>
        <w:t xml:space="preserve"> A </w:t>
      </w:r>
      <w:proofErr w:type="spellStart"/>
      <w:r w:rsidRPr="00731D8C">
        <w:rPr>
          <w:rFonts w:ascii="Arial" w:eastAsia="Times New Roman" w:hAnsi="Arial" w:cs="Arial"/>
          <w:sz w:val="20"/>
          <w:szCs w:val="20"/>
          <w:lang w:eastAsia="fr-FR"/>
        </w:rPr>
        <w:t>substantial</w:t>
      </w:r>
      <w:proofErr w:type="spellEnd"/>
      <w:r w:rsidRPr="00731D8C">
        <w:rPr>
          <w:rFonts w:ascii="Arial" w:eastAsia="Times New Roman" w:hAnsi="Arial" w:cs="Arial"/>
          <w:sz w:val="20"/>
          <w:szCs w:val="20"/>
          <w:lang w:eastAsia="fr-FR"/>
        </w:rPr>
        <w:t xml:space="preserve"> portion of the </w:t>
      </w:r>
      <w:proofErr w:type="spellStart"/>
      <w:r w:rsidRPr="00731D8C">
        <w:rPr>
          <w:rFonts w:ascii="Arial" w:eastAsia="Times New Roman" w:hAnsi="Arial" w:cs="Arial"/>
          <w:sz w:val="20"/>
          <w:szCs w:val="20"/>
          <w:lang w:eastAsia="fr-FR"/>
        </w:rPr>
        <w:t>cohort</w:t>
      </w:r>
      <w:proofErr w:type="spellEnd"/>
      <w:r w:rsidRPr="00731D8C">
        <w:rPr>
          <w:rFonts w:ascii="Arial" w:eastAsia="Times New Roman" w:hAnsi="Arial" w:cs="Arial"/>
          <w:sz w:val="20"/>
          <w:szCs w:val="20"/>
          <w:lang w:eastAsia="fr-FR"/>
        </w:rPr>
        <w:t xml:space="preserve"> (76.9%) </w:t>
      </w:r>
      <w:proofErr w:type="spellStart"/>
      <w:r w:rsidRPr="00731D8C">
        <w:rPr>
          <w:rFonts w:ascii="Arial" w:eastAsia="Times New Roman" w:hAnsi="Arial" w:cs="Arial"/>
          <w:sz w:val="20"/>
          <w:szCs w:val="20"/>
          <w:lang w:eastAsia="fr-FR"/>
        </w:rPr>
        <w:t>reported</w:t>
      </w:r>
      <w:proofErr w:type="spellEnd"/>
      <w:r w:rsidRPr="00731D8C">
        <w:rPr>
          <w:rFonts w:ascii="Arial" w:eastAsia="Times New Roman" w:hAnsi="Arial" w:cs="Arial"/>
          <w:sz w:val="20"/>
          <w:szCs w:val="20"/>
          <w:lang w:eastAsia="fr-FR"/>
        </w:rPr>
        <w:t xml:space="preserve"> a high </w:t>
      </w:r>
      <w:proofErr w:type="spellStart"/>
      <w:r w:rsidRPr="00731D8C">
        <w:rPr>
          <w:rFonts w:ascii="Arial" w:eastAsia="Times New Roman" w:hAnsi="Arial" w:cs="Arial"/>
          <w:sz w:val="20"/>
          <w:szCs w:val="20"/>
          <w:lang w:eastAsia="fr-FR"/>
        </w:rPr>
        <w:t>dependency</w:t>
      </w:r>
      <w:proofErr w:type="spellEnd"/>
      <w:r w:rsidRPr="00731D8C">
        <w:rPr>
          <w:rFonts w:ascii="Arial" w:eastAsia="Times New Roman" w:hAnsi="Arial" w:cs="Arial"/>
          <w:sz w:val="20"/>
          <w:szCs w:val="20"/>
          <w:lang w:eastAsia="fr-FR"/>
        </w:rPr>
        <w:t xml:space="preserve"> on </w:t>
      </w:r>
      <w:proofErr w:type="spellStart"/>
      <w:r w:rsidRPr="00731D8C">
        <w:rPr>
          <w:rFonts w:ascii="Arial" w:eastAsia="Times New Roman" w:hAnsi="Arial" w:cs="Arial"/>
          <w:sz w:val="20"/>
          <w:szCs w:val="20"/>
          <w:lang w:eastAsia="fr-FR"/>
        </w:rPr>
        <w:t>food</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prepared</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sold</w:t>
      </w:r>
      <w:proofErr w:type="spellEnd"/>
      <w:r w:rsidRPr="00731D8C">
        <w:rPr>
          <w:rFonts w:ascii="Arial" w:eastAsia="Times New Roman" w:hAnsi="Arial" w:cs="Arial"/>
          <w:sz w:val="20"/>
          <w:szCs w:val="20"/>
          <w:lang w:eastAsia="fr-FR"/>
        </w:rPr>
        <w:t xml:space="preserve"> by </w:t>
      </w:r>
      <w:proofErr w:type="spellStart"/>
      <w:r w:rsidRPr="00731D8C">
        <w:rPr>
          <w:rFonts w:ascii="Arial" w:eastAsia="Times New Roman" w:hAnsi="Arial" w:cs="Arial"/>
          <w:sz w:val="20"/>
          <w:szCs w:val="20"/>
          <w:lang w:eastAsia="fr-FR"/>
        </w:rPr>
        <w:t>street</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vendors</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indicating</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limited</w:t>
      </w:r>
      <w:proofErr w:type="spellEnd"/>
      <w:r w:rsidRPr="00731D8C">
        <w:rPr>
          <w:rFonts w:ascii="Arial" w:eastAsia="Times New Roman" w:hAnsi="Arial" w:cs="Arial"/>
          <w:sz w:val="20"/>
          <w:szCs w:val="20"/>
          <w:lang w:eastAsia="fr-FR"/>
        </w:rPr>
        <w:t xml:space="preserve"> control over </w:t>
      </w:r>
      <w:proofErr w:type="spellStart"/>
      <w:r w:rsidRPr="00731D8C">
        <w:rPr>
          <w:rFonts w:ascii="Arial" w:eastAsia="Times New Roman" w:hAnsi="Arial" w:cs="Arial"/>
          <w:sz w:val="20"/>
          <w:szCs w:val="20"/>
          <w:lang w:eastAsia="fr-FR"/>
        </w:rPr>
        <w:t>ingredients</w:t>
      </w:r>
      <w:proofErr w:type="spellEnd"/>
      <w:r w:rsidRPr="00731D8C">
        <w:rPr>
          <w:rFonts w:ascii="Arial" w:eastAsia="Times New Roman" w:hAnsi="Arial" w:cs="Arial"/>
          <w:sz w:val="20"/>
          <w:szCs w:val="20"/>
          <w:lang w:eastAsia="fr-FR"/>
        </w:rPr>
        <w:t xml:space="preserve">, cooking </w:t>
      </w:r>
      <w:proofErr w:type="spellStart"/>
      <w:r w:rsidRPr="00731D8C">
        <w:rPr>
          <w:rFonts w:ascii="Arial" w:eastAsia="Times New Roman" w:hAnsi="Arial" w:cs="Arial"/>
          <w:sz w:val="20"/>
          <w:szCs w:val="20"/>
          <w:lang w:eastAsia="fr-FR"/>
        </w:rPr>
        <w:t>methods</w:t>
      </w:r>
      <w:proofErr w:type="spellEnd"/>
      <w:r w:rsidRPr="00731D8C">
        <w:rPr>
          <w:rFonts w:ascii="Arial" w:eastAsia="Times New Roman" w:hAnsi="Arial" w:cs="Arial"/>
          <w:sz w:val="20"/>
          <w:szCs w:val="20"/>
          <w:lang w:eastAsia="fr-FR"/>
        </w:rPr>
        <w:t xml:space="preserve">, and </w:t>
      </w:r>
      <w:proofErr w:type="spellStart"/>
      <w:r w:rsidRPr="00731D8C">
        <w:rPr>
          <w:rFonts w:ascii="Arial" w:eastAsia="Times New Roman" w:hAnsi="Arial" w:cs="Arial"/>
          <w:sz w:val="20"/>
          <w:szCs w:val="20"/>
          <w:lang w:eastAsia="fr-FR"/>
        </w:rPr>
        <w:t>nutritional</w:t>
      </w:r>
      <w:proofErr w:type="spellEnd"/>
      <w:r w:rsidRPr="00731D8C">
        <w:rPr>
          <w:rFonts w:ascii="Arial" w:eastAsia="Times New Roman" w:hAnsi="Arial" w:cs="Arial"/>
          <w:sz w:val="20"/>
          <w:szCs w:val="20"/>
          <w:lang w:eastAsia="fr-FR"/>
        </w:rPr>
        <w:t xml:space="preserve"> </w:t>
      </w:r>
      <w:proofErr w:type="spellStart"/>
      <w:r w:rsidRPr="00731D8C">
        <w:rPr>
          <w:rFonts w:ascii="Arial" w:eastAsia="Times New Roman" w:hAnsi="Arial" w:cs="Arial"/>
          <w:sz w:val="20"/>
          <w:szCs w:val="20"/>
          <w:lang w:eastAsia="fr-FR"/>
        </w:rPr>
        <w:t>quality</w:t>
      </w:r>
      <w:proofErr w:type="spellEnd"/>
      <w:r w:rsidRPr="00731D8C">
        <w:rPr>
          <w:rFonts w:ascii="Arial" w:eastAsia="Times New Roman" w:hAnsi="Arial" w:cs="Arial"/>
          <w:sz w:val="20"/>
          <w:szCs w:val="20"/>
          <w:lang w:eastAsia="fr-FR"/>
        </w:rPr>
        <w:t>.</w:t>
      </w:r>
    </w:p>
    <w:p w14:paraId="203E3B6D" w14:textId="3B5280F0"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 xml:space="preserve">Table 4 outlines the consumption patterns of specific foods and ingredients associated with a pro-inflammatory diet. It </w:t>
      </w:r>
      <w:proofErr w:type="spellStart"/>
      <w:r w:rsidRPr="00731D8C">
        <w:rPr>
          <w:rFonts w:ascii="Arial" w:hAnsi="Arial" w:cs="Arial"/>
          <w:lang w:eastAsia="fr-FR"/>
        </w:rPr>
        <w:t>quantifie</w:t>
      </w:r>
      <w:proofErr w:type="spellEnd"/>
      <w:r w:rsidRPr="00731D8C">
        <w:rPr>
          <w:rFonts w:ascii="Arial" w:hAnsi="Arial" w:cs="Arial"/>
          <w:lang w:eastAsia="fr-FR"/>
        </w:rPr>
        <w:t xml:space="preserve"> the intake of added sugars, the type of cooking fats used, and the reliance on industrial seasonings and out-of-home meals, with comparisons between male and female participants.</w:t>
      </w:r>
    </w:p>
    <w:p w14:paraId="0E7A8A96"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b/>
          <w:bCs/>
          <w:lang w:eastAsia="fr-FR"/>
        </w:rPr>
        <w:t>Table 4 : Profile of pro-inflammatory dietary habits by sex (n=363)</w:t>
      </w:r>
    </w:p>
    <w:tbl>
      <w:tblPr>
        <w:tblStyle w:val="TableGrid"/>
        <w:tblW w:w="952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24"/>
        <w:gridCol w:w="3852"/>
        <w:gridCol w:w="1251"/>
        <w:gridCol w:w="1488"/>
        <w:gridCol w:w="1006"/>
      </w:tblGrid>
      <w:tr w:rsidR="00731D8C" w:rsidRPr="00731D8C" w14:paraId="4C83024B" w14:textId="77777777" w:rsidTr="00537802">
        <w:trPr>
          <w:trHeight w:val="552"/>
        </w:trPr>
        <w:tc>
          <w:tcPr>
            <w:tcW w:w="0" w:type="auto"/>
            <w:hideMark/>
          </w:tcPr>
          <w:p w14:paraId="0E2342A2"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Dietary habit</w:t>
            </w:r>
          </w:p>
        </w:tc>
        <w:tc>
          <w:tcPr>
            <w:tcW w:w="0" w:type="auto"/>
            <w:hideMark/>
          </w:tcPr>
          <w:p w14:paraId="79C005C8"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Category</w:t>
            </w:r>
          </w:p>
        </w:tc>
        <w:tc>
          <w:tcPr>
            <w:tcW w:w="0" w:type="auto"/>
            <w:hideMark/>
          </w:tcPr>
          <w:p w14:paraId="56AACE0E"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Men (n=234)</w:t>
            </w:r>
          </w:p>
        </w:tc>
        <w:tc>
          <w:tcPr>
            <w:tcW w:w="0" w:type="auto"/>
            <w:hideMark/>
          </w:tcPr>
          <w:p w14:paraId="71AFC76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Women (n=129)</w:t>
            </w:r>
          </w:p>
        </w:tc>
        <w:tc>
          <w:tcPr>
            <w:tcW w:w="0" w:type="auto"/>
            <w:hideMark/>
          </w:tcPr>
          <w:p w14:paraId="7F82805A"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p-value</w:t>
            </w:r>
          </w:p>
        </w:tc>
      </w:tr>
      <w:tr w:rsidR="00731D8C" w:rsidRPr="00731D8C" w14:paraId="6D3748E3" w14:textId="77777777" w:rsidTr="00537802">
        <w:trPr>
          <w:trHeight w:val="563"/>
        </w:trPr>
        <w:tc>
          <w:tcPr>
            <w:tcW w:w="0" w:type="auto"/>
            <w:vMerge w:val="restart"/>
            <w:hideMark/>
          </w:tcPr>
          <w:p w14:paraId="58FBCBFD" w14:textId="77777777" w:rsidR="00731D8C" w:rsidRPr="00731D8C" w:rsidRDefault="00731D8C" w:rsidP="007C0428">
            <w:pPr>
              <w:rPr>
                <w:rFonts w:ascii="Arial" w:eastAsia="Times New Roman" w:hAnsi="Arial" w:cs="Arial"/>
                <w:b/>
                <w:bCs/>
                <w:sz w:val="20"/>
                <w:szCs w:val="20"/>
                <w:lang w:eastAsia="fr-FR"/>
              </w:rPr>
            </w:pPr>
          </w:p>
          <w:p w14:paraId="4ECD9375"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Added sugar Intake</w:t>
            </w:r>
          </w:p>
        </w:tc>
        <w:tc>
          <w:tcPr>
            <w:tcW w:w="0" w:type="auto"/>
            <w:hideMark/>
          </w:tcPr>
          <w:p w14:paraId="3F9ED495"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Regular consumption of sugary products</w:t>
            </w:r>
          </w:p>
        </w:tc>
        <w:tc>
          <w:tcPr>
            <w:tcW w:w="0" w:type="auto"/>
            <w:hideMark/>
          </w:tcPr>
          <w:p w14:paraId="4B4E333E"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206 (88.0%)</w:t>
            </w:r>
          </w:p>
        </w:tc>
        <w:tc>
          <w:tcPr>
            <w:tcW w:w="0" w:type="auto"/>
            <w:hideMark/>
          </w:tcPr>
          <w:p w14:paraId="1210A692"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118 (91.5%)</w:t>
            </w:r>
          </w:p>
        </w:tc>
        <w:tc>
          <w:tcPr>
            <w:tcW w:w="0" w:type="auto"/>
            <w:hideMark/>
          </w:tcPr>
          <w:p w14:paraId="23D2E8B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0.32 (NS)</w:t>
            </w:r>
          </w:p>
        </w:tc>
      </w:tr>
      <w:tr w:rsidR="00731D8C" w:rsidRPr="00731D8C" w14:paraId="1D84DF0F" w14:textId="77777777" w:rsidTr="00537802">
        <w:trPr>
          <w:trHeight w:val="563"/>
        </w:trPr>
        <w:tc>
          <w:tcPr>
            <w:tcW w:w="0" w:type="auto"/>
            <w:vMerge/>
            <w:hideMark/>
          </w:tcPr>
          <w:p w14:paraId="7CF42F70" w14:textId="77777777" w:rsidR="00731D8C" w:rsidRPr="00731D8C" w:rsidRDefault="00731D8C" w:rsidP="007C0428">
            <w:pPr>
              <w:rPr>
                <w:rFonts w:ascii="Arial" w:eastAsia="Times New Roman" w:hAnsi="Arial" w:cs="Arial"/>
                <w:sz w:val="20"/>
                <w:szCs w:val="20"/>
                <w:lang w:eastAsia="fr-FR"/>
              </w:rPr>
            </w:pPr>
          </w:p>
        </w:tc>
        <w:tc>
          <w:tcPr>
            <w:tcW w:w="0" w:type="auto"/>
            <w:hideMark/>
          </w:tcPr>
          <w:p w14:paraId="3ECCC902"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i/>
                <w:iCs/>
                <w:sz w:val="20"/>
                <w:szCs w:val="20"/>
                <w:lang w:eastAsia="fr-FR"/>
              </w:rPr>
              <w:t>Source: Sweetened/Energy drinks</w:t>
            </w:r>
          </w:p>
        </w:tc>
        <w:tc>
          <w:tcPr>
            <w:tcW w:w="0" w:type="auto"/>
            <w:hideMark/>
          </w:tcPr>
          <w:p w14:paraId="51482C2A"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124 (53.0%)</w:t>
            </w:r>
          </w:p>
        </w:tc>
        <w:tc>
          <w:tcPr>
            <w:tcW w:w="0" w:type="auto"/>
            <w:hideMark/>
          </w:tcPr>
          <w:p w14:paraId="58D32A50"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44 (34.1%)</w:t>
            </w:r>
          </w:p>
        </w:tc>
        <w:tc>
          <w:tcPr>
            <w:tcW w:w="0" w:type="auto"/>
            <w:hideMark/>
          </w:tcPr>
          <w:p w14:paraId="380B1DD9"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&lt;0.001</w:t>
            </w:r>
          </w:p>
        </w:tc>
      </w:tr>
      <w:tr w:rsidR="00731D8C" w:rsidRPr="00731D8C" w14:paraId="734A945B" w14:textId="77777777" w:rsidTr="00537802">
        <w:trPr>
          <w:trHeight w:val="552"/>
        </w:trPr>
        <w:tc>
          <w:tcPr>
            <w:tcW w:w="0" w:type="auto"/>
            <w:vMerge w:val="restart"/>
            <w:hideMark/>
          </w:tcPr>
          <w:p w14:paraId="0D6DF208" w14:textId="77777777" w:rsidR="00731D8C" w:rsidRPr="00731D8C" w:rsidRDefault="00731D8C" w:rsidP="007C0428">
            <w:pPr>
              <w:rPr>
                <w:rFonts w:ascii="Arial" w:eastAsia="Times New Roman" w:hAnsi="Arial" w:cs="Arial"/>
                <w:b/>
                <w:bCs/>
                <w:sz w:val="20"/>
                <w:szCs w:val="20"/>
                <w:lang w:eastAsia="fr-FR"/>
              </w:rPr>
            </w:pPr>
          </w:p>
          <w:p w14:paraId="4DEADD7E"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Primary cooking fats</w:t>
            </w:r>
          </w:p>
        </w:tc>
        <w:tc>
          <w:tcPr>
            <w:tcW w:w="0" w:type="auto"/>
            <w:hideMark/>
          </w:tcPr>
          <w:p w14:paraId="46401AA4"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Palm oil</w:t>
            </w:r>
          </w:p>
        </w:tc>
        <w:tc>
          <w:tcPr>
            <w:tcW w:w="0" w:type="auto"/>
            <w:hideMark/>
          </w:tcPr>
          <w:p w14:paraId="244AE6B0"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85 (36.3%)</w:t>
            </w:r>
          </w:p>
        </w:tc>
        <w:tc>
          <w:tcPr>
            <w:tcW w:w="0" w:type="auto"/>
            <w:hideMark/>
          </w:tcPr>
          <w:p w14:paraId="6880B0FF"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36 (27.9%)</w:t>
            </w:r>
          </w:p>
        </w:tc>
        <w:tc>
          <w:tcPr>
            <w:tcW w:w="0" w:type="auto"/>
            <w:hideMark/>
          </w:tcPr>
          <w:p w14:paraId="2C131648"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0.11 (NS)</w:t>
            </w:r>
          </w:p>
        </w:tc>
      </w:tr>
      <w:tr w:rsidR="00731D8C" w:rsidRPr="00731D8C" w14:paraId="6E766E09" w14:textId="77777777" w:rsidTr="00537802">
        <w:trPr>
          <w:trHeight w:val="563"/>
        </w:trPr>
        <w:tc>
          <w:tcPr>
            <w:tcW w:w="0" w:type="auto"/>
            <w:vMerge/>
            <w:hideMark/>
          </w:tcPr>
          <w:p w14:paraId="0F2A5CD9" w14:textId="77777777" w:rsidR="00731D8C" w:rsidRPr="00731D8C" w:rsidRDefault="00731D8C" w:rsidP="007C0428">
            <w:pPr>
              <w:rPr>
                <w:rFonts w:ascii="Arial" w:eastAsia="Times New Roman" w:hAnsi="Arial" w:cs="Arial"/>
                <w:sz w:val="20"/>
                <w:szCs w:val="20"/>
                <w:lang w:eastAsia="fr-FR"/>
              </w:rPr>
            </w:pPr>
          </w:p>
        </w:tc>
        <w:tc>
          <w:tcPr>
            <w:tcW w:w="0" w:type="auto"/>
            <w:hideMark/>
          </w:tcPr>
          <w:p w14:paraId="6738B8FC"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Refined oil</w:t>
            </w:r>
          </w:p>
        </w:tc>
        <w:tc>
          <w:tcPr>
            <w:tcW w:w="0" w:type="auto"/>
            <w:hideMark/>
          </w:tcPr>
          <w:p w14:paraId="061D98AE"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142 (60.7%)</w:t>
            </w:r>
          </w:p>
        </w:tc>
        <w:tc>
          <w:tcPr>
            <w:tcW w:w="0" w:type="auto"/>
            <w:hideMark/>
          </w:tcPr>
          <w:p w14:paraId="38770BBA"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73 (56.6%)</w:t>
            </w:r>
          </w:p>
        </w:tc>
        <w:tc>
          <w:tcPr>
            <w:tcW w:w="0" w:type="auto"/>
            <w:hideMark/>
          </w:tcPr>
          <w:p w14:paraId="4A09A11B"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0.46 (NS)</w:t>
            </w:r>
          </w:p>
        </w:tc>
      </w:tr>
      <w:tr w:rsidR="00731D8C" w:rsidRPr="00731D8C" w14:paraId="4F5B50AC" w14:textId="77777777" w:rsidTr="00537802">
        <w:trPr>
          <w:trHeight w:val="563"/>
        </w:trPr>
        <w:tc>
          <w:tcPr>
            <w:tcW w:w="0" w:type="auto"/>
            <w:hideMark/>
          </w:tcPr>
          <w:p w14:paraId="50683851"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Seasoning</w:t>
            </w:r>
          </w:p>
        </w:tc>
        <w:tc>
          <w:tcPr>
            <w:tcW w:w="0" w:type="auto"/>
            <w:hideMark/>
          </w:tcPr>
          <w:p w14:paraId="49456EBD"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Use of Industrial Bouillon Cubes</w:t>
            </w:r>
          </w:p>
        </w:tc>
        <w:tc>
          <w:tcPr>
            <w:tcW w:w="0" w:type="auto"/>
            <w:hideMark/>
          </w:tcPr>
          <w:p w14:paraId="07B63768"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202 (86.3%)</w:t>
            </w:r>
          </w:p>
        </w:tc>
        <w:tc>
          <w:tcPr>
            <w:tcW w:w="0" w:type="auto"/>
            <w:hideMark/>
          </w:tcPr>
          <w:p w14:paraId="74785616"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121 (93.8%)</w:t>
            </w:r>
          </w:p>
        </w:tc>
        <w:tc>
          <w:tcPr>
            <w:tcW w:w="0" w:type="auto"/>
            <w:hideMark/>
          </w:tcPr>
          <w:p w14:paraId="478B8ADE"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&lt;0.05</w:t>
            </w:r>
          </w:p>
        </w:tc>
      </w:tr>
      <w:tr w:rsidR="00731D8C" w:rsidRPr="00731D8C" w14:paraId="09E15606" w14:textId="77777777" w:rsidTr="00537802">
        <w:trPr>
          <w:trHeight w:val="552"/>
        </w:trPr>
        <w:tc>
          <w:tcPr>
            <w:tcW w:w="0" w:type="auto"/>
            <w:hideMark/>
          </w:tcPr>
          <w:p w14:paraId="7D32B125"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b/>
                <w:bCs/>
                <w:sz w:val="20"/>
                <w:szCs w:val="20"/>
                <w:lang w:eastAsia="fr-FR"/>
              </w:rPr>
              <w:t>Meal Source</w:t>
            </w:r>
          </w:p>
        </w:tc>
        <w:tc>
          <w:tcPr>
            <w:tcW w:w="0" w:type="auto"/>
            <w:hideMark/>
          </w:tcPr>
          <w:p w14:paraId="1CC2D067"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Regular consumption of out-of-home "street food"</w:t>
            </w:r>
          </w:p>
        </w:tc>
        <w:tc>
          <w:tcPr>
            <w:tcW w:w="0" w:type="auto"/>
            <w:hideMark/>
          </w:tcPr>
          <w:p w14:paraId="78C1D1E9"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180 (76.9%)</w:t>
            </w:r>
          </w:p>
        </w:tc>
        <w:tc>
          <w:tcPr>
            <w:tcW w:w="0" w:type="auto"/>
            <w:hideMark/>
          </w:tcPr>
          <w:p w14:paraId="3E9ED753"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99 (76.7%)</w:t>
            </w:r>
          </w:p>
        </w:tc>
        <w:tc>
          <w:tcPr>
            <w:tcW w:w="0" w:type="auto"/>
            <w:hideMark/>
          </w:tcPr>
          <w:p w14:paraId="6EB75268" w14:textId="77777777" w:rsidR="00731D8C" w:rsidRPr="00731D8C" w:rsidRDefault="00731D8C" w:rsidP="007C0428">
            <w:pPr>
              <w:rPr>
                <w:rFonts w:ascii="Arial" w:eastAsia="Times New Roman" w:hAnsi="Arial" w:cs="Arial"/>
                <w:sz w:val="20"/>
                <w:szCs w:val="20"/>
                <w:lang w:eastAsia="fr-FR"/>
              </w:rPr>
            </w:pPr>
            <w:r w:rsidRPr="00731D8C">
              <w:rPr>
                <w:rFonts w:ascii="Arial" w:eastAsia="Times New Roman" w:hAnsi="Arial" w:cs="Arial"/>
                <w:sz w:val="20"/>
                <w:szCs w:val="20"/>
                <w:lang w:eastAsia="fr-FR"/>
              </w:rPr>
              <w:t>0.96 (NS)</w:t>
            </w:r>
          </w:p>
        </w:tc>
      </w:tr>
    </w:tbl>
    <w:p w14:paraId="24ADC992"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 xml:space="preserve">The dietary patterns detailed in </w:t>
      </w:r>
      <w:r w:rsidRPr="00731D8C">
        <w:rPr>
          <w:rFonts w:ascii="Arial" w:hAnsi="Arial" w:cs="Arial"/>
          <w:bCs/>
          <w:lang w:eastAsia="fr-FR"/>
        </w:rPr>
        <w:t>Table 4</w:t>
      </w:r>
      <w:r w:rsidRPr="00731D8C">
        <w:rPr>
          <w:rFonts w:ascii="Arial" w:hAnsi="Arial" w:cs="Arial"/>
          <w:lang w:eastAsia="fr-FR"/>
        </w:rPr>
        <w:t xml:space="preserve"> provide a clear etiological basis for the metabolic dysfunction observed in the cohort. The data reveals a dietary signature that is unequivocally pro</w:t>
      </w:r>
      <w:r w:rsidRPr="00731D8C">
        <w:rPr>
          <w:rFonts w:ascii="Arial" w:hAnsi="Arial" w:cs="Arial"/>
          <w:bCs/>
          <w:lang w:eastAsia="fr-FR"/>
        </w:rPr>
        <w:t>-inflammatory and metabolically disruptive</w:t>
      </w:r>
      <w:r w:rsidRPr="00731D8C">
        <w:rPr>
          <w:rFonts w:ascii="Arial" w:hAnsi="Arial" w:cs="Arial"/>
          <w:lang w:eastAsia="fr-FR"/>
        </w:rPr>
        <w:t xml:space="preserve">. The consumption of added sugars is nearly universal, with a notable and significantly higher intake of sweetened and energy drinks among men. This high fructose load is a primary driver of </w:t>
      </w:r>
      <w:r w:rsidRPr="00731D8C">
        <w:rPr>
          <w:rFonts w:ascii="Arial" w:hAnsi="Arial" w:cs="Arial"/>
          <w:i/>
          <w:iCs/>
          <w:lang w:eastAsia="fr-FR"/>
        </w:rPr>
        <w:t>de novo</w:t>
      </w:r>
      <w:r w:rsidRPr="00731D8C">
        <w:rPr>
          <w:rFonts w:ascii="Arial" w:hAnsi="Arial" w:cs="Arial"/>
          <w:lang w:eastAsia="fr-FR"/>
        </w:rPr>
        <w:t xml:space="preserve"> lipogenesis and hepatic steatosis. The reliance on cooking fats such as palm oil and other refined oils contributes a high load of saturated and potentially inflammatory fatty acids. Furthermore, the quasi-universal use of industrial bouillon cubes, reported by nearly 90% of the cohort, ensures a high intake of sodium and other additives, which is particularly detrimental for patients at risk of fluid retention. Crucially, the heavy dependence on out-of-home street food (76.9%) consolidates these risks, as it implies a systemic loss of control over the quality and quantity of ingredients consumed. This </w:t>
      </w:r>
      <w:r w:rsidRPr="00731D8C">
        <w:rPr>
          <w:rFonts w:ascii="Arial" w:hAnsi="Arial" w:cs="Arial"/>
          <w:lang w:eastAsia="fr-FR"/>
        </w:rPr>
        <w:lastRenderedPageBreak/>
        <w:t>dietary profile is a powerful catalyst that likely fuels the steatosis and visceral obesity identified as central to the patients' pathology.</w:t>
      </w:r>
    </w:p>
    <w:p w14:paraId="3A1AB204" w14:textId="77777777" w:rsidR="00731D8C" w:rsidRPr="00731D8C" w:rsidRDefault="00731D8C" w:rsidP="007C0428">
      <w:pPr>
        <w:spacing w:before="100" w:beforeAutospacing="1" w:after="100" w:afterAutospacing="1"/>
        <w:outlineLvl w:val="2"/>
        <w:rPr>
          <w:rFonts w:ascii="Arial" w:hAnsi="Arial" w:cs="Arial"/>
          <w:b/>
          <w:bCs/>
          <w:lang w:eastAsia="fr-FR"/>
        </w:rPr>
      </w:pPr>
      <w:r w:rsidRPr="00731D8C">
        <w:rPr>
          <w:rFonts w:ascii="Arial" w:hAnsi="Arial" w:cs="Arial"/>
          <w:b/>
          <w:bCs/>
          <w:lang w:eastAsia="fr-FR"/>
        </w:rPr>
        <w:t>Discussion</w:t>
      </w:r>
    </w:p>
    <w:p w14:paraId="2D2C2456" w14:textId="3DFB0BC5"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This study provides a compelling clinical snapshot of the "dual burden" facing patients with chronic hepatitis in Lomé, where a high-endemicity infectious disease converges with profound metabolic dysfunction. Our results confirm the continued predominance of Hepatitis B Virus (HBV) as the primary etiology, accounting for 81.5% of cases in our cohort. Critically, this viral pathology is superimposed with a remarkably high prevalence of metabolic comorbidities</w:t>
      </w:r>
      <w:r w:rsidR="00F57291">
        <w:rPr>
          <w:rFonts w:ascii="Arial" w:hAnsi="Arial" w:cs="Arial"/>
          <w:lang w:eastAsia="fr-FR"/>
        </w:rPr>
        <w:t xml:space="preserve"> </w:t>
      </w:r>
      <w:r w:rsidR="00F57291" w:rsidRPr="00A00AB8">
        <w:rPr>
          <w:rFonts w:ascii="Arial" w:hAnsi="Arial" w:cs="Arial"/>
          <w:highlight w:val="cyan"/>
          <w:lang w:eastAsia="fr-FR"/>
        </w:rPr>
        <w:t>[</w:t>
      </w:r>
      <w:r w:rsidR="00F57291" w:rsidRPr="00A00AB8">
        <w:rPr>
          <w:highlight w:val="cyan"/>
          <w:lang w:val="en-GB"/>
        </w:rPr>
        <w:t>Diao et al, 2023]</w:t>
      </w:r>
      <w:r w:rsidRPr="00A00AB8">
        <w:rPr>
          <w:rFonts w:ascii="Arial" w:hAnsi="Arial" w:cs="Arial"/>
          <w:highlight w:val="cyan"/>
          <w:lang w:eastAsia="fr-FR"/>
        </w:rPr>
        <w:t>.</w:t>
      </w:r>
      <w:r w:rsidRPr="00731D8C">
        <w:rPr>
          <w:rFonts w:ascii="Arial" w:hAnsi="Arial" w:cs="Arial"/>
          <w:lang w:eastAsia="fr-FR"/>
        </w:rPr>
        <w:t xml:space="preserve"> This is underscored by the key finding that more than half of the patients (55.2%) exhibited hepatic steatosis on ultrasonography, indicating a significant and concurrent burden of fatty liver disease. This observation sets the stage for understanding the potential synergy between viral and metabolic injury in accelerating liver disease progression in this population</w:t>
      </w:r>
      <w:r w:rsidR="00A00AB8">
        <w:rPr>
          <w:rFonts w:ascii="Arial" w:hAnsi="Arial" w:cs="Arial"/>
          <w:lang w:eastAsia="fr-FR"/>
        </w:rPr>
        <w:t xml:space="preserve"> </w:t>
      </w:r>
      <w:r w:rsidR="00A00AB8" w:rsidRPr="00A00AB8">
        <w:rPr>
          <w:rFonts w:ascii="Arial" w:hAnsi="Arial" w:cs="Arial"/>
          <w:highlight w:val="cyan"/>
          <w:lang w:eastAsia="fr-FR"/>
        </w:rPr>
        <w:t>[</w:t>
      </w:r>
      <w:r w:rsidR="00A00AB8" w:rsidRPr="00A00AB8">
        <w:rPr>
          <w:highlight w:val="cyan"/>
          <w:lang w:val="en-GB"/>
        </w:rPr>
        <w:t>van Kleef et al., 2021]</w:t>
      </w:r>
    </w:p>
    <w:p w14:paraId="117ACBC4"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 xml:space="preserve">The findings of this study illuminate the complex clinical reality facing patients with chronic hepatitis in Lomé, which is defined by a "dual burden" of infectious disease and metabolic dysregulation. Our results confirm the continued high endemicity of HBV in Togo, but the novelty and critical importance of our work lie in the demonstration of a synergistic </w:t>
      </w:r>
      <w:r w:rsidR="0067382D" w:rsidRPr="00731D8C">
        <w:rPr>
          <w:rFonts w:ascii="Arial" w:hAnsi="Arial" w:cs="Arial"/>
          <w:lang w:eastAsia="fr-FR"/>
        </w:rPr>
        <w:t>threat:</w:t>
      </w:r>
      <w:r w:rsidRPr="00731D8C">
        <w:rPr>
          <w:rFonts w:ascii="Arial" w:hAnsi="Arial" w:cs="Arial"/>
          <w:lang w:eastAsia="fr-FR"/>
        </w:rPr>
        <w:t xml:space="preserve"> the convergence of this viral aggression with a highly prevalent, diet-driven metabolic dysfunction, evidenced by the 55.2% rate of hepatic steatosis. This interaction likely creates a vicious cycle, where viral inflammation and metabolic </w:t>
      </w:r>
      <w:proofErr w:type="spellStart"/>
      <w:r w:rsidRPr="00731D8C">
        <w:rPr>
          <w:rFonts w:ascii="Arial" w:hAnsi="Arial" w:cs="Arial"/>
          <w:lang w:eastAsia="fr-FR"/>
        </w:rPr>
        <w:t>lipotoxicity</w:t>
      </w:r>
      <w:proofErr w:type="spellEnd"/>
      <w:r w:rsidRPr="00731D8C">
        <w:rPr>
          <w:rFonts w:ascii="Arial" w:hAnsi="Arial" w:cs="Arial"/>
          <w:lang w:eastAsia="fr-FR"/>
        </w:rPr>
        <w:t xml:space="preserve"> potentiate one another, accelerating the progression towards advanced liver disease.</w:t>
      </w:r>
    </w:p>
    <w:p w14:paraId="2EE7CD7C"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 xml:space="preserve">The most critical finding of this research is the unmasking of a widespread sarcopenic obesity phenotype, a perilous nutritional paradox defined by the coexistence of high visceral adiposity with significant protein-energy malnutrition [Cruz-Jentoft et al., 2019]. This condition, characteristic of an advanced nutritional transition, launches a dual pathophysiological assault on the patient with chronic liver disease. On one hand, the excess visceral adipose tissue functions not as an inert energy store but as a metabolically active organ secreting a spectrum of pro-inflammatory adipokines, such as TNF-α and IL-6, which perpetuate a state of chronic low-grade inflammation and drive systemic insulin resistance [Fain, 2010]. This creates an aggressive lipotoxic milieu within the liver, which is further aggravated by the persistent inflammation from the underlying viral hepatitis, establishing a vicious cycle that accelerates liver injury [Cruz-Jentoft et al., 2019]. On the other hand, the concomitant sarcopenia reflects a profound catabolic state that compromises not only functional capacity but also critical hepatic support functions, notably ammonia detoxification [Wong &amp; Chan, </w:t>
      </w:r>
      <w:r w:rsidR="0067382D" w:rsidRPr="00731D8C">
        <w:rPr>
          <w:rFonts w:ascii="Arial" w:hAnsi="Arial" w:cs="Arial"/>
          <w:lang w:eastAsia="fr-FR"/>
        </w:rPr>
        <w:t>2017;</w:t>
      </w:r>
      <w:r w:rsidRPr="00731D8C">
        <w:rPr>
          <w:rFonts w:ascii="Arial" w:hAnsi="Arial" w:cs="Arial"/>
          <w:lang w:eastAsia="fr-FR"/>
        </w:rPr>
        <w:t xml:space="preserve"> </w:t>
      </w:r>
      <w:proofErr w:type="spellStart"/>
      <w:r w:rsidRPr="00731D8C">
        <w:rPr>
          <w:rFonts w:ascii="Arial" w:hAnsi="Arial" w:cs="Arial"/>
          <w:lang w:eastAsia="fr-FR"/>
        </w:rPr>
        <w:t>Targher</w:t>
      </w:r>
      <w:proofErr w:type="spellEnd"/>
      <w:r w:rsidRPr="00731D8C">
        <w:rPr>
          <w:rFonts w:ascii="Arial" w:hAnsi="Arial" w:cs="Arial"/>
          <w:lang w:eastAsia="fr-FR"/>
        </w:rPr>
        <w:t xml:space="preserve"> et al., 2012]. Consequently, sarcopenia has been firmly established as a potent, independent predictor of morbidity, decompensation, and mortality in patients with chronic liver disease, regardless of their BMI classification [Montano-Loza et al., </w:t>
      </w:r>
      <w:r w:rsidR="0067382D" w:rsidRPr="00731D8C">
        <w:rPr>
          <w:rFonts w:ascii="Arial" w:hAnsi="Arial" w:cs="Arial"/>
          <w:lang w:eastAsia="fr-FR"/>
        </w:rPr>
        <w:t>2012;</w:t>
      </w:r>
      <w:r w:rsidRPr="00731D8C">
        <w:rPr>
          <w:rFonts w:ascii="Arial" w:hAnsi="Arial" w:cs="Arial"/>
          <w:lang w:eastAsia="fr-FR"/>
        </w:rPr>
        <w:t xml:space="preserve"> Meza-Junco et al., 2013]. These findings powerfully demonstrate the inadequacy of the Body Mass Index as a standalone assessment tool in this population. By classifying the majority of these high-risk patients as having a "normal" or "overweight" status, BMI effectively masks the underlying dual pathology of muscle loss and dangerous visceral fat accumulation [Prentice &amp; Jebb, 2001]. This argue forcefully for an urgent evolution in clinical practice towards the routine integration of more sophisticated body composition analysis to accurately identify and manage patients at the highest metabolic risk [Prentice &amp; Jebb, 2001]. Concurrently, the metabolic insults stemming from a pro-inflammatory diet drive ectopic fat deposition. This creates a vicious cycle where viral-induced inflammation potentiates metabolic dysfunction, and </w:t>
      </w:r>
      <w:proofErr w:type="spellStart"/>
      <w:r w:rsidRPr="00731D8C">
        <w:rPr>
          <w:rFonts w:ascii="Arial" w:hAnsi="Arial" w:cs="Arial"/>
          <w:lang w:eastAsia="fr-FR"/>
        </w:rPr>
        <w:t>lipotoxicity</w:t>
      </w:r>
      <w:proofErr w:type="spellEnd"/>
      <w:r w:rsidRPr="00731D8C">
        <w:rPr>
          <w:rFonts w:ascii="Arial" w:hAnsi="Arial" w:cs="Arial"/>
          <w:lang w:eastAsia="fr-FR"/>
        </w:rPr>
        <w:t xml:space="preserve"> (mediated by the accumulation of cytotoxic lipid species such as ceramides and diacylglycerols) exacerbates liver injury, thereby accelerating the progression towards fibrosis and hepatocellular carcinoma [Wong &amp; Chan, </w:t>
      </w:r>
      <w:r w:rsidR="0067382D" w:rsidRPr="00731D8C">
        <w:rPr>
          <w:rFonts w:ascii="Arial" w:hAnsi="Arial" w:cs="Arial"/>
          <w:lang w:eastAsia="fr-FR"/>
        </w:rPr>
        <w:t>2017;</w:t>
      </w:r>
      <w:r w:rsidRPr="00731D8C">
        <w:rPr>
          <w:rFonts w:ascii="Arial" w:hAnsi="Arial" w:cs="Arial"/>
          <w:lang w:eastAsia="fr-FR"/>
        </w:rPr>
        <w:t xml:space="preserve"> </w:t>
      </w:r>
      <w:proofErr w:type="spellStart"/>
      <w:r w:rsidRPr="00731D8C">
        <w:rPr>
          <w:rFonts w:ascii="Arial" w:hAnsi="Arial" w:cs="Arial"/>
          <w:lang w:eastAsia="fr-FR"/>
        </w:rPr>
        <w:t>Targher</w:t>
      </w:r>
      <w:proofErr w:type="spellEnd"/>
      <w:r w:rsidRPr="00731D8C">
        <w:rPr>
          <w:rFonts w:ascii="Arial" w:hAnsi="Arial" w:cs="Arial"/>
          <w:lang w:eastAsia="fr-FR"/>
        </w:rPr>
        <w:t xml:space="preserve"> et al., 2012].</w:t>
      </w:r>
    </w:p>
    <w:p w14:paraId="0DC2D921" w14:textId="5B7C4C87" w:rsid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 xml:space="preserve">The etiology of this adverse metabolic phenotype is clearly linked to the observed dietary patterns, which are characteristic of the nutritional transition occurring across urban Africa [Popkin et al., 2012]. The near-universal consumption of high-sugar products, particularly sweetened beverages, provides a substantial substrate load for hepatic </w:t>
      </w:r>
      <w:r w:rsidRPr="00731D8C">
        <w:rPr>
          <w:rFonts w:ascii="Arial" w:hAnsi="Arial" w:cs="Arial"/>
          <w:i/>
          <w:iCs/>
          <w:lang w:eastAsia="fr-FR"/>
        </w:rPr>
        <w:t>de novo lipogenesis</w:t>
      </w:r>
      <w:r w:rsidRPr="00731D8C">
        <w:rPr>
          <w:rFonts w:ascii="Arial" w:hAnsi="Arial" w:cs="Arial"/>
          <w:lang w:eastAsia="fr-FR"/>
        </w:rPr>
        <w:t xml:space="preserve"> (DNL). The high fructose content of these products potently activates key transcriptional regulators of lipogenesis, such as the Sterol Regulatory Element-Binding Protein-1c (SREBP-1c) and the Carbohydrate-Responsive Element-Binding Protein (</w:t>
      </w:r>
      <w:proofErr w:type="spellStart"/>
      <w:r w:rsidRPr="00731D8C">
        <w:rPr>
          <w:rFonts w:ascii="Arial" w:hAnsi="Arial" w:cs="Arial"/>
          <w:lang w:eastAsia="fr-FR"/>
        </w:rPr>
        <w:t>ChREBP</w:t>
      </w:r>
      <w:proofErr w:type="spellEnd"/>
      <w:r w:rsidRPr="00731D8C">
        <w:rPr>
          <w:rFonts w:ascii="Arial" w:hAnsi="Arial" w:cs="Arial"/>
          <w:lang w:eastAsia="fr-FR"/>
        </w:rPr>
        <w:t xml:space="preserve">), leading </w:t>
      </w:r>
      <w:r w:rsidRPr="00731D8C">
        <w:rPr>
          <w:rFonts w:ascii="Arial" w:hAnsi="Arial" w:cs="Arial"/>
          <w:lang w:eastAsia="fr-FR"/>
        </w:rPr>
        <w:lastRenderedPageBreak/>
        <w:t xml:space="preserve">directly to the synthesis and accumulation of triglycerides in hepatocytes [Softic et al., 2017]. This is compounded by a high intake of saturated fatty acids from sources like palm oil and the unregulated street food sector, which further contributes to hepatocyte </w:t>
      </w:r>
      <w:proofErr w:type="spellStart"/>
      <w:r w:rsidRPr="00731D8C">
        <w:rPr>
          <w:rFonts w:ascii="Arial" w:hAnsi="Arial" w:cs="Arial"/>
          <w:lang w:eastAsia="fr-FR"/>
        </w:rPr>
        <w:t>lipotoxicity</w:t>
      </w:r>
      <w:proofErr w:type="spellEnd"/>
      <w:r w:rsidRPr="00731D8C">
        <w:rPr>
          <w:rFonts w:ascii="Arial" w:hAnsi="Arial" w:cs="Arial"/>
          <w:lang w:eastAsia="fr-FR"/>
        </w:rPr>
        <w:t xml:space="preserve"> and inflammation. Finally, the quasi-systematic use of industrial bouillon cubes ensures a chronically high sodium load, a critical concern for patients with liver disease who are predisposed to fluid retention and ascites.</w:t>
      </w:r>
    </w:p>
    <w:p w14:paraId="36B2ADAC" w14:textId="77777777" w:rsidR="000E609C" w:rsidRPr="000E609C" w:rsidRDefault="000E609C" w:rsidP="007C0428">
      <w:pPr>
        <w:spacing w:before="100" w:beforeAutospacing="1" w:after="100" w:afterAutospacing="1"/>
        <w:rPr>
          <w:rFonts w:ascii="Arial" w:hAnsi="Arial" w:cs="Arial"/>
          <w:highlight w:val="cyan"/>
          <w:lang w:eastAsia="fr-FR"/>
        </w:rPr>
      </w:pPr>
      <w:r w:rsidRPr="000E609C">
        <w:rPr>
          <w:rFonts w:ascii="Arial" w:hAnsi="Arial" w:cs="Arial"/>
          <w:highlight w:val="cyan"/>
          <w:lang w:eastAsia="fr-FR"/>
        </w:rPr>
        <w:t>Our findings must be contextualized within local, regional, and international epidemiologic data. The HBV prevalence in our cohort (81.5% of cases) aligns with Togo's status as a high-endemicity country [Lawson-</w:t>
      </w:r>
      <w:proofErr w:type="spellStart"/>
      <w:r w:rsidRPr="000E609C">
        <w:rPr>
          <w:rFonts w:ascii="Arial" w:hAnsi="Arial" w:cs="Arial"/>
          <w:highlight w:val="cyan"/>
          <w:lang w:eastAsia="fr-FR"/>
        </w:rPr>
        <w:t>Ananissah</w:t>
      </w:r>
      <w:proofErr w:type="spellEnd"/>
      <w:r w:rsidRPr="000E609C">
        <w:rPr>
          <w:rFonts w:ascii="Arial" w:hAnsi="Arial" w:cs="Arial"/>
          <w:highlight w:val="cyan"/>
          <w:lang w:eastAsia="fr-FR"/>
        </w:rPr>
        <w:t xml:space="preserve"> et al., 2017]. The prevalence of hepatic steatosis (55.2%) observed in our patients is alarmingly high and significantly exceeds the estimated general prevalence of NAFLD in Africa, which a recent meta-analysis placed at approximately 13.5% [</w:t>
      </w:r>
      <w:proofErr w:type="spellStart"/>
      <w:r w:rsidRPr="000E609C">
        <w:rPr>
          <w:rFonts w:ascii="Arial" w:hAnsi="Arial" w:cs="Arial"/>
          <w:highlight w:val="cyan"/>
          <w:lang w:eastAsia="fr-FR"/>
        </w:rPr>
        <w:t>Younossi</w:t>
      </w:r>
      <w:proofErr w:type="spellEnd"/>
      <w:r w:rsidRPr="000E609C">
        <w:rPr>
          <w:rFonts w:ascii="Arial" w:hAnsi="Arial" w:cs="Arial"/>
          <w:highlight w:val="cyan"/>
          <w:lang w:eastAsia="fr-FR"/>
        </w:rPr>
        <w:t xml:space="preserve"> et al., 2016]. This suggests that patients with chronic viral hepatitis represent a particularly high-risk group for developing a "dual-etiology" fatty liver disease, where viral factors may exacerbate metabolic-driven fat accumulation [Wong &amp; Chan, 2017].</w:t>
      </w:r>
    </w:p>
    <w:p w14:paraId="7FBD6E3B" w14:textId="77777777" w:rsidR="000E609C" w:rsidRPr="000E609C" w:rsidRDefault="000E609C" w:rsidP="007C0428">
      <w:pPr>
        <w:spacing w:before="100" w:beforeAutospacing="1" w:after="100" w:afterAutospacing="1"/>
        <w:rPr>
          <w:rFonts w:ascii="Arial" w:hAnsi="Arial" w:cs="Arial"/>
          <w:highlight w:val="cyan"/>
          <w:lang w:eastAsia="fr-FR"/>
        </w:rPr>
      </w:pPr>
    </w:p>
    <w:p w14:paraId="4A90BD78" w14:textId="2D0E36E7" w:rsidR="000E609C" w:rsidRPr="00731D8C" w:rsidRDefault="000E609C" w:rsidP="007C0428">
      <w:pPr>
        <w:spacing w:before="100" w:beforeAutospacing="1" w:after="100" w:afterAutospacing="1"/>
        <w:rPr>
          <w:rFonts w:ascii="Arial" w:hAnsi="Arial" w:cs="Arial"/>
          <w:lang w:eastAsia="fr-FR"/>
        </w:rPr>
      </w:pPr>
      <w:r w:rsidRPr="000E609C">
        <w:rPr>
          <w:rFonts w:ascii="Arial" w:hAnsi="Arial" w:cs="Arial"/>
          <w:highlight w:val="cyan"/>
          <w:lang w:eastAsia="fr-FR"/>
        </w:rPr>
        <w:t xml:space="preserve">Similarly, the rates of visceral obesity in our cohort (59.4% in men, 76.7% in women) are stark when </w:t>
      </w:r>
      <w:r w:rsidRPr="00E563CC">
        <w:rPr>
          <w:rFonts w:ascii="Arial" w:hAnsi="Arial" w:cs="Arial"/>
          <w:highlight w:val="cyan"/>
          <w:lang w:eastAsia="fr-FR"/>
        </w:rPr>
        <w:t>compared to general population estimates in urban Togo, which report overweight/obesity prevalence around 30% [</w:t>
      </w:r>
      <w:proofErr w:type="spellStart"/>
      <w:r w:rsidR="00E563CC" w:rsidRPr="00E563CC">
        <w:rPr>
          <w:rFonts w:ascii="Arial" w:hAnsi="Arial" w:cs="Arial"/>
          <w:highlight w:val="cyan"/>
          <w:lang w:eastAsia="fr-FR"/>
        </w:rPr>
        <w:t>Tcheyi</w:t>
      </w:r>
      <w:proofErr w:type="spellEnd"/>
      <w:r w:rsidR="00E563CC" w:rsidRPr="00E563CC">
        <w:rPr>
          <w:rFonts w:ascii="Arial" w:hAnsi="Arial" w:cs="Arial"/>
          <w:highlight w:val="cyan"/>
          <w:lang w:eastAsia="fr-FR"/>
        </w:rPr>
        <w:t xml:space="preserve"> et al., 2021</w:t>
      </w:r>
      <w:r w:rsidRPr="00E563CC">
        <w:rPr>
          <w:rFonts w:ascii="Arial" w:hAnsi="Arial" w:cs="Arial"/>
          <w:highlight w:val="cyan"/>
          <w:lang w:eastAsia="fr-FR"/>
        </w:rPr>
        <w:t xml:space="preserve">]. This highlights that our patient group carries a much heavier burden of metabolically adverse adiposity. While direct prevalence data for sarcopenic obesity in Togo or West Africa </w:t>
      </w:r>
      <w:r w:rsidRPr="000E609C">
        <w:rPr>
          <w:rFonts w:ascii="Arial" w:hAnsi="Arial" w:cs="Arial"/>
          <w:highlight w:val="cyan"/>
          <w:lang w:eastAsia="fr-FR"/>
        </w:rPr>
        <w:t>is non-existent, international studies in older populations report rates of 4-12% [Batsis et al., 2014]. The extremely high prevalence of this phenotype in our relatively young cohort (mean age ~36 years) is a novel and critical finding, suggesting that the combination of chronic inflammation from hepatitis and poor diet may dramatically accelerate the onset of this dangerous condition.</w:t>
      </w:r>
    </w:p>
    <w:p w14:paraId="07107A9E" w14:textId="77777777" w:rsidR="00731D8C" w:rsidRPr="00731D8C" w:rsidRDefault="00731D8C" w:rsidP="007C0428">
      <w:pPr>
        <w:spacing w:before="100" w:beforeAutospacing="1" w:after="100" w:afterAutospacing="1"/>
        <w:outlineLvl w:val="2"/>
        <w:rPr>
          <w:rFonts w:ascii="Arial" w:hAnsi="Arial" w:cs="Arial"/>
          <w:b/>
          <w:bCs/>
          <w:lang w:eastAsia="fr-FR"/>
        </w:rPr>
      </w:pPr>
      <w:r w:rsidRPr="00731D8C">
        <w:rPr>
          <w:rFonts w:ascii="Arial" w:hAnsi="Arial" w:cs="Arial"/>
          <w:b/>
          <w:bCs/>
          <w:lang w:eastAsia="fr-FR"/>
        </w:rPr>
        <w:t xml:space="preserve">Study limitations  </w:t>
      </w:r>
    </w:p>
    <w:p w14:paraId="1E3CB8A5"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Nonetheless, certain limitations must be acknowledged to contextualize the interpretation of our results. Firstly, the cross-sectional design of the study intrinsically precludes any inference of causality. While we have demonstrated a powerful association between pro-inflammatory dietary patterns, sarcopenic obesity, and the dual burden of viral and metabolic liver insults, the temporal relationship and causal pathways among these variables cannot be definitively established. A longitudinal prospective study is warranted to elucidate the trajectory by which these factors potentiate one another to accelerate the progression of liver disease. Secondly, our dietary evaluation, though detailed, was based on a semi-quantitative food frequency questionnaire. This methodology, while standard, is susceptible to recall bias and may not precisely quantify macronutrient and micronutrient consumption with the same accuracy as weighed food records. Finally, the single-center design, while ensuring a homogenous and well-defined patient group, may limit the generalizability of our findings to the entire Togolese population with chronic hepatitis, particularly those in rural settings or individuals who are not yet integrated into the tertiary care system. Future multi-center, community-based studies would be instrumental in validating these findings across a broader demographic spectrum.</w:t>
      </w:r>
    </w:p>
    <w:p w14:paraId="1A846317" w14:textId="77777777" w:rsidR="00731D8C" w:rsidRPr="00731D8C" w:rsidRDefault="00731D8C" w:rsidP="007C0428">
      <w:pPr>
        <w:spacing w:before="100" w:beforeAutospacing="1" w:after="100" w:afterAutospacing="1"/>
        <w:rPr>
          <w:rFonts w:ascii="Arial" w:hAnsi="Arial" w:cs="Arial"/>
          <w:lang w:eastAsia="fr-FR"/>
        </w:rPr>
      </w:pPr>
      <w:r w:rsidRPr="00731D8C">
        <w:rPr>
          <w:rFonts w:ascii="Arial" w:hAnsi="Arial" w:cs="Arial"/>
          <w:lang w:eastAsia="fr-FR"/>
        </w:rPr>
        <w:t xml:space="preserve">This methodological constraint highlights a broader, critical challenge in the field. While research has sought to develop more accurate bioelectrical impedance analysis (BIA) predictive equations for populations of African descent [Luke et al., 2013], a significant obstacle </w:t>
      </w:r>
      <w:r w:rsidR="0067382D" w:rsidRPr="00731D8C">
        <w:rPr>
          <w:rFonts w:ascii="Arial" w:hAnsi="Arial" w:cs="Arial"/>
          <w:lang w:eastAsia="fr-FR"/>
        </w:rPr>
        <w:t>remains:</w:t>
      </w:r>
      <w:r w:rsidRPr="00731D8C">
        <w:rPr>
          <w:rFonts w:ascii="Arial" w:hAnsi="Arial" w:cs="Arial"/>
          <w:lang w:eastAsia="fr-FR"/>
        </w:rPr>
        <w:t xml:space="preserve"> the near-total absence of specific normative data for parameters like body fat percentage, visceral fat, and muscle mass in Sub-Saharan African populations. The reference values currently embedded in most devices, such as those derived from the work of Gallagher et al. [2000], were established in cohorts lacking significant African representation, rendering their application in our context problematic. Consequently, in the absence of validated regional standards, clinical interpretation must be approached with caution, prioritizing the longitudinal tracking of an individual's body composition changes over comparisons to these potentially inappropriate norms</w:t>
      </w:r>
    </w:p>
    <w:p w14:paraId="63DA3854" w14:textId="77777777" w:rsidR="00790ADA" w:rsidRPr="00FB3A86" w:rsidRDefault="00790ADA" w:rsidP="007C0428">
      <w:pPr>
        <w:pStyle w:val="Body"/>
        <w:spacing w:after="0"/>
        <w:jc w:val="left"/>
        <w:rPr>
          <w:rFonts w:ascii="Arial" w:hAnsi="Arial" w:cs="Arial"/>
        </w:rPr>
      </w:pPr>
    </w:p>
    <w:p w14:paraId="45AFD997" w14:textId="77777777" w:rsidR="00B01FCD" w:rsidRDefault="00000F8F" w:rsidP="007C0428">
      <w:pPr>
        <w:pStyle w:val="ConcHead"/>
        <w:spacing w:after="0"/>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ABAEB9A" w14:textId="77777777" w:rsidR="00AC6B56" w:rsidRPr="00D06A10" w:rsidRDefault="00AC6B56" w:rsidP="007C0428">
      <w:pPr>
        <w:pStyle w:val="Body"/>
        <w:jc w:val="left"/>
        <w:rPr>
          <w:rFonts w:ascii="Arial" w:hAnsi="Arial" w:cs="Arial"/>
          <w:highlight w:val="cyan"/>
        </w:rPr>
      </w:pPr>
      <w:r w:rsidRPr="00D06A10">
        <w:rPr>
          <w:rFonts w:ascii="Arial" w:hAnsi="Arial" w:cs="Arial"/>
          <w:highlight w:val="cyan"/>
        </w:rPr>
        <w:t>This study concludes that patients with chronic hepatitis in Lomé are navigating a perilous and complex public health crisis defined by the convergence of high-endemicity viral hepatitis with a rampant, diet-driven metabolic syndrome. The investigation's critical contribution is the unmasking of a highly prevalent and clinically occult sarcopenic obesity phenotype, a condition of profound prognostic importance that is entirely masked by conventional anthropometric measures such as the Body Mass Index (BMI). Our findings demonstrate that this dangerous combination of high visceral adiposity (affecting up to 76.7% of women) and severe protein depletion (observed in up to 82.9% of women) is inextricably linked to a pro-inflammatory dietary signature characteristic of the region's nutritional transition. This diet is typified by the quasi-universal consumption of added sugars, industrial bouillon cubes, and a heavy reliance on out-of-home "street food".</w:t>
      </w:r>
    </w:p>
    <w:p w14:paraId="73D4FCDB" w14:textId="6FED77DE" w:rsidR="00B2179F" w:rsidRPr="00731D8C" w:rsidRDefault="00AC6B56" w:rsidP="007C0428">
      <w:pPr>
        <w:pStyle w:val="Body"/>
        <w:spacing w:after="0"/>
        <w:jc w:val="left"/>
        <w:rPr>
          <w:rFonts w:ascii="Arial" w:hAnsi="Arial" w:cs="Arial"/>
        </w:rPr>
      </w:pPr>
      <w:r w:rsidRPr="00D06A10">
        <w:rPr>
          <w:rFonts w:ascii="Arial" w:hAnsi="Arial" w:cs="Arial"/>
          <w:highlight w:val="cyan"/>
        </w:rPr>
        <w:t xml:space="preserve">The clinical implications are profound. The coexistence of viral-mediated inflammation with metabolic </w:t>
      </w:r>
      <w:proofErr w:type="spellStart"/>
      <w:r w:rsidRPr="00D06A10">
        <w:rPr>
          <w:rFonts w:ascii="Arial" w:hAnsi="Arial" w:cs="Arial"/>
          <w:highlight w:val="cyan"/>
        </w:rPr>
        <w:t>lipotoxicity</w:t>
      </w:r>
      <w:proofErr w:type="spellEnd"/>
      <w:r w:rsidRPr="00D06A10">
        <w:rPr>
          <w:rFonts w:ascii="Arial" w:hAnsi="Arial" w:cs="Arial"/>
          <w:highlight w:val="cyan"/>
        </w:rPr>
        <w:t xml:space="preserve"> likely establishes a vicious cycle that accelerates progression towards advanced liver disease. Consequently, the continued reliance on BMI for nutritional assessment in this population is a clinical failure. A fundamental paradigm shift in management is imperative, requiring the systematic incorporation of body composition analysis and the elevation of culturally adapted nutritional therapy to a central pillar of treatment.</w:t>
      </w:r>
    </w:p>
    <w:p w14:paraId="24682C28" w14:textId="124F5D5F" w:rsidR="00860000" w:rsidRDefault="00860000" w:rsidP="007C0428">
      <w:pPr>
        <w:pStyle w:val="ReferHead"/>
        <w:spacing w:after="0"/>
        <w:rPr>
          <w:rFonts w:ascii="Arial" w:hAnsi="Arial" w:cs="Arial"/>
          <w:b w:val="0"/>
          <w:caps w:val="0"/>
          <w:sz w:val="20"/>
          <w:lang w:eastAsia="fr-FR"/>
        </w:rPr>
      </w:pPr>
    </w:p>
    <w:p w14:paraId="645B752C" w14:textId="23AAF586" w:rsidR="00865FE4" w:rsidRDefault="00865FE4" w:rsidP="007C0428">
      <w:pPr>
        <w:pStyle w:val="ReferHead"/>
        <w:spacing w:after="0"/>
        <w:rPr>
          <w:rFonts w:ascii="Arial" w:hAnsi="Arial" w:cs="Arial"/>
          <w:b w:val="0"/>
          <w:caps w:val="0"/>
          <w:sz w:val="20"/>
          <w:lang w:eastAsia="fr-FR"/>
        </w:rPr>
      </w:pPr>
    </w:p>
    <w:p w14:paraId="507E35AE" w14:textId="71C70336" w:rsidR="00454ABF" w:rsidRPr="00454ABF" w:rsidRDefault="00454ABF" w:rsidP="00454ABF">
      <w:pPr>
        <w:pStyle w:val="ReferHead"/>
        <w:rPr>
          <w:rFonts w:ascii="Arial" w:hAnsi="Arial" w:cs="Arial"/>
          <w:b w:val="0"/>
          <w:caps w:val="0"/>
          <w:sz w:val="20"/>
          <w:lang w:eastAsia="fr-FR"/>
        </w:rPr>
      </w:pPr>
      <w:r w:rsidRPr="00454ABF">
        <w:rPr>
          <w:rFonts w:ascii="Arial" w:hAnsi="Arial" w:cs="Arial"/>
          <w:b w:val="0"/>
          <w:caps w:val="0"/>
          <w:sz w:val="20"/>
          <w:lang w:eastAsia="fr-FR"/>
        </w:rPr>
        <w:t xml:space="preserve">Ethical </w:t>
      </w:r>
      <w:r>
        <w:rPr>
          <w:rFonts w:ascii="Arial" w:hAnsi="Arial" w:cs="Arial"/>
          <w:b w:val="0"/>
          <w:caps w:val="0"/>
          <w:sz w:val="20"/>
          <w:lang w:eastAsia="fr-FR"/>
        </w:rPr>
        <w:t>Approval and consent</w:t>
      </w:r>
      <w:r w:rsidRPr="00454ABF">
        <w:rPr>
          <w:rFonts w:ascii="Arial" w:hAnsi="Arial" w:cs="Arial"/>
          <w:b w:val="0"/>
          <w:caps w:val="0"/>
          <w:sz w:val="20"/>
          <w:lang w:eastAsia="fr-FR"/>
        </w:rPr>
        <w:t xml:space="preserve"> </w:t>
      </w:r>
    </w:p>
    <w:p w14:paraId="4BB05F2B" w14:textId="6931F108" w:rsidR="00454ABF" w:rsidRDefault="00454ABF" w:rsidP="00454ABF">
      <w:pPr>
        <w:pStyle w:val="ReferHead"/>
        <w:spacing w:after="0"/>
        <w:rPr>
          <w:rFonts w:ascii="Arial" w:hAnsi="Arial" w:cs="Arial"/>
          <w:b w:val="0"/>
          <w:caps w:val="0"/>
          <w:sz w:val="20"/>
          <w:lang w:eastAsia="fr-FR"/>
        </w:rPr>
      </w:pPr>
      <w:r w:rsidRPr="00454ABF">
        <w:rPr>
          <w:rFonts w:ascii="Arial" w:hAnsi="Arial" w:cs="Arial"/>
          <w:b w:val="0"/>
          <w:caps w:val="0"/>
          <w:sz w:val="20"/>
          <w:lang w:eastAsia="fr-FR"/>
        </w:rPr>
        <w:t xml:space="preserve">The study was conducted in strict accordance with the ethical principles outlined in the Declaration of Helsinki. The research protocol received prior approval from the Biomedical Ethics Committee of the University of Lomé and the administrative leadership of the CHU Campus. Informed </w:t>
      </w:r>
      <w:proofErr w:type="gramStart"/>
      <w:r>
        <w:rPr>
          <w:rFonts w:ascii="Arial" w:hAnsi="Arial" w:cs="Arial"/>
          <w:b w:val="0"/>
          <w:caps w:val="0"/>
          <w:sz w:val="20"/>
          <w:lang w:eastAsia="fr-FR"/>
        </w:rPr>
        <w:t xml:space="preserve">written </w:t>
      </w:r>
      <w:r w:rsidRPr="00454ABF">
        <w:rPr>
          <w:rFonts w:ascii="Arial" w:hAnsi="Arial" w:cs="Arial"/>
          <w:b w:val="0"/>
          <w:caps w:val="0"/>
          <w:sz w:val="20"/>
          <w:lang w:eastAsia="fr-FR"/>
        </w:rPr>
        <w:t xml:space="preserve"> consent</w:t>
      </w:r>
      <w:proofErr w:type="gramEnd"/>
      <w:r w:rsidRPr="00454ABF">
        <w:rPr>
          <w:rFonts w:ascii="Arial" w:hAnsi="Arial" w:cs="Arial"/>
          <w:b w:val="0"/>
          <w:caps w:val="0"/>
          <w:sz w:val="20"/>
          <w:lang w:eastAsia="fr-FR"/>
        </w:rPr>
        <w:t xml:space="preserve">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58A6DF9B" w14:textId="77777777" w:rsidR="00865FE4" w:rsidRPr="00DF784C" w:rsidRDefault="00865FE4" w:rsidP="007C0428">
      <w:pPr>
        <w:rPr>
          <w:rFonts w:ascii="Calibri" w:eastAsia="Calibri" w:hAnsi="Calibri"/>
          <w:b/>
          <w:kern w:val="2"/>
          <w:highlight w:val="cyan"/>
        </w:rPr>
      </w:pPr>
      <w:bookmarkStart w:id="0" w:name="_Hlk201835975"/>
      <w:bookmarkStart w:id="1" w:name="_Hlk193540946"/>
      <w:bookmarkStart w:id="2" w:name="_Hlk180402183"/>
      <w:bookmarkStart w:id="3" w:name="_Hlk183680988"/>
      <w:bookmarkStart w:id="4" w:name="_Hlk197173371"/>
      <w:r w:rsidRPr="00DF784C">
        <w:rPr>
          <w:rFonts w:ascii="Calibri" w:eastAsia="Calibri" w:hAnsi="Calibri"/>
          <w:b/>
          <w:kern w:val="2"/>
          <w:highlight w:val="cyan"/>
        </w:rPr>
        <w:t>Disclaimer (Artificial intelligence)</w:t>
      </w:r>
    </w:p>
    <w:bookmarkEnd w:id="0"/>
    <w:bookmarkEnd w:id="1"/>
    <w:bookmarkEnd w:id="2"/>
    <w:bookmarkEnd w:id="3"/>
    <w:bookmarkEnd w:id="4"/>
    <w:p w14:paraId="417690C5" w14:textId="77777777" w:rsidR="00454ABF" w:rsidRPr="00454ABF" w:rsidRDefault="00454ABF" w:rsidP="00454ABF">
      <w:pPr>
        <w:spacing w:after="200" w:line="276" w:lineRule="auto"/>
        <w:rPr>
          <w:rFonts w:ascii="Calibri" w:eastAsia="Calibri" w:hAnsi="Calibri"/>
          <w:kern w:val="2"/>
          <w:sz w:val="22"/>
          <w:szCs w:val="22"/>
          <w14:ligatures w14:val="standardContextual"/>
        </w:rPr>
      </w:pPr>
      <w:r w:rsidRPr="00454ABF">
        <w:rPr>
          <w:rFonts w:ascii="Calibri" w:eastAsia="Calibri" w:hAnsi="Calibri"/>
          <w:kern w:val="2"/>
          <w:sz w:val="22"/>
          <w:szCs w:val="22"/>
          <w14:ligatures w14:val="standardContextual"/>
        </w:rPr>
        <w:t xml:space="preserve">Author(s) hereby </w:t>
      </w:r>
      <w:proofErr w:type="gramStart"/>
      <w:r w:rsidRPr="00454ABF">
        <w:rPr>
          <w:rFonts w:ascii="Calibri" w:eastAsia="Calibri" w:hAnsi="Calibri"/>
          <w:kern w:val="2"/>
          <w:sz w:val="22"/>
          <w:szCs w:val="22"/>
          <w14:ligatures w14:val="standardContextual"/>
        </w:rPr>
        <w:t>declare</w:t>
      </w:r>
      <w:proofErr w:type="gramEnd"/>
      <w:r w:rsidRPr="00454ABF">
        <w:rPr>
          <w:rFonts w:ascii="Calibri" w:eastAsia="Calibri" w:hAnsi="Calibri"/>
          <w:kern w:val="2"/>
          <w:sz w:val="22"/>
          <w:szCs w:val="22"/>
          <w14:ligatures w14:val="standardContextual"/>
        </w:rPr>
        <w:t xml:space="preserve"> that NO generative AI technologies such as Large Language Models (ChatGPT, COPILOT, etc.) and text-to-image generators have been used during the writing or editing of this manuscript. </w:t>
      </w:r>
    </w:p>
    <w:p w14:paraId="7099D5AA" w14:textId="77777777" w:rsidR="00865FE4" w:rsidRDefault="00865FE4" w:rsidP="007C0428">
      <w:pPr>
        <w:pStyle w:val="ReferHead"/>
        <w:spacing w:after="0"/>
        <w:rPr>
          <w:rFonts w:ascii="Arial" w:hAnsi="Arial" w:cs="Arial"/>
          <w:b w:val="0"/>
          <w:caps w:val="0"/>
          <w:sz w:val="20"/>
          <w:lang w:eastAsia="fr-FR"/>
        </w:rPr>
      </w:pPr>
    </w:p>
    <w:p w14:paraId="4B72B0EE" w14:textId="77777777" w:rsidR="0067382D" w:rsidRPr="005B73E9" w:rsidRDefault="0067382D" w:rsidP="007C0428">
      <w:pPr>
        <w:pStyle w:val="ReferHead"/>
        <w:spacing w:after="0"/>
        <w:rPr>
          <w:rFonts w:ascii="Arial" w:hAnsi="Arial" w:cs="Arial"/>
          <w:b w:val="0"/>
          <w:caps w:val="0"/>
          <w:sz w:val="20"/>
          <w:lang w:eastAsia="fr-FR"/>
        </w:rPr>
      </w:pPr>
    </w:p>
    <w:p w14:paraId="09FA6F5C" w14:textId="77777777" w:rsidR="00B01FCD" w:rsidRDefault="00B01FCD" w:rsidP="007C0428">
      <w:pPr>
        <w:pStyle w:val="ReferHead"/>
        <w:spacing w:after="0"/>
        <w:rPr>
          <w:rFonts w:ascii="Arial" w:hAnsi="Arial" w:cs="Arial"/>
        </w:rPr>
      </w:pPr>
      <w:r w:rsidRPr="00FB3A86">
        <w:rPr>
          <w:rFonts w:ascii="Arial" w:hAnsi="Arial" w:cs="Arial"/>
        </w:rPr>
        <w:t>References</w:t>
      </w:r>
    </w:p>
    <w:p w14:paraId="3418DB56" w14:textId="77777777" w:rsidR="001E30A4" w:rsidRPr="001E30A4" w:rsidRDefault="001E30A4" w:rsidP="007C0428">
      <w:pPr>
        <w:spacing w:after="210" w:line="360" w:lineRule="auto"/>
        <w:rPr>
          <w:rFonts w:ascii="Arial" w:hAnsi="Arial" w:cs="Arial"/>
        </w:rPr>
      </w:pPr>
    </w:p>
    <w:p w14:paraId="38A3427E"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Al-</w:t>
      </w:r>
      <w:proofErr w:type="spellStart"/>
      <w:r w:rsidRPr="001E30A4">
        <w:rPr>
          <w:rFonts w:ascii="Arial" w:eastAsia="inter" w:hAnsi="Arial" w:cs="Arial"/>
          <w:color w:val="000000"/>
        </w:rPr>
        <w:t>Sofiani</w:t>
      </w:r>
      <w:proofErr w:type="spellEnd"/>
      <w:r w:rsidRPr="001E30A4">
        <w:rPr>
          <w:rFonts w:ascii="Arial" w:eastAsia="inter" w:hAnsi="Arial" w:cs="Arial"/>
          <w:color w:val="000000"/>
        </w:rPr>
        <w:t xml:space="preserve">, M. E., Ganji, S. S., &amp; Kalyani, R. R. (2021). Body composition, sarcopenia, and </w:t>
      </w:r>
      <w:proofErr w:type="spellStart"/>
      <w:r w:rsidRPr="001E30A4">
        <w:rPr>
          <w:rFonts w:ascii="Arial" w:eastAsia="inter" w:hAnsi="Arial" w:cs="Arial"/>
          <w:color w:val="000000"/>
        </w:rPr>
        <w:t>osteosarcopenic</w:t>
      </w:r>
      <w:proofErr w:type="spellEnd"/>
      <w:r w:rsidRPr="001E30A4">
        <w:rPr>
          <w:rFonts w:ascii="Arial" w:eastAsia="inter" w:hAnsi="Arial" w:cs="Arial"/>
          <w:color w:val="000000"/>
        </w:rPr>
        <w:t xml:space="preserve"> obesity in older adults with diabetes. </w:t>
      </w:r>
      <w:r w:rsidRPr="001E30A4">
        <w:rPr>
          <w:rFonts w:ascii="Arial" w:eastAsia="inter" w:hAnsi="Arial" w:cs="Arial"/>
          <w:i/>
          <w:color w:val="000000"/>
        </w:rPr>
        <w:t>Diabetes, Metabolic Syndrome and Obesity: Targets and Therapy, 14</w:t>
      </w:r>
      <w:r w:rsidRPr="001E30A4">
        <w:rPr>
          <w:rFonts w:ascii="Arial" w:eastAsia="inter" w:hAnsi="Arial" w:cs="Arial"/>
          <w:color w:val="000000"/>
        </w:rPr>
        <w:t xml:space="preserve">, 2849–2861. </w:t>
      </w:r>
      <w:hyperlink r:id="rId8">
        <w:r w:rsidRPr="001E30A4">
          <w:rPr>
            <w:rFonts w:ascii="Arial" w:eastAsia="inter" w:hAnsi="Arial" w:cs="Arial"/>
            <w:u w:val="single"/>
          </w:rPr>
          <w:t>https://doi.org/10.2147/DMSO.S269399</w:t>
        </w:r>
      </w:hyperlink>
    </w:p>
    <w:p w14:paraId="6A3AA3DA" w14:textId="77777777" w:rsidR="001E30A4" w:rsidRPr="001E30A4" w:rsidRDefault="001E30A4" w:rsidP="007C0428">
      <w:pPr>
        <w:spacing w:after="210" w:line="360" w:lineRule="auto"/>
        <w:rPr>
          <w:rFonts w:ascii="Arial" w:hAnsi="Arial" w:cs="Arial"/>
        </w:rPr>
      </w:pPr>
      <w:proofErr w:type="spellStart"/>
      <w:r w:rsidRPr="001E30A4">
        <w:rPr>
          <w:rFonts w:ascii="Arial" w:eastAsia="inter" w:hAnsi="Arial" w:cs="Arial"/>
          <w:color w:val="000000"/>
        </w:rPr>
        <w:t>Aminde</w:t>
      </w:r>
      <w:proofErr w:type="spellEnd"/>
      <w:r w:rsidRPr="001E30A4">
        <w:rPr>
          <w:rFonts w:ascii="Arial" w:eastAsia="inter" w:hAnsi="Arial" w:cs="Arial"/>
          <w:color w:val="000000"/>
        </w:rPr>
        <w:t xml:space="preserve">, L. N., </w:t>
      </w:r>
      <w:proofErr w:type="spellStart"/>
      <w:r w:rsidRPr="001E30A4">
        <w:rPr>
          <w:rFonts w:ascii="Arial" w:eastAsia="inter" w:hAnsi="Arial" w:cs="Arial"/>
          <w:color w:val="000000"/>
        </w:rPr>
        <w:t>Tindong</w:t>
      </w:r>
      <w:proofErr w:type="spellEnd"/>
      <w:r w:rsidRPr="001E30A4">
        <w:rPr>
          <w:rFonts w:ascii="Arial" w:eastAsia="inter" w:hAnsi="Arial" w:cs="Arial"/>
          <w:color w:val="000000"/>
        </w:rPr>
        <w:t xml:space="preserve">, M., Ngwasiri, C. A., Ambe, L. A., &amp; </w:t>
      </w:r>
      <w:proofErr w:type="spellStart"/>
      <w:r w:rsidRPr="001E30A4">
        <w:rPr>
          <w:rFonts w:ascii="Arial" w:eastAsia="inter" w:hAnsi="Arial" w:cs="Arial"/>
          <w:color w:val="000000"/>
        </w:rPr>
        <w:t>Njim</w:t>
      </w:r>
      <w:proofErr w:type="spellEnd"/>
      <w:r w:rsidRPr="001E30A4">
        <w:rPr>
          <w:rFonts w:ascii="Arial" w:eastAsia="inter" w:hAnsi="Arial" w:cs="Arial"/>
          <w:color w:val="000000"/>
        </w:rPr>
        <w:t xml:space="preserve">, T. (2017). The epidemiology of metabolic syndrome in </w:t>
      </w:r>
      <w:proofErr w:type="gramStart"/>
      <w:r w:rsidRPr="001E30A4">
        <w:rPr>
          <w:rFonts w:ascii="Arial" w:eastAsia="inter" w:hAnsi="Arial" w:cs="Arial"/>
          <w:color w:val="000000"/>
        </w:rPr>
        <w:t>Cameroon :</w:t>
      </w:r>
      <w:proofErr w:type="gramEnd"/>
      <w:r w:rsidRPr="001E30A4">
        <w:rPr>
          <w:rFonts w:ascii="Arial" w:eastAsia="inter" w:hAnsi="Arial" w:cs="Arial"/>
          <w:color w:val="000000"/>
        </w:rPr>
        <w:t xml:space="preserve"> A systematic review. </w:t>
      </w:r>
      <w:r w:rsidRPr="001E30A4">
        <w:rPr>
          <w:rFonts w:ascii="Arial" w:eastAsia="inter" w:hAnsi="Arial" w:cs="Arial"/>
          <w:i/>
          <w:color w:val="000000"/>
        </w:rPr>
        <w:t>BMC Cardiovascular Disorders, 17</w:t>
      </w:r>
      <w:r w:rsidRPr="001E30A4">
        <w:rPr>
          <w:rFonts w:ascii="Arial" w:eastAsia="inter" w:hAnsi="Arial" w:cs="Arial"/>
          <w:color w:val="000000"/>
        </w:rPr>
        <w:t xml:space="preserve">(1), 44.  </w:t>
      </w:r>
      <w:hyperlink r:id="rId9">
        <w:r w:rsidRPr="001E30A4">
          <w:rPr>
            <w:rFonts w:ascii="Arial" w:eastAsia="inter" w:hAnsi="Arial" w:cs="Arial"/>
            <w:u w:val="single"/>
          </w:rPr>
          <w:t>https://doi.org/10.1186/s12872-017-0476-5</w:t>
        </w:r>
      </w:hyperlink>
      <w:r w:rsidRPr="001E30A4">
        <w:rPr>
          <w:rFonts w:ascii="Arial" w:eastAsia="inter" w:hAnsi="Arial" w:cs="Arial"/>
          <w:u w:val="single"/>
        </w:rPr>
        <w:t xml:space="preserve"> </w:t>
      </w:r>
    </w:p>
    <w:p w14:paraId="66ACD85B"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Batsis, J. A., Mackenzie, T. A., Barre, L. K., Lopez-Jimenez, F., &amp; Bartels, S. J. (2014). Sarcopenia, sarcopenic obesity and mortality in older adults: Results from the National Health and Nutrition </w:t>
      </w:r>
      <w:r w:rsidRPr="001E30A4">
        <w:rPr>
          <w:rFonts w:ascii="Arial" w:eastAsia="inter" w:hAnsi="Arial" w:cs="Arial"/>
          <w:color w:val="000000"/>
        </w:rPr>
        <w:lastRenderedPageBreak/>
        <w:t xml:space="preserve">Examination Survey III. </w:t>
      </w:r>
      <w:r w:rsidRPr="001E30A4">
        <w:rPr>
          <w:rFonts w:ascii="Arial" w:eastAsia="inter" w:hAnsi="Arial" w:cs="Arial"/>
          <w:i/>
          <w:color w:val="000000"/>
        </w:rPr>
        <w:t>European Journal of Clinical Nutrition, 68</w:t>
      </w:r>
      <w:r w:rsidRPr="001E30A4">
        <w:rPr>
          <w:rFonts w:ascii="Arial" w:eastAsia="inter" w:hAnsi="Arial" w:cs="Arial"/>
          <w:color w:val="000000"/>
        </w:rPr>
        <w:t xml:space="preserve">(9), 1001–1007. </w:t>
      </w:r>
      <w:hyperlink r:id="rId10">
        <w:r w:rsidRPr="001E30A4">
          <w:rPr>
            <w:rFonts w:ascii="Arial" w:eastAsia="inter" w:hAnsi="Arial" w:cs="Arial"/>
            <w:u w:val="single"/>
          </w:rPr>
          <w:t>https://doi.org/10.1038/ejcn.2014.117</w:t>
        </w:r>
      </w:hyperlink>
    </w:p>
    <w:p w14:paraId="0FF5060F" w14:textId="77777777" w:rsidR="001E30A4" w:rsidRPr="001E30A4" w:rsidRDefault="001E30A4" w:rsidP="007C0428">
      <w:pPr>
        <w:spacing w:after="210" w:line="360" w:lineRule="auto"/>
        <w:rPr>
          <w:rFonts w:ascii="Arial" w:eastAsia="inter" w:hAnsi="Arial" w:cs="Arial"/>
          <w:u w:val="single"/>
        </w:rPr>
      </w:pPr>
      <w:r w:rsidRPr="001E30A4">
        <w:rPr>
          <w:rFonts w:ascii="Arial" w:eastAsia="inter" w:hAnsi="Arial" w:cs="Arial"/>
          <w:color w:val="000000"/>
        </w:rPr>
        <w:t xml:space="preserve">Cruz-Jentoft, A. J., Bahat, G., Bauer, J., </w:t>
      </w:r>
      <w:proofErr w:type="spellStart"/>
      <w:r w:rsidRPr="001E30A4">
        <w:rPr>
          <w:rFonts w:ascii="Arial" w:eastAsia="inter" w:hAnsi="Arial" w:cs="Arial"/>
          <w:color w:val="000000"/>
        </w:rPr>
        <w:t>Boirie</w:t>
      </w:r>
      <w:proofErr w:type="spellEnd"/>
      <w:r w:rsidRPr="001E30A4">
        <w:rPr>
          <w:rFonts w:ascii="Arial" w:eastAsia="inter" w:hAnsi="Arial" w:cs="Arial"/>
          <w:color w:val="000000"/>
        </w:rPr>
        <w:t xml:space="preserve">, Y., Bruyère, O., Cederholm, T., ... &amp; Cesari, M. (2019). </w:t>
      </w:r>
      <w:proofErr w:type="gramStart"/>
      <w:r w:rsidRPr="001E30A4">
        <w:rPr>
          <w:rFonts w:ascii="Arial" w:eastAsia="inter" w:hAnsi="Arial" w:cs="Arial"/>
          <w:color w:val="000000"/>
        </w:rPr>
        <w:t>Sarcopenia :</w:t>
      </w:r>
      <w:proofErr w:type="gramEnd"/>
      <w:r w:rsidRPr="001E30A4">
        <w:rPr>
          <w:rFonts w:ascii="Arial" w:eastAsia="inter" w:hAnsi="Arial" w:cs="Arial"/>
          <w:color w:val="000000"/>
        </w:rPr>
        <w:t xml:space="preserve"> Revised European consensus on definition and diagnosis. </w:t>
      </w:r>
      <w:r w:rsidRPr="001E30A4">
        <w:rPr>
          <w:rFonts w:ascii="Arial" w:eastAsia="inter" w:hAnsi="Arial" w:cs="Arial"/>
          <w:i/>
          <w:color w:val="000000"/>
        </w:rPr>
        <w:t>Age and Ageing, 48</w:t>
      </w:r>
      <w:r w:rsidRPr="001E30A4">
        <w:rPr>
          <w:rFonts w:ascii="Arial" w:eastAsia="inter" w:hAnsi="Arial" w:cs="Arial"/>
          <w:color w:val="000000"/>
        </w:rPr>
        <w:t xml:space="preserve">(1), 16–31. </w:t>
      </w:r>
      <w:hyperlink r:id="rId11">
        <w:r w:rsidRPr="001E30A4">
          <w:rPr>
            <w:rFonts w:ascii="Arial" w:eastAsia="inter" w:hAnsi="Arial" w:cs="Arial"/>
            <w:u w:val="single"/>
          </w:rPr>
          <w:t>https://doi.org/10.1093/ageing/afy169</w:t>
        </w:r>
      </w:hyperlink>
      <w:r w:rsidRPr="001E30A4">
        <w:rPr>
          <w:rFonts w:ascii="Arial" w:eastAsia="inter" w:hAnsi="Arial" w:cs="Arial"/>
          <w:u w:val="single"/>
        </w:rPr>
        <w:t xml:space="preserve"> </w:t>
      </w:r>
    </w:p>
    <w:p w14:paraId="45F62F9C" w14:textId="6178FA4C" w:rsidR="001E30A4" w:rsidRDefault="001E30A4" w:rsidP="007C0428">
      <w:pPr>
        <w:spacing w:after="210" w:line="360" w:lineRule="auto"/>
        <w:rPr>
          <w:rFonts w:ascii="Arial" w:hAnsi="Arial" w:cs="Arial"/>
        </w:rPr>
      </w:pPr>
      <w:r w:rsidRPr="001E30A4">
        <w:rPr>
          <w:rFonts w:ascii="Arial" w:hAnsi="Arial" w:cs="Arial"/>
        </w:rPr>
        <w:t xml:space="preserve">Degbe, M., Doh, N., Akakpo, A. W. M., Melila, M., Tete-Benissan, A. K., &amp; </w:t>
      </w:r>
      <w:proofErr w:type="spellStart"/>
      <w:r w:rsidRPr="001E30A4">
        <w:rPr>
          <w:rFonts w:ascii="Arial" w:hAnsi="Arial" w:cs="Arial"/>
        </w:rPr>
        <w:t>Metowogo</w:t>
      </w:r>
      <w:proofErr w:type="spellEnd"/>
      <w:r w:rsidRPr="001E30A4">
        <w:rPr>
          <w:rFonts w:ascii="Arial" w:hAnsi="Arial" w:cs="Arial"/>
        </w:rPr>
        <w:t xml:space="preserve">, K. (2025). Prevalence of hepatitis B and C viral infections among biology undergraduates at the University of Lomé (Togo) and associated risk factors., Int. J. Biol. Chem. Sci., June 2025, Volume 19, Number 3.  </w:t>
      </w:r>
    </w:p>
    <w:p w14:paraId="6AE75C2E" w14:textId="77777777" w:rsidR="00F57291" w:rsidRDefault="00F57291" w:rsidP="007C0428">
      <w:pPr>
        <w:rPr>
          <w:lang w:val="en-GB"/>
        </w:rPr>
      </w:pPr>
      <w:r w:rsidRPr="00D948D1">
        <w:rPr>
          <w:lang w:val="en-GB"/>
        </w:rPr>
        <w:t xml:space="preserve">Diao, Y., Tang, J., Wang, X., Deng, W., Tang, J., &amp; You, C. (2023). Metabolic syndrome, </w:t>
      </w:r>
      <w:proofErr w:type="spellStart"/>
      <w:r w:rsidRPr="00D948D1">
        <w:rPr>
          <w:lang w:val="en-GB"/>
        </w:rPr>
        <w:t>nonalcoholic</w:t>
      </w:r>
      <w:proofErr w:type="spellEnd"/>
      <w:r w:rsidRPr="00D948D1">
        <w:rPr>
          <w:lang w:val="en-GB"/>
        </w:rPr>
        <w:t xml:space="preserve"> fatty liver disease, and chronic hepatitis B: a narrative review. Infectious Diseases and Therapy, 12(1), 53-66.</w:t>
      </w:r>
    </w:p>
    <w:p w14:paraId="792711EB" w14:textId="48C83BA2" w:rsidR="00F57291" w:rsidRPr="001E30A4" w:rsidRDefault="00F57291" w:rsidP="007C0428">
      <w:pPr>
        <w:spacing w:after="210" w:line="360" w:lineRule="auto"/>
        <w:rPr>
          <w:rFonts w:ascii="Arial" w:hAnsi="Arial" w:cs="Arial"/>
        </w:rPr>
      </w:pPr>
      <w:hyperlink r:id="rId12" w:history="1">
        <w:r w:rsidRPr="001B23CE">
          <w:rPr>
            <w:rStyle w:val="Hyperlink"/>
            <w:lang w:val="en-GB"/>
          </w:rPr>
          <w:t>https://link.springer.com/article/10.1007/s40121-022-00725-6</w:t>
        </w:r>
      </w:hyperlink>
    </w:p>
    <w:p w14:paraId="108D5C6D" w14:textId="77777777" w:rsidR="001E30A4" w:rsidRPr="001E30A4" w:rsidRDefault="001E30A4" w:rsidP="007C0428">
      <w:pPr>
        <w:spacing w:after="210" w:line="360" w:lineRule="auto"/>
        <w:rPr>
          <w:rFonts w:ascii="Arial" w:hAnsi="Arial" w:cs="Arial"/>
        </w:rPr>
      </w:pPr>
      <w:proofErr w:type="spellStart"/>
      <w:r w:rsidRPr="001E30A4">
        <w:rPr>
          <w:rFonts w:ascii="Arial" w:eastAsia="inter" w:hAnsi="Arial" w:cs="Arial"/>
          <w:color w:val="000000"/>
        </w:rPr>
        <w:t>Deurenberg</w:t>
      </w:r>
      <w:proofErr w:type="spellEnd"/>
      <w:r w:rsidRPr="001E30A4">
        <w:rPr>
          <w:rFonts w:ascii="Arial" w:eastAsia="inter" w:hAnsi="Arial" w:cs="Arial"/>
          <w:color w:val="000000"/>
        </w:rPr>
        <w:t xml:space="preserve">, P., </w:t>
      </w:r>
      <w:proofErr w:type="spellStart"/>
      <w:r w:rsidRPr="001E30A4">
        <w:rPr>
          <w:rFonts w:ascii="Arial" w:eastAsia="inter" w:hAnsi="Arial" w:cs="Arial"/>
          <w:color w:val="000000"/>
        </w:rPr>
        <w:t>Deurenberg</w:t>
      </w:r>
      <w:proofErr w:type="spellEnd"/>
      <w:r w:rsidRPr="001E30A4">
        <w:rPr>
          <w:rFonts w:ascii="Arial" w:eastAsia="inter" w:hAnsi="Arial" w:cs="Arial"/>
          <w:color w:val="000000"/>
        </w:rPr>
        <w:t xml:space="preserve">-Yap, M., &amp; Guricci, S. (2002). Asians are different from Caucasians and from each other in their body mass index/body fat per cent relationship. </w:t>
      </w:r>
      <w:r w:rsidRPr="001E30A4">
        <w:rPr>
          <w:rFonts w:ascii="Arial" w:eastAsia="inter" w:hAnsi="Arial" w:cs="Arial"/>
          <w:i/>
          <w:color w:val="000000"/>
        </w:rPr>
        <w:t>Obesity Reviews, 3</w:t>
      </w:r>
      <w:r w:rsidRPr="001E30A4">
        <w:rPr>
          <w:rFonts w:ascii="Arial" w:eastAsia="inter" w:hAnsi="Arial" w:cs="Arial"/>
          <w:color w:val="000000"/>
        </w:rPr>
        <w:t xml:space="preserve">(3), 141–146. </w:t>
      </w:r>
      <w:hyperlink r:id="rId13">
        <w:r w:rsidRPr="001E30A4">
          <w:rPr>
            <w:rFonts w:ascii="Arial" w:eastAsia="inter" w:hAnsi="Arial" w:cs="Arial"/>
            <w:u w:val="single"/>
          </w:rPr>
          <w:t>https://doi.org/10.1046/j.1467-789x.2002.00065.x</w:t>
        </w:r>
      </w:hyperlink>
    </w:p>
    <w:p w14:paraId="1A1F7287" w14:textId="09359857" w:rsidR="001E30A4" w:rsidRPr="001E30A4" w:rsidRDefault="001E30A4" w:rsidP="007C0428">
      <w:pPr>
        <w:spacing w:after="210" w:line="360" w:lineRule="auto"/>
        <w:rPr>
          <w:rFonts w:ascii="Arial" w:eastAsia="inter" w:hAnsi="Arial" w:cs="Arial"/>
          <w:u w:val="single"/>
        </w:rPr>
      </w:pPr>
      <w:r w:rsidRPr="001E30A4">
        <w:rPr>
          <w:rFonts w:ascii="Arial" w:eastAsia="inter" w:hAnsi="Arial" w:cs="Arial"/>
          <w:color w:val="000000"/>
        </w:rPr>
        <w:t xml:space="preserve">Fain, J. N. (2010). Release of inflammatory mediators by human adipose tissue is enhanced in obesity and primarily by the nonfat </w:t>
      </w:r>
      <w:r w:rsidR="00E563CC" w:rsidRPr="001E30A4">
        <w:rPr>
          <w:rFonts w:ascii="Arial" w:eastAsia="inter" w:hAnsi="Arial" w:cs="Arial"/>
          <w:color w:val="000000"/>
        </w:rPr>
        <w:t>cells:</w:t>
      </w:r>
      <w:r w:rsidRPr="001E30A4">
        <w:rPr>
          <w:rFonts w:ascii="Arial" w:eastAsia="inter" w:hAnsi="Arial" w:cs="Arial"/>
          <w:color w:val="000000"/>
        </w:rPr>
        <w:t xml:space="preserve"> A review. </w:t>
      </w:r>
      <w:r w:rsidRPr="001E30A4">
        <w:rPr>
          <w:rFonts w:ascii="Arial" w:eastAsia="inter" w:hAnsi="Arial" w:cs="Arial"/>
          <w:i/>
          <w:color w:val="000000"/>
        </w:rPr>
        <w:t>Mediators of Inflammation, 2010</w:t>
      </w:r>
      <w:r w:rsidRPr="001E30A4">
        <w:rPr>
          <w:rFonts w:ascii="Arial" w:eastAsia="inter" w:hAnsi="Arial" w:cs="Arial"/>
          <w:color w:val="000000"/>
        </w:rPr>
        <w:t xml:space="preserve">, 513948. </w:t>
      </w:r>
      <w:hyperlink r:id="rId14">
        <w:r w:rsidRPr="001E30A4">
          <w:rPr>
            <w:rFonts w:ascii="Arial" w:eastAsia="inter" w:hAnsi="Arial" w:cs="Arial"/>
            <w:u w:val="single"/>
          </w:rPr>
          <w:t>https://doi.org/10.1155/2010/513948</w:t>
        </w:r>
      </w:hyperlink>
    </w:p>
    <w:p w14:paraId="43796FF9" w14:textId="77777777" w:rsidR="001E30A4" w:rsidRPr="001E30A4" w:rsidRDefault="001E30A4" w:rsidP="007C0428">
      <w:pPr>
        <w:spacing w:after="210" w:line="360" w:lineRule="auto"/>
        <w:rPr>
          <w:rFonts w:ascii="Arial" w:hAnsi="Arial" w:cs="Arial"/>
        </w:rPr>
      </w:pPr>
      <w:r w:rsidRPr="001E30A4">
        <w:rPr>
          <w:rFonts w:ascii="Arial" w:hAnsi="Arial" w:cs="Arial"/>
        </w:rPr>
        <w:t xml:space="preserve">Gallagher, D., </w:t>
      </w:r>
      <w:proofErr w:type="spellStart"/>
      <w:r w:rsidRPr="001E30A4">
        <w:rPr>
          <w:rFonts w:ascii="Arial" w:hAnsi="Arial" w:cs="Arial"/>
        </w:rPr>
        <w:t>Heymsfield</w:t>
      </w:r>
      <w:proofErr w:type="spellEnd"/>
      <w:r w:rsidRPr="001E30A4">
        <w:rPr>
          <w:rFonts w:ascii="Arial" w:hAnsi="Arial" w:cs="Arial"/>
        </w:rPr>
        <w:t>, S. B., Heo, M., Jebb, S. A., Murgatroyd, P. R., &amp; Sakamoto, Y. (2000). Healthy percentage body fat ranges: an approach for developing guidelines based on body mass index. The American Journal of Clinical Nutrition, 72(3), 694–701. https://doi.org/10.1093/ajcn/72.3.694</w:t>
      </w:r>
    </w:p>
    <w:p w14:paraId="24C96F83"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Hruby, A., &amp; Hu, F. B. (2015). The epidemiology of obesity: A big picture. </w:t>
      </w:r>
      <w:proofErr w:type="spellStart"/>
      <w:r w:rsidRPr="001E30A4">
        <w:rPr>
          <w:rFonts w:ascii="Arial" w:eastAsia="inter" w:hAnsi="Arial" w:cs="Arial"/>
          <w:i/>
          <w:color w:val="000000"/>
        </w:rPr>
        <w:t>PharmacoEconomics</w:t>
      </w:r>
      <w:proofErr w:type="spellEnd"/>
      <w:r w:rsidRPr="001E30A4">
        <w:rPr>
          <w:rFonts w:ascii="Arial" w:eastAsia="inter" w:hAnsi="Arial" w:cs="Arial"/>
          <w:i/>
          <w:color w:val="000000"/>
        </w:rPr>
        <w:t>, 33</w:t>
      </w:r>
      <w:r w:rsidRPr="001E30A4">
        <w:rPr>
          <w:rFonts w:ascii="Arial" w:eastAsia="inter" w:hAnsi="Arial" w:cs="Arial"/>
          <w:color w:val="000000"/>
        </w:rPr>
        <w:t xml:space="preserve">(7), 673–689. </w:t>
      </w:r>
      <w:hyperlink r:id="rId15">
        <w:r w:rsidRPr="001E30A4">
          <w:rPr>
            <w:rFonts w:ascii="Arial" w:eastAsia="inter" w:hAnsi="Arial" w:cs="Arial"/>
            <w:u w:val="single"/>
          </w:rPr>
          <w:t>https://doi.org/10.1007/s40273-014-0243-x</w:t>
        </w:r>
      </w:hyperlink>
    </w:p>
    <w:p w14:paraId="5EC7B613"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International Diabetes Federation. (2021). </w:t>
      </w:r>
      <w:r w:rsidRPr="001E30A4">
        <w:rPr>
          <w:rFonts w:ascii="Arial" w:eastAsia="inter" w:hAnsi="Arial" w:cs="Arial"/>
          <w:i/>
          <w:color w:val="000000"/>
        </w:rPr>
        <w:t>IDF diabetes atlas</w:t>
      </w:r>
      <w:r w:rsidRPr="001E30A4">
        <w:rPr>
          <w:rFonts w:ascii="Arial" w:eastAsia="inter" w:hAnsi="Arial" w:cs="Arial"/>
          <w:color w:val="000000"/>
        </w:rPr>
        <w:t xml:space="preserve"> (10th ed.). International Diabetes Federation.</w:t>
      </w:r>
    </w:p>
    <w:p w14:paraId="2EA0EDAA" w14:textId="77777777" w:rsidR="001E30A4" w:rsidRPr="001E30A4" w:rsidRDefault="001E30A4" w:rsidP="007C0428">
      <w:pPr>
        <w:spacing w:after="210" w:line="360" w:lineRule="auto"/>
        <w:rPr>
          <w:rFonts w:ascii="Arial" w:hAnsi="Arial" w:cs="Arial"/>
        </w:rPr>
      </w:pPr>
      <w:proofErr w:type="spellStart"/>
      <w:r w:rsidRPr="001E30A4">
        <w:rPr>
          <w:rFonts w:ascii="Arial" w:eastAsia="inter" w:hAnsi="Arial" w:cs="Arial"/>
          <w:color w:val="000000"/>
        </w:rPr>
        <w:t>Kouamé</w:t>
      </w:r>
      <w:proofErr w:type="spellEnd"/>
      <w:r w:rsidRPr="001E30A4">
        <w:rPr>
          <w:rFonts w:ascii="Arial" w:eastAsia="inter" w:hAnsi="Arial" w:cs="Arial"/>
          <w:color w:val="000000"/>
        </w:rPr>
        <w:t xml:space="preserve">, C., Faye, A., </w:t>
      </w:r>
      <w:proofErr w:type="spellStart"/>
      <w:r w:rsidRPr="001E30A4">
        <w:rPr>
          <w:rFonts w:ascii="Arial" w:eastAsia="inter" w:hAnsi="Arial" w:cs="Arial"/>
          <w:color w:val="000000"/>
        </w:rPr>
        <w:t>Debonne</w:t>
      </w:r>
      <w:proofErr w:type="spellEnd"/>
      <w:r w:rsidRPr="001E30A4">
        <w:rPr>
          <w:rFonts w:ascii="Arial" w:eastAsia="inter" w:hAnsi="Arial" w:cs="Arial"/>
          <w:color w:val="000000"/>
        </w:rPr>
        <w:t xml:space="preserve">, J. M., Vanga-Bosson, A. H., &amp; N'Dri-Yoman, T. (2021). </w:t>
      </w:r>
      <w:proofErr w:type="spellStart"/>
      <w:r w:rsidRPr="001E30A4">
        <w:rPr>
          <w:rFonts w:ascii="Arial" w:eastAsia="inter" w:hAnsi="Arial" w:cs="Arial"/>
          <w:color w:val="000000"/>
        </w:rPr>
        <w:t>Séroprévalence</w:t>
      </w:r>
      <w:proofErr w:type="spellEnd"/>
      <w:r w:rsidRPr="001E30A4">
        <w:rPr>
          <w:rFonts w:ascii="Arial" w:eastAsia="inter" w:hAnsi="Arial" w:cs="Arial"/>
          <w:color w:val="000000"/>
        </w:rPr>
        <w:t xml:space="preserve"> de </w:t>
      </w:r>
      <w:proofErr w:type="spellStart"/>
      <w:r w:rsidRPr="001E30A4">
        <w:rPr>
          <w:rFonts w:ascii="Arial" w:eastAsia="inter" w:hAnsi="Arial" w:cs="Arial"/>
          <w:color w:val="000000"/>
        </w:rPr>
        <w:t>l’hépatite</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virale</w:t>
      </w:r>
      <w:proofErr w:type="spellEnd"/>
      <w:r w:rsidRPr="001E30A4">
        <w:rPr>
          <w:rFonts w:ascii="Arial" w:eastAsia="inter" w:hAnsi="Arial" w:cs="Arial"/>
          <w:color w:val="000000"/>
        </w:rPr>
        <w:t xml:space="preserve"> B et </w:t>
      </w:r>
      <w:proofErr w:type="spellStart"/>
      <w:r w:rsidRPr="001E30A4">
        <w:rPr>
          <w:rFonts w:ascii="Arial" w:eastAsia="inter" w:hAnsi="Arial" w:cs="Arial"/>
          <w:color w:val="000000"/>
        </w:rPr>
        <w:t>facteurs</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associés</w:t>
      </w:r>
      <w:proofErr w:type="spellEnd"/>
      <w:r w:rsidRPr="001E30A4">
        <w:rPr>
          <w:rFonts w:ascii="Arial" w:eastAsia="inter" w:hAnsi="Arial" w:cs="Arial"/>
          <w:color w:val="000000"/>
        </w:rPr>
        <w:t xml:space="preserve"> chez les </w:t>
      </w:r>
      <w:proofErr w:type="gramStart"/>
      <w:r w:rsidRPr="001E30A4">
        <w:rPr>
          <w:rFonts w:ascii="Arial" w:eastAsia="inter" w:hAnsi="Arial" w:cs="Arial"/>
          <w:color w:val="000000"/>
        </w:rPr>
        <w:t>femmes</w:t>
      </w:r>
      <w:proofErr w:type="gramEnd"/>
      <w:r w:rsidRPr="001E30A4">
        <w:rPr>
          <w:rFonts w:ascii="Arial" w:eastAsia="inter" w:hAnsi="Arial" w:cs="Arial"/>
          <w:color w:val="000000"/>
        </w:rPr>
        <w:t xml:space="preserve"> enceintes à Abidjan, Côte d’Ivoire. </w:t>
      </w:r>
      <w:r w:rsidRPr="001E30A4">
        <w:rPr>
          <w:rFonts w:ascii="Arial" w:eastAsia="inter" w:hAnsi="Arial" w:cs="Arial"/>
          <w:i/>
          <w:color w:val="000000"/>
        </w:rPr>
        <w:t xml:space="preserve">Revue de </w:t>
      </w:r>
      <w:proofErr w:type="spellStart"/>
      <w:r w:rsidRPr="001E30A4">
        <w:rPr>
          <w:rFonts w:ascii="Arial" w:eastAsia="inter" w:hAnsi="Arial" w:cs="Arial"/>
          <w:i/>
          <w:color w:val="000000"/>
        </w:rPr>
        <w:t>Médecine</w:t>
      </w:r>
      <w:proofErr w:type="spellEnd"/>
      <w:r w:rsidRPr="001E30A4">
        <w:rPr>
          <w:rFonts w:ascii="Arial" w:eastAsia="inter" w:hAnsi="Arial" w:cs="Arial"/>
          <w:i/>
          <w:color w:val="000000"/>
        </w:rPr>
        <w:t xml:space="preserve"> et de </w:t>
      </w:r>
      <w:proofErr w:type="spellStart"/>
      <w:r w:rsidRPr="001E30A4">
        <w:rPr>
          <w:rFonts w:ascii="Arial" w:eastAsia="inter" w:hAnsi="Arial" w:cs="Arial"/>
          <w:i/>
          <w:color w:val="000000"/>
        </w:rPr>
        <w:t>Pharmacie</w:t>
      </w:r>
      <w:proofErr w:type="spellEnd"/>
      <w:r w:rsidRPr="001E30A4">
        <w:rPr>
          <w:rFonts w:ascii="Arial" w:eastAsia="inter" w:hAnsi="Arial" w:cs="Arial"/>
          <w:i/>
          <w:color w:val="000000"/>
        </w:rPr>
        <w:t>, 11</w:t>
      </w:r>
      <w:r w:rsidRPr="001E30A4">
        <w:rPr>
          <w:rFonts w:ascii="Arial" w:eastAsia="inter" w:hAnsi="Arial" w:cs="Arial"/>
          <w:color w:val="000000"/>
        </w:rPr>
        <w:t xml:space="preserve">(1).  </w:t>
      </w:r>
    </w:p>
    <w:p w14:paraId="6ECA68C6" w14:textId="77777777" w:rsidR="001E30A4" w:rsidRPr="001E30A4" w:rsidRDefault="001E30A4" w:rsidP="007C0428">
      <w:pPr>
        <w:spacing w:after="210" w:line="360" w:lineRule="auto"/>
        <w:rPr>
          <w:rFonts w:ascii="Arial" w:eastAsia="inter" w:hAnsi="Arial" w:cs="Arial"/>
          <w:color w:val="000000"/>
        </w:rPr>
      </w:pPr>
      <w:r w:rsidRPr="001E30A4">
        <w:rPr>
          <w:rFonts w:ascii="Arial" w:eastAsia="inter" w:hAnsi="Arial" w:cs="Arial"/>
          <w:color w:val="000000"/>
        </w:rPr>
        <w:t xml:space="preserve">Lawson-Ananissah, L. M., </w:t>
      </w:r>
      <w:proofErr w:type="spellStart"/>
      <w:r w:rsidRPr="001E30A4">
        <w:rPr>
          <w:rFonts w:ascii="Arial" w:eastAsia="inter" w:hAnsi="Arial" w:cs="Arial"/>
          <w:color w:val="000000"/>
        </w:rPr>
        <w:t>Bagny</w:t>
      </w:r>
      <w:proofErr w:type="spellEnd"/>
      <w:r w:rsidRPr="001E30A4">
        <w:rPr>
          <w:rFonts w:ascii="Arial" w:eastAsia="inter" w:hAnsi="Arial" w:cs="Arial"/>
          <w:color w:val="000000"/>
        </w:rPr>
        <w:t xml:space="preserve">, A., </w:t>
      </w:r>
      <w:proofErr w:type="spellStart"/>
      <w:r w:rsidRPr="001E30A4">
        <w:rPr>
          <w:rFonts w:ascii="Arial" w:eastAsia="inter" w:hAnsi="Arial" w:cs="Arial"/>
          <w:color w:val="000000"/>
        </w:rPr>
        <w:t>Bouglouga</w:t>
      </w:r>
      <w:proofErr w:type="spellEnd"/>
      <w:r w:rsidRPr="001E30A4">
        <w:rPr>
          <w:rFonts w:ascii="Arial" w:eastAsia="inter" w:hAnsi="Arial" w:cs="Arial"/>
          <w:color w:val="000000"/>
        </w:rPr>
        <w:t xml:space="preserve">, O., Kaaga, L., El-Hadj Yakoubou, R., &amp; Redah, D. (2017). </w:t>
      </w:r>
      <w:proofErr w:type="spellStart"/>
      <w:r w:rsidRPr="001E30A4">
        <w:rPr>
          <w:rFonts w:ascii="Arial" w:eastAsia="inter" w:hAnsi="Arial" w:cs="Arial"/>
          <w:color w:val="000000"/>
        </w:rPr>
        <w:t>Séroprévalence</w:t>
      </w:r>
      <w:proofErr w:type="spellEnd"/>
      <w:r w:rsidRPr="001E30A4">
        <w:rPr>
          <w:rFonts w:ascii="Arial" w:eastAsia="inter" w:hAnsi="Arial" w:cs="Arial"/>
          <w:color w:val="000000"/>
        </w:rPr>
        <w:t xml:space="preserve"> et </w:t>
      </w:r>
      <w:proofErr w:type="spellStart"/>
      <w:r w:rsidRPr="001E30A4">
        <w:rPr>
          <w:rFonts w:ascii="Arial" w:eastAsia="inter" w:hAnsi="Arial" w:cs="Arial"/>
          <w:color w:val="000000"/>
        </w:rPr>
        <w:t>facteurs</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associés</w:t>
      </w:r>
      <w:proofErr w:type="spellEnd"/>
      <w:r w:rsidRPr="001E30A4">
        <w:rPr>
          <w:rFonts w:ascii="Arial" w:eastAsia="inter" w:hAnsi="Arial" w:cs="Arial"/>
          <w:color w:val="000000"/>
        </w:rPr>
        <w:t xml:space="preserve"> à </w:t>
      </w:r>
      <w:proofErr w:type="spellStart"/>
      <w:r w:rsidRPr="001E30A4">
        <w:rPr>
          <w:rFonts w:ascii="Arial" w:eastAsia="inter" w:hAnsi="Arial" w:cs="Arial"/>
          <w:color w:val="000000"/>
        </w:rPr>
        <w:t>l’infection</w:t>
      </w:r>
      <w:proofErr w:type="spellEnd"/>
      <w:r w:rsidRPr="001E30A4">
        <w:rPr>
          <w:rFonts w:ascii="Arial" w:eastAsia="inter" w:hAnsi="Arial" w:cs="Arial"/>
          <w:color w:val="000000"/>
        </w:rPr>
        <w:t xml:space="preserve"> par le virus de </w:t>
      </w:r>
      <w:proofErr w:type="spellStart"/>
      <w:r w:rsidRPr="001E30A4">
        <w:rPr>
          <w:rFonts w:ascii="Arial" w:eastAsia="inter" w:hAnsi="Arial" w:cs="Arial"/>
          <w:color w:val="000000"/>
        </w:rPr>
        <w:t>l’hépatite</w:t>
      </w:r>
      <w:proofErr w:type="spellEnd"/>
      <w:r w:rsidRPr="001E30A4">
        <w:rPr>
          <w:rFonts w:ascii="Arial" w:eastAsia="inter" w:hAnsi="Arial" w:cs="Arial"/>
          <w:color w:val="000000"/>
        </w:rPr>
        <w:t xml:space="preserve"> B dans la population </w:t>
      </w:r>
      <w:proofErr w:type="spellStart"/>
      <w:r w:rsidRPr="001E30A4">
        <w:rPr>
          <w:rFonts w:ascii="Arial" w:eastAsia="inter" w:hAnsi="Arial" w:cs="Arial"/>
          <w:color w:val="000000"/>
        </w:rPr>
        <w:t>générale</w:t>
      </w:r>
      <w:proofErr w:type="spellEnd"/>
      <w:r w:rsidRPr="001E30A4">
        <w:rPr>
          <w:rFonts w:ascii="Arial" w:eastAsia="inter" w:hAnsi="Arial" w:cs="Arial"/>
          <w:color w:val="000000"/>
        </w:rPr>
        <w:t xml:space="preserve"> à Lomé, Togo. </w:t>
      </w:r>
      <w:r w:rsidRPr="001E30A4">
        <w:rPr>
          <w:rFonts w:ascii="Arial" w:eastAsia="inter" w:hAnsi="Arial" w:cs="Arial"/>
          <w:i/>
          <w:color w:val="000000"/>
        </w:rPr>
        <w:t xml:space="preserve">Journal Africain </w:t>
      </w:r>
      <w:proofErr w:type="spellStart"/>
      <w:r w:rsidRPr="001E30A4">
        <w:rPr>
          <w:rFonts w:ascii="Arial" w:eastAsia="inter" w:hAnsi="Arial" w:cs="Arial"/>
          <w:i/>
          <w:color w:val="000000"/>
        </w:rPr>
        <w:t>d'Hépato-Gastroentérologie</w:t>
      </w:r>
      <w:proofErr w:type="spellEnd"/>
      <w:r w:rsidRPr="001E30A4">
        <w:rPr>
          <w:rFonts w:ascii="Arial" w:eastAsia="inter" w:hAnsi="Arial" w:cs="Arial"/>
          <w:i/>
          <w:color w:val="000000"/>
        </w:rPr>
        <w:t>, 11</w:t>
      </w:r>
      <w:r w:rsidRPr="001E30A4">
        <w:rPr>
          <w:rFonts w:ascii="Arial" w:eastAsia="inter" w:hAnsi="Arial" w:cs="Arial"/>
          <w:color w:val="000000"/>
        </w:rPr>
        <w:t xml:space="preserve">(3), 149-154.  </w:t>
      </w:r>
    </w:p>
    <w:p w14:paraId="662261D9" w14:textId="77777777" w:rsidR="001E30A4" w:rsidRPr="001E30A4" w:rsidRDefault="001E30A4" w:rsidP="007C0428">
      <w:pPr>
        <w:spacing w:after="210" w:line="360" w:lineRule="auto"/>
        <w:rPr>
          <w:rFonts w:ascii="Arial" w:hAnsi="Arial" w:cs="Arial"/>
        </w:rPr>
      </w:pPr>
      <w:r w:rsidRPr="001E30A4">
        <w:rPr>
          <w:rFonts w:ascii="Arial" w:hAnsi="Arial" w:cs="Arial"/>
        </w:rPr>
        <w:t xml:space="preserve">Luke, A., Plange-Rhule, J., Bovet, P., Ruzic, D. J., Forrester, T. E., Dugas, L., Schoeller, D. A., &amp; Cooper, R. S. (2013). Prediction of fat-free mass using bioelectrical impedance analysis in young adults from five </w:t>
      </w:r>
      <w:r w:rsidRPr="001E30A4">
        <w:rPr>
          <w:rFonts w:ascii="Arial" w:hAnsi="Arial" w:cs="Arial"/>
        </w:rPr>
        <w:lastRenderedPageBreak/>
        <w:t>populations of African origin. European Journal of Clinical Nutrition, 67(1), 25–31. https://doi.org/10.1038/ejcn.2012.181</w:t>
      </w:r>
    </w:p>
    <w:p w14:paraId="5010ADA7"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Meza-Junco, J., Montano-Loza, A. J., Baracos, V. E., Prado, C. M., Bain, V. G., Beaumont, C., ... &amp; Ma, M. (2013). Sarcopenia as a prognostic index of nutritional status in concurrent listings for liver transplantation. </w:t>
      </w:r>
      <w:r w:rsidRPr="001E30A4">
        <w:rPr>
          <w:rFonts w:ascii="Arial" w:eastAsia="inter" w:hAnsi="Arial" w:cs="Arial"/>
          <w:i/>
          <w:color w:val="000000"/>
        </w:rPr>
        <w:t>Clinical Transplantation, 27</w:t>
      </w:r>
      <w:r w:rsidRPr="001E30A4">
        <w:rPr>
          <w:rFonts w:ascii="Arial" w:eastAsia="inter" w:hAnsi="Arial" w:cs="Arial"/>
          <w:color w:val="000000"/>
        </w:rPr>
        <w:t xml:space="preserve">(5), 723-729. </w:t>
      </w:r>
      <w:hyperlink r:id="rId16">
        <w:r w:rsidRPr="001E30A4">
          <w:rPr>
            <w:rFonts w:ascii="Arial" w:eastAsia="inter" w:hAnsi="Arial" w:cs="Arial"/>
            <w:u w:val="single"/>
          </w:rPr>
          <w:t>https://doi.org/10.1111/ctr.12115</w:t>
        </w:r>
      </w:hyperlink>
    </w:p>
    <w:p w14:paraId="2AE2C81F"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Montano-Loza, A. J., Meza-Junco, J., Prado, C. M., Lieffers, J. R., Baracos, V. E., Bain, V. G., &amp; Sawyer, M. B. (2012). Muscle wasting is associated with mortality in patients with cirrhosis. </w:t>
      </w:r>
      <w:r w:rsidRPr="001E30A4">
        <w:rPr>
          <w:rFonts w:ascii="Arial" w:eastAsia="inter" w:hAnsi="Arial" w:cs="Arial"/>
          <w:i/>
          <w:color w:val="000000"/>
        </w:rPr>
        <w:t>Clinical Gastroenterology and Hepatology, 10</w:t>
      </w:r>
      <w:r w:rsidRPr="001E30A4">
        <w:rPr>
          <w:rFonts w:ascii="Arial" w:eastAsia="inter" w:hAnsi="Arial" w:cs="Arial"/>
          <w:color w:val="000000"/>
        </w:rPr>
        <w:t xml:space="preserve">(2), 166–173. </w:t>
      </w:r>
      <w:hyperlink r:id="rId17">
        <w:r w:rsidRPr="001E30A4">
          <w:rPr>
            <w:rFonts w:ascii="Arial" w:eastAsia="inter" w:hAnsi="Arial" w:cs="Arial"/>
            <w:u w:val="single"/>
          </w:rPr>
          <w:t>https://doi.org/10.1016/j.cgh.2011.11.005</w:t>
        </w:r>
      </w:hyperlink>
    </w:p>
    <w:p w14:paraId="592408AE"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Okorodudu, D. O., </w:t>
      </w:r>
      <w:proofErr w:type="spellStart"/>
      <w:r w:rsidRPr="001E30A4">
        <w:rPr>
          <w:rFonts w:ascii="Arial" w:eastAsia="inter" w:hAnsi="Arial" w:cs="Arial"/>
          <w:color w:val="000000"/>
        </w:rPr>
        <w:t>Jumean</w:t>
      </w:r>
      <w:proofErr w:type="spellEnd"/>
      <w:r w:rsidRPr="001E30A4">
        <w:rPr>
          <w:rFonts w:ascii="Arial" w:eastAsia="inter" w:hAnsi="Arial" w:cs="Arial"/>
          <w:color w:val="000000"/>
        </w:rPr>
        <w:t xml:space="preserve">, M. F., Montori, V. M., Romero-Corral, A., Somers, V. K., Erwin, P. J., &amp; Lopez-Jimenez, F. (2010). Diagnostic performance of body mass index to identify obesity as defined by body adiposity: A systematic review and meta-analysis. </w:t>
      </w:r>
      <w:r w:rsidRPr="001E30A4">
        <w:rPr>
          <w:rFonts w:ascii="Arial" w:eastAsia="inter" w:hAnsi="Arial" w:cs="Arial"/>
          <w:i/>
          <w:color w:val="000000"/>
        </w:rPr>
        <w:t>International Journal of Obesity, 34</w:t>
      </w:r>
      <w:r w:rsidRPr="001E30A4">
        <w:rPr>
          <w:rFonts w:ascii="Arial" w:eastAsia="inter" w:hAnsi="Arial" w:cs="Arial"/>
          <w:color w:val="000000"/>
        </w:rPr>
        <w:t xml:space="preserve">(5), 791–799. </w:t>
      </w:r>
      <w:hyperlink r:id="rId18">
        <w:r w:rsidRPr="001E30A4">
          <w:rPr>
            <w:rFonts w:ascii="Arial" w:eastAsia="inter" w:hAnsi="Arial" w:cs="Arial"/>
            <w:u w:val="single"/>
          </w:rPr>
          <w:t>https://doi.org/10.1038/ijo.2010.5</w:t>
        </w:r>
      </w:hyperlink>
    </w:p>
    <w:p w14:paraId="566DD69F"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Popkin, B. M., Adair, L. S., &amp; Ng, S. W. (2012). Global nutrition transition and the pandemic of obesity in developing countries. </w:t>
      </w:r>
      <w:r w:rsidRPr="001E30A4">
        <w:rPr>
          <w:rFonts w:ascii="Arial" w:eastAsia="inter" w:hAnsi="Arial" w:cs="Arial"/>
          <w:i/>
          <w:color w:val="000000"/>
        </w:rPr>
        <w:t>Nutrition Reviews, 70</w:t>
      </w:r>
      <w:r w:rsidRPr="001E30A4">
        <w:rPr>
          <w:rFonts w:ascii="Arial" w:eastAsia="inter" w:hAnsi="Arial" w:cs="Arial"/>
          <w:color w:val="000000"/>
        </w:rPr>
        <w:t xml:space="preserve">(1), 3–21. </w:t>
      </w:r>
      <w:hyperlink r:id="rId19">
        <w:r w:rsidRPr="001E30A4">
          <w:rPr>
            <w:rFonts w:ascii="Arial" w:eastAsia="inter" w:hAnsi="Arial" w:cs="Arial"/>
            <w:u w:val="single"/>
          </w:rPr>
          <w:t>https://doi.org/10.1111/j.1753-4887.2011.00456.x</w:t>
        </w:r>
      </w:hyperlink>
    </w:p>
    <w:p w14:paraId="4ECF82AE"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Prentice, A. M., &amp; Jebb, S. A. (2001). Beyond body mass index. </w:t>
      </w:r>
      <w:r w:rsidRPr="001E30A4">
        <w:rPr>
          <w:rFonts w:ascii="Arial" w:eastAsia="inter" w:hAnsi="Arial" w:cs="Arial"/>
          <w:i/>
          <w:color w:val="000000"/>
        </w:rPr>
        <w:t>Obesity Reviews, 2</w:t>
      </w:r>
      <w:r w:rsidRPr="001E30A4">
        <w:rPr>
          <w:rFonts w:ascii="Arial" w:eastAsia="inter" w:hAnsi="Arial" w:cs="Arial"/>
          <w:color w:val="000000"/>
        </w:rPr>
        <w:t xml:space="preserve">(3), 141-147. </w:t>
      </w:r>
      <w:hyperlink r:id="rId20">
        <w:r w:rsidRPr="001E30A4">
          <w:rPr>
            <w:rFonts w:ascii="Arial" w:eastAsia="inter" w:hAnsi="Arial" w:cs="Arial"/>
            <w:u w:val="single"/>
          </w:rPr>
          <w:t>https://doi.org/10.1046/j.1467-789x.2001.00033.x</w:t>
        </w:r>
      </w:hyperlink>
    </w:p>
    <w:p w14:paraId="09D51CCA"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Romero-Corral, A., Somers, V. K., Sierra-Johnson, J., Thomas, R. J., Collazo-Clavell, M. L., Korinek, J., et al. (2008). Accuracy of body mass index in diagnosing obesity in the adult general population. </w:t>
      </w:r>
      <w:r w:rsidRPr="001E30A4">
        <w:rPr>
          <w:rFonts w:ascii="Arial" w:eastAsia="inter" w:hAnsi="Arial" w:cs="Arial"/>
          <w:i/>
          <w:color w:val="000000"/>
        </w:rPr>
        <w:t>International Journal of Obesity, 32</w:t>
      </w:r>
      <w:r w:rsidRPr="001E30A4">
        <w:rPr>
          <w:rFonts w:ascii="Arial" w:eastAsia="inter" w:hAnsi="Arial" w:cs="Arial"/>
          <w:color w:val="000000"/>
        </w:rPr>
        <w:t xml:space="preserve">(6), 959–966. </w:t>
      </w:r>
      <w:hyperlink r:id="rId21">
        <w:r w:rsidRPr="001E30A4">
          <w:rPr>
            <w:rFonts w:ascii="Arial" w:eastAsia="inter" w:hAnsi="Arial" w:cs="Arial"/>
            <w:u w:val="single"/>
          </w:rPr>
          <w:t>https://doi.org/10.1038/ijo.2008.11</w:t>
        </w:r>
      </w:hyperlink>
    </w:p>
    <w:p w14:paraId="4FBE211D"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Sangaré, A. K., Cissé, A. M., Maiga, M., Sidibé, S., Traoré, A., &amp; Guindo, A. (2020). </w:t>
      </w:r>
      <w:proofErr w:type="spellStart"/>
      <w:r w:rsidRPr="001E30A4">
        <w:rPr>
          <w:rFonts w:ascii="Arial" w:eastAsia="inter" w:hAnsi="Arial" w:cs="Arial"/>
          <w:color w:val="000000"/>
        </w:rPr>
        <w:t>Séroprévalence</w:t>
      </w:r>
      <w:proofErr w:type="spellEnd"/>
      <w:r w:rsidRPr="001E30A4">
        <w:rPr>
          <w:rFonts w:ascii="Arial" w:eastAsia="inter" w:hAnsi="Arial" w:cs="Arial"/>
          <w:color w:val="000000"/>
        </w:rPr>
        <w:t xml:space="preserve"> de </w:t>
      </w:r>
      <w:proofErr w:type="spellStart"/>
      <w:r w:rsidRPr="001E30A4">
        <w:rPr>
          <w:rFonts w:ascii="Arial" w:eastAsia="inter" w:hAnsi="Arial" w:cs="Arial"/>
          <w:color w:val="000000"/>
        </w:rPr>
        <w:t>l'hépatite</w:t>
      </w:r>
      <w:proofErr w:type="spellEnd"/>
      <w:r w:rsidRPr="001E30A4">
        <w:rPr>
          <w:rFonts w:ascii="Arial" w:eastAsia="inter" w:hAnsi="Arial" w:cs="Arial"/>
          <w:color w:val="000000"/>
        </w:rPr>
        <w:t xml:space="preserve"> B et C chez les </w:t>
      </w:r>
      <w:proofErr w:type="spellStart"/>
      <w:r w:rsidRPr="001E30A4">
        <w:rPr>
          <w:rFonts w:ascii="Arial" w:eastAsia="inter" w:hAnsi="Arial" w:cs="Arial"/>
          <w:color w:val="000000"/>
        </w:rPr>
        <w:t>donneurs</w:t>
      </w:r>
      <w:proofErr w:type="spellEnd"/>
      <w:r w:rsidRPr="001E30A4">
        <w:rPr>
          <w:rFonts w:ascii="Arial" w:eastAsia="inter" w:hAnsi="Arial" w:cs="Arial"/>
          <w:color w:val="000000"/>
        </w:rPr>
        <w:t xml:space="preserve"> de sang au Centre National de Transfusion Sanguine de Bamako. </w:t>
      </w:r>
      <w:r w:rsidRPr="001E30A4">
        <w:rPr>
          <w:rFonts w:ascii="Arial" w:eastAsia="inter" w:hAnsi="Arial" w:cs="Arial"/>
          <w:i/>
          <w:color w:val="000000"/>
        </w:rPr>
        <w:t xml:space="preserve">Mali </w:t>
      </w:r>
      <w:proofErr w:type="spellStart"/>
      <w:r w:rsidRPr="001E30A4">
        <w:rPr>
          <w:rFonts w:ascii="Arial" w:eastAsia="inter" w:hAnsi="Arial" w:cs="Arial"/>
          <w:i/>
          <w:color w:val="000000"/>
        </w:rPr>
        <w:t>Médical</w:t>
      </w:r>
      <w:proofErr w:type="spellEnd"/>
      <w:r w:rsidRPr="001E30A4">
        <w:rPr>
          <w:rFonts w:ascii="Arial" w:eastAsia="inter" w:hAnsi="Arial" w:cs="Arial"/>
          <w:i/>
          <w:color w:val="000000"/>
        </w:rPr>
        <w:t>, 35</w:t>
      </w:r>
      <w:r w:rsidRPr="001E30A4">
        <w:rPr>
          <w:rFonts w:ascii="Arial" w:eastAsia="inter" w:hAnsi="Arial" w:cs="Arial"/>
          <w:color w:val="000000"/>
        </w:rPr>
        <w:t xml:space="preserve">(1), 1-6. </w:t>
      </w:r>
    </w:p>
    <w:p w14:paraId="4C09240F"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Schweitzer, A., Horn, J., Mikolajczyk, R. T., Krause, G., &amp; Ott, J. J. (2015). Estimations of worldwide prevalence of chronic hepatitis B virus infection: A systematic review of data published between 1965 and 2013. </w:t>
      </w:r>
      <w:r w:rsidRPr="001E30A4">
        <w:rPr>
          <w:rFonts w:ascii="Arial" w:eastAsia="inter" w:hAnsi="Arial" w:cs="Arial"/>
          <w:i/>
          <w:color w:val="000000"/>
        </w:rPr>
        <w:t>The Lancet, 386</w:t>
      </w:r>
      <w:r w:rsidRPr="001E30A4">
        <w:rPr>
          <w:rFonts w:ascii="Arial" w:eastAsia="inter" w:hAnsi="Arial" w:cs="Arial"/>
          <w:color w:val="000000"/>
        </w:rPr>
        <w:t xml:space="preserve">(10003), 1546–1555. </w:t>
      </w:r>
      <w:hyperlink r:id="rId22">
        <w:r w:rsidRPr="001E30A4">
          <w:rPr>
            <w:rFonts w:ascii="Arial" w:eastAsia="inter" w:hAnsi="Arial" w:cs="Arial"/>
            <w:u w:val="single"/>
          </w:rPr>
          <w:t>https://doi.org/10.1016/S0140-6736(15)61412-X</w:t>
        </w:r>
      </w:hyperlink>
    </w:p>
    <w:p w14:paraId="15B93B14"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Softic, S., Cohen, D. E., &amp; Kahn, C. R. (2017). Role of dietary fructose and hepatic de novo lipogenesis in fatty liver disease. </w:t>
      </w:r>
      <w:r w:rsidRPr="001E30A4">
        <w:rPr>
          <w:rFonts w:ascii="Arial" w:eastAsia="inter" w:hAnsi="Arial" w:cs="Arial"/>
          <w:i/>
          <w:color w:val="000000"/>
        </w:rPr>
        <w:t>Digestive Diseases and Sciences, 62</w:t>
      </w:r>
      <w:r w:rsidRPr="001E30A4">
        <w:rPr>
          <w:rFonts w:ascii="Arial" w:eastAsia="inter" w:hAnsi="Arial" w:cs="Arial"/>
          <w:color w:val="000000"/>
        </w:rPr>
        <w:t xml:space="preserve">(8), 1902-1913. </w:t>
      </w:r>
      <w:hyperlink r:id="rId23">
        <w:r w:rsidRPr="001E30A4">
          <w:rPr>
            <w:rFonts w:ascii="Arial" w:eastAsia="inter" w:hAnsi="Arial" w:cs="Arial"/>
            <w:u w:val="single"/>
          </w:rPr>
          <w:t>https://doi.org/10.1007/s10620-017-4591-2</w:t>
        </w:r>
      </w:hyperlink>
    </w:p>
    <w:p w14:paraId="7E1C29C1" w14:textId="77777777" w:rsidR="001E30A4" w:rsidRPr="001E30A4" w:rsidRDefault="001E30A4" w:rsidP="007C0428">
      <w:pPr>
        <w:spacing w:after="210" w:line="360" w:lineRule="auto"/>
        <w:rPr>
          <w:rFonts w:ascii="Arial" w:hAnsi="Arial" w:cs="Arial"/>
        </w:rPr>
      </w:pPr>
      <w:proofErr w:type="spellStart"/>
      <w:r w:rsidRPr="001E30A4">
        <w:rPr>
          <w:rFonts w:ascii="Arial" w:eastAsia="inter" w:hAnsi="Arial" w:cs="Arial"/>
          <w:color w:val="000000"/>
        </w:rPr>
        <w:t>Targher</w:t>
      </w:r>
      <w:proofErr w:type="spellEnd"/>
      <w:r w:rsidRPr="001E30A4">
        <w:rPr>
          <w:rFonts w:ascii="Arial" w:eastAsia="inter" w:hAnsi="Arial" w:cs="Arial"/>
          <w:color w:val="000000"/>
        </w:rPr>
        <w:t xml:space="preserve">, G., Day, C. P., &amp; Bonora, E. (2012). Are NAFLD and chronic hepatitis C metabolically-driven liver diseases? A critical appraisal. </w:t>
      </w:r>
      <w:r w:rsidRPr="001E30A4">
        <w:rPr>
          <w:rFonts w:ascii="Arial" w:eastAsia="inter" w:hAnsi="Arial" w:cs="Arial"/>
          <w:i/>
          <w:color w:val="000000"/>
        </w:rPr>
        <w:t>Journal of Hepatology, 56</w:t>
      </w:r>
      <w:r w:rsidRPr="001E30A4">
        <w:rPr>
          <w:rFonts w:ascii="Arial" w:eastAsia="inter" w:hAnsi="Arial" w:cs="Arial"/>
          <w:color w:val="000000"/>
        </w:rPr>
        <w:t xml:space="preserve">(6), 1407-1410. </w:t>
      </w:r>
      <w:hyperlink r:id="rId24">
        <w:r w:rsidRPr="001E30A4">
          <w:rPr>
            <w:rFonts w:ascii="Arial" w:eastAsia="inter" w:hAnsi="Arial" w:cs="Arial"/>
            <w:u w:val="single"/>
          </w:rPr>
          <w:t>https://doi.org/10.1016/j.jhep.2012.02.013</w:t>
        </w:r>
      </w:hyperlink>
    </w:p>
    <w:p w14:paraId="197AD9DC"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lastRenderedPageBreak/>
        <w:t xml:space="preserve">Tcheyi, D., </w:t>
      </w:r>
      <w:proofErr w:type="spellStart"/>
      <w:r w:rsidRPr="001E30A4">
        <w:rPr>
          <w:rFonts w:ascii="Arial" w:eastAsia="inter" w:hAnsi="Arial" w:cs="Arial"/>
          <w:color w:val="000000"/>
        </w:rPr>
        <w:t>Péré</w:t>
      </w:r>
      <w:proofErr w:type="spellEnd"/>
      <w:r w:rsidRPr="001E30A4">
        <w:rPr>
          <w:rFonts w:ascii="Arial" w:eastAsia="inter" w:hAnsi="Arial" w:cs="Arial"/>
          <w:color w:val="000000"/>
        </w:rPr>
        <w:t xml:space="preserve">, A., Mouzou, T., </w:t>
      </w:r>
      <w:proofErr w:type="spellStart"/>
      <w:r w:rsidRPr="001E30A4">
        <w:rPr>
          <w:rFonts w:ascii="Arial" w:eastAsia="inter" w:hAnsi="Arial" w:cs="Arial"/>
          <w:color w:val="000000"/>
        </w:rPr>
        <w:t>Amekoudi</w:t>
      </w:r>
      <w:proofErr w:type="spellEnd"/>
      <w:r w:rsidRPr="001E30A4">
        <w:rPr>
          <w:rFonts w:ascii="Arial" w:eastAsia="inter" w:hAnsi="Arial" w:cs="Arial"/>
          <w:color w:val="000000"/>
        </w:rPr>
        <w:t xml:space="preserve">, E. Y. M., Salou, M., &amp; Balaka, A. (2021). Prévalence du </w:t>
      </w:r>
      <w:proofErr w:type="spellStart"/>
      <w:r w:rsidRPr="001E30A4">
        <w:rPr>
          <w:rFonts w:ascii="Arial" w:eastAsia="inter" w:hAnsi="Arial" w:cs="Arial"/>
          <w:color w:val="000000"/>
        </w:rPr>
        <w:t>diabète</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sucré</w:t>
      </w:r>
      <w:proofErr w:type="spellEnd"/>
      <w:r w:rsidRPr="001E30A4">
        <w:rPr>
          <w:rFonts w:ascii="Arial" w:eastAsia="inter" w:hAnsi="Arial" w:cs="Arial"/>
          <w:color w:val="000000"/>
        </w:rPr>
        <w:t xml:space="preserve"> et du </w:t>
      </w:r>
      <w:proofErr w:type="spellStart"/>
      <w:r w:rsidRPr="001E30A4">
        <w:rPr>
          <w:rFonts w:ascii="Arial" w:eastAsia="inter" w:hAnsi="Arial" w:cs="Arial"/>
          <w:color w:val="000000"/>
        </w:rPr>
        <w:t>pré-diabète</w:t>
      </w:r>
      <w:proofErr w:type="spellEnd"/>
      <w:r w:rsidRPr="001E30A4">
        <w:rPr>
          <w:rFonts w:ascii="Arial" w:eastAsia="inter" w:hAnsi="Arial" w:cs="Arial"/>
          <w:color w:val="000000"/>
        </w:rPr>
        <w:t xml:space="preserve"> </w:t>
      </w:r>
      <w:proofErr w:type="spellStart"/>
      <w:r w:rsidRPr="001E30A4">
        <w:rPr>
          <w:rFonts w:ascii="Arial" w:eastAsia="inter" w:hAnsi="Arial" w:cs="Arial"/>
          <w:color w:val="000000"/>
        </w:rPr>
        <w:t>en</w:t>
      </w:r>
      <w:proofErr w:type="spellEnd"/>
      <w:r w:rsidRPr="001E30A4">
        <w:rPr>
          <w:rFonts w:ascii="Arial" w:eastAsia="inter" w:hAnsi="Arial" w:cs="Arial"/>
          <w:color w:val="000000"/>
        </w:rPr>
        <w:t xml:space="preserve"> population </w:t>
      </w:r>
      <w:proofErr w:type="spellStart"/>
      <w:r w:rsidRPr="001E30A4">
        <w:rPr>
          <w:rFonts w:ascii="Arial" w:eastAsia="inter" w:hAnsi="Arial" w:cs="Arial"/>
          <w:color w:val="000000"/>
        </w:rPr>
        <w:t>générale</w:t>
      </w:r>
      <w:proofErr w:type="spellEnd"/>
      <w:r w:rsidRPr="001E30A4">
        <w:rPr>
          <w:rFonts w:ascii="Arial" w:eastAsia="inter" w:hAnsi="Arial" w:cs="Arial"/>
          <w:color w:val="000000"/>
        </w:rPr>
        <w:t xml:space="preserve"> dans la commune de </w:t>
      </w:r>
      <w:proofErr w:type="spellStart"/>
      <w:r w:rsidRPr="001E30A4">
        <w:rPr>
          <w:rFonts w:ascii="Arial" w:eastAsia="inter" w:hAnsi="Arial" w:cs="Arial"/>
          <w:color w:val="000000"/>
        </w:rPr>
        <w:t>Haho</w:t>
      </w:r>
      <w:proofErr w:type="spellEnd"/>
      <w:r w:rsidRPr="001E30A4">
        <w:rPr>
          <w:rFonts w:ascii="Arial" w:eastAsia="inter" w:hAnsi="Arial" w:cs="Arial"/>
          <w:color w:val="000000"/>
        </w:rPr>
        <w:t xml:space="preserve"> 4 au Togo. </w:t>
      </w:r>
      <w:r w:rsidRPr="001E30A4">
        <w:rPr>
          <w:rFonts w:ascii="Arial" w:eastAsia="inter" w:hAnsi="Arial" w:cs="Arial"/>
          <w:i/>
          <w:color w:val="000000"/>
        </w:rPr>
        <w:t xml:space="preserve">Journal de la Recherche </w:t>
      </w:r>
      <w:proofErr w:type="spellStart"/>
      <w:r w:rsidRPr="001E30A4">
        <w:rPr>
          <w:rFonts w:ascii="Arial" w:eastAsia="inter" w:hAnsi="Arial" w:cs="Arial"/>
          <w:i/>
          <w:color w:val="000000"/>
        </w:rPr>
        <w:t>Scientifique</w:t>
      </w:r>
      <w:proofErr w:type="spellEnd"/>
      <w:r w:rsidRPr="001E30A4">
        <w:rPr>
          <w:rFonts w:ascii="Arial" w:eastAsia="inter" w:hAnsi="Arial" w:cs="Arial"/>
          <w:i/>
          <w:color w:val="000000"/>
        </w:rPr>
        <w:t xml:space="preserve"> de </w:t>
      </w:r>
      <w:proofErr w:type="spellStart"/>
      <w:r w:rsidRPr="001E30A4">
        <w:rPr>
          <w:rFonts w:ascii="Arial" w:eastAsia="inter" w:hAnsi="Arial" w:cs="Arial"/>
          <w:i/>
          <w:color w:val="000000"/>
        </w:rPr>
        <w:t>l'Université</w:t>
      </w:r>
      <w:proofErr w:type="spellEnd"/>
      <w:r w:rsidRPr="001E30A4">
        <w:rPr>
          <w:rFonts w:ascii="Arial" w:eastAsia="inter" w:hAnsi="Arial" w:cs="Arial"/>
          <w:i/>
          <w:color w:val="000000"/>
        </w:rPr>
        <w:t xml:space="preserve"> de Lomé, 23</w:t>
      </w:r>
      <w:r w:rsidRPr="001E30A4">
        <w:rPr>
          <w:rFonts w:ascii="Arial" w:eastAsia="inter" w:hAnsi="Arial" w:cs="Arial"/>
          <w:color w:val="000000"/>
        </w:rPr>
        <w:t>(2).</w:t>
      </w:r>
    </w:p>
    <w:p w14:paraId="1904936F" w14:textId="04F62081" w:rsidR="001E30A4" w:rsidRDefault="001E30A4" w:rsidP="007C0428">
      <w:pPr>
        <w:spacing w:after="210" w:line="360" w:lineRule="auto"/>
        <w:rPr>
          <w:rFonts w:ascii="Arial" w:eastAsia="inter" w:hAnsi="Arial" w:cs="Arial"/>
          <w:u w:val="single"/>
        </w:rPr>
      </w:pPr>
      <w:proofErr w:type="spellStart"/>
      <w:r w:rsidRPr="001E30A4">
        <w:rPr>
          <w:rFonts w:ascii="Arial" w:eastAsia="inter" w:hAnsi="Arial" w:cs="Arial"/>
          <w:color w:val="000000"/>
        </w:rPr>
        <w:t>Terrault</w:t>
      </w:r>
      <w:proofErr w:type="spellEnd"/>
      <w:r w:rsidRPr="001E30A4">
        <w:rPr>
          <w:rFonts w:ascii="Arial" w:eastAsia="inter" w:hAnsi="Arial" w:cs="Arial"/>
          <w:color w:val="000000"/>
        </w:rPr>
        <w:t xml:space="preserve">, N. A., Lok, A. S. F., McMahon, B. J., Chang, K.-M., Hwang, J. P., Jonas, M. M., Brown, R. S., Jr, </w:t>
      </w:r>
      <w:proofErr w:type="spellStart"/>
      <w:r w:rsidRPr="001E30A4">
        <w:rPr>
          <w:rFonts w:ascii="Arial" w:eastAsia="inter" w:hAnsi="Arial" w:cs="Arial"/>
          <w:color w:val="000000"/>
        </w:rPr>
        <w:t>Bzowej</w:t>
      </w:r>
      <w:proofErr w:type="spellEnd"/>
      <w:r w:rsidRPr="001E30A4">
        <w:rPr>
          <w:rFonts w:ascii="Arial" w:eastAsia="inter" w:hAnsi="Arial" w:cs="Arial"/>
          <w:color w:val="000000"/>
        </w:rPr>
        <w:t xml:space="preserve">, N. H., &amp; Wong, J. B. (2023). Update on prevention, diagnosis, and treatment of chronic hepatitis B: AASLD 2023 Hepatitis B Guidance. </w:t>
      </w:r>
      <w:r w:rsidRPr="001E30A4">
        <w:rPr>
          <w:rFonts w:ascii="Arial" w:eastAsia="inter" w:hAnsi="Arial" w:cs="Arial"/>
          <w:i/>
          <w:color w:val="000000"/>
        </w:rPr>
        <w:t>Hepatology, 78</w:t>
      </w:r>
      <w:r w:rsidRPr="001E30A4">
        <w:rPr>
          <w:rFonts w:ascii="Arial" w:eastAsia="inter" w:hAnsi="Arial" w:cs="Arial"/>
          <w:color w:val="000000"/>
        </w:rPr>
        <w:t xml:space="preserve">(4), 1309-1341. </w:t>
      </w:r>
      <w:hyperlink r:id="rId25">
        <w:r w:rsidRPr="001E30A4">
          <w:rPr>
            <w:rFonts w:ascii="Arial" w:eastAsia="inter" w:hAnsi="Arial" w:cs="Arial"/>
            <w:u w:val="single"/>
          </w:rPr>
          <w:t>https://doi.org/10.1097/HEP.0000000000000570</w:t>
        </w:r>
      </w:hyperlink>
    </w:p>
    <w:p w14:paraId="7149A770" w14:textId="159B89F9" w:rsidR="00F57291" w:rsidRPr="00F57291" w:rsidRDefault="00F57291" w:rsidP="007C0428">
      <w:pPr>
        <w:spacing w:after="210" w:line="360" w:lineRule="auto"/>
        <w:rPr>
          <w:rFonts w:ascii="Arial" w:hAnsi="Arial" w:cs="Arial"/>
        </w:rPr>
      </w:pPr>
      <w:r w:rsidRPr="00F57291">
        <w:rPr>
          <w:rFonts w:ascii="Arial" w:hAnsi="Arial" w:cs="Arial"/>
        </w:rPr>
        <w:t xml:space="preserve">van Kleef, L. A., Choi, H. S., Brouwer, W. P., Hansen, B. E., Patel, K., de Man, R. A., ... &amp; </w:t>
      </w:r>
      <w:proofErr w:type="spellStart"/>
      <w:r w:rsidRPr="00F57291">
        <w:rPr>
          <w:rFonts w:ascii="Arial" w:hAnsi="Arial" w:cs="Arial"/>
        </w:rPr>
        <w:t>Sonneveld</w:t>
      </w:r>
      <w:proofErr w:type="spellEnd"/>
      <w:r w:rsidRPr="00F57291">
        <w:rPr>
          <w:rFonts w:ascii="Arial" w:hAnsi="Arial" w:cs="Arial"/>
        </w:rPr>
        <w:t xml:space="preserve">, M. J. (2021). Metabolic dysfunction-associated fatty liver disease increases risk of adverse outcomes in patients with chronic hepatitis B. </w:t>
      </w:r>
      <w:proofErr w:type="spellStart"/>
      <w:r w:rsidRPr="00F57291">
        <w:rPr>
          <w:rFonts w:ascii="Arial" w:hAnsi="Arial" w:cs="Arial"/>
        </w:rPr>
        <w:t>Jhep</w:t>
      </w:r>
      <w:proofErr w:type="spellEnd"/>
      <w:r w:rsidRPr="00F57291">
        <w:rPr>
          <w:rFonts w:ascii="Arial" w:hAnsi="Arial" w:cs="Arial"/>
        </w:rPr>
        <w:t xml:space="preserve"> Reports, 3(5), 100350.</w:t>
      </w:r>
      <w:r>
        <w:rPr>
          <w:rFonts w:ascii="Arial" w:hAnsi="Arial" w:cs="Arial"/>
        </w:rPr>
        <w:t xml:space="preserve"> </w:t>
      </w:r>
      <w:r w:rsidRPr="00F57291">
        <w:rPr>
          <w:rFonts w:ascii="Arial" w:hAnsi="Arial" w:cs="Arial"/>
        </w:rPr>
        <w:t>https://www.sciencedirect.com/science/article/pii/S2589555921001269</w:t>
      </w:r>
    </w:p>
    <w:p w14:paraId="5F98B9E0"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Wong, V. W. S., &amp; Chan, H. L. Y. (2017). Synergism of hepatitis B virus and metabolic factors in hepatocellular carcinoma. </w:t>
      </w:r>
      <w:r w:rsidRPr="001E30A4">
        <w:rPr>
          <w:rFonts w:ascii="Arial" w:eastAsia="inter" w:hAnsi="Arial" w:cs="Arial"/>
          <w:i/>
          <w:color w:val="000000"/>
        </w:rPr>
        <w:t>Journal of Gastroenterology and Hepatology, 32</w:t>
      </w:r>
      <w:r w:rsidRPr="001E30A4">
        <w:rPr>
          <w:rFonts w:ascii="Arial" w:eastAsia="inter" w:hAnsi="Arial" w:cs="Arial"/>
          <w:color w:val="000000"/>
        </w:rPr>
        <w:t xml:space="preserve">(6), 1161-1167. </w:t>
      </w:r>
      <w:hyperlink r:id="rId26">
        <w:r w:rsidRPr="001E30A4">
          <w:rPr>
            <w:rFonts w:ascii="Arial" w:eastAsia="inter" w:hAnsi="Arial" w:cs="Arial"/>
            <w:u w:val="single"/>
          </w:rPr>
          <w:t>https://doi.org/10.1111/jgh.13657</w:t>
        </w:r>
      </w:hyperlink>
    </w:p>
    <w:p w14:paraId="011FBB31" w14:textId="77777777" w:rsidR="001E30A4" w:rsidRPr="001E30A4" w:rsidRDefault="001E30A4" w:rsidP="007C0428">
      <w:pPr>
        <w:spacing w:after="210" w:line="360" w:lineRule="auto"/>
        <w:rPr>
          <w:rFonts w:ascii="Arial" w:hAnsi="Arial" w:cs="Arial"/>
        </w:rPr>
      </w:pPr>
      <w:r w:rsidRPr="001E30A4">
        <w:rPr>
          <w:rFonts w:ascii="Arial" w:eastAsia="inter" w:hAnsi="Arial" w:cs="Arial"/>
          <w:color w:val="000000"/>
        </w:rPr>
        <w:t xml:space="preserve">World Health Organization. (2024). </w:t>
      </w:r>
      <w:r w:rsidRPr="001E30A4">
        <w:rPr>
          <w:rFonts w:ascii="Arial" w:eastAsia="inter" w:hAnsi="Arial" w:cs="Arial"/>
          <w:i/>
          <w:color w:val="000000"/>
        </w:rPr>
        <w:t xml:space="preserve">Global hepatitis report </w:t>
      </w:r>
      <w:proofErr w:type="gramStart"/>
      <w:r w:rsidRPr="001E30A4">
        <w:rPr>
          <w:rFonts w:ascii="Arial" w:eastAsia="inter" w:hAnsi="Arial" w:cs="Arial"/>
          <w:i/>
          <w:color w:val="000000"/>
        </w:rPr>
        <w:t>2024 :</w:t>
      </w:r>
      <w:proofErr w:type="gramEnd"/>
      <w:r w:rsidRPr="001E30A4">
        <w:rPr>
          <w:rFonts w:ascii="Arial" w:eastAsia="inter" w:hAnsi="Arial" w:cs="Arial"/>
          <w:i/>
          <w:color w:val="000000"/>
        </w:rPr>
        <w:t xml:space="preserve"> Action for access in low- and middle-income countries</w:t>
      </w:r>
      <w:r w:rsidRPr="001E30A4">
        <w:rPr>
          <w:rFonts w:ascii="Arial" w:eastAsia="inter" w:hAnsi="Arial" w:cs="Arial"/>
          <w:color w:val="000000"/>
        </w:rPr>
        <w:t xml:space="preserve">. WHO. </w:t>
      </w:r>
    </w:p>
    <w:p w14:paraId="395D0119" w14:textId="77777777" w:rsidR="001E30A4" w:rsidRPr="001E30A4" w:rsidRDefault="001E30A4" w:rsidP="007C0428">
      <w:pPr>
        <w:spacing w:after="210" w:line="360" w:lineRule="auto"/>
        <w:rPr>
          <w:rFonts w:ascii="Arial" w:eastAsia="inter" w:hAnsi="Arial" w:cs="Arial"/>
          <w:u w:val="single"/>
        </w:rPr>
      </w:pPr>
      <w:proofErr w:type="spellStart"/>
      <w:r w:rsidRPr="001E30A4">
        <w:rPr>
          <w:rFonts w:ascii="Arial" w:eastAsia="inter" w:hAnsi="Arial" w:cs="Arial"/>
          <w:color w:val="000000"/>
        </w:rPr>
        <w:t>Younossi</w:t>
      </w:r>
      <w:proofErr w:type="spellEnd"/>
      <w:r w:rsidRPr="001E30A4">
        <w:rPr>
          <w:rFonts w:ascii="Arial" w:eastAsia="inter" w:hAnsi="Arial" w:cs="Arial"/>
          <w:color w:val="000000"/>
        </w:rPr>
        <w:t xml:space="preserve">, Z. M., Koenig, A. B., </w:t>
      </w:r>
      <w:proofErr w:type="spellStart"/>
      <w:r w:rsidRPr="001E30A4">
        <w:rPr>
          <w:rFonts w:ascii="Arial" w:eastAsia="inter" w:hAnsi="Arial" w:cs="Arial"/>
          <w:color w:val="000000"/>
        </w:rPr>
        <w:t>Abdelatif</w:t>
      </w:r>
      <w:proofErr w:type="spellEnd"/>
      <w:r w:rsidRPr="001E30A4">
        <w:rPr>
          <w:rFonts w:ascii="Arial" w:eastAsia="inter" w:hAnsi="Arial" w:cs="Arial"/>
          <w:color w:val="000000"/>
        </w:rPr>
        <w:t xml:space="preserve">, D., Fazel, Y., Henry, L., &amp; Wymer, M. (2016). Global epidemiology of nonalcoholic fatty liver disease—Meta-analytic assessment of prevalence, incidence, and outcomes. </w:t>
      </w:r>
      <w:r w:rsidRPr="001E30A4">
        <w:rPr>
          <w:rFonts w:ascii="Arial" w:eastAsia="inter" w:hAnsi="Arial" w:cs="Arial"/>
          <w:i/>
          <w:color w:val="000000"/>
        </w:rPr>
        <w:t>Hepatology, 64</w:t>
      </w:r>
      <w:r w:rsidRPr="001E30A4">
        <w:rPr>
          <w:rFonts w:ascii="Arial" w:eastAsia="inter" w:hAnsi="Arial" w:cs="Arial"/>
          <w:color w:val="000000"/>
        </w:rPr>
        <w:t xml:space="preserve">(1), 73–84. </w:t>
      </w:r>
      <w:hyperlink r:id="rId27">
        <w:r w:rsidRPr="001E30A4">
          <w:rPr>
            <w:rFonts w:ascii="Arial" w:eastAsia="inter" w:hAnsi="Arial" w:cs="Arial"/>
            <w:u w:val="single"/>
          </w:rPr>
          <w:t>https://doi.org/10.1002/hep.28431</w:t>
        </w:r>
      </w:hyperlink>
    </w:p>
    <w:sectPr w:rsidR="001E30A4" w:rsidRPr="001E30A4" w:rsidSect="008424EF">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3865D" w14:textId="77777777" w:rsidR="00F64149" w:rsidRDefault="00F64149" w:rsidP="00C37E61">
      <w:r>
        <w:separator/>
      </w:r>
    </w:p>
  </w:endnote>
  <w:endnote w:type="continuationSeparator" w:id="0">
    <w:p w14:paraId="2DFAC776" w14:textId="77777777" w:rsidR="00F64149" w:rsidRDefault="00F641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7555" w14:textId="77777777" w:rsidR="00704203" w:rsidRDefault="00704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90E3"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4B44" w14:textId="77777777" w:rsidR="00704203" w:rsidRDefault="0070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E716" w14:textId="77777777" w:rsidR="00F64149" w:rsidRDefault="00F64149" w:rsidP="00C37E61">
      <w:r>
        <w:separator/>
      </w:r>
    </w:p>
  </w:footnote>
  <w:footnote w:type="continuationSeparator" w:id="0">
    <w:p w14:paraId="19EB83BE" w14:textId="77777777" w:rsidR="00F64149" w:rsidRDefault="00F641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1B66" w14:textId="350555E2" w:rsidR="00704203" w:rsidRDefault="00000000">
    <w:pPr>
      <w:pStyle w:val="Header"/>
    </w:pPr>
    <w:r>
      <w:rPr>
        <w:noProof/>
      </w:rPr>
      <w:pict w14:anchorId="10F22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4" o:spid="_x0000_s1026"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4936" w14:textId="4551E186" w:rsidR="00704203" w:rsidRDefault="00000000">
    <w:pPr>
      <w:pStyle w:val="Header"/>
    </w:pPr>
    <w:r>
      <w:rPr>
        <w:noProof/>
      </w:rPr>
      <w:pict w14:anchorId="60BCC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5" o:spid="_x0000_s1027"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858" w14:textId="0F036C1B" w:rsidR="00704203" w:rsidRDefault="00000000">
    <w:pPr>
      <w:pStyle w:val="Header"/>
    </w:pPr>
    <w:r>
      <w:rPr>
        <w:noProof/>
      </w:rPr>
      <w:pict w14:anchorId="61A4E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023843" o:spid="_x0000_s1025" type="#_x0000_t136" style="position:absolute;margin-left:0;margin-top:0;width:596.7pt;height:66.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537530"/>
    <w:multiLevelType w:val="hybridMultilevel"/>
    <w:tmpl w:val="558C6DB4"/>
    <w:lvl w:ilvl="0" w:tplc="0598EE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509408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36714160">
    <w:abstractNumId w:val="16"/>
  </w:num>
  <w:num w:numId="3" w16cid:durableId="1926918673">
    <w:abstractNumId w:val="24"/>
  </w:num>
  <w:num w:numId="4" w16cid:durableId="62653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24116591">
    <w:abstractNumId w:val="7"/>
  </w:num>
  <w:num w:numId="6" w16cid:durableId="1907260530">
    <w:abstractNumId w:val="6"/>
  </w:num>
  <w:num w:numId="7" w16cid:durableId="686256342">
    <w:abstractNumId w:val="1"/>
  </w:num>
  <w:num w:numId="8" w16cid:durableId="2091538734">
    <w:abstractNumId w:val="13"/>
  </w:num>
  <w:num w:numId="9" w16cid:durableId="1546525981">
    <w:abstractNumId w:val="26"/>
  </w:num>
  <w:num w:numId="10" w16cid:durableId="1951666480">
    <w:abstractNumId w:val="2"/>
  </w:num>
  <w:num w:numId="11" w16cid:durableId="1714883938">
    <w:abstractNumId w:val="19"/>
  </w:num>
  <w:num w:numId="12" w16cid:durableId="1998610666">
    <w:abstractNumId w:val="3"/>
  </w:num>
  <w:num w:numId="13" w16cid:durableId="1321884423">
    <w:abstractNumId w:val="18"/>
  </w:num>
  <w:num w:numId="14" w16cid:durableId="996417187">
    <w:abstractNumId w:val="8"/>
  </w:num>
  <w:num w:numId="15" w16cid:durableId="884559528">
    <w:abstractNumId w:val="22"/>
  </w:num>
  <w:num w:numId="16" w16cid:durableId="699890366">
    <w:abstractNumId w:val="5"/>
  </w:num>
  <w:num w:numId="17" w16cid:durableId="1258556168">
    <w:abstractNumId w:val="23"/>
  </w:num>
  <w:num w:numId="18" w16cid:durableId="517041921">
    <w:abstractNumId w:val="15"/>
  </w:num>
  <w:num w:numId="19" w16cid:durableId="1167549458">
    <w:abstractNumId w:val="29"/>
  </w:num>
  <w:num w:numId="20" w16cid:durableId="1016887026">
    <w:abstractNumId w:val="12"/>
  </w:num>
  <w:num w:numId="21" w16cid:durableId="1154416998">
    <w:abstractNumId w:val="10"/>
  </w:num>
  <w:num w:numId="22" w16cid:durableId="64841122">
    <w:abstractNumId w:val="14"/>
  </w:num>
  <w:num w:numId="23" w16cid:durableId="1933583478">
    <w:abstractNumId w:val="20"/>
  </w:num>
  <w:num w:numId="24" w16cid:durableId="1614749779">
    <w:abstractNumId w:val="27"/>
  </w:num>
  <w:num w:numId="25" w16cid:durableId="1771047870">
    <w:abstractNumId w:val="4"/>
  </w:num>
  <w:num w:numId="26" w16cid:durableId="1566523881">
    <w:abstractNumId w:val="17"/>
  </w:num>
  <w:num w:numId="27" w16cid:durableId="512231963">
    <w:abstractNumId w:val="21"/>
  </w:num>
  <w:num w:numId="28" w16cid:durableId="1833568653">
    <w:abstractNumId w:val="28"/>
  </w:num>
  <w:num w:numId="29" w16cid:durableId="491916869">
    <w:abstractNumId w:val="25"/>
  </w:num>
  <w:num w:numId="30" w16cid:durableId="1724406510">
    <w:abstractNumId w:val="11"/>
  </w:num>
  <w:num w:numId="31" w16cid:durableId="1818837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77CE"/>
    <w:rsid w:val="000A47FA"/>
    <w:rsid w:val="000A65D3"/>
    <w:rsid w:val="000B1E33"/>
    <w:rsid w:val="000B275A"/>
    <w:rsid w:val="000B2893"/>
    <w:rsid w:val="000D090D"/>
    <w:rsid w:val="000D689F"/>
    <w:rsid w:val="000E609C"/>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6005"/>
    <w:rsid w:val="001E10D2"/>
    <w:rsid w:val="001E25B4"/>
    <w:rsid w:val="001E30A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4ABF"/>
    <w:rsid w:val="00471A80"/>
    <w:rsid w:val="004D22C4"/>
    <w:rsid w:val="004D305E"/>
    <w:rsid w:val="004D4277"/>
    <w:rsid w:val="00502516"/>
    <w:rsid w:val="00505F06"/>
    <w:rsid w:val="00506828"/>
    <w:rsid w:val="00510D15"/>
    <w:rsid w:val="0053056E"/>
    <w:rsid w:val="00540720"/>
    <w:rsid w:val="00554FDA"/>
    <w:rsid w:val="005B73E9"/>
    <w:rsid w:val="005C784C"/>
    <w:rsid w:val="005D17F6"/>
    <w:rsid w:val="005E5539"/>
    <w:rsid w:val="005F2BDC"/>
    <w:rsid w:val="00602BF5"/>
    <w:rsid w:val="00612377"/>
    <w:rsid w:val="00617FDD"/>
    <w:rsid w:val="00620AED"/>
    <w:rsid w:val="00633614"/>
    <w:rsid w:val="00633F68"/>
    <w:rsid w:val="00636EB2"/>
    <w:rsid w:val="006375B8"/>
    <w:rsid w:val="006437A2"/>
    <w:rsid w:val="0065435E"/>
    <w:rsid w:val="0066510A"/>
    <w:rsid w:val="0067382D"/>
    <w:rsid w:val="00673F9F"/>
    <w:rsid w:val="00686953"/>
    <w:rsid w:val="00687DEA"/>
    <w:rsid w:val="00687E67"/>
    <w:rsid w:val="006967F7"/>
    <w:rsid w:val="006A250C"/>
    <w:rsid w:val="006B21D3"/>
    <w:rsid w:val="006B57D0"/>
    <w:rsid w:val="006C1179"/>
    <w:rsid w:val="006D30FF"/>
    <w:rsid w:val="006D6940"/>
    <w:rsid w:val="006F11EC"/>
    <w:rsid w:val="0070082C"/>
    <w:rsid w:val="00704203"/>
    <w:rsid w:val="00704E60"/>
    <w:rsid w:val="00731D8C"/>
    <w:rsid w:val="007369E6"/>
    <w:rsid w:val="00746E59"/>
    <w:rsid w:val="00754C9A"/>
    <w:rsid w:val="0075599A"/>
    <w:rsid w:val="00761D52"/>
    <w:rsid w:val="007622D9"/>
    <w:rsid w:val="0077749E"/>
    <w:rsid w:val="00790ADA"/>
    <w:rsid w:val="007C0428"/>
    <w:rsid w:val="007C37E6"/>
    <w:rsid w:val="007D2288"/>
    <w:rsid w:val="007E088F"/>
    <w:rsid w:val="007F7B32"/>
    <w:rsid w:val="00804BC2"/>
    <w:rsid w:val="0081431A"/>
    <w:rsid w:val="0083216F"/>
    <w:rsid w:val="008424EF"/>
    <w:rsid w:val="00860000"/>
    <w:rsid w:val="00863BD3"/>
    <w:rsid w:val="008641ED"/>
    <w:rsid w:val="00865FE4"/>
    <w:rsid w:val="00866D66"/>
    <w:rsid w:val="008671C6"/>
    <w:rsid w:val="00875803"/>
    <w:rsid w:val="008B459E"/>
    <w:rsid w:val="008B4B33"/>
    <w:rsid w:val="008E13AE"/>
    <w:rsid w:val="008E1506"/>
    <w:rsid w:val="008E710C"/>
    <w:rsid w:val="008F69D6"/>
    <w:rsid w:val="00902823"/>
    <w:rsid w:val="00915CA6"/>
    <w:rsid w:val="00926E29"/>
    <w:rsid w:val="00927834"/>
    <w:rsid w:val="009500A6"/>
    <w:rsid w:val="00957C18"/>
    <w:rsid w:val="009659BA"/>
    <w:rsid w:val="00983040"/>
    <w:rsid w:val="009B3FB9"/>
    <w:rsid w:val="009C2465"/>
    <w:rsid w:val="009D35A0"/>
    <w:rsid w:val="009D7EB7"/>
    <w:rsid w:val="009E048A"/>
    <w:rsid w:val="009E08E9"/>
    <w:rsid w:val="009E3DB9"/>
    <w:rsid w:val="009E54A8"/>
    <w:rsid w:val="009E6E35"/>
    <w:rsid w:val="009F0EDA"/>
    <w:rsid w:val="00A00AB8"/>
    <w:rsid w:val="00A03B96"/>
    <w:rsid w:val="00A05B19"/>
    <w:rsid w:val="00A1134E"/>
    <w:rsid w:val="00A24E7E"/>
    <w:rsid w:val="00A258C3"/>
    <w:rsid w:val="00A347C0"/>
    <w:rsid w:val="00A51431"/>
    <w:rsid w:val="00A539AD"/>
    <w:rsid w:val="00A94063"/>
    <w:rsid w:val="00AA6219"/>
    <w:rsid w:val="00AA74E0"/>
    <w:rsid w:val="00AB703F"/>
    <w:rsid w:val="00AC6B56"/>
    <w:rsid w:val="00AC6BB8"/>
    <w:rsid w:val="00AE008F"/>
    <w:rsid w:val="00B01FCD"/>
    <w:rsid w:val="00B1776C"/>
    <w:rsid w:val="00B2179F"/>
    <w:rsid w:val="00B52583"/>
    <w:rsid w:val="00B52896"/>
    <w:rsid w:val="00B95236"/>
    <w:rsid w:val="00B96BD9"/>
    <w:rsid w:val="00BA1B01"/>
    <w:rsid w:val="00BA2641"/>
    <w:rsid w:val="00BB37AA"/>
    <w:rsid w:val="00BC53A0"/>
    <w:rsid w:val="00BE62AD"/>
    <w:rsid w:val="00BF121F"/>
    <w:rsid w:val="00BF1F80"/>
    <w:rsid w:val="00BF2784"/>
    <w:rsid w:val="00C166EF"/>
    <w:rsid w:val="00C17EB0"/>
    <w:rsid w:val="00C27F5F"/>
    <w:rsid w:val="00C30A0F"/>
    <w:rsid w:val="00C37E61"/>
    <w:rsid w:val="00C70F1B"/>
    <w:rsid w:val="00C71A47"/>
    <w:rsid w:val="00C7464C"/>
    <w:rsid w:val="00C85588"/>
    <w:rsid w:val="00CD6755"/>
    <w:rsid w:val="00CD6856"/>
    <w:rsid w:val="00CE0089"/>
    <w:rsid w:val="00CE53A7"/>
    <w:rsid w:val="00CE793C"/>
    <w:rsid w:val="00CF193C"/>
    <w:rsid w:val="00D06A10"/>
    <w:rsid w:val="00D173F1"/>
    <w:rsid w:val="00D74CB0"/>
    <w:rsid w:val="00D8295D"/>
    <w:rsid w:val="00DC2A65"/>
    <w:rsid w:val="00DC4D2B"/>
    <w:rsid w:val="00DE15F0"/>
    <w:rsid w:val="00DE5663"/>
    <w:rsid w:val="00DE78AA"/>
    <w:rsid w:val="00DF784C"/>
    <w:rsid w:val="00E053D0"/>
    <w:rsid w:val="00E112C7"/>
    <w:rsid w:val="00E15994"/>
    <w:rsid w:val="00E3114E"/>
    <w:rsid w:val="00E31A70"/>
    <w:rsid w:val="00E35B02"/>
    <w:rsid w:val="00E563CC"/>
    <w:rsid w:val="00E66496"/>
    <w:rsid w:val="00E66B35"/>
    <w:rsid w:val="00E66E10"/>
    <w:rsid w:val="00E769F6"/>
    <w:rsid w:val="00E8407C"/>
    <w:rsid w:val="00E84F3C"/>
    <w:rsid w:val="00EA012C"/>
    <w:rsid w:val="00EB4989"/>
    <w:rsid w:val="00EC6A55"/>
    <w:rsid w:val="00ED0288"/>
    <w:rsid w:val="00EE52CB"/>
    <w:rsid w:val="00EF581D"/>
    <w:rsid w:val="00EF7FD8"/>
    <w:rsid w:val="00F06F59"/>
    <w:rsid w:val="00F16736"/>
    <w:rsid w:val="00F17988"/>
    <w:rsid w:val="00F469F0"/>
    <w:rsid w:val="00F524D1"/>
    <w:rsid w:val="00F53273"/>
    <w:rsid w:val="00F5476C"/>
    <w:rsid w:val="00F57014"/>
    <w:rsid w:val="00F57291"/>
    <w:rsid w:val="00F64149"/>
    <w:rsid w:val="00F755E4"/>
    <w:rsid w:val="00F76BF0"/>
    <w:rsid w:val="00F77D02"/>
    <w:rsid w:val="00FB3A86"/>
    <w:rsid w:val="00FD36C8"/>
    <w:rsid w:val="00FD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4222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31D8C"/>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paragraph" w:styleId="Heading3">
    <w:name w:val="heading 3"/>
    <w:basedOn w:val="Normal"/>
    <w:next w:val="Normal"/>
    <w:link w:val="Heading3Char"/>
    <w:semiHidden/>
    <w:unhideWhenUsed/>
    <w:qFormat/>
    <w:rsid w:val="00B2179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04E60"/>
    <w:pPr>
      <w:spacing w:before="100" w:beforeAutospacing="1" w:after="100" w:afterAutospacing="1"/>
    </w:pPr>
    <w:rPr>
      <w:rFonts w:ascii="Times New Roman" w:hAnsi="Times New Roman"/>
      <w:sz w:val="24"/>
      <w:szCs w:val="24"/>
      <w:lang w:val="fr-FR" w:eastAsia="fr-FR"/>
    </w:rPr>
  </w:style>
  <w:style w:type="character" w:customStyle="1" w:styleId="citation-25">
    <w:name w:val="citation-25"/>
    <w:basedOn w:val="DefaultParagraphFont"/>
    <w:rsid w:val="00704E60"/>
  </w:style>
  <w:style w:type="character" w:customStyle="1" w:styleId="citation-24">
    <w:name w:val="citation-24"/>
    <w:basedOn w:val="DefaultParagraphFont"/>
    <w:rsid w:val="00704E60"/>
  </w:style>
  <w:style w:type="character" w:customStyle="1" w:styleId="citation-23">
    <w:name w:val="citation-23"/>
    <w:basedOn w:val="DefaultParagraphFont"/>
    <w:rsid w:val="00704E60"/>
  </w:style>
  <w:style w:type="character" w:customStyle="1" w:styleId="citation-22">
    <w:name w:val="citation-22"/>
    <w:basedOn w:val="DefaultParagraphFont"/>
    <w:rsid w:val="00704E60"/>
  </w:style>
  <w:style w:type="character" w:customStyle="1" w:styleId="citation-21">
    <w:name w:val="citation-21"/>
    <w:basedOn w:val="DefaultParagraphFont"/>
    <w:rsid w:val="00704E60"/>
  </w:style>
  <w:style w:type="character" w:customStyle="1" w:styleId="citation-20">
    <w:name w:val="citation-20"/>
    <w:basedOn w:val="DefaultParagraphFont"/>
    <w:rsid w:val="00704E60"/>
  </w:style>
  <w:style w:type="character" w:customStyle="1" w:styleId="citation-19">
    <w:name w:val="citation-19"/>
    <w:basedOn w:val="DefaultParagraphFont"/>
    <w:rsid w:val="00704E60"/>
  </w:style>
  <w:style w:type="character" w:customStyle="1" w:styleId="citation-18">
    <w:name w:val="citation-18"/>
    <w:basedOn w:val="DefaultParagraphFont"/>
    <w:rsid w:val="00704E60"/>
  </w:style>
  <w:style w:type="character" w:customStyle="1" w:styleId="citation-17">
    <w:name w:val="citation-17"/>
    <w:basedOn w:val="DefaultParagraphFont"/>
    <w:rsid w:val="00704E60"/>
  </w:style>
  <w:style w:type="character" w:customStyle="1" w:styleId="citation-16">
    <w:name w:val="citation-16"/>
    <w:basedOn w:val="DefaultParagraphFont"/>
    <w:rsid w:val="00704E60"/>
  </w:style>
  <w:style w:type="character" w:customStyle="1" w:styleId="citation-15">
    <w:name w:val="citation-15"/>
    <w:basedOn w:val="DefaultParagraphFont"/>
    <w:rsid w:val="00704E60"/>
  </w:style>
  <w:style w:type="character" w:customStyle="1" w:styleId="citation-14">
    <w:name w:val="citation-14"/>
    <w:basedOn w:val="DefaultParagraphFont"/>
    <w:rsid w:val="00704E60"/>
  </w:style>
  <w:style w:type="character" w:customStyle="1" w:styleId="citation-13">
    <w:name w:val="citation-13"/>
    <w:basedOn w:val="DefaultParagraphFont"/>
    <w:rsid w:val="00704E60"/>
  </w:style>
  <w:style w:type="character" w:customStyle="1" w:styleId="Heading2Char">
    <w:name w:val="Heading 2 Char"/>
    <w:basedOn w:val="DefaultParagraphFont"/>
    <w:link w:val="Heading2"/>
    <w:uiPriority w:val="9"/>
    <w:rsid w:val="00731D8C"/>
    <w:rPr>
      <w:rFonts w:asciiTheme="majorHAnsi" w:eastAsiaTheme="majorEastAsia" w:hAnsiTheme="majorHAnsi" w:cstheme="majorBidi"/>
      <w:color w:val="365F91" w:themeColor="accent1" w:themeShade="BF"/>
      <w:sz w:val="26"/>
      <w:szCs w:val="26"/>
      <w:lang w:val="fr-FR"/>
    </w:rPr>
  </w:style>
  <w:style w:type="paragraph" w:styleId="ListParagraph">
    <w:name w:val="List Paragraph"/>
    <w:basedOn w:val="Normal"/>
    <w:uiPriority w:val="34"/>
    <w:qFormat/>
    <w:rsid w:val="00731D8C"/>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mord">
    <w:name w:val="mord"/>
    <w:basedOn w:val="DefaultParagraphFont"/>
    <w:rsid w:val="00731D8C"/>
  </w:style>
  <w:style w:type="character" w:customStyle="1" w:styleId="mrel">
    <w:name w:val="mrel"/>
    <w:basedOn w:val="DefaultParagraphFont"/>
    <w:rsid w:val="00731D8C"/>
  </w:style>
  <w:style w:type="character" w:customStyle="1" w:styleId="mbin">
    <w:name w:val="mbin"/>
    <w:basedOn w:val="DefaultParagraphFont"/>
    <w:rsid w:val="00731D8C"/>
  </w:style>
  <w:style w:type="character" w:customStyle="1" w:styleId="selected">
    <w:name w:val="selected"/>
    <w:basedOn w:val="DefaultParagraphFont"/>
    <w:rsid w:val="00731D8C"/>
  </w:style>
  <w:style w:type="character" w:customStyle="1" w:styleId="citation-35">
    <w:name w:val="citation-35"/>
    <w:basedOn w:val="DefaultParagraphFont"/>
    <w:rsid w:val="00731D8C"/>
  </w:style>
  <w:style w:type="character" w:customStyle="1" w:styleId="citation-34">
    <w:name w:val="citation-34"/>
    <w:basedOn w:val="DefaultParagraphFont"/>
    <w:rsid w:val="00731D8C"/>
  </w:style>
  <w:style w:type="character" w:customStyle="1" w:styleId="citation-33">
    <w:name w:val="citation-33"/>
    <w:basedOn w:val="DefaultParagraphFont"/>
    <w:rsid w:val="00731D8C"/>
  </w:style>
  <w:style w:type="character" w:customStyle="1" w:styleId="citation-32">
    <w:name w:val="citation-32"/>
    <w:basedOn w:val="DefaultParagraphFont"/>
    <w:rsid w:val="00731D8C"/>
  </w:style>
  <w:style w:type="character" w:customStyle="1" w:styleId="citation-31">
    <w:name w:val="citation-31"/>
    <w:basedOn w:val="DefaultParagraphFont"/>
    <w:rsid w:val="00731D8C"/>
  </w:style>
  <w:style w:type="character" w:customStyle="1" w:styleId="citation-30">
    <w:name w:val="citation-30"/>
    <w:basedOn w:val="DefaultParagraphFont"/>
    <w:rsid w:val="00731D8C"/>
  </w:style>
  <w:style w:type="character" w:customStyle="1" w:styleId="citation-29">
    <w:name w:val="citation-29"/>
    <w:basedOn w:val="DefaultParagraphFont"/>
    <w:rsid w:val="00731D8C"/>
  </w:style>
  <w:style w:type="character" w:customStyle="1" w:styleId="citation-28">
    <w:name w:val="citation-28"/>
    <w:basedOn w:val="DefaultParagraphFont"/>
    <w:rsid w:val="00731D8C"/>
  </w:style>
  <w:style w:type="character" w:customStyle="1" w:styleId="citation-27">
    <w:name w:val="citation-27"/>
    <w:basedOn w:val="DefaultParagraphFont"/>
    <w:rsid w:val="00731D8C"/>
  </w:style>
  <w:style w:type="character" w:customStyle="1" w:styleId="citation-26">
    <w:name w:val="citation-26"/>
    <w:basedOn w:val="DefaultParagraphFont"/>
    <w:rsid w:val="00731D8C"/>
  </w:style>
  <w:style w:type="character" w:customStyle="1" w:styleId="Heading3Char">
    <w:name w:val="Heading 3 Char"/>
    <w:basedOn w:val="DefaultParagraphFont"/>
    <w:link w:val="Heading3"/>
    <w:semiHidden/>
    <w:rsid w:val="00B2179F"/>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E11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6320297">
      <w:bodyDiv w:val="1"/>
      <w:marLeft w:val="0"/>
      <w:marRight w:val="0"/>
      <w:marTop w:val="0"/>
      <w:marBottom w:val="0"/>
      <w:divBdr>
        <w:top w:val="none" w:sz="0" w:space="0" w:color="auto"/>
        <w:left w:val="none" w:sz="0" w:space="0" w:color="auto"/>
        <w:bottom w:val="none" w:sz="0" w:space="0" w:color="auto"/>
        <w:right w:val="none" w:sz="0" w:space="0" w:color="auto"/>
      </w:divBdr>
    </w:div>
    <w:div w:id="56695818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2577218">
      <w:bodyDiv w:val="1"/>
      <w:marLeft w:val="0"/>
      <w:marRight w:val="0"/>
      <w:marTop w:val="0"/>
      <w:marBottom w:val="0"/>
      <w:divBdr>
        <w:top w:val="none" w:sz="0" w:space="0" w:color="auto"/>
        <w:left w:val="none" w:sz="0" w:space="0" w:color="auto"/>
        <w:bottom w:val="none" w:sz="0" w:space="0" w:color="auto"/>
        <w:right w:val="none" w:sz="0" w:space="0" w:color="auto"/>
      </w:divBdr>
    </w:div>
    <w:div w:id="9181765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5681360">
      <w:bodyDiv w:val="1"/>
      <w:marLeft w:val="0"/>
      <w:marRight w:val="0"/>
      <w:marTop w:val="0"/>
      <w:marBottom w:val="0"/>
      <w:divBdr>
        <w:top w:val="none" w:sz="0" w:space="0" w:color="auto"/>
        <w:left w:val="none" w:sz="0" w:space="0" w:color="auto"/>
        <w:bottom w:val="none" w:sz="0" w:space="0" w:color="auto"/>
        <w:right w:val="none" w:sz="0" w:space="0" w:color="auto"/>
      </w:divBdr>
    </w:div>
    <w:div w:id="16365195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61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DMSO.S269399" TargetMode="External"/><Relationship Id="rId13" Type="http://schemas.openxmlformats.org/officeDocument/2006/relationships/hyperlink" Target="https://doi.org/10.1046/j.1467-789x.2002.00065.x" TargetMode="External"/><Relationship Id="rId18" Type="http://schemas.openxmlformats.org/officeDocument/2006/relationships/hyperlink" Target="https://doi.org/10.1038/ijo.2010.5" TargetMode="External"/><Relationship Id="rId26" Type="http://schemas.openxmlformats.org/officeDocument/2006/relationships/hyperlink" Target="https://doi.org/10.1111/jgh.13657" TargetMode="External"/><Relationship Id="rId3" Type="http://schemas.openxmlformats.org/officeDocument/2006/relationships/styles" Target="styles.xml"/><Relationship Id="rId21" Type="http://schemas.openxmlformats.org/officeDocument/2006/relationships/hyperlink" Target="https://doi.org/10.1038/ijo.2008.1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nk.springer.com/article/10.1007/s40121-022-00725-6" TargetMode="External"/><Relationship Id="rId17" Type="http://schemas.openxmlformats.org/officeDocument/2006/relationships/hyperlink" Target="https://doi.org/10.1016/j.cgh.2011.11.005" TargetMode="External"/><Relationship Id="rId25" Type="http://schemas.openxmlformats.org/officeDocument/2006/relationships/hyperlink" Target="https://doi.org/10.1097/HEP.000000000000057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111/ctr.12115" TargetMode="External"/><Relationship Id="rId20" Type="http://schemas.openxmlformats.org/officeDocument/2006/relationships/hyperlink" Target="https://doi.org/10.1046/j.1467-789x.2001.00033.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3/ageing/afy169" TargetMode="External"/><Relationship Id="rId24" Type="http://schemas.openxmlformats.org/officeDocument/2006/relationships/hyperlink" Target="https://doi.org/10.1016/j.jhep.2012.02.013"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07/s40273-014-0243-x" TargetMode="External"/><Relationship Id="rId23" Type="http://schemas.openxmlformats.org/officeDocument/2006/relationships/hyperlink" Target="https://doi.org/10.1007/s10620-017-4591-2" TargetMode="External"/><Relationship Id="rId28" Type="http://schemas.openxmlformats.org/officeDocument/2006/relationships/header" Target="header1.xml"/><Relationship Id="rId10" Type="http://schemas.openxmlformats.org/officeDocument/2006/relationships/hyperlink" Target="https://doi.org/10.1038/ejcn.2014.117" TargetMode="External"/><Relationship Id="rId19" Type="http://schemas.openxmlformats.org/officeDocument/2006/relationships/hyperlink" Target="https://doi.org/10.1111/j.1753-4887.2011.00456.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86/s12872-017-0476-5" TargetMode="External"/><Relationship Id="rId14" Type="http://schemas.openxmlformats.org/officeDocument/2006/relationships/hyperlink" Target="https://doi.org/10.1155/2010/513948" TargetMode="External"/><Relationship Id="rId22" Type="http://schemas.openxmlformats.org/officeDocument/2006/relationships/hyperlink" Target="https://doi.org/10.1016/S0140-6736(15)61412-X" TargetMode="External"/><Relationship Id="rId27" Type="http://schemas.openxmlformats.org/officeDocument/2006/relationships/hyperlink" Target="https://doi.org/10.1002/hep.28431" TargetMode="External"/><Relationship Id="rId30" Type="http://schemas.openxmlformats.org/officeDocument/2006/relationships/footer" Target="foot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B3AD1-E7C8-40B9-8CFE-1FABB0BD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13</Pages>
  <Words>6551</Words>
  <Characters>37342</Characters>
  <Application>Microsoft Office Word</Application>
  <DocSecurity>0</DocSecurity>
  <Lines>311</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43806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22</cp:revision>
  <cp:lastPrinted>1999-07-06T11:00:00Z</cp:lastPrinted>
  <dcterms:created xsi:type="dcterms:W3CDTF">2025-09-05T12:34:00Z</dcterms:created>
  <dcterms:modified xsi:type="dcterms:W3CDTF">2025-09-08T08:44:00Z</dcterms:modified>
</cp:coreProperties>
</file>