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4209" w14:textId="00F7BBF4" w:rsidR="00F13CDB" w:rsidRDefault="00F13CDB" w:rsidP="0034561A">
      <w:pPr>
        <w:spacing w:after="0" w:line="240" w:lineRule="auto"/>
        <w:jc w:val="both"/>
        <w:rPr>
          <w:rFonts w:ascii="Calibri" w:hAnsi="Calibri" w:cs="Calibri"/>
          <w:b/>
          <w:bCs/>
          <w:u w:val="single"/>
        </w:rPr>
      </w:pPr>
      <w:bookmarkStart w:id="0" w:name="_Toc198372508"/>
      <w:r w:rsidRPr="00F13CDB">
        <w:rPr>
          <w:rFonts w:ascii="Calibri" w:hAnsi="Calibri" w:cs="Calibri"/>
          <w:b/>
          <w:bCs/>
          <w:u w:val="single"/>
        </w:rPr>
        <w:t>Review Article</w:t>
      </w:r>
    </w:p>
    <w:p w14:paraId="3AF22242" w14:textId="77777777" w:rsidR="00BB2E97" w:rsidRPr="00F13CDB" w:rsidRDefault="00BB2E97" w:rsidP="0034561A">
      <w:pPr>
        <w:spacing w:after="0" w:line="240" w:lineRule="auto"/>
        <w:jc w:val="both"/>
        <w:rPr>
          <w:rFonts w:ascii="Calibri" w:hAnsi="Calibri" w:cs="Calibri"/>
          <w:b/>
          <w:bCs/>
          <w:u w:val="single"/>
        </w:rPr>
      </w:pPr>
      <w:bookmarkStart w:id="1" w:name="_GoBack"/>
      <w:bookmarkEnd w:id="1"/>
    </w:p>
    <w:p w14:paraId="41327D6F" w14:textId="5675EAD4" w:rsidR="00BC17B5" w:rsidRPr="00BC17B5" w:rsidRDefault="00BC17B5" w:rsidP="0034561A">
      <w:pPr>
        <w:spacing w:after="0" w:line="240" w:lineRule="auto"/>
        <w:jc w:val="both"/>
        <w:rPr>
          <w:rFonts w:ascii="Calibri" w:hAnsi="Calibri" w:cs="Calibri"/>
        </w:rPr>
      </w:pPr>
      <w:r w:rsidRPr="00BC17B5">
        <w:rPr>
          <w:rFonts w:ascii="Calibri" w:hAnsi="Calibri" w:cs="Calibri"/>
          <w:b/>
          <w:bCs/>
        </w:rPr>
        <w:t xml:space="preserve">Holding Time </w:t>
      </w:r>
      <w:r w:rsidR="00364314">
        <w:rPr>
          <w:rFonts w:ascii="Calibri" w:hAnsi="Calibri" w:cs="Calibri"/>
          <w:b/>
          <w:bCs/>
        </w:rPr>
        <w:t xml:space="preserve">Optimisation </w:t>
      </w:r>
      <w:r w:rsidRPr="00BC17B5">
        <w:rPr>
          <w:rFonts w:ascii="Calibri" w:hAnsi="Calibri" w:cs="Calibri"/>
          <w:b/>
          <w:bCs/>
        </w:rPr>
        <w:t>in Fresh Frozen Plasma: A Critical Factor Worth Investigating</w:t>
      </w:r>
      <w:bookmarkEnd w:id="0"/>
    </w:p>
    <w:p w14:paraId="404D88F1" w14:textId="77777777" w:rsidR="00701B2F" w:rsidRDefault="00701B2F" w:rsidP="0034561A">
      <w:pPr>
        <w:spacing w:after="0" w:line="240" w:lineRule="auto"/>
        <w:jc w:val="both"/>
        <w:rPr>
          <w:rFonts w:ascii="Calibri" w:hAnsi="Calibri" w:cs="Calibri"/>
        </w:rPr>
      </w:pPr>
    </w:p>
    <w:p w14:paraId="72EB7018" w14:textId="77777777" w:rsidR="00701B2F" w:rsidRDefault="00701B2F" w:rsidP="0034561A">
      <w:pPr>
        <w:spacing w:after="0" w:line="240" w:lineRule="auto"/>
        <w:jc w:val="both"/>
        <w:rPr>
          <w:rFonts w:ascii="Calibri" w:hAnsi="Calibri" w:cs="Calibri"/>
        </w:rPr>
      </w:pPr>
    </w:p>
    <w:p w14:paraId="5BD28023"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Abstract</w:t>
      </w:r>
    </w:p>
    <w:p w14:paraId="619EE427" w14:textId="053C70F2" w:rsidR="00364314" w:rsidRPr="00364314" w:rsidRDefault="00364314" w:rsidP="00364314">
      <w:pPr>
        <w:spacing w:before="240" w:line="240" w:lineRule="auto"/>
        <w:jc w:val="both"/>
        <w:rPr>
          <w:rFonts w:ascii="Calibri" w:hAnsi="Calibri" w:cs="Calibri"/>
        </w:rPr>
      </w:pPr>
      <w:r w:rsidRPr="00364314">
        <w:rPr>
          <w:rFonts w:ascii="Calibri" w:hAnsi="Calibri" w:cs="Calibri"/>
        </w:rPr>
        <w:t>The production and quality of Fresh Frozen Plasma (FFP) are governed by harmonised standards set by the European Directorate for the Quality of Medicines and HealthCare (EDQM). These standards emphasise maintaining protein activity and controlling residual leucocyte content to ensure product quality and patient safety.</w:t>
      </w:r>
      <w:r>
        <w:rPr>
          <w:rFonts w:ascii="Calibri" w:hAnsi="Calibri" w:cs="Calibri"/>
        </w:rPr>
        <w:t xml:space="preserve"> </w:t>
      </w:r>
      <w:r w:rsidRPr="00364314">
        <w:rPr>
          <w:rFonts w:ascii="Calibri" w:hAnsi="Calibri" w:cs="Calibri"/>
        </w:rPr>
        <w:t>Although FFP was previously assumed to be acellular, recent studies have shown that residual leucocytes remain present. These cells can contribute to immunological reactions, transfusion-associated infections, and alloimmunisation in recipients.</w:t>
      </w:r>
      <w:r>
        <w:rPr>
          <w:rFonts w:ascii="Calibri" w:hAnsi="Calibri" w:cs="Calibri"/>
        </w:rPr>
        <w:t xml:space="preserve"> </w:t>
      </w:r>
      <w:r w:rsidRPr="00364314">
        <w:rPr>
          <w:rFonts w:ascii="Calibri" w:hAnsi="Calibri" w:cs="Calibri"/>
        </w:rPr>
        <w:t>The holding time between whole blood collection and plasma processing is a pivotal factor. It determines the balance between leucocyte degradation and the preservation of labile plasma proteins, particularly coagulation factors such as FVIII, FV, Protein C, and Protein S.</w:t>
      </w:r>
      <w:r>
        <w:rPr>
          <w:rFonts w:ascii="Calibri" w:hAnsi="Calibri" w:cs="Calibri"/>
        </w:rPr>
        <w:t xml:space="preserve"> </w:t>
      </w:r>
      <w:r w:rsidRPr="00364314">
        <w:rPr>
          <w:rFonts w:ascii="Calibri" w:hAnsi="Calibri" w:cs="Calibri"/>
        </w:rPr>
        <w:t>Short holding times may not sufficiently reduce leucocyte counts, thereby increasing the risk of immunological complications. In contrast, extended holding times can accelerate the decline of coagulation factors and reduce therapeutic efficacy.</w:t>
      </w:r>
      <w:r>
        <w:rPr>
          <w:rFonts w:ascii="Calibri" w:hAnsi="Calibri" w:cs="Calibri"/>
        </w:rPr>
        <w:t xml:space="preserve"> </w:t>
      </w:r>
      <w:r w:rsidRPr="00364314">
        <w:rPr>
          <w:rFonts w:ascii="Calibri" w:hAnsi="Calibri" w:cs="Calibri"/>
        </w:rPr>
        <w:t>Additional variables such as temperature management, enzymatic activity from residual cells, and pH fluctuations also influence protein stability. These factors highlight the complex biochemical and cellular interactions that shape plasma quality.</w:t>
      </w:r>
      <w:r>
        <w:rPr>
          <w:rFonts w:ascii="Calibri" w:hAnsi="Calibri" w:cs="Calibri"/>
        </w:rPr>
        <w:t xml:space="preserve"> </w:t>
      </w:r>
      <w:r w:rsidRPr="00364314">
        <w:rPr>
          <w:rFonts w:ascii="Calibri" w:hAnsi="Calibri" w:cs="Calibri"/>
        </w:rPr>
        <w:t>This review underscores the need for standardised, evidence-based holding times. Such standards should optimise both leucocyte inactivation and protein preservation while also accounting for operational constraints in blood establishments.</w:t>
      </w:r>
      <w:r>
        <w:rPr>
          <w:rFonts w:ascii="Calibri" w:hAnsi="Calibri" w:cs="Calibri"/>
        </w:rPr>
        <w:t xml:space="preserve"> </w:t>
      </w:r>
    </w:p>
    <w:p w14:paraId="27A387A8" w14:textId="77777777" w:rsidR="00364314" w:rsidRPr="00364314" w:rsidRDefault="00364314" w:rsidP="00364314">
      <w:pPr>
        <w:spacing w:before="240" w:line="240" w:lineRule="auto"/>
        <w:jc w:val="both"/>
        <w:rPr>
          <w:rFonts w:ascii="Calibri" w:hAnsi="Calibri" w:cs="Calibri"/>
        </w:rPr>
      </w:pPr>
      <w:r w:rsidRPr="00364314">
        <w:rPr>
          <w:rFonts w:ascii="Calibri" w:hAnsi="Calibri" w:cs="Calibri"/>
        </w:rPr>
        <w:t>Future research should aim to quantify residual leucocyte activity, characterise subtle protein degradation, and link these findings with clinical outcomes. This will help refine FFP processing protocols and improve transfusion safety and effectiveness.</w:t>
      </w:r>
    </w:p>
    <w:p w14:paraId="231F1956" w14:textId="73A3A0D3" w:rsidR="00BC17B5" w:rsidRPr="00BC17B5" w:rsidRDefault="00BC17B5" w:rsidP="00BC17B5">
      <w:pPr>
        <w:spacing w:before="240" w:line="240" w:lineRule="auto"/>
        <w:jc w:val="both"/>
        <w:rPr>
          <w:rFonts w:ascii="Calibri" w:hAnsi="Calibri" w:cs="Calibri"/>
        </w:rPr>
      </w:pPr>
      <w:r w:rsidRPr="00BC17B5">
        <w:rPr>
          <w:rFonts w:ascii="Calibri" w:hAnsi="Calibri" w:cs="Calibri"/>
        </w:rPr>
        <w:t>Key words: Fresh Frozen Plasma, Holding time, Residual leucocytes, Plasma proteins, Leucoreduction</w:t>
      </w:r>
      <w:r w:rsidR="00B6342F">
        <w:rPr>
          <w:rFonts w:ascii="Calibri" w:hAnsi="Calibri" w:cs="Calibri"/>
        </w:rPr>
        <w:t>, Transfusion safety.</w:t>
      </w:r>
    </w:p>
    <w:p w14:paraId="70411BE2"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1. Introduction</w:t>
      </w:r>
    </w:p>
    <w:p w14:paraId="6A201165" w14:textId="309CC73B" w:rsidR="00381C05" w:rsidRPr="00A268CE" w:rsidRDefault="00381C05" w:rsidP="00381C05">
      <w:pPr>
        <w:spacing w:before="240" w:line="240" w:lineRule="auto"/>
        <w:jc w:val="both"/>
        <w:rPr>
          <w:rFonts w:ascii="Calibri" w:hAnsi="Calibri" w:cs="Calibri"/>
        </w:rPr>
      </w:pPr>
      <w:r w:rsidRPr="00A268CE">
        <w:rPr>
          <w:rFonts w:ascii="Calibri" w:hAnsi="Calibri" w:cs="Calibri"/>
        </w:rPr>
        <w:t>The collection, processing, and transfusion of blood components are critical aspects of modern healthcare, directly influencing both patient safety and therapeutic efficacy. Among these components, Fresh Frozen Plasma (FFP) occupies a unique and indispensable role in clinical practice, particularly in the management of patients with coagulation factor deficiencies, complex coagulopathies, massive haemorrhage, liver disease, and situations requiring urgent plasma replacement</w:t>
      </w:r>
      <w:r w:rsidR="00F13DAB" w:rsidRPr="00A268CE">
        <w:rPr>
          <w:rFonts w:ascii="Calibri" w:hAnsi="Calibri" w:cs="Calibri"/>
        </w:rPr>
        <w:fldChar w:fldCharType="begin"/>
      </w:r>
      <w:r w:rsidR="00F13DAB" w:rsidRPr="00A268CE">
        <w:rPr>
          <w:rFonts w:ascii="Calibri" w:hAnsi="Calibri" w:cs="Calibri"/>
        </w:rPr>
        <w:instrText xml:space="preserve"> ADDIN ZOTERO_ITEM CSL_CITATION {"citationID":"i2IOwATd","properties":{"formattedCitation":"(1,2)","plainCitation":"(1,2)","noteIndex":0},"citationItems":[{"id":5396,"uris":["http://zotero.org/users/3782744/items/RUZUJTX2"],"itemData":{"id":5396,"type":"chapter","abstract":"Fresh-frozen plasma (FFP) administration is indicated for patients with coagulation factor deficiencies, abnormal coagulation test results, and active bleeding. This intervention is also used to optimize coagulation parameters in patients with coagulation abnormalities about to undergo an invasive procedure or reverse warfarin's effects in the presence of active bleeding or insufficient response to vitamin K before a planned procedure. Additional indications include thrombotic thrombocytopenic purpura and congenital or acquired factor deficiencies when no alternative therapy is available.","call-number":"NBK513347","container-title":"StatPearls","event-place":"Treasure Island (FL)","language":"eng","license":"Copyright © 2025, StatPearls Publishing LLC.","note":"PMID: 30020719","publisher":"StatPearls Publishing","publisher-place":"Treasure Island (FL)","source":"PubMed","title":"Fresh Frozen Plasma (FFP)","URL":"http://www.ncbi.nlm.nih.gov/books/NBK513347/","author":[{"family":"Khawar","given":"Hina"},{"family":"Patel","given":"Preeti"},{"family":"Stevens","given":"Joshua B."},{"family":"Guzman","given":"Nilmarie"}],"accessed":{"date-parts":[["2025",8,13]]},"issued":{"date-parts":[["2025"]]}},"label":"page"},{"id":5439,"uris":["http://zotero.org/users/3782744/items/BRYEYKG8"],"itemData":{"id":5439,"type":"article-journal","abstract":"Summary Randomized controlled trials of good quality are a recognized means to robustly assess the efficacy of interventions in clinical practice. A systematic identification and appraisal of all randomized trials involving fresh frozen plasma (FFP) has been undertaken in parallel to the drafting of the updated British Committee for Standards in Haematology guidelines on the use of FFP. A total of 57 trials met the criteria for inclusion in the review. Most clinical uses of FFP, currently recommended by practice guidelines, are not supported by evidence from randomized trials. In particular, there is little evidence for the effectiveness of the prophylactic use of FFP. Many published trials on the use of FFP have enrolled small numbers of patients, and provided inadequate information on the ability of the trial to detect meaningful differences in outcomes between the two patient groups. Other concerns about the design of the trials include the dose of FFP used, and the potential for bias. No studies have taken adequate account of the extent to which adverse effects might negate the clinical benefits of treatment with FFP. There is a need to consider how best to develop new trials to determine the efficacy of FFP in different clinical scenarios to provide the evidence base to support national guidelines for transfusion practice. Trials of modified FFP (e.g. pathogen inactivated) are of questionable value when there is little evidence that the standard product is an effective treatment.","container-title":"British Journal of Haematology","DOI":"10.1111/j.1365-2141.2004.04973.x","ISSN":"0007-1048","issue":"1","journalAbbreviation":"Br J Haematol","language":"eng","note":"PMID: 15198745","page":"139-152","source":"PubMed","title":"Is fresh frozen plasma clinically effective? A systematic review of randomized controlled trials","title-short":"Is fresh frozen plasma clinically effective?","volume":"126","author":[{"family":"Stanworth","given":"S. J."},{"family":"Brunskill","given":"S. J."},{"family":"Hyde","given":"C. J."},{"family":"McClelland","given":"D. B. L."},{"family":"Murphy","given":"M. F."}],"issued":{"date-parts":[["2004",7]]}},"label":"page"}],"schema":"https://github.com/citation-style-language/schema/raw/master/csl-citation.json"} </w:instrText>
      </w:r>
      <w:r w:rsidR="00F13DAB" w:rsidRPr="00A268CE">
        <w:rPr>
          <w:rFonts w:ascii="Calibri" w:hAnsi="Calibri" w:cs="Calibri"/>
        </w:rPr>
        <w:fldChar w:fldCharType="separate"/>
      </w:r>
      <w:r w:rsidR="00F13DAB" w:rsidRPr="00A268CE">
        <w:rPr>
          <w:rFonts w:ascii="Calibri" w:hAnsi="Calibri" w:cs="Calibri"/>
        </w:rPr>
        <w:t>(1,2)</w:t>
      </w:r>
      <w:r w:rsidR="00F13DAB" w:rsidRPr="00A268CE">
        <w:rPr>
          <w:rFonts w:ascii="Calibri" w:hAnsi="Calibri" w:cs="Calibri"/>
        </w:rPr>
        <w:fldChar w:fldCharType="end"/>
      </w:r>
      <w:r w:rsidR="00323FC1" w:rsidRPr="00A268CE">
        <w:rPr>
          <w:rFonts w:ascii="Calibri" w:hAnsi="Calibri" w:cs="Calibri"/>
        </w:rPr>
        <w:t xml:space="preserve">. </w:t>
      </w:r>
      <w:r w:rsidRPr="00A268CE">
        <w:rPr>
          <w:rFonts w:ascii="Calibri" w:hAnsi="Calibri" w:cs="Calibri"/>
        </w:rPr>
        <w:t>Unlike red cell or platelet transfusions, the therapeutic value of FFP is derived primarily from its content of functional proteins—most notably coagulation factors, anticoagulants, and other plasma proteins that contribute to haemostasis and vascular stability</w:t>
      </w:r>
      <w:r w:rsidR="00323FC1" w:rsidRPr="00A268CE">
        <w:rPr>
          <w:rFonts w:ascii="Calibri" w:hAnsi="Calibri" w:cs="Calibri"/>
        </w:rPr>
        <w:fldChar w:fldCharType="begin"/>
      </w:r>
      <w:r w:rsidR="00323FC1" w:rsidRPr="00A268CE">
        <w:rPr>
          <w:rFonts w:ascii="Calibri" w:hAnsi="Calibri" w:cs="Calibri"/>
        </w:rPr>
        <w:instrText xml:space="preserve"> ADDIN ZOTERO_ITEM CSL_CITATION {"citationID":"3oO2unuE","properties":{"formattedCitation":"(3,4)","plainCitation":"(3,4)","noteIndex":0},"citationItems":[{"id":5471,"uris":["http://zotero.org/users/3782744/items/J2XHU5CX"],"itemData":{"id":5471,"type":"article-journal","abstract":"BACKGROUND: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M."}],"issued":{"date-parts":[["2005",8]]}},"label":"page"},{"id":5384,"uris":["http://zotero.org/users/3782744/items/GF7FEKUZ"],"itemData":{"id":5384,"type":"article-journal","abstract":"The quality of clinical biobank samples is crucial to their value for life sciences research. A number of factors related to the collection and storage of samples may affect the biomolecular composition. We have studied the effect of long-time freezer storage, chronological age at sampling, season and month of the year and on the abundance levels of 108 proteins in 380 plasma samples collected from 106 Swedish women. Storage time affected 18 proteins and explained 4.8-34.9% of the observed variance. Chronological age at sample collection after adjustment for storage-time affected 70 proteins and explained 1.1-33.5% of the variance. Seasonal variation had an effect on 15 proteins and month (number of sun hours) affected 36 proteins and explained up to 4.5% of the variance after adjustment for storage-time and age. The results show that freezer storage time and collection date (month and season) exerted similar effect sizes as age on the protein abundance levels. This implies that information on the sample handling history, in particular storage time, should be regarded as equally prominent covariates as age or gender and need to be included in epidemiological studies involving protein levels.","container-title":"EBioMedicine","DOI":"10.1016/j.ebiom.2016.08.038","ISSN":"2352-3964","journalAbbreviation":"EBioMedicine","language":"eng","note":"PMID: 27596149\nPMCID: PMC5078583","page":"309-314","source":"PubMed","title":"Effects of Long-Term Storage Time and Original Sampling Month on Biobank Plasma Protein Concentrations","volume":"12","author":[{"family":"Enroth","given":"Stefan"},{"family":"Hallmans","given":"Göran"},{"family":"Grankvist","given":"Kjell"},{"family":"Gyllensten","given":"Ulf"}],"issued":{"date-parts":[["2016",10]]}},"label":"page"}],"schema":"https://github.com/citation-style-language/schema/raw/master/csl-citation.json"} </w:instrText>
      </w:r>
      <w:r w:rsidR="00323FC1" w:rsidRPr="00A268CE">
        <w:rPr>
          <w:rFonts w:ascii="Calibri" w:hAnsi="Calibri" w:cs="Calibri"/>
        </w:rPr>
        <w:fldChar w:fldCharType="separate"/>
      </w:r>
      <w:r w:rsidR="00323FC1" w:rsidRPr="00A268CE">
        <w:rPr>
          <w:rFonts w:ascii="Calibri" w:hAnsi="Calibri" w:cs="Calibri"/>
        </w:rPr>
        <w:t>(3,4)</w:t>
      </w:r>
      <w:r w:rsidR="00323FC1" w:rsidRPr="00A268CE">
        <w:rPr>
          <w:rFonts w:ascii="Calibri" w:hAnsi="Calibri" w:cs="Calibri"/>
        </w:rPr>
        <w:fldChar w:fldCharType="end"/>
      </w:r>
      <w:r w:rsidR="00F671DC" w:rsidRPr="00A268CE">
        <w:rPr>
          <w:rFonts w:ascii="Calibri" w:hAnsi="Calibri" w:cs="Calibri"/>
        </w:rPr>
        <w:t>.</w:t>
      </w:r>
    </w:p>
    <w:p w14:paraId="6B482CAD" w14:textId="02F0CC47" w:rsidR="00381C05" w:rsidRPr="00A268CE" w:rsidRDefault="00381C05" w:rsidP="00381C05">
      <w:pPr>
        <w:spacing w:before="240" w:line="240" w:lineRule="auto"/>
        <w:jc w:val="both"/>
        <w:rPr>
          <w:rFonts w:ascii="Calibri" w:hAnsi="Calibri" w:cs="Calibri"/>
        </w:rPr>
      </w:pPr>
      <w:r w:rsidRPr="00A268CE">
        <w:rPr>
          <w:rFonts w:ascii="Calibri" w:hAnsi="Calibri" w:cs="Calibri"/>
        </w:rPr>
        <w:t>To safeguard these therapeutic properties, the European Directorate for the Quality of Medicines and HealthCare (EDQM) has established harmonised standards that govern every stage of FFP production—from donor collection to processing, freezing, storage, testing, and distribution</w:t>
      </w:r>
      <w:r w:rsidR="00F671DC" w:rsidRPr="00A268CE">
        <w:rPr>
          <w:rFonts w:ascii="Calibri" w:hAnsi="Calibri" w:cs="Calibri"/>
        </w:rPr>
        <w:fldChar w:fldCharType="begin"/>
      </w:r>
      <w:r w:rsidR="00F671DC" w:rsidRPr="00A268CE">
        <w:rPr>
          <w:rFonts w:ascii="Calibri" w:hAnsi="Calibri" w:cs="Calibri"/>
        </w:rPr>
        <w:instrText xml:space="preserve"> ADDIN ZOTERO_ITEM CSL_CITATION {"citationID":"bog8Tz9B","properties":{"formattedCitation":"(5)","plainCitation":"(5)","noteIndex":0},"citationItems":[{"id":5389,"uris":["http://zotero.org/users/3782744/items/CV6ESY35"],"itemData":{"id":5389,"type":"webpage","container-title":"European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F671DC" w:rsidRPr="00A268CE">
        <w:rPr>
          <w:rFonts w:ascii="Calibri" w:hAnsi="Calibri" w:cs="Calibri"/>
        </w:rPr>
        <w:fldChar w:fldCharType="separate"/>
      </w:r>
      <w:r w:rsidR="00F671DC" w:rsidRPr="00A268CE">
        <w:rPr>
          <w:rFonts w:ascii="Calibri" w:hAnsi="Calibri" w:cs="Calibri"/>
        </w:rPr>
        <w:t>(5)</w:t>
      </w:r>
      <w:r w:rsidR="00F671DC" w:rsidRPr="00A268CE">
        <w:rPr>
          <w:rFonts w:ascii="Calibri" w:hAnsi="Calibri" w:cs="Calibri"/>
        </w:rPr>
        <w:fldChar w:fldCharType="end"/>
      </w:r>
      <w:r w:rsidR="00F671DC" w:rsidRPr="00A268CE">
        <w:rPr>
          <w:rFonts w:ascii="Calibri" w:hAnsi="Calibri" w:cs="Calibri"/>
        </w:rPr>
        <w:t>.</w:t>
      </w:r>
      <w:r w:rsidRPr="00A268CE">
        <w:rPr>
          <w:rFonts w:ascii="Calibri" w:hAnsi="Calibri" w:cs="Calibri"/>
        </w:rPr>
        <w:t xml:space="preserve"> These standards emphasise not only the preservation of labile coagulation factors, such F</w:t>
      </w:r>
      <w:r w:rsidR="00F07AAC" w:rsidRPr="00A268CE">
        <w:rPr>
          <w:rFonts w:ascii="Calibri" w:hAnsi="Calibri" w:cs="Calibri"/>
        </w:rPr>
        <w:t xml:space="preserve">actor </w:t>
      </w:r>
      <w:r w:rsidRPr="00A268CE">
        <w:rPr>
          <w:rFonts w:ascii="Calibri" w:hAnsi="Calibri" w:cs="Calibri"/>
        </w:rPr>
        <w:t>VIII</w:t>
      </w:r>
      <w:r w:rsidR="00F07AAC" w:rsidRPr="00A268CE">
        <w:rPr>
          <w:rFonts w:ascii="Calibri" w:hAnsi="Calibri" w:cs="Calibri"/>
        </w:rPr>
        <w:t xml:space="preserve"> (FVIII</w:t>
      </w:r>
      <w:r w:rsidR="00E602A7" w:rsidRPr="00A268CE">
        <w:rPr>
          <w:rFonts w:ascii="Calibri" w:hAnsi="Calibri" w:cs="Calibri"/>
        </w:rPr>
        <w:t>)</w:t>
      </w:r>
      <w:r w:rsidRPr="00A268CE">
        <w:rPr>
          <w:rFonts w:ascii="Calibri" w:hAnsi="Calibri" w:cs="Calibri"/>
        </w:rPr>
        <w:t>, but also the maintenance of overall protein integrity, sterility, and appropriate levels of residual leucocytes. FVIII is particularly labile, with activity reductions of up to 28% reported after a 24-hour holding period, although these values usually remain within EDQM thresholds</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{"citationID":"Rl7GoZUT","properties":{"formattedCitation":"(3,6)","plainCitation":"(3,6)","noteIndex":0},"citationItems":[{"id":5471,"uris":["http://zotero.org/users/3782744/items/J2XHU5CX"],"itemData":{"id":5471,"type":"article-journal","abstract":"BACKGROUND: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rPr>
        <w:t>(3,6)</w:t>
      </w:r>
      <w:r w:rsidR="00B65495" w:rsidRPr="00A268CE">
        <w:rPr>
          <w:rFonts w:ascii="Calibri" w:hAnsi="Calibri" w:cs="Calibri"/>
        </w:rPr>
        <w:fldChar w:fldCharType="end"/>
      </w:r>
      <w:r w:rsidRPr="00A268CE">
        <w:rPr>
          <w:rFonts w:ascii="Calibri" w:hAnsi="Calibri" w:cs="Calibri"/>
        </w:rPr>
        <w:t>.</w:t>
      </w:r>
    </w:p>
    <w:p w14:paraId="4AE6D2A5" w14:textId="54FF6698" w:rsidR="00381C05" w:rsidRPr="00A268CE" w:rsidRDefault="00381C05" w:rsidP="00381C05">
      <w:pPr>
        <w:spacing w:before="240" w:line="240" w:lineRule="auto"/>
        <w:jc w:val="both"/>
        <w:rPr>
          <w:rFonts w:ascii="Calibri" w:hAnsi="Calibri" w:cs="Calibri"/>
        </w:rPr>
      </w:pPr>
      <w:r w:rsidRPr="00A268CE">
        <w:rPr>
          <w:rFonts w:ascii="Calibri" w:hAnsi="Calibri" w:cs="Calibri"/>
        </w:rPr>
        <w:lastRenderedPageBreak/>
        <w:t>Historically, FFP was regarded as largely acellular; however, it is now well established that residual leucocytes can persist in plasma products and exert clinically significant effects. These cells have been implicated in febrile non-haemolytic transfusion reactions (FNHTR), transfusion-associated graft-versus-host disease (TA-GVHD), and transfusion-related acute lung injury (TRALI), as well as in the transmission of infections such as cytomegalovirus (CMV) and hepatitis E</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4VqEUCZE","properties":{"formattedCitation":"(3,7\\uc0\\u8211{}10)","plainCitation":"(3,7–10)","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M."}],"issued":{"date-parts":[["2005",8]]}},"label":"page"},{"id":5451,"uris":["http://zotero.org/users/3782744/items/U3YBP7MF"],"itemData":{"id":5451,"type":"article-journal","abstract":"BACKGROUND: The prevalence of hepatitis E virus (HEV) genotype 3 infections in the English population (including blood donors) is unknown, but is probably widespread, and the virus has been detected in pooled plasma products. HEV-infected donors have been retrospectively identified through investigation of reported cases of possible transfusion-transmitted hepatitis E. The frequency of HEV transmission by transfusion and its outcome remains unknown. We report the prevalence of HEV RNA in blood donations, the transmission of the virus through a range of blood components, and describe the resulting morbidity in the recipients.\nMETHODS: From Oct 8, 2012, to Sept 30, 2013, 225,000 blood donations that were collected in southeast England were screened retrospectively for HEV RNA. Donations containing HEV were characterised by use of serology and genomic phylogeny. Recipients, who received any blood components from these donations, were identified and the outcome of exposure was ascertained.\nFINDINGS: 79 donors were viraemic with genotype 3 HEV, giving an RNA prevalence of one in 2848. Most viraemic donors were seronegative at the time of donation. The 79 donations had been used to prepare 129 blood components, 62 of which had been transfused before identification of the infected donation. Follow-up of 43 recipients showed 18 (42%) had evidence of infection. Absence of detectable antibody and high viral load in the donation rendered infection more likely. Recipient immunosuppression delayed or prevented seroconversion and extended the duration of viraemia. Three recipients cleared longstanding infection after intervention with ribavirin or alteration in immunosuppressive therapy. Ten recipients developed prolonged or persistent infection. Transaminitis was common, but short-term morbidity was rare; only one recipient developed apparent but clinically mild post-transfusion hepatitis.\nINTERPRETATION: Our findings suggest that HEV genotype 3 infections are widespread in the English population and in blood donors. Transfusion-transmitted infections rarely caused acute morbidity, but in some immunosuppressed patients became persistent. Although at present blood donations are not screened, an agreed policy is needed for the identification of patients with persistent HEV infection, irrespective of origin, so that they can be offered antiviral therapy.\nFUNDING: Public Health England and National Health Service Blood and Transplant.","container-title":"Lancet (London, England)","DOI":"10.1016/S0140-6736(14)61034-5","ISSN":"1474-547X","issue":"9956","journalAbbreviation":"Lancet","language":"eng","note":"PMID: 25078306","page":"1766-1773","source":"PubMed","title":"Hepatitis E virus in blood components: a prevalence and transmission study in southeast England","title-short":"Hepatitis E virus in blood components","volume":"384","author":[{"family":"Hewitt","given":"Patricia E."},{"family":"Ijaz","given":"Samreen"},{"family":"Brailsford","given":"Su R."},{"family":"Brett","given":"Rachel"},{"family":"Dicks","given":"Steven"},{"family":"Haywood","given":"Becky"},{"family":"Kennedy","given":"Iain T. R."},{"family":"Kitchen","given":"Alan"},{"family":"Patel","given":"Poorvi"},{"family":"Poh","given":"John"},{"family":"Russell","given":"Katherine"},{"family":"Tettmar","given":"Kate I."},{"family":"Tossell","given":"Joanne"},{"family":"Ushiro-Lumb","given":"Ines"},{"family":"Tedder","given":"Richard S."}],"issued":{"date-parts":[["2014",11,15]]}},"label":"page"},{"id":5446,"uris":["http://zotero.org/users/3782744/items/JI2YJCYG"],"itemData":{"id":5446,"type":"article-journal","abstract":"Increased interleukin 6 (IL-6) levels were found in 8 of 12 platelet concentrates (PCs) after 3 days of storage and in 10 of 12 PCs after 5 and 7 days of storage. Most of the PCs with an increased IL-6 level also showed increased tumor necrosis factor alpha (TNF alpha) and interleukin 1 beta (IL-1 beta) levels. Levels of IL-6 increased by 3 log10 over the base level during storage. Increased levels were found when the PC white cell count exceeded 3 × 10(9) per L. A linear correlation was found among the levels of TNF alpha, IL-1 beta, IL-1 alpha, and IL-6 in the PCs (r &gt; 0.885). Comparison of the TNF alpha, IL- 1 beta, and IL-6 levels in samples taken at various storage times indicates that the increased levels are the result of an active synthesis and release of interleukins during storage. In a second part of the study, 45 transfusions of white cell-reduced PCs were studied. Six transfusions were complicated by a febrile reaction. These reactions were related to high levels of IL-6 and TNF alpha in the PCs (p &lt; 0.0001). These cytokines are known as endogenous pyrogens. These findings indicate that transfusion reactions might be due to the intravenous administration of plasma with high cytokine levels and might not always result from an antigen-antibody reaction.","container-title":"Transfusion","DOI":"10.1046/j.1537-2995.1993.33393174443.x","ISSN":"1537-2995","issue":"3","language":"en","license":"1993 AABB","note":"_eprint: https://onlinelibrary.wiley.com/doi/pdf/10.1046/j.1537-2995.1993.33393174443.x","page":"195-199","source":"Wiley Online Library","title":"Increased tumor necrosis factor alpha (TNF alpha), interleukin 1, and interleukin 6 (IL-6) levels in the plasma of stored platelet concentrates: relationship between TNF alpha and IL-6 levels and febrile transfusion reactions","title-short":"Increased tumor necrosis factor alpha (TNF alpha), interleukin 1, and interleukin 6 (IL-6) levels in the plasma of stored platelet concentrates","volume":"33","author":[{"family":"Muylle","given":"L."},{"family":"Joos","given":"M."},{"family":"Wouters","given":"E."},{"family":"De Bock","given":"R."},{"family":"Peetermans","given":"M.e."}],"issued":{"date-parts":[["1993"]]}},"label":"page"},{"id":5449,"uris":["http://zotero.org/users/3782744/items/FZHKE3TS"],"itemData":{"id":5449,"type":"article-journal","abstract":"Although blood suppliers are seeing short-term reductions in blood demand as a result of initiatives in patient blood management, modelling suggests that during the next 5-10 years, blood availability in developed countries will need to increase again to meet the demands of ageing populations. Increasing of the blood supply raises many challenges; new approaches to recruitment and retainment of future generations of blood donors will be needed, and care will be necessary to avoid taking too much blood from these donors. Integrated approaches in blood stock management between transfusion services and hospitals will be important to minimise wastage--eg, by use of supply chain solutions from industry. Cross-disciplinary systems for patient blood management need to be developed to lessen the need for transfusion--eg, by early identification and reversal of anaemia with haematinics or by reversal of the underlying cause. Personalised medicine could be applied to match donors to patients, not only with extended blood typing, but also by using genetically determined storage characteristics of blood components. Growing of red cells or platelets in large quantities from stem cells is a possibility in the future, but challenges of cost, scaling up, and reproducibility remain to be solved.","container-title":"Lancet (London, England)","DOI":"10.1016/S0140-6736(13)60631-5","ISSN":"1474-547X","issue":"9880","journalAbbreviation":"Lancet","language":"eng","note":"PMID: 23706803","page":"1866-1875","source":"PubMed","title":"Challenges in the management of the blood supply","volume":"381","author":[{"family":"Williamson","given":"Lorna M."},{"family":"Devine","given":"Dana V."}],"issued":{"date-parts":[["2013",5,25]]}},"label":"page"},{"id":5447,"uris":["http://zotero.org/users/3782744/items/DUCIB559"],"itemData":{"id":5447,"type":"article-journal","abstract":"Background:\nStorage time of blood components plays a major role in the accumulation of cytokines causing adverse transfusion reactions.\n\nAims:\nThe aim was to study the trend in the levels of interleukin-6 (IL-6), IL-8, tumor necrosis factor-alpha (TNF-α) and regulated upon activation, normal T-cells expressed and secreted (RANTES) during storage of whole blood (WB) and red cell concentrate (RCC) and to study the effect of leukoreduction (LR).\n\nMaterials and Methods:\nWB sample was taken on 0, 7, 14, 21, and between 28 and 35 days and plasma aliquots were frozen. Samples from RCC and buffy-coat depleted RCC prepared using Optipress II were collected on 0, 7, 14, 21 and between 28 and 35 days. Cytokine estimation was done using ELISA development kits. Normal range of cytokines was established using 0 day samples of WB. Statistical analysis was done using nonparametric tests.\n\nResults and Conclusion:\nThe normal range of IL-6 was 0-23 pg/ml, IL-8 0-12 pg/ml, TNF-α 0-3 pg/ml, and RANTES 1200-2000 pg/ml. IL-6 was in normal range and showed a decreasing trend during storage. IL-8 levels increased significantly from 0 to 35 days. In RCC, the highest level was 480 pg/ml on 28th day. It was in the normal range in buffy-coat depleted RCC up to 28 days. RANTES level was significantly low in buffy-coat depleted RCC compared to RCC. We conclude that WB has high levels of IL-8 and RANTES. The levels of cytokines are affected by storage period and LR. Comparison of WB and buffy-coat depleted RCC shows significantly low levels of IL-6, IL-8, and RANTES in buffy-coat depleted RCC. This study emphasizes the use of red cell components instead of WB and buffy-coat depleted RCC instead of RCC.","container-title":"Asian Journal of Transfusion Science","DOI":"10.4103/0973-6247.162708","ISSN":"0973-6247","issue":"2","journalAbbreviation":"Asian J Transfus Sci","note":"PMID: 26420933\nPMCID: PMC4562134","page":"145-149","source":"PubMed Central","title":"Release of cytokines in stored whole blood and red cell concentrate: Effect of leukoreduction","title-short":"Release of cytokines in stored whole blood and red cell concentrate","volume":"9","author":[{"family":"Shukla","given":"Rinku"},{"family":"Patel","given":"Tanvi"},{"family":"Gupte","given":"Snehalata"}],"issued":{"date-parts":[["2015"]]}},"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kern w:val="0"/>
        </w:rPr>
        <w:t>(3,7–10)</w:t>
      </w:r>
      <w:r w:rsidR="00B65495" w:rsidRPr="00A268CE">
        <w:rPr>
          <w:rFonts w:ascii="Calibri" w:hAnsi="Calibri" w:cs="Calibri"/>
        </w:rPr>
        <w:fldChar w:fldCharType="end"/>
      </w:r>
      <w:r w:rsidRPr="00A268CE">
        <w:rPr>
          <w:rFonts w:ascii="Calibri" w:hAnsi="Calibri" w:cs="Calibri"/>
        </w:rPr>
        <w:t xml:space="preserve">. Such risks have prompted widespread adoption of leucoreduction strategies, achieved through filtration, centrifugation, sedimentation, or freeze–thaw methods, which reduce leucocyte </w:t>
      </w:r>
      <w:r w:rsidR="007F3241" w:rsidRPr="00A268CE">
        <w:rPr>
          <w:rFonts w:ascii="Calibri" w:hAnsi="Calibri" w:cs="Calibri"/>
        </w:rPr>
        <w:t>counts</w:t>
      </w:r>
      <w:r w:rsidRPr="00A268CE">
        <w:rPr>
          <w:rFonts w:ascii="Calibri" w:hAnsi="Calibri" w:cs="Calibri"/>
        </w:rPr>
        <w:t xml:space="preserve"> and mitigate adverse immunological outcomes</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{"citationID":"tmaBPjjy","properties":{"formattedCitation":"(11\\uc0\\u8211{}13)","plainCitation":"(11–13)","noteIndex":0},"citationItems":[{"id":5456,"uris":["http://zotero.org/users/3782744/items/QVG6UNXD"],"itemData":{"id":5456,"type":"article-journal","abstract":"The current multi-layered interventional approaches to blood safety have dramatically reduced the risk of viral contamination of blood components. Nowadays most of the residual transfusion transmitted infections (TTI) occur as the result of the interval between the time the donor is infected and the moment at which tests are capable of detecting the agent, the so called \"window period\" which has been considerably reduced by the increased sensitivity of nucleic acid testing (NAT). However, the residual risk of bacterial contamination and the unexpected appearance of some other emerging pathogens, almost every five years, are still of major concern to the public, politicians, regulatory agencies and place immense pressures on the organisations responsible for the provision of safe blood and its components. In view of these bleak scenarios, the use of human blood as a raw biological source is inherently unsafe, and screening/testing alone cannot exclude all the potential human pathogens; hence we need to put in place some sort of safer alternatives and/or additional preventative safety measures. Recently, several substitutes (alternatives) to virtual blood components have been developed and tried. Moreover, various mechanical methods such as cell washing and leukofiltration have been implemented as additional preventative safety measures but with limited success in abrogating the risk of transfusion transmitted cell-associated agents. The most promising approaches, so far, are methods that target pathogen nucleic acids (Methylene blue; Psolaren and Riboflavin UV light treatment). These procedures have undergone considerable in vitro studies to ensure their extremely high safety margins in terms of toxicity to the cells or to the recipients. In essence, while the technology of targeting nucleic acid to stop viral proliferation is common to the above three strategies, in practice these procedures differ in terms of operational, physicochemical and biological characteristics; including the potential impacts of their metabolites and photo-adducts; their effects on the spectrum of pathogens affected and the log reductions in culture infective studies. Accordingly, any strategy that involves addition of an extraneous agent or physicochemical manipulation of blood must balance the benefits of pathogen reduction against the loss or alteration to the cells and plasma functional integrity, short and long term toxicity to the cells and to the recipients, as well as the risk to the personnel involved and the community at large. Moreover, it must be noted that each method will have a different profile of adverse reactions and may differ in terms of the risk to particularly vulnerable groups of patients, requiring in depth clinical trials, while taking into consideration the cost benefit of the final process. Newer diagnostic procedures must be in place to establish the storage stability of products that have undergone pathogen inactivation, in particular tests reflecting the release of platelet-derived cytokines, cellular apoptosis or microvesiculation and their role in immunosupressiveness. This overview aims to provide an update on the continual improvements in blood component safety, in particular using methods that target pathogen nucleic acid. Emphasis is placed on methylene blue light treatment (MBLT) and Intercept or Mirasol PRT systems for platelets and plasma. The status of pathogen reduction of whole blood and red cells is also highlighted, though the progress in this area has been virtually stopped after the finding of antibody development in the clinical trial.","container-title":"Transfusion and Apheresis Science: Official Journal of the World Apheresis Association: Official Journal of the European Society for Haemapheresis","DOI":"10.1016/j.transci.2006.10.002","ISSN":"1473-0502","issue":"3","journalAbbreviation":"Transfus Apher Sci","language":"eng","note":"PMID: 17110168","page":"189-196","source":"PubMed","title":"Pathogen-reduction systems for blood components: the current position and future trends","title-short":"Pathogen-reduction systems for blood components","volume":"35","author":[{"family":"Seghatchian","given":"Jerard"},{"family":"Sousa","given":"Gracinda","non-dropping-particle":"de"}],"issued":{"date-parts":[["2006",12]]}},"label":"page"},{"id":5460,"uris":["http://zotero.org/users/3782744/items/CHUP7C6I"],"itemData":{"id":5460,"type":"article-journal","abstract":"Thanks to many blood safety interventions introduced in developed countries the risk of transfusion transmitted infections has become exceedingly small in these countries. However, emerging pathogens still represent a serious challenge, as demonstrated by West Nile virus in the US and more recently by Chikungunya virus in the Indian Ocean. In addition bacterial contamination, particularly in platelets, and protozoa transmitted by blood components still represent sizeable risks in developed countries. In developing countries the risk of all transfusion transmitted infections is still high due to insufficient funding and organisation of the health service. Pathogen reduction of pooled plasma products has virtually eliminated the risk of transfusion transmitted infections, without compromising the quality of the products significantly. Pathogen reduction of blood components has been much more challenging. Solvent detergent treatment which has been so successfully applied for plasma products dissolves cell membranes, and can, therefore, only be applied for plasma and not for cellular blood components. Targeting of nucleic acids has been another method for pathogen inactivation of plasma and the only approach possible for cellular blood products. As documented in more than 15 year's track record, solvent detergent treatment of pooled plasma can yield high quality plasma. The increased risk for contamination by unknown viruses due to pooling is out weighed by elimination of TRALI, significant reduction in allergic reactions and standardisation of the product. Recently, a promising method for solvent detergent treatment of single donor plasma units has been published. Methylene blue light treatment of single donor plasma units has a similar long track record as pooled solvent detergent treated plasma; but the method is less well documented and affects coagulation factor activity more. Psoralen light treated plasma has only recently been introduced (CE marked in Europe, but not licensed by the FDA), while the method of Riboflavin light treatment of plasma still is under development. In addition to pathogen reduction the methods, however, result in some reduction of coagulation factor activity. For platelets only Psoralen and Riboflavin light treatment have been implemented. Both are CE marked products in Europe but only approved for clinical trials in the USA. The methods affect platelet activity, but result in clinically acceptable platelets with only slightly reduced CCI and increased demand for platelet transfusions. Pathogen reduction of red blood cells with FRALE (S-303) or INACTINE (PEN110) has so far resulted in the formation of antibodies against neo-epitopes on red blood cells. A promising method for Riboflavin treatment of red blood cells is under development. This manuscript reviews the current experience and discusses future trends.","container-title":"Transfusion and Apheresis Science: Official Journal of the World Apheresis Association: Official Journal of the European Society for Haemapheresis","DOI":"10.1016/j.transci.2008.05.003","ISSN":"1473-0502","issue":"1","journalAbbreviation":"Transfus Apher Sci","language":"eng","note":"PMID: 18602343","page":"75-82","source":"PubMed","title":"Pathogen reduction of blood components","volume":"39","author":[{"family":"Solheim","given":"Bjarte G."}],"issued":{"date-parts":[["2008",8]]}},"label":"page"},{"id":5391,"uris":["http://zotero.org/users/3782744/items/AUINB7D3"],"itemData":{"id":5391,"type":"article-journal","abstract":"The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kern w:val="0"/>
        </w:rPr>
        <w:t>(11–13)</w:t>
      </w:r>
      <w:r w:rsidR="00B65495" w:rsidRPr="00A268CE">
        <w:rPr>
          <w:rFonts w:ascii="Calibri" w:hAnsi="Calibri" w:cs="Calibri"/>
        </w:rPr>
        <w:fldChar w:fldCharType="end"/>
      </w:r>
      <w:r w:rsidRPr="00A268CE">
        <w:rPr>
          <w:rFonts w:ascii="Calibri" w:hAnsi="Calibri" w:cs="Calibri"/>
        </w:rPr>
        <w:t>. The clinical significance of residual leucocytes underscores the importance of strict process control in plasma preparation, since both their viability and degradation products may influence transfusion safety.</w:t>
      </w:r>
    </w:p>
    <w:p w14:paraId="142BF011" w14:textId="7BCC793C" w:rsidR="00381C05" w:rsidRPr="00A268CE" w:rsidRDefault="00381C05" w:rsidP="00381C05">
      <w:pPr>
        <w:spacing w:before="240" w:line="240" w:lineRule="auto"/>
        <w:jc w:val="both"/>
        <w:rPr>
          <w:rFonts w:ascii="Calibri" w:hAnsi="Calibri" w:cs="Calibri"/>
        </w:rPr>
      </w:pPr>
      <w:r w:rsidRPr="00A268CE">
        <w:rPr>
          <w:rFonts w:ascii="Calibri" w:hAnsi="Calibri" w:cs="Calibri"/>
        </w:rPr>
        <w:t>An essential but often underappreciated determinant of FFP quality is the holding time, defined as the period between whole blood collection and plasma separation. Holding time exerts a dual influence: it shapes residual leucocyte viability and activity, while also affecting the stability of plasma proteins. Extended holding has been associated with gradual degradation of labile coagulation factors and subtle biochemical modifications to proteins that may not be evident in routine assays but could compromise therapeutic efficacy</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{"citationID":"lZQ73ZkW","properties":{"formattedCitation":"(3,6)","plainCitation":"(3,6)","noteIndex":0},"citationItems":[{"id":5471,"uris":["http://zotero.org/users/3782744/items/J2XHU5CX"],"itemData":{"id":5471,"type":"article-journal","abstract":"BACKGROUND: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rPr>
        <w:t>(3,6)</w:t>
      </w:r>
      <w:r w:rsidR="00B65495" w:rsidRPr="00A268CE">
        <w:rPr>
          <w:rFonts w:ascii="Calibri" w:hAnsi="Calibri" w:cs="Calibri"/>
        </w:rPr>
        <w:fldChar w:fldCharType="end"/>
      </w:r>
      <w:r w:rsidRPr="00A268CE">
        <w:rPr>
          <w:rFonts w:ascii="Calibri" w:hAnsi="Calibri" w:cs="Calibri"/>
        </w:rPr>
        <w:t>. Conversely, insufficient holding may not adequately reduce leucocyte numbers or their bioactive by-products, leaving recipients vulnerable to immunological complications. Thus, holding time represents a critical pre-analytical variable where immunological risk and haemostatic potency must be carefully balanced.</w:t>
      </w:r>
    </w:p>
    <w:p w14:paraId="74A573C5" w14:textId="72D6820D" w:rsidR="00381C05" w:rsidRPr="00A268CE" w:rsidRDefault="00381C05" w:rsidP="00381C05">
      <w:pPr>
        <w:spacing w:before="240" w:line="240" w:lineRule="auto"/>
        <w:jc w:val="both"/>
        <w:rPr>
          <w:rFonts w:ascii="Calibri" w:hAnsi="Calibri" w:cs="Calibri"/>
        </w:rPr>
      </w:pPr>
      <w:r w:rsidRPr="00A268CE">
        <w:rPr>
          <w:rFonts w:ascii="Calibri" w:hAnsi="Calibri" w:cs="Calibri"/>
        </w:rPr>
        <w:t xml:space="preserve">The goal of this review is to critically evaluate the impact of holding time on the biochemical integrity, safety, and clinical utility of FFP. </w:t>
      </w:r>
      <w:r w:rsidR="00EC6680" w:rsidRPr="00A268CE">
        <w:rPr>
          <w:rFonts w:ascii="Calibri" w:hAnsi="Calibri" w:cs="Calibri"/>
        </w:rPr>
        <w:t>Focus</w:t>
      </w:r>
      <w:r w:rsidRPr="00A268CE">
        <w:rPr>
          <w:rFonts w:ascii="Calibri" w:hAnsi="Calibri" w:cs="Calibri"/>
        </w:rPr>
        <w:t xml:space="preserve"> is given to residual leucocyte counts, coagulation factor activity, total protein content, and clinically relevant outcomes such as bleeding control, transfusion reactions, and the need for repeat transfusions. Special attention is directed toward labile proteins, such as</w:t>
      </w:r>
      <w:r w:rsidR="00364314">
        <w:rPr>
          <w:rFonts w:ascii="Calibri" w:hAnsi="Calibri" w:cs="Calibri"/>
        </w:rPr>
        <w:t xml:space="preserve"> Factor V</w:t>
      </w:r>
      <w:r w:rsidRPr="00A268CE">
        <w:rPr>
          <w:rFonts w:ascii="Calibri" w:hAnsi="Calibri" w:cs="Calibri"/>
        </w:rPr>
        <w:t xml:space="preserve"> </w:t>
      </w:r>
      <w:r w:rsidR="00364314">
        <w:rPr>
          <w:rFonts w:ascii="Calibri" w:hAnsi="Calibri" w:cs="Calibri"/>
        </w:rPr>
        <w:t>(</w:t>
      </w:r>
      <w:r w:rsidRPr="00A268CE">
        <w:rPr>
          <w:rFonts w:ascii="Calibri" w:hAnsi="Calibri" w:cs="Calibri"/>
        </w:rPr>
        <w:t>FV</w:t>
      </w:r>
      <w:r w:rsidR="00364314">
        <w:rPr>
          <w:rFonts w:ascii="Calibri" w:hAnsi="Calibri" w:cs="Calibri"/>
        </w:rPr>
        <w:t>)</w:t>
      </w:r>
      <w:r w:rsidRPr="00A268CE">
        <w:rPr>
          <w:rFonts w:ascii="Calibri" w:hAnsi="Calibri" w:cs="Calibri"/>
        </w:rPr>
        <w:t xml:space="preserve"> and FVIII, whose activity is highly sensitive to pre-freezing handling conditions, as well as to immunomodulatory pathways influenced by leucocyte degradation. Furthermore, the discussion highlights emerging strategies for optimising processing—including advanced monitoring of temperature and pH fluctuations in high-resource settings, and staggered processing or batch testing in resource-limited facilities. By synthesising current literature, experimental data, and regulatory guidance, this review seeks to inform evidence-based standard operating procedures that maximise plasma safety, preserve therapeutic potency, and minimise patient risk.</w:t>
      </w:r>
    </w:p>
    <w:p w14:paraId="6B59BDE6"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2. Holding Time in Plasma Processing</w:t>
      </w:r>
    </w:p>
    <w:p w14:paraId="6CD7003C" w14:textId="5FFD6033" w:rsidR="00BC17B5" w:rsidRPr="00BC17B5" w:rsidRDefault="00BC17B5" w:rsidP="00BC17B5">
      <w:pPr>
        <w:spacing w:before="240" w:line="240" w:lineRule="auto"/>
        <w:jc w:val="both"/>
        <w:rPr>
          <w:rFonts w:ascii="Calibri" w:hAnsi="Calibri" w:cs="Calibri"/>
        </w:rPr>
      </w:pPr>
      <w:r w:rsidRPr="00BC17B5">
        <w:rPr>
          <w:rFonts w:ascii="Calibri" w:hAnsi="Calibri" w:cs="Calibri"/>
        </w:rPr>
        <w:t>The preparation of FFP begins with the collection of whole blood, which is subsequently held for a period before component separation. This holding time, typically ranging from 3 to 20 hours at room temperature, serves multiple purposes: it allows for the initial stabilization of cellular components, supports the phagocytic activity of leucocytes against potential bacterial contaminants, and contributes to the gradual degradation of residual leucocytes</w:t>
      </w:r>
      <w:r w:rsidRPr="00BC17B5">
        <w:rPr>
          <w:rFonts w:ascii="Calibri" w:hAnsi="Calibri" w:cs="Calibri"/>
        </w:rPr>
        <w:fldChar w:fldCharType="begin"/>
      </w:r>
      <w:r w:rsidR="00B65495">
        <w:rPr>
          <w:rFonts w:ascii="Calibri" w:hAnsi="Calibri" w:cs="Calibri"/>
        </w:rPr>
        <w:instrText xml:space="preserve"> ADDIN ZOTERO_ITEM CSL_CITATION {"citationID":"L3a1w9QT","properties":{"formattedCitation":"(13,14)","plainCitation":"(13,14)","noteIndex":0},"citationItems":[{"id":5391,"uris":["http://zotero.org/users/3782744/items/AUINB7D3"],"itemData":{"id":5391,"type":"article-journal","abstract":"The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S."}],"issued":{"date-parts":[["1991",9]]}},"label":"page"},{"id":5405,"uris":["http://zotero.org/users/3782744/items/DYG6Q6HQ"],"itemData":{"id":5405,"type":"article-journal","abstract":"BACKGROUND: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Ming"}],"issued":{"date-parts":[["2011",10]]}},"label":"page"}],"schema":"https://github.com/citation-style-language/schema/raw/master/csl-citation.json"}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(13,14)</w:t>
      </w:r>
      <w:r w:rsidRPr="00BC17B5">
        <w:rPr>
          <w:rFonts w:ascii="Calibri" w:hAnsi="Calibri" w:cs="Calibri"/>
        </w:rPr>
        <w:fldChar w:fldCharType="end"/>
      </w:r>
      <w:r w:rsidRPr="00BC17B5">
        <w:rPr>
          <w:rFonts w:ascii="Calibri" w:hAnsi="Calibri" w:cs="Calibri"/>
        </w:rPr>
        <w:t>. While contamination control measures during collection and processing aim to prevent bacterial growth, holding time provides an additional layer of biological control, giving leucocytes the opportunity to neutralize pathogens that may have inadvertently entered the unit</w:t>
      </w:r>
      <w:r w:rsidR="008D0FD1">
        <w:rPr>
          <w:rFonts w:ascii="Calibri" w:hAnsi="Calibri" w:cs="Calibri"/>
        </w:rPr>
        <w:fldChar w:fldCharType="begin"/>
      </w:r>
      <w:r w:rsidR="00B65495">
        <w:rPr>
          <w:rFonts w:ascii="Calibri" w:hAnsi="Calibri" w:cs="Calibri"/>
        </w:rPr>
        <w:instrText xml:space="preserve"> ADDIN ZOTERO_ITEM CSL_CITATION {"citationID":"OQxBm72M","properties":{"formattedCitation":"(15)","plainCitation":"(15)","noteIndex":0},"citationItems":[{"id":5417,"uris":["http://zotero.org/users/3782744/items/WTNJCVMG"],"itemData":{"id":5417,"type":"article-journal","abstract":"Whole blood is not usually collected close to the processing site, which results in a holding time between collection and processing. In some countries, the holding time is limited to 8 hours, after which the units are cooled, rendering them useless for platelet preparation. Other countries allow a 24-hour (“overnight”) ambient hold to allow platelet preparation. The impact of this holding time on subsequent blood components will be reviewed in this article. In addition, there are various “in-process” holding times that further prolong the time before the final blood component is ready. Particularly, these in-process holding times are not well defined and poorly controlled,but can nevertheless affect the biochemical and functional characteristics of blood components. Furthermore, current, non–evidence-based, guidelines have restricted the length of some of these holding times. This article summarizes the evidence and fills gaps where evidence is lacking.","container-title":"Transfusion Medicine Reviews","DOI":"10.1016/j.tmrv.2014.10.001","ISSN":"1532-9496","issue":"1","journalAbbreviation":"Transfus Med Rev","language":"eng","note":"PMID: 25432073","page":"24-34","source":"PubMed","title":"The effect of holding times of whole blood and its components during processing on in vitro and in vivo quality","volume":"29","author":[{"family":"Meer","given":"Pieter F.","non-dropping-particle":"van der"},{"family":"Korte","given":"Dirk","non-dropping-particle":"de"}],"issued":{"date-parts":[["2015",1]]}}}],"schema":"https://github.com/citation-style-language/schema/raw/master/csl-citation.json"} </w:instrText>
      </w:r>
      <w:r w:rsidR="008D0FD1">
        <w:rPr>
          <w:rFonts w:ascii="Calibri" w:hAnsi="Calibri" w:cs="Calibri"/>
        </w:rPr>
        <w:fldChar w:fldCharType="separate"/>
      </w:r>
      <w:r w:rsidR="00B65495" w:rsidRPr="00B65495">
        <w:rPr>
          <w:rFonts w:ascii="Calibri" w:hAnsi="Calibri" w:cs="Calibri"/>
        </w:rPr>
        <w:t>(15)</w:t>
      </w:r>
      <w:r w:rsidR="008D0FD1">
        <w:rPr>
          <w:rFonts w:ascii="Calibri" w:hAnsi="Calibri" w:cs="Calibri"/>
        </w:rPr>
        <w:fldChar w:fldCharType="end"/>
      </w:r>
      <w:r w:rsidRPr="00BC17B5">
        <w:rPr>
          <w:rFonts w:ascii="Calibri" w:hAnsi="Calibri" w:cs="Calibri"/>
        </w:rPr>
        <w:t>.</w:t>
      </w:r>
    </w:p>
    <w:p w14:paraId="0F30FC5B" w14:textId="4DFCB9DC" w:rsidR="00BC17B5" w:rsidRPr="00BC17B5" w:rsidRDefault="00BC17B5" w:rsidP="00BC17B5">
      <w:pPr>
        <w:spacing w:before="240" w:line="240" w:lineRule="auto"/>
        <w:jc w:val="both"/>
        <w:rPr>
          <w:rFonts w:ascii="Calibri" w:hAnsi="Calibri" w:cs="Calibri"/>
        </w:rPr>
      </w:pPr>
      <w:r w:rsidRPr="00BC17B5">
        <w:rPr>
          <w:rFonts w:ascii="Calibri" w:hAnsi="Calibri" w:cs="Calibri"/>
        </w:rPr>
        <w:t>Despite its benefits, holding time is a double-edged sword. While it facilitates leucocyte degradation, prolonged exposure at ambient temperature can lead to loss of labile coagulation factors, changes in total plasma protein content, and subtle alterations in other functional components of plasma</w:t>
      </w:r>
      <w:r w:rsidRPr="00BC17B5">
        <w:rPr>
          <w:rFonts w:ascii="Calibri" w:hAnsi="Calibri" w:cs="Calibri"/>
        </w:rPr>
        <w:fldChar w:fldCharType="begin"/>
      </w:r>
      <w:r w:rsidR="00B65495">
        <w:rPr>
          <w:rFonts w:ascii="Calibri" w:hAnsi="Calibri" w:cs="Calibri"/>
        </w:rPr>
        <w:instrText xml:space="preserve"> ADDIN ZOTERO_ITEM CSL_CITATION {"citationID":"b1eXhgHZ","properties":{"formattedCitation":"(6,16,17)","plainCitation":"(6,16,17)","noteIndex":0},"citationItems":[{"id":5374,"uris":["http://zotero.org/users/3782744/items/4E3TH5Y9"],"itemData":{"id":5374,"type":"article-journal","abstract":"BACKGROUND: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(6,16,17)</w:t>
      </w:r>
      <w:r w:rsidRPr="00BC17B5">
        <w:rPr>
          <w:rFonts w:ascii="Calibri" w:hAnsi="Calibri" w:cs="Calibri"/>
        </w:rPr>
        <w:fldChar w:fldCharType="end"/>
      </w:r>
      <w:r w:rsidRPr="00BC17B5">
        <w:rPr>
          <w:rFonts w:ascii="Calibri" w:hAnsi="Calibri" w:cs="Calibri"/>
        </w:rPr>
        <w:t>. Thus, establishing an optimal holding time requires balancing two competing priorities: reducing residual leucocyte activity to minimise adverse reactions, and preserving plasma protein quality to maintain therapeutic efficacy.</w:t>
      </w:r>
    </w:p>
    <w:p w14:paraId="654DDA97" w14:textId="5C493892" w:rsidR="00BC17B5" w:rsidRPr="00BC17B5" w:rsidRDefault="00BC17B5" w:rsidP="00BC17B5">
      <w:pPr>
        <w:spacing w:before="240" w:line="240" w:lineRule="auto"/>
        <w:jc w:val="both"/>
        <w:rPr>
          <w:rFonts w:ascii="Calibri" w:hAnsi="Calibri" w:cs="Calibri"/>
        </w:rPr>
      </w:pPr>
      <w:r w:rsidRPr="00BC17B5">
        <w:rPr>
          <w:rFonts w:ascii="Calibri" w:hAnsi="Calibri" w:cs="Calibri"/>
        </w:rPr>
        <w:lastRenderedPageBreak/>
        <w:t>Several studies have investigated the effects of holding time on different blood components. For example, Lu et al.</w:t>
      </w:r>
      <w:r w:rsidRPr="00BC17B5">
        <w:rPr>
          <w:rFonts w:ascii="Calibri" w:hAnsi="Calibri" w:cs="Calibri"/>
        </w:rPr>
        <w:fldChar w:fldCharType="begin"/>
      </w:r>
      <w:r w:rsidR="00B65495">
        <w:rPr>
          <w:rFonts w:ascii="Calibri" w:hAnsi="Calibri" w:cs="Calibri"/>
        </w:rPr>
        <w:instrText xml:space="preserve"> ADDIN ZOTERO_ITEM CSL_CITATION {"citationID":"D1DD5QHW","properties":{"formattedCitation":"(14)","plainCitation":"(14)","noteIndex":0},"citationItems":[{"id":5405,"uris":["http://zotero.org/users/3782744/items/DYG6Q6HQ"],"itemData":{"id":5405,"type":"article-journal","abstract":"BACKGROUND: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(14)</w:t>
      </w:r>
      <w:r w:rsidRPr="00BC17B5">
        <w:rPr>
          <w:rFonts w:ascii="Calibri" w:hAnsi="Calibri" w:cs="Calibri"/>
        </w:rPr>
        <w:fldChar w:fldCharType="end"/>
      </w:r>
      <w:r w:rsidRPr="00BC17B5">
        <w:rPr>
          <w:rFonts w:ascii="Calibri" w:hAnsi="Calibri" w:cs="Calibri"/>
        </w:rPr>
        <w:t xml:space="preserve"> compared FFP derived from whole blood held for 8 hours versus 18–24 hours. Their results demonstrated that plasma from units held close to 24 hours remained within acceptable quality parameters, showing minimal variation in coagulation factor activity and protein content compared to the shorter-holding units. Similarly, </w:t>
      </w:r>
      <w:proofErr w:type="spellStart"/>
      <w:r w:rsidRPr="00BC17B5">
        <w:rPr>
          <w:rFonts w:ascii="Calibri" w:hAnsi="Calibri" w:cs="Calibri"/>
        </w:rPr>
        <w:t>Moroff</w:t>
      </w:r>
      <w:proofErr w:type="spellEnd"/>
      <w:r w:rsidRPr="00BC17B5">
        <w:rPr>
          <w:rFonts w:ascii="Calibri" w:hAnsi="Calibri" w:cs="Calibri"/>
        </w:rPr>
        <w:t xml:space="preserve"> et al.</w:t>
      </w:r>
      <w:r w:rsidRPr="00BC17B5">
        <w:rPr>
          <w:rFonts w:ascii="Calibri" w:hAnsi="Calibri" w:cs="Calibri"/>
        </w:rPr>
        <w:fldChar w:fldCharType="begin"/>
      </w:r>
      <w:r w:rsidR="00B65495">
        <w:rPr>
          <w:rFonts w:ascii="Calibri" w:hAnsi="Calibri" w:cs="Calibri"/>
        </w:rPr>
        <w:instrText xml:space="preserve"> ADDIN ZOTERO_ITEM CSL_CITATION {"citationID":"jpknZMtP","properties":{"formattedCitation":"(17)","plainCitation":"(17)","noteIndex":0},"citationItems":[{"id":5407,"uris":["http://zotero.org/users/3782744/items/6W26QPPN"],"itemData":{"id":5407,"type":"article-journal","abstract":"BACKGROUND: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(17)</w:t>
      </w:r>
      <w:r w:rsidRPr="00BC17B5">
        <w:rPr>
          <w:rFonts w:ascii="Calibri" w:hAnsi="Calibri" w:cs="Calibri"/>
        </w:rPr>
        <w:fldChar w:fldCharType="end"/>
      </w:r>
      <w:r w:rsidRPr="00BC17B5">
        <w:rPr>
          <w:rFonts w:ascii="Calibri" w:hAnsi="Calibri" w:cs="Calibri"/>
        </w:rPr>
        <w:t xml:space="preserve"> evaluated blood components prepared after 8</w:t>
      </w:r>
      <w:r w:rsidR="006D4F70">
        <w:rPr>
          <w:rFonts w:ascii="Calibri" w:hAnsi="Calibri" w:cs="Calibri"/>
        </w:rPr>
        <w:t xml:space="preserve"> a</w:t>
      </w:r>
      <w:r w:rsidRPr="00BC17B5">
        <w:rPr>
          <w:rFonts w:ascii="Calibri" w:hAnsi="Calibri" w:cs="Calibri"/>
        </w:rPr>
        <w:t>nd 24-hour holding periods, noting significant decreases in 2,3-diphosphoglycerate in red blood cells but no significant variations in platelet quality. Importantly, FVIII activity in plasma was reduced with longer holding times, highlighting the need to consider protein stability in extended storage scenarios.</w:t>
      </w:r>
    </w:p>
    <w:p w14:paraId="76C7C126" w14:textId="323ADC61" w:rsidR="00BC17B5" w:rsidRPr="00BC17B5" w:rsidRDefault="00BC17B5" w:rsidP="00BC17B5">
      <w:pPr>
        <w:spacing w:before="240" w:line="240" w:lineRule="auto"/>
        <w:jc w:val="both"/>
        <w:rPr>
          <w:rFonts w:ascii="Calibri" w:hAnsi="Calibri" w:cs="Calibri"/>
        </w:rPr>
      </w:pPr>
      <w:r w:rsidRPr="00BC17B5">
        <w:rPr>
          <w:rFonts w:ascii="Calibri" w:hAnsi="Calibri" w:cs="Calibri"/>
        </w:rPr>
        <w:t>The impact of holding time on plasma quality has also been explored by Cardigan et al.</w:t>
      </w:r>
      <w:r w:rsidRPr="00BC17B5">
        <w:rPr>
          <w:rFonts w:ascii="Calibri" w:hAnsi="Calibri" w:cs="Calibri"/>
        </w:rPr>
        <w:fldChar w:fldCharType="begin"/>
      </w:r>
      <w:r w:rsidR="00B65495">
        <w:rPr>
          <w:rFonts w:ascii="Calibri" w:hAnsi="Calibri" w:cs="Calibri"/>
        </w:rPr>
        <w:instrText xml:space="preserve"> ADDIN ZOTERO_ITEM CSL_CITATION {"citationID":"SRLMxrwO","properties":{"formattedCitation":"(16)","plainCitation":"(16)","noteIndex":0},"citationItems":[{"id":5374,"uris":["http://zotero.org/users/3782744/items/4E3TH5Y9"],"itemData":{"id":5374,"type":"article-journal","abstract":"BACKGROUND: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(16)</w:t>
      </w:r>
      <w:r w:rsidRPr="00BC17B5">
        <w:rPr>
          <w:rFonts w:ascii="Calibri" w:hAnsi="Calibri" w:cs="Calibri"/>
        </w:rPr>
        <w:fldChar w:fldCharType="end"/>
      </w:r>
      <w:r w:rsidRPr="00BC17B5">
        <w:rPr>
          <w:rFonts w:ascii="Calibri" w:hAnsi="Calibri" w:cs="Calibri"/>
        </w:rPr>
        <w:t>, who observed reductions in activated partial thromboplastin time, fibrinogen, FVIII, protein C, protein S, and prothrombin levels when holding time was extended from 8 to 24 hours. These findings underscore that holding time is not merely a logistical consideration but a critical determinant of FFP quality, with potential implications for clinical efficacy.</w:t>
      </w:r>
    </w:p>
    <w:p w14:paraId="6849B707"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 Effects of Holding Time on Plasma Components</w:t>
      </w:r>
    </w:p>
    <w:p w14:paraId="6EFF7ADB" w14:textId="7B2AE9D0"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3.1 Residual Leucocytes</w:t>
      </w:r>
    </w:p>
    <w:p w14:paraId="06F714C4" w14:textId="195BEC05" w:rsidR="000E3178" w:rsidRPr="00A268CE" w:rsidRDefault="000E3178" w:rsidP="000E3178">
      <w:pPr>
        <w:spacing w:before="240" w:line="240" w:lineRule="auto"/>
        <w:jc w:val="both"/>
        <w:rPr>
          <w:rFonts w:ascii="Calibri" w:hAnsi="Calibri" w:cs="Calibri"/>
        </w:rPr>
      </w:pPr>
      <w:r w:rsidRPr="00A268CE">
        <w:rPr>
          <w:rFonts w:ascii="Calibri" w:hAnsi="Calibri" w:cs="Calibri"/>
        </w:rPr>
        <w:t>Residual leucocytes in plasma pose a well-documented risk for transfusion recipients</w:t>
      </w:r>
      <w:r w:rsidR="00801D5B">
        <w:rPr>
          <w:rFonts w:ascii="Calibri" w:hAnsi="Calibri" w:cs="Calibri"/>
        </w:rPr>
        <w:t xml:space="preserve"> </w:t>
      </w:r>
      <w:r w:rsidR="000E7BA3">
        <w:rPr>
          <w:rFonts w:ascii="Calibri" w:hAnsi="Calibri" w:cs="Calibri"/>
        </w:rPr>
        <w:t>and</w:t>
      </w:r>
      <w:r w:rsidR="00801D5B">
        <w:rPr>
          <w:rFonts w:ascii="Calibri" w:hAnsi="Calibri" w:cs="Calibri"/>
        </w:rPr>
        <w:t xml:space="preserve"> the EDQM s</w:t>
      </w:r>
      <w:r w:rsidR="000E7BA3">
        <w:rPr>
          <w:rFonts w:ascii="Calibri" w:hAnsi="Calibri" w:cs="Calibri"/>
        </w:rPr>
        <w:t>tipulates</w:t>
      </w:r>
      <w:r w:rsidR="00801D5B">
        <w:rPr>
          <w:rFonts w:ascii="Calibri" w:hAnsi="Calibri" w:cs="Calibri"/>
        </w:rPr>
        <w:t xml:space="preserve"> a mandatory </w:t>
      </w:r>
      <w:r w:rsidR="000E7BA3">
        <w:rPr>
          <w:rFonts w:ascii="Calibri" w:hAnsi="Calibri" w:cs="Calibri"/>
        </w:rPr>
        <w:t>threshold</w:t>
      </w:r>
      <w:r w:rsidR="00801D5B">
        <w:rPr>
          <w:rFonts w:ascii="Calibri" w:hAnsi="Calibri" w:cs="Calibri"/>
        </w:rPr>
        <w:t xml:space="preserve"> of </w:t>
      </w:r>
      <w:r w:rsidR="000E7BA3">
        <w:rPr>
          <w:rFonts w:ascii="Calibri" w:hAnsi="Calibri" w:cs="Calibri"/>
        </w:rPr>
        <w:t>0.</w:t>
      </w:r>
      <w:r w:rsidR="00801D5B">
        <w:rPr>
          <w:rFonts w:ascii="Calibri" w:hAnsi="Calibri" w:cs="Calibri"/>
        </w:rPr>
        <w:t>1x10</w:t>
      </w:r>
      <w:r w:rsidR="000E7BA3" w:rsidRPr="00361FBE">
        <w:rPr>
          <w:rFonts w:ascii="Calibri" w:hAnsi="Calibri" w:cs="Calibri"/>
          <w:vertAlign w:val="superscript"/>
        </w:rPr>
        <w:t>9</w:t>
      </w:r>
      <w:r w:rsidR="00801D5B">
        <w:rPr>
          <w:rFonts w:ascii="Calibri" w:hAnsi="Calibri" w:cs="Calibri"/>
        </w:rPr>
        <w:t>/L of leucocytes</w:t>
      </w:r>
      <w:r w:rsidR="000E7BA3">
        <w:rPr>
          <w:rFonts w:ascii="Calibri" w:hAnsi="Calibri" w:cs="Calibri"/>
        </w:rPr>
        <w:t xml:space="preserve"> in</w:t>
      </w:r>
      <w:r w:rsidR="00801D5B">
        <w:rPr>
          <w:rFonts w:ascii="Calibri" w:hAnsi="Calibri" w:cs="Calibri"/>
        </w:rPr>
        <w:t xml:space="preserve"> unfiltered FFP</w:t>
      </w:r>
      <w:r w:rsidR="000E7BA3" w:rsidRPr="00A268CE">
        <w:rPr>
          <w:rFonts w:ascii="Calibri" w:hAnsi="Calibri" w:cs="Calibri"/>
        </w:rPr>
        <w:fldChar w:fldCharType="begin"/>
      </w:r>
      <w:r w:rsidR="000E7BA3" w:rsidRPr="00A268CE">
        <w:rPr>
          <w:rFonts w:ascii="Calibri" w:hAnsi="Calibri" w:cs="Calibri"/>
        </w:rPr>
        <w:instrText xml:space="preserve"> ADDIN ZOTERO_ITEM CSL_CITATION {"citationID":"bog8Tz9B","properties":{"formattedCitation":"(5)","plainCitation":"(5)","noteIndex":0},"citationItems":[{"id":5389,"uris":["http://zotero.org/users/3782744/items/CV6ESY35"],"itemData":{"id":5389,"type":"webpage","container-title":"European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0E7BA3" w:rsidRPr="00A268CE">
        <w:rPr>
          <w:rFonts w:ascii="Calibri" w:hAnsi="Calibri" w:cs="Calibri"/>
        </w:rPr>
        <w:fldChar w:fldCharType="separate"/>
      </w:r>
      <w:r w:rsidR="000E7BA3" w:rsidRPr="00A268CE">
        <w:rPr>
          <w:rFonts w:ascii="Calibri" w:hAnsi="Calibri" w:cs="Calibri"/>
        </w:rPr>
        <w:t>(5)</w:t>
      </w:r>
      <w:r w:rsidR="000E7BA3" w:rsidRPr="00A268CE">
        <w:rPr>
          <w:rFonts w:ascii="Calibri" w:hAnsi="Calibri" w:cs="Calibri"/>
        </w:rPr>
        <w:fldChar w:fldCharType="end"/>
      </w:r>
      <w:r w:rsidRPr="00A268CE">
        <w:rPr>
          <w:rFonts w:ascii="Calibri" w:hAnsi="Calibri" w:cs="Calibri"/>
        </w:rPr>
        <w:t xml:space="preserve">. During the holding period, these cells undergo progressive degradation and inactivation, </w:t>
      </w:r>
      <w:r w:rsidR="00A268CE" w:rsidRPr="00A268CE">
        <w:rPr>
          <w:rFonts w:ascii="Calibri" w:hAnsi="Calibri" w:cs="Calibri"/>
        </w:rPr>
        <w:t xml:space="preserve">which are </w:t>
      </w:r>
      <w:r w:rsidRPr="00A268CE">
        <w:rPr>
          <w:rFonts w:ascii="Calibri" w:hAnsi="Calibri" w:cs="Calibri"/>
        </w:rPr>
        <w:t>process</w:t>
      </w:r>
      <w:r w:rsidR="00A268CE" w:rsidRPr="00A268CE">
        <w:rPr>
          <w:rFonts w:ascii="Calibri" w:hAnsi="Calibri" w:cs="Calibri"/>
        </w:rPr>
        <w:t>es</w:t>
      </w:r>
      <w:r w:rsidRPr="00A268CE">
        <w:rPr>
          <w:rFonts w:ascii="Calibri" w:hAnsi="Calibri" w:cs="Calibri"/>
        </w:rPr>
        <w:t xml:space="preserve"> that may reduce immunogenicity and minimise the likelihood of adverse reactions</w:t>
      </w:r>
      <w:r w:rsidRPr="00A268CE">
        <w:rPr>
          <w:rFonts w:ascii="Calibri" w:hAnsi="Calibri" w:cs="Calibri"/>
        </w:rPr>
        <w:fldChar w:fldCharType="begin"/>
      </w:r>
      <w:r w:rsidR="00B65495" w:rsidRPr="00A268CE">
        <w:rPr>
          <w:rFonts w:ascii="Calibri" w:hAnsi="Calibri" w:cs="Calibri"/>
        </w:rPr>
        <w:instrText xml:space="preserve"> ADDIN ZOTERO_ITEM CSL_CITATION {"citationID":"TNFQJEOU","properties":{"formattedCitation":"(18)","plainCitation":"(18)","noteIndex":0},"citationItems":[{"id":5399,"uris":["http://zotero.org/users/3782744/items/6LQZTPH2"],"itemData":{"id":5399,"type":"article-journal","abstract":"BACKGROUND: Leucoreduction of blood products is increasingly being employed to produce blood products with residual WBCs &lt; 5 × 10(6) per unit (99.9 percent or a log 3 leucoreduction). Clinical data suggests that non-haemolytic febrile transfusion reactions can be prevented by leucodepletion. The procedure also prevents alloimmunisation to HLA antigens in patients who will repeatedly require transfusion of blood/blood products.\nMETHOD: Of the methods available to reduce the number of WBC in blood products washing of red cells, freezing and deglycerolisation are effective and yield a product with only a 24 hour shelf life. Other methods such as leucodepletion filters are relatively inexpensive, simple and the final product has a normal shelf life. Modern generation of leucoreduction filters and apheresis machines can provide greater than 4 log reduction of WBC.\nRESULTS: After the introduction of leucodepletion of blood for Thalassemics at our center in 2003, the incidence of non haemolytic febrile transfusion reactions (NHFTR) fell from 4% in 2002 to 1% in 2003.\nCONCLUSION: In patients undergoing long-term blood transfusion therapy e.g. Thalassemics, alloimmunisation against the HLA antigens on donor white cells is prevented by leucodepletion and prevents NHFTRs.","container-title":"Medical Journal, Armed Forces India","DOI":"10.1016/S0377-1237(06)80064-X","ISSN":"0377-1237","issue":"2","journalAbbreviation":"Med J Armed Forces India","language":"eng","note":"PMID: 27407886\nPMCID: PMC4921955","page":"174-177","source":"PubMed","title":"Leucodepletion and Blood Products","volume":"62","author":[{"family":"Kumar","given":"Harsh"},{"family":"Gupta","given":"P. K."},{"family":"Mishra","given":"D. K."},{"family":"Sarkar","given":"R. S."},{"family":"Jaiprakash","given":"M."}],"issued":{"date-parts":[["2006",4]]}}}],"schema":"https://github.com/citation-style-language/schema/raw/master/csl-citation.json"}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(18)</w:t>
      </w:r>
      <w:r w:rsidRPr="00A268CE">
        <w:rPr>
          <w:rFonts w:ascii="Calibri" w:hAnsi="Calibri" w:cs="Calibri"/>
        </w:rPr>
        <w:fldChar w:fldCharType="end"/>
      </w:r>
      <w:r w:rsidRPr="00A268CE">
        <w:rPr>
          <w:rFonts w:ascii="Calibri" w:hAnsi="Calibri" w:cs="Calibri"/>
        </w:rPr>
        <w:t>. However, the relationship between holding time and residual leucocyte counts is not fully characterised, particularly in unfiltered plasma products, which are still employed in some blood establishments.</w:t>
      </w:r>
    </w:p>
    <w:p w14:paraId="4FE466CA" w14:textId="27CA0E55" w:rsidR="000E3178" w:rsidRPr="00A268CE" w:rsidRDefault="000E3178" w:rsidP="000E3178">
      <w:pPr>
        <w:spacing w:before="240" w:line="240" w:lineRule="auto"/>
        <w:jc w:val="both"/>
        <w:rPr>
          <w:rFonts w:ascii="Calibri" w:hAnsi="Calibri" w:cs="Calibri"/>
        </w:rPr>
      </w:pPr>
      <w:r w:rsidRPr="00A268CE">
        <w:rPr>
          <w:rFonts w:ascii="Calibri" w:hAnsi="Calibri" w:cs="Calibri"/>
        </w:rPr>
        <w:t xml:space="preserve">Evidence on the role of leucocytes during storage is </w:t>
      </w:r>
      <w:r w:rsidR="00C36FA7" w:rsidRPr="00A268CE">
        <w:rPr>
          <w:rFonts w:ascii="Calibri" w:hAnsi="Calibri" w:cs="Calibri"/>
        </w:rPr>
        <w:t>controversial</w:t>
      </w:r>
      <w:r w:rsidRPr="00A268CE">
        <w:rPr>
          <w:rFonts w:ascii="Calibri" w:hAnsi="Calibri" w:cs="Calibri"/>
        </w:rPr>
        <w:t xml:space="preserve">. </w:t>
      </w:r>
      <w:proofErr w:type="spellStart"/>
      <w:r w:rsidRPr="00A268CE">
        <w:rPr>
          <w:rFonts w:ascii="Calibri" w:hAnsi="Calibri" w:cs="Calibri"/>
        </w:rPr>
        <w:t>Högman</w:t>
      </w:r>
      <w:proofErr w:type="spellEnd"/>
      <w:r w:rsidRPr="00A268CE">
        <w:rPr>
          <w:rFonts w:ascii="Calibri" w:hAnsi="Calibri" w:cs="Calibri"/>
        </w:rPr>
        <w:t xml:space="preserve"> et al.</w:t>
      </w:r>
      <w:r w:rsidRPr="00A268CE">
        <w:rPr>
          <w:rFonts w:ascii="Calibri" w:hAnsi="Calibri" w:cs="Calibri"/>
        </w:rPr>
        <w:fldChar w:fldCharType="begin"/>
      </w:r>
      <w:r w:rsidR="00B65495" w:rsidRPr="00A268CE">
        <w:rPr>
          <w:rFonts w:ascii="Calibri" w:hAnsi="Calibri" w:cs="Calibri"/>
        </w:rPr>
        <w:instrText xml:space="preserve"> ADDIN ZOTERO_ITEM CSL_CITATION {"citationID":"jBorUVZk","properties":{"formattedCitation":"(13)","plainCitation":"(13)","noteIndex":0},"citationItems":[{"id":5391,"uris":["http://zotero.org/users/3782744/items/AUINB7D3"],"itemData":{"id":5391,"type":"article-journal","abstract":"The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(13)</w:t>
      </w:r>
      <w:r w:rsidRPr="00A268CE">
        <w:rPr>
          <w:rFonts w:ascii="Calibri" w:hAnsi="Calibri" w:cs="Calibri"/>
        </w:rPr>
        <w:fldChar w:fldCharType="end"/>
      </w:r>
      <w:r w:rsidRPr="00A268CE">
        <w:rPr>
          <w:rFonts w:ascii="Calibri" w:hAnsi="Calibri" w:cs="Calibri"/>
        </w:rPr>
        <w:t xml:space="preserve"> reported that leucocytes can contribute to the clearance of bacterial contaminants, with some species </w:t>
      </w:r>
      <w:r w:rsidR="00A268CE" w:rsidRPr="00A268CE">
        <w:rPr>
          <w:rFonts w:ascii="Calibri" w:hAnsi="Calibri" w:cs="Calibri"/>
        </w:rPr>
        <w:t xml:space="preserve">being </w:t>
      </w:r>
      <w:r w:rsidRPr="00A268CE">
        <w:rPr>
          <w:rFonts w:ascii="Calibri" w:hAnsi="Calibri" w:cs="Calibri"/>
        </w:rPr>
        <w:t>eliminated within 5–24 hours, whereas in leucoreduced units, rapid bacterial proliferation was observed after 48 hours, especially in buffy coats. These findings suggest a potential protective role of residual leucocytes against microbial growth under certain conditions.</w:t>
      </w:r>
    </w:p>
    <w:p w14:paraId="08482715" w14:textId="436E654D" w:rsidR="000E3178" w:rsidRPr="000E3178" w:rsidRDefault="000E3178" w:rsidP="000E3178">
      <w:pPr>
        <w:spacing w:before="240" w:line="240" w:lineRule="auto"/>
        <w:jc w:val="both"/>
        <w:rPr>
          <w:rFonts w:ascii="Calibri" w:hAnsi="Calibri" w:cs="Calibri"/>
          <w:color w:val="D86DCB" w:themeColor="accent5" w:themeTint="99"/>
        </w:rPr>
      </w:pPr>
      <w:r w:rsidRPr="00A268CE">
        <w:rPr>
          <w:rFonts w:ascii="Calibri" w:hAnsi="Calibri" w:cs="Calibri"/>
        </w:rPr>
        <w:t>In contrast, numerous studies highlight the benefits of leucoreduction. Bianchi et al.</w:t>
      </w:r>
      <w:r w:rsidRPr="00A268CE">
        <w:rPr>
          <w:rFonts w:ascii="Calibri" w:hAnsi="Calibri" w:cs="Calibri"/>
        </w:rPr>
        <w:fldChar w:fldCharType="begin"/>
      </w:r>
      <w:r w:rsidR="00B65495" w:rsidRPr="00A268CE">
        <w:rPr>
          <w:rFonts w:ascii="Calibri" w:hAnsi="Calibri" w:cs="Calibri"/>
        </w:rPr>
        <w:instrText xml:space="preserve"> ADDIN ZOTERO_ITEM CSL_CITATION {"citationID":"gshuuP3K","properties":{"formattedCitation":"(19)","plainCitation":"(19)","noteIndex":0},"citationItems":[{"id":3849,"uris":["http://zotero.org/users/3782744/items/YEX7EJ6K"],"itemData":{"id":3849,"type":"article-journal","abstract":"Over the past 30 years, it has been demonstrated that removal of white blood cells from blood components is effective in preventing some adverse reactions such as febrile non-haemolytic transfusion reactions, immunisation against human leucocyte antigens and human platelet antigens, and transmission of cytomegalovirus. In this review we discuss indications for leucoreduction and classify them into three categories: evidence-based indications for which the clinical efficacy is proven, indications based on the analysis of observational clinical studies with very consistent results and indications for which the clinical efficacy is partial or unproven.","container-title":"Blood Transfusion","DOI":"10.2450/2015.0154-15","ISSN":"1723-2007","issue":"3","journalAbbreviation":"Blood Transfus","note":"PMID: 26710353\nPMCID: PMC4918553","page":"214-227","source":"PubMed Central","title":"Leucoreduction of blood components: an effective way to increase blood safety?","title-short":"Leucoreduction of blood components","volume":"14","author":[{"family":"Bianchi","given":"Maria"},{"family":"Vaglio","given":"Stefania"},{"family":"Pupella","given":"Simonetta"},{"family":"Marano","given":"Giuseppe"},{"family":"Facco","given":"Giuseppina"},{"family":"Liumbruno","given":"Giancarlo M."},{"family":"Grazzini","given":"Giuliano"}],"issued":{"date-parts":[["2016",5]]}}}],"schema":"https://github.com/citation-style-language/schema/raw/master/csl-citation.json"}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(19)</w:t>
      </w:r>
      <w:r w:rsidRPr="00A268CE">
        <w:rPr>
          <w:rFonts w:ascii="Calibri" w:hAnsi="Calibri" w:cs="Calibri"/>
        </w:rPr>
        <w:fldChar w:fldCharType="end"/>
      </w:r>
      <w:r w:rsidRPr="00A268CE">
        <w:rPr>
          <w:rFonts w:ascii="Calibri" w:hAnsi="Calibri" w:cs="Calibri"/>
        </w:rPr>
        <w:t xml:space="preserve"> and </w:t>
      </w:r>
      <w:proofErr w:type="spellStart"/>
      <w:r w:rsidRPr="00A268CE">
        <w:rPr>
          <w:rFonts w:ascii="Calibri" w:hAnsi="Calibri" w:cs="Calibri"/>
        </w:rPr>
        <w:t>Pietersz</w:t>
      </w:r>
      <w:proofErr w:type="spellEnd"/>
      <w:r w:rsidRPr="00A268CE">
        <w:rPr>
          <w:rFonts w:ascii="Calibri" w:hAnsi="Calibri" w:cs="Calibri"/>
        </w:rPr>
        <w:t xml:space="preserve"> et al.</w:t>
      </w:r>
      <w:r w:rsidR="00DF0F48" w:rsidRPr="00A268CE">
        <w:rPr>
          <w:rFonts w:ascii="Calibri" w:hAnsi="Calibri" w:cs="Calibri"/>
        </w:rPr>
        <w:fldChar w:fldCharType="begin"/>
      </w:r>
      <w:r w:rsidR="00B65495" w:rsidRPr="00A268CE">
        <w:rPr>
          <w:rFonts w:ascii="Calibri" w:hAnsi="Calibri" w:cs="Calibri"/>
        </w:rPr>
        <w:instrText xml:space="preserve"> ADDIN ZOTERO_ITEM CSL_CITATION {"citationID":"OQS2f55T","properties":{"formattedCitation":"(20)","plainCitation":"(20)","noteIndex":0},"citationItems":[{"id":5409,"uris":["http://zotero.org/users/3782744/items/SI65ZQ2T"],"itemData":{"id":5409,"type":"article-journal","abstract":"Processing and storage of blood components: strategies to improve patient safety Ruby NI Pietersz, Pieter F van der Meer Department of Product and Process Development, Sanquin Blood Bank, Amsterdam, the Netherlands  Abstract: This review focuses on safety improvements of blood processing of various blood components and their respective storage. A solid quality system to ensure safe and effective blood components that are traceable from a donor to the patient is the foundation of a safe blood supply. To stimulate and guide this process, National Health Authorities should develop guidelines for blood transfusion, including establishment of a quality system. Blood component therapy enabled treatment of patients with blood constituents that were missing, only thus preventing reactions to unnecessarily transfused elements. Leukoreduction prevents many adverse reactions and also improves the quality of the blood components during storage. The safety of red cells and platelets is improved by replacement of plasma with preservative solutions, which results in the reduction of isoantibodies and plasma proteins. Automation of blood collection, separation of whole blood into components, and consecutive processing steps, such as preparation of platelet concentrate from multiple donations, improves the consistent composition of blood components. Physicians can better prescribe the number of transfusions and therewith reduce donor exposure and/or the risk of pathogen transmission. Pathogen reduction in cellular blood components is the latest development in improving the safety of blood transfusions for patients.  Keywords: blood components, red cell concentrates, platelet concentrates, plasma, transfusion, safety&amp;nbsp;","container-title":"International Journal of Clinical Transfusion Medicine","DOI":"10.2147/IJCTM.S40038","journalAbbreviation":"IJCTM","language":"English","note":"publisher: Dove Press","page":"55-64","source":"www.dovepress.com","title":"Processing and storage of blood components: strategies to improve patient safety","title-short":"Processing and storage of blood components","volume":"3","author":[{"family":"Pietersz","given":"Ruby NI"},{"family":"Meer","given":"Pieter F.","dropping-particle":"van der"}],"issued":{"date-parts":[["2015",8,11]]}}}],"schema":"https://github.com/citation-style-language/schema/raw/master/csl-citation.json"} </w:instrText>
      </w:r>
      <w:r w:rsidR="00DF0F48" w:rsidRPr="00A268CE">
        <w:rPr>
          <w:rFonts w:ascii="Calibri" w:hAnsi="Calibri" w:cs="Calibri"/>
        </w:rPr>
        <w:fldChar w:fldCharType="separate"/>
      </w:r>
      <w:r w:rsidR="00B65495" w:rsidRPr="00A268CE">
        <w:rPr>
          <w:rFonts w:ascii="Calibri" w:hAnsi="Calibri" w:cs="Calibri"/>
        </w:rPr>
        <w:t>(20)</w:t>
      </w:r>
      <w:r w:rsidR="00DF0F48" w:rsidRPr="00A268CE">
        <w:rPr>
          <w:rFonts w:ascii="Calibri" w:hAnsi="Calibri" w:cs="Calibri"/>
        </w:rPr>
        <w:fldChar w:fldCharType="end"/>
      </w:r>
      <w:r w:rsidR="00DF0F48" w:rsidRPr="00A268CE">
        <w:rPr>
          <w:rFonts w:ascii="Calibri" w:hAnsi="Calibri" w:cs="Calibri"/>
        </w:rPr>
        <w:t xml:space="preserve"> </w:t>
      </w:r>
      <w:r w:rsidRPr="00A268CE">
        <w:rPr>
          <w:rFonts w:ascii="Calibri" w:hAnsi="Calibri" w:cs="Calibri"/>
        </w:rPr>
        <w:t xml:space="preserve">demonstrated that leucoreduction substantially decreases the incidence of FNHTR, CMV </w:t>
      </w:r>
      <w:r w:rsidRPr="003A7646">
        <w:rPr>
          <w:rFonts w:ascii="Calibri" w:hAnsi="Calibri" w:cs="Calibri"/>
        </w:rPr>
        <w:t xml:space="preserve">transmission, and HLA alloimmunisation, </w:t>
      </w:r>
      <w:r w:rsidR="00A268CE" w:rsidRPr="003A7646">
        <w:rPr>
          <w:rFonts w:ascii="Calibri" w:hAnsi="Calibri" w:cs="Calibri"/>
        </w:rPr>
        <w:t>highlighting</w:t>
      </w:r>
      <w:r w:rsidRPr="003A7646">
        <w:rPr>
          <w:rFonts w:ascii="Calibri" w:hAnsi="Calibri" w:cs="Calibri"/>
        </w:rPr>
        <w:t xml:space="preserve"> the clinical risks posed by viable leucocytes. While extended holding may reduce these risks in unfiltered plasma by promoting natural leucocyte degradation, the process is variable and influenced by donor characteristics, temperature, and processing methods.</w:t>
      </w:r>
    </w:p>
    <w:p w14:paraId="530FFFFC" w14:textId="77777777" w:rsidR="000E3178" w:rsidRPr="00A268CE" w:rsidRDefault="000E3178" w:rsidP="000E3178">
      <w:pPr>
        <w:spacing w:before="240" w:line="240" w:lineRule="auto"/>
        <w:jc w:val="both"/>
        <w:rPr>
          <w:rFonts w:ascii="Calibri" w:hAnsi="Calibri" w:cs="Calibri"/>
        </w:rPr>
      </w:pPr>
      <w:r w:rsidRPr="00A268CE">
        <w:rPr>
          <w:rFonts w:ascii="Calibri" w:hAnsi="Calibri" w:cs="Calibri"/>
        </w:rPr>
        <w:t>Although robust quantitative data remain limited, available evidence indicates that holding time exerts a measurable impact on leucocyte viability and activity. Shorter holding periods may allow residual cells to retain immunogenic potential, increasing the likelihood of adverse transfusion outcomes. Conversely, prolonged holding promotes apoptosis and functional decline of leucocytes, improving compliance with safety thresholds and potentially reducing immunological risks.</w:t>
      </w:r>
    </w:p>
    <w:p w14:paraId="68D98964" w14:textId="156B0A83" w:rsidR="00F45185" w:rsidRDefault="00F45185" w:rsidP="00F45185">
      <w:pPr>
        <w:spacing w:before="240" w:line="240" w:lineRule="auto"/>
        <w:jc w:val="both"/>
        <w:rPr>
          <w:rFonts w:ascii="Calibri" w:hAnsi="Calibri" w:cs="Calibri"/>
        </w:rPr>
      </w:pPr>
      <w:r w:rsidRPr="00F45185">
        <w:rPr>
          <w:rFonts w:ascii="Calibri" w:hAnsi="Calibri" w:cs="Calibri"/>
        </w:rPr>
        <w:t xml:space="preserve">Variability in residual leucocyte counts between plasma units processed at different holding times underscores the critical importance of standardisation in the preparation of FFP. When holding times are not carefully controlled, plasma units can exhibit heterogeneous levels of residual leucocytes, which introduces variability in transfusion risk between individual units. This heterogeneity is influenced not only by the duration of the holding period but also by a complex interplay of pre-analytical factors, including ambient storage temperature, degree and consistency of gentle agitation </w:t>
      </w:r>
      <w:r w:rsidRPr="00F45185">
        <w:rPr>
          <w:rFonts w:ascii="Calibri" w:hAnsi="Calibri" w:cs="Calibri"/>
        </w:rPr>
        <w:lastRenderedPageBreak/>
        <w:t>during storage, the type and volume of anticoagulant used, and the initial leucocyte load present in the collected whole blood</w:t>
      </w:r>
      <w:r w:rsidR="00AF78BF">
        <w:rPr>
          <w:rFonts w:ascii="Calibri" w:hAnsi="Calibri" w:cs="Calibri"/>
        </w:rPr>
        <w:fldChar w:fldCharType="begin"/>
      </w:r>
      <w:r w:rsidR="00B65495">
        <w:rPr>
          <w:rFonts w:ascii="Calibri" w:hAnsi="Calibri" w:cs="Calibri"/>
        </w:rPr>
        <w:instrText xml:space="preserve"> ADDIN ZOTERO_ITEM CSL_CITATION {"citationID":"0DGgRmYP","properties":{"formattedCitation":"(21)","plainCitation":"(21)","noteIndex":0},"citationItems":[{"id":5426,"uris":["http://zotero.org/users/3782744/items/QTXRDZDG"],"itemData":{"id":5426,"type":"article-journal","abstract":"Microparticles (MPs) are shed from normal blood cells and may contribute to the coagulation potential of plasma. Transfusion of fresh frozen plasma (FFP) is used to correct coagulopathies and blood loss in trauma or major surgery. The role of MPs in FFP clinical efficacy is unknown. Regulations that govern the preparation of FFP vary in different countries. The aim of this study was to determine the effect of whole blood (WB)-hold conditions before FFP preparation on the MP profile. WB units were held at room temperature (RT) or combination of RT and refrigeration for up to 24h before FFP preparation. The MP content in thawed FFP was measured to reflect transfusion practice. The absolute number of MPs in FFP increased with longer WB hold time. Refrigeration of WB may also promote increased generation of MPs. In particular the number of platelet-derived and phosphatidylserine-containing MPs, which are known to have procoagulant properties, increased. Lipid peroxidation increased with longer WB-hold time. Donor-related factors appear to govern lipid peroxidation levels. Holistic proteomic and coagulant analyses of FFP MPs are warranted. Such information could guide the choice of the optimal handling conditions of WB and the most relevant quality control procedures for FFP. This article is part of a Special Issue entitled: Integrated omics.","container-title":"Journal of Proteomics","DOI":"10.1016/j.jprot.2012.07.013","ISSN":"1876-7737","issue":"0 0","journalAbbreviation":"J Proteomics","language":"eng","note":"PMID: 22813882\nPMCID: PMC4177036","page":"211-219","source":"PubMed","title":"Microparticle content of plasma for transfusion is influenced by the whole blood hold conditions: pre-analytical considerations for proteomic investigations","title-short":"Microparticle content of plasma for transfusion is influenced by the whole blood hold conditions","volume":"76 Spec No.","author":[{"family":"Sparrow","given":"Rosemary L."},{"family":"Chan","given":"Kasey Sze-Kei"}],"issued":{"date-parts":[["2012",12,5]]}}}],"schema":"https://github.com/citation-style-language/schema/raw/master/csl-citation.json"} </w:instrText>
      </w:r>
      <w:r w:rsidR="00AF78BF">
        <w:rPr>
          <w:rFonts w:ascii="Calibri" w:hAnsi="Calibri" w:cs="Calibri"/>
        </w:rPr>
        <w:fldChar w:fldCharType="separate"/>
      </w:r>
      <w:r w:rsidR="00B65495" w:rsidRPr="00B65495">
        <w:rPr>
          <w:rFonts w:ascii="Calibri" w:hAnsi="Calibri" w:cs="Calibri"/>
        </w:rPr>
        <w:t>(21)</w:t>
      </w:r>
      <w:r w:rsidR="00AF78BF">
        <w:rPr>
          <w:rFonts w:ascii="Calibri" w:hAnsi="Calibri" w:cs="Calibri"/>
        </w:rPr>
        <w:fldChar w:fldCharType="end"/>
      </w:r>
      <w:r w:rsidRPr="00F45185">
        <w:rPr>
          <w:rFonts w:ascii="Calibri" w:hAnsi="Calibri" w:cs="Calibri"/>
        </w:rPr>
        <w:t>. Together, these variables can modulate leucocyte viability, activation status, and the release of bioactive molecules such as cytokines and chemokines, which may have downstream effects on the immune response of transfusion recipients.</w:t>
      </w:r>
      <w:r w:rsidR="00DF1840">
        <w:rPr>
          <w:rFonts w:ascii="Calibri" w:hAnsi="Calibri" w:cs="Calibri"/>
        </w:rPr>
        <w:t xml:space="preserve"> </w:t>
      </w:r>
      <w:r w:rsidR="00E326F5">
        <w:rPr>
          <w:rFonts w:ascii="Calibri" w:hAnsi="Calibri" w:cs="Calibri"/>
        </w:rPr>
        <w:t>R</w:t>
      </w:r>
      <w:r w:rsidRPr="00F45185">
        <w:rPr>
          <w:rFonts w:ascii="Calibri" w:hAnsi="Calibri" w:cs="Calibri"/>
        </w:rPr>
        <w:t xml:space="preserve">esidual leucocytes that remain active or partially activated during the holding period can contribute to the accumulation of inflammatory mediators and proteolytic enzymes in plasma, which can subtly alter the composition and functional quality of plasma proteins. These biochemical changes, while often not detectable by routine coagulation assays, may nonetheless influence patient outcomes, particularly in individuals with compromised </w:t>
      </w:r>
      <w:r w:rsidR="005D6F8F" w:rsidRPr="00F45185">
        <w:rPr>
          <w:rFonts w:ascii="Calibri" w:hAnsi="Calibri" w:cs="Calibri"/>
        </w:rPr>
        <w:t>haemostasis</w:t>
      </w:r>
      <w:r w:rsidRPr="00F45185">
        <w:rPr>
          <w:rFonts w:ascii="Calibri" w:hAnsi="Calibri" w:cs="Calibri"/>
        </w:rPr>
        <w:t>, massive transfusion requirements, or heightened immunological sensitivity</w:t>
      </w:r>
      <w:r w:rsidR="00FC6AF5">
        <w:rPr>
          <w:rFonts w:ascii="Calibri" w:hAnsi="Calibri" w:cs="Calibri"/>
        </w:rPr>
        <w:fldChar w:fldCharType="begin"/>
      </w:r>
      <w:r w:rsidR="00B65495">
        <w:rPr>
          <w:rFonts w:ascii="Calibri" w:hAnsi="Calibri" w:cs="Calibri"/>
        </w:rPr>
        <w:instrText xml:space="preserve"> ADDIN ZOTERO_ITEM CSL_CITATION {"citationID":"p8VbRXH6","properties":{"formattedCitation":"(22,23)","plainCitation":"(22,23)","noteIndex":0},"citationItems":[{"id":5429,"uris":["http://zotero.org/users/3782744/items/BVFI9HQQ"],"itemData":{"id":5429,"type":"article-journal","abstract":"BACKGROUND: Leucoreduction of blood components, including platelet components, is strongly encouraged but not yet universal, especially outside high income countries. As both leucocytes and platelets secrete copious amounts of pro-inflammatory cytokines/chemokines under various conditions and during storage, we investigated the potential of the respective secretory programmes of these cells in order to evaluate their subsequent pathophysiological effects.\nMATERIAL AND METHODS: A total of 158 individual non-leucoreduced platelet components were obtained from Tunisian donors and tested for characteristic biological response modifiers (BRM) of leukocytes (IL-1β, IL-8), platelets (sCD62P, sCD40L) and both cell types (TNF-α, RANTES) in the presence or absence of thrombin stimulation and after different periods of storage (up to 5 days). BRM levels were determined using enzyme-linked immunosorbent assays and Luminex technology. Platelet-leucocyte aggregate formation during storage was analysed using flow cytometry.\nRESULTS: Leucocyte- and platelet-associated BRM had clearly distinct profiles both at the onset (day 0) and termination (day 5) of the observation period but altered during the intermediate period so that their respective importance was inverted; in fact, the profiles were merged and indistinguishable on days 2-3. The leucocyte-derived BRM largely dominated over platelet-derived ones and further altered the BRM platelet secretion programme.\nDISCUSSION: This study contributes substantial, new information on leucocyte/platelet interactions and their likely role in transfusion when leucodepletion cannot be performed or is only partially achieved.","container-title":"Blood Transfusion = Trasfusione Del Sangue","DOI":"10.2450/2016.0076-16","ISSN":"2385-2070","issue":"1","journalAbbreviation":"Blood Transfus","language":"eng","note":"PMID: 27643752\nPMCID: PMC5770316","page":"63-72","source":"PubMed","title":"Leucocyte cytokines dominate platelet cytokines overtime in non-leucoreduced platelet components","volume":"16","author":[{"family":"Aloui","given":"Chaker"},{"family":"Chakroun","given":"Tahar"},{"family":"Prigent","given":"Antoine"},{"family":"Jemni-Yacoub","given":"Saloua"},{"family":"Cognasse","given":"Fabrice"},{"family":"Laradi","given":"Sandrine"},{"family":"Garraud","given":"Olivier"}],"issued":{"date-parts":[["2018",1]]}},"label":"page"},{"id":5431,"uris":["http://zotero.org/users/3782744/items/LP93ZGTK"],"itemData":{"id":5431,"type":"article-journal","abstract":"Transfusion of blood cell components is frequent in the therapeutic arsenal; it is globally safe or even very safe. At present, residual clinical manifestations are principally inflammatory in nature. If some rare clinical hazards manifest as acute inflammation symptoms of various origin, most of them linked with conflicting and undesirable biological material accompanying the therapeutic component (infectious pathogen, pathogenic antibody, unwanted antigen, or allergen), the general feature is subtler and less visible, and essentially consists of alloimmunization or febrile non-hemolytic transfusion reaction. The present essay aims to present updates in hematology and immunology that help understand how, when, and why subclinical inflammation underlies alloimmunization and circumstances characteristic of red blood cells and - even more frequently - platelets that contribute inflammatory mediators. Modern transfusion medicine makes sustained efforts to limit such inflammatory hazards; efforts can be successful only if one has a clear view of each element's role.","container-title":"Frontiers in Immunology","DOI":"10.3389/fimmu.2016.00534","ISSN":"1664-3224","journalAbbreviation":"Front Immunol","language":"eng","note":"PMID: 27965664\nPMCID: PMC5126107","page":"534","source":"PubMed","title":"Transfusion as an Inflammation Hit: Knowns and Unknowns","title-short":"Transfusion as an Inflammation Hit","volume":"7","author":[{"family":"Garraud","given":"Olivier"},{"family":"Tariket","given":"S."},{"family":"Sut","given":"C."},{"family":"Haddad","given":"A."},{"family":"Aloui","given":"C."},{"family":"Chakroun","given":"T."},{"family":"Laradi","given":"S."},{"family":"Cognasse","given":"F."}],"issued":{"date-parts":[["2016"]]}},"label":"page"}],"schema":"https://github.com/citation-style-language/schema/raw/master/csl-citation.json"} </w:instrText>
      </w:r>
      <w:r w:rsidR="00FC6AF5">
        <w:rPr>
          <w:rFonts w:ascii="Calibri" w:hAnsi="Calibri" w:cs="Calibri"/>
        </w:rPr>
        <w:fldChar w:fldCharType="separate"/>
      </w:r>
      <w:r w:rsidR="00B65495" w:rsidRPr="00B65495">
        <w:rPr>
          <w:rFonts w:ascii="Calibri" w:hAnsi="Calibri" w:cs="Calibri"/>
        </w:rPr>
        <w:t>(22,23)</w:t>
      </w:r>
      <w:r w:rsidR="00FC6AF5">
        <w:rPr>
          <w:rFonts w:ascii="Calibri" w:hAnsi="Calibri" w:cs="Calibri"/>
        </w:rPr>
        <w:fldChar w:fldCharType="end"/>
      </w:r>
      <w:r w:rsidRPr="00F45185">
        <w:rPr>
          <w:rFonts w:ascii="Calibri" w:hAnsi="Calibri" w:cs="Calibri"/>
        </w:rPr>
        <w:t>.</w:t>
      </w:r>
    </w:p>
    <w:p w14:paraId="56D0D9D6" w14:textId="12443F0A" w:rsidR="00943A32" w:rsidRPr="00DA2A2F" w:rsidRDefault="00744521" w:rsidP="00F45185">
      <w:pPr>
        <w:spacing w:before="240" w:line="240" w:lineRule="auto"/>
        <w:jc w:val="both"/>
        <w:rPr>
          <w:rFonts w:ascii="Calibri" w:hAnsi="Calibri" w:cs="Calibri"/>
        </w:rPr>
      </w:pPr>
      <w:r w:rsidRPr="00DA2A2F">
        <w:rPr>
          <w:rFonts w:ascii="Calibri" w:hAnsi="Calibri" w:cs="Calibri"/>
        </w:rPr>
        <w:t>In p</w:t>
      </w:r>
      <w:r w:rsidR="0054200E" w:rsidRPr="00DA2A2F">
        <w:rPr>
          <w:rFonts w:ascii="Calibri" w:hAnsi="Calibri" w:cs="Calibri"/>
        </w:rPr>
        <w:t>ractical terms, implementing evidence-based and standardised holding time protocols would ensure that unfiltered FFP consistently complies with regulatory thresholds for residual leucocyte content, thereby reducing the risk of febrile non-haemolytic transfusion reactions, alloimmunisation, and the transmission of cell-associated pathogens</w:t>
      </w:r>
      <w:r w:rsidR="00853A3B">
        <w:rPr>
          <w:rFonts w:ascii="Calibri" w:hAnsi="Calibri" w:cs="Calibri"/>
          <w:color w:val="D86DCB" w:themeColor="accent5" w:themeTint="99"/>
        </w:rPr>
        <w:fldChar w:fldCharType="begin"/>
      </w:r>
      <w:r w:rsidR="00853A3B">
        <w:rPr>
          <w:rFonts w:ascii="Calibri" w:hAnsi="Calibri" w:cs="Calibri"/>
          <w:color w:val="D86DCB" w:themeColor="accent5" w:themeTint="99"/>
        </w:rPr>
        <w:instrText xml:space="preserve"> ADDIN ZOTERO_ITEM CSL_CITATION {"citationID":"f2hafRUm","properties":{"formattedCitation":"(5,19)","plainCitation":"(5,19)","noteIndex":0},"citationItems":[{"id":5389,"uris":["http://zotero.org/users/3782744/items/CV6ESY35"],"itemData":{"id":5389,"type":"webpage","container-title":"European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HealthCare"}],"accessed":{"date-parts":[["2025",8,13]]}},"label":"page"},{"id":3849,"uris":["http://zotero.org/users/3782744/items/YEX7EJ6K"],"itemData":{"id":3849,"type":"article-journal","abstract":"Over the past 30 years, it has been demonstrated that removal of white blood cells from blood components is effective in preventing some adverse reactions such as febrile non-haemolytic transfusion reactions, immunisation against human leucocyte antigens and human platelet antigens, and transmission of cytomegalovirus. In this review we discuss indications for leucoreduction and classify them into three categories: evidence-based indications for which the clinical efficacy is proven, indications based on the analysis of observational clinical studies with very consistent results and indications for which the clinical efficacy is partial or unproven.","container-title":"Blood Transfusion","DOI":"10.2450/2015.0154-15","ISSN":"1723-2007","issue":"3","journalAbbreviation":"Blood Transfus","note":"PMID: 26710353\nPMCID: PMC4918553","page":"214-227","source":"PubMed Central","title":"Leucoreduction of blood components: an effective way to increase blood safety?","title-short":"Leucoreduction of blood components","volume":"14","author":[{"family":"Bianchi","given":"Maria"},{"family":"Vaglio","given":"Stefania"},{"family":"Pupella","given":"Simonetta"},{"family":"Marano","given":"Giuseppe"},{"family":"Facco","given":"Giuseppina"},{"family":"Liumbruno","given":"Giancarlo M."},{"family":"Grazzini","given":"Giuliano"}],"issued":{"date-parts":[["2016",5]]}},"label":"page"}],"schema":"https://github.com/citation-style-language/schema/raw/master/csl-citation.json"} </w:instrText>
      </w:r>
      <w:r w:rsidR="00853A3B">
        <w:rPr>
          <w:rFonts w:ascii="Calibri" w:hAnsi="Calibri" w:cs="Calibri"/>
          <w:color w:val="D86DCB" w:themeColor="accent5" w:themeTint="99"/>
        </w:rPr>
        <w:fldChar w:fldCharType="separate"/>
      </w:r>
      <w:r w:rsidR="00853A3B" w:rsidRPr="00853A3B">
        <w:rPr>
          <w:rFonts w:ascii="Calibri" w:hAnsi="Calibri" w:cs="Calibri"/>
        </w:rPr>
        <w:t>(5,19)</w:t>
      </w:r>
      <w:r w:rsidR="00853A3B">
        <w:rPr>
          <w:rFonts w:ascii="Calibri" w:hAnsi="Calibri" w:cs="Calibri"/>
          <w:color w:val="D86DCB" w:themeColor="accent5" w:themeTint="99"/>
        </w:rPr>
        <w:fldChar w:fldCharType="end"/>
      </w:r>
      <w:r w:rsidR="0054200E" w:rsidRPr="00337A80">
        <w:rPr>
          <w:rFonts w:ascii="Calibri" w:hAnsi="Calibri" w:cs="Calibri"/>
          <w:color w:val="D86DCB" w:themeColor="accent5" w:themeTint="99"/>
        </w:rPr>
        <w:t xml:space="preserve">. </w:t>
      </w:r>
      <w:r w:rsidR="0054200E" w:rsidRPr="00DA2A2F">
        <w:rPr>
          <w:rFonts w:ascii="Calibri" w:hAnsi="Calibri" w:cs="Calibri"/>
        </w:rPr>
        <w:t>Beyond enhancing safety, standardisation fosters reproducibility and inter-laboratory comparability, both of which are essential for maintaining product quality across blood establishments, facilitating multicentre clinical studies, and enabling harmonised transfusion practices</w:t>
      </w:r>
      <w:r w:rsidR="00E75298" w:rsidRPr="00DA2A2F">
        <w:rPr>
          <w:rFonts w:ascii="Calibri" w:hAnsi="Calibri" w:cs="Calibri"/>
        </w:rPr>
        <w:t>.</w:t>
      </w:r>
      <w:r w:rsidR="0054200E" w:rsidRPr="00337A80">
        <w:rPr>
          <w:rFonts w:ascii="Calibri" w:hAnsi="Calibri" w:cs="Calibri"/>
          <w:color w:val="D86DCB" w:themeColor="accent5" w:themeTint="99"/>
        </w:rPr>
        <w:t xml:space="preserve"> </w:t>
      </w:r>
      <w:r w:rsidR="0054200E" w:rsidRPr="00DA2A2F">
        <w:rPr>
          <w:rFonts w:ascii="Calibri" w:hAnsi="Calibri" w:cs="Calibri"/>
        </w:rPr>
        <w:t>Importantly, aligning holding times with routine monitoring of leucocyte counts, coagulation factor activity, and total protein integrity provides a more comprehensive quality assurance framework—one that integrates immunological safety with biochemical functionality</w:t>
      </w:r>
      <w:r w:rsidR="00E75298">
        <w:rPr>
          <w:rFonts w:ascii="Calibri" w:hAnsi="Calibri" w:cs="Calibri"/>
          <w:color w:val="D86DCB" w:themeColor="accent5" w:themeTint="99"/>
        </w:rPr>
        <w:fldChar w:fldCharType="begin"/>
      </w:r>
      <w:r>
        <w:rPr>
          <w:rFonts w:ascii="Calibri" w:hAnsi="Calibri" w:cs="Calibri"/>
          <w:color w:val="D86DCB" w:themeColor="accent5" w:themeTint="99"/>
        </w:rPr>
        <w:instrText xml:space="preserve"> ADDIN ZOTERO_ITEM CSL_CITATION {"citationID":"G6HHPLjs","properties":{"formattedCitation":"(5,20,24)","plainCitation":"(5,20,24)","noteIndex":0},"citationItems":[{"id":5389,"uris":["http://zotero.org/users/3782744/items/CV6ESY35"],"itemData":{"id":5389,"type":"webpage","container-title":"European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HealthCare"}],"accessed":{"date-parts":[["2025",8,13]]}},"label":"page"},{"id":5409,"uris":["http://zotero.org/users/3782744/items/SI65ZQ2T"],"itemData":{"id":5409,"type":"article-journal","abstract":"Processing and storage of blood components: strategies to improve patient safety Ruby NI Pietersz, Pieter F van der Meer Department of Product and Process Development, Sanquin Blood Bank, Amsterdam, the Netherlands  Abstract: This review focuses on safety improvements of blood processing of various blood components and their respective storage. A solid quality system to ensure safe and effective blood components that are traceable from a donor to the patient is the foundation of a safe blood supply. To stimulate and guide this process, National Health Authorities should develop guidelines for blood transfusion, including establishment of a quality system. Blood component therapy enabled treatment of patients with blood constituents that were missing, only thus preventing reactions to unnecessarily transfused elements. Leukoreduction prevents many adverse reactions and also improves the quality of the blood components during storage. The safety of red cells and platelets is improved by replacement of plasma with preservative solutions, which results in the reduction of isoantibodies and plasma proteins. Automation of blood collection, separation of whole blood into components, and consecutive processing steps, such as preparation of platelet concentrate from multiple donations, improves the consistent composition of blood components. Physicians can better prescribe the number of transfusions and therewith reduce donor exposure and/or the risk of pathogen transmission. Pathogen reduction in cellular blood components is the latest development in improving the safety of blood transfusions for patients.  Keywords: blood components, red cell concentrates, platelet concentrates, plasma, transfusion, safety&amp;nbsp;","container-title":"International Journal of Clinical Transfusion Medicine","DOI":"10.2147/IJCTM.S40038","journalAbbreviation":"IJCTM","language":"English","note":"publisher: Dove Press","page":"55-64","source":"www.dovepress.com","title":"Processing and storage of blood components: strategies to improve patient safety","title-short":"Processing and storage of blood components","volume":"3","author":[{"family":"Pietersz","given":"Ruby NI"},{"family":"Meer","given":"Pieter F.","dropping-particle":"van der"}],"issued":{"date-parts":[["2015",8,11]]}},"label":"page"},{"id":5475,"uris":["http://zotero.org/users/3782744/items/GQF5A9FA"],"itemData":{"id":5475,"type":"article-journal","abstract":"Traditionally, leukoreduction and selection of blood products from seronegative donors have been used as alternative strategies to reduce the risk of transfusion-transmitted cytomegalovirus infections (TT-CMV) in atrisk patients. After the introduction of universal leukoreduction for red blood cell and platelet concentrates in Germany, a controversy evolved as to whether the additional selection of blood products from seronegative donors would reduce or even increase the risk of TT-CMV. This review summarizes the current knowledge about CMV infections in blood donors and the implications of this information on the effect of potential transfusion strategies. Even though there are conflicting data about the incidence of TT-CMV remaining after the introduction of leukodepletion, it has been clearly shown that both prevalence and concentration of CMV DNA in peripheral blood are highest in newly seropositive donors. Therefore, avoidance of blood products from these donors is the most important goal of any transfusion strategy. This goal can be reached by: i) selection of blood products from seronegative donors, ii) provision of CMV DNA-negative blood products, or iii) provision of blood from long-term seropositive donors. In cases of suspected TT-CMV, all implicated donors should be investigated carefully to gather further knowledge on which donors confer the lowest risk for TT-CMV.","container-title":"Transfusion Medicine and Hemotherapy","DOI":"10.1159/000357102","ISSN":"1660-3796","issue":"1","journalAbbreviation":"Transfus Med Hemother","note":"PMID: 24659946\nPMCID: PMC3949610","page":"40-44","source":"PubMed Central","title":"Prevention of Transfusion-Transmitted Cytomegalovirus Infections: Which is the Optimal Strategy?","title-short":"Prevention of Transfusion-Transmitted Cytomegalovirus Infections","volume":"41","author":[{"family":"Ziemann","given":"Malte"},{"family":"Hennig","given":"Holger"}],"issued":{"date-parts":[["2014",2]]}},"label":"page"}],"schema":"https://github.com/citation-style-language/schema/raw/master/csl-citation.json"} </w:instrText>
      </w:r>
      <w:r w:rsidR="00E75298">
        <w:rPr>
          <w:rFonts w:ascii="Calibri" w:hAnsi="Calibri" w:cs="Calibri"/>
          <w:color w:val="D86DCB" w:themeColor="accent5" w:themeTint="99"/>
        </w:rPr>
        <w:fldChar w:fldCharType="separate"/>
      </w:r>
      <w:r w:rsidRPr="00744521">
        <w:rPr>
          <w:rFonts w:ascii="Calibri" w:hAnsi="Calibri" w:cs="Calibri"/>
        </w:rPr>
        <w:t>(5,20,24)</w:t>
      </w:r>
      <w:r w:rsidR="00E75298">
        <w:rPr>
          <w:rFonts w:ascii="Calibri" w:hAnsi="Calibri" w:cs="Calibri"/>
          <w:color w:val="D86DCB" w:themeColor="accent5" w:themeTint="99"/>
        </w:rPr>
        <w:fldChar w:fldCharType="end"/>
      </w:r>
      <w:r w:rsidRPr="00DA2A2F">
        <w:rPr>
          <w:rFonts w:ascii="Calibri" w:hAnsi="Calibri" w:cs="Calibri"/>
        </w:rPr>
        <w:t xml:space="preserve">. </w:t>
      </w:r>
      <w:r w:rsidR="0054200E" w:rsidRPr="00DA2A2F">
        <w:rPr>
          <w:rFonts w:ascii="Calibri" w:hAnsi="Calibri" w:cs="Calibri"/>
        </w:rPr>
        <w:t>Such an approach not only safeguards patients from adverse reactions but also preserves the haemostatic potency of plasma, ensuring that transfusions deliver consistent and effective therapeutic benefit across diverse clinical settings. Moving forward, the integration of holding time optimisation into regulatory guidance by bodies such as the EDQM</w:t>
      </w:r>
      <w:r w:rsidR="003C1445" w:rsidRPr="00DA2A2F">
        <w:rPr>
          <w:rFonts w:ascii="Calibri" w:hAnsi="Calibri" w:cs="Calibri"/>
        </w:rPr>
        <w:t xml:space="preserve"> </w:t>
      </w:r>
      <w:r w:rsidR="0054200E" w:rsidRPr="00DA2A2F">
        <w:rPr>
          <w:rFonts w:ascii="Calibri" w:hAnsi="Calibri" w:cs="Calibri"/>
        </w:rPr>
        <w:t>could provide an internationally harmonised standard, strengthening both patient safety and global transfusion practice</w:t>
      </w:r>
      <w:r w:rsidR="00853A3B" w:rsidRPr="00DA2A2F">
        <w:rPr>
          <w:rFonts w:ascii="Calibri" w:hAnsi="Calibri" w:cs="Calibri"/>
        </w:rPr>
        <w:t>.</w:t>
      </w:r>
    </w:p>
    <w:p w14:paraId="688E9830"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3.2 Plasma Proteins and Coagulation Factors</w:t>
      </w:r>
    </w:p>
    <w:p w14:paraId="2651417F" w14:textId="758F0DA7" w:rsidR="00850CB2" w:rsidRPr="00850CB2" w:rsidRDefault="00850CB2" w:rsidP="00850CB2">
      <w:pPr>
        <w:spacing w:before="240" w:line="240" w:lineRule="auto"/>
        <w:jc w:val="both"/>
        <w:rPr>
          <w:rFonts w:ascii="Calibri" w:hAnsi="Calibri" w:cs="Calibri"/>
        </w:rPr>
      </w:pPr>
      <w:r w:rsidRPr="00850CB2">
        <w:rPr>
          <w:rFonts w:ascii="Calibri" w:hAnsi="Calibri" w:cs="Calibri"/>
        </w:rPr>
        <w:t xml:space="preserve">Plasma transfusions rely primarily on the delivery of functional proteins, particularly coagulation factors, to achieve therapeutic outcomes. </w:t>
      </w:r>
      <w:r w:rsidR="00801D5B" w:rsidRPr="00801D5B">
        <w:rPr>
          <w:rFonts w:ascii="Calibri" w:hAnsi="Calibri" w:cs="Calibri"/>
        </w:rPr>
        <w:t>The EDQM specifies ≥50 g/mL as the minimum acceptable concentration for total protein</w:t>
      </w:r>
      <w:r w:rsidR="00801D5B" w:rsidRPr="00A268CE">
        <w:rPr>
          <w:rFonts w:ascii="Calibri" w:hAnsi="Calibri" w:cs="Calibri"/>
        </w:rPr>
        <w:fldChar w:fldCharType="begin"/>
      </w:r>
      <w:r w:rsidR="00801D5B" w:rsidRPr="00A268CE">
        <w:rPr>
          <w:rFonts w:ascii="Calibri" w:hAnsi="Calibri" w:cs="Calibri"/>
        </w:rPr>
        <w:instrText xml:space="preserve"> ADDIN ZOTERO_ITEM CSL_CITATION {"citationID":"bog8Tz9B","properties":{"formattedCitation":"(5)","plainCitation":"(5)","noteIndex":0},"citationItems":[{"id":5389,"uris":["http://zotero.org/users/3782744/items/CV6ESY35"],"itemData":{"id":5389,"type":"webpage","container-title":"European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801D5B" w:rsidRPr="00A268CE">
        <w:rPr>
          <w:rFonts w:ascii="Calibri" w:hAnsi="Calibri" w:cs="Calibri"/>
        </w:rPr>
        <w:fldChar w:fldCharType="separate"/>
      </w:r>
      <w:r w:rsidR="00801D5B" w:rsidRPr="00A268CE">
        <w:rPr>
          <w:rFonts w:ascii="Calibri" w:hAnsi="Calibri" w:cs="Calibri"/>
        </w:rPr>
        <w:t>(5)</w:t>
      </w:r>
      <w:r w:rsidR="00801D5B" w:rsidRPr="00A268CE">
        <w:rPr>
          <w:rFonts w:ascii="Calibri" w:hAnsi="Calibri" w:cs="Calibri"/>
        </w:rPr>
        <w:fldChar w:fldCharType="end"/>
      </w:r>
      <w:r w:rsidR="00801D5B">
        <w:rPr>
          <w:rFonts w:ascii="Calibri" w:hAnsi="Calibri" w:cs="Calibri"/>
        </w:rPr>
        <w:t xml:space="preserve">. </w:t>
      </w:r>
      <w:r w:rsidRPr="00850CB2">
        <w:rPr>
          <w:rFonts w:ascii="Calibri" w:hAnsi="Calibri" w:cs="Calibri"/>
        </w:rPr>
        <w:t xml:space="preserve">Coagulation factors such as FV, FVIII, fibrinogen, and protein C are essential for </w:t>
      </w:r>
      <w:r w:rsidR="007E61C7" w:rsidRPr="00850CB2">
        <w:rPr>
          <w:rFonts w:ascii="Calibri" w:hAnsi="Calibri" w:cs="Calibri"/>
        </w:rPr>
        <w:t>haemostasis</w:t>
      </w:r>
      <w:r w:rsidRPr="00850CB2">
        <w:rPr>
          <w:rFonts w:ascii="Calibri" w:hAnsi="Calibri" w:cs="Calibri"/>
        </w:rPr>
        <w:t>, and their activity must be preserved throughout the collection, holding, and processing stages to ensure clinical efficacy</w:t>
      </w:r>
      <w:r w:rsidR="00B56F2E">
        <w:rPr>
          <w:rFonts w:ascii="Calibri" w:hAnsi="Calibri" w:cs="Calibri"/>
        </w:rPr>
        <w:fldChar w:fldCharType="begin"/>
      </w:r>
      <w:r w:rsidR="00B65495">
        <w:rPr>
          <w:rFonts w:ascii="Calibri" w:hAnsi="Calibri" w:cs="Calibri"/>
        </w:rPr>
        <w:instrText xml:space="preserve"> ADDIN ZOTERO_ITEM CSL_CITATION {"citationID":"TNYauXej","properties":{"formattedCitation":"(16,17)","plainCitation":"(16,17)","noteIndex":0},"citationItems":[{"id":5374,"uris":["http://zotero.org/users/3782744/items/4E3TH5Y9"],"itemData":{"id":5374,"type":"article-journal","abstract":"BACKGROUND: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Andrew"},{"family":"Holme","given":"Stein"}],"issued":{"date-parts":[["2011",1]]}},"label":"page"}],"schema":"https://github.com/citation-style-language/schema/raw/master/csl-citation.json"} </w:instrText>
      </w:r>
      <w:r w:rsidR="00B56F2E">
        <w:rPr>
          <w:rFonts w:ascii="Calibri" w:hAnsi="Calibri" w:cs="Calibri"/>
        </w:rPr>
        <w:fldChar w:fldCharType="separate"/>
      </w:r>
      <w:r w:rsidR="00B65495" w:rsidRPr="00B65495">
        <w:rPr>
          <w:rFonts w:ascii="Calibri" w:hAnsi="Calibri" w:cs="Calibri"/>
        </w:rPr>
        <w:t>(16,17)</w:t>
      </w:r>
      <w:r w:rsidR="00B56F2E">
        <w:rPr>
          <w:rFonts w:ascii="Calibri" w:hAnsi="Calibri" w:cs="Calibri"/>
        </w:rPr>
        <w:fldChar w:fldCharType="end"/>
      </w:r>
      <w:r w:rsidRPr="00850CB2">
        <w:rPr>
          <w:rFonts w:ascii="Calibri" w:hAnsi="Calibri" w:cs="Calibri"/>
        </w:rPr>
        <w:t>.</w:t>
      </w:r>
    </w:p>
    <w:p w14:paraId="164A608F" w14:textId="43D2C730" w:rsidR="00850CB2" w:rsidRPr="00850CB2" w:rsidRDefault="00850CB2" w:rsidP="00850CB2">
      <w:pPr>
        <w:spacing w:before="240" w:line="240" w:lineRule="auto"/>
        <w:jc w:val="both"/>
        <w:rPr>
          <w:rFonts w:ascii="Calibri" w:hAnsi="Calibri" w:cs="Calibri"/>
        </w:rPr>
      </w:pPr>
      <w:r w:rsidRPr="00850CB2">
        <w:rPr>
          <w:rFonts w:ascii="Calibri" w:hAnsi="Calibri" w:cs="Calibri"/>
        </w:rPr>
        <w:t>Multiple studies have investigated the impact of holding time on coagulation factor activity. FVIII is consistently reported as the most labile factor, with activity reductions ranging from 15% to 28% after a 24-hour holding period</w:t>
      </w:r>
      <w:r w:rsidR="00834EF5">
        <w:rPr>
          <w:rFonts w:ascii="Calibri" w:hAnsi="Calibri" w:cs="Calibri"/>
        </w:rPr>
        <w:fldChar w:fldCharType="begin"/>
      </w:r>
      <w:r w:rsidR="00744521">
        <w:rPr>
          <w:rFonts w:ascii="Calibri" w:hAnsi="Calibri" w:cs="Calibri"/>
        </w:rPr>
        <w:instrText xml:space="preserve"> ADDIN ZOTERO_ITEM CSL_CITATION {"citationID":"VVnfpObP","properties":{"formattedCitation":"(6,16,17,25)","plainCitation":"(6,16,17,25)","noteIndex":0},"citationItems":[{"id":5374,"uris":["http://zotero.org/users/3782744/items/4E3TH5Y9"],"itemData":{"id":5374,"type":"article-journal","abstract":"BACKGROUND: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V."}],"issued":{"date-parts":[["2010",2]]}},"label":"page"},{"id":5415,"uris":["http://zotero.org/users/3782744/items/2299JAR7"],"itemData":{"id":5415,"type":"article-journal","abstract":"BACKGROUND: The preparation of platelet (PLT) concentrates (PCs) from PLT-rich plasma (PRP) requires that whole blood (WB) be processed within 8 hours of collection. Increasing WB storage time to 24 hours would be logistically attractive. This study compares the in vitro quality of blood components prepared from WB stored for 8 and 24 hours at room temperature before processing with the PRP method.\nSTUDY DESIGN AND METHODS: WB units were collected from ABO-matched blood donors. To reduce individual variations, paired donations were drawn in parallel, pooled, and split back in the collection bag. One unit was held for 6 to 8 hours and the other for 22 to 24 hours at 20 to 24 degrees C. Prestorage leukoreduced components were prepared with the PRP as intermediate product and analyzed during storage.\nRESULTS: RBC units prepared after an 8- or 24-hour hold were comparable in terms of hemolysis, sodium, pH, and ATP levels. RBC 2,3- diphosphoglycerate (2,3-DPG) was significantly lower in RBCs prepared from 24-hour hold donations immediately after processing but not after 20 days of storage. Residual white blood cells were approximately fivefold higher (p &lt; 0.05) in 24-hour RBC units. For PCs, measurements for glucose, ATP, lactate, pH, extent of shape change, hypotonic shock response, and CD62p activation were similar. No differences were observed in the von Willebrand factor, factor (F)V, FVIII, and fibrinogen content of fresh-frozen plasma.\nCONCLUSIONS: The decrease in FVIII and RBC 2,3-DPG can be acceptable as a compromise to improve blood component logistics, but leukoreduction efficiency must be improved before considering the adoption of an overnight storage of WB before PRP processing.","container-title":"Transfusion","DOI":"10.1111/j.1537-2995.2006.00894.x","ISSN":"0041-1132","issue":"8","journalAbbreviation":"Transfusion","language":"eng","note":"PMID: 16934062","page":"1292-1299","source":"PubMed","title":"Characterization of blood components prepared from whole-blood donations after a 24-hour hold with the platelet-rich plasma method","volume":"46","author":[{"family":"Thibault","given":"Louis"},{"family":"Beauséjour","given":"Annie"},{"family":"Grandmont","given":"Marie Joëlle","non-dropping-particle":"de"},{"family":"Lemieux","given":"Réal"},{"family":"Leblanc","given":"Jean-François"}],"issued":{"date-parts":[["2006",8]]}},"label":"page"}],"schema":"https://github.com/citation-style-language/schema/raw/master/csl-citation.json"} </w:instrText>
      </w:r>
      <w:r w:rsidR="00834EF5">
        <w:rPr>
          <w:rFonts w:ascii="Calibri" w:hAnsi="Calibri" w:cs="Calibri"/>
        </w:rPr>
        <w:fldChar w:fldCharType="separate"/>
      </w:r>
      <w:r w:rsidR="00744521" w:rsidRPr="00744521">
        <w:rPr>
          <w:rFonts w:ascii="Calibri" w:hAnsi="Calibri" w:cs="Calibri"/>
        </w:rPr>
        <w:t>(6,16,17,25)</w:t>
      </w:r>
      <w:r w:rsidR="00834EF5">
        <w:rPr>
          <w:rFonts w:ascii="Calibri" w:hAnsi="Calibri" w:cs="Calibri"/>
        </w:rPr>
        <w:fldChar w:fldCharType="end"/>
      </w:r>
      <w:r w:rsidRPr="00850CB2">
        <w:rPr>
          <w:rFonts w:ascii="Calibri" w:hAnsi="Calibri" w:cs="Calibri"/>
        </w:rPr>
        <w:t xml:space="preserve">. </w:t>
      </w:r>
      <w:r w:rsidR="00834EF5">
        <w:rPr>
          <w:rFonts w:ascii="Calibri" w:hAnsi="Calibri" w:cs="Calibri"/>
        </w:rPr>
        <w:t xml:space="preserve">FV </w:t>
      </w:r>
      <w:r w:rsidRPr="00850CB2">
        <w:rPr>
          <w:rFonts w:ascii="Calibri" w:hAnsi="Calibri" w:cs="Calibri"/>
        </w:rPr>
        <w:t xml:space="preserve">and fibrinogen show more moderate declines, while protein C is relatively stable over typical holding periods. Importantly, these decreases </w:t>
      </w:r>
      <w:r w:rsidR="00A67DAE">
        <w:rPr>
          <w:rFonts w:ascii="Calibri" w:hAnsi="Calibri" w:cs="Calibri"/>
        </w:rPr>
        <w:t xml:space="preserve">in FVIII </w:t>
      </w:r>
      <w:r w:rsidRPr="00850CB2">
        <w:rPr>
          <w:rFonts w:ascii="Calibri" w:hAnsi="Calibri" w:cs="Calibri"/>
        </w:rPr>
        <w:t>generally remain within EDQM quality standards (≥0.7 IU/mL in at least 75% of units)</w:t>
      </w:r>
      <w:r w:rsidR="00A67DAE">
        <w:rPr>
          <w:rFonts w:ascii="Calibri" w:hAnsi="Calibri" w:cs="Calibri"/>
        </w:rPr>
        <w:fldChar w:fldCharType="begin"/>
      </w:r>
      <w:r w:rsidR="00F671DC">
        <w:rPr>
          <w:rFonts w:ascii="Calibri" w:hAnsi="Calibri" w:cs="Calibri"/>
        </w:rPr>
        <w:instrText xml:space="preserve"> ADDIN ZOTERO_ITEM CSL_CITATION {"citationID":"JpLg7CzV","properties":{"formattedCitation":"(5)","plainCitation":"(5)","noteIndex":0},"citationItems":[{"id":5389,"uris":["http://zotero.org/users/3782744/items/CV6ESY35"],"itemData":{"id":5389,"type":"webpage","container-title":"European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A67DAE">
        <w:rPr>
          <w:rFonts w:ascii="Calibri" w:hAnsi="Calibri" w:cs="Calibri"/>
        </w:rPr>
        <w:fldChar w:fldCharType="separate"/>
      </w:r>
      <w:r w:rsidR="00F671DC" w:rsidRPr="00F671DC">
        <w:rPr>
          <w:rFonts w:ascii="Calibri" w:hAnsi="Calibri" w:cs="Calibri"/>
        </w:rPr>
        <w:t>(5)</w:t>
      </w:r>
      <w:r w:rsidR="00A67DAE">
        <w:rPr>
          <w:rFonts w:ascii="Calibri" w:hAnsi="Calibri" w:cs="Calibri"/>
        </w:rPr>
        <w:fldChar w:fldCharType="end"/>
      </w:r>
      <w:r w:rsidRPr="00850CB2">
        <w:rPr>
          <w:rFonts w:ascii="Calibri" w:hAnsi="Calibri" w:cs="Calibri"/>
        </w:rPr>
        <w:t xml:space="preserve">, and FFP is rarely used as a primary treatment for FVIII deficiency due to the availability of concentrated recombinant or plasma-derived </w:t>
      </w:r>
      <w:r w:rsidR="00E14E41">
        <w:rPr>
          <w:rFonts w:ascii="Calibri" w:hAnsi="Calibri" w:cs="Calibri"/>
        </w:rPr>
        <w:t>F</w:t>
      </w:r>
      <w:r w:rsidRPr="00850CB2">
        <w:rPr>
          <w:rFonts w:ascii="Calibri" w:hAnsi="Calibri" w:cs="Calibri"/>
        </w:rPr>
        <w:t>VIII products.</w:t>
      </w:r>
    </w:p>
    <w:p w14:paraId="3E670300" w14:textId="730C2A8E" w:rsidR="00850CB2" w:rsidRPr="00850CB2" w:rsidRDefault="00850CB2" w:rsidP="00850CB2">
      <w:pPr>
        <w:spacing w:before="240" w:line="240" w:lineRule="auto"/>
        <w:jc w:val="both"/>
        <w:rPr>
          <w:rFonts w:ascii="Calibri" w:hAnsi="Calibri" w:cs="Calibri"/>
        </w:rPr>
      </w:pPr>
      <w:r w:rsidRPr="00850CB2">
        <w:rPr>
          <w:rFonts w:ascii="Calibri" w:hAnsi="Calibri" w:cs="Calibri"/>
        </w:rPr>
        <w:t>The influence of holding time on total plasma protein concentration remains less well characterized. Enroth et al.</w:t>
      </w:r>
      <w:r w:rsidR="00A67DAE">
        <w:rPr>
          <w:rFonts w:ascii="Calibri" w:hAnsi="Calibri" w:cs="Calibri"/>
        </w:rPr>
        <w:fldChar w:fldCharType="begin"/>
      </w:r>
      <w:r w:rsidR="00323FC1">
        <w:rPr>
          <w:rFonts w:ascii="Calibri" w:hAnsi="Calibri" w:cs="Calibri"/>
        </w:rPr>
        <w:instrText xml:space="preserve"> ADDIN ZOTERO_ITEM CSL_CITATION {"citationID":"66Meab9k","properties":{"formattedCitation":"(4)","plainCitation":"(4)","noteIndex":0},"citationItems":[{"id":5384,"uris":["http://zotero.org/users/3782744/items/GF7FEKUZ"],"itemData":{"id":5384,"type":"article-journal","abstract":"The quality of clinical biobank samples is crucial to their value for life sciences research. A number of factors related to the collection and storage of samples may affect the biomolecular composition. We have studied the effect of long-time freezer storage, chronological age at sampling, season and month of the year and on the abundance levels of 108 proteins in 380 plasma samples collected from 106 Swedish women. Storage time affected 18 proteins and explained 4.8-34.9% of the observed variance. Chronological age at sample collection after adjustment for storage-time affected 70 proteins and explained 1.1-33.5% of the variance. Seasonal variation had an effect on 15 proteins and month (number of sun hours) affected 36 proteins and explained up to 4.5% of the variance after adjustment for storage-time and age. The results show that freezer storage time and collection date (month and season) exerted similar effect sizes as age on the protein abundance levels. This implies that information on the sample handling history, in particular storage time, should be regarded as equally prominent covariates as age or gender and need to be included in epidemiological studies involving protein levels.","container-title":"EBioMedicine","DOI":"10.1016/j.ebiom.2016.08.038","ISSN":"2352-3964","journalAbbreviation":"EBioMedicine","language":"eng","note":"PMID: 27596149\nPMCID: PMC5078583","page":"309-314","source":"PubMed","title":"Effects of Long-Term Storage Time and Original Sampling Month on Biobank Plasma Protein Concentrations","volume":"12","author":[{"family":"Enroth","given":"Stefan"},{"family":"Hallmans","given":"Göran"},{"family":"Grankvist","given":"Kjell"},{"family":"Gyllensten","given":"Ulf"}],"issued":{"date-parts":[["2016",10]]}}}],"schema":"https://github.com/citation-style-language/schema/raw/master/csl-citation.json"} </w:instrText>
      </w:r>
      <w:r w:rsidR="00A67DAE">
        <w:rPr>
          <w:rFonts w:ascii="Calibri" w:hAnsi="Calibri" w:cs="Calibri"/>
        </w:rPr>
        <w:fldChar w:fldCharType="separate"/>
      </w:r>
      <w:r w:rsidR="00323FC1" w:rsidRPr="00323FC1">
        <w:rPr>
          <w:rFonts w:ascii="Calibri" w:hAnsi="Calibri" w:cs="Calibri"/>
        </w:rPr>
        <w:t>(4)</w:t>
      </w:r>
      <w:r w:rsidR="00A67DAE">
        <w:rPr>
          <w:rFonts w:ascii="Calibri" w:hAnsi="Calibri" w:cs="Calibri"/>
        </w:rPr>
        <w:fldChar w:fldCharType="end"/>
      </w:r>
      <w:r w:rsidRPr="00850CB2">
        <w:rPr>
          <w:rFonts w:ascii="Calibri" w:hAnsi="Calibri" w:cs="Calibri"/>
        </w:rPr>
        <w:t xml:space="preserve"> used proteomic profiling to demonstrate that extended storage can cause subtle, yet measurable, reductions in specific plasma proteins involved in coagulation, immune response, and transport functions. These protein changes suggest potential losses in functional activity, which may not be fully captured by standard coagulation assays. While prolonged holding can facilitate natural leucocyte degradation and reduce immunological risk, it simultaneously increases the likelihood of coagulation factor and protein loss, potentially necessitating additional transfusions to achieve h</w:t>
      </w:r>
      <w:r w:rsidR="00B54693">
        <w:rPr>
          <w:rFonts w:ascii="Calibri" w:hAnsi="Calibri" w:cs="Calibri"/>
        </w:rPr>
        <w:t>a</w:t>
      </w:r>
      <w:r w:rsidRPr="00850CB2">
        <w:rPr>
          <w:rFonts w:ascii="Calibri" w:hAnsi="Calibri" w:cs="Calibri"/>
        </w:rPr>
        <w:t>emostatic goals</w:t>
      </w:r>
      <w:r w:rsidR="00B54693">
        <w:rPr>
          <w:rFonts w:ascii="Calibri" w:hAnsi="Calibri" w:cs="Calibri"/>
        </w:rPr>
        <w:fldChar w:fldCharType="begin"/>
      </w:r>
      <w:r w:rsidR="00744521">
        <w:rPr>
          <w:rFonts w:ascii="Calibri" w:hAnsi="Calibri" w:cs="Calibri"/>
        </w:rPr>
        <w:instrText xml:space="preserve"> ADDIN ZOTERO_ITEM CSL_CITATION {"citationID":"HBk7TJoh","properties":{"formattedCitation":"(26)","plainCitation":"(26)","noteIndex":0},"citationItems":[{"id":5381,"uris":["http://zotero.org/users/3782744/items/YZPV2G7B"],"itemData":{"id":5381,"type":"article-journal","abstract":"BACKGROUND: Microparticles (MPs) are small phospholipid-containing vesicles that have procoagulant properties. MPs are thought to contribute to the hemostatic potential of plasma. This study investigated the effects of whole blood (WB) hold time and leukoreduction (LR) on the MP profile and hemostatic potential of fresh-frozen plasma (FFP).\nSTUDY DESIGN AND METHODS: WB units (n=12) from healthy donors were divided into two pairs and each pair was held at 20 to 24°C for 6 or 24 hours. At the designated hold time, 1 unit from the pair was LR while the other unit was not LR. FFP was prepared by standard procedures, aliquoted, and frozen. The MP content was determined by flow cytometry using an absolute count assay and specific labels for red blood cells (CD235a), platelets (CD41), and phosphatidylserine (PS). The hemostatic potential was determined by thrombelastography (TEG) and coagulation factor assays.\nRESULTS: Compared to non-LR-FFP, LR-FFP had significantly lower numbers of MPs, particularly CD41+ MPs and PS-positive MPs (p&lt;0.03). LR-FFP, compared to non-LR-FFP, had a slower clot formation time (p=0.002); lower clot strength (p&lt;0.001); and lower Factor (F)VIII, FXII, and fibrinogen levels (p&lt;0.01). With longer WB hold time, the TEG profile was unchanged, although FVIII levels were decreased as expected (p&lt;0.01). On average FFP units met quality requirements.\nCONCLUSION: LR of WB resulted in lower hemostatic potential of FFP in conjunction with depletion of MPs and coagulation factors. Longer WB hold time did not significantly affect the hemostatic potential of FFP as measured by TEG. Acceptable hemostatic quality was maintained for all FFP processing conditions studied.","container-title":"Transfusion","DOI":"10.1111/trf.12602","ISSN":"1537-2995","issue":"8","journalAbbreviation":"Transfusion","language":"eng","note":"PMID: 24635475\nPMCID: PMC4164532","page":"1935-1944","source":"PubMed","title":"Microparticle profile and procoagulant activity of fresh-frozen plasma is affected by whole blood leukoreduction rather than 24-hour room temperature hold","volume":"54","author":[{"family":"Chan","given":"Kasey Sze-Kei"},{"family":"Sparrow","given":"Rosemary L."}],"issued":{"date-parts":[["2014",8]]}}}],"schema":"https://github.com/citation-style-language/schema/raw/master/csl-citation.json"} </w:instrText>
      </w:r>
      <w:r w:rsidR="00B54693">
        <w:rPr>
          <w:rFonts w:ascii="Calibri" w:hAnsi="Calibri" w:cs="Calibri"/>
        </w:rPr>
        <w:fldChar w:fldCharType="separate"/>
      </w:r>
      <w:r w:rsidR="00744521" w:rsidRPr="00744521">
        <w:rPr>
          <w:rFonts w:ascii="Calibri" w:hAnsi="Calibri" w:cs="Calibri"/>
        </w:rPr>
        <w:t>(26)</w:t>
      </w:r>
      <w:r w:rsidR="00B54693">
        <w:rPr>
          <w:rFonts w:ascii="Calibri" w:hAnsi="Calibri" w:cs="Calibri"/>
        </w:rPr>
        <w:fldChar w:fldCharType="end"/>
      </w:r>
      <w:r w:rsidRPr="00850CB2">
        <w:rPr>
          <w:rFonts w:ascii="Calibri" w:hAnsi="Calibri" w:cs="Calibri"/>
        </w:rPr>
        <w:t>.</w:t>
      </w:r>
    </w:p>
    <w:p w14:paraId="10EAE18F" w14:textId="34A8CB12" w:rsidR="00850CB2" w:rsidRPr="00850CB2" w:rsidRDefault="00850CB2" w:rsidP="00850CB2">
      <w:pPr>
        <w:spacing w:before="240" w:line="240" w:lineRule="auto"/>
        <w:jc w:val="both"/>
        <w:rPr>
          <w:rFonts w:ascii="Calibri" w:hAnsi="Calibri" w:cs="Calibri"/>
        </w:rPr>
      </w:pPr>
      <w:r w:rsidRPr="00850CB2">
        <w:rPr>
          <w:rFonts w:ascii="Calibri" w:hAnsi="Calibri" w:cs="Calibri"/>
        </w:rPr>
        <w:lastRenderedPageBreak/>
        <w:t>Processing steps—including holding time, ambient or refrigerated temperature control, and plasma separation techniques—further modulate protein integrity. For example, holding whole blood at room temperature can accelerate FVIII degradation, whereas rapid cooling and early separation help preserve labile factors</w:t>
      </w:r>
      <w:r w:rsidR="00B54693">
        <w:rPr>
          <w:rFonts w:ascii="Calibri" w:hAnsi="Calibri" w:cs="Calibri"/>
        </w:rPr>
        <w:fldChar w:fldCharType="begin"/>
      </w:r>
      <w:r w:rsidR="00F13DAB">
        <w:rPr>
          <w:rFonts w:ascii="Calibri" w:hAnsi="Calibri" w:cs="Calibri"/>
        </w:rPr>
        <w:instrText xml:space="preserve"> ADDIN ZOTERO_ITEM CSL_CITATION {"citationID":"ewTCMbHT","properties":{"formattedCitation":"(1)","plainCitation":"(1)","noteIndex":0},"citationItems":[{"id":5396,"uris":["http://zotero.org/users/3782744/items/RUZUJTX2"],"itemData":{"id":5396,"type":"chapter","abstract":"Fresh-frozen plasma (FFP) administration is indicated for patients with coagulation factor deficiencies, abnormal coagulation test results, and active bleeding. This intervention is also used to optimize coagulation parameters in patients with coagulation abnormalities about to undergo an invasive procedure or reverse warfarin's effects in the presence of active bleeding or insufficient response to vitamin K before a planned procedure. Additional indications include thrombotic thrombocytopenic purpura and congenital or acquired factor deficiencies when no alternative therapy is available.","call-number":"NBK513347","container-title":"StatPearls","event-place":"Treasure Island (FL)","language":"eng","license":"Copyright © 2025, StatPearls Publishing LLC.","note":"PMID: 30020719","publisher":"StatPearls Publishing","publisher-place":"Treasure Island (FL)","source":"PubMed","title":"Fresh Frozen Plasma (FFP)","URL":"http://www.ncbi.nlm.nih.gov/books/NBK513347/","author":[{"family":"Khawar","given":"Hina"},{"family":"Patel","given":"Preeti"},{"family":"Stevens","given":"Joshua B."},{"family":"Guzman","given":"Nilmarie"}],"accessed":{"date-parts":[["2025",8,13]]},"issued":{"date-parts":[["2025"]]}}}],"schema":"https://github.com/citation-style-language/schema/raw/master/csl-citation.json"} </w:instrText>
      </w:r>
      <w:r w:rsidR="00B54693">
        <w:rPr>
          <w:rFonts w:ascii="Calibri" w:hAnsi="Calibri" w:cs="Calibri"/>
        </w:rPr>
        <w:fldChar w:fldCharType="separate"/>
      </w:r>
      <w:r w:rsidR="00F13DAB" w:rsidRPr="00F13DAB">
        <w:rPr>
          <w:rFonts w:ascii="Calibri" w:hAnsi="Calibri" w:cs="Calibri"/>
        </w:rPr>
        <w:t>(1)</w:t>
      </w:r>
      <w:r w:rsidR="00B54693">
        <w:rPr>
          <w:rFonts w:ascii="Calibri" w:hAnsi="Calibri" w:cs="Calibri"/>
        </w:rPr>
        <w:fldChar w:fldCharType="end"/>
      </w:r>
      <w:r w:rsidRPr="00850CB2">
        <w:rPr>
          <w:rFonts w:ascii="Calibri" w:hAnsi="Calibri" w:cs="Calibri"/>
        </w:rPr>
        <w:t>. These considerations are compounded by the limited post-thaw window for FFP use: once thawed, plasma must be transfused within six hours under controlled temperatures to avoid further declines in labile factors such as FV and FVIII, emphasizing the need for optimal pre-freezing handling to maximize therapeutic potential.</w:t>
      </w:r>
    </w:p>
    <w:p w14:paraId="75ACF4E7" w14:textId="33991815" w:rsidR="00775BE3" w:rsidRDefault="00E87314" w:rsidP="00BC17B5">
      <w:pPr>
        <w:spacing w:before="240" w:line="240" w:lineRule="auto"/>
        <w:jc w:val="both"/>
        <w:rPr>
          <w:rFonts w:ascii="Calibri" w:hAnsi="Calibri" w:cs="Calibri"/>
        </w:rPr>
      </w:pPr>
      <w:r w:rsidRPr="00E87314">
        <w:rPr>
          <w:rFonts w:ascii="Calibri" w:hAnsi="Calibri" w:cs="Calibri"/>
        </w:rPr>
        <w:t xml:space="preserve">Overall, these findings highlight that carefully optimizing FFP processing is essential to maximize its clinical utility. Beyond coagulation factors, subtle changes in other plasma constituents—such as complement proteins, immunoglobulins, and albumin-bound molecules—can influence vascular stability, immune function, and patient hemodynamics. Maintaining this delicate equilibrium also supports the predictability of transfusion outcomes, reducing variability in clotting responses and the likelihood of unexpected adverse events. Furthermore, standardized approaches to holding time and handling can improve operational efficiency within blood establishments, ensuring that plasma units consistently meet quality specifications while preserving therapeutic potency. Integrating routine monitoring of protein integrity </w:t>
      </w:r>
      <w:r w:rsidR="00956060">
        <w:rPr>
          <w:rFonts w:ascii="Calibri" w:hAnsi="Calibri" w:cs="Calibri"/>
        </w:rPr>
        <w:t>(</w:t>
      </w:r>
      <w:r w:rsidRPr="00E87314">
        <w:rPr>
          <w:rFonts w:ascii="Calibri" w:hAnsi="Calibri" w:cs="Calibri"/>
        </w:rPr>
        <w:t>and leucocyte activity</w:t>
      </w:r>
      <w:r w:rsidR="00956060">
        <w:rPr>
          <w:rFonts w:ascii="Calibri" w:hAnsi="Calibri" w:cs="Calibri"/>
        </w:rPr>
        <w:t>)</w:t>
      </w:r>
      <w:r w:rsidRPr="00E87314">
        <w:rPr>
          <w:rFonts w:ascii="Calibri" w:hAnsi="Calibri" w:cs="Calibri"/>
        </w:rPr>
        <w:t xml:space="preserve"> may offer additional safeguards, allowing early identification of units at risk of reduced efficacy and enabling targeted interventions to optimi</w:t>
      </w:r>
      <w:r w:rsidR="00226F29">
        <w:rPr>
          <w:rFonts w:ascii="Calibri" w:hAnsi="Calibri" w:cs="Calibri"/>
        </w:rPr>
        <w:t>s</w:t>
      </w:r>
      <w:r w:rsidRPr="00E87314">
        <w:rPr>
          <w:rFonts w:ascii="Calibri" w:hAnsi="Calibri" w:cs="Calibri"/>
        </w:rPr>
        <w:t>e transfusion effectiveness.</w:t>
      </w:r>
    </w:p>
    <w:p w14:paraId="7141F99A" w14:textId="5BBCD10E"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4. Balancing Holding Time for Safety and Efficacy</w:t>
      </w:r>
    </w:p>
    <w:p w14:paraId="406E7706" w14:textId="595BC3DA" w:rsidR="00793A09" w:rsidRPr="00793A09" w:rsidRDefault="00793A09" w:rsidP="00793A09">
      <w:pPr>
        <w:spacing w:before="240" w:line="240" w:lineRule="auto"/>
        <w:jc w:val="both"/>
        <w:rPr>
          <w:rFonts w:ascii="Calibri" w:hAnsi="Calibri" w:cs="Calibri"/>
        </w:rPr>
      </w:pPr>
      <w:r w:rsidRPr="00793A09">
        <w:rPr>
          <w:rFonts w:ascii="Calibri" w:hAnsi="Calibri" w:cs="Calibri"/>
        </w:rPr>
        <w:t xml:space="preserve">Observations from the local blood establishment highlight the tension between residual leucocyte reduction and plasma protein preservation. Plasma processed after minimal holding times (~3 hours) may occasionally exceed safe leucocyte thresholds, whereas longer holding periods (~overnight) appear to consistently reduce leucocyte </w:t>
      </w:r>
      <w:r w:rsidR="0016023D">
        <w:rPr>
          <w:rFonts w:ascii="Calibri" w:hAnsi="Calibri" w:cs="Calibri"/>
        </w:rPr>
        <w:t xml:space="preserve">counts and </w:t>
      </w:r>
      <w:r w:rsidRPr="00793A09">
        <w:rPr>
          <w:rFonts w:ascii="Calibri" w:hAnsi="Calibri" w:cs="Calibri"/>
        </w:rPr>
        <w:t xml:space="preserve">activity. However, extending </w:t>
      </w:r>
      <w:r w:rsidR="0016023D">
        <w:rPr>
          <w:rFonts w:ascii="Calibri" w:hAnsi="Calibri" w:cs="Calibri"/>
        </w:rPr>
        <w:t xml:space="preserve">the </w:t>
      </w:r>
      <w:r w:rsidRPr="00793A09">
        <w:rPr>
          <w:rFonts w:ascii="Calibri" w:hAnsi="Calibri" w:cs="Calibri"/>
        </w:rPr>
        <w:t>holding time can exacerbate coagulation factor degradation, particularly FVIII, and may subtly affect other labile proteins such as FV, Protein C, and Protein S, as well as albumin-bound factors that contribute to plasma’s oncotic pressure, transport capacity, and buffering potential. Loss of these proteins</w:t>
      </w:r>
      <w:r w:rsidR="00B20F0F">
        <w:rPr>
          <w:rFonts w:ascii="Calibri" w:hAnsi="Calibri" w:cs="Calibri"/>
        </w:rPr>
        <w:t xml:space="preserve"> </w:t>
      </w:r>
      <w:r w:rsidRPr="00793A09">
        <w:rPr>
          <w:rFonts w:ascii="Calibri" w:hAnsi="Calibri" w:cs="Calibri"/>
        </w:rPr>
        <w:t>can have cumulative clinical implications, particularly in critically ill patients undergoing massive transfusion protocols, trauma resuscitation, or treatment for complex coagulopathies where even marginal reductions in factor activity can affect haemostatic stability.</w:t>
      </w:r>
    </w:p>
    <w:p w14:paraId="68D8F9BE" w14:textId="5176E51F" w:rsidR="00793A09" w:rsidRPr="00793A09" w:rsidRDefault="00793A09" w:rsidP="00793A09">
      <w:pPr>
        <w:spacing w:before="240" w:line="240" w:lineRule="auto"/>
        <w:jc w:val="both"/>
        <w:rPr>
          <w:rFonts w:ascii="Calibri" w:hAnsi="Calibri" w:cs="Calibri"/>
        </w:rPr>
      </w:pPr>
      <w:r w:rsidRPr="00793A09">
        <w:rPr>
          <w:rFonts w:ascii="Calibri" w:hAnsi="Calibri" w:cs="Calibri"/>
        </w:rPr>
        <w:t>Temperature control is a critical modulating factor. EDQM guidelines</w:t>
      </w:r>
      <w:r w:rsidR="005B72AB">
        <w:rPr>
          <w:rFonts w:ascii="Calibri" w:hAnsi="Calibri" w:cs="Calibri"/>
        </w:rPr>
        <w:fldChar w:fldCharType="begin"/>
      </w:r>
      <w:r w:rsidR="00F671DC">
        <w:rPr>
          <w:rFonts w:ascii="Calibri" w:hAnsi="Calibri" w:cs="Calibri"/>
        </w:rPr>
        <w:instrText xml:space="preserve"> ADDIN ZOTERO_ITEM CSL_CITATION {"citationID":"WSmq06rU","properties":{"formattedCitation":"(5)","plainCitation":"(5)","noteIndex":0},"citationItems":[{"id":5389,"uris":["http://zotero.org/users/3782744/items/CV6ESY35"],"itemData":{"id":5389,"type":"webpage","container-title":"European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5B72AB">
        <w:rPr>
          <w:rFonts w:ascii="Calibri" w:hAnsi="Calibri" w:cs="Calibri"/>
        </w:rPr>
        <w:fldChar w:fldCharType="separate"/>
      </w:r>
      <w:r w:rsidR="00F671DC" w:rsidRPr="00F671DC">
        <w:rPr>
          <w:rFonts w:ascii="Calibri" w:hAnsi="Calibri" w:cs="Calibri"/>
        </w:rPr>
        <w:t>(5)</w:t>
      </w:r>
      <w:r w:rsidR="005B72AB">
        <w:rPr>
          <w:rFonts w:ascii="Calibri" w:hAnsi="Calibri" w:cs="Calibri"/>
        </w:rPr>
        <w:fldChar w:fldCharType="end"/>
      </w:r>
      <w:r w:rsidRPr="00793A09">
        <w:rPr>
          <w:rFonts w:ascii="Calibri" w:hAnsi="Calibri" w:cs="Calibri"/>
        </w:rPr>
        <w:t xml:space="preserve"> recommend holding whole blood at room temperature (20–24°C) for up to 24 hours prior to separation, with subsequent freezing</w:t>
      </w:r>
      <w:r w:rsidR="0016023D">
        <w:rPr>
          <w:rFonts w:ascii="Calibri" w:hAnsi="Calibri" w:cs="Calibri"/>
        </w:rPr>
        <w:t xml:space="preserve"> of plasma</w:t>
      </w:r>
      <w:r w:rsidRPr="00793A09">
        <w:rPr>
          <w:rFonts w:ascii="Calibri" w:hAnsi="Calibri" w:cs="Calibri"/>
        </w:rPr>
        <w:t xml:space="preserve"> at –25°C or lower to preserve coagulation factor activity. Some establishments employ staged cooling strategies—such as controlled refrigeration at 4–6°C after an initial ambient phase—to slow enzymatic degradation while preserving protein function. However, such strategies must be carefully validated, as premature cooling can preserve leucocyte viability for longer, potentially delaying the natural degradation processes that help lower leucocyte counts. Moreover, suboptimal temperature regulation during this period can allow selective survival or proliferation of cold-tolerant microorganisms, underscoring the need for stringent microbial risk management.</w:t>
      </w:r>
    </w:p>
    <w:p w14:paraId="66F1E2AF" w14:textId="3AE8E21C" w:rsidR="00793A09" w:rsidRDefault="00793A09" w:rsidP="00793A09">
      <w:pPr>
        <w:spacing w:before="240" w:line="240" w:lineRule="auto"/>
        <w:jc w:val="both"/>
        <w:rPr>
          <w:rFonts w:ascii="Calibri" w:hAnsi="Calibri" w:cs="Calibri"/>
        </w:rPr>
      </w:pPr>
      <w:r w:rsidRPr="00793A09">
        <w:rPr>
          <w:rFonts w:ascii="Calibri" w:hAnsi="Calibri" w:cs="Calibri"/>
        </w:rPr>
        <w:t>The kinetics of protein degradation during the holding period is shaped by a complex interplay of biochemical and cellular processes. Proteolytic enzymes released from leucocytes, platelets, and damaged erythrocytes—such as serine proteases, metalloproteinases, and phospholipases—can gradually cleave or modify coagulation proteins and other plasma constituents, affecting both clotting and immunomodulatory capacity. Concurrently, changes in pH due to ongoing cellular metabolism can destabilise protein tertiary structures, leading to conformational changes or partial denaturation. These alterations may not always be reflected in standard clotting assays but could have downstream consequences for patients with specific factor deficiencies or compromised immune status</w:t>
      </w:r>
      <w:r w:rsidR="00452F0F">
        <w:rPr>
          <w:rFonts w:ascii="Calibri" w:hAnsi="Calibri" w:cs="Calibri"/>
        </w:rPr>
        <w:fldChar w:fldCharType="begin"/>
      </w:r>
      <w:r w:rsidR="00744521">
        <w:rPr>
          <w:rFonts w:ascii="Calibri" w:hAnsi="Calibri" w:cs="Calibri"/>
        </w:rPr>
        <w:instrText xml:space="preserve"> ADDIN ZOTERO_ITEM CSL_CITATION {"citationID":"93FGegsd","properties":{"formattedCitation":"(27)","plainCitation":"(27)","noteIndex":0},"citationItems":[{"id":5423,"uris":["http://zotero.org/users/3782744/items/UAFJ9KYY"],"itemData":{"id":5423,"type":"article-journal","abstract":"BACKGROUND: The successful application of-omics technologies in the discovery of novel biomarkers and targets of therapeutic interventions is facilitated by large collections of well curated clinical samples stored in bio banks. Mining the plasma proteome holds promise to improve our understanding of disease mechanisms and may represent a source of biomarkers. However, a major confounding factor for defining disease-specific proteomic signatures in plasma is the variation in handling and processing of clinical samples leading to protein degradation. To address this, we defined a plasma proteolytic signature (degradome) reflecting pre-analytical variability in blood samples that remained at ambient temperature for different time periods after collection and prior to processing.\nMETHODS: We obtained EDTA blood samples from five healthy volunteers (n = 5), and blood tubes remained at ambient temperature for 30 min, 8, 24 and 48 h prior to centrifugation and isolation of plasma. Naturally occurred peptides derived from plasma samples were compared by label-free quantitative LC-MS/MS. To profile protein degradation, we analysed pooled plasma samples at T = 30 min and 48 h using PROTOMAP analysis. The proteolytic pattern of selected protein candidates was further validated by immunoblotting.\nRESULTS: A total of 820 plasma proteins were surveyed by PROTOMAP, and for 4 % of these, marked degradation was observed. We show distinct proteolysis patterns for talin-1, coagulation factor XI, complement protein C1r, C3, C4 and thrombospondin, and several proteins including S100A8, A9, annexin A1, profiling-1 and platelet glycoprotein V are enriched after 48 h blood storage at ambient temperature. In particular, thrombospondin protein levels increased after 8 h and proteolytic fragments appeared after 24 h storage time.\nCONCLUSIONS: The overall impact of blood storage at ambient temperature for variable times on the plasma proteome and degradome is relatively minor, but in some cases can cause a potential bias in identifying and assigning relevant proteomic markers. The observed effects on the plasma proteome and degradome are predominantly triggered by limited leucocyte and platelet cell activation due to blood handling and storage. The baseline plasma degradome signature presented here can help filtering candidate protein markers relevant for clinical biomarker studies.","container-title":"Clinical Proteomics","DOI":"10.1186/s12014-016-9126-9","ISSN":"1542-6416","journalAbbreviation":"Clin Proteomics","language":"eng","note":"PMID: 27708557\nPMCID: PMC5037888","page":"26","source":"PubMed","title":"Plasma degradome affected by variable storage of human blood","volume":"13","author":[{"family":"Kaisar","given":"Maria"},{"family":"Dullemen","given":"Leon F. A.","non-dropping-particle":"van"},{"family":"Thézénas","given":"Marie-Laëtitia"},{"family":"Zeeshan Akhtar","given":"M."},{"family":"Huang","given":"Honglei"},{"family":"Rendel","given":"Sandrine"},{"family":"Charles","given":"Philip D."},{"family":"Fischer","given":"Roman"},{"family":"Ploeg","given":"Rutger J."},{"family":"Kessler","given":"Benedikt M."}],"issued":{"date-parts":[["2016"]]}}}],"schema":"https://github.com/citation-style-language/schema/raw/master/csl-citation.json"} </w:instrText>
      </w:r>
      <w:r w:rsidR="00452F0F">
        <w:rPr>
          <w:rFonts w:ascii="Calibri" w:hAnsi="Calibri" w:cs="Calibri"/>
        </w:rPr>
        <w:fldChar w:fldCharType="separate"/>
      </w:r>
      <w:r w:rsidR="00744521" w:rsidRPr="00744521">
        <w:rPr>
          <w:rFonts w:ascii="Calibri" w:hAnsi="Calibri" w:cs="Calibri"/>
        </w:rPr>
        <w:t>(27)</w:t>
      </w:r>
      <w:r w:rsidR="00452F0F">
        <w:rPr>
          <w:rFonts w:ascii="Calibri" w:hAnsi="Calibri" w:cs="Calibri"/>
        </w:rPr>
        <w:fldChar w:fldCharType="end"/>
      </w:r>
      <w:r w:rsidRPr="00793A09">
        <w:rPr>
          <w:rFonts w:ascii="Calibri" w:hAnsi="Calibri" w:cs="Calibri"/>
        </w:rPr>
        <w:t>.</w:t>
      </w:r>
    </w:p>
    <w:p w14:paraId="13276C45" w14:textId="43FF2C75" w:rsidR="00620824" w:rsidRPr="00620824" w:rsidRDefault="00620824" w:rsidP="00620824">
      <w:pPr>
        <w:spacing w:before="240" w:line="240" w:lineRule="auto"/>
        <w:jc w:val="both"/>
        <w:rPr>
          <w:rFonts w:ascii="Calibri" w:hAnsi="Calibri" w:cs="Calibri"/>
        </w:rPr>
      </w:pPr>
      <w:r w:rsidRPr="00620824">
        <w:rPr>
          <w:rFonts w:ascii="Calibri" w:hAnsi="Calibri" w:cs="Calibri"/>
        </w:rPr>
        <w:lastRenderedPageBreak/>
        <w:t xml:space="preserve">Ultimately, operational decisions regarding FFP processing must carefully balance the immunological and inflammatory risks posed by residual leucocytes against the potential loss of haemostatic potency associated with prolonged storage. In well-equipped facilities, rapid component separation combined with </w:t>
      </w:r>
      <w:r w:rsidR="00AA7D1C" w:rsidRPr="00620824">
        <w:rPr>
          <w:rFonts w:ascii="Calibri" w:hAnsi="Calibri" w:cs="Calibri"/>
        </w:rPr>
        <w:t>leucoreduction</w:t>
      </w:r>
      <w:r w:rsidR="00AA7D1C">
        <w:rPr>
          <w:rFonts w:ascii="Calibri" w:hAnsi="Calibri" w:cs="Calibri"/>
        </w:rPr>
        <w:t xml:space="preserve"> </w:t>
      </w:r>
      <w:r w:rsidRPr="00620824">
        <w:rPr>
          <w:rFonts w:ascii="Calibri" w:hAnsi="Calibri" w:cs="Calibri"/>
        </w:rPr>
        <w:t>or filtration can maximise both safety and preservation of labile proteins, ensuring that coagulation factor activity remains within therapeutic ranges. For centres with limited processing capacity, overnight holding may still be feasible, provided that rigorous quality monitoring protocols are in place. These should include periodic assays of coagulation factors, total protein concentration, functional clotting capacity, and, where possible, evaluation of additional labile proteins that contribute to haemostasis and plasma oncotic pressure.</w:t>
      </w:r>
    </w:p>
    <w:p w14:paraId="6A7156B9" w14:textId="77777777" w:rsidR="00620824" w:rsidRPr="00620824" w:rsidRDefault="00620824" w:rsidP="00620824">
      <w:pPr>
        <w:spacing w:before="240" w:line="240" w:lineRule="auto"/>
        <w:jc w:val="both"/>
        <w:rPr>
          <w:rFonts w:ascii="Calibri" w:hAnsi="Calibri" w:cs="Calibri"/>
        </w:rPr>
      </w:pPr>
      <w:r w:rsidRPr="00620824">
        <w:rPr>
          <w:rFonts w:ascii="Calibri" w:hAnsi="Calibri" w:cs="Calibri"/>
        </w:rPr>
        <w:t>Beyond leucocyte-mediated inflammation and standard coagulation factor degradation, other variables can meaningfully influence transfusion outcomes. Stability of labile proteins such as fibrinogen, protein C, and protein S is particularly critical in patients requiring massive transfusion or with complex coagulopathies. Similarly, the maintenance of plasma oncotic pressure is essential to support intravascular volume and tissue perfusion, particularly in critically ill patients. Advanced facilities may implement real-time monitoring systems that track temperature fluctuations, pH shifts, and subtle biochemical markers of protein denaturation or degradation during the holding period, enabling dynamic adjustments to processing conditions. In contrast, resource-limited centres may adopt alternative operational strategies, such as staggered processing schedules, rotational thawing protocols, or batch testing of representative plasma units, to maintain consistent quality without overextending infrastructure.</w:t>
      </w:r>
    </w:p>
    <w:p w14:paraId="398B26BF" w14:textId="6E39D2E2" w:rsidR="003A78C7" w:rsidRPr="00AA7D1C" w:rsidRDefault="00381795" w:rsidP="003A78C7">
      <w:pPr>
        <w:spacing w:before="240" w:line="240" w:lineRule="auto"/>
        <w:jc w:val="both"/>
        <w:rPr>
          <w:rFonts w:ascii="Calibri" w:hAnsi="Calibri" w:cs="Calibri"/>
        </w:rPr>
      </w:pPr>
      <w:r w:rsidRPr="00AA7D1C">
        <w:rPr>
          <w:rFonts w:ascii="Calibri" w:hAnsi="Calibri" w:cs="Calibri"/>
        </w:rPr>
        <w:t>Integrating these operational strategies with longitudinal clinical data—including bleeding complications, transfusion reactions, and coagulation profiles—will be essential for developing evidence-based, patient-centred guidelines that optimise the clinical use of FFP transfusions.</w:t>
      </w:r>
    </w:p>
    <w:p w14:paraId="338726D9" w14:textId="6A6A2780"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5. Future Directions and Research Considerations</w:t>
      </w:r>
    </w:p>
    <w:p w14:paraId="62EA1943" w14:textId="4B987BEA" w:rsidR="00BC17B5" w:rsidRPr="00BC17B5" w:rsidRDefault="00BC17B5" w:rsidP="00BC17B5">
      <w:pPr>
        <w:spacing w:before="240" w:line="240" w:lineRule="auto"/>
        <w:jc w:val="both"/>
        <w:rPr>
          <w:rFonts w:ascii="Calibri" w:hAnsi="Calibri" w:cs="Calibri"/>
        </w:rPr>
      </w:pPr>
      <w:r w:rsidRPr="00BC17B5">
        <w:rPr>
          <w:rFonts w:ascii="Calibri" w:hAnsi="Calibri" w:cs="Calibri"/>
        </w:rPr>
        <w:t xml:space="preserve">Despite decades of clinical and laboratory experience with </w:t>
      </w:r>
      <w:r w:rsidR="00B641D8">
        <w:rPr>
          <w:rFonts w:ascii="Calibri" w:hAnsi="Calibri" w:cs="Calibri"/>
        </w:rPr>
        <w:t>FFP</w:t>
      </w:r>
      <w:r w:rsidRPr="00BC17B5">
        <w:rPr>
          <w:rFonts w:ascii="Calibri" w:hAnsi="Calibri" w:cs="Calibri"/>
        </w:rPr>
        <w:t>, significant knowledge gaps remain regarding the optimal holding time for plasma units, particularly in unfiltered or partially leucoreduced products. While regulatory guidelines provide broad ranges for acceptable holding times (e.g., up to 24 hours at room temperature before plasma separation), the precise impact of these time intervals on residual leucocyte activity, protein stability, and transfusion efficacy is not fully understood. Variability in donor factors, processing techniques, and environmental conditions can all influence outcomes, highlighting the need for targeted, high-quality research.</w:t>
      </w:r>
    </w:p>
    <w:p w14:paraId="49D815A7" w14:textId="77777777" w:rsidR="00BC17B5" w:rsidRPr="00BC17B5" w:rsidRDefault="00BC17B5" w:rsidP="00BC17B5">
      <w:pPr>
        <w:spacing w:before="240" w:line="240" w:lineRule="auto"/>
        <w:jc w:val="both"/>
        <w:rPr>
          <w:rFonts w:ascii="Calibri" w:hAnsi="Calibri" w:cs="Calibri"/>
        </w:rPr>
      </w:pPr>
      <w:r w:rsidRPr="00BC17B5">
        <w:rPr>
          <w:rFonts w:ascii="Calibri" w:hAnsi="Calibri" w:cs="Calibri"/>
        </w:rPr>
        <w:t>Future research could focus on several complementary areas:</w:t>
      </w:r>
    </w:p>
    <w:p w14:paraId="01C37A3E" w14:textId="6235F6FF"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Prospective trials comparing multiple holding times: Systematic, controlled studies could examine holding periods such as 3, 8, 12, and 24 hours to determine how these durations affect residual leucocyte counts, coagulation factor activity, and overall plasma quality. These trials would benefit from standardized laboratory assays, including flow cytometry for leucocyte enumeration and functional assays for labile factors such as FVIII and protein C, to capture subtle but clinically relevant changes. Additionally, </w:t>
      </w:r>
      <w:r w:rsidR="007E61C7" w:rsidRPr="00BC17B5">
        <w:rPr>
          <w:rFonts w:ascii="Calibri" w:hAnsi="Calibri" w:cs="Calibri"/>
        </w:rPr>
        <w:t>multicentre</w:t>
      </w:r>
      <w:r w:rsidRPr="00BC17B5">
        <w:rPr>
          <w:rFonts w:ascii="Calibri" w:hAnsi="Calibri" w:cs="Calibri"/>
        </w:rPr>
        <w:t xml:space="preserve"> studies could account for variability in blood establishment practices, providing generalizable data that inform evidence-based processing protocols.</w:t>
      </w:r>
    </w:p>
    <w:p w14:paraId="43355671" w14:textId="42923D1B"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Proteomic analysis of plasma: Traditional coagulation assays measure only a subset of plasma proteins and may fail to detect </w:t>
      </w:r>
      <w:r w:rsidR="00E253B2" w:rsidRPr="00BC17B5">
        <w:rPr>
          <w:rFonts w:ascii="Calibri" w:hAnsi="Calibri" w:cs="Calibri"/>
        </w:rPr>
        <w:t>small,</w:t>
      </w:r>
      <w:r w:rsidRPr="00BC17B5">
        <w:rPr>
          <w:rFonts w:ascii="Calibri" w:hAnsi="Calibri" w:cs="Calibri"/>
        </w:rPr>
        <w:t xml:space="preserve"> yet functionally significant alterations caused by extended holding times. Advanced proteomic techniques—including mass spectrometry and targeted protein quantification—could identify early changes in labile or low-abundance proteins, revealing degradation patterns that might impact haemostatic function. This </w:t>
      </w:r>
      <w:r w:rsidRPr="00BC17B5">
        <w:rPr>
          <w:rFonts w:ascii="Calibri" w:hAnsi="Calibri" w:cs="Calibri"/>
        </w:rPr>
        <w:lastRenderedPageBreak/>
        <w:t>approach could also uncover novel biomarkers predictive of plasma quality and transfusion efficacy, enhancing the precision of quality control measures.</w:t>
      </w:r>
    </w:p>
    <w:p w14:paraId="7042168D" w14:textId="09F3C42D" w:rsidR="00BC17B5" w:rsidRPr="00BC17B5" w:rsidRDefault="000A501D" w:rsidP="00BC17B5">
      <w:pPr>
        <w:numPr>
          <w:ilvl w:val="0"/>
          <w:numId w:val="1"/>
        </w:numPr>
        <w:spacing w:before="240" w:line="240" w:lineRule="auto"/>
        <w:jc w:val="both"/>
        <w:rPr>
          <w:rFonts w:ascii="Calibri" w:hAnsi="Calibri" w:cs="Calibri"/>
        </w:rPr>
      </w:pPr>
      <w:r w:rsidRPr="00BC17B5">
        <w:rPr>
          <w:rFonts w:ascii="Calibri" w:hAnsi="Calibri" w:cs="Calibri"/>
        </w:rPr>
        <w:t>Modelling</w:t>
      </w:r>
      <w:r w:rsidR="00BC17B5" w:rsidRPr="00BC17B5">
        <w:rPr>
          <w:rFonts w:ascii="Calibri" w:hAnsi="Calibri" w:cs="Calibri"/>
        </w:rPr>
        <w:t xml:space="preserve"> bacterial growth and leucocyte-mediated clearance: The interplay between residual leucocytes and potential bacterial contaminants is complex. Computational and experimental models could simulate bacterial proliferation, leucocyte-mediated pathogen clearance, and the impact of holding time under varying temperature conditions. Such models would provide predictive insights into transfusion safety risks, enabling blood establishments to optimize processing protocols and reduce the likelihood of transfusion-transmitted infections.</w:t>
      </w:r>
    </w:p>
    <w:p w14:paraId="3268067A" w14:textId="530D7B54"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Patient-centred outcomes: Laboratory data are valuable, but ultimately, clinical effectiveness is the most important metric. Research should evaluate whether variations in holding time translate into meaningful differences in patient outcomes, such as the incidence of bleeding complications, transfusion reactions, alloimmunization, or the need for repeated plasma transfusions. Such studies could also explore subpopulations at higher risk, including neonates, patients with massive </w:t>
      </w:r>
      <w:r w:rsidR="00674ABB" w:rsidRPr="00BC17B5">
        <w:rPr>
          <w:rFonts w:ascii="Calibri" w:hAnsi="Calibri" w:cs="Calibri"/>
        </w:rPr>
        <w:t>haemorrhage</w:t>
      </w:r>
      <w:r w:rsidRPr="00BC17B5">
        <w:rPr>
          <w:rFonts w:ascii="Calibri" w:hAnsi="Calibri" w:cs="Calibri"/>
        </w:rPr>
        <w:t>, or immunocompromised individuals, to determine whether holding time adjustments could improve therapeutic efficacy or safety in these vulnerable groups.</w:t>
      </w:r>
    </w:p>
    <w:p w14:paraId="5BCD357C" w14:textId="77777777"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Evaluation of emerging processing technologies: Novel techniques, such as pathogen inactivation (e.g., UV light or chemical treatments) and advanced leucoreduction filters, may mitigate the risks associated with extended holding times. Future studies should assess how these interventions influence coagulation factor stability, residual leucocyte activity, and plasma protein integrity, as well as their compatibility with existing storage and freezing protocols. Integrating these technologies with optimized holding times could enhance the overall safety, consistency, and therapeutic potential of FFP.</w:t>
      </w:r>
    </w:p>
    <w:p w14:paraId="6A89B49B" w14:textId="77777777" w:rsidR="00BC17B5" w:rsidRPr="00BC17B5" w:rsidRDefault="00BC17B5" w:rsidP="00BC17B5">
      <w:pPr>
        <w:spacing w:before="240" w:line="240" w:lineRule="auto"/>
        <w:jc w:val="both"/>
        <w:rPr>
          <w:rFonts w:ascii="Calibri" w:hAnsi="Calibri" w:cs="Calibri"/>
        </w:rPr>
      </w:pPr>
      <w:r w:rsidRPr="00BC17B5">
        <w:rPr>
          <w:rFonts w:ascii="Calibri" w:hAnsi="Calibri" w:cs="Calibri"/>
        </w:rPr>
        <w:t>Collectively, research in these areas could provide a comprehensive, evidence-based framework for plasma processing, helping blood establishments standardize holding times, reduce inter-unit variability, and improve transfusion safety. By systematically linking laboratory metrics with clinical outcomes, such studies would allow for more precise guidelines, balancing the competing priorities of residual leucocyte reduction and preservation of plasma protein function. In the long term, these insights could inform policy updates, regulatory standards, and best practices for the collection, processing, and transfusion of FFP worldwide, ensuring optimal patient care while maintaining operational efficiency in blood services.</w:t>
      </w:r>
    </w:p>
    <w:p w14:paraId="6F7B4C37"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6. Conclusion</w:t>
      </w:r>
    </w:p>
    <w:p w14:paraId="6827BFCE" w14:textId="77777777" w:rsidR="00BC17B5" w:rsidRPr="00BC17B5" w:rsidRDefault="00BC17B5" w:rsidP="00BC17B5">
      <w:pPr>
        <w:spacing w:before="240" w:line="240" w:lineRule="auto"/>
        <w:jc w:val="both"/>
        <w:rPr>
          <w:rFonts w:ascii="Calibri" w:hAnsi="Calibri" w:cs="Calibri"/>
        </w:rPr>
      </w:pPr>
      <w:r w:rsidRPr="00BC17B5">
        <w:rPr>
          <w:rFonts w:ascii="Calibri" w:hAnsi="Calibri" w:cs="Calibri"/>
        </w:rPr>
        <w:t>Holding time is a critical, yet often underappreciated, variable in the preparation of FFP. The period between whole blood collection and plasma separation has profound implications for both the safety and functional quality of the final product. Extended holding times allow residual leucocytes within the plasma to undergo natural degradation or inactivation, which can reduce the likelihood of immunological transfusion reactions. This immunomodulatory benefit is particularly relevant for unfiltered or partially leucoreduced plasma units, where intact leucocytes remain present.</w:t>
      </w:r>
    </w:p>
    <w:p w14:paraId="57F63C58" w14:textId="4D5A0F4C" w:rsidR="00BC17B5" w:rsidRPr="00BC17B5" w:rsidRDefault="00BC17B5" w:rsidP="00BC17B5">
      <w:pPr>
        <w:spacing w:before="240" w:line="240" w:lineRule="auto"/>
        <w:jc w:val="both"/>
        <w:rPr>
          <w:rFonts w:ascii="Calibri" w:hAnsi="Calibri" w:cs="Calibri"/>
        </w:rPr>
      </w:pPr>
      <w:r w:rsidRPr="00BC17B5">
        <w:rPr>
          <w:rFonts w:ascii="Calibri" w:hAnsi="Calibri" w:cs="Calibri"/>
        </w:rPr>
        <w:t xml:space="preserve">However, prolonged holding times are not without risk. Evidence indicates that labile coagulation factors—especially FVIII—experience gradual declines when plasma remains at ambient temperature prior to freezing. While the reduction in FVIII activity is generally not considered clinically significant for most transfusion indications, it may be relevant in patients who require high concentrations of labile factors, such as those with </w:t>
      </w:r>
      <w:r w:rsidR="00886F1B" w:rsidRPr="00BC17B5">
        <w:rPr>
          <w:rFonts w:ascii="Calibri" w:hAnsi="Calibri" w:cs="Calibri"/>
        </w:rPr>
        <w:t>haemophilia</w:t>
      </w:r>
      <w:r w:rsidRPr="00BC17B5">
        <w:rPr>
          <w:rFonts w:ascii="Calibri" w:hAnsi="Calibri" w:cs="Calibri"/>
        </w:rPr>
        <w:t xml:space="preserve"> A, severe trauma, or massive </w:t>
      </w:r>
      <w:r w:rsidR="00886F1B" w:rsidRPr="00BC17B5">
        <w:rPr>
          <w:rFonts w:ascii="Calibri" w:hAnsi="Calibri" w:cs="Calibri"/>
        </w:rPr>
        <w:t>haemorrhage</w:t>
      </w:r>
      <w:r w:rsidRPr="00BC17B5">
        <w:rPr>
          <w:rFonts w:ascii="Calibri" w:hAnsi="Calibri" w:cs="Calibri"/>
        </w:rPr>
        <w:t>. Other plasma proteins, including protein C, protein S, and fibrinogen, may also be affected by extended holding</w:t>
      </w:r>
      <w:r w:rsidR="00C932BB">
        <w:rPr>
          <w:rFonts w:ascii="Calibri" w:hAnsi="Calibri" w:cs="Calibri"/>
        </w:rPr>
        <w:t xml:space="preserve"> time</w:t>
      </w:r>
      <w:r w:rsidRPr="00BC17B5">
        <w:rPr>
          <w:rFonts w:ascii="Calibri" w:hAnsi="Calibri" w:cs="Calibri"/>
        </w:rPr>
        <w:t xml:space="preserve">, although to a lesser degree. The challenge lies in balancing leucocyte inactivation with </w:t>
      </w:r>
      <w:r w:rsidRPr="00BC17B5">
        <w:rPr>
          <w:rFonts w:ascii="Calibri" w:hAnsi="Calibri" w:cs="Calibri"/>
        </w:rPr>
        <w:lastRenderedPageBreak/>
        <w:t xml:space="preserve">protein preservation, since strategies that </w:t>
      </w:r>
      <w:r w:rsidR="007E61C7" w:rsidRPr="00BC17B5">
        <w:rPr>
          <w:rFonts w:ascii="Calibri" w:hAnsi="Calibri" w:cs="Calibri"/>
        </w:rPr>
        <w:t>favour</w:t>
      </w:r>
      <w:r w:rsidRPr="00BC17B5">
        <w:rPr>
          <w:rFonts w:ascii="Calibri" w:hAnsi="Calibri" w:cs="Calibri"/>
        </w:rPr>
        <w:t xml:space="preserve"> one outcome may inadvertently compromise the other.</w:t>
      </w:r>
    </w:p>
    <w:p w14:paraId="1C75D523" w14:textId="06243111" w:rsidR="00BC17B5" w:rsidRPr="00BC17B5" w:rsidRDefault="00BC17B5" w:rsidP="00BC17B5">
      <w:pPr>
        <w:spacing w:before="240" w:line="240" w:lineRule="auto"/>
        <w:jc w:val="both"/>
        <w:rPr>
          <w:rFonts w:ascii="Calibri" w:hAnsi="Calibri" w:cs="Calibri"/>
        </w:rPr>
      </w:pPr>
      <w:r w:rsidRPr="00BC17B5">
        <w:rPr>
          <w:rFonts w:ascii="Calibri" w:hAnsi="Calibri" w:cs="Calibri"/>
        </w:rPr>
        <w:t>Local blood establishments can optimi</w:t>
      </w:r>
      <w:r>
        <w:rPr>
          <w:rFonts w:ascii="Calibri" w:hAnsi="Calibri" w:cs="Calibri"/>
        </w:rPr>
        <w:t>s</w:t>
      </w:r>
      <w:r w:rsidRPr="00BC17B5">
        <w:rPr>
          <w:rFonts w:ascii="Calibri" w:hAnsi="Calibri" w:cs="Calibri"/>
        </w:rPr>
        <w:t xml:space="preserve">e outcomes by implementing standardized holding time protocols, tailored to their operational capabilities and patient populations. This may involve setting specific maximum and minimum holding durations, monitoring ambient temperatures during the holding period, and employing leucoreduction or filtration techniques where indicated. Regular quality control monitoring, including measurement of residual leucocyte counts and coagulation factor activity, is essential to ensure that FFP meets both </w:t>
      </w:r>
      <w:r w:rsidRPr="00403412">
        <w:rPr>
          <w:rFonts w:ascii="Calibri" w:hAnsi="Calibri" w:cs="Calibri"/>
        </w:rPr>
        <w:t>safety and therapeutic standards.</w:t>
      </w:r>
    </w:p>
    <w:p w14:paraId="6F7E5908" w14:textId="5FAB8ECB" w:rsidR="00BC17B5" w:rsidRDefault="00BC17B5" w:rsidP="00BC17B5">
      <w:pPr>
        <w:spacing w:before="240" w:line="240" w:lineRule="auto"/>
        <w:jc w:val="both"/>
        <w:rPr>
          <w:rFonts w:ascii="Calibri" w:hAnsi="Calibri" w:cs="Calibri"/>
        </w:rPr>
      </w:pPr>
      <w:r w:rsidRPr="00BC17B5">
        <w:rPr>
          <w:rFonts w:ascii="Calibri" w:hAnsi="Calibri" w:cs="Calibri"/>
        </w:rPr>
        <w:t>Future research will be crucial to refine these protocols. Systematic studies are needed to quantify the relationship between holding time, leucocyte degradation, and protein stability under varying processing conditions, including different temperatures and storage</w:t>
      </w:r>
      <w:r w:rsidR="00774AAC">
        <w:rPr>
          <w:rFonts w:ascii="Calibri" w:hAnsi="Calibri" w:cs="Calibri"/>
        </w:rPr>
        <w:t xml:space="preserve"> conditions. A</w:t>
      </w:r>
      <w:r w:rsidRPr="00BC17B5">
        <w:rPr>
          <w:rFonts w:ascii="Calibri" w:hAnsi="Calibri" w:cs="Calibri"/>
        </w:rPr>
        <w:t>dditionally, linking these laboratory metrics to clinical outcomes—such as bleeding complications, transfusion efficacy, and incidence of transfusion reactions—will help determine the optimal balance for patient care. Emerging technologies, such as proteomic profiling, pathogen inactivation, and advanced filtration, may further expand the ability to mitigate the risks of extended holding times while preserving the functional integrity of plasma.</w:t>
      </w:r>
    </w:p>
    <w:p w14:paraId="20F51DBA" w14:textId="10CCA61D" w:rsidR="00553E6A" w:rsidRPr="00AA7D1C" w:rsidRDefault="00553E6A" w:rsidP="00BC17B5">
      <w:pPr>
        <w:spacing w:before="240" w:line="240" w:lineRule="auto"/>
        <w:jc w:val="both"/>
        <w:rPr>
          <w:rFonts w:ascii="Calibri" w:hAnsi="Calibri" w:cs="Calibri"/>
        </w:rPr>
      </w:pPr>
      <w:r w:rsidRPr="00AA7D1C">
        <w:rPr>
          <w:rFonts w:ascii="Calibri" w:hAnsi="Calibri" w:cs="Calibri"/>
        </w:rPr>
        <w:t>Ultimately, optimising the interplay between holding time, leucocyte activity, and protein preservation will strengthen the clinical effectiveness of FFP transfusions. By integrating evidence-based protocols with advanced monitoring techniques, blood services can deliver plasma of consistent quality, improv</w:t>
      </w:r>
      <w:r w:rsidR="00774AAC">
        <w:rPr>
          <w:rFonts w:ascii="Calibri" w:hAnsi="Calibri" w:cs="Calibri"/>
        </w:rPr>
        <w:t xml:space="preserve">e </w:t>
      </w:r>
      <w:r w:rsidRPr="00AA7D1C">
        <w:rPr>
          <w:rFonts w:ascii="Calibri" w:hAnsi="Calibri" w:cs="Calibri"/>
        </w:rPr>
        <w:t>patient outcomes and maintaining confidence in transfusion practice.</w:t>
      </w:r>
    </w:p>
    <w:p w14:paraId="270A43B4" w14:textId="4C774BB4"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Consent</w:t>
      </w:r>
    </w:p>
    <w:p w14:paraId="765AAB66" w14:textId="013482ED" w:rsidR="00BC17B5" w:rsidRDefault="00BC17B5" w:rsidP="00BC17B5">
      <w:pPr>
        <w:spacing w:before="240" w:line="240" w:lineRule="auto"/>
        <w:jc w:val="both"/>
        <w:rPr>
          <w:rFonts w:ascii="Calibri" w:hAnsi="Calibri" w:cs="Calibri"/>
        </w:rPr>
      </w:pPr>
      <w:r>
        <w:rPr>
          <w:rFonts w:ascii="Calibri" w:hAnsi="Calibri" w:cs="Calibri"/>
        </w:rPr>
        <w:t>Not applicable</w:t>
      </w:r>
    </w:p>
    <w:p w14:paraId="571370F0" w14:textId="6F4B9C80"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Ethical Approval</w:t>
      </w:r>
    </w:p>
    <w:p w14:paraId="556C9AC1" w14:textId="0A6CF733" w:rsidR="00BC17B5" w:rsidRDefault="00BC17B5" w:rsidP="00BC17B5">
      <w:pPr>
        <w:spacing w:before="240" w:line="240" w:lineRule="auto"/>
        <w:jc w:val="both"/>
        <w:rPr>
          <w:rFonts w:ascii="Calibri" w:hAnsi="Calibri" w:cs="Calibri"/>
        </w:rPr>
      </w:pPr>
      <w:r>
        <w:rPr>
          <w:rFonts w:ascii="Calibri" w:hAnsi="Calibri" w:cs="Calibri"/>
        </w:rPr>
        <w:t>Not applicable</w:t>
      </w:r>
    </w:p>
    <w:p w14:paraId="60C61D66" w14:textId="7E6C7C04"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Competing interest</w:t>
      </w:r>
    </w:p>
    <w:p w14:paraId="5177BBEF" w14:textId="329966CD" w:rsidR="00BC17B5" w:rsidRDefault="00BC17B5" w:rsidP="00BC17B5">
      <w:pPr>
        <w:spacing w:before="240" w:line="240" w:lineRule="auto"/>
        <w:jc w:val="both"/>
        <w:rPr>
          <w:rFonts w:ascii="Calibri" w:hAnsi="Calibri" w:cs="Calibri"/>
        </w:rPr>
      </w:pPr>
      <w:r>
        <w:rPr>
          <w:rFonts w:ascii="Calibri" w:hAnsi="Calibri" w:cs="Calibri"/>
        </w:rPr>
        <w:t>Authors have declared that no competing interest exist</w:t>
      </w:r>
    </w:p>
    <w:p w14:paraId="7C24F54B" w14:textId="77777777" w:rsidR="000D1CCA" w:rsidRDefault="000D1CCA" w:rsidP="00BC17B5">
      <w:pPr>
        <w:spacing w:before="240" w:line="240" w:lineRule="auto"/>
        <w:jc w:val="both"/>
        <w:rPr>
          <w:rFonts w:ascii="Calibri" w:hAnsi="Calibri" w:cs="Calibri"/>
        </w:rPr>
      </w:pPr>
    </w:p>
    <w:p w14:paraId="2447A755" w14:textId="77777777" w:rsidR="000D1CCA" w:rsidRPr="000D1CCA" w:rsidRDefault="000D1CCA" w:rsidP="000D1CCA">
      <w:pPr>
        <w:spacing w:before="240" w:line="240" w:lineRule="auto"/>
        <w:jc w:val="both"/>
        <w:rPr>
          <w:rFonts w:ascii="Calibri" w:hAnsi="Calibri" w:cs="Calibri"/>
        </w:rPr>
      </w:pPr>
      <w:r w:rsidRPr="000D1CCA">
        <w:rPr>
          <w:rFonts w:ascii="Calibri" w:hAnsi="Calibri" w:cs="Calibri"/>
        </w:rPr>
        <w:t>COMPETING INTERESTS DISCLAIMER:</w:t>
      </w:r>
    </w:p>
    <w:p w14:paraId="1A6961BC" w14:textId="39B476B3" w:rsidR="000D1CCA" w:rsidRDefault="000D1CCA" w:rsidP="000D1CCA">
      <w:pPr>
        <w:spacing w:before="240" w:line="240" w:lineRule="auto"/>
        <w:jc w:val="both"/>
        <w:rPr>
          <w:rFonts w:ascii="Calibri" w:hAnsi="Calibri" w:cs="Calibri"/>
        </w:rPr>
      </w:pPr>
      <w:r w:rsidRPr="000D1CCA">
        <w:rPr>
          <w:rFonts w:ascii="Calibri" w:hAnsi="Calibri" w:cs="Calibri"/>
        </w:rPr>
        <w:t>Authors have declared that they have no known competing financial interests OR non-financial interests OR personal relationships that could have appeared to influence the work reported in this paper.</w:t>
      </w:r>
    </w:p>
    <w:p w14:paraId="5B3A86D2" w14:textId="72E9918E" w:rsidR="0080188E" w:rsidRDefault="0080188E" w:rsidP="000D1CCA">
      <w:pPr>
        <w:spacing w:before="240" w:line="240" w:lineRule="auto"/>
        <w:jc w:val="both"/>
        <w:rPr>
          <w:rFonts w:ascii="Calibri" w:hAnsi="Calibri" w:cs="Calibri"/>
        </w:rPr>
      </w:pPr>
    </w:p>
    <w:p w14:paraId="1301B52E" w14:textId="77777777" w:rsidR="0080188E" w:rsidRPr="00270720" w:rsidRDefault="0080188E" w:rsidP="0080188E">
      <w:pPr>
        <w:rPr>
          <w:highlight w:val="yellow"/>
        </w:rPr>
      </w:pPr>
      <w:r w:rsidRPr="00270720">
        <w:rPr>
          <w:highlight w:val="yellow"/>
        </w:rPr>
        <w:t>Disclaimer (Artificial intelligence)</w:t>
      </w:r>
    </w:p>
    <w:p w14:paraId="43906088" w14:textId="77777777" w:rsidR="0080188E" w:rsidRPr="00270720" w:rsidRDefault="0080188E" w:rsidP="0080188E">
      <w:pPr>
        <w:rPr>
          <w:highlight w:val="yellow"/>
        </w:rPr>
      </w:pPr>
    </w:p>
    <w:p w14:paraId="14D40B70" w14:textId="77777777" w:rsidR="0080188E" w:rsidRPr="00270720" w:rsidRDefault="0080188E" w:rsidP="0080188E">
      <w:pPr>
        <w:rPr>
          <w:highlight w:val="yellow"/>
        </w:rPr>
      </w:pPr>
      <w:r w:rsidRPr="00270720">
        <w:rPr>
          <w:highlight w:val="yellow"/>
        </w:rPr>
        <w:t xml:space="preserve">Option 1: </w:t>
      </w:r>
    </w:p>
    <w:p w14:paraId="25C78CD9" w14:textId="77777777" w:rsidR="0080188E" w:rsidRPr="00270720" w:rsidRDefault="0080188E" w:rsidP="0080188E">
      <w:pPr>
        <w:rPr>
          <w:highlight w:val="yellow"/>
        </w:rPr>
      </w:pPr>
    </w:p>
    <w:p w14:paraId="73732D68" w14:textId="77777777" w:rsidR="0080188E" w:rsidRPr="00270720" w:rsidRDefault="0080188E" w:rsidP="0080188E">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47ABDFE" w14:textId="77777777" w:rsidR="00BC17B5" w:rsidRPr="00BC17B5" w:rsidRDefault="00BC17B5" w:rsidP="00BC17B5">
      <w:pPr>
        <w:spacing w:line="240" w:lineRule="auto"/>
        <w:jc w:val="both"/>
        <w:rPr>
          <w:rFonts w:ascii="Calibri" w:hAnsi="Calibri" w:cs="Calibri"/>
          <w:b/>
          <w:bCs/>
        </w:rPr>
      </w:pPr>
      <w:bookmarkStart w:id="2" w:name="_Toc198372527"/>
      <w:bookmarkStart w:id="3" w:name="_Toc198372528"/>
      <w:bookmarkStart w:id="4" w:name="_Toc198372529"/>
      <w:bookmarkStart w:id="5" w:name="_Toc198372530"/>
      <w:bookmarkStart w:id="6" w:name="_Toc198372531"/>
      <w:bookmarkStart w:id="7" w:name="_Toc198372532"/>
      <w:bookmarkStart w:id="8" w:name="_Toc198372533"/>
      <w:bookmarkStart w:id="9" w:name="_Toc198372534"/>
      <w:bookmarkStart w:id="10" w:name="_Toc198372535"/>
      <w:bookmarkStart w:id="11" w:name="_Toc198372537"/>
      <w:bookmarkStart w:id="12" w:name="_Toc198372538"/>
      <w:bookmarkStart w:id="13" w:name="_Toc198372542"/>
      <w:bookmarkStart w:id="14" w:name="_Toc198372543"/>
      <w:bookmarkStart w:id="15" w:name="_Toc198372544"/>
      <w:bookmarkStart w:id="16" w:name="_Toc198372545"/>
      <w:bookmarkStart w:id="17" w:name="_Toc198372546"/>
      <w:bookmarkStart w:id="18" w:name="_Toc198372548"/>
      <w:bookmarkStart w:id="19" w:name="_Toc198372549"/>
      <w:bookmarkStart w:id="20" w:name="_Toc198372550"/>
      <w:bookmarkStart w:id="21" w:name="_Toc198372551"/>
      <w:bookmarkStart w:id="22" w:name="_Toc198372552"/>
      <w:bookmarkStart w:id="23" w:name="_Toc198372553"/>
      <w:bookmarkStart w:id="24" w:name="_Toc198372554"/>
      <w:bookmarkStart w:id="25" w:name="_Toc198372555"/>
      <w:bookmarkStart w:id="26" w:name="_Toc19837255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C17B5">
        <w:rPr>
          <w:rFonts w:ascii="Calibri" w:hAnsi="Calibri" w:cs="Calibri"/>
          <w:b/>
          <w:bCs/>
        </w:rPr>
        <w:t>References</w:t>
      </w:r>
    </w:p>
    <w:p w14:paraId="2B5DABC8" w14:textId="77777777" w:rsidR="00744521" w:rsidRPr="00744521" w:rsidRDefault="00BC17B5" w:rsidP="00744521">
      <w:pPr>
        <w:pStyle w:val="Bibliography"/>
        <w:rPr>
          <w:rFonts w:ascii="Calibri" w:hAnsi="Calibri" w:cs="Calibri"/>
        </w:rPr>
      </w:pPr>
      <w:r w:rsidRPr="00BC17B5">
        <w:rPr>
          <w:rFonts w:ascii="Calibri" w:hAnsi="Calibri" w:cs="Calibri"/>
        </w:rPr>
        <w:fldChar w:fldCharType="begin"/>
      </w:r>
      <w:r w:rsidR="00744521">
        <w:rPr>
          <w:rFonts w:ascii="Calibri" w:hAnsi="Calibri" w:cs="Calibri"/>
        </w:rPr>
        <w:instrText xml:space="preserve"> ADDIN ZOTERO_BIBL {"uncited":[],"omitted":[],"custom":[]} CSL_BIBLIOGRAPHY </w:instrText>
      </w:r>
      <w:r w:rsidRPr="00BC17B5">
        <w:rPr>
          <w:rFonts w:ascii="Calibri" w:hAnsi="Calibri" w:cs="Calibri"/>
        </w:rPr>
        <w:fldChar w:fldCharType="separate"/>
      </w:r>
      <w:r w:rsidR="00744521" w:rsidRPr="00744521">
        <w:rPr>
          <w:rFonts w:ascii="Calibri" w:hAnsi="Calibri" w:cs="Calibri"/>
        </w:rPr>
        <w:t>1.</w:t>
      </w:r>
      <w:r w:rsidR="00744521" w:rsidRPr="00744521">
        <w:rPr>
          <w:rFonts w:ascii="Calibri" w:hAnsi="Calibri" w:cs="Calibri"/>
        </w:rPr>
        <w:tab/>
        <w:t>Khawar H, Patel P, Stevens JB, Guzman N. Fresh Frozen Plasma (FFP). In: StatPearls [Internet]. Treasure Island (FL): StatPearls Publishing; 2025 [cited 2025 Aug 13]. Available from: http://www.ncbi.nlm.nih.gov/books/NBK513347/</w:t>
      </w:r>
    </w:p>
    <w:p w14:paraId="4393DED7" w14:textId="77777777" w:rsidR="00744521" w:rsidRPr="00744521" w:rsidRDefault="00744521" w:rsidP="00744521">
      <w:pPr>
        <w:pStyle w:val="Bibliography"/>
        <w:rPr>
          <w:rFonts w:ascii="Calibri" w:hAnsi="Calibri" w:cs="Calibri"/>
        </w:rPr>
      </w:pPr>
      <w:r w:rsidRPr="00744521">
        <w:rPr>
          <w:rFonts w:ascii="Calibri" w:hAnsi="Calibri" w:cs="Calibri"/>
        </w:rPr>
        <w:t>2.</w:t>
      </w:r>
      <w:r w:rsidRPr="00744521">
        <w:rPr>
          <w:rFonts w:ascii="Calibri" w:hAnsi="Calibri" w:cs="Calibri"/>
        </w:rPr>
        <w:tab/>
        <w:t xml:space="preserve">Stanworth SJ, Brunskill SJ, Hyde CJ, McClelland DBL, Murphy MF. Is fresh frozen plasma clinically effective? A systematic review of randomized controlled trials. Br J Haematol. 2004 Jul;126(1):139–52. </w:t>
      </w:r>
    </w:p>
    <w:p w14:paraId="1AD8A703" w14:textId="77777777" w:rsidR="00744521" w:rsidRPr="00744521" w:rsidRDefault="00744521" w:rsidP="00744521">
      <w:pPr>
        <w:pStyle w:val="Bibliography"/>
        <w:rPr>
          <w:rFonts w:ascii="Calibri" w:hAnsi="Calibri" w:cs="Calibri"/>
        </w:rPr>
      </w:pPr>
      <w:r w:rsidRPr="00744521">
        <w:rPr>
          <w:rFonts w:ascii="Calibri" w:hAnsi="Calibri" w:cs="Calibri"/>
        </w:rPr>
        <w:t>3.</w:t>
      </w:r>
      <w:r w:rsidRPr="00744521">
        <w:rPr>
          <w:rFonts w:ascii="Calibri" w:hAnsi="Calibri" w:cs="Calibri"/>
        </w:rPr>
        <w:tab/>
        <w:t xml:space="preserve">Cardigan R, Lawrie AS, Mackie IJ, Williamson LM. The quality of fresh-frozen plasma produced from whole blood stored at 4 degrees C overnight. Transfusion. 2005 Aug;45(8):1342–8. </w:t>
      </w:r>
    </w:p>
    <w:p w14:paraId="048BEDD1" w14:textId="77777777" w:rsidR="00744521" w:rsidRPr="00744521" w:rsidRDefault="00744521" w:rsidP="00744521">
      <w:pPr>
        <w:pStyle w:val="Bibliography"/>
        <w:rPr>
          <w:rFonts w:ascii="Calibri" w:hAnsi="Calibri" w:cs="Calibri"/>
        </w:rPr>
      </w:pPr>
      <w:r w:rsidRPr="00744521">
        <w:rPr>
          <w:rFonts w:ascii="Calibri" w:hAnsi="Calibri" w:cs="Calibri"/>
        </w:rPr>
        <w:t>4.</w:t>
      </w:r>
      <w:r w:rsidRPr="00744521">
        <w:rPr>
          <w:rFonts w:ascii="Calibri" w:hAnsi="Calibri" w:cs="Calibri"/>
        </w:rPr>
        <w:tab/>
        <w:t xml:space="preserve">Enroth S, Hallmans G, Grankvist K, Gyllensten U. Effects of Long-Term Storage Time and Original Sampling Month on Biobank Plasma Protein Concentrations. EBioMedicine. 2016 Oct;12:309–14. </w:t>
      </w:r>
    </w:p>
    <w:p w14:paraId="072F2898" w14:textId="77777777" w:rsidR="00744521" w:rsidRPr="00744521" w:rsidRDefault="00744521" w:rsidP="00744521">
      <w:pPr>
        <w:pStyle w:val="Bibliography"/>
        <w:rPr>
          <w:rFonts w:ascii="Calibri" w:hAnsi="Calibri" w:cs="Calibri"/>
        </w:rPr>
      </w:pPr>
      <w:r w:rsidRPr="00744521">
        <w:rPr>
          <w:rFonts w:ascii="Calibri" w:hAnsi="Calibri" w:cs="Calibri"/>
        </w:rPr>
        <w:t>5.</w:t>
      </w:r>
      <w:r w:rsidRPr="00744521">
        <w:rPr>
          <w:rFonts w:ascii="Calibri" w:hAnsi="Calibri" w:cs="Calibri"/>
        </w:rPr>
        <w:tab/>
        <w:t>European Directorate for the Quality of Medicines &amp; HealthCare. European Directorate for the Quality of Medicines &amp; HealthCare. [cited 2025 Aug 13]. Guide to the preparation, use and quality assurance of blood components - European Directorate for the Quality of Medicines &amp; HealthCare - EDQM. Available from: https://www.edqm.eu/en/blood-guide</w:t>
      </w:r>
    </w:p>
    <w:p w14:paraId="37351581" w14:textId="77777777" w:rsidR="00744521" w:rsidRPr="00744521" w:rsidRDefault="00744521" w:rsidP="00744521">
      <w:pPr>
        <w:pStyle w:val="Bibliography"/>
        <w:rPr>
          <w:rFonts w:ascii="Calibri" w:hAnsi="Calibri" w:cs="Calibri"/>
        </w:rPr>
      </w:pPr>
      <w:r w:rsidRPr="00744521">
        <w:rPr>
          <w:rFonts w:ascii="Calibri" w:hAnsi="Calibri" w:cs="Calibri"/>
        </w:rPr>
        <w:t>6.</w:t>
      </w:r>
      <w:r w:rsidRPr="00744521">
        <w:rPr>
          <w:rFonts w:ascii="Calibri" w:hAnsi="Calibri" w:cs="Calibri"/>
        </w:rPr>
        <w:tab/>
        <w:t xml:space="preserve">Serrano K, Scammell K, Weiss S, Culibrk B, Levin E, Gyöngyössy-Issa M, et al. Plasma and cryoprecipitate manufactured from whole blood held overnight at room temperature meet quality standards. Transfusion. 2010 Feb;50(2):344–53. </w:t>
      </w:r>
    </w:p>
    <w:p w14:paraId="0A86B7E1" w14:textId="77777777" w:rsidR="00744521" w:rsidRPr="00744521" w:rsidRDefault="00744521" w:rsidP="00744521">
      <w:pPr>
        <w:pStyle w:val="Bibliography"/>
        <w:rPr>
          <w:rFonts w:ascii="Calibri" w:hAnsi="Calibri" w:cs="Calibri"/>
        </w:rPr>
      </w:pPr>
      <w:r w:rsidRPr="00744521">
        <w:rPr>
          <w:rFonts w:ascii="Calibri" w:hAnsi="Calibri" w:cs="Calibri"/>
        </w:rPr>
        <w:t>7.</w:t>
      </w:r>
      <w:r w:rsidRPr="00744521">
        <w:rPr>
          <w:rFonts w:ascii="Calibri" w:hAnsi="Calibri" w:cs="Calibri"/>
        </w:rPr>
        <w:tab/>
        <w:t xml:space="preserve">Hewitt PE, Ijaz S, Brailsford SR, Brett R, Dicks S, Haywood B, et al. Hepatitis E virus in blood components: a prevalence and transmission study in southeast England. Lancet. 2014 Nov 15;384(9956):1766–73. </w:t>
      </w:r>
    </w:p>
    <w:p w14:paraId="6D48E730" w14:textId="77777777" w:rsidR="00744521" w:rsidRPr="00744521" w:rsidRDefault="00744521" w:rsidP="00744521">
      <w:pPr>
        <w:pStyle w:val="Bibliography"/>
        <w:rPr>
          <w:rFonts w:ascii="Calibri" w:hAnsi="Calibri" w:cs="Calibri"/>
        </w:rPr>
      </w:pPr>
      <w:r w:rsidRPr="00744521">
        <w:rPr>
          <w:rFonts w:ascii="Calibri" w:hAnsi="Calibri" w:cs="Calibri"/>
        </w:rPr>
        <w:t>8.</w:t>
      </w:r>
      <w:r w:rsidRPr="00744521">
        <w:rPr>
          <w:rFonts w:ascii="Calibri" w:hAnsi="Calibri" w:cs="Calibri"/>
        </w:rPr>
        <w:tab/>
        <w:t xml:space="preserve">Muylle L, Joos M, Wouters E, De Bock R, Peetermans M e. Increased tumor necrosis factor alpha (TNF alpha), interleukin 1, and interleukin 6 (IL-6) levels in the plasma of stored platelet concentrates: relationship between TNF alpha and IL-6 levels and febrile transfusion reactions. Transfusion. 1993;33(3):195–9. </w:t>
      </w:r>
    </w:p>
    <w:p w14:paraId="20D9FBF9" w14:textId="77777777" w:rsidR="00744521" w:rsidRPr="00744521" w:rsidRDefault="00744521" w:rsidP="00744521">
      <w:pPr>
        <w:pStyle w:val="Bibliography"/>
        <w:rPr>
          <w:rFonts w:ascii="Calibri" w:hAnsi="Calibri" w:cs="Calibri"/>
        </w:rPr>
      </w:pPr>
      <w:r w:rsidRPr="00744521">
        <w:rPr>
          <w:rFonts w:ascii="Calibri" w:hAnsi="Calibri" w:cs="Calibri"/>
        </w:rPr>
        <w:t>9.</w:t>
      </w:r>
      <w:r w:rsidRPr="00744521">
        <w:rPr>
          <w:rFonts w:ascii="Calibri" w:hAnsi="Calibri" w:cs="Calibri"/>
        </w:rPr>
        <w:tab/>
        <w:t xml:space="preserve">Williamson LM, Devine DV. Challenges in the management of the blood supply. Lancet. 2013 May 25;381(9880):1866–75. </w:t>
      </w:r>
    </w:p>
    <w:p w14:paraId="65A449B6" w14:textId="77777777" w:rsidR="00744521" w:rsidRPr="00744521" w:rsidRDefault="00744521" w:rsidP="00744521">
      <w:pPr>
        <w:pStyle w:val="Bibliography"/>
        <w:rPr>
          <w:rFonts w:ascii="Calibri" w:hAnsi="Calibri" w:cs="Calibri"/>
        </w:rPr>
      </w:pPr>
      <w:r w:rsidRPr="00744521">
        <w:rPr>
          <w:rFonts w:ascii="Calibri" w:hAnsi="Calibri" w:cs="Calibri"/>
        </w:rPr>
        <w:t>10.</w:t>
      </w:r>
      <w:r w:rsidRPr="00744521">
        <w:rPr>
          <w:rFonts w:ascii="Calibri" w:hAnsi="Calibri" w:cs="Calibri"/>
        </w:rPr>
        <w:tab/>
        <w:t xml:space="preserve">Shukla R, Patel T, Gupte S. Release of cytokines in stored whole blood and red cell concentrate: Effect of leukoreduction. Asian J Transfus Sci. 2015;9(2):145–9. </w:t>
      </w:r>
    </w:p>
    <w:p w14:paraId="6AACA52E" w14:textId="77777777" w:rsidR="00744521" w:rsidRPr="00744521" w:rsidRDefault="00744521" w:rsidP="00744521">
      <w:pPr>
        <w:pStyle w:val="Bibliography"/>
        <w:rPr>
          <w:rFonts w:ascii="Calibri" w:hAnsi="Calibri" w:cs="Calibri"/>
        </w:rPr>
      </w:pPr>
      <w:r w:rsidRPr="00744521">
        <w:rPr>
          <w:rFonts w:ascii="Calibri" w:hAnsi="Calibri" w:cs="Calibri"/>
        </w:rPr>
        <w:t>11.</w:t>
      </w:r>
      <w:r w:rsidRPr="00744521">
        <w:rPr>
          <w:rFonts w:ascii="Calibri" w:hAnsi="Calibri" w:cs="Calibri"/>
        </w:rPr>
        <w:tab/>
        <w:t xml:space="preserve">Seghatchian J, de Sousa G. Pathogen-reduction systems for blood components: the current position and future trends. Transfus Apher Sci. 2006 Dec;35(3):189–96. </w:t>
      </w:r>
    </w:p>
    <w:p w14:paraId="7C49BC49" w14:textId="77777777" w:rsidR="00744521" w:rsidRPr="00744521" w:rsidRDefault="00744521" w:rsidP="00744521">
      <w:pPr>
        <w:pStyle w:val="Bibliography"/>
        <w:rPr>
          <w:rFonts w:ascii="Calibri" w:hAnsi="Calibri" w:cs="Calibri"/>
        </w:rPr>
      </w:pPr>
      <w:r w:rsidRPr="00744521">
        <w:rPr>
          <w:rFonts w:ascii="Calibri" w:hAnsi="Calibri" w:cs="Calibri"/>
        </w:rPr>
        <w:t>12.</w:t>
      </w:r>
      <w:r w:rsidRPr="00744521">
        <w:rPr>
          <w:rFonts w:ascii="Calibri" w:hAnsi="Calibri" w:cs="Calibri"/>
        </w:rPr>
        <w:tab/>
        <w:t xml:space="preserve">Solheim BG. Pathogen reduction of blood components. Transfus Apher Sci. 2008 Aug;39(1):75–82. </w:t>
      </w:r>
    </w:p>
    <w:p w14:paraId="33C92FE9" w14:textId="77777777" w:rsidR="00744521" w:rsidRPr="00744521" w:rsidRDefault="00744521" w:rsidP="00744521">
      <w:pPr>
        <w:pStyle w:val="Bibliography"/>
        <w:rPr>
          <w:rFonts w:ascii="Calibri" w:hAnsi="Calibri" w:cs="Calibri"/>
        </w:rPr>
      </w:pPr>
      <w:r w:rsidRPr="00744521">
        <w:rPr>
          <w:rFonts w:ascii="Calibri" w:hAnsi="Calibri" w:cs="Calibri"/>
        </w:rPr>
        <w:t>13.</w:t>
      </w:r>
      <w:r w:rsidRPr="00744521">
        <w:rPr>
          <w:rFonts w:ascii="Calibri" w:hAnsi="Calibri" w:cs="Calibri"/>
        </w:rPr>
        <w:tab/>
        <w:t xml:space="preserve">Högman CF, Gong J, Eriksson L, Hambraeus A, Johansson CS. White cells protect donor blood against bacterial contamination. Transfusion. 1991 Sep;31(7):620–6. </w:t>
      </w:r>
    </w:p>
    <w:p w14:paraId="483FCCFE" w14:textId="77777777" w:rsidR="00744521" w:rsidRPr="00744521" w:rsidRDefault="00744521" w:rsidP="00744521">
      <w:pPr>
        <w:pStyle w:val="Bibliography"/>
        <w:rPr>
          <w:rFonts w:ascii="Calibri" w:hAnsi="Calibri" w:cs="Calibri"/>
        </w:rPr>
      </w:pPr>
      <w:r w:rsidRPr="00744521">
        <w:rPr>
          <w:rFonts w:ascii="Calibri" w:hAnsi="Calibri" w:cs="Calibri"/>
        </w:rPr>
        <w:lastRenderedPageBreak/>
        <w:t>14.</w:t>
      </w:r>
      <w:r w:rsidRPr="00744521">
        <w:rPr>
          <w:rFonts w:ascii="Calibri" w:hAnsi="Calibri" w:cs="Calibri"/>
        </w:rPr>
        <w:tab/>
        <w:t xml:space="preserve">Lu FQ, Kang W, Peng Y, Wang WM. Characterization of blood components separated from donated whole blood after an overnight holding at room temperature with the buffy coat method. Transfusion. 2011 Oct;51(10):2199–207. </w:t>
      </w:r>
    </w:p>
    <w:p w14:paraId="52A813D3" w14:textId="77777777" w:rsidR="00744521" w:rsidRPr="00744521" w:rsidRDefault="00744521" w:rsidP="00744521">
      <w:pPr>
        <w:pStyle w:val="Bibliography"/>
        <w:rPr>
          <w:rFonts w:ascii="Calibri" w:hAnsi="Calibri" w:cs="Calibri"/>
        </w:rPr>
      </w:pPr>
      <w:r w:rsidRPr="00744521">
        <w:rPr>
          <w:rFonts w:ascii="Calibri" w:hAnsi="Calibri" w:cs="Calibri"/>
        </w:rPr>
        <w:t>15.</w:t>
      </w:r>
      <w:r w:rsidRPr="00744521">
        <w:rPr>
          <w:rFonts w:ascii="Calibri" w:hAnsi="Calibri" w:cs="Calibri"/>
        </w:rPr>
        <w:tab/>
        <w:t xml:space="preserve">van der Meer PF, de Korte D. The effect of holding times of whole blood and its components during processing on in vitro and in vivo quality. Transfus Med Rev. 2015 Jan;29(1):24–34. </w:t>
      </w:r>
    </w:p>
    <w:p w14:paraId="150D608B" w14:textId="77777777" w:rsidR="00744521" w:rsidRPr="00744521" w:rsidRDefault="00744521" w:rsidP="00744521">
      <w:pPr>
        <w:pStyle w:val="Bibliography"/>
        <w:rPr>
          <w:rFonts w:ascii="Calibri" w:hAnsi="Calibri" w:cs="Calibri"/>
        </w:rPr>
      </w:pPr>
      <w:r w:rsidRPr="00744521">
        <w:rPr>
          <w:rFonts w:ascii="Calibri" w:hAnsi="Calibri" w:cs="Calibri"/>
        </w:rPr>
        <w:t>16.</w:t>
      </w:r>
      <w:r w:rsidRPr="00744521">
        <w:rPr>
          <w:rFonts w:ascii="Calibri" w:hAnsi="Calibri" w:cs="Calibri"/>
        </w:rPr>
        <w:tab/>
        <w:t xml:space="preserve">Cardigan R, Van der Meer PF, Pergande C, Cookson P, Baumann-Baretti B, Cancelas JA, et al. Coagulation factor content of plasma produced from whole blood stored for 24 hours at ambient temperature: results from an international multicenter BEST Collaborative study. Transfusion. 2011 Jan;51 Suppl 1:50S-57S. </w:t>
      </w:r>
    </w:p>
    <w:p w14:paraId="3D3D74A3" w14:textId="77777777" w:rsidR="00744521" w:rsidRPr="00744521" w:rsidRDefault="00744521" w:rsidP="00744521">
      <w:pPr>
        <w:pStyle w:val="Bibliography"/>
        <w:rPr>
          <w:rFonts w:ascii="Calibri" w:hAnsi="Calibri" w:cs="Calibri"/>
        </w:rPr>
      </w:pPr>
      <w:r w:rsidRPr="00744521">
        <w:rPr>
          <w:rFonts w:ascii="Calibri" w:hAnsi="Calibri" w:cs="Calibri"/>
        </w:rPr>
        <w:t>17.</w:t>
      </w:r>
      <w:r w:rsidRPr="00744521">
        <w:rPr>
          <w:rFonts w:ascii="Calibri" w:hAnsi="Calibri" w:cs="Calibri"/>
        </w:rPr>
        <w:tab/>
        <w:t xml:space="preserve">Moroff G, AuBuchon JP, Pickard C, Whitley PH, Heaton WA, Holme S. Evaluation of the properties of components prepared and stored after holding of whole blood units for 8 and 24 hours at ambient temperature. Transfusion. 2011 Jan;51 Suppl 1:7S-14S. </w:t>
      </w:r>
    </w:p>
    <w:p w14:paraId="79B05745" w14:textId="77777777" w:rsidR="00744521" w:rsidRPr="00744521" w:rsidRDefault="00744521" w:rsidP="00744521">
      <w:pPr>
        <w:pStyle w:val="Bibliography"/>
        <w:rPr>
          <w:rFonts w:ascii="Calibri" w:hAnsi="Calibri" w:cs="Calibri"/>
        </w:rPr>
      </w:pPr>
      <w:r w:rsidRPr="00744521">
        <w:rPr>
          <w:rFonts w:ascii="Calibri" w:hAnsi="Calibri" w:cs="Calibri"/>
        </w:rPr>
        <w:t>18.</w:t>
      </w:r>
      <w:r w:rsidRPr="00744521">
        <w:rPr>
          <w:rFonts w:ascii="Calibri" w:hAnsi="Calibri" w:cs="Calibri"/>
        </w:rPr>
        <w:tab/>
        <w:t xml:space="preserve">Kumar H, Gupta PK, Mishra DK, Sarkar RS, Jaiprakash M. Leucodepletion and Blood Products. Med J Armed Forces India. 2006 Apr;62(2):174–7. </w:t>
      </w:r>
    </w:p>
    <w:p w14:paraId="7D10EBE5" w14:textId="77777777" w:rsidR="00744521" w:rsidRPr="00744521" w:rsidRDefault="00744521" w:rsidP="00744521">
      <w:pPr>
        <w:pStyle w:val="Bibliography"/>
        <w:rPr>
          <w:rFonts w:ascii="Calibri" w:hAnsi="Calibri" w:cs="Calibri"/>
        </w:rPr>
      </w:pPr>
      <w:r w:rsidRPr="00744521">
        <w:rPr>
          <w:rFonts w:ascii="Calibri" w:hAnsi="Calibri" w:cs="Calibri"/>
        </w:rPr>
        <w:t>19.</w:t>
      </w:r>
      <w:r w:rsidRPr="00744521">
        <w:rPr>
          <w:rFonts w:ascii="Calibri" w:hAnsi="Calibri" w:cs="Calibri"/>
        </w:rPr>
        <w:tab/>
        <w:t xml:space="preserve">Bianchi M, Vaglio S, Pupella S, Marano G, Facco G, Liumbruno GM, et al. Leucoreduction of blood components: an effective way to increase blood safety? Blood Transfus. 2016 May;14(3):214–27. </w:t>
      </w:r>
    </w:p>
    <w:p w14:paraId="0D36BDE2" w14:textId="77777777" w:rsidR="00744521" w:rsidRPr="00744521" w:rsidRDefault="00744521" w:rsidP="00744521">
      <w:pPr>
        <w:pStyle w:val="Bibliography"/>
        <w:rPr>
          <w:rFonts w:ascii="Calibri" w:hAnsi="Calibri" w:cs="Calibri"/>
        </w:rPr>
      </w:pPr>
      <w:r w:rsidRPr="00744521">
        <w:rPr>
          <w:rFonts w:ascii="Calibri" w:hAnsi="Calibri" w:cs="Calibri"/>
        </w:rPr>
        <w:t>20.</w:t>
      </w:r>
      <w:r w:rsidRPr="00744521">
        <w:rPr>
          <w:rFonts w:ascii="Calibri" w:hAnsi="Calibri" w:cs="Calibri"/>
        </w:rPr>
        <w:tab/>
        <w:t xml:space="preserve">Pietersz RN, Meer PF van der. Processing and storage of blood components: strategies to improve patient safety. IJCTM. 2015 Aug 11;3:55–64. </w:t>
      </w:r>
    </w:p>
    <w:p w14:paraId="081F4D2A" w14:textId="77777777" w:rsidR="00744521" w:rsidRPr="00744521" w:rsidRDefault="00744521" w:rsidP="00744521">
      <w:pPr>
        <w:pStyle w:val="Bibliography"/>
        <w:rPr>
          <w:rFonts w:ascii="Calibri" w:hAnsi="Calibri" w:cs="Calibri"/>
        </w:rPr>
      </w:pPr>
      <w:r w:rsidRPr="00744521">
        <w:rPr>
          <w:rFonts w:ascii="Calibri" w:hAnsi="Calibri" w:cs="Calibri"/>
        </w:rPr>
        <w:t>21.</w:t>
      </w:r>
      <w:r w:rsidRPr="00744521">
        <w:rPr>
          <w:rFonts w:ascii="Calibri" w:hAnsi="Calibri" w:cs="Calibri"/>
        </w:rPr>
        <w:tab/>
        <w:t xml:space="preserve">Sparrow RL, Chan KSK. Microparticle content of plasma for transfusion is influenced by the whole blood hold conditions: pre-analytical considerations for proteomic investigations. J Proteomics. 2012 Dec 5;76 Spec No.(0 0):211–9. </w:t>
      </w:r>
    </w:p>
    <w:p w14:paraId="33DFF15E" w14:textId="77777777" w:rsidR="00744521" w:rsidRPr="00744521" w:rsidRDefault="00744521" w:rsidP="00744521">
      <w:pPr>
        <w:pStyle w:val="Bibliography"/>
        <w:rPr>
          <w:rFonts w:ascii="Calibri" w:hAnsi="Calibri" w:cs="Calibri"/>
        </w:rPr>
      </w:pPr>
      <w:r w:rsidRPr="00744521">
        <w:rPr>
          <w:rFonts w:ascii="Calibri" w:hAnsi="Calibri" w:cs="Calibri"/>
        </w:rPr>
        <w:t>22.</w:t>
      </w:r>
      <w:r w:rsidRPr="00744521">
        <w:rPr>
          <w:rFonts w:ascii="Calibri" w:hAnsi="Calibri" w:cs="Calibri"/>
        </w:rPr>
        <w:tab/>
        <w:t xml:space="preserve">Aloui C, Chakroun T, Prigent A, Jemni-Yacoub S, Cognasse F, Laradi S, et al. Leucocyte cytokines dominate platelet cytokines overtime in non-leucoreduced platelet components. Blood Transfus. 2018 Jan;16(1):63–72. </w:t>
      </w:r>
    </w:p>
    <w:p w14:paraId="313B63F6" w14:textId="77777777" w:rsidR="00744521" w:rsidRPr="00744521" w:rsidRDefault="00744521" w:rsidP="00744521">
      <w:pPr>
        <w:pStyle w:val="Bibliography"/>
        <w:rPr>
          <w:rFonts w:ascii="Calibri" w:hAnsi="Calibri" w:cs="Calibri"/>
        </w:rPr>
      </w:pPr>
      <w:r w:rsidRPr="00744521">
        <w:rPr>
          <w:rFonts w:ascii="Calibri" w:hAnsi="Calibri" w:cs="Calibri"/>
        </w:rPr>
        <w:t>23.</w:t>
      </w:r>
      <w:r w:rsidRPr="00744521">
        <w:rPr>
          <w:rFonts w:ascii="Calibri" w:hAnsi="Calibri" w:cs="Calibri"/>
        </w:rPr>
        <w:tab/>
        <w:t xml:space="preserve">Garraud O, Tariket S, Sut C, Haddad A, Aloui C, Chakroun T, et al. Transfusion as an Inflammation Hit: Knowns and Unknowns. Front Immunol. 2016;7:534. </w:t>
      </w:r>
    </w:p>
    <w:p w14:paraId="4E76B2C7" w14:textId="77777777" w:rsidR="00744521" w:rsidRPr="00744521" w:rsidRDefault="00744521" w:rsidP="00744521">
      <w:pPr>
        <w:pStyle w:val="Bibliography"/>
        <w:rPr>
          <w:rFonts w:ascii="Calibri" w:hAnsi="Calibri" w:cs="Calibri"/>
        </w:rPr>
      </w:pPr>
      <w:r w:rsidRPr="00744521">
        <w:rPr>
          <w:rFonts w:ascii="Calibri" w:hAnsi="Calibri" w:cs="Calibri"/>
        </w:rPr>
        <w:t>24.</w:t>
      </w:r>
      <w:r w:rsidRPr="00744521">
        <w:rPr>
          <w:rFonts w:ascii="Calibri" w:hAnsi="Calibri" w:cs="Calibri"/>
        </w:rPr>
        <w:tab/>
        <w:t xml:space="preserve">Ziemann M, Hennig H. Prevention of Transfusion-Transmitted Cytomegalovirus Infections: Which is the Optimal Strategy? Transfus Med Hemother. 2014 Feb;41(1):40–4. </w:t>
      </w:r>
    </w:p>
    <w:p w14:paraId="3AB5510A" w14:textId="77777777" w:rsidR="00744521" w:rsidRPr="00744521" w:rsidRDefault="00744521" w:rsidP="00744521">
      <w:pPr>
        <w:pStyle w:val="Bibliography"/>
        <w:rPr>
          <w:rFonts w:ascii="Calibri" w:hAnsi="Calibri" w:cs="Calibri"/>
        </w:rPr>
      </w:pPr>
      <w:r w:rsidRPr="00744521">
        <w:rPr>
          <w:rFonts w:ascii="Calibri" w:hAnsi="Calibri" w:cs="Calibri"/>
        </w:rPr>
        <w:t>25.</w:t>
      </w:r>
      <w:r w:rsidRPr="00744521">
        <w:rPr>
          <w:rFonts w:ascii="Calibri" w:hAnsi="Calibri" w:cs="Calibri"/>
        </w:rPr>
        <w:tab/>
        <w:t xml:space="preserve">Thibault L, Beauséjour A, de Grandmont MJ, Lemieux R, Leblanc JF. Characterization of blood components prepared from whole-blood donations after a 24-hour hold with the platelet-rich plasma method. Transfusion. 2006 Aug;46(8):1292–9. </w:t>
      </w:r>
    </w:p>
    <w:p w14:paraId="58F2B0D1" w14:textId="77777777" w:rsidR="00744521" w:rsidRPr="00744521" w:rsidRDefault="00744521" w:rsidP="00744521">
      <w:pPr>
        <w:pStyle w:val="Bibliography"/>
        <w:rPr>
          <w:rFonts w:ascii="Calibri" w:hAnsi="Calibri" w:cs="Calibri"/>
        </w:rPr>
      </w:pPr>
      <w:r w:rsidRPr="00744521">
        <w:rPr>
          <w:rFonts w:ascii="Calibri" w:hAnsi="Calibri" w:cs="Calibri"/>
        </w:rPr>
        <w:t>26.</w:t>
      </w:r>
      <w:r w:rsidRPr="00744521">
        <w:rPr>
          <w:rFonts w:ascii="Calibri" w:hAnsi="Calibri" w:cs="Calibri"/>
        </w:rPr>
        <w:tab/>
        <w:t xml:space="preserve">Chan KSK, Sparrow RL. Microparticle profile and procoagulant activity of fresh-frozen plasma is affected by whole blood leukoreduction rather than 24-hour room temperature hold. Transfusion. 2014 Aug;54(8):1935–44. </w:t>
      </w:r>
    </w:p>
    <w:p w14:paraId="71762700" w14:textId="77777777" w:rsidR="00744521" w:rsidRPr="00744521" w:rsidRDefault="00744521" w:rsidP="00744521">
      <w:pPr>
        <w:pStyle w:val="Bibliography"/>
        <w:rPr>
          <w:rFonts w:ascii="Calibri" w:hAnsi="Calibri" w:cs="Calibri"/>
        </w:rPr>
      </w:pPr>
      <w:r w:rsidRPr="00744521">
        <w:rPr>
          <w:rFonts w:ascii="Calibri" w:hAnsi="Calibri" w:cs="Calibri"/>
        </w:rPr>
        <w:t>27.</w:t>
      </w:r>
      <w:r w:rsidRPr="00744521">
        <w:rPr>
          <w:rFonts w:ascii="Calibri" w:hAnsi="Calibri" w:cs="Calibri"/>
        </w:rPr>
        <w:tab/>
        <w:t xml:space="preserve">Kaisar M, van Dullemen LFA, Thézénas ML, Zeeshan Akhtar M, Huang H, Rendel S, et al. Plasma degradome affected by variable storage of human blood. Clin Proteomics. 2016;13:26. </w:t>
      </w:r>
    </w:p>
    <w:p w14:paraId="227DC9CA" w14:textId="468E195D" w:rsidR="00B57E59" w:rsidRPr="00BC17B5" w:rsidRDefault="00BC17B5" w:rsidP="00BC17B5">
      <w:pPr>
        <w:spacing w:line="240" w:lineRule="auto"/>
        <w:jc w:val="both"/>
        <w:rPr>
          <w:rFonts w:ascii="Calibri" w:hAnsi="Calibri" w:cs="Calibri"/>
        </w:rPr>
      </w:pPr>
      <w:r w:rsidRPr="00BC17B5">
        <w:rPr>
          <w:rFonts w:ascii="Calibri" w:hAnsi="Calibri" w:cs="Calibri"/>
        </w:rPr>
        <w:fldChar w:fldCharType="end"/>
      </w:r>
    </w:p>
    <w:sectPr w:rsidR="00B57E59" w:rsidRPr="00BC17B5" w:rsidSect="00BC17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F1C7" w14:textId="77777777" w:rsidR="008379C7" w:rsidRDefault="008379C7">
      <w:pPr>
        <w:spacing w:after="0" w:line="240" w:lineRule="auto"/>
      </w:pPr>
      <w:r>
        <w:separator/>
      </w:r>
    </w:p>
  </w:endnote>
  <w:endnote w:type="continuationSeparator" w:id="0">
    <w:p w14:paraId="20881A5F" w14:textId="77777777" w:rsidR="008379C7" w:rsidRDefault="0083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1E4C" w14:textId="77777777" w:rsidR="00525669" w:rsidRDefault="00525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302071"/>
      <w:docPartObj>
        <w:docPartGallery w:val="Page Numbers (Bottom of Page)"/>
        <w:docPartUnique/>
      </w:docPartObj>
    </w:sdtPr>
    <w:sdtEndPr/>
    <w:sdtContent>
      <w:p w14:paraId="33C91229" w14:textId="41601991" w:rsidR="00BC17B5" w:rsidRPr="00BC17B5" w:rsidRDefault="00BC17B5">
        <w:pPr>
          <w:pStyle w:val="Footer"/>
          <w:jc w:val="center"/>
        </w:pPr>
        <w:r w:rsidRPr="00BC17B5">
          <w:rPr>
            <w:rFonts w:ascii="Times New Roman" w:hAnsi="Times New Roman" w:cs="Times New Roman"/>
            <w:sz w:val="24"/>
            <w:szCs w:val="24"/>
          </w:rPr>
          <w:fldChar w:fldCharType="begin"/>
        </w:r>
        <w:r w:rsidRPr="00BC17B5">
          <w:rPr>
            <w:rFonts w:ascii="Times New Roman" w:hAnsi="Times New Roman" w:cs="Times New Roman"/>
            <w:sz w:val="24"/>
            <w:szCs w:val="24"/>
          </w:rPr>
          <w:instrText xml:space="preserve"> PAGE   \* MERGEFORMAT </w:instrText>
        </w:r>
        <w:r w:rsidRPr="00BC17B5">
          <w:rPr>
            <w:rFonts w:ascii="Times New Roman" w:hAnsi="Times New Roman" w:cs="Times New Roman"/>
            <w:sz w:val="24"/>
            <w:szCs w:val="24"/>
          </w:rPr>
          <w:fldChar w:fldCharType="separate"/>
        </w:r>
        <w:r w:rsidR="0080188E">
          <w:rPr>
            <w:rFonts w:ascii="Times New Roman" w:hAnsi="Times New Roman" w:cs="Times New Roman"/>
            <w:noProof/>
            <w:sz w:val="24"/>
            <w:szCs w:val="24"/>
          </w:rPr>
          <w:t>9</w:t>
        </w:r>
        <w:r w:rsidRPr="00BC17B5">
          <w:rPr>
            <w:rFonts w:ascii="Times New Roman" w:hAnsi="Times New Roman" w:cs="Times New Roman"/>
            <w:sz w:val="24"/>
            <w:szCs w:val="24"/>
          </w:rPr>
          <w:fldChar w:fldCharType="end"/>
        </w:r>
      </w:p>
    </w:sdtContent>
  </w:sdt>
  <w:p w14:paraId="43CA8776" w14:textId="77777777" w:rsidR="00BC17B5" w:rsidRPr="00BC17B5" w:rsidRDefault="00BC1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51984"/>
      <w:docPartObj>
        <w:docPartGallery w:val="Page Numbers (Bottom of Page)"/>
        <w:docPartUnique/>
      </w:docPartObj>
    </w:sdtPr>
    <w:sdtEndPr/>
    <w:sdtContent>
      <w:p w14:paraId="7463AC57" w14:textId="77777777" w:rsidR="00BC17B5" w:rsidRPr="00BC17B5" w:rsidRDefault="00BC17B5">
        <w:pPr>
          <w:pStyle w:val="Footer"/>
          <w:jc w:val="center"/>
        </w:pPr>
        <w:r w:rsidRPr="00BC17B5">
          <w:fldChar w:fldCharType="begin"/>
        </w:r>
        <w:r w:rsidRPr="00BC17B5">
          <w:instrText xml:space="preserve"> PAGE   \* MERGEFORMAT </w:instrText>
        </w:r>
        <w:r w:rsidRPr="00BC17B5">
          <w:fldChar w:fldCharType="separate"/>
        </w:r>
        <w:r w:rsidRPr="00BC17B5">
          <w:t>2</w:t>
        </w:r>
        <w:r w:rsidRPr="00BC17B5">
          <w:fldChar w:fldCharType="end"/>
        </w:r>
      </w:p>
    </w:sdtContent>
  </w:sdt>
  <w:p w14:paraId="2ED773D4" w14:textId="77777777" w:rsidR="00BC17B5" w:rsidRPr="00BC17B5" w:rsidRDefault="00BC1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C7960" w14:textId="77777777" w:rsidR="008379C7" w:rsidRDefault="008379C7">
      <w:pPr>
        <w:spacing w:after="0" w:line="240" w:lineRule="auto"/>
      </w:pPr>
      <w:r>
        <w:separator/>
      </w:r>
    </w:p>
  </w:footnote>
  <w:footnote w:type="continuationSeparator" w:id="0">
    <w:p w14:paraId="2B593066" w14:textId="77777777" w:rsidR="008379C7" w:rsidRDefault="00837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FB47" w14:textId="5146B635" w:rsidR="00525669" w:rsidRDefault="008379C7">
    <w:pPr>
      <w:pStyle w:val="Header"/>
    </w:pPr>
    <w:r>
      <w:rPr>
        <w:noProof/>
      </w:rPr>
      <w:pict w14:anchorId="010C5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3BD" w14:textId="6538DB64" w:rsidR="00BC17B5" w:rsidRPr="00BC17B5" w:rsidRDefault="008379C7" w:rsidP="007015F1">
    <w:pPr>
      <w:pStyle w:val="Header"/>
      <w:jc w:val="center"/>
    </w:pPr>
    <w:r>
      <w:rPr>
        <w:noProof/>
      </w:rPr>
      <w:pict w14:anchorId="34561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41868D3D" w14:textId="77777777" w:rsidR="00BC17B5" w:rsidRPr="00BC17B5" w:rsidRDefault="00BC1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F945" w14:textId="38A59632" w:rsidR="00525669" w:rsidRDefault="008379C7">
    <w:pPr>
      <w:pStyle w:val="Header"/>
    </w:pPr>
    <w:r>
      <w:rPr>
        <w:noProof/>
      </w:rPr>
      <w:pict w14:anchorId="029F6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2C74"/>
    <w:multiLevelType w:val="multilevel"/>
    <w:tmpl w:val="1A70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B5"/>
    <w:rsid w:val="00013F07"/>
    <w:rsid w:val="00016C0C"/>
    <w:rsid w:val="0004130E"/>
    <w:rsid w:val="00082339"/>
    <w:rsid w:val="000A501D"/>
    <w:rsid w:val="000A6749"/>
    <w:rsid w:val="000B799C"/>
    <w:rsid w:val="000D1CCA"/>
    <w:rsid w:val="000E3178"/>
    <w:rsid w:val="000E7BA3"/>
    <w:rsid w:val="000F1B5E"/>
    <w:rsid w:val="000F7261"/>
    <w:rsid w:val="00113CF1"/>
    <w:rsid w:val="00115C6B"/>
    <w:rsid w:val="0016023D"/>
    <w:rsid w:val="001D06B9"/>
    <w:rsid w:val="001D7482"/>
    <w:rsid w:val="001E6A43"/>
    <w:rsid w:val="00226F29"/>
    <w:rsid w:val="00247954"/>
    <w:rsid w:val="002548B5"/>
    <w:rsid w:val="002C34C7"/>
    <w:rsid w:val="002D4D06"/>
    <w:rsid w:val="002E4B3A"/>
    <w:rsid w:val="002E6BEB"/>
    <w:rsid w:val="002F2624"/>
    <w:rsid w:val="003055EE"/>
    <w:rsid w:val="00323FC1"/>
    <w:rsid w:val="00337A80"/>
    <w:rsid w:val="0034561A"/>
    <w:rsid w:val="00361FBE"/>
    <w:rsid w:val="00362B73"/>
    <w:rsid w:val="00364314"/>
    <w:rsid w:val="00381795"/>
    <w:rsid w:val="00381C05"/>
    <w:rsid w:val="00395830"/>
    <w:rsid w:val="003A4696"/>
    <w:rsid w:val="003A4E4E"/>
    <w:rsid w:val="003A7646"/>
    <w:rsid w:val="003A78C7"/>
    <w:rsid w:val="003C1445"/>
    <w:rsid w:val="003C23A4"/>
    <w:rsid w:val="003E2C28"/>
    <w:rsid w:val="003F358B"/>
    <w:rsid w:val="004022A5"/>
    <w:rsid w:val="00403412"/>
    <w:rsid w:val="00452F0F"/>
    <w:rsid w:val="004923F0"/>
    <w:rsid w:val="0049639E"/>
    <w:rsid w:val="004E498C"/>
    <w:rsid w:val="004E77B8"/>
    <w:rsid w:val="005054A9"/>
    <w:rsid w:val="00525669"/>
    <w:rsid w:val="0054200E"/>
    <w:rsid w:val="0054738D"/>
    <w:rsid w:val="0055118B"/>
    <w:rsid w:val="00553E6A"/>
    <w:rsid w:val="00555298"/>
    <w:rsid w:val="005B72AB"/>
    <w:rsid w:val="005D6F8F"/>
    <w:rsid w:val="00620824"/>
    <w:rsid w:val="0065779E"/>
    <w:rsid w:val="00674ABB"/>
    <w:rsid w:val="006965EF"/>
    <w:rsid w:val="006B7267"/>
    <w:rsid w:val="006C2D93"/>
    <w:rsid w:val="006C5DDD"/>
    <w:rsid w:val="006D3914"/>
    <w:rsid w:val="006D4F70"/>
    <w:rsid w:val="006F7A9F"/>
    <w:rsid w:val="0070126E"/>
    <w:rsid w:val="00701B2F"/>
    <w:rsid w:val="00733492"/>
    <w:rsid w:val="00744521"/>
    <w:rsid w:val="00744B31"/>
    <w:rsid w:val="00774AAC"/>
    <w:rsid w:val="00775BE3"/>
    <w:rsid w:val="00785BC6"/>
    <w:rsid w:val="00793A09"/>
    <w:rsid w:val="007D0787"/>
    <w:rsid w:val="007D6BCA"/>
    <w:rsid w:val="007D6D9E"/>
    <w:rsid w:val="007E61C7"/>
    <w:rsid w:val="007F3241"/>
    <w:rsid w:val="007F370C"/>
    <w:rsid w:val="0080188E"/>
    <w:rsid w:val="00801D5B"/>
    <w:rsid w:val="00814668"/>
    <w:rsid w:val="00834EF5"/>
    <w:rsid w:val="008379C7"/>
    <w:rsid w:val="00850CB2"/>
    <w:rsid w:val="00853A3B"/>
    <w:rsid w:val="00870996"/>
    <w:rsid w:val="00872A71"/>
    <w:rsid w:val="00877842"/>
    <w:rsid w:val="00886F1B"/>
    <w:rsid w:val="008D0FD1"/>
    <w:rsid w:val="008E2A7B"/>
    <w:rsid w:val="008F059A"/>
    <w:rsid w:val="008F21BC"/>
    <w:rsid w:val="00943A32"/>
    <w:rsid w:val="0094449B"/>
    <w:rsid w:val="00956060"/>
    <w:rsid w:val="009A08D1"/>
    <w:rsid w:val="00A0401F"/>
    <w:rsid w:val="00A11776"/>
    <w:rsid w:val="00A268CE"/>
    <w:rsid w:val="00A67DAE"/>
    <w:rsid w:val="00A9274E"/>
    <w:rsid w:val="00AA1155"/>
    <w:rsid w:val="00AA7B99"/>
    <w:rsid w:val="00AA7D1C"/>
    <w:rsid w:val="00AF573F"/>
    <w:rsid w:val="00AF78BF"/>
    <w:rsid w:val="00B20F0F"/>
    <w:rsid w:val="00B54693"/>
    <w:rsid w:val="00B56F2E"/>
    <w:rsid w:val="00B57E59"/>
    <w:rsid w:val="00B6342F"/>
    <w:rsid w:val="00B641D8"/>
    <w:rsid w:val="00B65495"/>
    <w:rsid w:val="00B72C83"/>
    <w:rsid w:val="00B90DEB"/>
    <w:rsid w:val="00BB2E97"/>
    <w:rsid w:val="00BC17B5"/>
    <w:rsid w:val="00BE2F29"/>
    <w:rsid w:val="00BF1CEC"/>
    <w:rsid w:val="00C36FA7"/>
    <w:rsid w:val="00C76343"/>
    <w:rsid w:val="00C932BB"/>
    <w:rsid w:val="00CF316B"/>
    <w:rsid w:val="00DA2A2F"/>
    <w:rsid w:val="00DB14D9"/>
    <w:rsid w:val="00DB49B3"/>
    <w:rsid w:val="00DD2245"/>
    <w:rsid w:val="00DF0F48"/>
    <w:rsid w:val="00DF1840"/>
    <w:rsid w:val="00E05760"/>
    <w:rsid w:val="00E14E41"/>
    <w:rsid w:val="00E253B2"/>
    <w:rsid w:val="00E326F5"/>
    <w:rsid w:val="00E340CD"/>
    <w:rsid w:val="00E53D0D"/>
    <w:rsid w:val="00E602A7"/>
    <w:rsid w:val="00E75298"/>
    <w:rsid w:val="00E80C21"/>
    <w:rsid w:val="00E87314"/>
    <w:rsid w:val="00EB0637"/>
    <w:rsid w:val="00EC6680"/>
    <w:rsid w:val="00EC7C33"/>
    <w:rsid w:val="00F026E4"/>
    <w:rsid w:val="00F057B2"/>
    <w:rsid w:val="00F07AAC"/>
    <w:rsid w:val="00F13CDB"/>
    <w:rsid w:val="00F13DAB"/>
    <w:rsid w:val="00F45185"/>
    <w:rsid w:val="00F60A38"/>
    <w:rsid w:val="00F671DC"/>
    <w:rsid w:val="00FB57CF"/>
    <w:rsid w:val="00FC2EDD"/>
    <w:rsid w:val="00FC6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B91C3"/>
  <w15:chartTrackingRefBased/>
  <w15:docId w15:val="{1F84D63C-AEC3-4BBD-8CAE-E5059B8A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7B5"/>
    <w:rPr>
      <w:rFonts w:eastAsiaTheme="majorEastAsia" w:cstheme="majorBidi"/>
      <w:color w:val="272727" w:themeColor="text1" w:themeTint="D8"/>
    </w:rPr>
  </w:style>
  <w:style w:type="paragraph" w:styleId="Title">
    <w:name w:val="Title"/>
    <w:basedOn w:val="Normal"/>
    <w:next w:val="Normal"/>
    <w:link w:val="TitleChar"/>
    <w:uiPriority w:val="10"/>
    <w:qFormat/>
    <w:rsid w:val="00BC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B5"/>
    <w:pPr>
      <w:spacing w:before="160"/>
      <w:jc w:val="center"/>
    </w:pPr>
    <w:rPr>
      <w:i/>
      <w:iCs/>
      <w:color w:val="404040" w:themeColor="text1" w:themeTint="BF"/>
    </w:rPr>
  </w:style>
  <w:style w:type="character" w:customStyle="1" w:styleId="QuoteChar">
    <w:name w:val="Quote Char"/>
    <w:basedOn w:val="DefaultParagraphFont"/>
    <w:link w:val="Quote"/>
    <w:uiPriority w:val="29"/>
    <w:rsid w:val="00BC17B5"/>
    <w:rPr>
      <w:i/>
      <w:iCs/>
      <w:color w:val="404040" w:themeColor="text1" w:themeTint="BF"/>
    </w:rPr>
  </w:style>
  <w:style w:type="paragraph" w:styleId="ListParagraph">
    <w:name w:val="List Paragraph"/>
    <w:basedOn w:val="Normal"/>
    <w:uiPriority w:val="34"/>
    <w:qFormat/>
    <w:rsid w:val="00BC17B5"/>
    <w:pPr>
      <w:ind w:left="720"/>
      <w:contextualSpacing/>
    </w:pPr>
  </w:style>
  <w:style w:type="character" w:styleId="IntenseEmphasis">
    <w:name w:val="Intense Emphasis"/>
    <w:basedOn w:val="DefaultParagraphFont"/>
    <w:uiPriority w:val="21"/>
    <w:qFormat/>
    <w:rsid w:val="00BC17B5"/>
    <w:rPr>
      <w:i/>
      <w:iCs/>
      <w:color w:val="0F4761" w:themeColor="accent1" w:themeShade="BF"/>
    </w:rPr>
  </w:style>
  <w:style w:type="paragraph" w:styleId="IntenseQuote">
    <w:name w:val="Intense Quote"/>
    <w:basedOn w:val="Normal"/>
    <w:next w:val="Normal"/>
    <w:link w:val="IntenseQuoteChar"/>
    <w:uiPriority w:val="30"/>
    <w:qFormat/>
    <w:rsid w:val="00BC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7B5"/>
    <w:rPr>
      <w:i/>
      <w:iCs/>
      <w:color w:val="0F4761" w:themeColor="accent1" w:themeShade="BF"/>
    </w:rPr>
  </w:style>
  <w:style w:type="character" w:styleId="IntenseReference">
    <w:name w:val="Intense Reference"/>
    <w:basedOn w:val="DefaultParagraphFont"/>
    <w:uiPriority w:val="32"/>
    <w:qFormat/>
    <w:rsid w:val="00BC17B5"/>
    <w:rPr>
      <w:b/>
      <w:bCs/>
      <w:smallCaps/>
      <w:color w:val="0F4761" w:themeColor="accent1" w:themeShade="BF"/>
      <w:spacing w:val="5"/>
    </w:rPr>
  </w:style>
  <w:style w:type="paragraph" w:styleId="Header">
    <w:name w:val="header"/>
    <w:basedOn w:val="Normal"/>
    <w:link w:val="HeaderChar"/>
    <w:uiPriority w:val="99"/>
    <w:unhideWhenUsed/>
    <w:rsid w:val="00BC1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7B5"/>
    <w:rPr>
      <w:lang w:val="en-GB"/>
    </w:rPr>
  </w:style>
  <w:style w:type="paragraph" w:styleId="Footer">
    <w:name w:val="footer"/>
    <w:basedOn w:val="Normal"/>
    <w:link w:val="FooterChar"/>
    <w:uiPriority w:val="99"/>
    <w:unhideWhenUsed/>
    <w:rsid w:val="00BC1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7B5"/>
    <w:rPr>
      <w:lang w:val="en-GB"/>
    </w:rPr>
  </w:style>
  <w:style w:type="character" w:styleId="Hyperlink">
    <w:name w:val="Hyperlink"/>
    <w:basedOn w:val="DefaultParagraphFont"/>
    <w:uiPriority w:val="99"/>
    <w:unhideWhenUsed/>
    <w:rsid w:val="00BC17B5"/>
    <w:rPr>
      <w:color w:val="467886" w:themeColor="hyperlink"/>
      <w:u w:val="single"/>
    </w:rPr>
  </w:style>
  <w:style w:type="character" w:customStyle="1" w:styleId="UnresolvedMention1">
    <w:name w:val="Unresolved Mention1"/>
    <w:basedOn w:val="DefaultParagraphFont"/>
    <w:uiPriority w:val="99"/>
    <w:semiHidden/>
    <w:unhideWhenUsed/>
    <w:rsid w:val="00BC17B5"/>
    <w:rPr>
      <w:color w:val="605E5C"/>
      <w:shd w:val="clear" w:color="auto" w:fill="E1DFDD"/>
    </w:rPr>
  </w:style>
  <w:style w:type="paragraph" w:styleId="Bibliography">
    <w:name w:val="Bibliography"/>
    <w:basedOn w:val="Normal"/>
    <w:next w:val="Normal"/>
    <w:uiPriority w:val="37"/>
    <w:unhideWhenUsed/>
    <w:rsid w:val="00BC17B5"/>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6C5DDD"/>
    <w:rPr>
      <w:sz w:val="16"/>
      <w:szCs w:val="16"/>
    </w:rPr>
  </w:style>
  <w:style w:type="paragraph" w:styleId="CommentText">
    <w:name w:val="annotation text"/>
    <w:basedOn w:val="Normal"/>
    <w:link w:val="CommentTextChar"/>
    <w:uiPriority w:val="99"/>
    <w:unhideWhenUsed/>
    <w:rsid w:val="006C5DDD"/>
    <w:pPr>
      <w:spacing w:line="240" w:lineRule="auto"/>
    </w:pPr>
    <w:rPr>
      <w:sz w:val="20"/>
      <w:szCs w:val="20"/>
    </w:rPr>
  </w:style>
  <w:style w:type="character" w:customStyle="1" w:styleId="CommentTextChar">
    <w:name w:val="Comment Text Char"/>
    <w:basedOn w:val="DefaultParagraphFont"/>
    <w:link w:val="CommentText"/>
    <w:uiPriority w:val="99"/>
    <w:rsid w:val="006C5DDD"/>
    <w:rPr>
      <w:sz w:val="20"/>
      <w:szCs w:val="20"/>
    </w:rPr>
  </w:style>
  <w:style w:type="paragraph" w:styleId="CommentSubject">
    <w:name w:val="annotation subject"/>
    <w:basedOn w:val="CommentText"/>
    <w:next w:val="CommentText"/>
    <w:link w:val="CommentSubjectChar"/>
    <w:uiPriority w:val="99"/>
    <w:semiHidden/>
    <w:unhideWhenUsed/>
    <w:rsid w:val="006C5DDD"/>
    <w:rPr>
      <w:b/>
      <w:bCs/>
    </w:rPr>
  </w:style>
  <w:style w:type="character" w:customStyle="1" w:styleId="CommentSubjectChar">
    <w:name w:val="Comment Subject Char"/>
    <w:basedOn w:val="CommentTextChar"/>
    <w:link w:val="CommentSubject"/>
    <w:uiPriority w:val="99"/>
    <w:semiHidden/>
    <w:rsid w:val="006C5DDD"/>
    <w:rPr>
      <w:b/>
      <w:bCs/>
      <w:sz w:val="20"/>
      <w:szCs w:val="20"/>
    </w:rPr>
  </w:style>
  <w:style w:type="paragraph" w:styleId="Revision">
    <w:name w:val="Revision"/>
    <w:hidden/>
    <w:uiPriority w:val="99"/>
    <w:semiHidden/>
    <w:rsid w:val="00364314"/>
    <w:pPr>
      <w:spacing w:after="0" w:line="240" w:lineRule="auto"/>
    </w:pPr>
  </w:style>
  <w:style w:type="paragraph" w:styleId="BalloonText">
    <w:name w:val="Balloon Text"/>
    <w:basedOn w:val="Normal"/>
    <w:link w:val="BalloonTextChar"/>
    <w:uiPriority w:val="99"/>
    <w:semiHidden/>
    <w:unhideWhenUsed/>
    <w:rsid w:val="00361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91198">
      <w:bodyDiv w:val="1"/>
      <w:marLeft w:val="0"/>
      <w:marRight w:val="0"/>
      <w:marTop w:val="0"/>
      <w:marBottom w:val="0"/>
      <w:divBdr>
        <w:top w:val="none" w:sz="0" w:space="0" w:color="auto"/>
        <w:left w:val="none" w:sz="0" w:space="0" w:color="auto"/>
        <w:bottom w:val="none" w:sz="0" w:space="0" w:color="auto"/>
        <w:right w:val="none" w:sz="0" w:space="0" w:color="auto"/>
      </w:divBdr>
    </w:div>
    <w:div w:id="955647100">
      <w:bodyDiv w:val="1"/>
      <w:marLeft w:val="0"/>
      <w:marRight w:val="0"/>
      <w:marTop w:val="0"/>
      <w:marBottom w:val="0"/>
      <w:divBdr>
        <w:top w:val="none" w:sz="0" w:space="0" w:color="auto"/>
        <w:left w:val="none" w:sz="0" w:space="0" w:color="auto"/>
        <w:bottom w:val="none" w:sz="0" w:space="0" w:color="auto"/>
        <w:right w:val="none" w:sz="0" w:space="0" w:color="auto"/>
      </w:divBdr>
    </w:div>
    <w:div w:id="1381784060">
      <w:bodyDiv w:val="1"/>
      <w:marLeft w:val="0"/>
      <w:marRight w:val="0"/>
      <w:marTop w:val="0"/>
      <w:marBottom w:val="0"/>
      <w:divBdr>
        <w:top w:val="none" w:sz="0" w:space="0" w:color="auto"/>
        <w:left w:val="none" w:sz="0" w:space="0" w:color="auto"/>
        <w:bottom w:val="none" w:sz="0" w:space="0" w:color="auto"/>
        <w:right w:val="none" w:sz="0" w:space="0" w:color="auto"/>
      </w:divBdr>
    </w:div>
    <w:div w:id="18299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4851-F5E7-46FF-BC13-F2E0A5F7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23227</Words>
  <Characters>132397</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Zammit Vanessa at MHA - NBTS</dc:creator>
  <cp:keywords/>
  <dc:description/>
  <cp:lastModifiedBy>Editor-11</cp:lastModifiedBy>
  <cp:revision>19</cp:revision>
  <dcterms:created xsi:type="dcterms:W3CDTF">2025-08-24T13:43:00Z</dcterms:created>
  <dcterms:modified xsi:type="dcterms:W3CDTF">2025-08-29T10:43:00Z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id="sGNYrFRZ"/&gt;&lt;style id="http://www.zotero.org/styles/vancouver" locale="en-GB" hasBibliography="1" bibliographyStyleHasBeenSet="1"/&gt;&lt;prefs&gt;&lt;pref name="fieldType" value="Field"/&gt;&lt;/prefs&gt;&lt;/data&gt;</vt:lpwstr>
  </property>
</Properties>
</file>