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8D75B" w14:textId="77777777" w:rsidR="006A40FC" w:rsidRPr="00927915" w:rsidRDefault="00F95F28">
      <w:pPr>
        <w:jc w:val="center"/>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EFFECTS OF </w:t>
      </w:r>
      <w:r w:rsidR="00A0478D" w:rsidRPr="00927915">
        <w:rPr>
          <w:rFonts w:ascii="Times New Roman" w:eastAsia="Times New Roman" w:hAnsi="Times New Roman" w:cs="Times New Roman"/>
          <w:b/>
          <w:sz w:val="24"/>
          <w:szCs w:val="24"/>
        </w:rPr>
        <w:t xml:space="preserve">HEXANE EXTRACT OF </w:t>
      </w:r>
      <w:r w:rsidRPr="00927915">
        <w:rPr>
          <w:rFonts w:ascii="Times New Roman" w:eastAsia="Times New Roman" w:hAnsi="Times New Roman" w:cs="Times New Roman"/>
          <w:b/>
          <w:i/>
          <w:sz w:val="24"/>
          <w:szCs w:val="24"/>
        </w:rPr>
        <w:t>ATTALEA PHALERATA</w:t>
      </w:r>
      <w:r w:rsidRPr="00927915">
        <w:rPr>
          <w:rFonts w:ascii="Times New Roman" w:eastAsia="Times New Roman" w:hAnsi="Times New Roman" w:cs="Times New Roman"/>
          <w:b/>
          <w:sz w:val="24"/>
          <w:szCs w:val="24"/>
        </w:rPr>
        <w:t xml:space="preserve"> MART. EX SPRENG. ON BIOCHEMICAL AND OXIDATIVE PARAMETERS OF SWISS MICE.</w:t>
      </w:r>
    </w:p>
    <w:p w14:paraId="108A9EDF" w14:textId="77777777" w:rsidR="006A40FC" w:rsidRPr="00927915" w:rsidRDefault="006A40FC">
      <w:pPr>
        <w:widowControl w:val="0"/>
        <w:tabs>
          <w:tab w:val="left" w:pos="709"/>
        </w:tabs>
        <w:spacing w:after="0" w:line="360" w:lineRule="auto"/>
        <w:jc w:val="center"/>
        <w:rPr>
          <w:rFonts w:ascii="Times New Roman" w:eastAsia="Times New Roman" w:hAnsi="Times New Roman" w:cs="Times New Roman"/>
          <w:b/>
          <w:sz w:val="24"/>
          <w:szCs w:val="24"/>
        </w:rPr>
      </w:pPr>
    </w:p>
    <w:p w14:paraId="30FD8F34" w14:textId="77777777" w:rsidR="00F820FD" w:rsidRPr="00927915" w:rsidRDefault="00F820FD">
      <w:pPr>
        <w:widowControl w:val="0"/>
        <w:spacing w:after="0" w:line="360" w:lineRule="auto"/>
        <w:jc w:val="both"/>
        <w:rPr>
          <w:rFonts w:ascii="Times New Roman" w:eastAsia="Times New Roman" w:hAnsi="Times New Roman" w:cs="Times New Roman"/>
          <w:b/>
          <w:sz w:val="24"/>
          <w:szCs w:val="24"/>
        </w:rPr>
      </w:pPr>
      <w:bookmarkStart w:id="0" w:name="_heading=h.pl0oly66xlj0" w:colFirst="0" w:colLast="0"/>
      <w:bookmarkEnd w:id="0"/>
    </w:p>
    <w:p w14:paraId="0A6B8E98" w14:textId="77777777" w:rsidR="00026887" w:rsidRDefault="00F95F28" w:rsidP="00026887">
      <w:pPr>
        <w:widowControl w:val="0"/>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ABSTRACT</w:t>
      </w:r>
    </w:p>
    <w:p w14:paraId="5B4A0262" w14:textId="77777777" w:rsidR="00026887" w:rsidRPr="00927915" w:rsidRDefault="00026887" w:rsidP="00026887">
      <w:pPr>
        <w:widowControl w:val="0"/>
        <w:spacing w:after="0" w:line="360" w:lineRule="auto"/>
        <w:jc w:val="both"/>
        <w:rPr>
          <w:rFonts w:ascii="Times New Roman" w:eastAsia="Times New Roman" w:hAnsi="Times New Roman" w:cs="Times New Roman"/>
          <w:b/>
          <w:sz w:val="24"/>
          <w:szCs w:val="24"/>
        </w:rPr>
      </w:pPr>
    </w:p>
    <w:p w14:paraId="59941184" w14:textId="027F4A7A" w:rsidR="00026887" w:rsidRPr="00927915" w:rsidRDefault="00F95F28" w:rsidP="00026887">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i/>
          <w:sz w:val="24"/>
          <w:szCs w:val="24"/>
        </w:rPr>
        <w:t xml:space="preserve">Attalea phalerata </w:t>
      </w:r>
      <w:r w:rsidRPr="00927915">
        <w:rPr>
          <w:rFonts w:ascii="Times New Roman" w:eastAsia="Times New Roman" w:hAnsi="Times New Roman" w:cs="Times New Roman"/>
          <w:sz w:val="24"/>
          <w:szCs w:val="24"/>
        </w:rPr>
        <w:t xml:space="preserve">Mart. ex Spreng it is a palm tree typical of the Pantanal region of Mato Grosso, whose pulp oil is rich in carotenoids, mainly β-carotene, as well as fatty acids. The study evaluated the effect of administering hexane extract (oil) of </w:t>
      </w:r>
      <w:r w:rsidRPr="0092791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 </w:t>
      </w:r>
      <w:r w:rsidRPr="00927915">
        <w:rPr>
          <w:rFonts w:ascii="Times New Roman" w:eastAsia="Times New Roman" w:hAnsi="Times New Roman" w:cs="Times New Roman"/>
          <w:i/>
          <w:sz w:val="24"/>
          <w:szCs w:val="24"/>
        </w:rPr>
        <w:t>phalerata</w:t>
      </w:r>
      <w:r w:rsidRPr="00927915">
        <w:rPr>
          <w:rFonts w:ascii="Times New Roman" w:eastAsia="Times New Roman" w:hAnsi="Times New Roman" w:cs="Times New Roman"/>
          <w:sz w:val="24"/>
          <w:szCs w:val="24"/>
        </w:rPr>
        <w:t xml:space="preserve"> on the m</w:t>
      </w:r>
      <w:r w:rsidRPr="00927915">
        <w:rPr>
          <w:rFonts w:ascii="Times New Roman" w:eastAsia="Times New Roman" w:hAnsi="Times New Roman" w:cs="Times New Roman"/>
          <w:sz w:val="24"/>
          <w:szCs w:val="24"/>
        </w:rPr>
        <w:t>etabolic and oxidative profile of animals. Twenty-one-day-old Swiss mice (n=3</w:t>
      </w:r>
      <w:r>
        <w:rPr>
          <w:rFonts w:ascii="Times New Roman" w:eastAsia="Times New Roman" w:hAnsi="Times New Roman" w:cs="Times New Roman"/>
          <w:sz w:val="24"/>
          <w:szCs w:val="24"/>
        </w:rPr>
        <w:t>1</w:t>
      </w:r>
      <w:r w:rsidRPr="00927915">
        <w:rPr>
          <w:rFonts w:ascii="Times New Roman" w:eastAsia="Times New Roman" w:hAnsi="Times New Roman" w:cs="Times New Roman"/>
          <w:sz w:val="24"/>
          <w:szCs w:val="24"/>
        </w:rPr>
        <w:t>) were divided into three groups: Control group (C) received a diet for rodents AIN 93G; Vitamin</w:t>
      </w:r>
      <w:r>
        <w:rPr>
          <w:rFonts w:ascii="Times New Roman" w:eastAsia="Times New Roman" w:hAnsi="Times New Roman" w:cs="Times New Roman"/>
          <w:sz w:val="24"/>
          <w:szCs w:val="24"/>
        </w:rPr>
        <w:t>-</w:t>
      </w:r>
      <w:r w:rsidRPr="00927915">
        <w:rPr>
          <w:rFonts w:ascii="Times New Roman" w:eastAsia="Times New Roman" w:hAnsi="Times New Roman" w:cs="Times New Roman"/>
          <w:sz w:val="24"/>
          <w:szCs w:val="24"/>
        </w:rPr>
        <w:t xml:space="preserve">A Deficient group (VAD) received a diet AIN 93G without Vitamin A; and the </w:t>
      </w:r>
      <w:r w:rsidRPr="0092791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w:t>
      </w:r>
      <w:r w:rsidRPr="00927915">
        <w:rPr>
          <w:rFonts w:ascii="Times New Roman" w:eastAsia="Times New Roman" w:hAnsi="Times New Roman" w:cs="Times New Roman"/>
          <w:i/>
          <w:sz w:val="24"/>
          <w:szCs w:val="24"/>
        </w:rPr>
        <w:t xml:space="preserve"> phalerata</w:t>
      </w:r>
      <w:r w:rsidRPr="00927915">
        <w:rPr>
          <w:rFonts w:ascii="Times New Roman" w:eastAsia="Times New Roman" w:hAnsi="Times New Roman" w:cs="Times New Roman"/>
          <w:sz w:val="24"/>
          <w:szCs w:val="24"/>
        </w:rPr>
        <w:t xml:space="preserve"> oil group (AO) received a diet AIN 93G without vitamin A, and soybean oil was replaced by </w:t>
      </w:r>
      <w:r w:rsidRPr="0092791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 </w:t>
      </w:r>
      <w:r w:rsidRPr="00927915">
        <w:rPr>
          <w:rFonts w:ascii="Times New Roman" w:eastAsia="Times New Roman" w:hAnsi="Times New Roman" w:cs="Times New Roman"/>
          <w:i/>
          <w:sz w:val="24"/>
          <w:szCs w:val="24"/>
        </w:rPr>
        <w:t>phalerata</w:t>
      </w:r>
      <w:r w:rsidRPr="00927915">
        <w:rPr>
          <w:rFonts w:ascii="Times New Roman" w:eastAsia="Times New Roman" w:hAnsi="Times New Roman" w:cs="Times New Roman"/>
          <w:sz w:val="24"/>
          <w:szCs w:val="24"/>
        </w:rPr>
        <w:t xml:space="preserve"> oil. At the end of 45 days, blood and tissues were collected for biochemical, metabolic, and oxidative analyses. </w:t>
      </w:r>
      <w:r>
        <w:rPr>
          <w:rFonts w:ascii="Times New Roman" w:eastAsia="Times New Roman" w:hAnsi="Times New Roman" w:cs="Times New Roman"/>
          <w:sz w:val="24"/>
          <w:szCs w:val="24"/>
        </w:rPr>
        <w:t>T</w:t>
      </w:r>
      <w:r w:rsidRPr="00927915">
        <w:rPr>
          <w:rFonts w:ascii="Times New Roman" w:eastAsia="Times New Roman" w:hAnsi="Times New Roman" w:cs="Times New Roman"/>
          <w:sz w:val="24"/>
          <w:szCs w:val="24"/>
        </w:rPr>
        <w:t>he final body weight did not</w:t>
      </w:r>
      <w:r w:rsidRPr="00927915">
        <w:rPr>
          <w:rFonts w:ascii="Times New Roman" w:eastAsia="Times New Roman" w:hAnsi="Times New Roman" w:cs="Times New Roman"/>
          <w:sz w:val="24"/>
          <w:szCs w:val="24"/>
        </w:rPr>
        <w:t xml:space="preserve"> alter in mice. </w:t>
      </w:r>
      <w:r>
        <w:rPr>
          <w:rFonts w:ascii="Times New Roman" w:eastAsia="Times New Roman" w:hAnsi="Times New Roman" w:cs="Times New Roman"/>
          <w:sz w:val="24"/>
          <w:szCs w:val="24"/>
        </w:rPr>
        <w:t>B</w:t>
      </w:r>
      <w:r w:rsidRPr="00927915">
        <w:rPr>
          <w:rFonts w:ascii="Times New Roman" w:eastAsia="Times New Roman" w:hAnsi="Times New Roman" w:cs="Times New Roman"/>
          <w:sz w:val="24"/>
          <w:szCs w:val="24"/>
        </w:rPr>
        <w:t>lood glucose levels</w:t>
      </w:r>
      <w:r>
        <w:rPr>
          <w:rFonts w:ascii="Times New Roman" w:eastAsia="Times New Roman" w:hAnsi="Times New Roman" w:cs="Times New Roman"/>
          <w:sz w:val="24"/>
          <w:szCs w:val="24"/>
        </w:rPr>
        <w:t xml:space="preserve"> and</w:t>
      </w:r>
      <w:r w:rsidRPr="00927915">
        <w:rPr>
          <w:rFonts w:ascii="Times New Roman" w:eastAsia="Times New Roman" w:hAnsi="Times New Roman" w:cs="Times New Roman"/>
          <w:sz w:val="24"/>
          <w:szCs w:val="24"/>
        </w:rPr>
        <w:t xml:space="preserve"> the lipid profile were reduced in the VAD group and increased in the AO group</w:t>
      </w:r>
      <w:r>
        <w:rPr>
          <w:rFonts w:ascii="Times New Roman" w:eastAsia="Times New Roman" w:hAnsi="Times New Roman" w:cs="Times New Roman"/>
          <w:sz w:val="24"/>
          <w:szCs w:val="24"/>
        </w:rPr>
        <w:t xml:space="preserve"> versus </w:t>
      </w:r>
      <w:r w:rsidRPr="00927915">
        <w:rPr>
          <w:rFonts w:ascii="Times New Roman" w:eastAsia="Times New Roman" w:hAnsi="Times New Roman" w:cs="Times New Roman"/>
          <w:sz w:val="24"/>
          <w:szCs w:val="24"/>
        </w:rPr>
        <w:t>the C group.</w:t>
      </w:r>
      <w:r w:rsidR="00465B00">
        <w:rPr>
          <w:rFonts w:ascii="Times New Roman" w:eastAsia="Times New Roman" w:hAnsi="Times New Roman" w:cs="Times New Roman"/>
          <w:sz w:val="24"/>
          <w:szCs w:val="24"/>
        </w:rPr>
        <w:t xml:space="preserve"> </w:t>
      </w:r>
      <w:r w:rsidRPr="00927915">
        <w:rPr>
          <w:rFonts w:ascii="Times New Roman" w:eastAsia="Times New Roman" w:hAnsi="Times New Roman" w:cs="Times New Roman"/>
          <w:sz w:val="24"/>
          <w:szCs w:val="24"/>
        </w:rPr>
        <w:t>On the other hand, aspartate aminotransferase (AST), alanine aminotransferase (ALT), and the AST/ALT ratio were highe</w:t>
      </w:r>
      <w:r w:rsidRPr="00927915">
        <w:rPr>
          <w:rFonts w:ascii="Times New Roman" w:eastAsia="Times New Roman" w:hAnsi="Times New Roman" w:cs="Times New Roman"/>
          <w:sz w:val="24"/>
          <w:szCs w:val="24"/>
        </w:rPr>
        <w:t xml:space="preserve">r both in the VAD and AO groups. There was also a 23% reduction in perirenal adipose tissue in the VAD group compared to the C group. Hepatic glycogen levels were higher in the AO group than in the C and VAD groups. There was an increase greater than 100% </w:t>
      </w:r>
      <w:r w:rsidRPr="00927915">
        <w:rPr>
          <w:rFonts w:ascii="Times New Roman" w:eastAsia="Times New Roman" w:hAnsi="Times New Roman" w:cs="Times New Roman"/>
          <w:sz w:val="24"/>
          <w:szCs w:val="24"/>
        </w:rPr>
        <w:t>in the carbonylated protein levels in the liver of the AO group</w:t>
      </w:r>
      <w:r>
        <w:rPr>
          <w:rFonts w:ascii="Times New Roman" w:eastAsia="Times New Roman" w:hAnsi="Times New Roman" w:cs="Times New Roman"/>
          <w:sz w:val="24"/>
          <w:szCs w:val="24"/>
        </w:rPr>
        <w:t xml:space="preserve"> versus </w:t>
      </w:r>
      <w:r w:rsidRPr="00927915">
        <w:rPr>
          <w:rFonts w:ascii="Times New Roman" w:eastAsia="Times New Roman" w:hAnsi="Times New Roman" w:cs="Times New Roman"/>
          <w:sz w:val="24"/>
          <w:szCs w:val="24"/>
        </w:rPr>
        <w:t xml:space="preserve">the C and the VAD groups. The changes observed in the VAD group were attributed to vitamin A deficiency. The presence of </w:t>
      </w:r>
      <w:r w:rsidRPr="00927915">
        <w:rPr>
          <w:rFonts w:ascii="Times New Roman" w:eastAsia="Times New Roman" w:hAnsi="Times New Roman" w:cs="Times New Roman"/>
          <w:i/>
          <w:sz w:val="24"/>
          <w:szCs w:val="24"/>
        </w:rPr>
        <w:t>A. phalerata</w:t>
      </w:r>
      <w:r w:rsidRPr="00927915">
        <w:rPr>
          <w:rFonts w:ascii="Times New Roman" w:eastAsia="Times New Roman" w:hAnsi="Times New Roman" w:cs="Times New Roman"/>
          <w:sz w:val="24"/>
          <w:szCs w:val="24"/>
        </w:rPr>
        <w:t xml:space="preserve"> oil in the diet altered biochemical parameters rela</w:t>
      </w:r>
      <w:r w:rsidRPr="00927915">
        <w:rPr>
          <w:rFonts w:ascii="Times New Roman" w:eastAsia="Times New Roman" w:hAnsi="Times New Roman" w:cs="Times New Roman"/>
          <w:sz w:val="24"/>
          <w:szCs w:val="24"/>
        </w:rPr>
        <w:t>ted to carbohydrate and lipid metabolism, resulting in increased serum glucose</w:t>
      </w:r>
      <w:r>
        <w:rPr>
          <w:rFonts w:ascii="Times New Roman" w:eastAsia="Times New Roman" w:hAnsi="Times New Roman" w:cs="Times New Roman"/>
          <w:sz w:val="24"/>
          <w:szCs w:val="24"/>
        </w:rPr>
        <w:t xml:space="preserve">, </w:t>
      </w:r>
      <w:r w:rsidRPr="00927915">
        <w:rPr>
          <w:rFonts w:ascii="Times New Roman" w:eastAsia="Times New Roman" w:hAnsi="Times New Roman" w:cs="Times New Roman"/>
          <w:sz w:val="24"/>
          <w:szCs w:val="24"/>
        </w:rPr>
        <w:t>lipid levels,</w:t>
      </w:r>
      <w:r>
        <w:rPr>
          <w:rFonts w:ascii="Times New Roman" w:eastAsia="Times New Roman" w:hAnsi="Times New Roman" w:cs="Times New Roman"/>
          <w:sz w:val="24"/>
          <w:szCs w:val="24"/>
        </w:rPr>
        <w:t xml:space="preserve"> and </w:t>
      </w:r>
      <w:r w:rsidRPr="00927915">
        <w:rPr>
          <w:rFonts w:ascii="Times New Roman" w:eastAsia="Times New Roman" w:hAnsi="Times New Roman" w:cs="Times New Roman"/>
          <w:sz w:val="24"/>
          <w:szCs w:val="24"/>
        </w:rPr>
        <w:t>hepatic glycogen. The increased levels of carbonylated proteins in the liver indicate an increase in oxidative damage.</w:t>
      </w:r>
    </w:p>
    <w:p w14:paraId="2070C85A" w14:textId="77777777" w:rsidR="00026887" w:rsidRDefault="00026887" w:rsidP="00026887"/>
    <w:p w14:paraId="21C2DE8B" w14:textId="77777777" w:rsidR="006A40FC" w:rsidRPr="00927915" w:rsidRDefault="00F95F28">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b/>
          <w:sz w:val="24"/>
          <w:szCs w:val="24"/>
        </w:rPr>
        <w:t xml:space="preserve">Keywords: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Mart. ex Spreng.; Vitamin A; Swiss mice; </w:t>
      </w:r>
      <w:r w:rsidR="00752679" w:rsidRPr="00927915">
        <w:rPr>
          <w:rFonts w:ascii="Times New Roman" w:eastAsia="Times New Roman" w:hAnsi="Times New Roman" w:cs="Times New Roman"/>
          <w:i/>
          <w:sz w:val="24"/>
          <w:szCs w:val="24"/>
        </w:rPr>
        <w:t>a</w:t>
      </w:r>
      <w:r w:rsidRPr="00927915">
        <w:rPr>
          <w:rFonts w:ascii="Times New Roman" w:eastAsia="Times New Roman" w:hAnsi="Times New Roman" w:cs="Times New Roman"/>
          <w:i/>
          <w:sz w:val="24"/>
          <w:szCs w:val="24"/>
        </w:rPr>
        <w:t>curi</w:t>
      </w:r>
      <w:r w:rsidRPr="00927915">
        <w:rPr>
          <w:rFonts w:ascii="Times New Roman" w:eastAsia="Times New Roman" w:hAnsi="Times New Roman" w:cs="Times New Roman"/>
          <w:sz w:val="24"/>
          <w:szCs w:val="24"/>
        </w:rPr>
        <w:t xml:space="preserve"> oil; β-carotene.</w:t>
      </w:r>
    </w:p>
    <w:p w14:paraId="4BE036AA" w14:textId="77777777" w:rsidR="00F820FD" w:rsidRDefault="00F820FD">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sz w:val="24"/>
          <w:szCs w:val="24"/>
        </w:rPr>
      </w:pPr>
    </w:p>
    <w:p w14:paraId="739DEC20" w14:textId="77777777" w:rsidR="00026887" w:rsidRPr="00927915" w:rsidRDefault="00026887">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sz w:val="24"/>
          <w:szCs w:val="24"/>
        </w:rPr>
      </w:pPr>
    </w:p>
    <w:p w14:paraId="0C7875B3" w14:textId="77777777" w:rsidR="00F820FD" w:rsidRPr="00927915" w:rsidRDefault="00F820FD">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sz w:val="24"/>
          <w:szCs w:val="24"/>
        </w:rPr>
      </w:pPr>
    </w:p>
    <w:p w14:paraId="04480110" w14:textId="77777777" w:rsidR="006A40FC" w:rsidRPr="00927915" w:rsidRDefault="006A40FC">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sz w:val="24"/>
          <w:szCs w:val="24"/>
        </w:rPr>
      </w:pPr>
    </w:p>
    <w:p w14:paraId="595D7CA8" w14:textId="77777777" w:rsidR="006A40FC" w:rsidRPr="00927915" w:rsidRDefault="00F95F28">
      <w:pPr>
        <w:widowControl w:val="0"/>
        <w:numPr>
          <w:ilvl w:val="0"/>
          <w:numId w:val="1"/>
        </w:numPr>
        <w:pBdr>
          <w:top w:val="nil"/>
          <w:left w:val="nil"/>
          <w:bottom w:val="nil"/>
          <w:right w:val="nil"/>
          <w:between w:val="nil"/>
        </w:pBdr>
        <w:tabs>
          <w:tab w:val="left" w:pos="709"/>
        </w:tabs>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INTRODUCTION </w:t>
      </w:r>
    </w:p>
    <w:p w14:paraId="72841B8F" w14:textId="77777777" w:rsidR="006A40FC"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Humans have a long-standing relationship with palm trees due to the vast array of products that can be derived from these plants, particularly those related to their fruits and seeds (Medeiros et al., 2021).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Mart. ex Spreng is a species o</w:t>
      </w:r>
      <w:r w:rsidRPr="00927915">
        <w:rPr>
          <w:rFonts w:ascii="Times New Roman" w:eastAsia="Times New Roman" w:hAnsi="Times New Roman" w:cs="Times New Roman"/>
          <w:sz w:val="24"/>
          <w:szCs w:val="24"/>
        </w:rPr>
        <w:t xml:space="preserve">f palm tree characteristic of the Pantanal in Mato Grosso, known by the local population as </w:t>
      </w:r>
      <w:r w:rsidRPr="00927915">
        <w:rPr>
          <w:rFonts w:ascii="Times New Roman" w:eastAsia="Times New Roman" w:hAnsi="Times New Roman" w:cs="Times New Roman"/>
          <w:i/>
          <w:sz w:val="24"/>
          <w:szCs w:val="24"/>
        </w:rPr>
        <w:t>acuri</w:t>
      </w:r>
      <w:r w:rsidRPr="00927915">
        <w:rPr>
          <w:rFonts w:ascii="Times New Roman" w:eastAsia="Times New Roman" w:hAnsi="Times New Roman" w:cs="Times New Roman"/>
          <w:sz w:val="24"/>
          <w:szCs w:val="24"/>
        </w:rPr>
        <w:t xml:space="preserve">, </w:t>
      </w:r>
      <w:r w:rsidRPr="00927915">
        <w:rPr>
          <w:rFonts w:ascii="Times New Roman" w:eastAsia="Times New Roman" w:hAnsi="Times New Roman" w:cs="Times New Roman"/>
          <w:i/>
          <w:sz w:val="24"/>
          <w:szCs w:val="24"/>
        </w:rPr>
        <w:t>bacuri</w:t>
      </w:r>
      <w:r w:rsidRPr="00927915">
        <w:rPr>
          <w:rFonts w:ascii="Times New Roman" w:eastAsia="Times New Roman" w:hAnsi="Times New Roman" w:cs="Times New Roman"/>
          <w:sz w:val="24"/>
          <w:szCs w:val="24"/>
        </w:rPr>
        <w:t xml:space="preserve">, or </w:t>
      </w:r>
      <w:r w:rsidRPr="00927915">
        <w:rPr>
          <w:rFonts w:ascii="Times New Roman" w:eastAsia="Times New Roman" w:hAnsi="Times New Roman" w:cs="Times New Roman"/>
          <w:i/>
          <w:sz w:val="24"/>
          <w:szCs w:val="24"/>
        </w:rPr>
        <w:t>uricuri</w:t>
      </w:r>
      <w:r w:rsidRPr="00927915">
        <w:rPr>
          <w:rFonts w:ascii="Times New Roman" w:eastAsia="Times New Roman" w:hAnsi="Times New Roman" w:cs="Times New Roman"/>
          <w:sz w:val="24"/>
          <w:szCs w:val="24"/>
        </w:rPr>
        <w:t>, and has high economic potential, given the diversity of its popular uses. Its ripe fruits are bright orange in color and have a sweet fla</w:t>
      </w:r>
      <w:r w:rsidRPr="00927915">
        <w:rPr>
          <w:rFonts w:ascii="Times New Roman" w:eastAsia="Times New Roman" w:hAnsi="Times New Roman" w:cs="Times New Roman"/>
          <w:sz w:val="24"/>
          <w:szCs w:val="24"/>
        </w:rPr>
        <w:t>vor. The fruits ripen and fall from April to October, and their pulp is a vital food source for the local fauna (</w:t>
      </w:r>
      <w:r w:rsidR="00563542" w:rsidRPr="00927915">
        <w:rPr>
          <w:rFonts w:ascii="Times New Roman" w:eastAsia="Times New Roman" w:hAnsi="Times New Roman" w:cs="Times New Roman"/>
          <w:sz w:val="24"/>
          <w:szCs w:val="24"/>
        </w:rPr>
        <w:t xml:space="preserve">Negrelle, 2015; </w:t>
      </w:r>
      <w:r w:rsidRPr="00927915">
        <w:rPr>
          <w:rFonts w:ascii="Times New Roman" w:eastAsia="Times New Roman" w:hAnsi="Times New Roman" w:cs="Times New Roman"/>
          <w:sz w:val="24"/>
          <w:szCs w:val="24"/>
        </w:rPr>
        <w:t>Bastos et al., 2024).</w:t>
      </w:r>
    </w:p>
    <w:p w14:paraId="512237AE" w14:textId="77777777" w:rsidR="006A40FC"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The oil extracted from the pulp is rich in carotenoids, especially β-carotene (</w:t>
      </w:r>
      <w:r w:rsidR="00C55060" w:rsidRPr="00927915">
        <w:rPr>
          <w:rFonts w:ascii="Times New Roman" w:eastAsia="Times New Roman" w:hAnsi="Times New Roman" w:cs="Times New Roman"/>
          <w:sz w:val="24"/>
          <w:szCs w:val="24"/>
        </w:rPr>
        <w:t xml:space="preserve">Freitas et al., 2018; </w:t>
      </w:r>
      <w:r w:rsidRPr="00927915">
        <w:rPr>
          <w:rFonts w:ascii="Times New Roman" w:eastAsia="Times New Roman" w:hAnsi="Times New Roman" w:cs="Times New Roman"/>
          <w:sz w:val="24"/>
          <w:szCs w:val="24"/>
        </w:rPr>
        <w:t>Souz</w:t>
      </w:r>
      <w:r w:rsidRPr="00927915">
        <w:rPr>
          <w:rFonts w:ascii="Times New Roman" w:eastAsia="Times New Roman" w:hAnsi="Times New Roman" w:cs="Times New Roman"/>
          <w:sz w:val="24"/>
          <w:szCs w:val="24"/>
        </w:rPr>
        <w:t xml:space="preserve">a et al., 2020), which is composed of approximately 78% unsaturated fatty acids, with a predominance of oleic acid (58%) and linoleic acid (20%) (Spada et al., 2025; Souza et al., 2020). Furthermore, the oil obtained from the pulp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demo</w:t>
      </w:r>
      <w:r w:rsidRPr="00927915">
        <w:rPr>
          <w:rFonts w:ascii="Times New Roman" w:eastAsia="Times New Roman" w:hAnsi="Times New Roman" w:cs="Times New Roman"/>
          <w:sz w:val="24"/>
          <w:szCs w:val="24"/>
        </w:rPr>
        <w:t>nstrated oxidative stability (Spada et al., 2024). Its low toxicity (Lima et al., 2017) and the chemical composition of the fruit (Bastos et. al., 2024) have aroused interest in the scientific community.</w:t>
      </w:r>
    </w:p>
    <w:p w14:paraId="28BEFC6F" w14:textId="77777777" w:rsidR="0033580E"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Studies have shown that </w:t>
      </w:r>
      <w:r w:rsidR="005E39C5" w:rsidRPr="00927915">
        <w:rPr>
          <w:rFonts w:ascii="Times New Roman" w:eastAsia="Times New Roman" w:hAnsi="Times New Roman" w:cs="Times New Roman"/>
          <w:sz w:val="24"/>
          <w:szCs w:val="24"/>
        </w:rPr>
        <w:t xml:space="preserve">β-carotene, found in large proportions in the pulp of the </w:t>
      </w:r>
      <w:r w:rsidR="005E39C5" w:rsidRPr="00927915">
        <w:rPr>
          <w:rFonts w:ascii="Times New Roman" w:eastAsia="Times New Roman" w:hAnsi="Times New Roman" w:cs="Times New Roman"/>
          <w:i/>
          <w:sz w:val="24"/>
          <w:szCs w:val="24"/>
        </w:rPr>
        <w:t>Attalea phalerata</w:t>
      </w:r>
      <w:r w:rsidR="005E39C5" w:rsidRPr="00927915">
        <w:rPr>
          <w:rFonts w:ascii="Times New Roman" w:eastAsia="Times New Roman" w:hAnsi="Times New Roman" w:cs="Times New Roman"/>
          <w:sz w:val="24"/>
          <w:szCs w:val="24"/>
        </w:rPr>
        <w:t xml:space="preserve"> fruit</w:t>
      </w:r>
      <w:r w:rsidRPr="00927915">
        <w:rPr>
          <w:rFonts w:ascii="Times New Roman" w:eastAsia="Times New Roman" w:hAnsi="Times New Roman" w:cs="Times New Roman"/>
          <w:sz w:val="24"/>
          <w:szCs w:val="24"/>
        </w:rPr>
        <w:t xml:space="preserve"> (Freitas et al., 2018; Spada et al., 2025) as well as in other fruits (Siqueira et al., 2024)</w:t>
      </w:r>
      <w:r w:rsidR="005E39C5" w:rsidRPr="00927915">
        <w:rPr>
          <w:rFonts w:ascii="Times New Roman" w:eastAsia="Times New Roman" w:hAnsi="Times New Roman" w:cs="Times New Roman"/>
          <w:sz w:val="24"/>
          <w:szCs w:val="24"/>
        </w:rPr>
        <w:t>, has the highest provitamin A activity</w:t>
      </w:r>
      <w:r w:rsidRPr="00927915">
        <w:rPr>
          <w:rFonts w:ascii="Times New Roman" w:eastAsia="Times New Roman" w:hAnsi="Times New Roman" w:cs="Times New Roman"/>
          <w:sz w:val="24"/>
          <w:szCs w:val="24"/>
        </w:rPr>
        <w:t xml:space="preserve"> (Siqueira et al., 2024)</w:t>
      </w:r>
      <w:r w:rsidR="001374D6" w:rsidRPr="00927915">
        <w:rPr>
          <w:rFonts w:ascii="Times New Roman" w:eastAsia="Times New Roman" w:hAnsi="Times New Roman" w:cs="Times New Roman"/>
          <w:sz w:val="24"/>
          <w:szCs w:val="24"/>
        </w:rPr>
        <w:t>.</w:t>
      </w:r>
      <w:r w:rsidR="005E39C5" w:rsidRPr="00927915">
        <w:rPr>
          <w:rFonts w:ascii="Times New Roman" w:eastAsia="Times New Roman" w:hAnsi="Times New Roman" w:cs="Times New Roman"/>
          <w:sz w:val="24"/>
          <w:szCs w:val="24"/>
        </w:rPr>
        <w:t xml:space="preserve"> The conversion of β-carotene into vitamin A derivatives occurs in the intestine. </w:t>
      </w:r>
      <w:r w:rsidR="00463ECD" w:rsidRPr="00927915">
        <w:rPr>
          <w:rFonts w:ascii="Times New Roman" w:eastAsia="Times New Roman" w:hAnsi="Times New Roman" w:cs="Times New Roman"/>
          <w:sz w:val="24"/>
          <w:szCs w:val="24"/>
        </w:rPr>
        <w:t>After cleavage of β-carotene by β-carotene 15,15'-dioxygenase, the retinal molecules formed can be oxidized to retinoic acid, which is released directly into the portal circulation bound to albumin, or reduced to retinol, which is re-esterified to retinyl esters and transported in chylomicrons via the lymphatic pathway (O'Byrne, Blaner, 2013; Li et al., 2014).</w:t>
      </w:r>
    </w:p>
    <w:p w14:paraId="41E6E938" w14:textId="77777777" w:rsidR="006A40FC"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Carotenoid bioavailability is influenced by several factors, which </w:t>
      </w:r>
      <w:r w:rsidRPr="00927915">
        <w:rPr>
          <w:rFonts w:ascii="Times New Roman" w:eastAsia="Times New Roman" w:hAnsi="Times New Roman" w:cs="Times New Roman"/>
          <w:sz w:val="24"/>
          <w:szCs w:val="24"/>
        </w:rPr>
        <w:t>limit the absorption of between 5% and 30% of the total ingested amount</w:t>
      </w:r>
      <w:r w:rsidR="00204067" w:rsidRPr="00927915">
        <w:rPr>
          <w:rFonts w:ascii="Times New Roman" w:eastAsia="Times New Roman" w:hAnsi="Times New Roman" w:cs="Times New Roman"/>
          <w:sz w:val="24"/>
          <w:szCs w:val="24"/>
        </w:rPr>
        <w:t>. (</w:t>
      </w:r>
      <w:r w:rsidRPr="00927915">
        <w:rPr>
          <w:rFonts w:ascii="Times New Roman" w:hAnsi="Times New Roman" w:cs="Times New Roman"/>
          <w:sz w:val="24"/>
          <w:szCs w:val="24"/>
          <w:shd w:val="clear" w:color="auto" w:fill="FFFFFF"/>
        </w:rPr>
        <w:t>Xavier and Mercadante</w:t>
      </w:r>
      <w:r w:rsidR="001374D6" w:rsidRPr="00927915">
        <w:rPr>
          <w:rFonts w:ascii="Times New Roman" w:hAnsi="Times New Roman" w:cs="Times New Roman"/>
          <w:sz w:val="24"/>
          <w:szCs w:val="24"/>
          <w:shd w:val="clear" w:color="auto" w:fill="FFFFFF"/>
        </w:rPr>
        <w:t>,</w:t>
      </w:r>
      <w:r w:rsidRPr="00927915">
        <w:rPr>
          <w:rFonts w:ascii="Times New Roman" w:hAnsi="Times New Roman" w:cs="Times New Roman"/>
          <w:sz w:val="24"/>
          <w:szCs w:val="24"/>
          <w:shd w:val="clear" w:color="auto" w:fill="FFFFFF"/>
        </w:rPr>
        <w:t xml:space="preserve"> 2019)</w:t>
      </w:r>
      <w:r w:rsidR="00204067" w:rsidRPr="00927915">
        <w:rPr>
          <w:rFonts w:ascii="Times New Roman" w:hAnsi="Times New Roman" w:cs="Times New Roman"/>
          <w:sz w:val="24"/>
          <w:szCs w:val="24"/>
          <w:shd w:val="clear" w:color="auto" w:fill="FFFFFF"/>
        </w:rPr>
        <w:t>.</w:t>
      </w:r>
      <w:r w:rsidRPr="00927915">
        <w:rPr>
          <w:rFonts w:ascii="Cambria" w:hAnsi="Cambria"/>
          <w:sz w:val="26"/>
          <w:szCs w:val="26"/>
          <w:shd w:val="clear" w:color="auto" w:fill="FFFFFF"/>
        </w:rPr>
        <w:t xml:space="preserve"> </w:t>
      </w:r>
      <w:r w:rsidR="00B3035C" w:rsidRPr="00927915">
        <w:rPr>
          <w:rFonts w:ascii="Times New Roman" w:eastAsia="Times New Roman" w:hAnsi="Times New Roman" w:cs="Times New Roman"/>
          <w:sz w:val="24"/>
          <w:szCs w:val="24"/>
        </w:rPr>
        <w:t>However, studies indicate that the β-carotene molecule, when associated with a lipid matrix, can increase the bioavailability of vitamin A in the body (</w:t>
      </w:r>
      <w:r w:rsidR="00066A10" w:rsidRPr="00927915">
        <w:rPr>
          <w:rFonts w:ascii="Times New Roman" w:hAnsi="Times New Roman" w:cs="Times New Roman"/>
          <w:sz w:val="24"/>
          <w:szCs w:val="24"/>
          <w:shd w:val="clear" w:color="auto" w:fill="FFFFFF"/>
        </w:rPr>
        <w:t>Kotake-Nara et a</w:t>
      </w:r>
      <w:r w:rsidR="00066A10" w:rsidRPr="00927915">
        <w:rPr>
          <w:rFonts w:ascii="Times New Roman" w:eastAsia="Times New Roman" w:hAnsi="Times New Roman" w:cs="Times New Roman"/>
          <w:sz w:val="24"/>
          <w:szCs w:val="24"/>
        </w:rPr>
        <w:t>l., 2022</w:t>
      </w:r>
      <w:r w:rsidR="00B3035C" w:rsidRPr="00927915">
        <w:rPr>
          <w:rFonts w:ascii="Times New Roman" w:eastAsia="Times New Roman" w:hAnsi="Times New Roman" w:cs="Times New Roman"/>
          <w:sz w:val="24"/>
          <w:szCs w:val="24"/>
        </w:rPr>
        <w:t>).</w:t>
      </w:r>
      <w:r w:rsidR="005E39C5" w:rsidRPr="00927915">
        <w:rPr>
          <w:rFonts w:ascii="Times New Roman" w:eastAsia="Times New Roman" w:hAnsi="Times New Roman" w:cs="Times New Roman"/>
          <w:sz w:val="24"/>
          <w:szCs w:val="24"/>
        </w:rPr>
        <w:t xml:space="preserve"> Thus, we believe that the intake of β-carotene associated with a lipid matrix may be a good source of provitamin A in situations of deficiency (Haskell et al., 2012).</w:t>
      </w:r>
    </w:p>
    <w:p w14:paraId="528DDA57" w14:textId="77777777" w:rsidR="00335021"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lastRenderedPageBreak/>
        <w:t xml:space="preserve">Our research group has been studying the effects of vitamin A </w:t>
      </w:r>
      <w:r w:rsidRPr="00927915">
        <w:rPr>
          <w:rFonts w:ascii="Times New Roman" w:eastAsia="Times New Roman" w:hAnsi="Times New Roman" w:cs="Times New Roman"/>
          <w:sz w:val="24"/>
          <w:szCs w:val="24"/>
        </w:rPr>
        <w:t xml:space="preserve">deficiency on the metabolism of animals (rats) (Spada et al., 2022), as well as the action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in the recovery of animals with a deficiency of this vitamin (Spada et al., 2025). </w:t>
      </w:r>
      <w:r w:rsidR="00CA721E" w:rsidRPr="00927915">
        <w:rPr>
          <w:rFonts w:ascii="Times New Roman" w:eastAsia="Times New Roman" w:hAnsi="Times New Roman" w:cs="Times New Roman"/>
          <w:sz w:val="24"/>
          <w:szCs w:val="24"/>
        </w:rPr>
        <w:t>V</w:t>
      </w:r>
      <w:r w:rsidR="00597EEF" w:rsidRPr="00927915">
        <w:rPr>
          <w:rFonts w:ascii="Times New Roman" w:eastAsia="Times New Roman" w:hAnsi="Times New Roman" w:cs="Times New Roman"/>
          <w:sz w:val="24"/>
          <w:szCs w:val="24"/>
        </w:rPr>
        <w:t>itamin A</w:t>
      </w:r>
      <w:r w:rsidR="00CA721E" w:rsidRPr="00927915">
        <w:rPr>
          <w:rFonts w:ascii="Times New Roman" w:eastAsia="Times New Roman" w:hAnsi="Times New Roman" w:cs="Times New Roman"/>
          <w:sz w:val="24"/>
          <w:szCs w:val="24"/>
        </w:rPr>
        <w:t>-deficient animals exhibited</w:t>
      </w:r>
      <w:r w:rsidR="00597EEF" w:rsidRPr="00927915">
        <w:rPr>
          <w:rFonts w:ascii="Times New Roman" w:eastAsia="Times New Roman" w:hAnsi="Times New Roman" w:cs="Times New Roman"/>
          <w:sz w:val="24"/>
          <w:szCs w:val="24"/>
        </w:rPr>
        <w:t xml:space="preserve"> reduction</w:t>
      </w:r>
      <w:r w:rsidR="00CA721E" w:rsidRPr="00927915">
        <w:rPr>
          <w:rFonts w:ascii="Times New Roman" w:eastAsia="Times New Roman" w:hAnsi="Times New Roman" w:cs="Times New Roman"/>
          <w:sz w:val="24"/>
          <w:szCs w:val="24"/>
        </w:rPr>
        <w:t>s</w:t>
      </w:r>
      <w:r w:rsidR="00597EEF" w:rsidRPr="00927915">
        <w:rPr>
          <w:rFonts w:ascii="Times New Roman" w:eastAsia="Times New Roman" w:hAnsi="Times New Roman" w:cs="Times New Roman"/>
          <w:sz w:val="24"/>
          <w:szCs w:val="24"/>
        </w:rPr>
        <w:t xml:space="preserve"> in</w:t>
      </w:r>
      <w:r w:rsidR="00CA721E" w:rsidRPr="00927915">
        <w:rPr>
          <w:rFonts w:ascii="Times New Roman" w:eastAsia="Times New Roman" w:hAnsi="Times New Roman" w:cs="Times New Roman"/>
          <w:sz w:val="24"/>
          <w:szCs w:val="24"/>
        </w:rPr>
        <w:t xml:space="preserve"> </w:t>
      </w:r>
      <w:r w:rsidR="00597EEF" w:rsidRPr="00927915">
        <w:rPr>
          <w:rFonts w:ascii="Times New Roman" w:eastAsia="Times New Roman" w:hAnsi="Times New Roman" w:cs="Times New Roman"/>
          <w:sz w:val="24"/>
          <w:szCs w:val="24"/>
        </w:rPr>
        <w:t xml:space="preserve">body weight, liver mass, </w:t>
      </w:r>
      <w:r w:rsidR="00CA721E" w:rsidRPr="00927915">
        <w:rPr>
          <w:rFonts w:ascii="Times New Roman" w:eastAsia="Times New Roman" w:hAnsi="Times New Roman" w:cs="Times New Roman"/>
          <w:sz w:val="24"/>
          <w:szCs w:val="24"/>
        </w:rPr>
        <w:t>and glycemia, accompanied by hepatic lipid and glyceride-fatty acid accumulation, resulting in hypolipidemia</w:t>
      </w:r>
      <w:r w:rsidR="00597EEF" w:rsidRPr="00927915">
        <w:rPr>
          <w:rFonts w:ascii="Times New Roman" w:eastAsia="Times New Roman" w:hAnsi="Times New Roman" w:cs="Times New Roman"/>
          <w:sz w:val="24"/>
          <w:szCs w:val="24"/>
        </w:rPr>
        <w:t xml:space="preserve"> (Spada et al., 2022).</w:t>
      </w:r>
    </w:p>
    <w:p w14:paraId="26FE2302" w14:textId="77777777" w:rsidR="006A40FC"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When these animals were treated with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for 30 days (Spada et al., 2025), all physiological parameters showed improvement, returning to control levels. However, the intake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during the evaluated period was not sufficient to reduce the oxidative damage caused by 45 day</w:t>
      </w:r>
      <w:r w:rsidRPr="00927915">
        <w:rPr>
          <w:rFonts w:ascii="Times New Roman" w:eastAsia="Times New Roman" w:hAnsi="Times New Roman" w:cs="Times New Roman"/>
          <w:sz w:val="24"/>
          <w:szCs w:val="24"/>
        </w:rPr>
        <w:t>s of nutritional insult in rats (Spada et al., 2025). We believe that the previous nutritional insult (45 days), the animal species used (rats), and the life stage of the recovered animal (adult) are fundamental to the recovery of the nutritional status in</w:t>
      </w:r>
      <w:r w:rsidRPr="00927915">
        <w:rPr>
          <w:rFonts w:ascii="Times New Roman" w:eastAsia="Times New Roman" w:hAnsi="Times New Roman" w:cs="Times New Roman"/>
          <w:sz w:val="24"/>
          <w:szCs w:val="24"/>
        </w:rPr>
        <w:t xml:space="preserve"> the experimental model. Therefore, we propose in this work to evaluate the effects of administering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as the sole source of vitamin A (from β-carotene), in Swiss mice starting immediately after weaning, on blood biochemical parameters</w:t>
      </w:r>
      <w:r w:rsidR="00366F08" w:rsidRPr="00927915">
        <w:rPr>
          <w:rFonts w:ascii="Times New Roman" w:eastAsia="Times New Roman" w:hAnsi="Times New Roman" w:cs="Times New Roman"/>
          <w:sz w:val="24"/>
          <w:szCs w:val="24"/>
        </w:rPr>
        <w:t>, metabolic</w:t>
      </w:r>
      <w:r w:rsidRPr="00927915">
        <w:rPr>
          <w:rFonts w:ascii="Times New Roman" w:eastAsia="Times New Roman" w:hAnsi="Times New Roman" w:cs="Times New Roman"/>
          <w:sz w:val="24"/>
          <w:szCs w:val="24"/>
        </w:rPr>
        <w:t xml:space="preserve"> function, and oxidative metabolism</w:t>
      </w:r>
      <w:r w:rsidR="00335021" w:rsidRPr="00927915">
        <w:rPr>
          <w:rFonts w:ascii="Times New Roman" w:eastAsia="Times New Roman" w:hAnsi="Times New Roman" w:cs="Times New Roman"/>
          <w:sz w:val="24"/>
          <w:szCs w:val="24"/>
        </w:rPr>
        <w:t>.</w:t>
      </w:r>
    </w:p>
    <w:p w14:paraId="7E91D0AD" w14:textId="77777777" w:rsidR="006A40FC" w:rsidRPr="00927915" w:rsidRDefault="006A40FC">
      <w:pPr>
        <w:spacing w:line="360" w:lineRule="auto"/>
        <w:jc w:val="both"/>
        <w:rPr>
          <w:rFonts w:ascii="Times New Roman" w:eastAsia="Times New Roman" w:hAnsi="Times New Roman" w:cs="Times New Roman"/>
          <w:sz w:val="24"/>
          <w:szCs w:val="24"/>
        </w:rPr>
      </w:pPr>
    </w:p>
    <w:p w14:paraId="3AFF6B98" w14:textId="77777777" w:rsidR="006A40FC" w:rsidRPr="00927915" w:rsidRDefault="00F95F2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MATERIAL AND METHODS</w:t>
      </w:r>
    </w:p>
    <w:p w14:paraId="73CF6BAD" w14:textId="77777777" w:rsidR="006A40FC" w:rsidRPr="00927915" w:rsidRDefault="00F95F28">
      <w:pPr>
        <w:spacing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2.1. Obtaining oil from the pulp of </w:t>
      </w:r>
      <w:r w:rsidRPr="00927915">
        <w:rPr>
          <w:rFonts w:ascii="Times New Roman" w:eastAsia="Times New Roman" w:hAnsi="Times New Roman" w:cs="Times New Roman"/>
          <w:b/>
          <w:i/>
          <w:sz w:val="24"/>
          <w:szCs w:val="24"/>
        </w:rPr>
        <w:t>Attalea phalerata</w:t>
      </w:r>
      <w:r w:rsidRPr="00927915">
        <w:rPr>
          <w:rFonts w:ascii="Times New Roman" w:eastAsia="Times New Roman" w:hAnsi="Times New Roman" w:cs="Times New Roman"/>
          <w:b/>
          <w:sz w:val="24"/>
          <w:szCs w:val="24"/>
        </w:rPr>
        <w:t xml:space="preserve"> Mart. ex Spreng.</w:t>
      </w:r>
    </w:p>
    <w:p w14:paraId="7762B44B" w14:textId="77777777" w:rsidR="006A40FC"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The fruits used in the oil extraction were collected in Cuiabá/MT, in the state of Mato Grosso (-15°609'611" S and -56°061'972" W GS84). The </w:t>
      </w:r>
      <w:r w:rsidR="00B93956" w:rsidRPr="00927915">
        <w:rPr>
          <w:rFonts w:ascii="Times New Roman" w:eastAsia="Times New Roman" w:hAnsi="Times New Roman" w:cs="Times New Roman"/>
          <w:sz w:val="24"/>
          <w:szCs w:val="24"/>
        </w:rPr>
        <w:t xml:space="preserve">exsiccata was deposited in the </w:t>
      </w:r>
      <w:r w:rsidRPr="00927915">
        <w:rPr>
          <w:rFonts w:ascii="Times New Roman" w:eastAsia="Times New Roman" w:hAnsi="Times New Roman" w:cs="Times New Roman"/>
          <w:sz w:val="24"/>
          <w:szCs w:val="24"/>
        </w:rPr>
        <w:t xml:space="preserve">UFMT </w:t>
      </w:r>
      <w:r w:rsidR="00B93956" w:rsidRPr="00927915">
        <w:rPr>
          <w:rFonts w:ascii="Times New Roman" w:eastAsia="Times New Roman" w:hAnsi="Times New Roman" w:cs="Times New Roman"/>
          <w:sz w:val="24"/>
          <w:szCs w:val="24"/>
        </w:rPr>
        <w:t>Herbarium (</w:t>
      </w:r>
      <w:r w:rsidRPr="00927915">
        <w:rPr>
          <w:rFonts w:ascii="Times New Roman" w:eastAsia="Times New Roman" w:hAnsi="Times New Roman" w:cs="Times New Roman"/>
          <w:sz w:val="24"/>
          <w:szCs w:val="24"/>
        </w:rPr>
        <w:t>no. 47727</w:t>
      </w:r>
      <w:r w:rsidR="00B93956" w:rsidRPr="00927915">
        <w:rPr>
          <w:rFonts w:ascii="Times New Roman" w:eastAsia="Times New Roman" w:hAnsi="Times New Roman" w:cs="Times New Roman"/>
          <w:sz w:val="24"/>
          <w:szCs w:val="24"/>
        </w:rPr>
        <w:t>)</w:t>
      </w:r>
      <w:r w:rsidRPr="00927915">
        <w:rPr>
          <w:rFonts w:ascii="Times New Roman" w:eastAsia="Times New Roman" w:hAnsi="Times New Roman" w:cs="Times New Roman"/>
          <w:sz w:val="24"/>
          <w:szCs w:val="24"/>
        </w:rPr>
        <w:t>. After collecting the fruits, they were washed, peeled, f</w:t>
      </w:r>
      <w:r w:rsidRPr="00927915">
        <w:rPr>
          <w:rFonts w:ascii="Times New Roman" w:eastAsia="Times New Roman" w:hAnsi="Times New Roman" w:cs="Times New Roman"/>
          <w:sz w:val="24"/>
          <w:szCs w:val="24"/>
        </w:rPr>
        <w:t>rozen, and pulped. The pulp was dried in an oven by air circulation at 45ºC, and the oil was obtained by solid-liquid extraction with hexane, in a ratio of one part pulp to three parts solvent 1:3 (w/v), under continuous stirring (4.7g) for 7 days, as desc</w:t>
      </w:r>
      <w:r w:rsidRPr="00927915">
        <w:rPr>
          <w:rFonts w:ascii="Times New Roman" w:eastAsia="Times New Roman" w:hAnsi="Times New Roman" w:cs="Times New Roman"/>
          <w:sz w:val="24"/>
          <w:szCs w:val="24"/>
        </w:rPr>
        <w:t>ribed by Spada et al. (2024). The final product was filtered and then rotated and evaporated under reduced pressure to remove the solvent. The oil obtained was stored in an amber flask under refrigeration.</w:t>
      </w:r>
    </w:p>
    <w:p w14:paraId="20ABA98B" w14:textId="77777777" w:rsidR="006A40FC" w:rsidRDefault="006A40FC">
      <w:pPr>
        <w:spacing w:line="360" w:lineRule="auto"/>
        <w:jc w:val="both"/>
        <w:rPr>
          <w:rFonts w:ascii="Times New Roman" w:eastAsia="Times New Roman" w:hAnsi="Times New Roman" w:cs="Times New Roman"/>
          <w:sz w:val="24"/>
          <w:szCs w:val="24"/>
        </w:rPr>
      </w:pPr>
    </w:p>
    <w:p w14:paraId="7FF40856" w14:textId="77777777" w:rsidR="00465B00" w:rsidRDefault="00465B00">
      <w:pPr>
        <w:spacing w:line="360" w:lineRule="auto"/>
        <w:jc w:val="both"/>
        <w:rPr>
          <w:rFonts w:ascii="Times New Roman" w:eastAsia="Times New Roman" w:hAnsi="Times New Roman" w:cs="Times New Roman"/>
          <w:sz w:val="24"/>
          <w:szCs w:val="24"/>
        </w:rPr>
      </w:pPr>
    </w:p>
    <w:p w14:paraId="34C5E6D6" w14:textId="77777777" w:rsidR="00465B00" w:rsidRPr="00927915" w:rsidRDefault="00465B00">
      <w:pPr>
        <w:spacing w:line="360" w:lineRule="auto"/>
        <w:jc w:val="both"/>
        <w:rPr>
          <w:rFonts w:ascii="Times New Roman" w:eastAsia="Times New Roman" w:hAnsi="Times New Roman" w:cs="Times New Roman"/>
          <w:sz w:val="24"/>
          <w:szCs w:val="24"/>
        </w:rPr>
      </w:pPr>
    </w:p>
    <w:p w14:paraId="7493FC8E" w14:textId="77777777" w:rsidR="006A40FC" w:rsidRPr="00927915" w:rsidRDefault="00F95F28">
      <w:pPr>
        <w:spacing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lastRenderedPageBreak/>
        <w:t>2.2. General Parameters</w:t>
      </w:r>
    </w:p>
    <w:p w14:paraId="6C4CC33A" w14:textId="77777777" w:rsidR="006A40FC" w:rsidRPr="00927915" w:rsidRDefault="00F95F28">
      <w:pPr>
        <w:spacing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The biological tests </w:t>
      </w:r>
      <w:r w:rsidRPr="00927915">
        <w:rPr>
          <w:rFonts w:ascii="Times New Roman" w:eastAsia="Times New Roman" w:hAnsi="Times New Roman" w:cs="Times New Roman"/>
          <w:sz w:val="24"/>
          <w:szCs w:val="24"/>
        </w:rPr>
        <w:t>performed followed the standards of the National Council for the Control of Animal Experimentation (CONCEA),</w:t>
      </w:r>
      <w:r w:rsidR="00545753" w:rsidRPr="00927915">
        <w:rPr>
          <w:rFonts w:ascii="Times New Roman" w:eastAsia="Times New Roman" w:hAnsi="Times New Roman" w:cs="Times New Roman"/>
          <w:sz w:val="24"/>
          <w:szCs w:val="24"/>
        </w:rPr>
        <w:t xml:space="preserve"> </w:t>
      </w:r>
      <w:r w:rsidRPr="00927915">
        <w:rPr>
          <w:rFonts w:ascii="Times New Roman" w:eastAsia="Times New Roman" w:hAnsi="Times New Roman" w:cs="Times New Roman"/>
          <w:sz w:val="24"/>
          <w:szCs w:val="24"/>
        </w:rPr>
        <w:t>and were approved by the CEUA-UFMT ethics committee under no. 23108.024802/2024-98.</w:t>
      </w:r>
    </w:p>
    <w:p w14:paraId="57EA7AC9" w14:textId="77777777" w:rsidR="006A40FC" w:rsidRPr="00927915" w:rsidRDefault="006A40FC">
      <w:pPr>
        <w:spacing w:line="360" w:lineRule="auto"/>
        <w:jc w:val="both"/>
        <w:rPr>
          <w:rFonts w:ascii="Times New Roman" w:eastAsia="Times New Roman" w:hAnsi="Times New Roman" w:cs="Times New Roman"/>
          <w:sz w:val="24"/>
          <w:szCs w:val="24"/>
        </w:rPr>
      </w:pPr>
    </w:p>
    <w:p w14:paraId="59754E74" w14:textId="77777777" w:rsidR="006A40FC" w:rsidRPr="00927915" w:rsidRDefault="00F95F28">
      <w:pPr>
        <w:widowControl w:val="0"/>
        <w:numPr>
          <w:ilvl w:val="2"/>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Animal Models and Treatment</w:t>
      </w:r>
    </w:p>
    <w:p w14:paraId="044FA564" w14:textId="77777777" w:rsidR="006A40FC" w:rsidRPr="00927915" w:rsidRDefault="00F95F28">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The Swiss mice species, aged 21 days, weighing between 13 and 14g, were divided into 3 experimental groups: Control group (C; n=10) received a diet for rodents AIN 93G (Reeves, 1993); Vitamin A Deficient group (VAD; n=10) received a diet for rodents based </w:t>
      </w:r>
      <w:r w:rsidRPr="00927915">
        <w:rPr>
          <w:rFonts w:ascii="Times New Roman" w:eastAsia="Times New Roman" w:hAnsi="Times New Roman" w:cs="Times New Roman"/>
          <w:sz w:val="24"/>
          <w:szCs w:val="24"/>
        </w:rPr>
        <w:t xml:space="preserve">on AIN 93G without Vitamin A; and the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Mart. ex. Spreng. The oil group (AO; n = 11) received a diet for rodents (AIN 93G) lacking vitamin A, and soybean oil was replaced with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The β-carotene analysis of the oil was pr</w:t>
      </w:r>
      <w:r w:rsidRPr="00927915">
        <w:rPr>
          <w:rFonts w:ascii="Times New Roman" w:eastAsia="Times New Roman" w:hAnsi="Times New Roman" w:cs="Times New Roman"/>
          <w:sz w:val="24"/>
          <w:szCs w:val="24"/>
        </w:rPr>
        <w:t>eviously determined by Dr. Carla Grazieli Azevedo da Silva using the methodology listed in Spada et al. (2025), with a result of 195.8 µg/mL (± 0.10). In 73mL of oil, this corresponds to 14,400 µg/kg of β-carotene. Thus, to provide the same amount of retin</w:t>
      </w:r>
      <w:r w:rsidRPr="00927915">
        <w:rPr>
          <w:rFonts w:ascii="Times New Roman" w:eastAsia="Times New Roman" w:hAnsi="Times New Roman" w:cs="Times New Roman"/>
          <w:sz w:val="24"/>
          <w:szCs w:val="24"/>
        </w:rPr>
        <w:t xml:space="preserve">ol equivalents in the group with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compared to the Control and VAD diets, it was necessary to add 73mL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per kg of diet (Table 1). The total caloric value of the diets offered was calc</w:t>
      </w:r>
      <w:r w:rsidR="00B91AAC" w:rsidRPr="00927915">
        <w:rPr>
          <w:rFonts w:ascii="Times New Roman" w:eastAsia="Times New Roman" w:hAnsi="Times New Roman" w:cs="Times New Roman"/>
          <w:sz w:val="24"/>
          <w:szCs w:val="24"/>
        </w:rPr>
        <w:t>ulated considering the energy (k</w:t>
      </w:r>
      <w:r w:rsidRPr="00927915">
        <w:rPr>
          <w:rFonts w:ascii="Times New Roman" w:eastAsia="Times New Roman" w:hAnsi="Times New Roman" w:cs="Times New Roman"/>
          <w:sz w:val="24"/>
          <w:szCs w:val="24"/>
        </w:rPr>
        <w:t>cal) equivalent to the amounts in grams of carbohydrates (4</w:t>
      </w:r>
      <w:r w:rsidR="00B91AAC" w:rsidRPr="00927915">
        <w:rPr>
          <w:rFonts w:ascii="Times New Roman" w:eastAsia="Times New Roman" w:hAnsi="Times New Roman" w:cs="Times New Roman"/>
          <w:sz w:val="24"/>
          <w:szCs w:val="24"/>
        </w:rPr>
        <w:t xml:space="preserve"> k</w:t>
      </w:r>
      <w:r w:rsidRPr="00927915">
        <w:rPr>
          <w:rFonts w:ascii="Times New Roman" w:eastAsia="Times New Roman" w:hAnsi="Times New Roman" w:cs="Times New Roman"/>
          <w:sz w:val="24"/>
          <w:szCs w:val="24"/>
        </w:rPr>
        <w:t>cal), proteins (4</w:t>
      </w:r>
      <w:r w:rsidR="00B91AAC" w:rsidRPr="00927915">
        <w:rPr>
          <w:rFonts w:ascii="Times New Roman" w:eastAsia="Times New Roman" w:hAnsi="Times New Roman" w:cs="Times New Roman"/>
          <w:sz w:val="24"/>
          <w:szCs w:val="24"/>
        </w:rPr>
        <w:t xml:space="preserve"> k</w:t>
      </w:r>
      <w:r w:rsidRPr="00927915">
        <w:rPr>
          <w:rFonts w:ascii="Times New Roman" w:eastAsia="Times New Roman" w:hAnsi="Times New Roman" w:cs="Times New Roman"/>
          <w:sz w:val="24"/>
          <w:szCs w:val="24"/>
        </w:rPr>
        <w:t>cal), and lipids (9</w:t>
      </w:r>
      <w:r w:rsidR="00B91AAC" w:rsidRPr="00927915">
        <w:rPr>
          <w:rFonts w:ascii="Times New Roman" w:eastAsia="Times New Roman" w:hAnsi="Times New Roman" w:cs="Times New Roman"/>
          <w:sz w:val="24"/>
          <w:szCs w:val="24"/>
        </w:rPr>
        <w:t xml:space="preserve"> k</w:t>
      </w:r>
      <w:r w:rsidRPr="00927915">
        <w:rPr>
          <w:rFonts w:ascii="Times New Roman" w:eastAsia="Times New Roman" w:hAnsi="Times New Roman" w:cs="Times New Roman"/>
          <w:sz w:val="24"/>
          <w:szCs w:val="24"/>
        </w:rPr>
        <w:t xml:space="preserve">cal) (Atwater &amp; Wood, 1896). For details on the composition and calories of the diet, see Table 1. The animals were kept under controlled conditions of </w:t>
      </w:r>
      <w:r w:rsidRPr="00927915">
        <w:rPr>
          <w:rFonts w:ascii="Times New Roman" w:eastAsia="Times New Roman" w:hAnsi="Times New Roman" w:cs="Times New Roman"/>
          <w:sz w:val="24"/>
          <w:szCs w:val="24"/>
        </w:rPr>
        <w:t>light (a 12-hour light and dark cycle), temperature (22 °C ± 1 °C), and humidity (47% ± 1%), and the experimental protocol lasted 45 days. After the experimental period, the animals were anesthetized with ketamine and xylazine at doses of 70mg/kg and 30mg/</w:t>
      </w:r>
      <w:r w:rsidRPr="00927915">
        <w:rPr>
          <w:rFonts w:ascii="Times New Roman" w:eastAsia="Times New Roman" w:hAnsi="Times New Roman" w:cs="Times New Roman"/>
          <w:sz w:val="24"/>
          <w:szCs w:val="24"/>
        </w:rPr>
        <w:t>kg, respectively, for blood collection by cardiac puncture in heparinized syringes and euthanized for tissue removal.</w:t>
      </w:r>
    </w:p>
    <w:p w14:paraId="7E889A5B" w14:textId="77777777" w:rsidR="006A40FC" w:rsidRPr="00927915" w:rsidRDefault="006A40FC">
      <w:pPr>
        <w:spacing w:line="360" w:lineRule="auto"/>
        <w:jc w:val="both"/>
        <w:rPr>
          <w:rFonts w:ascii="Times New Roman" w:eastAsia="Times New Roman" w:hAnsi="Times New Roman" w:cs="Times New Roman"/>
          <w:sz w:val="24"/>
          <w:szCs w:val="24"/>
        </w:rPr>
      </w:pPr>
    </w:p>
    <w:p w14:paraId="59969BA1" w14:textId="77777777" w:rsidR="006A40FC" w:rsidRPr="00927915" w:rsidRDefault="00F95F28">
      <w:pPr>
        <w:widowControl w:val="0"/>
        <w:numPr>
          <w:ilvl w:val="2"/>
          <w:numId w:val="3"/>
        </w:numPr>
        <w:pBdr>
          <w:top w:val="nil"/>
          <w:left w:val="nil"/>
          <w:bottom w:val="nil"/>
          <w:right w:val="nil"/>
          <w:between w:val="nil"/>
        </w:pBdr>
        <w:tabs>
          <w:tab w:val="left" w:pos="709"/>
        </w:tabs>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Biochemical Parameters</w:t>
      </w:r>
    </w:p>
    <w:p w14:paraId="01DD5206" w14:textId="77777777" w:rsidR="009C486A" w:rsidRDefault="00F95F28" w:rsidP="009C486A">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To determine capillary blood glucose, the mice were immobilized in a restraint box. After cleaning and massaging, an incision was made at the tip of the tail with a scalpel, and capillary glucose was determined using a portable Accu-Chek glucometer (Roche </w:t>
      </w:r>
      <w:r w:rsidRPr="00927915">
        <w:rPr>
          <w:rFonts w:ascii="Times New Roman" w:eastAsia="Times New Roman" w:hAnsi="Times New Roman" w:cs="Times New Roman"/>
          <w:sz w:val="24"/>
          <w:szCs w:val="24"/>
        </w:rPr>
        <w:t xml:space="preserve">Diagnostics). Biochemical parameters were determined in plasma, with blood collection </w:t>
      </w:r>
      <w:r w:rsidRPr="00927915">
        <w:rPr>
          <w:rFonts w:ascii="Times New Roman" w:eastAsia="Times New Roman" w:hAnsi="Times New Roman" w:cs="Times New Roman"/>
          <w:sz w:val="24"/>
          <w:szCs w:val="24"/>
        </w:rPr>
        <w:lastRenderedPageBreak/>
        <w:t xml:space="preserve">performed by cardiac puncture after a </w:t>
      </w:r>
      <w:r w:rsidR="0054552E" w:rsidRPr="00927915">
        <w:rPr>
          <w:rFonts w:ascii="Times New Roman" w:eastAsia="Times New Roman" w:hAnsi="Times New Roman" w:cs="Times New Roman"/>
          <w:sz w:val="24"/>
          <w:szCs w:val="24"/>
        </w:rPr>
        <w:t>12</w:t>
      </w:r>
      <w:r w:rsidRPr="00927915">
        <w:rPr>
          <w:rFonts w:ascii="Times New Roman" w:eastAsia="Times New Roman" w:hAnsi="Times New Roman" w:cs="Times New Roman"/>
          <w:sz w:val="24"/>
          <w:szCs w:val="24"/>
        </w:rPr>
        <w:t>-h fast</w:t>
      </w:r>
      <w:r w:rsidR="0054552E" w:rsidRPr="00927915">
        <w:rPr>
          <w:rFonts w:ascii="Times New Roman" w:eastAsia="Times New Roman" w:hAnsi="Times New Roman" w:cs="Times New Roman"/>
          <w:sz w:val="24"/>
          <w:szCs w:val="24"/>
        </w:rPr>
        <w:t xml:space="preserve"> </w:t>
      </w:r>
      <w:r w:rsidRPr="00927915">
        <w:rPr>
          <w:rFonts w:ascii="Times New Roman" w:eastAsia="Times New Roman" w:hAnsi="Times New Roman" w:cs="Times New Roman"/>
          <w:sz w:val="24"/>
          <w:szCs w:val="24"/>
        </w:rPr>
        <w:t>and anesthesia with ketamine (80-100mg/kg) and xylazine (5-10mg/kg) solutions. Colorimetric methods were used to analyze t</w:t>
      </w:r>
      <w:r w:rsidRPr="00927915">
        <w:rPr>
          <w:rFonts w:ascii="Times New Roman" w:eastAsia="Times New Roman" w:hAnsi="Times New Roman" w:cs="Times New Roman"/>
          <w:sz w:val="24"/>
          <w:szCs w:val="24"/>
        </w:rPr>
        <w:t>he biochemical parameters using Labtest® kits specific for each analysis. The following parameters were analyzed: glucose (Ref. 133); total cholesterol (Ref. 76); triglycerides (Ref. 87); HDL cholesterol (Ref. 13); AST - aspartate aminotransferase (Ref. 10</w:t>
      </w:r>
      <w:r w:rsidRPr="00927915">
        <w:rPr>
          <w:rFonts w:ascii="Times New Roman" w:eastAsia="Times New Roman" w:hAnsi="Times New Roman" w:cs="Times New Roman"/>
          <w:sz w:val="24"/>
          <w:szCs w:val="24"/>
        </w:rPr>
        <w:t>8); ALT - alanine aminotransferase (Ref. 109). To obtain the non-HDL cholesterol results, a calculation was performed in which the HDL cholesterol value was subtracted from the total cholesterol value (Virani, 2011). The AST/ALT ratio was used for the diag</w:t>
      </w:r>
      <w:r w:rsidRPr="00927915">
        <w:rPr>
          <w:rFonts w:ascii="Times New Roman" w:eastAsia="Times New Roman" w:hAnsi="Times New Roman" w:cs="Times New Roman"/>
          <w:sz w:val="24"/>
          <w:szCs w:val="24"/>
        </w:rPr>
        <w:t>nosis of Non-Alcoholic Fatty Liver Disease.</w:t>
      </w:r>
    </w:p>
    <w:p w14:paraId="63E7A417" w14:textId="77777777" w:rsidR="00465B00" w:rsidRPr="00927915" w:rsidRDefault="00465B00" w:rsidP="009C486A">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
      </w:pPr>
    </w:p>
    <w:p w14:paraId="22A05E30" w14:textId="77777777" w:rsidR="00545753" w:rsidRPr="00927915" w:rsidRDefault="00F95F28" w:rsidP="00545753">
      <w:pPr>
        <w:widowControl w:val="0"/>
        <w:pBdr>
          <w:top w:val="nil"/>
          <w:left w:val="nil"/>
          <w:bottom w:val="nil"/>
          <w:right w:val="nil"/>
          <w:between w:val="nil"/>
        </w:pBdr>
        <w:spacing w:after="0" w:line="360" w:lineRule="auto"/>
        <w:ind w:left="850"/>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2.3 Determination of glycogen and lipids</w:t>
      </w:r>
    </w:p>
    <w:p w14:paraId="7D4A1F25" w14:textId="77777777" w:rsidR="00545753" w:rsidRPr="00927915" w:rsidRDefault="00F95F28" w:rsidP="00545753">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The hepatic and muscular glycogen content was determined according to the method described by Sjögren (1938). A glucose standard curve was used as a reference to </w:t>
      </w:r>
      <w:r w:rsidRPr="00927915">
        <w:rPr>
          <w:rFonts w:ascii="Times New Roman" w:eastAsia="Times New Roman" w:hAnsi="Times New Roman" w:cs="Times New Roman"/>
          <w:sz w:val="24"/>
          <w:szCs w:val="24"/>
        </w:rPr>
        <w:t>determine the glucose content in the samples, and the results were expressed in mg/g of tissue. To determine the hepatic lipid content, the Folch method (</w:t>
      </w:r>
      <w:r w:rsidR="002E39B6" w:rsidRPr="00927915">
        <w:rPr>
          <w:rFonts w:ascii="Times New Roman" w:eastAsia="Times New Roman" w:hAnsi="Times New Roman" w:cs="Times New Roman"/>
          <w:sz w:val="24"/>
          <w:szCs w:val="24"/>
        </w:rPr>
        <w:t>Folch</w:t>
      </w:r>
      <w:r w:rsidRPr="00927915">
        <w:rPr>
          <w:rFonts w:ascii="Times New Roman" w:eastAsia="Times New Roman" w:hAnsi="Times New Roman" w:cs="Times New Roman"/>
          <w:sz w:val="24"/>
          <w:szCs w:val="24"/>
        </w:rPr>
        <w:t xml:space="preserve">, 1957) was employed. The amount of lipids </w:t>
      </w:r>
      <w:r w:rsidR="00F11CD2" w:rsidRPr="00927915">
        <w:rPr>
          <w:rFonts w:ascii="Times New Roman" w:eastAsia="Times New Roman" w:hAnsi="Times New Roman" w:cs="Times New Roman"/>
          <w:sz w:val="24"/>
          <w:szCs w:val="24"/>
        </w:rPr>
        <w:t xml:space="preserve">was determined gravimetrically </w:t>
      </w:r>
      <w:r w:rsidRPr="00927915">
        <w:rPr>
          <w:rFonts w:ascii="Times New Roman" w:eastAsia="Times New Roman" w:hAnsi="Times New Roman" w:cs="Times New Roman"/>
          <w:sz w:val="24"/>
          <w:szCs w:val="24"/>
        </w:rPr>
        <w:t>and expressed in g/g of</w:t>
      </w:r>
      <w:r w:rsidRPr="00927915">
        <w:rPr>
          <w:rFonts w:ascii="Times New Roman" w:eastAsia="Times New Roman" w:hAnsi="Times New Roman" w:cs="Times New Roman"/>
          <w:sz w:val="24"/>
          <w:szCs w:val="24"/>
        </w:rPr>
        <w:t xml:space="preserve"> tissue. </w:t>
      </w:r>
    </w:p>
    <w:p w14:paraId="1F99B8C4" w14:textId="77777777" w:rsidR="00545753" w:rsidRPr="00927915" w:rsidRDefault="00545753" w:rsidP="00545753">
      <w:pPr>
        <w:widowControl w:val="0"/>
        <w:pBdr>
          <w:top w:val="nil"/>
          <w:left w:val="nil"/>
          <w:bottom w:val="nil"/>
          <w:right w:val="nil"/>
          <w:between w:val="nil"/>
        </w:pBdr>
        <w:tabs>
          <w:tab w:val="left" w:pos="709"/>
        </w:tabs>
        <w:spacing w:after="0" w:line="360" w:lineRule="auto"/>
        <w:jc w:val="both"/>
        <w:rPr>
          <w:rFonts w:ascii="Times New Roman" w:eastAsia="Times New Roman" w:hAnsi="Times New Roman" w:cs="Times New Roman"/>
          <w:sz w:val="24"/>
          <w:szCs w:val="24"/>
        </w:rPr>
      </w:pPr>
    </w:p>
    <w:p w14:paraId="67520773" w14:textId="77777777" w:rsidR="009C149B" w:rsidRPr="00927915" w:rsidRDefault="00F95F28" w:rsidP="00465B00">
      <w:pPr>
        <w:widowControl w:val="0"/>
        <w:numPr>
          <w:ilvl w:val="1"/>
          <w:numId w:val="6"/>
        </w:numPr>
        <w:pBdr>
          <w:top w:val="nil"/>
          <w:left w:val="nil"/>
          <w:bottom w:val="nil"/>
          <w:right w:val="nil"/>
          <w:between w:val="nil"/>
        </w:pBdr>
        <w:spacing w:after="0" w:line="360" w:lineRule="auto"/>
        <w:ind w:left="851" w:firstLine="0"/>
        <w:jc w:val="both"/>
        <w:rPr>
          <w:rFonts w:ascii="Times New Roman" w:eastAsia="Times New Roman" w:hAnsi="Times New Roman" w:cs="Times New Roman"/>
          <w:b/>
          <w:sz w:val="24"/>
          <w:szCs w:val="24"/>
        </w:rPr>
      </w:pPr>
      <w:r w:rsidRPr="00927915">
        <w:rPr>
          <w:rFonts w:ascii="Times New Roman" w:eastAsia="Times New Roman" w:hAnsi="Times New Roman" w:cs="Times New Roman"/>
          <w:sz w:val="24"/>
          <w:szCs w:val="24"/>
        </w:rPr>
        <w:t xml:space="preserve"> </w:t>
      </w:r>
      <w:r w:rsidRPr="00927915">
        <w:rPr>
          <w:rFonts w:ascii="Times New Roman" w:eastAsia="Times New Roman" w:hAnsi="Times New Roman" w:cs="Times New Roman"/>
          <w:b/>
          <w:sz w:val="24"/>
          <w:szCs w:val="24"/>
        </w:rPr>
        <w:t>Malondialdehyde (MDA)</w:t>
      </w:r>
    </w:p>
    <w:p w14:paraId="50F4B539" w14:textId="77777777" w:rsidR="00545753" w:rsidRPr="00927915" w:rsidRDefault="00F95F28" w:rsidP="009C149B">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sz w:val="24"/>
          <w:szCs w:val="24"/>
        </w:rPr>
        <w:t xml:space="preserve">Hepatic lipid peroxidation was quantified by the reactive substances present in the thiobarbituric acid (TBARS) </w:t>
      </w:r>
      <w:r w:rsidR="00EB0280" w:rsidRPr="00927915">
        <w:rPr>
          <w:rFonts w:ascii="Times New Roman" w:eastAsia="Times New Roman" w:hAnsi="Times New Roman" w:cs="Times New Roman"/>
          <w:sz w:val="24"/>
          <w:szCs w:val="24"/>
        </w:rPr>
        <w:t xml:space="preserve">method, as </w:t>
      </w:r>
      <w:r w:rsidRPr="00927915">
        <w:rPr>
          <w:rFonts w:ascii="Times New Roman" w:eastAsia="Times New Roman" w:hAnsi="Times New Roman" w:cs="Times New Roman"/>
          <w:sz w:val="24"/>
          <w:szCs w:val="24"/>
        </w:rPr>
        <w:t>adapted by Percário et al. (1994)</w:t>
      </w:r>
      <w:r w:rsidR="00EB0280" w:rsidRPr="00927915">
        <w:rPr>
          <w:rFonts w:ascii="Times New Roman" w:eastAsia="Times New Roman" w:hAnsi="Times New Roman" w:cs="Times New Roman"/>
          <w:sz w:val="24"/>
          <w:szCs w:val="24"/>
        </w:rPr>
        <w:t>. C</w:t>
      </w:r>
      <w:r w:rsidRPr="00927915">
        <w:rPr>
          <w:rFonts w:ascii="Times New Roman" w:eastAsia="Times New Roman" w:hAnsi="Times New Roman" w:cs="Times New Roman"/>
          <w:sz w:val="24"/>
          <w:szCs w:val="24"/>
        </w:rPr>
        <w:t xml:space="preserve">onsists of the reaction of the aldehydes formed, the primary </w:t>
      </w:r>
      <w:r w:rsidRPr="00927915">
        <w:rPr>
          <w:rFonts w:ascii="Times New Roman" w:eastAsia="Times New Roman" w:hAnsi="Times New Roman" w:cs="Times New Roman"/>
          <w:sz w:val="24"/>
          <w:szCs w:val="24"/>
        </w:rPr>
        <w:t>representative of which is malondialdehyde (MDA), producing a yellow compound that was read in a UV-Vis spectrophotometer. The results were expressed in µmol/g (Percário et al., 1994</w:t>
      </w:r>
      <w:r w:rsidR="00605F60" w:rsidRPr="00927915">
        <w:rPr>
          <w:rFonts w:ascii="Times New Roman" w:eastAsia="Times New Roman" w:hAnsi="Times New Roman" w:cs="Times New Roman"/>
          <w:sz w:val="24"/>
          <w:szCs w:val="24"/>
        </w:rPr>
        <w:t>).</w:t>
      </w:r>
    </w:p>
    <w:p w14:paraId="56D91B81" w14:textId="77777777" w:rsidR="006A40FC" w:rsidRPr="00927915" w:rsidRDefault="006A40FC">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2010EDC" w14:textId="77777777" w:rsidR="00605F60" w:rsidRPr="00927915" w:rsidRDefault="00605F60">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DA3F672" w14:textId="77777777" w:rsidR="00605F60" w:rsidRPr="00927915" w:rsidRDefault="00605F60">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sectPr w:rsidR="00605F60" w:rsidRPr="00927915" w:rsidSect="004F0676">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701" w:bottom="1417" w:left="1701" w:header="709" w:footer="709" w:gutter="0"/>
          <w:pgNumType w:start="1"/>
          <w:cols w:space="720"/>
          <w:docGrid w:linePitch="299"/>
        </w:sectPr>
      </w:pPr>
    </w:p>
    <w:p w14:paraId="76325C29" w14:textId="77777777" w:rsidR="006A40FC" w:rsidRPr="00927915" w:rsidRDefault="00F95F28">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b/>
          <w:sz w:val="20"/>
          <w:szCs w:val="20"/>
        </w:rPr>
        <w:lastRenderedPageBreak/>
        <w:t xml:space="preserve">Table 1: </w:t>
      </w:r>
      <w:r w:rsidRPr="00927915">
        <w:rPr>
          <w:rFonts w:ascii="Times New Roman" w:eastAsia="Times New Roman" w:hAnsi="Times New Roman" w:cs="Times New Roman"/>
          <w:sz w:val="20"/>
          <w:szCs w:val="20"/>
        </w:rPr>
        <w:t xml:space="preserve">Composition of the AIN-93G </w:t>
      </w:r>
      <w:r w:rsidRPr="00927915">
        <w:rPr>
          <w:rFonts w:ascii="Times New Roman" w:eastAsia="Times New Roman" w:hAnsi="Times New Roman" w:cs="Times New Roman"/>
          <w:sz w:val="20"/>
          <w:szCs w:val="20"/>
        </w:rPr>
        <w:t>diet used in the experimental period</w:t>
      </w:r>
    </w:p>
    <w:tbl>
      <w:tblPr>
        <w:tblStyle w:val="a4"/>
        <w:tblpPr w:leftFromText="141" w:rightFromText="141" w:vertAnchor="page" w:horzAnchor="margin" w:tblpXSpec="center" w:tblpY="2173"/>
        <w:tblW w:w="13009" w:type="dxa"/>
        <w:tblInd w:w="0" w:type="dxa"/>
        <w:tblBorders>
          <w:top w:val="single" w:sz="4" w:space="0" w:color="7F7F7F"/>
          <w:bottom w:val="single" w:sz="4" w:space="0" w:color="7F7F7F"/>
        </w:tblBorders>
        <w:tblLayout w:type="fixed"/>
        <w:tblLook w:val="04A0" w:firstRow="1" w:lastRow="0" w:firstColumn="1" w:lastColumn="0" w:noHBand="0" w:noVBand="1"/>
      </w:tblPr>
      <w:tblGrid>
        <w:gridCol w:w="4219"/>
        <w:gridCol w:w="2638"/>
        <w:gridCol w:w="3691"/>
        <w:gridCol w:w="2461"/>
      </w:tblGrid>
      <w:tr w:rsidR="00D70824" w14:paraId="08A188C5" w14:textId="77777777" w:rsidTr="00D7082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05068E8E" w14:textId="77777777" w:rsidR="006A40FC" w:rsidRPr="00927915" w:rsidRDefault="00F95F28" w:rsidP="00F6295B">
            <w:pPr>
              <w:pStyle w:val="SemEspaamento"/>
              <w:jc w:val="center"/>
              <w:rPr>
                <w:rFonts w:ascii="Times New Roman" w:hAnsi="Times New Roman" w:cs="Times New Roman"/>
              </w:rPr>
            </w:pPr>
            <w:r w:rsidRPr="00927915">
              <w:rPr>
                <w:rFonts w:ascii="Times New Roman" w:hAnsi="Times New Roman" w:cs="Times New Roman"/>
              </w:rPr>
              <w:t>Ingredients</w:t>
            </w:r>
          </w:p>
        </w:tc>
        <w:tc>
          <w:tcPr>
            <w:tcW w:w="2638" w:type="dxa"/>
            <w:vAlign w:val="center"/>
          </w:tcPr>
          <w:p w14:paraId="67978239" w14:textId="77777777" w:rsidR="006A40FC" w:rsidRPr="00927915" w:rsidRDefault="00F95F28" w:rsidP="00F6295B">
            <w:pPr>
              <w:pStyle w:val="SemEspaamen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Control diet (</w:t>
            </w:r>
            <w:r w:rsidR="005E39C5" w:rsidRPr="00927915">
              <w:rPr>
                <w:rFonts w:ascii="Times New Roman" w:hAnsi="Times New Roman" w:cs="Times New Roman"/>
              </w:rPr>
              <w:t>1200 RE</w:t>
            </w:r>
            <w:r w:rsidRPr="00927915">
              <w:rPr>
                <w:rFonts w:ascii="Times New Roman" w:hAnsi="Times New Roman" w:cs="Times New Roman"/>
              </w:rPr>
              <w:t>)</w:t>
            </w:r>
            <w:r w:rsidR="005E39C5" w:rsidRPr="00927915">
              <w:rPr>
                <w:rFonts w:ascii="Times New Roman" w:hAnsi="Times New Roman" w:cs="Times New Roman"/>
              </w:rPr>
              <w:t xml:space="preserve"> </w:t>
            </w:r>
          </w:p>
        </w:tc>
        <w:tc>
          <w:tcPr>
            <w:tcW w:w="3691" w:type="dxa"/>
            <w:vAlign w:val="center"/>
          </w:tcPr>
          <w:p w14:paraId="3A6BBE17" w14:textId="77777777" w:rsidR="006A40FC" w:rsidRPr="00927915" w:rsidRDefault="00F95F28" w:rsidP="00F6295B">
            <w:pPr>
              <w:pStyle w:val="SemEspaamen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Vitamin A Deficient</w:t>
            </w:r>
            <w:r w:rsidR="00672FA7" w:rsidRPr="00927915">
              <w:rPr>
                <w:rFonts w:ascii="Times New Roman" w:hAnsi="Times New Roman" w:cs="Times New Roman"/>
              </w:rPr>
              <w:t xml:space="preserve"> diet</w:t>
            </w:r>
          </w:p>
        </w:tc>
        <w:tc>
          <w:tcPr>
            <w:tcW w:w="2461" w:type="dxa"/>
            <w:vAlign w:val="center"/>
          </w:tcPr>
          <w:p w14:paraId="52685C16" w14:textId="77777777" w:rsidR="006A40FC" w:rsidRPr="00927915" w:rsidRDefault="00F95F28" w:rsidP="00F6295B">
            <w:pPr>
              <w:pStyle w:val="SemEspaamen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i/>
              </w:rPr>
              <w:t xml:space="preserve">A. phalerata </w:t>
            </w:r>
            <w:r w:rsidRPr="00927915">
              <w:rPr>
                <w:rFonts w:ascii="Times New Roman" w:hAnsi="Times New Roman" w:cs="Times New Roman"/>
              </w:rPr>
              <w:t>diet (</w:t>
            </w:r>
            <w:r w:rsidR="005E39C5" w:rsidRPr="00927915">
              <w:rPr>
                <w:rFonts w:ascii="Times New Roman" w:hAnsi="Times New Roman" w:cs="Times New Roman"/>
              </w:rPr>
              <w:t xml:space="preserve">1200 RE </w:t>
            </w:r>
            <w:r w:rsidRPr="00927915">
              <w:rPr>
                <w:rFonts w:ascii="Times New Roman" w:hAnsi="Times New Roman" w:cs="Times New Roman"/>
              </w:rPr>
              <w:t xml:space="preserve">from </w:t>
            </w:r>
            <w:r w:rsidRPr="00927915">
              <w:rPr>
                <w:rFonts w:ascii="Times New Roman" w:hAnsi="Times New Roman" w:cs="Times New Roman"/>
                <w:i/>
              </w:rPr>
              <w:t xml:space="preserve">A. phalerata </w:t>
            </w:r>
            <w:r w:rsidRPr="00927915">
              <w:rPr>
                <w:rFonts w:ascii="Times New Roman" w:hAnsi="Times New Roman" w:cs="Times New Roman"/>
              </w:rPr>
              <w:t>o</w:t>
            </w:r>
            <w:r w:rsidR="005E39C5" w:rsidRPr="00927915">
              <w:rPr>
                <w:rFonts w:ascii="Times New Roman" w:hAnsi="Times New Roman" w:cs="Times New Roman"/>
              </w:rPr>
              <w:t>il</w:t>
            </w:r>
            <w:r w:rsidRPr="00927915">
              <w:rPr>
                <w:rFonts w:ascii="Times New Roman" w:hAnsi="Times New Roman" w:cs="Times New Roman"/>
              </w:rPr>
              <w:t>)</w:t>
            </w:r>
          </w:p>
        </w:tc>
      </w:tr>
      <w:tr w:rsidR="00D70824" w14:paraId="7D78C383" w14:textId="77777777" w:rsidTr="00D7082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380899B3"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Casein (92% protein)</w:t>
            </w:r>
          </w:p>
        </w:tc>
        <w:tc>
          <w:tcPr>
            <w:tcW w:w="2638" w:type="dxa"/>
            <w:vAlign w:val="center"/>
          </w:tcPr>
          <w:p w14:paraId="3CFD4158"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184.8</w:t>
            </w:r>
          </w:p>
        </w:tc>
        <w:tc>
          <w:tcPr>
            <w:tcW w:w="3691" w:type="dxa"/>
            <w:vAlign w:val="center"/>
          </w:tcPr>
          <w:p w14:paraId="5AC09439"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184.8</w:t>
            </w:r>
          </w:p>
        </w:tc>
        <w:tc>
          <w:tcPr>
            <w:tcW w:w="2461" w:type="dxa"/>
            <w:vAlign w:val="center"/>
          </w:tcPr>
          <w:p w14:paraId="290344F2"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184.8</w:t>
            </w:r>
          </w:p>
        </w:tc>
      </w:tr>
      <w:tr w:rsidR="00D70824" w14:paraId="168DF833" w14:textId="77777777" w:rsidTr="00D70824">
        <w:trPr>
          <w:trHeight w:val="496"/>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1CF1835C"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Starch</w:t>
            </w:r>
          </w:p>
        </w:tc>
        <w:tc>
          <w:tcPr>
            <w:tcW w:w="2638" w:type="dxa"/>
            <w:vAlign w:val="center"/>
          </w:tcPr>
          <w:p w14:paraId="7849232E"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406.20</w:t>
            </w:r>
          </w:p>
        </w:tc>
        <w:tc>
          <w:tcPr>
            <w:tcW w:w="3691" w:type="dxa"/>
            <w:vAlign w:val="center"/>
          </w:tcPr>
          <w:p w14:paraId="28D795D9"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406.20</w:t>
            </w:r>
          </w:p>
        </w:tc>
        <w:tc>
          <w:tcPr>
            <w:tcW w:w="2461" w:type="dxa"/>
            <w:vAlign w:val="center"/>
          </w:tcPr>
          <w:p w14:paraId="719C5C4D"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406.20</w:t>
            </w:r>
          </w:p>
        </w:tc>
      </w:tr>
      <w:tr w:rsidR="00D70824" w14:paraId="6F32A5E0" w14:textId="77777777" w:rsidTr="00D7082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5F778AAD"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Dextrin</w:t>
            </w:r>
          </w:p>
        </w:tc>
        <w:tc>
          <w:tcPr>
            <w:tcW w:w="2638" w:type="dxa"/>
            <w:vAlign w:val="center"/>
          </w:tcPr>
          <w:p w14:paraId="080FFA00"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135.40</w:t>
            </w:r>
          </w:p>
        </w:tc>
        <w:tc>
          <w:tcPr>
            <w:tcW w:w="3691" w:type="dxa"/>
            <w:vAlign w:val="center"/>
          </w:tcPr>
          <w:p w14:paraId="67F67BBC"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135.40</w:t>
            </w:r>
          </w:p>
        </w:tc>
        <w:tc>
          <w:tcPr>
            <w:tcW w:w="2461" w:type="dxa"/>
            <w:vAlign w:val="center"/>
          </w:tcPr>
          <w:p w14:paraId="75F5BBCD"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135.40</w:t>
            </w:r>
          </w:p>
        </w:tc>
      </w:tr>
      <w:tr w:rsidR="00D70824" w14:paraId="27511DFC" w14:textId="77777777" w:rsidTr="00D70824">
        <w:trPr>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05126CB4"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Sugar</w:t>
            </w:r>
          </w:p>
        </w:tc>
        <w:tc>
          <w:tcPr>
            <w:tcW w:w="2638" w:type="dxa"/>
            <w:vAlign w:val="center"/>
          </w:tcPr>
          <w:p w14:paraId="2EE0DF47"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103.15</w:t>
            </w:r>
          </w:p>
        </w:tc>
        <w:tc>
          <w:tcPr>
            <w:tcW w:w="3691" w:type="dxa"/>
            <w:vAlign w:val="center"/>
          </w:tcPr>
          <w:p w14:paraId="03E26EE1"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103.15</w:t>
            </w:r>
          </w:p>
        </w:tc>
        <w:tc>
          <w:tcPr>
            <w:tcW w:w="2461" w:type="dxa"/>
            <w:vAlign w:val="center"/>
          </w:tcPr>
          <w:p w14:paraId="20C4572D"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103.15</w:t>
            </w:r>
          </w:p>
        </w:tc>
      </w:tr>
      <w:tr w:rsidR="00D70824" w14:paraId="334075B4" w14:textId="77777777" w:rsidTr="00D7082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6DF80EB5"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Soybean oil (ml)</w:t>
            </w:r>
          </w:p>
        </w:tc>
        <w:tc>
          <w:tcPr>
            <w:tcW w:w="2638" w:type="dxa"/>
            <w:vAlign w:val="center"/>
          </w:tcPr>
          <w:p w14:paraId="60591E81"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70</w:t>
            </w:r>
          </w:p>
        </w:tc>
        <w:tc>
          <w:tcPr>
            <w:tcW w:w="3691" w:type="dxa"/>
            <w:vAlign w:val="center"/>
          </w:tcPr>
          <w:p w14:paraId="55F4124E"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70</w:t>
            </w:r>
          </w:p>
        </w:tc>
        <w:tc>
          <w:tcPr>
            <w:tcW w:w="2461" w:type="dxa"/>
            <w:vAlign w:val="center"/>
          </w:tcPr>
          <w:p w14:paraId="0F6F1334"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w:t>
            </w:r>
          </w:p>
        </w:tc>
      </w:tr>
      <w:tr w:rsidR="00D70824" w14:paraId="05698E61" w14:textId="77777777" w:rsidTr="00D70824">
        <w:trPr>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4AF03CA0"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i/>
              </w:rPr>
              <w:t>Attalea phalerata</w:t>
            </w:r>
            <w:r w:rsidRPr="00927915">
              <w:rPr>
                <w:rFonts w:ascii="Times New Roman" w:hAnsi="Times New Roman" w:cs="Times New Roman"/>
              </w:rPr>
              <w:t xml:space="preserve"> oil (ml)*</w:t>
            </w:r>
          </w:p>
        </w:tc>
        <w:tc>
          <w:tcPr>
            <w:tcW w:w="2638" w:type="dxa"/>
            <w:vAlign w:val="center"/>
          </w:tcPr>
          <w:p w14:paraId="7D52B5D7"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w:t>
            </w:r>
          </w:p>
        </w:tc>
        <w:tc>
          <w:tcPr>
            <w:tcW w:w="3691" w:type="dxa"/>
            <w:vAlign w:val="center"/>
          </w:tcPr>
          <w:p w14:paraId="6916F2A3"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w:t>
            </w:r>
          </w:p>
        </w:tc>
        <w:tc>
          <w:tcPr>
            <w:tcW w:w="2461" w:type="dxa"/>
            <w:vAlign w:val="center"/>
          </w:tcPr>
          <w:p w14:paraId="30674908"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73</w:t>
            </w:r>
          </w:p>
        </w:tc>
      </w:tr>
      <w:tr w:rsidR="00D70824" w14:paraId="3BF86430" w14:textId="77777777" w:rsidTr="00D7082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3D87C3E1"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Fiber</w:t>
            </w:r>
          </w:p>
        </w:tc>
        <w:tc>
          <w:tcPr>
            <w:tcW w:w="2638" w:type="dxa"/>
            <w:vAlign w:val="center"/>
          </w:tcPr>
          <w:p w14:paraId="1C7261C3"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50</w:t>
            </w:r>
          </w:p>
        </w:tc>
        <w:tc>
          <w:tcPr>
            <w:tcW w:w="3691" w:type="dxa"/>
            <w:vAlign w:val="center"/>
          </w:tcPr>
          <w:p w14:paraId="6B1D3334"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50</w:t>
            </w:r>
          </w:p>
        </w:tc>
        <w:tc>
          <w:tcPr>
            <w:tcW w:w="2461" w:type="dxa"/>
            <w:vAlign w:val="center"/>
          </w:tcPr>
          <w:p w14:paraId="5A424906"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50</w:t>
            </w:r>
          </w:p>
        </w:tc>
      </w:tr>
      <w:tr w:rsidR="00D70824" w14:paraId="09764B55" w14:textId="77777777" w:rsidTr="00D70824">
        <w:trPr>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43286CB0"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**Salt Mix</w:t>
            </w:r>
          </w:p>
        </w:tc>
        <w:tc>
          <w:tcPr>
            <w:tcW w:w="2638" w:type="dxa"/>
            <w:vAlign w:val="center"/>
          </w:tcPr>
          <w:p w14:paraId="00DE8152"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35</w:t>
            </w:r>
          </w:p>
        </w:tc>
        <w:tc>
          <w:tcPr>
            <w:tcW w:w="3691" w:type="dxa"/>
            <w:vAlign w:val="center"/>
          </w:tcPr>
          <w:p w14:paraId="7313D10C"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35</w:t>
            </w:r>
          </w:p>
        </w:tc>
        <w:tc>
          <w:tcPr>
            <w:tcW w:w="2461" w:type="dxa"/>
            <w:vAlign w:val="center"/>
          </w:tcPr>
          <w:p w14:paraId="5A47A448"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35</w:t>
            </w:r>
          </w:p>
        </w:tc>
      </w:tr>
      <w:tr w:rsidR="00D70824" w14:paraId="36543DAF" w14:textId="77777777" w:rsidTr="00D7082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1A34A1F2"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 xml:space="preserve">**Vitamin Mix </w:t>
            </w:r>
          </w:p>
        </w:tc>
        <w:tc>
          <w:tcPr>
            <w:tcW w:w="2638" w:type="dxa"/>
            <w:vAlign w:val="center"/>
          </w:tcPr>
          <w:p w14:paraId="70357EE1"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10</w:t>
            </w:r>
          </w:p>
        </w:tc>
        <w:tc>
          <w:tcPr>
            <w:tcW w:w="3691" w:type="dxa"/>
            <w:vAlign w:val="center"/>
          </w:tcPr>
          <w:p w14:paraId="4F515FE5"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w:t>
            </w:r>
          </w:p>
        </w:tc>
        <w:tc>
          <w:tcPr>
            <w:tcW w:w="2461" w:type="dxa"/>
            <w:vAlign w:val="center"/>
          </w:tcPr>
          <w:p w14:paraId="7FD8AC3B"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w:t>
            </w:r>
          </w:p>
        </w:tc>
      </w:tr>
      <w:tr w:rsidR="00D70824" w14:paraId="02DA3210" w14:textId="77777777" w:rsidTr="00D70824">
        <w:trPr>
          <w:trHeight w:val="496"/>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58CF2BEE"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Vit. Mix without Vitamin A</w:t>
            </w:r>
          </w:p>
        </w:tc>
        <w:tc>
          <w:tcPr>
            <w:tcW w:w="2638" w:type="dxa"/>
            <w:vAlign w:val="center"/>
          </w:tcPr>
          <w:p w14:paraId="1ED51CA2"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w:t>
            </w:r>
          </w:p>
        </w:tc>
        <w:tc>
          <w:tcPr>
            <w:tcW w:w="3691" w:type="dxa"/>
            <w:vAlign w:val="center"/>
          </w:tcPr>
          <w:p w14:paraId="70B83E27"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10</w:t>
            </w:r>
          </w:p>
        </w:tc>
        <w:tc>
          <w:tcPr>
            <w:tcW w:w="2461" w:type="dxa"/>
            <w:vAlign w:val="center"/>
          </w:tcPr>
          <w:p w14:paraId="67354D0F"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10</w:t>
            </w:r>
          </w:p>
        </w:tc>
      </w:tr>
      <w:tr w:rsidR="00D70824" w14:paraId="78FF2716" w14:textId="77777777" w:rsidTr="00D7082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 w:type="dxa"/>
            <w:vAlign w:val="center"/>
          </w:tcPr>
          <w:p w14:paraId="07BF3BB9"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L-Cystine</w:t>
            </w:r>
          </w:p>
        </w:tc>
        <w:tc>
          <w:tcPr>
            <w:tcW w:w="1" w:type="dxa"/>
            <w:vAlign w:val="center"/>
          </w:tcPr>
          <w:p w14:paraId="4E62EC9E"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3</w:t>
            </w:r>
          </w:p>
        </w:tc>
        <w:tc>
          <w:tcPr>
            <w:tcW w:w="1" w:type="dxa"/>
            <w:vAlign w:val="center"/>
          </w:tcPr>
          <w:p w14:paraId="441C5403"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3</w:t>
            </w:r>
          </w:p>
        </w:tc>
        <w:tc>
          <w:tcPr>
            <w:tcW w:w="1" w:type="dxa"/>
            <w:vAlign w:val="center"/>
          </w:tcPr>
          <w:p w14:paraId="0DCFD3DB" w14:textId="77777777" w:rsidR="006A40FC" w:rsidRPr="00927915" w:rsidRDefault="00F95F28" w:rsidP="00F6295B">
            <w:pPr>
              <w:pStyle w:val="SemEspaamen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3</w:t>
            </w:r>
          </w:p>
        </w:tc>
      </w:tr>
      <w:tr w:rsidR="00D70824" w14:paraId="40F57F8D" w14:textId="77777777" w:rsidTr="00D70824">
        <w:trPr>
          <w:trHeight w:val="416"/>
        </w:trPr>
        <w:tc>
          <w:tcPr>
            <w:cnfStyle w:val="001000000000" w:firstRow="0" w:lastRow="0" w:firstColumn="1" w:lastColumn="0" w:oddVBand="0" w:evenVBand="0" w:oddHBand="0" w:evenHBand="0" w:firstRowFirstColumn="0" w:firstRowLastColumn="0" w:lastRowFirstColumn="0" w:lastRowLastColumn="0"/>
            <w:tcW w:w="1" w:type="dxa"/>
            <w:vAlign w:val="center"/>
          </w:tcPr>
          <w:p w14:paraId="6F8B6F79" w14:textId="77777777" w:rsidR="006A40FC" w:rsidRPr="00927915" w:rsidRDefault="00F95F28" w:rsidP="00F6295B">
            <w:pPr>
              <w:pStyle w:val="SemEspaamento"/>
              <w:rPr>
                <w:rFonts w:ascii="Times New Roman" w:hAnsi="Times New Roman" w:cs="Times New Roman"/>
              </w:rPr>
            </w:pPr>
            <w:r w:rsidRPr="00927915">
              <w:rPr>
                <w:rFonts w:ascii="Times New Roman" w:hAnsi="Times New Roman" w:cs="Times New Roman"/>
              </w:rPr>
              <w:t>Choline Bitartrate</w:t>
            </w:r>
          </w:p>
        </w:tc>
        <w:tc>
          <w:tcPr>
            <w:tcW w:w="1" w:type="dxa"/>
            <w:vAlign w:val="center"/>
          </w:tcPr>
          <w:p w14:paraId="53407828"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2.5</w:t>
            </w:r>
          </w:p>
        </w:tc>
        <w:tc>
          <w:tcPr>
            <w:tcW w:w="1" w:type="dxa"/>
            <w:vAlign w:val="center"/>
          </w:tcPr>
          <w:p w14:paraId="6B4E7277"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2.5</w:t>
            </w:r>
          </w:p>
        </w:tc>
        <w:tc>
          <w:tcPr>
            <w:tcW w:w="1" w:type="dxa"/>
            <w:vAlign w:val="center"/>
          </w:tcPr>
          <w:p w14:paraId="3B8A3A90" w14:textId="77777777" w:rsidR="006A40FC" w:rsidRPr="00927915" w:rsidRDefault="00F95F28" w:rsidP="00F6295B">
            <w:pPr>
              <w:pStyle w:val="SemEspaamen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7915">
              <w:rPr>
                <w:rFonts w:ascii="Times New Roman" w:hAnsi="Times New Roman" w:cs="Times New Roman"/>
              </w:rPr>
              <w:t>2.5</w:t>
            </w:r>
          </w:p>
        </w:tc>
      </w:tr>
    </w:tbl>
    <w:p w14:paraId="252B2AE0" w14:textId="77777777" w:rsidR="006A40FC" w:rsidRPr="00927915" w:rsidRDefault="00F95F28">
      <w:pPr>
        <w:tabs>
          <w:tab w:val="left" w:pos="709"/>
        </w:tabs>
        <w:spacing w:after="0" w:line="360" w:lineRule="auto"/>
        <w:jc w:val="both"/>
        <w:rPr>
          <w:rFonts w:ascii="Times New Roman" w:eastAsia="Times New Roman" w:hAnsi="Times New Roman" w:cs="Times New Roman"/>
          <w:sz w:val="20"/>
          <w:szCs w:val="20"/>
        </w:rPr>
        <w:sectPr w:rsidR="006A40FC" w:rsidRPr="00927915" w:rsidSect="004F0676">
          <w:type w:val="continuous"/>
          <w:pgSz w:w="16838" w:h="11906" w:orient="landscape"/>
          <w:pgMar w:top="1701" w:right="1417" w:bottom="1701" w:left="1417" w:header="709" w:footer="709" w:gutter="0"/>
          <w:cols w:space="720"/>
          <w:docGrid w:linePitch="299"/>
        </w:sectPr>
      </w:pPr>
      <w:r w:rsidRPr="00927915">
        <w:rPr>
          <w:rFonts w:ascii="Times New Roman" w:eastAsia="Times New Roman" w:hAnsi="Times New Roman" w:cs="Times New Roman"/>
          <w:sz w:val="20"/>
          <w:szCs w:val="20"/>
        </w:rPr>
        <w:t xml:space="preserve">* The volume of </w:t>
      </w:r>
      <w:r w:rsidRPr="00927915">
        <w:rPr>
          <w:rFonts w:ascii="Times New Roman" w:eastAsia="Times New Roman" w:hAnsi="Times New Roman" w:cs="Times New Roman"/>
          <w:i/>
          <w:sz w:val="20"/>
          <w:szCs w:val="20"/>
        </w:rPr>
        <w:t>Attalea phalerata</w:t>
      </w:r>
      <w:r w:rsidRPr="00927915">
        <w:rPr>
          <w:rFonts w:ascii="Times New Roman" w:eastAsia="Times New Roman" w:hAnsi="Times New Roman" w:cs="Times New Roman"/>
          <w:sz w:val="20"/>
          <w:szCs w:val="20"/>
        </w:rPr>
        <w:t xml:space="preserve"> oil was added to the equivalent amount of retinol in the Control diet. The </w:t>
      </w:r>
      <w:r w:rsidRPr="00927915">
        <w:rPr>
          <w:rFonts w:ascii="Times New Roman" w:eastAsia="Times New Roman" w:hAnsi="Times New Roman" w:cs="Times New Roman"/>
          <w:sz w:val="24"/>
          <w:szCs w:val="24"/>
        </w:rPr>
        <w:t>β</w:t>
      </w:r>
      <w:r w:rsidRPr="00927915">
        <w:rPr>
          <w:rFonts w:ascii="Times New Roman" w:eastAsia="Times New Roman" w:hAnsi="Times New Roman" w:cs="Times New Roman"/>
          <w:sz w:val="20"/>
          <w:szCs w:val="20"/>
        </w:rPr>
        <w:t xml:space="preserve"> -carotene analysis of the oil was previously determined by Dr. Carla Grazieli Azevedo da Silva by the methodology listed in the Reference Spada et al., (2025): In 195.8µg/mL (± 0.10); in 73mL of oil, we have 14,400µg/kg of </w:t>
      </w:r>
      <w:r w:rsidRPr="00927915">
        <w:rPr>
          <w:rFonts w:ascii="Times New Roman" w:eastAsia="Times New Roman" w:hAnsi="Times New Roman" w:cs="Times New Roman"/>
          <w:sz w:val="24"/>
          <w:szCs w:val="24"/>
        </w:rPr>
        <w:t>β</w:t>
      </w:r>
      <w:r w:rsidRPr="00927915">
        <w:rPr>
          <w:rFonts w:ascii="Times New Roman" w:eastAsia="Times New Roman" w:hAnsi="Times New Roman" w:cs="Times New Roman"/>
          <w:sz w:val="20"/>
          <w:szCs w:val="20"/>
        </w:rPr>
        <w:t xml:space="preserve"> -carotene.** for details on th</w:t>
      </w:r>
      <w:r w:rsidRPr="00927915">
        <w:rPr>
          <w:rFonts w:ascii="Times New Roman" w:eastAsia="Times New Roman" w:hAnsi="Times New Roman" w:cs="Times New Roman"/>
          <w:sz w:val="20"/>
          <w:szCs w:val="20"/>
        </w:rPr>
        <w:t>e composition of the mixture of salts and vitamins, see Reeves (Reeves, 1993).</w:t>
      </w:r>
    </w:p>
    <w:p w14:paraId="0418A760" w14:textId="77777777" w:rsidR="006A40FC" w:rsidRPr="00927915" w:rsidRDefault="00F95F28" w:rsidP="00605F60">
      <w:pPr>
        <w:widowControl w:val="0"/>
        <w:numPr>
          <w:ilvl w:val="1"/>
          <w:numId w:val="6"/>
        </w:numPr>
        <w:pBdr>
          <w:top w:val="nil"/>
          <w:left w:val="nil"/>
          <w:bottom w:val="nil"/>
          <w:right w:val="nil"/>
          <w:between w:val="nil"/>
        </w:pBdr>
        <w:spacing w:after="0" w:line="360" w:lineRule="auto"/>
        <w:ind w:left="425" w:firstLine="425"/>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lastRenderedPageBreak/>
        <w:t>Carbonylated Proteins</w:t>
      </w:r>
    </w:p>
    <w:p w14:paraId="40D9B2BD" w14:textId="77777777" w:rsidR="00605F60" w:rsidRPr="00927915" w:rsidRDefault="00F95F28" w:rsidP="00605F60">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The formation of carbonyl proteins resulting from metal-catalyzed oxidative deamination was determined by the method proposed by Odetti et al. (1996). The </w:t>
      </w:r>
      <w:r w:rsidRPr="00927915">
        <w:rPr>
          <w:rFonts w:ascii="Times New Roman" w:eastAsia="Times New Roman" w:hAnsi="Times New Roman" w:cs="Times New Roman"/>
          <w:sz w:val="24"/>
          <w:szCs w:val="24"/>
        </w:rPr>
        <w:t>result was obtained by calculation using the molar extinction coefficient of 22,000 M-1 cm-1, and expressed in mmol/mg ptn (Odetti et al., 1996).</w:t>
      </w:r>
    </w:p>
    <w:p w14:paraId="7AAAE495" w14:textId="77777777" w:rsidR="00605F60" w:rsidRPr="00927915" w:rsidRDefault="00605F60" w:rsidP="00605F60">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91025DD" w14:textId="77777777" w:rsidR="006A40FC" w:rsidRPr="00927915" w:rsidRDefault="00F95F28" w:rsidP="00605F60">
      <w:pPr>
        <w:widowControl w:val="0"/>
        <w:pBdr>
          <w:top w:val="nil"/>
          <w:left w:val="nil"/>
          <w:bottom w:val="nil"/>
          <w:right w:val="nil"/>
          <w:between w:val="nil"/>
        </w:pBdr>
        <w:spacing w:after="0" w:line="360" w:lineRule="auto"/>
        <w:ind w:left="425" w:firstLine="425"/>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2.4. </w:t>
      </w:r>
      <w:r w:rsidR="005E39C5" w:rsidRPr="00927915">
        <w:rPr>
          <w:rFonts w:ascii="Times New Roman" w:eastAsia="Times New Roman" w:hAnsi="Times New Roman" w:cs="Times New Roman"/>
          <w:b/>
          <w:sz w:val="24"/>
          <w:szCs w:val="24"/>
        </w:rPr>
        <w:t xml:space="preserve">Catalase </w:t>
      </w:r>
    </w:p>
    <w:p w14:paraId="4B893AF8" w14:textId="77777777" w:rsidR="006A40FC" w:rsidRPr="00927915" w:rsidRDefault="00F95F28" w:rsidP="00605F60">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To determine catalase enzyme activity, the methodology developed by Aebi (1984) was employed, </w:t>
      </w:r>
      <w:r w:rsidRPr="00927915">
        <w:rPr>
          <w:rFonts w:ascii="Times New Roman" w:eastAsia="Times New Roman" w:hAnsi="Times New Roman" w:cs="Times New Roman"/>
          <w:sz w:val="24"/>
          <w:szCs w:val="24"/>
        </w:rPr>
        <w:t>and the results were expressed in units (U) per milligram (mg) of protein. Proteins were measured in all homogenates using the Bradford method (1976). The results were expressed in U/mg of protein/² (Aebi, 1984).</w:t>
      </w:r>
    </w:p>
    <w:p w14:paraId="6AA811F6" w14:textId="77777777" w:rsidR="00605F60" w:rsidRPr="00927915" w:rsidRDefault="00605F60" w:rsidP="00605F60">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4CC5EA5A" w14:textId="77777777" w:rsidR="006A40FC" w:rsidRPr="00927915" w:rsidRDefault="00F95F28" w:rsidP="00605F60">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2.5. </w:t>
      </w:r>
      <w:r w:rsidR="005E39C5" w:rsidRPr="00927915">
        <w:rPr>
          <w:rFonts w:ascii="Times New Roman" w:eastAsia="Times New Roman" w:hAnsi="Times New Roman" w:cs="Times New Roman"/>
          <w:b/>
          <w:sz w:val="24"/>
          <w:szCs w:val="24"/>
        </w:rPr>
        <w:t>Superoxide dismutase enzyme activity (SOD)</w:t>
      </w:r>
    </w:p>
    <w:p w14:paraId="5FBC4C52" w14:textId="77777777" w:rsidR="006A40FC" w:rsidRPr="00927915" w:rsidRDefault="00F95F28" w:rsidP="00605F60">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sz w:val="24"/>
          <w:szCs w:val="24"/>
        </w:rPr>
        <w:t>The methodology was carried out according to Bannister (1987), in which the oxidation of epinephrine occurs by the catalytic action of superoxide dismutase, promoting the removal of superoxide before it can oxidize epinephrine. The result was express</w:t>
      </w:r>
      <w:r w:rsidRPr="00927915">
        <w:rPr>
          <w:rFonts w:ascii="Times New Roman" w:eastAsia="Times New Roman" w:hAnsi="Times New Roman" w:cs="Times New Roman"/>
          <w:sz w:val="24"/>
          <w:szCs w:val="24"/>
        </w:rPr>
        <w:t>ed in U.min-1.mg of protein-1 (Bannister, 1987)</w:t>
      </w:r>
    </w:p>
    <w:p w14:paraId="55C8C685" w14:textId="77777777" w:rsidR="00605F60" w:rsidRPr="00927915" w:rsidRDefault="00605F60" w:rsidP="00605F60">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b/>
          <w:sz w:val="24"/>
          <w:szCs w:val="24"/>
        </w:rPr>
      </w:pPr>
    </w:p>
    <w:p w14:paraId="1274C944" w14:textId="77777777" w:rsidR="006A40FC" w:rsidRPr="00927915" w:rsidRDefault="00F95F28" w:rsidP="00605F60">
      <w:pPr>
        <w:widowControl w:val="0"/>
        <w:pBdr>
          <w:top w:val="nil"/>
          <w:left w:val="nil"/>
          <w:bottom w:val="nil"/>
          <w:right w:val="nil"/>
          <w:between w:val="nil"/>
        </w:pBdr>
        <w:spacing w:after="0" w:line="360" w:lineRule="auto"/>
        <w:ind w:left="851"/>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2.6. </w:t>
      </w:r>
      <w:r w:rsidR="005E39C5" w:rsidRPr="00927915">
        <w:rPr>
          <w:rFonts w:ascii="Times New Roman" w:eastAsia="Times New Roman" w:hAnsi="Times New Roman" w:cs="Times New Roman"/>
          <w:b/>
          <w:sz w:val="24"/>
          <w:szCs w:val="24"/>
        </w:rPr>
        <w:t>Glutathione reductase enzyme activity</w:t>
      </w:r>
    </w:p>
    <w:p w14:paraId="2559ED3A" w14:textId="77777777" w:rsidR="006A40FC" w:rsidRPr="00927915" w:rsidRDefault="00F95F28">
      <w:pPr>
        <w:spacing w:line="360" w:lineRule="auto"/>
        <w:jc w:val="both"/>
        <w:rPr>
          <w:b/>
        </w:rPr>
      </w:pPr>
      <w:r w:rsidRPr="00927915">
        <w:rPr>
          <w:rFonts w:ascii="Times New Roman" w:eastAsia="Times New Roman" w:hAnsi="Times New Roman" w:cs="Times New Roman"/>
          <w:sz w:val="24"/>
          <w:szCs w:val="24"/>
        </w:rPr>
        <w:t>The reaction is based on the reduction of oxidized glutathione (GSSG), as described by Sedlack and Lindsay (1968), in liver samples. The results were obtained by ca</w:t>
      </w:r>
      <w:r w:rsidRPr="00927915">
        <w:rPr>
          <w:rFonts w:ascii="Times New Roman" w:eastAsia="Times New Roman" w:hAnsi="Times New Roman" w:cs="Times New Roman"/>
          <w:sz w:val="24"/>
          <w:szCs w:val="24"/>
        </w:rPr>
        <w:t>lculating the difference between the ΔL2 and ΔL1 readings and using the molar extinction coefficient of NADPH, with results expressed in U · min · mg of protein (Sedlack &amp; Lindsay, 1968).</w:t>
      </w:r>
    </w:p>
    <w:p w14:paraId="05EE9467" w14:textId="77777777" w:rsidR="006A40FC" w:rsidRPr="00927915" w:rsidRDefault="006A40FC">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CBFEE17" w14:textId="77777777" w:rsidR="006A40FC" w:rsidRPr="00927915" w:rsidRDefault="00F95F28" w:rsidP="00605F60">
      <w:pPr>
        <w:widowControl w:val="0"/>
        <w:pBdr>
          <w:top w:val="nil"/>
          <w:left w:val="nil"/>
          <w:bottom w:val="nil"/>
          <w:right w:val="nil"/>
          <w:between w:val="nil"/>
        </w:pBdr>
        <w:spacing w:after="0" w:line="360" w:lineRule="auto"/>
        <w:ind w:left="992"/>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2.7.</w:t>
      </w:r>
      <w:r w:rsidR="005E39C5" w:rsidRPr="00927915">
        <w:rPr>
          <w:rFonts w:ascii="Times New Roman" w:eastAsia="Times New Roman" w:hAnsi="Times New Roman" w:cs="Times New Roman"/>
          <w:b/>
          <w:sz w:val="24"/>
          <w:szCs w:val="24"/>
        </w:rPr>
        <w:t xml:space="preserve"> Statistical analysis</w:t>
      </w:r>
    </w:p>
    <w:p w14:paraId="5A1DA472" w14:textId="77777777" w:rsidR="006A40FC" w:rsidRPr="00927915" w:rsidRDefault="00F95F28">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Statistical analyses of the data were performed using the GraphPad Prism 8.0 for Windows program (San Diego, California, USA). The results were expressed as mean ± standard error of the mean (SEM). Statistical comparisons were performed using </w:t>
      </w:r>
      <w:r w:rsidR="00D93F22" w:rsidRPr="00927915">
        <w:rPr>
          <w:rFonts w:ascii="Times New Roman" w:eastAsia="Times New Roman" w:hAnsi="Times New Roman" w:cs="Times New Roman"/>
          <w:sz w:val="24"/>
          <w:szCs w:val="24"/>
        </w:rPr>
        <w:t>O</w:t>
      </w:r>
      <w:r w:rsidRPr="00927915">
        <w:rPr>
          <w:rFonts w:ascii="Times New Roman" w:eastAsia="Times New Roman" w:hAnsi="Times New Roman" w:cs="Times New Roman"/>
          <w:sz w:val="24"/>
          <w:szCs w:val="24"/>
        </w:rPr>
        <w:t>ne-way analy</w:t>
      </w:r>
      <w:r w:rsidRPr="00927915">
        <w:rPr>
          <w:rFonts w:ascii="Times New Roman" w:eastAsia="Times New Roman" w:hAnsi="Times New Roman" w:cs="Times New Roman"/>
          <w:sz w:val="24"/>
          <w:szCs w:val="24"/>
        </w:rPr>
        <w:t>sis of variance (ANOVA), followed by Tukey's post hoc test. The differences found were considered statistically significant for a "P" equal to or less than 0.05.</w:t>
      </w:r>
    </w:p>
    <w:p w14:paraId="3E3A9D2E" w14:textId="77777777" w:rsidR="006A40FC" w:rsidRPr="00927915" w:rsidRDefault="006A40FC">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9ACB989" w14:textId="77777777" w:rsidR="00D931DB" w:rsidRPr="00927915" w:rsidRDefault="00D931DB">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256B615" w14:textId="77777777" w:rsidR="006A40FC" w:rsidRPr="00927915" w:rsidRDefault="00F95F28" w:rsidP="00545753">
      <w:pPr>
        <w:numPr>
          <w:ilvl w:val="0"/>
          <w:numId w:val="6"/>
        </w:numPr>
        <w:pBdr>
          <w:top w:val="nil"/>
          <w:left w:val="nil"/>
          <w:bottom w:val="nil"/>
          <w:right w:val="nil"/>
          <w:between w:val="nil"/>
        </w:pBdr>
        <w:spacing w:after="0" w:line="360" w:lineRule="auto"/>
        <w:ind w:left="851"/>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lastRenderedPageBreak/>
        <w:t>RESULTS</w:t>
      </w:r>
    </w:p>
    <w:p w14:paraId="7393FA06" w14:textId="77777777" w:rsidR="006A40FC" w:rsidRPr="00927915" w:rsidRDefault="006A40FC">
      <w:pPr>
        <w:spacing w:line="360" w:lineRule="auto"/>
        <w:jc w:val="both"/>
        <w:rPr>
          <w:rFonts w:ascii="Times New Roman" w:eastAsia="Times New Roman" w:hAnsi="Times New Roman" w:cs="Times New Roman"/>
        </w:rPr>
      </w:pPr>
    </w:p>
    <w:p w14:paraId="0EEBB371" w14:textId="77777777" w:rsidR="006A40FC" w:rsidRPr="00927915" w:rsidRDefault="00F95F28">
      <w:pPr>
        <w:numPr>
          <w:ilvl w:val="1"/>
          <w:numId w:val="4"/>
        </w:numPr>
        <w:spacing w:line="360" w:lineRule="auto"/>
        <w:jc w:val="both"/>
        <w:rPr>
          <w:rFonts w:ascii="Times New Roman" w:eastAsia="Times New Roman" w:hAnsi="Times New Roman" w:cs="Times New Roman"/>
          <w:b/>
        </w:rPr>
      </w:pPr>
      <w:r w:rsidRPr="00927915">
        <w:rPr>
          <w:rFonts w:ascii="Times New Roman" w:eastAsia="Times New Roman" w:hAnsi="Times New Roman" w:cs="Times New Roman"/>
          <w:b/>
        </w:rPr>
        <w:t>Body mass and food intake</w:t>
      </w:r>
    </w:p>
    <w:p w14:paraId="034FA1E3" w14:textId="77777777" w:rsidR="006A40FC" w:rsidRPr="00927915" w:rsidRDefault="00F95F28">
      <w:pPr>
        <w:spacing w:line="360" w:lineRule="auto"/>
        <w:jc w:val="both"/>
        <w:rPr>
          <w:rFonts w:ascii="Times New Roman" w:eastAsia="Times New Roman" w:hAnsi="Times New Roman" w:cs="Times New Roman"/>
        </w:rPr>
      </w:pPr>
      <w:r w:rsidRPr="00927915">
        <w:rPr>
          <w:rFonts w:ascii="Times New Roman" w:eastAsia="Times New Roman" w:hAnsi="Times New Roman" w:cs="Times New Roman"/>
        </w:rPr>
        <w:t xml:space="preserve">When analyzing general parameters, such as weight gain, </w:t>
      </w:r>
      <w:r w:rsidRPr="00927915">
        <w:rPr>
          <w:rFonts w:ascii="Times New Roman" w:eastAsia="Times New Roman" w:hAnsi="Times New Roman" w:cs="Times New Roman"/>
        </w:rPr>
        <w:t xml:space="preserve">food and water intake, energy intake, and nasoanal length at the end of treatment, there was no statistically significant difference between the groups (Table 2). A reduction in daily water intake was observed in the VAD group, although total water intake </w:t>
      </w:r>
      <w:r w:rsidRPr="00927915">
        <w:rPr>
          <w:rFonts w:ascii="Times New Roman" w:eastAsia="Times New Roman" w:hAnsi="Times New Roman" w:cs="Times New Roman"/>
        </w:rPr>
        <w:t>remained unchanged (Table 2).</w:t>
      </w:r>
    </w:p>
    <w:p w14:paraId="21023EE9" w14:textId="77777777" w:rsidR="006A40FC" w:rsidRPr="00927915" w:rsidRDefault="00F95F28">
      <w:pPr>
        <w:numPr>
          <w:ilvl w:val="1"/>
          <w:numId w:val="4"/>
        </w:numPr>
        <w:spacing w:line="360" w:lineRule="auto"/>
        <w:jc w:val="both"/>
        <w:rPr>
          <w:rFonts w:ascii="Times New Roman" w:eastAsia="Times New Roman" w:hAnsi="Times New Roman" w:cs="Times New Roman"/>
          <w:b/>
        </w:rPr>
      </w:pPr>
      <w:bookmarkStart w:id="1" w:name="_heading=h.3valx9cthqp6" w:colFirst="0" w:colLast="0"/>
      <w:bookmarkEnd w:id="1"/>
      <w:r w:rsidRPr="00927915">
        <w:rPr>
          <w:rFonts w:ascii="Times New Roman" w:eastAsia="Times New Roman" w:hAnsi="Times New Roman" w:cs="Times New Roman"/>
          <w:b/>
        </w:rPr>
        <w:t>Tissue Weight</w:t>
      </w:r>
    </w:p>
    <w:p w14:paraId="6E342206" w14:textId="77777777" w:rsidR="006A40FC" w:rsidRPr="00927915" w:rsidRDefault="00F95F28">
      <w:pPr>
        <w:spacing w:line="360" w:lineRule="auto"/>
        <w:jc w:val="both"/>
        <w:rPr>
          <w:rFonts w:ascii="Times New Roman" w:eastAsia="Times New Roman" w:hAnsi="Times New Roman" w:cs="Times New Roman"/>
          <w:b/>
          <w:bCs/>
        </w:rPr>
      </w:pPr>
      <w:r w:rsidRPr="00927915">
        <w:rPr>
          <w:rFonts w:ascii="Times New Roman" w:eastAsia="Times New Roman" w:hAnsi="Times New Roman" w:cs="Times New Roman"/>
        </w:rPr>
        <w:t>Liver mass in the VAD group was 22% lower when compared to the Control group (Table 3). In the AO group, liver weight was greater (37%) than in the VAD group and was equal to that of the Control. Perineal adipose</w:t>
      </w:r>
      <w:r w:rsidRPr="00927915">
        <w:rPr>
          <w:rFonts w:ascii="Times New Roman" w:eastAsia="Times New Roman" w:hAnsi="Times New Roman" w:cs="Times New Roman"/>
        </w:rPr>
        <w:t xml:space="preserve"> tissue mass was 23% lower in the VAD group when compared to the controls. In the AO group, the perirenal adipose tissue mass was 23% higher compared to the VAD group and equal to that of the Control. The other tissues evaluated did</w:t>
      </w:r>
      <w:r w:rsidR="0006187B" w:rsidRPr="00927915">
        <w:rPr>
          <w:rFonts w:ascii="Times New Roman" w:eastAsia="Times New Roman" w:hAnsi="Times New Roman" w:cs="Times New Roman"/>
        </w:rPr>
        <w:t xml:space="preserve"> not differ between the groups </w:t>
      </w:r>
      <w:r w:rsidRPr="00927915">
        <w:rPr>
          <w:rFonts w:ascii="Times New Roman" w:eastAsia="Times New Roman" w:hAnsi="Times New Roman" w:cs="Times New Roman"/>
        </w:rPr>
        <w:t>(Table 3)</w:t>
      </w:r>
    </w:p>
    <w:p w14:paraId="610A258E" w14:textId="6A12967D" w:rsidR="00D931DB" w:rsidRPr="00465B00" w:rsidRDefault="00F95F28" w:rsidP="00465B00">
      <w:pPr>
        <w:pStyle w:val="PargrafodaLista"/>
        <w:spacing w:line="360" w:lineRule="auto"/>
        <w:ind w:left="1134" w:hanging="567"/>
        <w:jc w:val="both"/>
        <w:rPr>
          <w:rFonts w:ascii="Times New Roman" w:eastAsia="Times New Roman" w:hAnsi="Times New Roman" w:cs="Times New Roman"/>
          <w:b/>
          <w:bCs/>
        </w:rPr>
      </w:pPr>
      <w:r w:rsidRPr="00465B00">
        <w:rPr>
          <w:rFonts w:ascii="Times New Roman" w:eastAsia="Times New Roman" w:hAnsi="Times New Roman" w:cs="Times New Roman"/>
          <w:b/>
          <w:bCs/>
        </w:rPr>
        <w:t>3.1.</w:t>
      </w:r>
      <w:r w:rsidR="00465B00">
        <w:rPr>
          <w:rFonts w:ascii="Times New Roman" w:eastAsia="Times New Roman" w:hAnsi="Times New Roman" w:cs="Times New Roman"/>
          <w:b/>
          <w:bCs/>
        </w:rPr>
        <w:t xml:space="preserve">   </w:t>
      </w:r>
      <w:r w:rsidRPr="00465B00">
        <w:rPr>
          <w:rFonts w:ascii="Times New Roman" w:eastAsia="Times New Roman" w:hAnsi="Times New Roman" w:cs="Times New Roman"/>
          <w:b/>
          <w:bCs/>
        </w:rPr>
        <w:t>Biochemical parameters</w:t>
      </w:r>
    </w:p>
    <w:p w14:paraId="5D4FAFA5" w14:textId="77777777" w:rsidR="00D931DB" w:rsidRPr="00927915" w:rsidRDefault="00F95F28" w:rsidP="00D931DB">
      <w:pPr>
        <w:spacing w:line="360" w:lineRule="auto"/>
        <w:jc w:val="both"/>
        <w:rPr>
          <w:rFonts w:ascii="Times New Roman" w:eastAsia="Times New Roman" w:hAnsi="Times New Roman" w:cs="Times New Roman"/>
        </w:rPr>
      </w:pPr>
      <w:r w:rsidRPr="00927915">
        <w:rPr>
          <w:rFonts w:ascii="Times New Roman" w:eastAsia="Times New Roman" w:hAnsi="Times New Roman" w:cs="Times New Roman"/>
        </w:rPr>
        <w:t xml:space="preserve">The results of the biochemical analyses are presented in Table 4. Basal glucose was 11% lower in the VAD group and 17% higher in the AO group when compared to the Control (C) group. Total cholesterol was 18% </w:t>
      </w:r>
      <w:r w:rsidRPr="00927915">
        <w:rPr>
          <w:rFonts w:ascii="Times New Roman" w:eastAsia="Times New Roman" w:hAnsi="Times New Roman" w:cs="Times New Roman"/>
        </w:rPr>
        <w:t>lower in the VAD group, and the AO group was 75% higher compared to the Control (C) group. Triglyceride levels were 32% lower in the VAD group, while the AO group was 44% higher compared to the Control (C) group. HDL cholesterol was 14% lower in the VAD gr</w:t>
      </w:r>
      <w:r w:rsidRPr="00927915">
        <w:rPr>
          <w:rFonts w:ascii="Times New Roman" w:eastAsia="Times New Roman" w:hAnsi="Times New Roman" w:cs="Times New Roman"/>
        </w:rPr>
        <w:t>oup, while the AO group was 14% higher compared to the Control (C) group. When evaluating non-HDL cholesterol, we observed that its levels were 28% lower in the VAD group, while the AO group was 329% higher compared to the Control (C) group. Aspartate amin</w:t>
      </w:r>
      <w:r w:rsidRPr="00927915">
        <w:rPr>
          <w:rFonts w:ascii="Times New Roman" w:eastAsia="Times New Roman" w:hAnsi="Times New Roman" w:cs="Times New Roman"/>
        </w:rPr>
        <w:t>otransferase (AST) and alanine aminotransferase (ALT) showed an increase in both the VAD group (127% and 50%, respectively) and in the AO group (95% and 58%, respectively) when compared to the Control group (C). When calculating the AST/ALT ratio, we obser</w:t>
      </w:r>
      <w:r w:rsidRPr="00927915">
        <w:rPr>
          <w:rFonts w:ascii="Times New Roman" w:eastAsia="Times New Roman" w:hAnsi="Times New Roman" w:cs="Times New Roman"/>
        </w:rPr>
        <w:t>ved that it was 57% higher in the VAD group and 22% higher in the AO group compared to the Control group (C).</w:t>
      </w:r>
    </w:p>
    <w:p w14:paraId="55123ED5" w14:textId="77777777" w:rsidR="00D931DB" w:rsidRDefault="00D931DB" w:rsidP="00D931DB">
      <w:pPr>
        <w:spacing w:line="360" w:lineRule="auto"/>
        <w:jc w:val="both"/>
        <w:rPr>
          <w:rFonts w:ascii="Times New Roman" w:eastAsia="Times New Roman" w:hAnsi="Times New Roman" w:cs="Times New Roman"/>
        </w:rPr>
      </w:pPr>
    </w:p>
    <w:p w14:paraId="1652F2C1" w14:textId="77777777" w:rsidR="00465B00" w:rsidRDefault="00465B00" w:rsidP="00D931DB">
      <w:pPr>
        <w:spacing w:line="360" w:lineRule="auto"/>
        <w:jc w:val="both"/>
        <w:rPr>
          <w:rFonts w:ascii="Times New Roman" w:eastAsia="Times New Roman" w:hAnsi="Times New Roman" w:cs="Times New Roman"/>
        </w:rPr>
      </w:pPr>
    </w:p>
    <w:p w14:paraId="79ABCBC1" w14:textId="77777777" w:rsidR="00465B00" w:rsidRPr="00927915" w:rsidRDefault="00465B00" w:rsidP="00D931DB">
      <w:pPr>
        <w:spacing w:line="360" w:lineRule="auto"/>
        <w:jc w:val="both"/>
        <w:rPr>
          <w:rFonts w:ascii="Times New Roman" w:eastAsia="Times New Roman" w:hAnsi="Times New Roman" w:cs="Times New Roman"/>
        </w:rPr>
      </w:pPr>
    </w:p>
    <w:p w14:paraId="38014ED1" w14:textId="77777777" w:rsidR="00D931DB" w:rsidRPr="00927915" w:rsidRDefault="00D931DB" w:rsidP="00D931DB">
      <w:pPr>
        <w:spacing w:line="360" w:lineRule="auto"/>
        <w:jc w:val="both"/>
        <w:rPr>
          <w:rFonts w:ascii="Times New Roman" w:eastAsia="Times New Roman" w:hAnsi="Times New Roman" w:cs="Times New Roman"/>
        </w:rPr>
      </w:pPr>
    </w:p>
    <w:p w14:paraId="25396ECF" w14:textId="05566601" w:rsidR="00D931DB" w:rsidRPr="00927915" w:rsidRDefault="00F95F28" w:rsidP="00465B00">
      <w:pPr>
        <w:spacing w:line="360" w:lineRule="auto"/>
        <w:ind w:left="1134" w:hanging="567"/>
        <w:jc w:val="both"/>
        <w:rPr>
          <w:rFonts w:ascii="Times New Roman" w:eastAsia="Times New Roman" w:hAnsi="Times New Roman" w:cs="Times New Roman"/>
          <w:b/>
          <w:bCs/>
        </w:rPr>
      </w:pPr>
      <w:r w:rsidRPr="00927915">
        <w:rPr>
          <w:rFonts w:ascii="Times New Roman" w:eastAsia="Times New Roman" w:hAnsi="Times New Roman" w:cs="Times New Roman"/>
          <w:b/>
          <w:bCs/>
        </w:rPr>
        <w:lastRenderedPageBreak/>
        <w:t>3.</w:t>
      </w:r>
      <w:r w:rsidR="00465B00">
        <w:rPr>
          <w:rFonts w:ascii="Times New Roman" w:eastAsia="Times New Roman" w:hAnsi="Times New Roman" w:cs="Times New Roman"/>
          <w:b/>
          <w:bCs/>
        </w:rPr>
        <w:t>4</w:t>
      </w:r>
      <w:r w:rsidRPr="00927915">
        <w:rPr>
          <w:rFonts w:ascii="Times New Roman" w:eastAsia="Times New Roman" w:hAnsi="Times New Roman" w:cs="Times New Roman"/>
          <w:b/>
          <w:bCs/>
        </w:rPr>
        <w:t>.</w:t>
      </w:r>
      <w:r w:rsidRPr="00927915">
        <w:rPr>
          <w:rFonts w:ascii="Times New Roman" w:eastAsia="Times New Roman" w:hAnsi="Times New Roman" w:cs="Times New Roman"/>
          <w:b/>
          <w:bCs/>
        </w:rPr>
        <w:tab/>
        <w:t>Total Lipid and Glycogen Analysis</w:t>
      </w:r>
    </w:p>
    <w:p w14:paraId="275CCE99" w14:textId="77777777" w:rsidR="00D931DB" w:rsidRPr="00927915" w:rsidRDefault="00F95F28" w:rsidP="00D931DB">
      <w:pPr>
        <w:spacing w:line="360" w:lineRule="auto"/>
        <w:jc w:val="both"/>
        <w:rPr>
          <w:rFonts w:ascii="Times New Roman" w:eastAsia="Times New Roman" w:hAnsi="Times New Roman" w:cs="Times New Roman"/>
        </w:rPr>
        <w:sectPr w:rsidR="00D931DB" w:rsidRPr="00927915" w:rsidSect="004F0676">
          <w:type w:val="continuous"/>
          <w:pgSz w:w="11906" w:h="16838"/>
          <w:pgMar w:top="1417" w:right="1701" w:bottom="1417" w:left="1701" w:header="709" w:footer="709" w:gutter="0"/>
          <w:cols w:space="720"/>
          <w:docGrid w:linePitch="299"/>
        </w:sectPr>
      </w:pPr>
      <w:r w:rsidRPr="00927915">
        <w:rPr>
          <w:rFonts w:ascii="Times New Roman" w:eastAsia="Times New Roman" w:hAnsi="Times New Roman" w:cs="Times New Roman"/>
        </w:rPr>
        <w:t xml:space="preserve">Hepatic glycogen was higher in the group treated with oil from the pulp of </w:t>
      </w:r>
      <w:r w:rsidRPr="00927915">
        <w:rPr>
          <w:rFonts w:ascii="Times New Roman" w:eastAsia="Times New Roman" w:hAnsi="Times New Roman" w:cs="Times New Roman"/>
          <w:i/>
        </w:rPr>
        <w:t>Attalea phal</w:t>
      </w:r>
      <w:r w:rsidRPr="00927915">
        <w:rPr>
          <w:rFonts w:ascii="Times New Roman" w:eastAsia="Times New Roman" w:hAnsi="Times New Roman" w:cs="Times New Roman"/>
          <w:i/>
        </w:rPr>
        <w:t>erata</w:t>
      </w:r>
      <w:r w:rsidRPr="00927915">
        <w:rPr>
          <w:rFonts w:ascii="Times New Roman" w:eastAsia="Times New Roman" w:hAnsi="Times New Roman" w:cs="Times New Roman"/>
        </w:rPr>
        <w:t xml:space="preserve"> Mart. ex. Spreng. (AO) compared to the Control group (23%) and VAD (17%) (Table 5). Regarding the content of total lipids in perirenal adipose tissue, it was 11% lower in VAD and 8% lower in </w:t>
      </w:r>
      <w:r w:rsidR="00A8304C" w:rsidRPr="00927915">
        <w:rPr>
          <w:rFonts w:ascii="Times New Roman" w:eastAsia="Times New Roman" w:hAnsi="Times New Roman" w:cs="Times New Roman"/>
        </w:rPr>
        <w:t xml:space="preserve">AO </w:t>
      </w:r>
      <w:r w:rsidRPr="00927915">
        <w:rPr>
          <w:rFonts w:ascii="Times New Roman" w:eastAsia="Times New Roman" w:hAnsi="Times New Roman" w:cs="Times New Roman"/>
        </w:rPr>
        <w:t xml:space="preserve">than in the Control (C).  </w:t>
      </w:r>
    </w:p>
    <w:p w14:paraId="2E6E7D6E" w14:textId="77777777" w:rsidR="006A40FC" w:rsidRPr="00927915" w:rsidRDefault="006A40FC">
      <w:pPr>
        <w:widowControl w:val="0"/>
        <w:pBdr>
          <w:top w:val="nil"/>
          <w:left w:val="nil"/>
          <w:bottom w:val="nil"/>
          <w:right w:val="nil"/>
          <w:between w:val="nil"/>
        </w:pBdr>
        <w:spacing w:line="360" w:lineRule="auto"/>
        <w:ind w:left="709" w:right="-568"/>
        <w:jc w:val="both"/>
        <w:rPr>
          <w:rFonts w:ascii="Times New Roman" w:eastAsia="Times New Roman" w:hAnsi="Times New Roman" w:cs="Times New Roman"/>
          <w:bCs/>
          <w:sz w:val="20"/>
          <w:szCs w:val="20"/>
        </w:rPr>
      </w:pPr>
    </w:p>
    <w:p w14:paraId="5FCEA120" w14:textId="77777777" w:rsidR="006A40FC" w:rsidRPr="00927915" w:rsidRDefault="006A40FC">
      <w:pPr>
        <w:rPr>
          <w:sz w:val="24"/>
          <w:szCs w:val="24"/>
        </w:rPr>
      </w:pPr>
    </w:p>
    <w:p w14:paraId="1508435C" w14:textId="77777777" w:rsidR="006A40FC" w:rsidRPr="00927915" w:rsidRDefault="006A40FC">
      <w:pPr>
        <w:rPr>
          <w:sz w:val="24"/>
          <w:szCs w:val="24"/>
        </w:rPr>
      </w:pPr>
    </w:p>
    <w:p w14:paraId="790CE820" w14:textId="77777777" w:rsidR="006A40FC" w:rsidRPr="00927915" w:rsidRDefault="006A40FC">
      <w:pPr>
        <w:rPr>
          <w:sz w:val="24"/>
          <w:szCs w:val="24"/>
        </w:rPr>
      </w:pPr>
    </w:p>
    <w:p w14:paraId="7F320D4E" w14:textId="77777777" w:rsidR="006A40FC" w:rsidRPr="00927915" w:rsidRDefault="006A40FC">
      <w:pPr>
        <w:rPr>
          <w:sz w:val="24"/>
          <w:szCs w:val="24"/>
        </w:rPr>
      </w:pPr>
    </w:p>
    <w:p w14:paraId="3E3568F0" w14:textId="77777777" w:rsidR="006A40FC" w:rsidRPr="00927915" w:rsidRDefault="006A40FC">
      <w:pPr>
        <w:rPr>
          <w:sz w:val="24"/>
          <w:szCs w:val="24"/>
        </w:rPr>
      </w:pPr>
    </w:p>
    <w:p w14:paraId="2207A5EB" w14:textId="77777777" w:rsidR="006A40FC" w:rsidRPr="00927915" w:rsidRDefault="00F95F28">
      <w:pPr>
        <w:tabs>
          <w:tab w:val="left" w:pos="2929"/>
        </w:tabs>
        <w:rPr>
          <w:sz w:val="24"/>
          <w:szCs w:val="24"/>
        </w:rPr>
      </w:pPr>
      <w:r w:rsidRPr="00927915">
        <w:rPr>
          <w:sz w:val="24"/>
          <w:szCs w:val="24"/>
        </w:rPr>
        <w:tab/>
      </w:r>
    </w:p>
    <w:p w14:paraId="1A74DCF9" w14:textId="77777777" w:rsidR="00D931DB" w:rsidRPr="00927915" w:rsidRDefault="00D931DB">
      <w:pPr>
        <w:tabs>
          <w:tab w:val="left" w:pos="2929"/>
          <w:tab w:val="left" w:pos="12616"/>
        </w:tabs>
        <w:ind w:left="709" w:right="993"/>
        <w:jc w:val="both"/>
        <w:rPr>
          <w:rFonts w:ascii="Times New Roman" w:eastAsia="Times New Roman" w:hAnsi="Times New Roman" w:cs="Times New Roman"/>
          <w:sz w:val="20"/>
          <w:szCs w:val="20"/>
        </w:rPr>
        <w:sectPr w:rsidR="00D931DB" w:rsidRPr="00927915" w:rsidSect="004F0676">
          <w:type w:val="continuous"/>
          <w:pgSz w:w="11906" w:h="16838"/>
          <w:pgMar w:top="1417" w:right="1701" w:bottom="1417" w:left="1701" w:header="709" w:footer="709" w:gutter="0"/>
          <w:cols w:space="720"/>
          <w:docGrid w:linePitch="299"/>
        </w:sectPr>
      </w:pPr>
    </w:p>
    <w:tbl>
      <w:tblPr>
        <w:tblStyle w:val="SimplesTabela22"/>
        <w:tblpPr w:leftFromText="141" w:rightFromText="141" w:vertAnchor="page" w:horzAnchor="margin" w:tblpXSpec="center" w:tblpY="2331"/>
        <w:tblW w:w="12691" w:type="dxa"/>
        <w:tblLayout w:type="fixed"/>
        <w:tblLook w:val="04A0" w:firstRow="1" w:lastRow="0" w:firstColumn="1" w:lastColumn="0" w:noHBand="0" w:noVBand="1"/>
      </w:tblPr>
      <w:tblGrid>
        <w:gridCol w:w="2539"/>
        <w:gridCol w:w="2538"/>
        <w:gridCol w:w="2538"/>
        <w:gridCol w:w="2538"/>
        <w:gridCol w:w="2538"/>
      </w:tblGrid>
      <w:tr w:rsidR="00D70824" w14:paraId="3BAA80C4" w14:textId="77777777" w:rsidTr="00D70824">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539" w:type="dxa"/>
          </w:tcPr>
          <w:p w14:paraId="104E0391" w14:textId="77777777" w:rsidR="00D931DB" w:rsidRPr="00927915" w:rsidRDefault="00F95F28" w:rsidP="00D14250">
            <w:pPr>
              <w:pBdr>
                <w:top w:val="nil"/>
                <w:left w:val="nil"/>
                <w:bottom w:val="nil"/>
                <w:right w:val="nil"/>
                <w:between w:val="nil"/>
              </w:pBdr>
              <w:spacing w:line="276" w:lineRule="auto"/>
              <w:jc w:val="left"/>
              <w:rPr>
                <w:rFonts w:ascii="Times New Roman" w:hAnsi="Times New Roman"/>
                <w:sz w:val="24"/>
                <w:szCs w:val="24"/>
              </w:rPr>
            </w:pPr>
            <w:r w:rsidRPr="00927915">
              <w:rPr>
                <w:rFonts w:ascii="Times New Roman" w:hAnsi="Times New Roman"/>
                <w:b w:val="0"/>
                <w:sz w:val="24"/>
                <w:szCs w:val="24"/>
              </w:rPr>
              <w:lastRenderedPageBreak/>
              <w:t>Parameters</w:t>
            </w:r>
          </w:p>
        </w:tc>
        <w:tc>
          <w:tcPr>
            <w:tcW w:w="2538" w:type="dxa"/>
          </w:tcPr>
          <w:p w14:paraId="1BEB939D" w14:textId="77777777" w:rsidR="00D931DB" w:rsidRPr="00927915" w:rsidRDefault="00F95F28" w:rsidP="00F228F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b w:val="0"/>
                <w:sz w:val="24"/>
                <w:szCs w:val="24"/>
              </w:rPr>
              <w:t>Control</w:t>
            </w:r>
          </w:p>
          <w:p w14:paraId="378AC1E1" w14:textId="77777777" w:rsidR="00A35FA0" w:rsidRPr="00927915" w:rsidRDefault="00F95F28" w:rsidP="00F228F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b w:val="0"/>
                <w:sz w:val="24"/>
                <w:szCs w:val="24"/>
              </w:rPr>
              <w:t>(1</w:t>
            </w:r>
            <w:r w:rsidR="005E6DAE" w:rsidRPr="00927915">
              <w:rPr>
                <w:rFonts w:ascii="Times New Roman" w:hAnsi="Times New Roman"/>
                <w:b w:val="0"/>
                <w:sz w:val="24"/>
                <w:szCs w:val="24"/>
              </w:rPr>
              <w:t>0</w:t>
            </w:r>
            <w:r w:rsidRPr="00927915">
              <w:rPr>
                <w:rFonts w:ascii="Times New Roman" w:hAnsi="Times New Roman"/>
                <w:b w:val="0"/>
                <w:sz w:val="24"/>
                <w:szCs w:val="24"/>
              </w:rPr>
              <w:t>)</w:t>
            </w:r>
          </w:p>
        </w:tc>
        <w:tc>
          <w:tcPr>
            <w:tcW w:w="2538" w:type="dxa"/>
          </w:tcPr>
          <w:p w14:paraId="613CB864" w14:textId="77777777" w:rsidR="00D931DB" w:rsidRPr="00927915" w:rsidRDefault="00F95F28" w:rsidP="00F228F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b w:val="0"/>
                <w:sz w:val="24"/>
                <w:szCs w:val="24"/>
              </w:rPr>
              <w:t>Vit. A deficiency</w:t>
            </w:r>
          </w:p>
          <w:p w14:paraId="717AC47E" w14:textId="77777777" w:rsidR="00A35FA0" w:rsidRPr="00927915" w:rsidRDefault="00F95F28" w:rsidP="00F228F0">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b w:val="0"/>
                <w:sz w:val="24"/>
                <w:szCs w:val="24"/>
              </w:rPr>
              <w:t>(1</w:t>
            </w:r>
            <w:r w:rsidR="005E6DAE" w:rsidRPr="00927915">
              <w:rPr>
                <w:rFonts w:ascii="Times New Roman" w:hAnsi="Times New Roman"/>
                <w:b w:val="0"/>
                <w:sz w:val="24"/>
                <w:szCs w:val="24"/>
              </w:rPr>
              <w:t>0</w:t>
            </w:r>
            <w:r w:rsidRPr="00927915">
              <w:rPr>
                <w:rFonts w:ascii="Times New Roman" w:hAnsi="Times New Roman"/>
                <w:b w:val="0"/>
                <w:sz w:val="24"/>
                <w:szCs w:val="24"/>
              </w:rPr>
              <w:t>)</w:t>
            </w:r>
          </w:p>
        </w:tc>
        <w:tc>
          <w:tcPr>
            <w:tcW w:w="2538" w:type="dxa"/>
          </w:tcPr>
          <w:p w14:paraId="0DD112C2" w14:textId="77777777" w:rsidR="00D931DB" w:rsidRPr="00927915" w:rsidRDefault="00F95F28" w:rsidP="00F228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b w:val="0"/>
                <w:i/>
                <w:sz w:val="24"/>
                <w:szCs w:val="24"/>
              </w:rPr>
              <w:t xml:space="preserve">Attalea phalerata </w:t>
            </w:r>
            <w:r w:rsidRPr="00927915">
              <w:rPr>
                <w:rFonts w:ascii="Times New Roman" w:hAnsi="Times New Roman"/>
                <w:b w:val="0"/>
                <w:sz w:val="24"/>
                <w:szCs w:val="24"/>
              </w:rPr>
              <w:t>oil</w:t>
            </w:r>
          </w:p>
          <w:p w14:paraId="28C94F0E" w14:textId="77777777" w:rsidR="00A35FA0" w:rsidRPr="00927915" w:rsidRDefault="00F95F28" w:rsidP="00F228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b w:val="0"/>
                <w:sz w:val="24"/>
                <w:szCs w:val="24"/>
              </w:rPr>
              <w:t>(11)</w:t>
            </w:r>
          </w:p>
        </w:tc>
        <w:tc>
          <w:tcPr>
            <w:tcW w:w="2538" w:type="dxa"/>
          </w:tcPr>
          <w:p w14:paraId="4DEA96DD" w14:textId="77777777" w:rsidR="00D931DB" w:rsidRPr="00927915" w:rsidRDefault="00F95F28" w:rsidP="00F228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b w:val="0"/>
                <w:i/>
                <w:sz w:val="24"/>
                <w:szCs w:val="24"/>
              </w:rPr>
              <w:t>P</w:t>
            </w:r>
            <w:r w:rsidRPr="00927915">
              <w:rPr>
                <w:rFonts w:ascii="Times New Roman" w:hAnsi="Times New Roman"/>
                <w:b w:val="0"/>
                <w:sz w:val="24"/>
                <w:szCs w:val="24"/>
              </w:rPr>
              <w:t xml:space="preserve"> value</w:t>
            </w:r>
          </w:p>
        </w:tc>
      </w:tr>
      <w:tr w:rsidR="00D70824" w14:paraId="0021FB3D" w14:textId="77777777" w:rsidTr="00D7082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39" w:type="dxa"/>
          </w:tcPr>
          <w:p w14:paraId="171AA8EF" w14:textId="77777777" w:rsidR="00D931DB" w:rsidRPr="00927915" w:rsidRDefault="00F95F28" w:rsidP="00F228F0">
            <w:pPr>
              <w:pBdr>
                <w:top w:val="nil"/>
                <w:left w:val="nil"/>
                <w:bottom w:val="nil"/>
                <w:right w:val="nil"/>
                <w:between w:val="nil"/>
              </w:pBdr>
              <w:spacing w:line="276" w:lineRule="auto"/>
              <w:jc w:val="left"/>
              <w:rPr>
                <w:rFonts w:ascii="Times New Roman" w:hAnsi="Times New Roman"/>
                <w:sz w:val="24"/>
                <w:szCs w:val="24"/>
              </w:rPr>
            </w:pPr>
            <w:r w:rsidRPr="00927915">
              <w:rPr>
                <w:rFonts w:ascii="Times New Roman" w:hAnsi="Times New Roman"/>
                <w:b w:val="0"/>
                <w:sz w:val="24"/>
                <w:szCs w:val="24"/>
              </w:rPr>
              <w:t>Initial mass(g)</w:t>
            </w:r>
          </w:p>
        </w:tc>
        <w:tc>
          <w:tcPr>
            <w:tcW w:w="2538" w:type="dxa"/>
          </w:tcPr>
          <w:p w14:paraId="74CFA878"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13.6 ± 0.2</w:t>
            </w:r>
          </w:p>
        </w:tc>
        <w:tc>
          <w:tcPr>
            <w:tcW w:w="2538" w:type="dxa"/>
          </w:tcPr>
          <w:p w14:paraId="5D7F0704"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13.4 ± 0.2</w:t>
            </w:r>
          </w:p>
        </w:tc>
        <w:tc>
          <w:tcPr>
            <w:tcW w:w="2538" w:type="dxa"/>
          </w:tcPr>
          <w:p w14:paraId="6D3D155E"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13.5 ± 0.1</w:t>
            </w:r>
          </w:p>
        </w:tc>
        <w:tc>
          <w:tcPr>
            <w:tcW w:w="2538" w:type="dxa"/>
          </w:tcPr>
          <w:p w14:paraId="5B69AD16"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0.1207</w:t>
            </w:r>
          </w:p>
        </w:tc>
      </w:tr>
      <w:tr w:rsidR="00D70824" w14:paraId="54331A90" w14:textId="77777777" w:rsidTr="00D70824">
        <w:trPr>
          <w:trHeight w:val="408"/>
        </w:trPr>
        <w:tc>
          <w:tcPr>
            <w:cnfStyle w:val="001000000000" w:firstRow="0" w:lastRow="0" w:firstColumn="1" w:lastColumn="0" w:oddVBand="0" w:evenVBand="0" w:oddHBand="0" w:evenHBand="0" w:firstRowFirstColumn="0" w:firstRowLastColumn="0" w:lastRowFirstColumn="0" w:lastRowLastColumn="0"/>
            <w:tcW w:w="2539" w:type="dxa"/>
          </w:tcPr>
          <w:p w14:paraId="32B00942" w14:textId="77777777" w:rsidR="00D931DB" w:rsidRPr="00927915" w:rsidRDefault="00F95F28" w:rsidP="00F228F0">
            <w:pPr>
              <w:pBdr>
                <w:top w:val="nil"/>
                <w:left w:val="nil"/>
                <w:bottom w:val="nil"/>
                <w:right w:val="nil"/>
                <w:between w:val="nil"/>
              </w:pBdr>
              <w:spacing w:line="276" w:lineRule="auto"/>
              <w:jc w:val="left"/>
              <w:rPr>
                <w:rFonts w:ascii="Times New Roman" w:hAnsi="Times New Roman"/>
                <w:sz w:val="24"/>
                <w:szCs w:val="24"/>
              </w:rPr>
            </w:pPr>
            <w:r w:rsidRPr="00927915">
              <w:rPr>
                <w:rFonts w:ascii="Times New Roman" w:hAnsi="Times New Roman"/>
                <w:b w:val="0"/>
                <w:sz w:val="24"/>
                <w:szCs w:val="24"/>
              </w:rPr>
              <w:t>Final mass (g)</w:t>
            </w:r>
          </w:p>
        </w:tc>
        <w:tc>
          <w:tcPr>
            <w:tcW w:w="2538" w:type="dxa"/>
          </w:tcPr>
          <w:p w14:paraId="2660085D"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48.5 ± 2.1</w:t>
            </w:r>
          </w:p>
        </w:tc>
        <w:tc>
          <w:tcPr>
            <w:tcW w:w="2538" w:type="dxa"/>
          </w:tcPr>
          <w:p w14:paraId="4D2DA26A"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48.4 ± 2.0</w:t>
            </w:r>
          </w:p>
        </w:tc>
        <w:tc>
          <w:tcPr>
            <w:tcW w:w="2538" w:type="dxa"/>
          </w:tcPr>
          <w:p w14:paraId="6ABC930C"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49.4 ± 1.5</w:t>
            </w:r>
          </w:p>
        </w:tc>
        <w:tc>
          <w:tcPr>
            <w:tcW w:w="2538" w:type="dxa"/>
          </w:tcPr>
          <w:p w14:paraId="5F622BB1"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0.9034</w:t>
            </w:r>
          </w:p>
        </w:tc>
      </w:tr>
      <w:tr w:rsidR="00D70824" w14:paraId="0979EB4C" w14:textId="77777777" w:rsidTr="00D7082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539" w:type="dxa"/>
          </w:tcPr>
          <w:p w14:paraId="478EEA6B" w14:textId="77777777" w:rsidR="00D931DB" w:rsidRPr="00927915" w:rsidRDefault="00F95F28" w:rsidP="00F228F0">
            <w:pPr>
              <w:pBdr>
                <w:top w:val="nil"/>
                <w:left w:val="nil"/>
                <w:bottom w:val="nil"/>
                <w:right w:val="nil"/>
                <w:between w:val="nil"/>
              </w:pBdr>
              <w:spacing w:line="276" w:lineRule="auto"/>
              <w:jc w:val="left"/>
              <w:rPr>
                <w:rFonts w:ascii="Times New Roman" w:hAnsi="Times New Roman"/>
                <w:sz w:val="24"/>
                <w:szCs w:val="24"/>
              </w:rPr>
            </w:pPr>
            <w:r w:rsidRPr="00927915">
              <w:rPr>
                <w:rFonts w:ascii="Times New Roman" w:hAnsi="Times New Roman"/>
                <w:b w:val="0"/>
                <w:sz w:val="24"/>
                <w:szCs w:val="24"/>
              </w:rPr>
              <w:t>Mass gain (g)</w:t>
            </w:r>
          </w:p>
        </w:tc>
        <w:tc>
          <w:tcPr>
            <w:tcW w:w="2538" w:type="dxa"/>
          </w:tcPr>
          <w:p w14:paraId="50C3D81F"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34.9 ± 2.2</w:t>
            </w:r>
          </w:p>
        </w:tc>
        <w:tc>
          <w:tcPr>
            <w:tcW w:w="2538" w:type="dxa"/>
          </w:tcPr>
          <w:p w14:paraId="04470185"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34.9 ± 2.1</w:t>
            </w:r>
          </w:p>
        </w:tc>
        <w:tc>
          <w:tcPr>
            <w:tcW w:w="2538" w:type="dxa"/>
          </w:tcPr>
          <w:p w14:paraId="33120024"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35.9 ± 1.5</w:t>
            </w:r>
          </w:p>
        </w:tc>
        <w:tc>
          <w:tcPr>
            <w:tcW w:w="2538" w:type="dxa"/>
          </w:tcPr>
          <w:p w14:paraId="549C4117"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0.9029</w:t>
            </w:r>
          </w:p>
        </w:tc>
      </w:tr>
      <w:tr w:rsidR="00D70824" w14:paraId="1B727275" w14:textId="77777777" w:rsidTr="00D70824">
        <w:trPr>
          <w:trHeight w:val="406"/>
        </w:trPr>
        <w:tc>
          <w:tcPr>
            <w:cnfStyle w:val="001000000000" w:firstRow="0" w:lastRow="0" w:firstColumn="1" w:lastColumn="0" w:oddVBand="0" w:evenVBand="0" w:oddHBand="0" w:evenHBand="0" w:firstRowFirstColumn="0" w:firstRowLastColumn="0" w:lastRowFirstColumn="0" w:lastRowLastColumn="0"/>
            <w:tcW w:w="2539" w:type="dxa"/>
          </w:tcPr>
          <w:p w14:paraId="25447137" w14:textId="77777777" w:rsidR="00D931DB" w:rsidRPr="00927915" w:rsidRDefault="00F95F28" w:rsidP="00F228F0">
            <w:pPr>
              <w:pBdr>
                <w:top w:val="nil"/>
                <w:left w:val="nil"/>
                <w:bottom w:val="nil"/>
                <w:right w:val="nil"/>
                <w:between w:val="nil"/>
              </w:pBdr>
              <w:spacing w:line="276" w:lineRule="auto"/>
              <w:ind w:right="-143"/>
              <w:jc w:val="left"/>
              <w:rPr>
                <w:rFonts w:ascii="Times New Roman" w:hAnsi="Times New Roman"/>
                <w:sz w:val="24"/>
                <w:szCs w:val="24"/>
              </w:rPr>
            </w:pPr>
            <w:r w:rsidRPr="00927915">
              <w:rPr>
                <w:rFonts w:ascii="Times New Roman" w:hAnsi="Times New Roman"/>
                <w:b w:val="0"/>
                <w:sz w:val="24"/>
                <w:szCs w:val="24"/>
              </w:rPr>
              <w:t>Final</w:t>
            </w:r>
            <w:r w:rsidRPr="00927915">
              <w:rPr>
                <w:rFonts w:ascii="Times New Roman" w:hAnsi="Times New Roman"/>
                <w:b w:val="0"/>
                <w:sz w:val="24"/>
                <w:szCs w:val="24"/>
              </w:rPr>
              <w:t xml:space="preserve"> naso-anal length (mm)</w:t>
            </w:r>
          </w:p>
        </w:tc>
        <w:tc>
          <w:tcPr>
            <w:tcW w:w="2538" w:type="dxa"/>
          </w:tcPr>
          <w:p w14:paraId="4DB82412"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139.4 ± 2.1</w:t>
            </w:r>
          </w:p>
        </w:tc>
        <w:tc>
          <w:tcPr>
            <w:tcW w:w="2538" w:type="dxa"/>
          </w:tcPr>
          <w:p w14:paraId="2C4C9F41"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140.6 ± 2.8</w:t>
            </w:r>
          </w:p>
        </w:tc>
        <w:tc>
          <w:tcPr>
            <w:tcW w:w="2538" w:type="dxa"/>
          </w:tcPr>
          <w:p w14:paraId="12865CDA"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130.7 ± 6.2</w:t>
            </w:r>
          </w:p>
        </w:tc>
        <w:tc>
          <w:tcPr>
            <w:tcW w:w="2538" w:type="dxa"/>
          </w:tcPr>
          <w:p w14:paraId="47A4E1AD"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0.7984</w:t>
            </w:r>
          </w:p>
        </w:tc>
      </w:tr>
      <w:tr w:rsidR="00D70824" w14:paraId="7ACC40E8" w14:textId="77777777" w:rsidTr="00D7082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39" w:type="dxa"/>
          </w:tcPr>
          <w:p w14:paraId="109DA65C" w14:textId="77777777" w:rsidR="00D931DB" w:rsidRPr="00927915" w:rsidRDefault="00F95F28" w:rsidP="00F228F0">
            <w:pPr>
              <w:pBdr>
                <w:top w:val="nil"/>
                <w:left w:val="nil"/>
                <w:bottom w:val="nil"/>
                <w:right w:val="nil"/>
                <w:between w:val="nil"/>
              </w:pBdr>
              <w:spacing w:line="276" w:lineRule="auto"/>
              <w:ind w:right="-143"/>
              <w:jc w:val="left"/>
              <w:rPr>
                <w:rFonts w:ascii="Times New Roman" w:hAnsi="Times New Roman"/>
                <w:sz w:val="24"/>
                <w:szCs w:val="24"/>
              </w:rPr>
            </w:pPr>
            <w:r w:rsidRPr="00927915">
              <w:rPr>
                <w:rFonts w:ascii="Times New Roman" w:hAnsi="Times New Roman"/>
                <w:b w:val="0"/>
                <w:sz w:val="24"/>
                <w:szCs w:val="24"/>
              </w:rPr>
              <w:t>Food intake (g/day)</w:t>
            </w:r>
          </w:p>
        </w:tc>
        <w:tc>
          <w:tcPr>
            <w:tcW w:w="2538" w:type="dxa"/>
          </w:tcPr>
          <w:p w14:paraId="0B03BF36"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vertAlign w:val="superscript"/>
              </w:rPr>
            </w:pPr>
            <w:r w:rsidRPr="00927915">
              <w:rPr>
                <w:rFonts w:ascii="Times New Roman" w:hAnsi="Times New Roman"/>
                <w:sz w:val="24"/>
                <w:szCs w:val="24"/>
              </w:rPr>
              <w:t>5.9 ± 0.2</w:t>
            </w:r>
          </w:p>
        </w:tc>
        <w:tc>
          <w:tcPr>
            <w:tcW w:w="2538" w:type="dxa"/>
          </w:tcPr>
          <w:p w14:paraId="29CB3F67"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vertAlign w:val="superscript"/>
              </w:rPr>
            </w:pPr>
            <w:r w:rsidRPr="00927915">
              <w:rPr>
                <w:rFonts w:ascii="Times New Roman" w:hAnsi="Times New Roman"/>
                <w:sz w:val="24"/>
                <w:szCs w:val="24"/>
              </w:rPr>
              <w:t>5.7 ± 0.3</w:t>
            </w:r>
          </w:p>
        </w:tc>
        <w:tc>
          <w:tcPr>
            <w:tcW w:w="2538" w:type="dxa"/>
          </w:tcPr>
          <w:p w14:paraId="754C2283"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5.7 ± 0.1</w:t>
            </w:r>
          </w:p>
        </w:tc>
        <w:tc>
          <w:tcPr>
            <w:tcW w:w="2538" w:type="dxa"/>
          </w:tcPr>
          <w:p w14:paraId="04D50277"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0.3247</w:t>
            </w:r>
          </w:p>
        </w:tc>
      </w:tr>
      <w:tr w:rsidR="00D70824" w14:paraId="075426E7" w14:textId="77777777" w:rsidTr="00D70824">
        <w:trPr>
          <w:trHeight w:val="431"/>
        </w:trPr>
        <w:tc>
          <w:tcPr>
            <w:cnfStyle w:val="001000000000" w:firstRow="0" w:lastRow="0" w:firstColumn="1" w:lastColumn="0" w:oddVBand="0" w:evenVBand="0" w:oddHBand="0" w:evenHBand="0" w:firstRowFirstColumn="0" w:firstRowLastColumn="0" w:lastRowFirstColumn="0" w:lastRowLastColumn="0"/>
            <w:tcW w:w="2539" w:type="dxa"/>
          </w:tcPr>
          <w:p w14:paraId="08E2EE89" w14:textId="77777777" w:rsidR="00D931DB" w:rsidRPr="00927915" w:rsidRDefault="00F95F28" w:rsidP="00F228F0">
            <w:pPr>
              <w:pBdr>
                <w:top w:val="nil"/>
                <w:left w:val="nil"/>
                <w:bottom w:val="nil"/>
                <w:right w:val="nil"/>
                <w:between w:val="nil"/>
              </w:pBdr>
              <w:spacing w:line="276" w:lineRule="auto"/>
              <w:ind w:right="-143"/>
              <w:jc w:val="left"/>
              <w:rPr>
                <w:rFonts w:ascii="Times New Roman" w:hAnsi="Times New Roman"/>
                <w:sz w:val="24"/>
                <w:szCs w:val="24"/>
              </w:rPr>
            </w:pPr>
            <w:r w:rsidRPr="00927915">
              <w:rPr>
                <w:rFonts w:ascii="Times New Roman" w:hAnsi="Times New Roman"/>
                <w:b w:val="0"/>
                <w:sz w:val="24"/>
                <w:szCs w:val="24"/>
              </w:rPr>
              <w:t>Total food intake (g)</w:t>
            </w:r>
          </w:p>
        </w:tc>
        <w:tc>
          <w:tcPr>
            <w:tcW w:w="2538" w:type="dxa"/>
          </w:tcPr>
          <w:p w14:paraId="04E5A0C4"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285.4 ± 7.9</w:t>
            </w:r>
          </w:p>
        </w:tc>
        <w:tc>
          <w:tcPr>
            <w:tcW w:w="2538" w:type="dxa"/>
          </w:tcPr>
          <w:p w14:paraId="78552C02"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274.1 ± 3.8</w:t>
            </w:r>
          </w:p>
        </w:tc>
        <w:tc>
          <w:tcPr>
            <w:tcW w:w="2538" w:type="dxa"/>
          </w:tcPr>
          <w:p w14:paraId="76863A64"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274.2 ± 5.5</w:t>
            </w:r>
          </w:p>
        </w:tc>
        <w:tc>
          <w:tcPr>
            <w:tcW w:w="2538" w:type="dxa"/>
          </w:tcPr>
          <w:p w14:paraId="167AFD4D"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0.3247</w:t>
            </w:r>
          </w:p>
        </w:tc>
      </w:tr>
      <w:tr w:rsidR="00D70824" w14:paraId="4283BA67" w14:textId="77777777" w:rsidTr="00D7082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39" w:type="dxa"/>
          </w:tcPr>
          <w:p w14:paraId="42651AAC" w14:textId="77777777" w:rsidR="00D931DB" w:rsidRPr="00927915" w:rsidRDefault="00F95F28" w:rsidP="00F228F0">
            <w:pPr>
              <w:pBdr>
                <w:top w:val="nil"/>
                <w:left w:val="nil"/>
                <w:bottom w:val="nil"/>
                <w:right w:val="nil"/>
                <w:between w:val="nil"/>
              </w:pBdr>
              <w:spacing w:line="276" w:lineRule="auto"/>
              <w:ind w:right="-143"/>
              <w:jc w:val="left"/>
              <w:rPr>
                <w:rFonts w:ascii="Times New Roman" w:hAnsi="Times New Roman"/>
                <w:sz w:val="24"/>
                <w:szCs w:val="24"/>
              </w:rPr>
            </w:pPr>
            <w:r w:rsidRPr="00927915">
              <w:rPr>
                <w:rFonts w:ascii="Times New Roman" w:hAnsi="Times New Roman"/>
                <w:b w:val="0"/>
                <w:sz w:val="24"/>
                <w:szCs w:val="24"/>
              </w:rPr>
              <w:t>Total energy (kcal)</w:t>
            </w:r>
          </w:p>
        </w:tc>
        <w:tc>
          <w:tcPr>
            <w:tcW w:w="2538" w:type="dxa"/>
          </w:tcPr>
          <w:p w14:paraId="3BBD1F83"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1112.9 ± 30.7</w:t>
            </w:r>
          </w:p>
        </w:tc>
        <w:tc>
          <w:tcPr>
            <w:tcW w:w="2538" w:type="dxa"/>
          </w:tcPr>
          <w:p w14:paraId="616EB510"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1068.9 ± 14.6</w:t>
            </w:r>
          </w:p>
        </w:tc>
        <w:tc>
          <w:tcPr>
            <w:tcW w:w="2538" w:type="dxa"/>
          </w:tcPr>
          <w:p w14:paraId="6F2503CC"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1069.33 ± 21.61</w:t>
            </w:r>
          </w:p>
        </w:tc>
        <w:tc>
          <w:tcPr>
            <w:tcW w:w="2538" w:type="dxa"/>
          </w:tcPr>
          <w:p w14:paraId="7A0F92E8"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0.3246</w:t>
            </w:r>
          </w:p>
        </w:tc>
      </w:tr>
      <w:tr w:rsidR="00D70824" w14:paraId="47900BDE" w14:textId="77777777" w:rsidTr="00D70824">
        <w:trPr>
          <w:trHeight w:val="382"/>
        </w:trPr>
        <w:tc>
          <w:tcPr>
            <w:cnfStyle w:val="001000000000" w:firstRow="0" w:lastRow="0" w:firstColumn="1" w:lastColumn="0" w:oddVBand="0" w:evenVBand="0" w:oddHBand="0" w:evenHBand="0" w:firstRowFirstColumn="0" w:firstRowLastColumn="0" w:lastRowFirstColumn="0" w:lastRowLastColumn="0"/>
            <w:tcW w:w="2539" w:type="dxa"/>
          </w:tcPr>
          <w:p w14:paraId="5292DF74" w14:textId="77777777" w:rsidR="00D931DB" w:rsidRPr="00927915" w:rsidRDefault="00F95F28" w:rsidP="00F228F0">
            <w:pPr>
              <w:pBdr>
                <w:top w:val="nil"/>
                <w:left w:val="nil"/>
                <w:bottom w:val="nil"/>
                <w:right w:val="nil"/>
                <w:between w:val="nil"/>
              </w:pBdr>
              <w:spacing w:line="276" w:lineRule="auto"/>
              <w:ind w:right="-143"/>
              <w:jc w:val="left"/>
              <w:rPr>
                <w:rFonts w:ascii="Times New Roman" w:hAnsi="Times New Roman"/>
                <w:sz w:val="24"/>
                <w:szCs w:val="24"/>
              </w:rPr>
            </w:pPr>
            <w:r w:rsidRPr="00927915">
              <w:rPr>
                <w:rFonts w:ascii="Times New Roman" w:hAnsi="Times New Roman"/>
                <w:b w:val="0"/>
                <w:sz w:val="24"/>
                <w:szCs w:val="24"/>
              </w:rPr>
              <w:t>Water intake (mL/day)</w:t>
            </w:r>
          </w:p>
        </w:tc>
        <w:tc>
          <w:tcPr>
            <w:tcW w:w="2538" w:type="dxa"/>
          </w:tcPr>
          <w:p w14:paraId="67933D67"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sidRPr="00927915">
              <w:rPr>
                <w:rFonts w:ascii="Times New Roman" w:hAnsi="Times New Roman"/>
                <w:sz w:val="24"/>
                <w:szCs w:val="24"/>
              </w:rPr>
              <w:t>12.0 ± 0.1</w:t>
            </w:r>
            <w:r w:rsidRPr="00927915">
              <w:rPr>
                <w:rFonts w:ascii="Times New Roman" w:hAnsi="Times New Roman"/>
                <w:sz w:val="24"/>
                <w:szCs w:val="24"/>
                <w:vertAlign w:val="superscript"/>
              </w:rPr>
              <w:t>a</w:t>
            </w:r>
          </w:p>
        </w:tc>
        <w:tc>
          <w:tcPr>
            <w:tcW w:w="2538" w:type="dxa"/>
          </w:tcPr>
          <w:p w14:paraId="16A79793" w14:textId="77777777" w:rsidR="00D931DB" w:rsidRPr="00927915" w:rsidRDefault="00F95F28" w:rsidP="00F228F0">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10.5 ± 0.1</w:t>
            </w:r>
            <w:r w:rsidRPr="00927915">
              <w:rPr>
                <w:rFonts w:ascii="Times New Roman" w:hAnsi="Times New Roman"/>
                <w:sz w:val="24"/>
                <w:szCs w:val="24"/>
                <w:vertAlign w:val="superscript"/>
              </w:rPr>
              <w:t>b</w:t>
            </w:r>
          </w:p>
        </w:tc>
        <w:tc>
          <w:tcPr>
            <w:tcW w:w="2538" w:type="dxa"/>
          </w:tcPr>
          <w:p w14:paraId="366E9F3F"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12.5 ± 0.2</w:t>
            </w:r>
            <w:r w:rsidRPr="00927915">
              <w:rPr>
                <w:rFonts w:ascii="Times New Roman" w:hAnsi="Times New Roman"/>
                <w:sz w:val="24"/>
                <w:szCs w:val="24"/>
                <w:vertAlign w:val="superscript"/>
              </w:rPr>
              <w:t>a</w:t>
            </w:r>
          </w:p>
        </w:tc>
        <w:tc>
          <w:tcPr>
            <w:tcW w:w="2538" w:type="dxa"/>
          </w:tcPr>
          <w:p w14:paraId="4CDFFA3E"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&lt;0.0001*</w:t>
            </w:r>
          </w:p>
        </w:tc>
      </w:tr>
      <w:tr w:rsidR="00D70824" w14:paraId="37A213A8" w14:textId="77777777" w:rsidTr="00D7082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39" w:type="dxa"/>
          </w:tcPr>
          <w:p w14:paraId="7C241A56" w14:textId="77777777" w:rsidR="00D931DB" w:rsidRPr="00927915" w:rsidRDefault="00F95F28" w:rsidP="00F228F0">
            <w:pPr>
              <w:pBdr>
                <w:top w:val="nil"/>
                <w:left w:val="nil"/>
                <w:bottom w:val="nil"/>
                <w:right w:val="nil"/>
                <w:between w:val="nil"/>
              </w:pBdr>
              <w:spacing w:line="276" w:lineRule="auto"/>
              <w:ind w:right="-143"/>
              <w:jc w:val="left"/>
              <w:rPr>
                <w:rFonts w:ascii="Times New Roman" w:hAnsi="Times New Roman"/>
                <w:sz w:val="24"/>
                <w:szCs w:val="24"/>
              </w:rPr>
            </w:pPr>
            <w:r w:rsidRPr="00927915">
              <w:rPr>
                <w:rFonts w:ascii="Times New Roman" w:hAnsi="Times New Roman"/>
                <w:b w:val="0"/>
                <w:sz w:val="24"/>
                <w:szCs w:val="24"/>
              </w:rPr>
              <w:t>Total water intake (mL)</w:t>
            </w:r>
          </w:p>
        </w:tc>
        <w:tc>
          <w:tcPr>
            <w:tcW w:w="2538" w:type="dxa"/>
          </w:tcPr>
          <w:p w14:paraId="10135B84"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574.4 ± 7.1</w:t>
            </w:r>
          </w:p>
        </w:tc>
        <w:tc>
          <w:tcPr>
            <w:tcW w:w="2538" w:type="dxa"/>
          </w:tcPr>
          <w:p w14:paraId="51AA9D9C" w14:textId="77777777" w:rsidR="00D931DB" w:rsidRPr="00927915" w:rsidRDefault="00F95F28" w:rsidP="00F228F0">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570.0 ± 8.2</w:t>
            </w:r>
          </w:p>
        </w:tc>
        <w:tc>
          <w:tcPr>
            <w:tcW w:w="2538" w:type="dxa"/>
          </w:tcPr>
          <w:p w14:paraId="196D4E87"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598.2 ± 9.3</w:t>
            </w:r>
          </w:p>
        </w:tc>
        <w:tc>
          <w:tcPr>
            <w:tcW w:w="2538" w:type="dxa"/>
          </w:tcPr>
          <w:p w14:paraId="116A5741" w14:textId="77777777" w:rsidR="00D931DB" w:rsidRPr="00927915" w:rsidRDefault="00F95F28" w:rsidP="00F228F0">
            <w:pPr>
              <w:pBdr>
                <w:top w:val="nil"/>
                <w:left w:val="nil"/>
                <w:bottom w:val="nil"/>
                <w:right w:val="nil"/>
                <w:between w:val="nil"/>
              </w:pBdr>
              <w:tabs>
                <w:tab w:val="center" w:pos="1084"/>
                <w:tab w:val="right" w:pos="216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915">
              <w:rPr>
                <w:rFonts w:ascii="Times New Roman" w:hAnsi="Times New Roman"/>
                <w:sz w:val="24"/>
                <w:szCs w:val="24"/>
              </w:rPr>
              <w:t>0.1406</w:t>
            </w:r>
          </w:p>
        </w:tc>
      </w:tr>
    </w:tbl>
    <w:p w14:paraId="5FD8F2F7" w14:textId="77777777" w:rsidR="00CB3B7A" w:rsidRPr="00927915" w:rsidRDefault="00F95F28">
      <w:pPr>
        <w:tabs>
          <w:tab w:val="left" w:pos="2929"/>
          <w:tab w:val="left" w:pos="12616"/>
        </w:tabs>
        <w:ind w:left="709" w:right="993"/>
        <w:jc w:val="both"/>
        <w:rPr>
          <w:rFonts w:ascii="Times New Roman" w:eastAsia="Times New Roman" w:hAnsi="Times New Roman" w:cs="Times New Roman"/>
          <w:bCs/>
          <w:sz w:val="20"/>
          <w:szCs w:val="20"/>
        </w:rPr>
      </w:pPr>
      <w:r w:rsidRPr="00927915">
        <w:rPr>
          <w:rFonts w:ascii="Times New Roman" w:eastAsia="Times New Roman" w:hAnsi="Times New Roman" w:cs="Times New Roman"/>
          <w:b/>
          <w:sz w:val="20"/>
          <w:szCs w:val="20"/>
        </w:rPr>
        <w:t xml:space="preserve">Table 2: </w:t>
      </w:r>
      <w:r w:rsidRPr="00927915">
        <w:rPr>
          <w:rFonts w:ascii="Times New Roman" w:eastAsia="Times New Roman" w:hAnsi="Times New Roman" w:cs="Times New Roman"/>
          <w:bCs/>
          <w:sz w:val="20"/>
          <w:szCs w:val="20"/>
        </w:rPr>
        <w:t xml:space="preserve">Body mass, mass gain, naso-anal length, and food, energy, and water intake of animals in the Control, Vitamin A Deficiency, and Attalea phalerata groups after 45 days of treatment </w:t>
      </w:r>
    </w:p>
    <w:p w14:paraId="20EDCCE4" w14:textId="77777777" w:rsidR="00124A56" w:rsidRPr="00927915" w:rsidRDefault="00124A56">
      <w:pPr>
        <w:tabs>
          <w:tab w:val="left" w:pos="2929"/>
          <w:tab w:val="left" w:pos="12616"/>
        </w:tabs>
        <w:ind w:left="709" w:right="993"/>
        <w:jc w:val="both"/>
        <w:rPr>
          <w:rFonts w:ascii="Times New Roman" w:eastAsia="Times New Roman" w:hAnsi="Times New Roman" w:cs="Times New Roman"/>
          <w:sz w:val="20"/>
          <w:szCs w:val="20"/>
        </w:rPr>
      </w:pPr>
    </w:p>
    <w:p w14:paraId="5DDA1487" w14:textId="77777777" w:rsidR="00545753" w:rsidRPr="00927915" w:rsidRDefault="00F95F28" w:rsidP="00ED7F07">
      <w:pPr>
        <w:spacing w:line="360" w:lineRule="auto"/>
        <w:ind w:left="709"/>
        <w:jc w:val="both"/>
        <w:rPr>
          <w:rFonts w:ascii="Times New Roman" w:eastAsia="Times New Roman" w:hAnsi="Times New Roman" w:cs="Times New Roman"/>
          <w:sz w:val="20"/>
          <w:szCs w:val="20"/>
        </w:rPr>
      </w:pPr>
      <w:r w:rsidRPr="00927915">
        <w:rPr>
          <w:rFonts w:ascii="Times New Roman" w:eastAsia="Times New Roman" w:hAnsi="Times New Roman" w:cs="Times New Roman"/>
        </w:rPr>
        <w:t xml:space="preserve">Results are presented as mean and standard error of the mean </w:t>
      </w:r>
      <w:r w:rsidRPr="00927915">
        <w:rPr>
          <w:rFonts w:ascii="Times New Roman" w:eastAsia="Times New Roman" w:hAnsi="Times New Roman" w:cs="Times New Roman"/>
          <w:sz w:val="20"/>
          <w:szCs w:val="20"/>
        </w:rPr>
        <w:t>of the number</w:t>
      </w:r>
      <w:r w:rsidRPr="00927915">
        <w:rPr>
          <w:rFonts w:ascii="Times New Roman" w:eastAsia="Times New Roman" w:hAnsi="Times New Roman" w:cs="Times New Roman"/>
          <w:sz w:val="20"/>
          <w:szCs w:val="20"/>
        </w:rPr>
        <w:t xml:space="preserve"> of animals indicated in parentheses. Means with different superscript letters are significantly different by one-way ANOVA followed by Tukey's test.</w:t>
      </w:r>
    </w:p>
    <w:p w14:paraId="125266BF" w14:textId="77777777" w:rsidR="006A40FC" w:rsidRPr="00927915" w:rsidRDefault="006A40FC">
      <w:pPr>
        <w:spacing w:line="360" w:lineRule="auto"/>
        <w:jc w:val="both"/>
        <w:rPr>
          <w:rFonts w:ascii="Times New Roman" w:eastAsia="Times New Roman" w:hAnsi="Times New Roman" w:cs="Times New Roman"/>
        </w:rPr>
      </w:pPr>
    </w:p>
    <w:p w14:paraId="7E3C6FD8" w14:textId="77777777" w:rsidR="006A40FC" w:rsidRPr="00927915" w:rsidRDefault="006A40FC">
      <w:pPr>
        <w:spacing w:line="360" w:lineRule="auto"/>
        <w:jc w:val="both"/>
        <w:rPr>
          <w:rFonts w:ascii="Times New Roman" w:eastAsia="Times New Roman" w:hAnsi="Times New Roman" w:cs="Times New Roman"/>
        </w:rPr>
      </w:pPr>
    </w:p>
    <w:p w14:paraId="6F9BB617" w14:textId="77777777" w:rsidR="00ED7F07" w:rsidRPr="00927915" w:rsidRDefault="00F95F28">
      <w:pPr>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br w:type="page"/>
      </w:r>
    </w:p>
    <w:p w14:paraId="43A57DAD" w14:textId="77777777" w:rsidR="009D245B" w:rsidRPr="00927915" w:rsidRDefault="00F95F28" w:rsidP="009D245B">
      <w:pPr>
        <w:tabs>
          <w:tab w:val="left" w:pos="2929"/>
          <w:tab w:val="left" w:pos="12616"/>
        </w:tabs>
        <w:ind w:left="709" w:right="993"/>
        <w:jc w:val="both"/>
        <w:rPr>
          <w:rFonts w:ascii="Times New Roman" w:eastAsia="Times New Roman" w:hAnsi="Times New Roman" w:cs="Times New Roman"/>
          <w:bCs/>
          <w:sz w:val="20"/>
          <w:szCs w:val="20"/>
        </w:rPr>
      </w:pPr>
      <w:r w:rsidRPr="00927915">
        <w:rPr>
          <w:rFonts w:ascii="Times New Roman" w:eastAsia="Times New Roman" w:hAnsi="Times New Roman" w:cs="Times New Roman"/>
          <w:b/>
          <w:sz w:val="24"/>
          <w:szCs w:val="24"/>
        </w:rPr>
        <w:lastRenderedPageBreak/>
        <w:t>Table 3:</w:t>
      </w:r>
      <w:r w:rsidRPr="00927915">
        <w:rPr>
          <w:rFonts w:ascii="Times New Roman" w:eastAsia="Times New Roman" w:hAnsi="Times New Roman" w:cs="Times New Roman"/>
          <w:sz w:val="24"/>
          <w:szCs w:val="24"/>
        </w:rPr>
        <w:t xml:space="preserve"> </w:t>
      </w:r>
      <w:r w:rsidR="00796CFF" w:rsidRPr="00927915">
        <w:rPr>
          <w:rFonts w:ascii="Times New Roman" w:eastAsia="Times New Roman" w:hAnsi="Times New Roman" w:cs="Times New Roman"/>
          <w:sz w:val="24"/>
          <w:szCs w:val="24"/>
        </w:rPr>
        <w:t xml:space="preserve">Tissue mass calculated in g/100g of body weight for the animals in the Control, Vitamin A Deficient, and </w:t>
      </w:r>
      <w:r w:rsidR="00796CFF" w:rsidRPr="00927915">
        <w:rPr>
          <w:rFonts w:ascii="Times New Roman" w:eastAsia="Times New Roman" w:hAnsi="Times New Roman" w:cs="Times New Roman"/>
          <w:i/>
          <w:sz w:val="24"/>
          <w:szCs w:val="24"/>
        </w:rPr>
        <w:t>Attalea phalerata</w:t>
      </w:r>
      <w:r w:rsidR="00796CFF" w:rsidRPr="00927915">
        <w:rPr>
          <w:rFonts w:ascii="Times New Roman" w:eastAsia="Times New Roman" w:hAnsi="Times New Roman" w:cs="Times New Roman"/>
          <w:sz w:val="24"/>
          <w:szCs w:val="24"/>
        </w:rPr>
        <w:t xml:space="preserve"> oil groups after 45 days of treatment</w:t>
      </w:r>
      <w:r w:rsidRPr="00927915">
        <w:rPr>
          <w:rFonts w:ascii="Times New Roman" w:eastAsia="Times New Roman" w:hAnsi="Times New Roman" w:cs="Times New Roman"/>
          <w:bCs/>
          <w:sz w:val="20"/>
          <w:szCs w:val="20"/>
        </w:rPr>
        <w:t xml:space="preserve"> </w:t>
      </w:r>
    </w:p>
    <w:tbl>
      <w:tblPr>
        <w:tblStyle w:val="a6"/>
        <w:tblpPr w:leftFromText="141" w:rightFromText="141" w:vertAnchor="text" w:tblpX="765"/>
        <w:tblW w:w="12473" w:type="dxa"/>
        <w:tblInd w:w="0" w:type="dxa"/>
        <w:tblBorders>
          <w:top w:val="single" w:sz="4" w:space="0" w:color="7F7F7F"/>
          <w:bottom w:val="single" w:sz="4" w:space="0" w:color="7F7F7F"/>
        </w:tblBorders>
        <w:tblLayout w:type="fixed"/>
        <w:tblLook w:val="0400" w:firstRow="0" w:lastRow="0" w:firstColumn="0" w:lastColumn="0" w:noHBand="0" w:noVBand="1"/>
      </w:tblPr>
      <w:tblGrid>
        <w:gridCol w:w="3118"/>
        <w:gridCol w:w="2126"/>
        <w:gridCol w:w="2898"/>
        <w:gridCol w:w="2630"/>
        <w:gridCol w:w="1701"/>
      </w:tblGrid>
      <w:tr w:rsidR="00D70824" w14:paraId="4832505D" w14:textId="77777777">
        <w:trPr>
          <w:trHeight w:val="442"/>
        </w:trPr>
        <w:tc>
          <w:tcPr>
            <w:tcW w:w="3118" w:type="dxa"/>
            <w:tcBorders>
              <w:bottom w:val="single" w:sz="4" w:space="0" w:color="7F7F7F"/>
            </w:tcBorders>
            <w:vAlign w:val="center"/>
          </w:tcPr>
          <w:p w14:paraId="3ED33049" w14:textId="77777777" w:rsidR="006A40FC" w:rsidRPr="00927915" w:rsidRDefault="00F95F28" w:rsidP="00D1425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Tissue</w:t>
            </w:r>
            <w:r w:rsidR="00796CFF" w:rsidRPr="00927915">
              <w:rPr>
                <w:rFonts w:ascii="Times New Roman" w:eastAsia="Times New Roman" w:hAnsi="Times New Roman" w:cs="Times New Roman"/>
                <w:sz w:val="24"/>
                <w:szCs w:val="24"/>
              </w:rPr>
              <w:t>s</w:t>
            </w:r>
            <w:r w:rsidRPr="00927915">
              <w:rPr>
                <w:rFonts w:ascii="Times New Roman" w:eastAsia="Times New Roman" w:hAnsi="Times New Roman" w:cs="Times New Roman"/>
                <w:sz w:val="24"/>
                <w:szCs w:val="24"/>
              </w:rPr>
              <w:t xml:space="preserve"> (g/100g)</w:t>
            </w:r>
          </w:p>
        </w:tc>
        <w:tc>
          <w:tcPr>
            <w:tcW w:w="2126" w:type="dxa"/>
            <w:tcBorders>
              <w:bottom w:val="single" w:sz="4" w:space="0" w:color="7F7F7F"/>
            </w:tcBorders>
            <w:vAlign w:val="center"/>
          </w:tcPr>
          <w:p w14:paraId="46F04393"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Control</w:t>
            </w:r>
          </w:p>
          <w:p w14:paraId="0A5D3D31" w14:textId="77777777" w:rsidR="00A35FA0"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w:t>
            </w:r>
            <w:r w:rsidR="005E6DAE" w:rsidRPr="00927915">
              <w:rPr>
                <w:rFonts w:ascii="Times New Roman" w:eastAsia="Times New Roman" w:hAnsi="Times New Roman" w:cs="Times New Roman"/>
                <w:sz w:val="24"/>
                <w:szCs w:val="24"/>
              </w:rPr>
              <w:t>0</w:t>
            </w:r>
            <w:r w:rsidRPr="00927915">
              <w:rPr>
                <w:rFonts w:ascii="Times New Roman" w:eastAsia="Times New Roman" w:hAnsi="Times New Roman" w:cs="Times New Roman"/>
                <w:sz w:val="24"/>
                <w:szCs w:val="24"/>
              </w:rPr>
              <w:t>)</w:t>
            </w:r>
          </w:p>
        </w:tc>
        <w:tc>
          <w:tcPr>
            <w:tcW w:w="2898" w:type="dxa"/>
            <w:tcBorders>
              <w:bottom w:val="single" w:sz="4" w:space="0" w:color="7F7F7F"/>
            </w:tcBorders>
            <w:vAlign w:val="center"/>
          </w:tcPr>
          <w:p w14:paraId="36012BA9"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Vit. A deficiency</w:t>
            </w:r>
          </w:p>
          <w:p w14:paraId="65F4C856" w14:textId="77777777" w:rsidR="00A35FA0"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w:t>
            </w:r>
            <w:r w:rsidR="005E6DAE" w:rsidRPr="00927915">
              <w:rPr>
                <w:rFonts w:ascii="Times New Roman" w:eastAsia="Times New Roman" w:hAnsi="Times New Roman" w:cs="Times New Roman"/>
                <w:sz w:val="24"/>
                <w:szCs w:val="24"/>
              </w:rPr>
              <w:t>0</w:t>
            </w:r>
            <w:r w:rsidRPr="00927915">
              <w:rPr>
                <w:rFonts w:ascii="Times New Roman" w:eastAsia="Times New Roman" w:hAnsi="Times New Roman" w:cs="Times New Roman"/>
                <w:sz w:val="24"/>
                <w:szCs w:val="24"/>
              </w:rPr>
              <w:t>)</w:t>
            </w:r>
          </w:p>
        </w:tc>
        <w:tc>
          <w:tcPr>
            <w:tcW w:w="2630" w:type="dxa"/>
            <w:tcBorders>
              <w:bottom w:val="single" w:sz="4" w:space="0" w:color="7F7F7F"/>
            </w:tcBorders>
            <w:vAlign w:val="center"/>
          </w:tcPr>
          <w:p w14:paraId="7AB67231"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w:t>
            </w:r>
          </w:p>
          <w:p w14:paraId="4447B1AB" w14:textId="77777777" w:rsidR="00A35FA0"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(11)</w:t>
            </w:r>
          </w:p>
        </w:tc>
        <w:tc>
          <w:tcPr>
            <w:tcW w:w="1701" w:type="dxa"/>
            <w:tcBorders>
              <w:bottom w:val="single" w:sz="4" w:space="0" w:color="7F7F7F"/>
            </w:tcBorders>
            <w:vAlign w:val="center"/>
          </w:tcPr>
          <w:p w14:paraId="0D77CE4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i/>
                <w:sz w:val="24"/>
                <w:szCs w:val="24"/>
              </w:rPr>
              <w:t>P</w:t>
            </w:r>
            <w:r w:rsidR="005E39C5" w:rsidRPr="00927915">
              <w:rPr>
                <w:rFonts w:ascii="Times New Roman" w:eastAsia="Times New Roman" w:hAnsi="Times New Roman" w:cs="Times New Roman"/>
                <w:sz w:val="24"/>
                <w:szCs w:val="24"/>
              </w:rPr>
              <w:t xml:space="preserve"> value</w:t>
            </w:r>
          </w:p>
        </w:tc>
      </w:tr>
      <w:tr w:rsidR="00D70824" w14:paraId="767005F0" w14:textId="77777777">
        <w:trPr>
          <w:trHeight w:val="390"/>
        </w:trPr>
        <w:tc>
          <w:tcPr>
            <w:tcW w:w="3118" w:type="dxa"/>
            <w:tcBorders>
              <w:top w:val="single" w:sz="4" w:space="0" w:color="7F7F7F"/>
              <w:bottom w:val="single" w:sz="4" w:space="0" w:color="7F7F7F"/>
            </w:tcBorders>
            <w:vAlign w:val="center"/>
          </w:tcPr>
          <w:p w14:paraId="4D41EB4F"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Brain</w:t>
            </w:r>
          </w:p>
        </w:tc>
        <w:tc>
          <w:tcPr>
            <w:tcW w:w="2126" w:type="dxa"/>
            <w:tcBorders>
              <w:top w:val="single" w:sz="4" w:space="0" w:color="7F7F7F"/>
              <w:bottom w:val="single" w:sz="4" w:space="0" w:color="7F7F7F"/>
            </w:tcBorders>
            <w:vAlign w:val="center"/>
          </w:tcPr>
          <w:p w14:paraId="74ED0246"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vertAlign w:val="superscript"/>
              </w:rPr>
            </w:pPr>
            <w:r w:rsidRPr="00927915">
              <w:rPr>
                <w:rFonts w:ascii="Times New Roman" w:eastAsia="Times New Roman" w:hAnsi="Times New Roman" w:cs="Times New Roman"/>
                <w:sz w:val="24"/>
                <w:szCs w:val="24"/>
              </w:rPr>
              <w:t>0.82 ± 0.03</w:t>
            </w:r>
          </w:p>
        </w:tc>
        <w:tc>
          <w:tcPr>
            <w:tcW w:w="2898" w:type="dxa"/>
            <w:tcBorders>
              <w:top w:val="single" w:sz="4" w:space="0" w:color="7F7F7F"/>
              <w:bottom w:val="single" w:sz="4" w:space="0" w:color="7F7F7F"/>
            </w:tcBorders>
            <w:vAlign w:val="center"/>
          </w:tcPr>
          <w:p w14:paraId="437D29B2"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vertAlign w:val="superscript"/>
              </w:rPr>
            </w:pPr>
            <w:r w:rsidRPr="00927915">
              <w:rPr>
                <w:rFonts w:ascii="Times New Roman" w:eastAsia="Times New Roman" w:hAnsi="Times New Roman" w:cs="Times New Roman"/>
                <w:sz w:val="24"/>
                <w:szCs w:val="24"/>
              </w:rPr>
              <w:t>0.74 ± 0.04</w:t>
            </w:r>
          </w:p>
        </w:tc>
        <w:tc>
          <w:tcPr>
            <w:tcW w:w="2630" w:type="dxa"/>
            <w:tcBorders>
              <w:top w:val="single" w:sz="4" w:space="0" w:color="7F7F7F"/>
              <w:bottom w:val="single" w:sz="4" w:space="0" w:color="7F7F7F"/>
            </w:tcBorders>
            <w:vAlign w:val="center"/>
          </w:tcPr>
          <w:p w14:paraId="33B56BA7"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0.74 ± 0.04</w:t>
            </w:r>
          </w:p>
        </w:tc>
        <w:tc>
          <w:tcPr>
            <w:tcW w:w="1701" w:type="dxa"/>
            <w:tcBorders>
              <w:top w:val="single" w:sz="4" w:space="0" w:color="7F7F7F"/>
              <w:bottom w:val="single" w:sz="4" w:space="0" w:color="7F7F7F"/>
            </w:tcBorders>
            <w:vAlign w:val="center"/>
          </w:tcPr>
          <w:p w14:paraId="51EFC547"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0.2922</w:t>
            </w:r>
          </w:p>
        </w:tc>
      </w:tr>
      <w:tr w:rsidR="00D70824" w14:paraId="42ACB2E3" w14:textId="77777777">
        <w:trPr>
          <w:trHeight w:val="410"/>
        </w:trPr>
        <w:tc>
          <w:tcPr>
            <w:tcW w:w="3118" w:type="dxa"/>
            <w:vAlign w:val="center"/>
          </w:tcPr>
          <w:p w14:paraId="42A0BD86"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Heart</w:t>
            </w:r>
          </w:p>
        </w:tc>
        <w:tc>
          <w:tcPr>
            <w:tcW w:w="2126" w:type="dxa"/>
            <w:vAlign w:val="center"/>
          </w:tcPr>
          <w:p w14:paraId="2B93A8E7"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0.42 ± 0.02</w:t>
            </w:r>
          </w:p>
        </w:tc>
        <w:tc>
          <w:tcPr>
            <w:tcW w:w="2898" w:type="dxa"/>
            <w:vAlign w:val="center"/>
          </w:tcPr>
          <w:p w14:paraId="5AC37CFC"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0.40 ± 0.02</w:t>
            </w:r>
          </w:p>
        </w:tc>
        <w:tc>
          <w:tcPr>
            <w:tcW w:w="2630" w:type="dxa"/>
            <w:vAlign w:val="center"/>
          </w:tcPr>
          <w:p w14:paraId="189EABF0"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0.38 ± 0.03</w:t>
            </w:r>
          </w:p>
        </w:tc>
        <w:tc>
          <w:tcPr>
            <w:tcW w:w="1701" w:type="dxa"/>
            <w:vAlign w:val="center"/>
          </w:tcPr>
          <w:p w14:paraId="1A36C83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0.5931</w:t>
            </w:r>
          </w:p>
        </w:tc>
      </w:tr>
      <w:tr w:rsidR="00D70824" w14:paraId="68CCA903" w14:textId="77777777">
        <w:trPr>
          <w:trHeight w:val="442"/>
        </w:trPr>
        <w:tc>
          <w:tcPr>
            <w:tcW w:w="3118" w:type="dxa"/>
            <w:tcBorders>
              <w:top w:val="single" w:sz="4" w:space="0" w:color="7F7F7F"/>
              <w:bottom w:val="single" w:sz="4" w:space="0" w:color="7F7F7F"/>
            </w:tcBorders>
            <w:vAlign w:val="center"/>
          </w:tcPr>
          <w:p w14:paraId="7657896D"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Kidney</w:t>
            </w:r>
          </w:p>
        </w:tc>
        <w:tc>
          <w:tcPr>
            <w:tcW w:w="2126" w:type="dxa"/>
            <w:tcBorders>
              <w:top w:val="single" w:sz="4" w:space="0" w:color="7F7F7F"/>
              <w:bottom w:val="single" w:sz="4" w:space="0" w:color="7F7F7F"/>
            </w:tcBorders>
            <w:vAlign w:val="center"/>
          </w:tcPr>
          <w:p w14:paraId="17400812"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1.06 ± 0.05</w:t>
            </w:r>
          </w:p>
        </w:tc>
        <w:tc>
          <w:tcPr>
            <w:tcW w:w="2898" w:type="dxa"/>
            <w:tcBorders>
              <w:top w:val="single" w:sz="4" w:space="0" w:color="7F7F7F"/>
              <w:bottom w:val="single" w:sz="4" w:space="0" w:color="7F7F7F"/>
            </w:tcBorders>
            <w:vAlign w:val="center"/>
          </w:tcPr>
          <w:p w14:paraId="0E825C8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1.00 ± 0.04</w:t>
            </w:r>
          </w:p>
        </w:tc>
        <w:tc>
          <w:tcPr>
            <w:tcW w:w="2630" w:type="dxa"/>
            <w:tcBorders>
              <w:top w:val="single" w:sz="4" w:space="0" w:color="7F7F7F"/>
              <w:bottom w:val="single" w:sz="4" w:space="0" w:color="7F7F7F"/>
            </w:tcBorders>
            <w:vAlign w:val="center"/>
          </w:tcPr>
          <w:p w14:paraId="3A256809"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1.02 ± 0.07</w:t>
            </w:r>
          </w:p>
        </w:tc>
        <w:tc>
          <w:tcPr>
            <w:tcW w:w="1701" w:type="dxa"/>
            <w:tcBorders>
              <w:top w:val="single" w:sz="4" w:space="0" w:color="7F7F7F"/>
              <w:bottom w:val="single" w:sz="4" w:space="0" w:color="7F7F7F"/>
            </w:tcBorders>
            <w:vAlign w:val="center"/>
          </w:tcPr>
          <w:p w14:paraId="481500C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0.7130</w:t>
            </w:r>
          </w:p>
        </w:tc>
      </w:tr>
      <w:tr w:rsidR="00D70824" w14:paraId="0FD3809A" w14:textId="77777777">
        <w:trPr>
          <w:trHeight w:val="394"/>
        </w:trPr>
        <w:tc>
          <w:tcPr>
            <w:tcW w:w="3118" w:type="dxa"/>
            <w:vAlign w:val="center"/>
          </w:tcPr>
          <w:p w14:paraId="0E7CD18D"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Liver</w:t>
            </w:r>
          </w:p>
        </w:tc>
        <w:tc>
          <w:tcPr>
            <w:tcW w:w="2126" w:type="dxa"/>
            <w:vAlign w:val="center"/>
          </w:tcPr>
          <w:p w14:paraId="657FD28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4.77 ± 0.28</w:t>
            </w:r>
            <w:r w:rsidRPr="00927915">
              <w:rPr>
                <w:rFonts w:ascii="Times New Roman" w:eastAsia="Times New Roman" w:hAnsi="Times New Roman" w:cs="Times New Roman"/>
                <w:sz w:val="24"/>
                <w:szCs w:val="24"/>
                <w:vertAlign w:val="superscript"/>
              </w:rPr>
              <w:t xml:space="preserve"> a</w:t>
            </w:r>
          </w:p>
        </w:tc>
        <w:tc>
          <w:tcPr>
            <w:tcW w:w="2898" w:type="dxa"/>
            <w:vAlign w:val="center"/>
          </w:tcPr>
          <w:p w14:paraId="73BD8499"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3.73 ± 0.16</w:t>
            </w:r>
            <w:r w:rsidRPr="00927915">
              <w:rPr>
                <w:rFonts w:ascii="Times New Roman" w:eastAsia="Times New Roman" w:hAnsi="Times New Roman" w:cs="Times New Roman"/>
                <w:sz w:val="24"/>
                <w:szCs w:val="24"/>
                <w:vertAlign w:val="superscript"/>
              </w:rPr>
              <w:t xml:space="preserve"> b</w:t>
            </w:r>
          </w:p>
        </w:tc>
        <w:tc>
          <w:tcPr>
            <w:tcW w:w="2630" w:type="dxa"/>
            <w:vAlign w:val="center"/>
          </w:tcPr>
          <w:p w14:paraId="4894DAD1"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5.10 ± 0.3</w:t>
            </w:r>
            <w:r w:rsidRPr="00927915">
              <w:rPr>
                <w:rFonts w:ascii="Times New Roman" w:eastAsia="Times New Roman" w:hAnsi="Times New Roman" w:cs="Times New Roman"/>
                <w:sz w:val="24"/>
                <w:szCs w:val="24"/>
                <w:vertAlign w:val="superscript"/>
              </w:rPr>
              <w:t xml:space="preserve"> a</w:t>
            </w:r>
          </w:p>
        </w:tc>
        <w:tc>
          <w:tcPr>
            <w:tcW w:w="1701" w:type="dxa"/>
            <w:vAlign w:val="center"/>
          </w:tcPr>
          <w:p w14:paraId="119B59DF"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0.0069*</w:t>
            </w:r>
          </w:p>
        </w:tc>
      </w:tr>
      <w:tr w:rsidR="00D70824" w14:paraId="446F3A7C" w14:textId="77777777">
        <w:trPr>
          <w:trHeight w:val="413"/>
        </w:trPr>
        <w:tc>
          <w:tcPr>
            <w:tcW w:w="3118" w:type="dxa"/>
            <w:tcBorders>
              <w:top w:val="single" w:sz="4" w:space="0" w:color="7F7F7F"/>
              <w:bottom w:val="single" w:sz="4" w:space="0" w:color="7F7F7F"/>
            </w:tcBorders>
            <w:vAlign w:val="center"/>
          </w:tcPr>
          <w:p w14:paraId="3FF95D73"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Lung</w:t>
            </w:r>
          </w:p>
        </w:tc>
        <w:tc>
          <w:tcPr>
            <w:tcW w:w="2126" w:type="dxa"/>
            <w:tcBorders>
              <w:top w:val="single" w:sz="4" w:space="0" w:color="7F7F7F"/>
              <w:bottom w:val="single" w:sz="4" w:space="0" w:color="7F7F7F"/>
            </w:tcBorders>
            <w:vAlign w:val="center"/>
          </w:tcPr>
          <w:p w14:paraId="5C82E5E2"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0.60 ± 0.08</w:t>
            </w:r>
          </w:p>
        </w:tc>
        <w:tc>
          <w:tcPr>
            <w:tcW w:w="2898" w:type="dxa"/>
            <w:tcBorders>
              <w:top w:val="single" w:sz="4" w:space="0" w:color="7F7F7F"/>
              <w:bottom w:val="single" w:sz="4" w:space="0" w:color="7F7F7F"/>
            </w:tcBorders>
            <w:vAlign w:val="center"/>
          </w:tcPr>
          <w:p w14:paraId="24B9F887"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0.57 ± 0.05</w:t>
            </w:r>
          </w:p>
        </w:tc>
        <w:tc>
          <w:tcPr>
            <w:tcW w:w="2630" w:type="dxa"/>
            <w:tcBorders>
              <w:top w:val="single" w:sz="4" w:space="0" w:color="7F7F7F"/>
              <w:bottom w:val="single" w:sz="4" w:space="0" w:color="7F7F7F"/>
            </w:tcBorders>
            <w:vAlign w:val="center"/>
          </w:tcPr>
          <w:p w14:paraId="0D801C54"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0.67 ± 0.04</w:t>
            </w:r>
          </w:p>
        </w:tc>
        <w:tc>
          <w:tcPr>
            <w:tcW w:w="1701" w:type="dxa"/>
            <w:tcBorders>
              <w:top w:val="single" w:sz="4" w:space="0" w:color="7F7F7F"/>
              <w:bottom w:val="single" w:sz="4" w:space="0" w:color="7F7F7F"/>
            </w:tcBorders>
            <w:vAlign w:val="center"/>
          </w:tcPr>
          <w:p w14:paraId="06CB685C"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0.4382</w:t>
            </w:r>
          </w:p>
        </w:tc>
      </w:tr>
      <w:tr w:rsidR="00D70824" w14:paraId="087DEDA5" w14:textId="77777777">
        <w:trPr>
          <w:trHeight w:val="398"/>
        </w:trPr>
        <w:tc>
          <w:tcPr>
            <w:tcW w:w="3118" w:type="dxa"/>
            <w:tcBorders>
              <w:top w:val="single" w:sz="4" w:space="0" w:color="7F7F7F"/>
              <w:bottom w:val="single" w:sz="4" w:space="0" w:color="7F7F7F"/>
            </w:tcBorders>
            <w:vAlign w:val="center"/>
          </w:tcPr>
          <w:p w14:paraId="7A236F33"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Spleen</w:t>
            </w:r>
          </w:p>
        </w:tc>
        <w:tc>
          <w:tcPr>
            <w:tcW w:w="2126" w:type="dxa"/>
            <w:tcBorders>
              <w:top w:val="single" w:sz="4" w:space="0" w:color="7F7F7F"/>
              <w:bottom w:val="single" w:sz="4" w:space="0" w:color="7F7F7F"/>
            </w:tcBorders>
            <w:vAlign w:val="center"/>
          </w:tcPr>
          <w:p w14:paraId="3C6DF4A8"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0.39 ± 0.03</w:t>
            </w:r>
          </w:p>
        </w:tc>
        <w:tc>
          <w:tcPr>
            <w:tcW w:w="2898" w:type="dxa"/>
            <w:tcBorders>
              <w:top w:val="single" w:sz="4" w:space="0" w:color="7F7F7F"/>
              <w:bottom w:val="single" w:sz="4" w:space="0" w:color="7F7F7F"/>
            </w:tcBorders>
            <w:vAlign w:val="center"/>
          </w:tcPr>
          <w:p w14:paraId="614FB80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0.35 ± 0.03</w:t>
            </w:r>
          </w:p>
        </w:tc>
        <w:tc>
          <w:tcPr>
            <w:tcW w:w="2630" w:type="dxa"/>
            <w:tcBorders>
              <w:top w:val="single" w:sz="4" w:space="0" w:color="7F7F7F"/>
              <w:bottom w:val="single" w:sz="4" w:space="0" w:color="7F7F7F"/>
            </w:tcBorders>
            <w:vAlign w:val="center"/>
          </w:tcPr>
          <w:p w14:paraId="4A54E7EC"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0.37 ± 0.02</w:t>
            </w:r>
          </w:p>
        </w:tc>
        <w:tc>
          <w:tcPr>
            <w:tcW w:w="1701" w:type="dxa"/>
            <w:tcBorders>
              <w:top w:val="single" w:sz="4" w:space="0" w:color="7F7F7F"/>
              <w:bottom w:val="single" w:sz="4" w:space="0" w:color="7F7F7F"/>
            </w:tcBorders>
            <w:vAlign w:val="center"/>
          </w:tcPr>
          <w:p w14:paraId="365225B9"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0.3732</w:t>
            </w:r>
          </w:p>
        </w:tc>
      </w:tr>
      <w:tr w:rsidR="00D70824" w14:paraId="3AB408FF" w14:textId="77777777">
        <w:trPr>
          <w:trHeight w:val="334"/>
        </w:trPr>
        <w:tc>
          <w:tcPr>
            <w:tcW w:w="3118" w:type="dxa"/>
            <w:vAlign w:val="center"/>
          </w:tcPr>
          <w:p w14:paraId="621298B3"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Intestine</w:t>
            </w:r>
          </w:p>
        </w:tc>
        <w:tc>
          <w:tcPr>
            <w:tcW w:w="2126" w:type="dxa"/>
            <w:vAlign w:val="center"/>
          </w:tcPr>
          <w:p w14:paraId="7E78E8FC"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5.03 ± 0.34</w:t>
            </w:r>
          </w:p>
        </w:tc>
        <w:tc>
          <w:tcPr>
            <w:tcW w:w="2898" w:type="dxa"/>
            <w:vAlign w:val="center"/>
          </w:tcPr>
          <w:p w14:paraId="7F8F0334"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4.91 ± 0.27</w:t>
            </w:r>
          </w:p>
        </w:tc>
        <w:tc>
          <w:tcPr>
            <w:tcW w:w="2630" w:type="dxa"/>
            <w:vAlign w:val="center"/>
          </w:tcPr>
          <w:p w14:paraId="2C7AE53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4.65 ± 0.36</w:t>
            </w:r>
          </w:p>
        </w:tc>
        <w:tc>
          <w:tcPr>
            <w:tcW w:w="1701" w:type="dxa"/>
            <w:vAlign w:val="center"/>
          </w:tcPr>
          <w:p w14:paraId="01B93F0A"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0.6967</w:t>
            </w:r>
          </w:p>
        </w:tc>
      </w:tr>
      <w:tr w:rsidR="00D70824" w14:paraId="55A1BC1A" w14:textId="77777777">
        <w:trPr>
          <w:trHeight w:val="311"/>
        </w:trPr>
        <w:tc>
          <w:tcPr>
            <w:tcW w:w="3118" w:type="dxa"/>
            <w:tcBorders>
              <w:top w:val="single" w:sz="4" w:space="0" w:color="7F7F7F"/>
              <w:bottom w:val="single" w:sz="4" w:space="0" w:color="7F7F7F"/>
            </w:tcBorders>
            <w:vAlign w:val="center"/>
          </w:tcPr>
          <w:p w14:paraId="27C9F87B"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Testicle</w:t>
            </w:r>
          </w:p>
        </w:tc>
        <w:tc>
          <w:tcPr>
            <w:tcW w:w="2126" w:type="dxa"/>
            <w:tcBorders>
              <w:top w:val="single" w:sz="4" w:space="0" w:color="7F7F7F"/>
              <w:bottom w:val="single" w:sz="4" w:space="0" w:color="7F7F7F"/>
            </w:tcBorders>
            <w:vAlign w:val="center"/>
          </w:tcPr>
          <w:p w14:paraId="0A4E4900"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0.51 ± 0.06</w:t>
            </w:r>
          </w:p>
        </w:tc>
        <w:tc>
          <w:tcPr>
            <w:tcW w:w="2898" w:type="dxa"/>
            <w:tcBorders>
              <w:top w:val="single" w:sz="4" w:space="0" w:color="7F7F7F"/>
              <w:bottom w:val="single" w:sz="4" w:space="0" w:color="7F7F7F"/>
            </w:tcBorders>
            <w:vAlign w:val="center"/>
          </w:tcPr>
          <w:p w14:paraId="78532EF5"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0.44 ± 0.05</w:t>
            </w:r>
          </w:p>
        </w:tc>
        <w:tc>
          <w:tcPr>
            <w:tcW w:w="2630" w:type="dxa"/>
            <w:tcBorders>
              <w:top w:val="single" w:sz="4" w:space="0" w:color="7F7F7F"/>
              <w:bottom w:val="single" w:sz="4" w:space="0" w:color="7F7F7F"/>
            </w:tcBorders>
            <w:vAlign w:val="center"/>
          </w:tcPr>
          <w:p w14:paraId="2A3D626B"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0.40 ± 0.04</w:t>
            </w:r>
          </w:p>
        </w:tc>
        <w:tc>
          <w:tcPr>
            <w:tcW w:w="1701" w:type="dxa"/>
            <w:tcBorders>
              <w:top w:val="single" w:sz="4" w:space="0" w:color="7F7F7F"/>
              <w:bottom w:val="single" w:sz="4" w:space="0" w:color="7F7F7F"/>
            </w:tcBorders>
            <w:vAlign w:val="center"/>
          </w:tcPr>
          <w:p w14:paraId="0FF56EA0"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0.2947</w:t>
            </w:r>
          </w:p>
        </w:tc>
      </w:tr>
      <w:tr w:rsidR="00D70824" w14:paraId="4C0C94CB" w14:textId="77777777">
        <w:trPr>
          <w:trHeight w:val="401"/>
        </w:trPr>
        <w:tc>
          <w:tcPr>
            <w:tcW w:w="3118" w:type="dxa"/>
            <w:vAlign w:val="center"/>
          </w:tcPr>
          <w:p w14:paraId="38BA1254"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Brown adipose t</w:t>
            </w:r>
            <w:r w:rsidR="005E39C5" w:rsidRPr="00927915">
              <w:rPr>
                <w:rFonts w:ascii="Times New Roman" w:eastAsia="Times New Roman" w:hAnsi="Times New Roman" w:cs="Times New Roman"/>
                <w:sz w:val="24"/>
                <w:szCs w:val="24"/>
              </w:rPr>
              <w:t>issue</w:t>
            </w:r>
          </w:p>
        </w:tc>
        <w:tc>
          <w:tcPr>
            <w:tcW w:w="2126" w:type="dxa"/>
            <w:vAlign w:val="center"/>
          </w:tcPr>
          <w:p w14:paraId="555DF509"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0.84 ± 0.08</w:t>
            </w:r>
          </w:p>
        </w:tc>
        <w:tc>
          <w:tcPr>
            <w:tcW w:w="2898" w:type="dxa"/>
            <w:vAlign w:val="center"/>
          </w:tcPr>
          <w:p w14:paraId="108E2FEA"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1.06 ± 0.14</w:t>
            </w:r>
          </w:p>
        </w:tc>
        <w:tc>
          <w:tcPr>
            <w:tcW w:w="2630" w:type="dxa"/>
            <w:vAlign w:val="center"/>
          </w:tcPr>
          <w:p w14:paraId="39D0EF16"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0.93 ± 0.08</w:t>
            </w:r>
          </w:p>
        </w:tc>
        <w:tc>
          <w:tcPr>
            <w:tcW w:w="1701" w:type="dxa"/>
            <w:vAlign w:val="center"/>
          </w:tcPr>
          <w:p w14:paraId="1F70F8FC"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0.3051</w:t>
            </w:r>
          </w:p>
        </w:tc>
      </w:tr>
      <w:tr w:rsidR="00D70824" w14:paraId="689DABB9" w14:textId="77777777">
        <w:trPr>
          <w:trHeight w:val="422"/>
        </w:trPr>
        <w:tc>
          <w:tcPr>
            <w:tcW w:w="3118" w:type="dxa"/>
            <w:tcBorders>
              <w:top w:val="single" w:sz="4" w:space="0" w:color="7F7F7F"/>
              <w:bottom w:val="single" w:sz="4" w:space="0" w:color="7F7F7F"/>
            </w:tcBorders>
            <w:vAlign w:val="center"/>
          </w:tcPr>
          <w:p w14:paraId="19B500E5"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Epididymal adipose t</w:t>
            </w:r>
            <w:r w:rsidR="005E39C5" w:rsidRPr="00927915">
              <w:rPr>
                <w:rFonts w:ascii="Times New Roman" w:eastAsia="Times New Roman" w:hAnsi="Times New Roman" w:cs="Times New Roman"/>
                <w:sz w:val="24"/>
                <w:szCs w:val="24"/>
              </w:rPr>
              <w:t>issue</w:t>
            </w:r>
          </w:p>
        </w:tc>
        <w:tc>
          <w:tcPr>
            <w:tcW w:w="2126" w:type="dxa"/>
            <w:tcBorders>
              <w:top w:val="single" w:sz="4" w:space="0" w:color="7F7F7F"/>
              <w:bottom w:val="single" w:sz="4" w:space="0" w:color="7F7F7F"/>
            </w:tcBorders>
            <w:vAlign w:val="center"/>
          </w:tcPr>
          <w:p w14:paraId="4FF0202A"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4.27 ± </w:t>
            </w:r>
            <w:r w:rsidRPr="00927915">
              <w:rPr>
                <w:rFonts w:ascii="Times New Roman" w:eastAsia="Times New Roman" w:hAnsi="Times New Roman" w:cs="Times New Roman"/>
                <w:sz w:val="24"/>
                <w:szCs w:val="24"/>
              </w:rPr>
              <w:t>0.26</w:t>
            </w:r>
          </w:p>
        </w:tc>
        <w:tc>
          <w:tcPr>
            <w:tcW w:w="2898" w:type="dxa"/>
            <w:tcBorders>
              <w:top w:val="single" w:sz="4" w:space="0" w:color="7F7F7F"/>
              <w:bottom w:val="single" w:sz="4" w:space="0" w:color="7F7F7F"/>
            </w:tcBorders>
            <w:vAlign w:val="center"/>
          </w:tcPr>
          <w:p w14:paraId="4A0ED654"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4.36 ± 0.36</w:t>
            </w:r>
          </w:p>
        </w:tc>
        <w:tc>
          <w:tcPr>
            <w:tcW w:w="2630" w:type="dxa"/>
            <w:tcBorders>
              <w:top w:val="single" w:sz="4" w:space="0" w:color="7F7F7F"/>
              <w:bottom w:val="single" w:sz="4" w:space="0" w:color="7F7F7F"/>
            </w:tcBorders>
            <w:vAlign w:val="center"/>
          </w:tcPr>
          <w:p w14:paraId="36414403"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3.91 ± 0.23</w:t>
            </w:r>
          </w:p>
        </w:tc>
        <w:tc>
          <w:tcPr>
            <w:tcW w:w="1701" w:type="dxa"/>
            <w:tcBorders>
              <w:top w:val="single" w:sz="4" w:space="0" w:color="7F7F7F"/>
              <w:bottom w:val="single" w:sz="4" w:space="0" w:color="7F7F7F"/>
            </w:tcBorders>
            <w:vAlign w:val="center"/>
          </w:tcPr>
          <w:p w14:paraId="00DAE55C"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0.4947</w:t>
            </w:r>
          </w:p>
        </w:tc>
      </w:tr>
      <w:tr w:rsidR="00D70824" w14:paraId="25C8D6AF" w14:textId="77777777">
        <w:trPr>
          <w:trHeight w:val="472"/>
        </w:trPr>
        <w:tc>
          <w:tcPr>
            <w:tcW w:w="3118" w:type="dxa"/>
            <w:vAlign w:val="center"/>
          </w:tcPr>
          <w:p w14:paraId="03D1C5FB"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Perirenal a</w:t>
            </w:r>
            <w:r w:rsidR="005E39C5" w:rsidRPr="00927915">
              <w:rPr>
                <w:rFonts w:ascii="Times New Roman" w:eastAsia="Times New Roman" w:hAnsi="Times New Roman" w:cs="Times New Roman"/>
                <w:sz w:val="24"/>
                <w:szCs w:val="24"/>
              </w:rPr>
              <w:t>dipo</w:t>
            </w:r>
            <w:r w:rsidRPr="00927915">
              <w:rPr>
                <w:rFonts w:ascii="Times New Roman" w:eastAsia="Times New Roman" w:hAnsi="Times New Roman" w:cs="Times New Roman"/>
                <w:sz w:val="24"/>
                <w:szCs w:val="24"/>
              </w:rPr>
              <w:t>se t</w:t>
            </w:r>
            <w:r w:rsidR="005E39C5" w:rsidRPr="00927915">
              <w:rPr>
                <w:rFonts w:ascii="Times New Roman" w:eastAsia="Times New Roman" w:hAnsi="Times New Roman" w:cs="Times New Roman"/>
                <w:sz w:val="24"/>
                <w:szCs w:val="24"/>
              </w:rPr>
              <w:t>issue</w:t>
            </w:r>
          </w:p>
        </w:tc>
        <w:tc>
          <w:tcPr>
            <w:tcW w:w="2126" w:type="dxa"/>
            <w:vAlign w:val="center"/>
          </w:tcPr>
          <w:p w14:paraId="21A4F119"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2.42 ± 0.12</w:t>
            </w:r>
            <w:r w:rsidRPr="00927915">
              <w:rPr>
                <w:rFonts w:ascii="Times New Roman" w:eastAsia="Times New Roman" w:hAnsi="Times New Roman" w:cs="Times New Roman"/>
                <w:sz w:val="24"/>
                <w:szCs w:val="24"/>
                <w:vertAlign w:val="superscript"/>
              </w:rPr>
              <w:t xml:space="preserve"> a</w:t>
            </w:r>
          </w:p>
        </w:tc>
        <w:tc>
          <w:tcPr>
            <w:tcW w:w="2898" w:type="dxa"/>
            <w:vAlign w:val="center"/>
          </w:tcPr>
          <w:p w14:paraId="4FC2076D"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1.85 ± 0.14</w:t>
            </w:r>
            <w:r w:rsidRPr="00927915">
              <w:rPr>
                <w:rFonts w:ascii="Times New Roman" w:eastAsia="Times New Roman" w:hAnsi="Times New Roman" w:cs="Times New Roman"/>
                <w:sz w:val="24"/>
                <w:szCs w:val="24"/>
                <w:vertAlign w:val="superscript"/>
              </w:rPr>
              <w:t xml:space="preserve"> b</w:t>
            </w:r>
          </w:p>
        </w:tc>
        <w:tc>
          <w:tcPr>
            <w:tcW w:w="2630" w:type="dxa"/>
            <w:vAlign w:val="center"/>
          </w:tcPr>
          <w:p w14:paraId="61A3B50A"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2.28± 0.11</w:t>
            </w:r>
            <w:r w:rsidRPr="00927915">
              <w:rPr>
                <w:rFonts w:ascii="Times New Roman" w:eastAsia="Times New Roman" w:hAnsi="Times New Roman" w:cs="Times New Roman"/>
                <w:sz w:val="24"/>
                <w:szCs w:val="24"/>
                <w:vertAlign w:val="superscript"/>
              </w:rPr>
              <w:t xml:space="preserve"> a</w:t>
            </w:r>
          </w:p>
        </w:tc>
        <w:tc>
          <w:tcPr>
            <w:tcW w:w="1701" w:type="dxa"/>
            <w:vAlign w:val="center"/>
          </w:tcPr>
          <w:p w14:paraId="606535AB"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0.0107*</w:t>
            </w:r>
          </w:p>
        </w:tc>
      </w:tr>
      <w:tr w:rsidR="00D70824" w14:paraId="0220E36C" w14:textId="77777777">
        <w:trPr>
          <w:trHeight w:val="335"/>
        </w:trPr>
        <w:tc>
          <w:tcPr>
            <w:tcW w:w="3118" w:type="dxa"/>
            <w:tcBorders>
              <w:top w:val="single" w:sz="4" w:space="0" w:color="7F7F7F"/>
              <w:bottom w:val="single" w:sz="4" w:space="0" w:color="7F7F7F"/>
            </w:tcBorders>
            <w:vAlign w:val="center"/>
          </w:tcPr>
          <w:p w14:paraId="24E0D131"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Soleus</w:t>
            </w:r>
            <w:r w:rsidR="00796CFF" w:rsidRPr="00927915">
              <w:rPr>
                <w:rFonts w:ascii="Times New Roman" w:eastAsia="Times New Roman" w:hAnsi="Times New Roman" w:cs="Times New Roman"/>
                <w:sz w:val="24"/>
                <w:szCs w:val="24"/>
              </w:rPr>
              <w:t xml:space="preserve"> muscles</w:t>
            </w:r>
          </w:p>
        </w:tc>
        <w:tc>
          <w:tcPr>
            <w:tcW w:w="2126" w:type="dxa"/>
            <w:tcBorders>
              <w:top w:val="single" w:sz="4" w:space="0" w:color="7F7F7F"/>
              <w:bottom w:val="single" w:sz="4" w:space="0" w:color="7F7F7F"/>
            </w:tcBorders>
            <w:vAlign w:val="center"/>
          </w:tcPr>
          <w:p w14:paraId="5FC60191"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0.54 ± 0.03</w:t>
            </w:r>
          </w:p>
        </w:tc>
        <w:tc>
          <w:tcPr>
            <w:tcW w:w="2898" w:type="dxa"/>
            <w:tcBorders>
              <w:top w:val="single" w:sz="4" w:space="0" w:color="7F7F7F"/>
              <w:bottom w:val="single" w:sz="4" w:space="0" w:color="7F7F7F"/>
            </w:tcBorders>
            <w:vAlign w:val="center"/>
          </w:tcPr>
          <w:p w14:paraId="4A36FD6E"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0.52 ± 0.03</w:t>
            </w:r>
          </w:p>
        </w:tc>
        <w:tc>
          <w:tcPr>
            <w:tcW w:w="2630" w:type="dxa"/>
            <w:tcBorders>
              <w:top w:val="single" w:sz="4" w:space="0" w:color="7F7F7F"/>
              <w:bottom w:val="single" w:sz="4" w:space="0" w:color="7F7F7F"/>
            </w:tcBorders>
            <w:vAlign w:val="center"/>
          </w:tcPr>
          <w:p w14:paraId="3AA53210"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0.54 ± 0.03</w:t>
            </w:r>
          </w:p>
        </w:tc>
        <w:tc>
          <w:tcPr>
            <w:tcW w:w="1701" w:type="dxa"/>
            <w:tcBorders>
              <w:top w:val="single" w:sz="4" w:space="0" w:color="7F7F7F"/>
              <w:bottom w:val="single" w:sz="4" w:space="0" w:color="7F7F7F"/>
            </w:tcBorders>
            <w:vAlign w:val="center"/>
          </w:tcPr>
          <w:p w14:paraId="6E7E6621"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0.8506</w:t>
            </w:r>
          </w:p>
        </w:tc>
      </w:tr>
      <w:tr w:rsidR="00D70824" w14:paraId="74731306" w14:textId="77777777">
        <w:trPr>
          <w:trHeight w:val="442"/>
        </w:trPr>
        <w:tc>
          <w:tcPr>
            <w:tcW w:w="3118" w:type="dxa"/>
            <w:vAlign w:val="center"/>
          </w:tcPr>
          <w:p w14:paraId="42C15B35" w14:textId="77777777" w:rsidR="006A40FC" w:rsidRPr="00927915" w:rsidRDefault="00F95F28">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EDL</w:t>
            </w:r>
            <w:r w:rsidR="00796CFF" w:rsidRPr="00927915">
              <w:rPr>
                <w:rFonts w:ascii="Times New Roman" w:eastAsia="Times New Roman" w:hAnsi="Times New Roman" w:cs="Times New Roman"/>
                <w:sz w:val="24"/>
                <w:szCs w:val="24"/>
              </w:rPr>
              <w:t xml:space="preserve"> muscles</w:t>
            </w:r>
          </w:p>
        </w:tc>
        <w:tc>
          <w:tcPr>
            <w:tcW w:w="2126" w:type="dxa"/>
            <w:vAlign w:val="center"/>
          </w:tcPr>
          <w:p w14:paraId="0ED4EA35"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0.18 ± 0.02</w:t>
            </w:r>
          </w:p>
        </w:tc>
        <w:tc>
          <w:tcPr>
            <w:tcW w:w="2898" w:type="dxa"/>
            <w:vAlign w:val="center"/>
          </w:tcPr>
          <w:p w14:paraId="1929B797"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0.13 ± 0.01</w:t>
            </w:r>
          </w:p>
        </w:tc>
        <w:tc>
          <w:tcPr>
            <w:tcW w:w="2630" w:type="dxa"/>
            <w:vAlign w:val="center"/>
          </w:tcPr>
          <w:p w14:paraId="7074E881"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0.15 ± 0.01</w:t>
            </w:r>
          </w:p>
        </w:tc>
        <w:tc>
          <w:tcPr>
            <w:tcW w:w="1701" w:type="dxa"/>
            <w:vAlign w:val="center"/>
          </w:tcPr>
          <w:p w14:paraId="50089619" w14:textId="77777777" w:rsidR="006A40FC" w:rsidRPr="00927915" w:rsidRDefault="00F95F2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0.2428</w:t>
            </w:r>
          </w:p>
        </w:tc>
      </w:tr>
    </w:tbl>
    <w:p w14:paraId="7DADB421" w14:textId="77777777" w:rsidR="006A40FC" w:rsidRPr="00927915" w:rsidRDefault="006A40FC">
      <w:pPr>
        <w:tabs>
          <w:tab w:val="left" w:pos="2929"/>
        </w:tabs>
      </w:pPr>
    </w:p>
    <w:p w14:paraId="0BE44602" w14:textId="77777777" w:rsidR="006A40FC" w:rsidRPr="00927915" w:rsidRDefault="006A40FC">
      <w:pPr>
        <w:tabs>
          <w:tab w:val="left" w:pos="2929"/>
        </w:tabs>
      </w:pPr>
    </w:p>
    <w:p w14:paraId="4F5E837B" w14:textId="77777777" w:rsidR="006A40FC" w:rsidRPr="00927915" w:rsidRDefault="006A40FC">
      <w:pPr>
        <w:tabs>
          <w:tab w:val="left" w:pos="2929"/>
        </w:tabs>
        <w:rPr>
          <w:rFonts w:ascii="Times New Roman" w:eastAsia="Times New Roman" w:hAnsi="Times New Roman" w:cs="Times New Roman"/>
          <w:sz w:val="18"/>
          <w:szCs w:val="18"/>
        </w:rPr>
      </w:pPr>
    </w:p>
    <w:p w14:paraId="77E6EDD5" w14:textId="77777777" w:rsidR="006A40FC" w:rsidRPr="00927915" w:rsidRDefault="006A40FC">
      <w:pPr>
        <w:tabs>
          <w:tab w:val="left" w:pos="2929"/>
        </w:tabs>
        <w:rPr>
          <w:rFonts w:ascii="Times New Roman" w:eastAsia="Times New Roman" w:hAnsi="Times New Roman" w:cs="Times New Roman"/>
          <w:sz w:val="18"/>
          <w:szCs w:val="18"/>
        </w:rPr>
      </w:pPr>
    </w:p>
    <w:p w14:paraId="713EF0A6" w14:textId="77777777" w:rsidR="006A40FC" w:rsidRPr="00927915" w:rsidRDefault="006A40FC">
      <w:pPr>
        <w:tabs>
          <w:tab w:val="left" w:pos="2929"/>
        </w:tabs>
        <w:rPr>
          <w:rFonts w:ascii="Times New Roman" w:eastAsia="Times New Roman" w:hAnsi="Times New Roman" w:cs="Times New Roman"/>
          <w:sz w:val="18"/>
          <w:szCs w:val="18"/>
        </w:rPr>
      </w:pPr>
    </w:p>
    <w:p w14:paraId="16A2FC47" w14:textId="77777777" w:rsidR="006A40FC" w:rsidRPr="00927915" w:rsidRDefault="006A40FC">
      <w:pPr>
        <w:tabs>
          <w:tab w:val="left" w:pos="2929"/>
        </w:tabs>
        <w:rPr>
          <w:rFonts w:ascii="Times New Roman" w:eastAsia="Times New Roman" w:hAnsi="Times New Roman" w:cs="Times New Roman"/>
          <w:sz w:val="18"/>
          <w:szCs w:val="18"/>
        </w:rPr>
      </w:pPr>
    </w:p>
    <w:p w14:paraId="05B4FFE5" w14:textId="77777777" w:rsidR="006A40FC" w:rsidRPr="00927915" w:rsidRDefault="006A40FC">
      <w:pPr>
        <w:tabs>
          <w:tab w:val="left" w:pos="2929"/>
        </w:tabs>
        <w:rPr>
          <w:rFonts w:ascii="Times New Roman" w:eastAsia="Times New Roman" w:hAnsi="Times New Roman" w:cs="Times New Roman"/>
          <w:sz w:val="18"/>
          <w:szCs w:val="18"/>
        </w:rPr>
      </w:pPr>
    </w:p>
    <w:p w14:paraId="0BC9AE57" w14:textId="77777777" w:rsidR="006A40FC" w:rsidRPr="00927915" w:rsidRDefault="006A40FC">
      <w:pPr>
        <w:tabs>
          <w:tab w:val="left" w:pos="2929"/>
        </w:tabs>
        <w:rPr>
          <w:rFonts w:ascii="Times New Roman" w:eastAsia="Times New Roman" w:hAnsi="Times New Roman" w:cs="Times New Roman"/>
          <w:sz w:val="18"/>
          <w:szCs w:val="18"/>
        </w:rPr>
      </w:pPr>
    </w:p>
    <w:p w14:paraId="5331F148" w14:textId="77777777" w:rsidR="006A40FC" w:rsidRPr="00927915" w:rsidRDefault="006A40FC">
      <w:pPr>
        <w:tabs>
          <w:tab w:val="left" w:pos="2929"/>
        </w:tabs>
        <w:rPr>
          <w:rFonts w:ascii="Times New Roman" w:eastAsia="Times New Roman" w:hAnsi="Times New Roman" w:cs="Times New Roman"/>
          <w:sz w:val="18"/>
          <w:szCs w:val="18"/>
        </w:rPr>
      </w:pPr>
    </w:p>
    <w:p w14:paraId="3E024168" w14:textId="77777777" w:rsidR="006A40FC" w:rsidRPr="00927915" w:rsidRDefault="006A40FC">
      <w:pPr>
        <w:tabs>
          <w:tab w:val="left" w:pos="2929"/>
        </w:tabs>
        <w:rPr>
          <w:rFonts w:ascii="Times New Roman" w:eastAsia="Times New Roman" w:hAnsi="Times New Roman" w:cs="Times New Roman"/>
          <w:sz w:val="18"/>
          <w:szCs w:val="18"/>
        </w:rPr>
      </w:pPr>
    </w:p>
    <w:p w14:paraId="7793FBFC" w14:textId="77777777" w:rsidR="006A40FC" w:rsidRPr="00927915" w:rsidRDefault="006A40FC">
      <w:pPr>
        <w:tabs>
          <w:tab w:val="left" w:pos="2929"/>
        </w:tabs>
        <w:rPr>
          <w:rFonts w:ascii="Times New Roman" w:eastAsia="Times New Roman" w:hAnsi="Times New Roman" w:cs="Times New Roman"/>
          <w:sz w:val="18"/>
          <w:szCs w:val="18"/>
        </w:rPr>
      </w:pPr>
    </w:p>
    <w:p w14:paraId="0336DE26" w14:textId="77777777" w:rsidR="006A40FC" w:rsidRPr="00927915" w:rsidRDefault="006A40FC">
      <w:pPr>
        <w:tabs>
          <w:tab w:val="left" w:pos="2929"/>
        </w:tabs>
        <w:rPr>
          <w:rFonts w:ascii="Times New Roman" w:eastAsia="Times New Roman" w:hAnsi="Times New Roman" w:cs="Times New Roman"/>
          <w:sz w:val="18"/>
          <w:szCs w:val="18"/>
        </w:rPr>
      </w:pPr>
    </w:p>
    <w:p w14:paraId="6AF504FC" w14:textId="77777777" w:rsidR="006A40FC" w:rsidRPr="00927915" w:rsidRDefault="006A40FC">
      <w:pPr>
        <w:tabs>
          <w:tab w:val="left" w:pos="2929"/>
        </w:tabs>
        <w:rPr>
          <w:rFonts w:ascii="Times New Roman" w:eastAsia="Times New Roman" w:hAnsi="Times New Roman" w:cs="Times New Roman"/>
          <w:sz w:val="18"/>
          <w:szCs w:val="18"/>
        </w:rPr>
      </w:pPr>
    </w:p>
    <w:p w14:paraId="54CD25B1" w14:textId="77777777" w:rsidR="006A40FC" w:rsidRPr="00927915" w:rsidRDefault="006A40FC">
      <w:pPr>
        <w:tabs>
          <w:tab w:val="left" w:pos="2929"/>
        </w:tabs>
        <w:rPr>
          <w:rFonts w:ascii="Times New Roman" w:eastAsia="Times New Roman" w:hAnsi="Times New Roman" w:cs="Times New Roman"/>
          <w:sz w:val="18"/>
          <w:szCs w:val="18"/>
        </w:rPr>
      </w:pPr>
    </w:p>
    <w:p w14:paraId="5D2BE8AA" w14:textId="77777777" w:rsidR="006A40FC" w:rsidRPr="00927915" w:rsidRDefault="006A40FC">
      <w:pPr>
        <w:tabs>
          <w:tab w:val="left" w:pos="2929"/>
        </w:tabs>
        <w:ind w:left="567" w:right="568"/>
        <w:jc w:val="both"/>
        <w:rPr>
          <w:rFonts w:ascii="Times New Roman" w:eastAsia="Times New Roman" w:hAnsi="Times New Roman" w:cs="Times New Roman"/>
          <w:sz w:val="20"/>
          <w:szCs w:val="20"/>
        </w:rPr>
      </w:pPr>
    </w:p>
    <w:p w14:paraId="7889BB23" w14:textId="77777777" w:rsidR="00796CFF" w:rsidRPr="00927915" w:rsidRDefault="00F95F28" w:rsidP="00796CFF">
      <w:pPr>
        <w:tabs>
          <w:tab w:val="left" w:pos="2929"/>
          <w:tab w:val="left" w:pos="12616"/>
        </w:tabs>
        <w:ind w:left="709" w:right="993"/>
        <w:jc w:val="both"/>
        <w:rPr>
          <w:rFonts w:ascii="Times New Roman" w:eastAsia="Times New Roman" w:hAnsi="Times New Roman" w:cs="Times New Roman"/>
          <w:sz w:val="20"/>
          <w:szCs w:val="20"/>
        </w:rPr>
      </w:pPr>
      <w:r w:rsidRPr="00927915">
        <w:rPr>
          <w:rFonts w:ascii="Times New Roman" w:eastAsia="Times New Roman" w:hAnsi="Times New Roman" w:cs="Times New Roman"/>
        </w:rPr>
        <w:t xml:space="preserve">Results are presented as mean and standard error of the mean </w:t>
      </w:r>
      <w:r w:rsidRPr="00927915">
        <w:rPr>
          <w:rFonts w:ascii="Times New Roman" w:eastAsia="Times New Roman" w:hAnsi="Times New Roman" w:cs="Times New Roman"/>
          <w:sz w:val="20"/>
          <w:szCs w:val="20"/>
        </w:rPr>
        <w:t>of the number of animals indicated in parentheses. Means with different superscript letters are significantly different by one-way ANOVA followed by Tukey's test.</w:t>
      </w:r>
    </w:p>
    <w:p w14:paraId="56DD37CE" w14:textId="77777777" w:rsidR="006A40FC" w:rsidRPr="00927915" w:rsidRDefault="006A40FC">
      <w:pPr>
        <w:spacing w:line="360" w:lineRule="auto"/>
        <w:jc w:val="both"/>
        <w:rPr>
          <w:rFonts w:ascii="Times New Roman" w:eastAsia="Times New Roman" w:hAnsi="Times New Roman" w:cs="Times New Roman"/>
          <w:sz w:val="18"/>
          <w:szCs w:val="18"/>
        </w:rPr>
      </w:pPr>
    </w:p>
    <w:p w14:paraId="7FB2D10B" w14:textId="77777777" w:rsidR="00A8304C" w:rsidRPr="00927915" w:rsidRDefault="00A8304C">
      <w:pPr>
        <w:spacing w:line="360" w:lineRule="auto"/>
        <w:jc w:val="both"/>
        <w:rPr>
          <w:rFonts w:ascii="Times New Roman" w:eastAsia="Times New Roman" w:hAnsi="Times New Roman" w:cs="Times New Roman"/>
          <w:sz w:val="18"/>
          <w:szCs w:val="18"/>
        </w:rPr>
      </w:pPr>
    </w:p>
    <w:p w14:paraId="0A0A92D4" w14:textId="77777777" w:rsidR="006A40FC" w:rsidRPr="00927915" w:rsidRDefault="00F95F28">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lastRenderedPageBreak/>
        <w:t>Table 4:</w:t>
      </w:r>
      <w:r w:rsidRPr="00927915">
        <w:rPr>
          <w:rFonts w:ascii="Times New Roman" w:eastAsia="Times New Roman" w:hAnsi="Times New Roman" w:cs="Times New Roman"/>
          <w:sz w:val="24"/>
          <w:szCs w:val="24"/>
        </w:rPr>
        <w:t xml:space="preserve"> </w:t>
      </w:r>
      <w:r w:rsidR="00992F1A" w:rsidRPr="00927915">
        <w:rPr>
          <w:rFonts w:ascii="Times New Roman" w:eastAsia="Times New Roman" w:hAnsi="Times New Roman" w:cs="Times New Roman"/>
          <w:sz w:val="24"/>
          <w:szCs w:val="24"/>
        </w:rPr>
        <w:t xml:space="preserve">Biochemical analyses performed on serum or plasma of the animals in the Control, Vitamin A Deficient, and </w:t>
      </w:r>
      <w:r w:rsidR="00992F1A" w:rsidRPr="00927915">
        <w:rPr>
          <w:rFonts w:ascii="Times New Roman" w:eastAsia="Times New Roman" w:hAnsi="Times New Roman" w:cs="Times New Roman"/>
          <w:i/>
          <w:sz w:val="24"/>
          <w:szCs w:val="24"/>
        </w:rPr>
        <w:t>Attalea phalerata</w:t>
      </w:r>
      <w:r w:rsidR="00992F1A" w:rsidRPr="00927915">
        <w:rPr>
          <w:rFonts w:ascii="Times New Roman" w:eastAsia="Times New Roman" w:hAnsi="Times New Roman" w:cs="Times New Roman"/>
          <w:sz w:val="24"/>
          <w:szCs w:val="24"/>
        </w:rPr>
        <w:t xml:space="preserve"> oil groups after 45 days of treatment.</w:t>
      </w:r>
    </w:p>
    <w:tbl>
      <w:tblPr>
        <w:tblStyle w:val="a7"/>
        <w:tblpPr w:leftFromText="141" w:rightFromText="141" w:vertAnchor="page" w:horzAnchor="margin" w:tblpY="2695"/>
        <w:tblW w:w="13608" w:type="dxa"/>
        <w:tblInd w:w="0" w:type="dxa"/>
        <w:tblBorders>
          <w:top w:val="single" w:sz="4" w:space="0" w:color="7F7F7F"/>
          <w:bottom w:val="single" w:sz="4" w:space="0" w:color="7F7F7F"/>
        </w:tblBorders>
        <w:tblLayout w:type="fixed"/>
        <w:tblLook w:val="0400" w:firstRow="0" w:lastRow="0" w:firstColumn="0" w:lastColumn="0" w:noHBand="0" w:noVBand="1"/>
      </w:tblPr>
      <w:tblGrid>
        <w:gridCol w:w="4395"/>
        <w:gridCol w:w="1984"/>
        <w:gridCol w:w="3118"/>
        <w:gridCol w:w="2410"/>
        <w:gridCol w:w="1701"/>
      </w:tblGrid>
      <w:tr w:rsidR="00D70824" w14:paraId="6E8E49CB" w14:textId="77777777" w:rsidTr="00124A56">
        <w:trPr>
          <w:trHeight w:val="505"/>
        </w:trPr>
        <w:tc>
          <w:tcPr>
            <w:tcW w:w="4395" w:type="dxa"/>
            <w:tcBorders>
              <w:bottom w:val="single" w:sz="4" w:space="0" w:color="7F7F7F"/>
            </w:tcBorders>
            <w:vAlign w:val="center"/>
          </w:tcPr>
          <w:p w14:paraId="52AF7DFF" w14:textId="77777777" w:rsidR="00124A56" w:rsidRPr="00927915" w:rsidRDefault="00F95F28" w:rsidP="00D14250">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Biochemical analysis</w:t>
            </w:r>
          </w:p>
        </w:tc>
        <w:tc>
          <w:tcPr>
            <w:tcW w:w="1984" w:type="dxa"/>
            <w:tcBorders>
              <w:bottom w:val="single" w:sz="4" w:space="0" w:color="7F7F7F"/>
            </w:tcBorders>
            <w:vAlign w:val="center"/>
          </w:tcPr>
          <w:p w14:paraId="31817535"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Control</w:t>
            </w:r>
          </w:p>
          <w:p w14:paraId="4E7A365D" w14:textId="77777777" w:rsidR="005E6DAE"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w:t>
            </w:r>
          </w:p>
        </w:tc>
        <w:tc>
          <w:tcPr>
            <w:tcW w:w="3118" w:type="dxa"/>
            <w:tcBorders>
              <w:bottom w:val="single" w:sz="4" w:space="0" w:color="7F7F7F"/>
            </w:tcBorders>
            <w:vAlign w:val="center"/>
          </w:tcPr>
          <w:p w14:paraId="41846BE5"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Vit. A deficiency</w:t>
            </w:r>
          </w:p>
          <w:p w14:paraId="102C0F6E" w14:textId="77777777" w:rsidR="005E6DAE"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w:t>
            </w:r>
          </w:p>
        </w:tc>
        <w:tc>
          <w:tcPr>
            <w:tcW w:w="2410" w:type="dxa"/>
            <w:tcBorders>
              <w:bottom w:val="single" w:sz="4" w:space="0" w:color="7F7F7F"/>
            </w:tcBorders>
            <w:vAlign w:val="center"/>
          </w:tcPr>
          <w:p w14:paraId="05589D45"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w:t>
            </w:r>
          </w:p>
          <w:p w14:paraId="33961D49" w14:textId="77777777" w:rsidR="005E6DAE"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(11)</w:t>
            </w:r>
          </w:p>
        </w:tc>
        <w:tc>
          <w:tcPr>
            <w:tcW w:w="1701" w:type="dxa"/>
            <w:tcBorders>
              <w:bottom w:val="single" w:sz="4" w:space="0" w:color="7F7F7F"/>
            </w:tcBorders>
            <w:vAlign w:val="center"/>
          </w:tcPr>
          <w:p w14:paraId="20EE3C5C"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i/>
                <w:sz w:val="24"/>
                <w:szCs w:val="24"/>
              </w:rPr>
              <w:t>P</w:t>
            </w:r>
            <w:r w:rsidRPr="00927915">
              <w:rPr>
                <w:rFonts w:ascii="Times New Roman" w:eastAsia="Times New Roman" w:hAnsi="Times New Roman" w:cs="Times New Roman"/>
                <w:sz w:val="24"/>
                <w:szCs w:val="24"/>
              </w:rPr>
              <w:t xml:space="preserve"> value</w:t>
            </w:r>
          </w:p>
        </w:tc>
      </w:tr>
      <w:tr w:rsidR="00D70824" w14:paraId="0CABB74D" w14:textId="77777777" w:rsidTr="00124A56">
        <w:trPr>
          <w:trHeight w:val="321"/>
        </w:trPr>
        <w:tc>
          <w:tcPr>
            <w:tcW w:w="4395" w:type="dxa"/>
            <w:tcBorders>
              <w:top w:val="single" w:sz="4" w:space="0" w:color="7F7F7F"/>
              <w:bottom w:val="single" w:sz="4" w:space="0" w:color="7F7F7F"/>
            </w:tcBorders>
            <w:vAlign w:val="center"/>
          </w:tcPr>
          <w:p w14:paraId="63B1EFAC"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Capillary glucose (via caudal) (mg/dL)</w:t>
            </w:r>
          </w:p>
        </w:tc>
        <w:tc>
          <w:tcPr>
            <w:tcW w:w="1984" w:type="dxa"/>
            <w:tcBorders>
              <w:top w:val="single" w:sz="4" w:space="0" w:color="7F7F7F"/>
              <w:bottom w:val="single" w:sz="4" w:space="0" w:color="7F7F7F"/>
            </w:tcBorders>
            <w:vAlign w:val="center"/>
          </w:tcPr>
          <w:p w14:paraId="3C448E4C" w14:textId="77777777" w:rsidR="00124A56" w:rsidRPr="00927915" w:rsidRDefault="00F95F28" w:rsidP="00124A56">
            <w:pPr>
              <w:spacing w:after="0"/>
              <w:jc w:val="center"/>
              <w:rPr>
                <w:rFonts w:ascii="Times New Roman" w:eastAsia="Times New Roman" w:hAnsi="Times New Roman" w:cs="Times New Roman"/>
                <w:sz w:val="24"/>
                <w:szCs w:val="24"/>
                <w:vertAlign w:val="superscript"/>
              </w:rPr>
            </w:pPr>
            <w:r w:rsidRPr="00927915">
              <w:rPr>
                <w:rFonts w:ascii="Times New Roman" w:eastAsia="Times New Roman" w:hAnsi="Times New Roman" w:cs="Times New Roman"/>
                <w:sz w:val="24"/>
                <w:szCs w:val="24"/>
              </w:rPr>
              <w:t>160 ± 6.0</w:t>
            </w:r>
          </w:p>
        </w:tc>
        <w:tc>
          <w:tcPr>
            <w:tcW w:w="3118" w:type="dxa"/>
            <w:tcBorders>
              <w:top w:val="single" w:sz="4" w:space="0" w:color="7F7F7F"/>
              <w:bottom w:val="single" w:sz="4" w:space="0" w:color="7F7F7F"/>
            </w:tcBorders>
            <w:vAlign w:val="center"/>
          </w:tcPr>
          <w:p w14:paraId="2D13DA45" w14:textId="77777777" w:rsidR="00124A56" w:rsidRPr="00927915" w:rsidRDefault="00F95F28" w:rsidP="00124A56">
            <w:pPr>
              <w:spacing w:after="0"/>
              <w:jc w:val="center"/>
              <w:rPr>
                <w:rFonts w:ascii="Times New Roman" w:eastAsia="Times New Roman" w:hAnsi="Times New Roman" w:cs="Times New Roman"/>
                <w:sz w:val="24"/>
                <w:szCs w:val="24"/>
                <w:vertAlign w:val="superscript"/>
              </w:rPr>
            </w:pPr>
            <w:r w:rsidRPr="00927915">
              <w:rPr>
                <w:rFonts w:ascii="Times New Roman" w:eastAsia="Times New Roman" w:hAnsi="Times New Roman" w:cs="Times New Roman"/>
                <w:sz w:val="24"/>
                <w:szCs w:val="24"/>
              </w:rPr>
              <w:t>152 ± 8.0</w:t>
            </w:r>
          </w:p>
        </w:tc>
        <w:tc>
          <w:tcPr>
            <w:tcW w:w="2410" w:type="dxa"/>
            <w:tcBorders>
              <w:top w:val="single" w:sz="4" w:space="0" w:color="7F7F7F"/>
              <w:bottom w:val="single" w:sz="4" w:space="0" w:color="7F7F7F"/>
            </w:tcBorders>
            <w:vAlign w:val="center"/>
          </w:tcPr>
          <w:p w14:paraId="6DA948AE" w14:textId="77777777" w:rsidR="00124A56" w:rsidRPr="00927915" w:rsidRDefault="00F95F28" w:rsidP="00124A56">
            <w:pPr>
              <w:spacing w:after="0"/>
              <w:jc w:val="center"/>
              <w:rPr>
                <w:rFonts w:ascii="Times New Roman" w:eastAsia="Times New Roman" w:hAnsi="Times New Roman" w:cs="Times New Roman"/>
                <w:sz w:val="24"/>
                <w:szCs w:val="24"/>
                <w:vertAlign w:val="superscript"/>
              </w:rPr>
            </w:pPr>
            <w:r w:rsidRPr="00927915">
              <w:rPr>
                <w:rFonts w:ascii="Times New Roman" w:eastAsia="Times New Roman" w:hAnsi="Times New Roman" w:cs="Times New Roman"/>
                <w:sz w:val="24"/>
                <w:szCs w:val="24"/>
              </w:rPr>
              <w:t>164± 5.7</w:t>
            </w:r>
          </w:p>
        </w:tc>
        <w:tc>
          <w:tcPr>
            <w:tcW w:w="1701" w:type="dxa"/>
            <w:tcBorders>
              <w:top w:val="single" w:sz="4" w:space="0" w:color="7F7F7F"/>
              <w:bottom w:val="single" w:sz="4" w:space="0" w:color="7F7F7F"/>
            </w:tcBorders>
            <w:vAlign w:val="center"/>
          </w:tcPr>
          <w:p w14:paraId="12561D38"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0.4105</w:t>
            </w:r>
          </w:p>
        </w:tc>
      </w:tr>
      <w:tr w:rsidR="00D70824" w14:paraId="7CAE6B08" w14:textId="77777777" w:rsidTr="00124A56">
        <w:trPr>
          <w:trHeight w:val="282"/>
        </w:trPr>
        <w:tc>
          <w:tcPr>
            <w:tcW w:w="4395" w:type="dxa"/>
            <w:vAlign w:val="center"/>
          </w:tcPr>
          <w:p w14:paraId="32A3C32A"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Basal glucose (mg/dL)</w:t>
            </w:r>
          </w:p>
        </w:tc>
        <w:tc>
          <w:tcPr>
            <w:tcW w:w="1984" w:type="dxa"/>
            <w:vAlign w:val="center"/>
          </w:tcPr>
          <w:p w14:paraId="4F82F2F4"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107 ± 0.83</w:t>
            </w:r>
            <w:r w:rsidR="0006187B" w:rsidRPr="00927915">
              <w:rPr>
                <w:rFonts w:ascii="Times New Roman" w:eastAsia="Times New Roman" w:hAnsi="Times New Roman" w:cs="Times New Roman"/>
                <w:sz w:val="24"/>
                <w:szCs w:val="24"/>
                <w:vertAlign w:val="superscript"/>
              </w:rPr>
              <w:t>b</w:t>
            </w:r>
          </w:p>
        </w:tc>
        <w:tc>
          <w:tcPr>
            <w:tcW w:w="3118" w:type="dxa"/>
            <w:vAlign w:val="center"/>
          </w:tcPr>
          <w:p w14:paraId="6DAF6C87"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95 ± 1.23</w:t>
            </w:r>
            <w:r w:rsidRPr="00927915">
              <w:rPr>
                <w:rFonts w:ascii="Times New Roman" w:eastAsia="Times New Roman" w:hAnsi="Times New Roman" w:cs="Times New Roman"/>
                <w:sz w:val="24"/>
                <w:szCs w:val="24"/>
                <w:vertAlign w:val="superscript"/>
              </w:rPr>
              <w:t>c</w:t>
            </w:r>
          </w:p>
        </w:tc>
        <w:tc>
          <w:tcPr>
            <w:tcW w:w="2410" w:type="dxa"/>
            <w:vAlign w:val="center"/>
          </w:tcPr>
          <w:p w14:paraId="7DE37AD7"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125 ± 1.41</w:t>
            </w:r>
            <w:r w:rsidR="0006187B" w:rsidRPr="00927915">
              <w:rPr>
                <w:rFonts w:ascii="Times New Roman" w:eastAsia="Times New Roman" w:hAnsi="Times New Roman" w:cs="Times New Roman"/>
                <w:sz w:val="24"/>
                <w:szCs w:val="24"/>
                <w:vertAlign w:val="superscript"/>
              </w:rPr>
              <w:t>a</w:t>
            </w:r>
          </w:p>
        </w:tc>
        <w:tc>
          <w:tcPr>
            <w:tcW w:w="1701" w:type="dxa"/>
            <w:vAlign w:val="center"/>
          </w:tcPr>
          <w:p w14:paraId="1AEC776E"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&lt; 0.0001*</w:t>
            </w:r>
          </w:p>
        </w:tc>
      </w:tr>
      <w:tr w:rsidR="00D70824" w14:paraId="016E1D29" w14:textId="77777777" w:rsidTr="00124A56">
        <w:trPr>
          <w:trHeight w:val="230"/>
        </w:trPr>
        <w:tc>
          <w:tcPr>
            <w:tcW w:w="4395" w:type="dxa"/>
            <w:tcBorders>
              <w:top w:val="single" w:sz="4" w:space="0" w:color="7F7F7F"/>
              <w:bottom w:val="single" w:sz="4" w:space="0" w:color="7F7F7F"/>
            </w:tcBorders>
            <w:vAlign w:val="center"/>
          </w:tcPr>
          <w:p w14:paraId="4A4D1B53"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Total cholesterol (mg/dL)</w:t>
            </w:r>
          </w:p>
        </w:tc>
        <w:tc>
          <w:tcPr>
            <w:tcW w:w="1984" w:type="dxa"/>
            <w:tcBorders>
              <w:top w:val="single" w:sz="4" w:space="0" w:color="7F7F7F"/>
              <w:bottom w:val="single" w:sz="4" w:space="0" w:color="7F7F7F"/>
            </w:tcBorders>
            <w:vAlign w:val="center"/>
          </w:tcPr>
          <w:p w14:paraId="0B1E1E17"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101 ± 2.13</w:t>
            </w:r>
            <w:r w:rsidR="0006187B" w:rsidRPr="00927915">
              <w:rPr>
                <w:rFonts w:ascii="Times New Roman" w:eastAsia="Times New Roman" w:hAnsi="Times New Roman" w:cs="Times New Roman"/>
                <w:sz w:val="24"/>
                <w:szCs w:val="24"/>
                <w:vertAlign w:val="superscript"/>
              </w:rPr>
              <w:t>b</w:t>
            </w:r>
          </w:p>
        </w:tc>
        <w:tc>
          <w:tcPr>
            <w:tcW w:w="3118" w:type="dxa"/>
            <w:tcBorders>
              <w:top w:val="single" w:sz="4" w:space="0" w:color="7F7F7F"/>
              <w:bottom w:val="single" w:sz="4" w:space="0" w:color="7F7F7F"/>
            </w:tcBorders>
            <w:vAlign w:val="center"/>
          </w:tcPr>
          <w:p w14:paraId="1D751127"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83 ± 2.25</w:t>
            </w:r>
            <w:r w:rsidRPr="00927915">
              <w:rPr>
                <w:rFonts w:ascii="Times New Roman" w:eastAsia="Times New Roman" w:hAnsi="Times New Roman" w:cs="Times New Roman"/>
                <w:sz w:val="24"/>
                <w:szCs w:val="24"/>
                <w:vertAlign w:val="superscript"/>
              </w:rPr>
              <w:t>c</w:t>
            </w:r>
          </w:p>
        </w:tc>
        <w:tc>
          <w:tcPr>
            <w:tcW w:w="2410" w:type="dxa"/>
            <w:tcBorders>
              <w:top w:val="single" w:sz="4" w:space="0" w:color="7F7F7F"/>
              <w:bottom w:val="single" w:sz="4" w:space="0" w:color="7F7F7F"/>
            </w:tcBorders>
            <w:vAlign w:val="center"/>
          </w:tcPr>
          <w:p w14:paraId="2F1FD2DF"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177 ± 2.92</w:t>
            </w:r>
            <w:r w:rsidRPr="00927915">
              <w:rPr>
                <w:rFonts w:ascii="Times New Roman" w:eastAsia="Times New Roman" w:hAnsi="Times New Roman" w:cs="Times New Roman"/>
                <w:sz w:val="24"/>
                <w:szCs w:val="24"/>
                <w:vertAlign w:val="superscript"/>
              </w:rPr>
              <w:t xml:space="preserve"> </w:t>
            </w:r>
            <w:r w:rsidR="0006187B" w:rsidRPr="00927915">
              <w:rPr>
                <w:rFonts w:ascii="Times New Roman" w:eastAsia="Times New Roman" w:hAnsi="Times New Roman" w:cs="Times New Roman"/>
                <w:sz w:val="24"/>
                <w:szCs w:val="24"/>
                <w:vertAlign w:val="superscript"/>
              </w:rPr>
              <w:t>a</w:t>
            </w:r>
          </w:p>
        </w:tc>
        <w:tc>
          <w:tcPr>
            <w:tcW w:w="1701" w:type="dxa"/>
            <w:tcBorders>
              <w:top w:val="single" w:sz="4" w:space="0" w:color="7F7F7F"/>
              <w:bottom w:val="single" w:sz="4" w:space="0" w:color="7F7F7F"/>
            </w:tcBorders>
            <w:vAlign w:val="center"/>
          </w:tcPr>
          <w:p w14:paraId="72E97659"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&lt; 0.0001*</w:t>
            </w:r>
          </w:p>
        </w:tc>
      </w:tr>
      <w:tr w:rsidR="00D70824" w14:paraId="1476CB92" w14:textId="77777777" w:rsidTr="00124A56">
        <w:trPr>
          <w:trHeight w:val="319"/>
        </w:trPr>
        <w:tc>
          <w:tcPr>
            <w:tcW w:w="4395" w:type="dxa"/>
            <w:vAlign w:val="center"/>
          </w:tcPr>
          <w:p w14:paraId="786165DD"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Triglycerides (mg/dL)</w:t>
            </w:r>
          </w:p>
        </w:tc>
        <w:tc>
          <w:tcPr>
            <w:tcW w:w="1984" w:type="dxa"/>
            <w:vAlign w:val="center"/>
          </w:tcPr>
          <w:p w14:paraId="4B8DC36D"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161 ± 4.17</w:t>
            </w:r>
            <w:r w:rsidR="0006187B" w:rsidRPr="00927915">
              <w:rPr>
                <w:rFonts w:ascii="Times New Roman" w:eastAsia="Times New Roman" w:hAnsi="Times New Roman" w:cs="Times New Roman"/>
                <w:sz w:val="24"/>
                <w:szCs w:val="24"/>
                <w:vertAlign w:val="superscript"/>
              </w:rPr>
              <w:t>b</w:t>
            </w:r>
          </w:p>
        </w:tc>
        <w:tc>
          <w:tcPr>
            <w:tcW w:w="3118" w:type="dxa"/>
            <w:vAlign w:val="center"/>
          </w:tcPr>
          <w:p w14:paraId="188F0072"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109 ±</w:t>
            </w:r>
            <w:r w:rsidRPr="00927915">
              <w:rPr>
                <w:rFonts w:ascii="Times New Roman" w:eastAsia="Times New Roman" w:hAnsi="Times New Roman" w:cs="Times New Roman"/>
                <w:sz w:val="24"/>
                <w:szCs w:val="24"/>
              </w:rPr>
              <w:t xml:space="preserve"> 2.69</w:t>
            </w:r>
            <w:r w:rsidRPr="00927915">
              <w:rPr>
                <w:rFonts w:ascii="Times New Roman" w:eastAsia="Times New Roman" w:hAnsi="Times New Roman" w:cs="Times New Roman"/>
                <w:sz w:val="24"/>
                <w:szCs w:val="24"/>
                <w:vertAlign w:val="superscript"/>
              </w:rPr>
              <w:t xml:space="preserve"> c</w:t>
            </w:r>
          </w:p>
        </w:tc>
        <w:tc>
          <w:tcPr>
            <w:tcW w:w="2410" w:type="dxa"/>
            <w:vAlign w:val="center"/>
          </w:tcPr>
          <w:p w14:paraId="4110D2B5"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232 ± 6.92</w:t>
            </w:r>
            <w:r w:rsidR="0006187B" w:rsidRPr="00927915">
              <w:rPr>
                <w:rFonts w:ascii="Times New Roman" w:eastAsia="Times New Roman" w:hAnsi="Times New Roman" w:cs="Times New Roman"/>
                <w:sz w:val="24"/>
                <w:szCs w:val="24"/>
                <w:vertAlign w:val="superscript"/>
              </w:rPr>
              <w:t>a</w:t>
            </w:r>
          </w:p>
        </w:tc>
        <w:tc>
          <w:tcPr>
            <w:tcW w:w="1701" w:type="dxa"/>
            <w:vAlign w:val="center"/>
          </w:tcPr>
          <w:p w14:paraId="3D70338F"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&lt; 0.0001*</w:t>
            </w:r>
          </w:p>
        </w:tc>
      </w:tr>
      <w:tr w:rsidR="00D70824" w14:paraId="6DE71354" w14:textId="77777777" w:rsidTr="00124A56">
        <w:trPr>
          <w:trHeight w:val="296"/>
        </w:trPr>
        <w:tc>
          <w:tcPr>
            <w:tcW w:w="4395" w:type="dxa"/>
            <w:tcBorders>
              <w:top w:val="single" w:sz="4" w:space="0" w:color="7F7F7F"/>
              <w:bottom w:val="single" w:sz="4" w:space="0" w:color="7F7F7F"/>
            </w:tcBorders>
            <w:vAlign w:val="center"/>
          </w:tcPr>
          <w:p w14:paraId="2C6C529E"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HDL cholesterol (mg/dL)</w:t>
            </w:r>
          </w:p>
        </w:tc>
        <w:tc>
          <w:tcPr>
            <w:tcW w:w="1984" w:type="dxa"/>
            <w:tcBorders>
              <w:top w:val="single" w:sz="4" w:space="0" w:color="7F7F7F"/>
              <w:bottom w:val="single" w:sz="4" w:space="0" w:color="7F7F7F"/>
            </w:tcBorders>
            <w:vAlign w:val="center"/>
          </w:tcPr>
          <w:p w14:paraId="52AA422D"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79 ± 2.3 </w:t>
            </w:r>
            <w:r w:rsidR="0006187B" w:rsidRPr="00927915">
              <w:rPr>
                <w:rFonts w:ascii="Times New Roman" w:eastAsia="Times New Roman" w:hAnsi="Times New Roman" w:cs="Times New Roman"/>
                <w:sz w:val="24"/>
                <w:szCs w:val="24"/>
                <w:vertAlign w:val="superscript"/>
              </w:rPr>
              <w:t>b</w:t>
            </w:r>
          </w:p>
        </w:tc>
        <w:tc>
          <w:tcPr>
            <w:tcW w:w="3118" w:type="dxa"/>
            <w:tcBorders>
              <w:top w:val="single" w:sz="4" w:space="0" w:color="7F7F7F"/>
              <w:bottom w:val="single" w:sz="4" w:space="0" w:color="7F7F7F"/>
            </w:tcBorders>
            <w:vAlign w:val="center"/>
          </w:tcPr>
          <w:p w14:paraId="68B99CD3" w14:textId="77777777" w:rsidR="00124A56" w:rsidRPr="00927915" w:rsidRDefault="00F95F28" w:rsidP="00124A56">
            <w:pPr>
              <w:spacing w:after="0"/>
              <w:jc w:val="center"/>
              <w:rPr>
                <w:rFonts w:ascii="Times New Roman" w:eastAsia="Times New Roman" w:hAnsi="Times New Roman" w:cs="Times New Roman"/>
                <w:sz w:val="24"/>
                <w:szCs w:val="24"/>
                <w:vertAlign w:val="superscript"/>
              </w:rPr>
            </w:pPr>
            <w:r w:rsidRPr="00927915">
              <w:rPr>
                <w:rFonts w:ascii="Times New Roman" w:eastAsia="Times New Roman" w:hAnsi="Times New Roman" w:cs="Times New Roman"/>
                <w:sz w:val="24"/>
                <w:szCs w:val="24"/>
              </w:rPr>
              <w:t>68 ± 1.2</w:t>
            </w:r>
            <w:r w:rsidRPr="00927915">
              <w:rPr>
                <w:rFonts w:ascii="Times New Roman" w:eastAsia="Times New Roman" w:hAnsi="Times New Roman" w:cs="Times New Roman"/>
                <w:sz w:val="24"/>
                <w:szCs w:val="24"/>
                <w:vertAlign w:val="superscript"/>
              </w:rPr>
              <w:t xml:space="preserve"> c</w:t>
            </w:r>
          </w:p>
        </w:tc>
        <w:tc>
          <w:tcPr>
            <w:tcW w:w="2410" w:type="dxa"/>
            <w:tcBorders>
              <w:top w:val="single" w:sz="4" w:space="0" w:color="7F7F7F"/>
              <w:bottom w:val="single" w:sz="4" w:space="0" w:color="7F7F7F"/>
            </w:tcBorders>
            <w:vAlign w:val="center"/>
          </w:tcPr>
          <w:p w14:paraId="33C23ABF"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90 ± 0.5</w:t>
            </w:r>
            <w:r w:rsidR="0006187B" w:rsidRPr="00927915">
              <w:rPr>
                <w:rFonts w:ascii="Times New Roman" w:eastAsia="Times New Roman" w:hAnsi="Times New Roman" w:cs="Times New Roman"/>
                <w:sz w:val="24"/>
                <w:szCs w:val="24"/>
                <w:vertAlign w:val="superscript"/>
              </w:rPr>
              <w:t>a</w:t>
            </w:r>
          </w:p>
        </w:tc>
        <w:tc>
          <w:tcPr>
            <w:tcW w:w="1701" w:type="dxa"/>
            <w:tcBorders>
              <w:top w:val="single" w:sz="4" w:space="0" w:color="7F7F7F"/>
              <w:bottom w:val="single" w:sz="4" w:space="0" w:color="7F7F7F"/>
            </w:tcBorders>
            <w:vAlign w:val="center"/>
          </w:tcPr>
          <w:p w14:paraId="3D548109"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&lt; 0.0001*</w:t>
            </w:r>
          </w:p>
        </w:tc>
      </w:tr>
      <w:tr w:rsidR="00D70824" w14:paraId="062378FF" w14:textId="77777777" w:rsidTr="00124A56">
        <w:trPr>
          <w:trHeight w:val="296"/>
        </w:trPr>
        <w:tc>
          <w:tcPr>
            <w:tcW w:w="4395" w:type="dxa"/>
            <w:tcBorders>
              <w:top w:val="single" w:sz="4" w:space="0" w:color="7F7F7F"/>
              <w:bottom w:val="single" w:sz="4" w:space="0" w:color="7F7F7F"/>
            </w:tcBorders>
            <w:vAlign w:val="center"/>
          </w:tcPr>
          <w:p w14:paraId="54DD6E48"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Non-HDL cholesterol (mg/dL)</w:t>
            </w:r>
          </w:p>
        </w:tc>
        <w:tc>
          <w:tcPr>
            <w:tcW w:w="1984" w:type="dxa"/>
            <w:tcBorders>
              <w:top w:val="single" w:sz="4" w:space="0" w:color="7F7F7F"/>
              <w:bottom w:val="single" w:sz="4" w:space="0" w:color="7F7F7F"/>
            </w:tcBorders>
            <w:vAlign w:val="center"/>
          </w:tcPr>
          <w:p w14:paraId="4DDCA83B"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21 ± 3.2</w:t>
            </w:r>
            <w:r w:rsidR="0006187B" w:rsidRPr="00927915">
              <w:rPr>
                <w:rFonts w:ascii="Times New Roman" w:eastAsia="Times New Roman" w:hAnsi="Times New Roman" w:cs="Times New Roman"/>
                <w:sz w:val="24"/>
                <w:szCs w:val="24"/>
                <w:vertAlign w:val="superscript"/>
              </w:rPr>
              <w:t>b</w:t>
            </w:r>
          </w:p>
        </w:tc>
        <w:tc>
          <w:tcPr>
            <w:tcW w:w="3118" w:type="dxa"/>
            <w:tcBorders>
              <w:top w:val="single" w:sz="4" w:space="0" w:color="7F7F7F"/>
              <w:bottom w:val="single" w:sz="4" w:space="0" w:color="7F7F7F"/>
            </w:tcBorders>
            <w:vAlign w:val="center"/>
          </w:tcPr>
          <w:p w14:paraId="252EC4BD"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15 ± 2.3</w:t>
            </w:r>
            <w:r w:rsidRPr="00927915">
              <w:rPr>
                <w:rFonts w:ascii="Times New Roman" w:eastAsia="Times New Roman" w:hAnsi="Times New Roman" w:cs="Times New Roman"/>
                <w:sz w:val="24"/>
                <w:szCs w:val="24"/>
                <w:vertAlign w:val="superscript"/>
              </w:rPr>
              <w:t>c</w:t>
            </w:r>
          </w:p>
        </w:tc>
        <w:tc>
          <w:tcPr>
            <w:tcW w:w="2410" w:type="dxa"/>
            <w:tcBorders>
              <w:top w:val="single" w:sz="4" w:space="0" w:color="7F7F7F"/>
              <w:bottom w:val="single" w:sz="4" w:space="0" w:color="7F7F7F"/>
            </w:tcBorders>
            <w:vAlign w:val="center"/>
          </w:tcPr>
          <w:p w14:paraId="0E3E5051"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90 ± 3.8</w:t>
            </w:r>
            <w:r w:rsidR="0006187B" w:rsidRPr="00927915">
              <w:rPr>
                <w:rFonts w:ascii="Times New Roman" w:eastAsia="Times New Roman" w:hAnsi="Times New Roman" w:cs="Times New Roman"/>
                <w:sz w:val="24"/>
                <w:szCs w:val="24"/>
                <w:vertAlign w:val="superscript"/>
              </w:rPr>
              <w:t>a</w:t>
            </w:r>
          </w:p>
        </w:tc>
        <w:tc>
          <w:tcPr>
            <w:tcW w:w="1701" w:type="dxa"/>
            <w:tcBorders>
              <w:top w:val="single" w:sz="4" w:space="0" w:color="7F7F7F"/>
              <w:bottom w:val="single" w:sz="4" w:space="0" w:color="7F7F7F"/>
            </w:tcBorders>
            <w:vAlign w:val="center"/>
          </w:tcPr>
          <w:p w14:paraId="079BFC1C"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&lt; 0.0001*</w:t>
            </w:r>
          </w:p>
        </w:tc>
      </w:tr>
      <w:tr w:rsidR="00D70824" w14:paraId="02CF9099" w14:textId="77777777" w:rsidTr="00124A56">
        <w:trPr>
          <w:trHeight w:val="268"/>
        </w:trPr>
        <w:tc>
          <w:tcPr>
            <w:tcW w:w="4395" w:type="dxa"/>
            <w:vAlign w:val="center"/>
          </w:tcPr>
          <w:p w14:paraId="19E5724E" w14:textId="77777777" w:rsidR="00124A56" w:rsidRPr="00927915" w:rsidRDefault="00F95F28" w:rsidP="00124A56">
            <w:pPr>
              <w:spacing w:after="0"/>
              <w:rPr>
                <w:rFonts w:ascii="Times New Roman" w:eastAsia="Times New Roman" w:hAnsi="Times New Roman" w:cs="Times New Roman"/>
                <w:sz w:val="24"/>
                <w:szCs w:val="24"/>
                <w:lang w:val=""/>
              </w:rPr>
            </w:pPr>
            <w:r w:rsidRPr="00927915">
              <w:rPr>
                <w:rFonts w:ascii="Times New Roman" w:eastAsia="Times New Roman" w:hAnsi="Times New Roman" w:cs="Times New Roman"/>
                <w:sz w:val="24"/>
                <w:szCs w:val="24"/>
                <w:lang w:val=""/>
              </w:rPr>
              <w:t>AST (aspartate aminotransferase – U/L)</w:t>
            </w:r>
          </w:p>
        </w:tc>
        <w:tc>
          <w:tcPr>
            <w:tcW w:w="1984" w:type="dxa"/>
            <w:vAlign w:val="center"/>
          </w:tcPr>
          <w:p w14:paraId="125EDF7F"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22 ± 0.6</w:t>
            </w:r>
            <w:r w:rsidR="0006187B" w:rsidRPr="00927915">
              <w:rPr>
                <w:rFonts w:ascii="Times New Roman" w:eastAsia="Times New Roman" w:hAnsi="Times New Roman" w:cs="Times New Roman"/>
                <w:sz w:val="24"/>
                <w:szCs w:val="24"/>
                <w:vertAlign w:val="superscript"/>
              </w:rPr>
              <w:t>c</w:t>
            </w:r>
          </w:p>
        </w:tc>
        <w:tc>
          <w:tcPr>
            <w:tcW w:w="3118" w:type="dxa"/>
            <w:vAlign w:val="center"/>
          </w:tcPr>
          <w:p w14:paraId="5CB0D7B6"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50 ± 0.6</w:t>
            </w:r>
            <w:r w:rsidRPr="00927915">
              <w:rPr>
                <w:rFonts w:ascii="Times New Roman" w:eastAsia="Times New Roman" w:hAnsi="Times New Roman" w:cs="Times New Roman"/>
                <w:sz w:val="24"/>
                <w:szCs w:val="24"/>
                <w:vertAlign w:val="superscript"/>
              </w:rPr>
              <w:t xml:space="preserve"> </w:t>
            </w:r>
            <w:r w:rsidR="0006187B" w:rsidRPr="00927915">
              <w:rPr>
                <w:rFonts w:ascii="Times New Roman" w:eastAsia="Times New Roman" w:hAnsi="Times New Roman" w:cs="Times New Roman"/>
                <w:sz w:val="24"/>
                <w:szCs w:val="24"/>
                <w:vertAlign w:val="superscript"/>
              </w:rPr>
              <w:t>a</w:t>
            </w:r>
          </w:p>
        </w:tc>
        <w:tc>
          <w:tcPr>
            <w:tcW w:w="2410" w:type="dxa"/>
            <w:vAlign w:val="center"/>
          </w:tcPr>
          <w:p w14:paraId="07505363"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43 ± 1.1</w:t>
            </w:r>
            <w:r w:rsidR="0006187B" w:rsidRPr="00927915">
              <w:rPr>
                <w:rFonts w:ascii="Times New Roman" w:eastAsia="Times New Roman" w:hAnsi="Times New Roman" w:cs="Times New Roman"/>
                <w:sz w:val="24"/>
                <w:szCs w:val="24"/>
                <w:vertAlign w:val="superscript"/>
              </w:rPr>
              <w:t>b</w:t>
            </w:r>
          </w:p>
        </w:tc>
        <w:tc>
          <w:tcPr>
            <w:tcW w:w="1701" w:type="dxa"/>
            <w:vAlign w:val="center"/>
          </w:tcPr>
          <w:p w14:paraId="2F9BB084"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&lt; 0.0001*</w:t>
            </w:r>
          </w:p>
        </w:tc>
      </w:tr>
      <w:tr w:rsidR="00D70824" w14:paraId="5E3C60D9" w14:textId="77777777" w:rsidTr="00124A56">
        <w:trPr>
          <w:trHeight w:val="357"/>
        </w:trPr>
        <w:tc>
          <w:tcPr>
            <w:tcW w:w="4395" w:type="dxa"/>
            <w:tcBorders>
              <w:top w:val="single" w:sz="4" w:space="0" w:color="7F7F7F"/>
              <w:bottom w:val="single" w:sz="4" w:space="0" w:color="7F7F7F"/>
            </w:tcBorders>
            <w:vAlign w:val="center"/>
          </w:tcPr>
          <w:p w14:paraId="6FEAEC7C"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ALT </w:t>
            </w:r>
            <w:r w:rsidRPr="00927915">
              <w:rPr>
                <w:rFonts w:ascii="Times New Roman" w:eastAsia="Times New Roman" w:hAnsi="Times New Roman" w:cs="Times New Roman"/>
                <w:sz w:val="24"/>
                <w:szCs w:val="24"/>
              </w:rPr>
              <w:t>(alanine aminotransferase – U/L)</w:t>
            </w:r>
          </w:p>
        </w:tc>
        <w:tc>
          <w:tcPr>
            <w:tcW w:w="1984" w:type="dxa"/>
            <w:tcBorders>
              <w:top w:val="single" w:sz="4" w:space="0" w:color="7F7F7F"/>
              <w:bottom w:val="single" w:sz="4" w:space="0" w:color="7F7F7F"/>
            </w:tcBorders>
            <w:vAlign w:val="center"/>
          </w:tcPr>
          <w:p w14:paraId="227F4604"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38 ± 1.3</w:t>
            </w:r>
            <w:r w:rsidR="0006187B" w:rsidRPr="00927915">
              <w:rPr>
                <w:rFonts w:ascii="Times New Roman" w:eastAsia="Times New Roman" w:hAnsi="Times New Roman" w:cs="Times New Roman"/>
                <w:sz w:val="24"/>
                <w:szCs w:val="24"/>
                <w:vertAlign w:val="superscript"/>
              </w:rPr>
              <w:t>b</w:t>
            </w:r>
            <w:r w:rsidRPr="00927915">
              <w:rPr>
                <w:rFonts w:ascii="Times New Roman" w:eastAsia="Times New Roman" w:hAnsi="Times New Roman" w:cs="Times New Roman"/>
                <w:sz w:val="24"/>
                <w:szCs w:val="24"/>
                <w:vertAlign w:val="superscript"/>
              </w:rPr>
              <w:t xml:space="preserve"> </w:t>
            </w:r>
          </w:p>
        </w:tc>
        <w:tc>
          <w:tcPr>
            <w:tcW w:w="3118" w:type="dxa"/>
            <w:tcBorders>
              <w:top w:val="single" w:sz="4" w:space="0" w:color="7F7F7F"/>
              <w:bottom w:val="single" w:sz="4" w:space="0" w:color="7F7F7F"/>
            </w:tcBorders>
            <w:vAlign w:val="center"/>
          </w:tcPr>
          <w:p w14:paraId="07ADC054"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57 ± 1.9</w:t>
            </w:r>
            <w:r w:rsidRPr="00927915">
              <w:rPr>
                <w:rFonts w:ascii="Times New Roman" w:eastAsia="Times New Roman" w:hAnsi="Times New Roman" w:cs="Times New Roman"/>
                <w:sz w:val="24"/>
                <w:szCs w:val="24"/>
                <w:vertAlign w:val="superscript"/>
              </w:rPr>
              <w:t xml:space="preserve"> </w:t>
            </w:r>
            <w:r w:rsidR="0006187B" w:rsidRPr="00927915">
              <w:rPr>
                <w:rFonts w:ascii="Times New Roman" w:eastAsia="Times New Roman" w:hAnsi="Times New Roman" w:cs="Times New Roman"/>
                <w:sz w:val="24"/>
                <w:szCs w:val="24"/>
                <w:vertAlign w:val="superscript"/>
              </w:rPr>
              <w:t>a</w:t>
            </w:r>
          </w:p>
        </w:tc>
        <w:tc>
          <w:tcPr>
            <w:tcW w:w="2410" w:type="dxa"/>
            <w:tcBorders>
              <w:top w:val="single" w:sz="4" w:space="0" w:color="7F7F7F"/>
              <w:bottom w:val="single" w:sz="4" w:space="0" w:color="7F7F7F"/>
            </w:tcBorders>
            <w:vAlign w:val="center"/>
          </w:tcPr>
          <w:p w14:paraId="2FB804D3"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60 ± 1.9</w:t>
            </w:r>
            <w:r w:rsidR="0006187B" w:rsidRPr="00927915">
              <w:rPr>
                <w:rFonts w:ascii="Times New Roman" w:eastAsia="Times New Roman" w:hAnsi="Times New Roman" w:cs="Times New Roman"/>
                <w:sz w:val="24"/>
                <w:szCs w:val="24"/>
                <w:vertAlign w:val="superscript"/>
              </w:rPr>
              <w:t>a</w:t>
            </w:r>
          </w:p>
        </w:tc>
        <w:tc>
          <w:tcPr>
            <w:tcW w:w="1701" w:type="dxa"/>
            <w:tcBorders>
              <w:top w:val="single" w:sz="4" w:space="0" w:color="7F7F7F"/>
              <w:bottom w:val="single" w:sz="4" w:space="0" w:color="7F7F7F"/>
            </w:tcBorders>
            <w:vAlign w:val="center"/>
          </w:tcPr>
          <w:p w14:paraId="419DCFDE" w14:textId="77777777" w:rsidR="00124A56" w:rsidRPr="00927915" w:rsidRDefault="00F95F28" w:rsidP="00124A56">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&lt; 0.0001*</w:t>
            </w:r>
          </w:p>
        </w:tc>
      </w:tr>
      <w:tr w:rsidR="00D70824" w14:paraId="637B6D1D" w14:textId="77777777" w:rsidTr="00124A56">
        <w:trPr>
          <w:trHeight w:val="278"/>
        </w:trPr>
        <w:tc>
          <w:tcPr>
            <w:tcW w:w="4395" w:type="dxa"/>
            <w:vAlign w:val="center"/>
          </w:tcPr>
          <w:p w14:paraId="4D5C3F92" w14:textId="77777777" w:rsidR="00124A56" w:rsidRPr="00927915" w:rsidRDefault="00F95F28" w:rsidP="00124A56">
            <w:pPr>
              <w:spacing w:after="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AST to ALT ratio (U/L)</w:t>
            </w:r>
          </w:p>
        </w:tc>
        <w:tc>
          <w:tcPr>
            <w:tcW w:w="1984" w:type="dxa"/>
            <w:vAlign w:val="center"/>
          </w:tcPr>
          <w:p w14:paraId="66FF9C9A"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0.57 ± 0.03</w:t>
            </w:r>
            <w:r w:rsidR="0006187B" w:rsidRPr="00927915">
              <w:rPr>
                <w:rFonts w:ascii="Times New Roman" w:eastAsia="Times New Roman" w:hAnsi="Times New Roman" w:cs="Times New Roman"/>
                <w:sz w:val="24"/>
                <w:szCs w:val="24"/>
                <w:vertAlign w:val="superscript"/>
              </w:rPr>
              <w:t>c</w:t>
            </w:r>
          </w:p>
        </w:tc>
        <w:tc>
          <w:tcPr>
            <w:tcW w:w="3118" w:type="dxa"/>
            <w:vAlign w:val="center"/>
          </w:tcPr>
          <w:p w14:paraId="7727B49B"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0.88 ± 0.03</w:t>
            </w:r>
            <w:r w:rsidR="0006187B" w:rsidRPr="00927915">
              <w:rPr>
                <w:rFonts w:ascii="Times New Roman" w:eastAsia="Times New Roman" w:hAnsi="Times New Roman" w:cs="Times New Roman"/>
                <w:sz w:val="24"/>
                <w:szCs w:val="24"/>
                <w:vertAlign w:val="superscript"/>
              </w:rPr>
              <w:t>a</w:t>
            </w:r>
          </w:p>
        </w:tc>
        <w:tc>
          <w:tcPr>
            <w:tcW w:w="2410" w:type="dxa"/>
            <w:vAlign w:val="center"/>
          </w:tcPr>
          <w:p w14:paraId="49489764" w14:textId="77777777" w:rsidR="00124A56" w:rsidRPr="00927915" w:rsidRDefault="00F95F28" w:rsidP="0006187B">
            <w:pPr>
              <w:spacing w:after="0"/>
              <w:jc w:val="center"/>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0.70 ± 0.03</w:t>
            </w:r>
            <w:r w:rsidR="0006187B" w:rsidRPr="00927915">
              <w:rPr>
                <w:rFonts w:ascii="Times New Roman" w:eastAsia="Times New Roman" w:hAnsi="Times New Roman" w:cs="Times New Roman"/>
                <w:sz w:val="24"/>
                <w:szCs w:val="24"/>
                <w:vertAlign w:val="superscript"/>
              </w:rPr>
              <w:t>b</w:t>
            </w:r>
          </w:p>
        </w:tc>
        <w:tc>
          <w:tcPr>
            <w:tcW w:w="1701" w:type="dxa"/>
            <w:vAlign w:val="center"/>
          </w:tcPr>
          <w:p w14:paraId="00E4C58D" w14:textId="77777777" w:rsidR="00124A56" w:rsidRPr="00927915" w:rsidRDefault="00F95F28" w:rsidP="00124A56">
            <w:pPr>
              <w:spacing w:after="0" w:line="276" w:lineRule="auto"/>
              <w:jc w:val="center"/>
              <w:rPr>
                <w:rFonts w:ascii="Arial" w:eastAsia="Arial" w:hAnsi="Arial" w:cs="Arial"/>
                <w:sz w:val="20"/>
                <w:szCs w:val="20"/>
              </w:rPr>
            </w:pPr>
            <w:r w:rsidRPr="00927915">
              <w:rPr>
                <w:rFonts w:ascii="Times New Roman" w:eastAsia="Times New Roman" w:hAnsi="Times New Roman" w:cs="Times New Roman"/>
                <w:sz w:val="24"/>
                <w:szCs w:val="24"/>
              </w:rPr>
              <w:t>&lt; 0.0001*</w:t>
            </w:r>
          </w:p>
        </w:tc>
      </w:tr>
    </w:tbl>
    <w:p w14:paraId="1115E8E6" w14:textId="77777777" w:rsidR="00992F1A" w:rsidRPr="00927915" w:rsidRDefault="00F95F28" w:rsidP="00F6295B">
      <w:pPr>
        <w:tabs>
          <w:tab w:val="left" w:pos="2929"/>
          <w:tab w:val="left" w:pos="12616"/>
        </w:tabs>
        <w:ind w:right="993"/>
        <w:jc w:val="both"/>
        <w:rPr>
          <w:rFonts w:ascii="Times New Roman" w:eastAsia="Times New Roman" w:hAnsi="Times New Roman" w:cs="Times New Roman"/>
        </w:rPr>
      </w:pPr>
      <w:bookmarkStart w:id="2" w:name="_heading=h.lkxxpce78f5k" w:colFirst="0" w:colLast="0"/>
      <w:bookmarkEnd w:id="2"/>
      <w:r w:rsidRPr="00927915">
        <w:rPr>
          <w:rFonts w:ascii="Times New Roman" w:eastAsia="Times New Roman" w:hAnsi="Times New Roman" w:cs="Times New Roman"/>
        </w:rPr>
        <w:t xml:space="preserve">Results are presented as mean and standard error of the mean </w:t>
      </w:r>
      <w:r w:rsidRPr="00927915">
        <w:rPr>
          <w:rFonts w:ascii="Times New Roman" w:eastAsia="Times New Roman" w:hAnsi="Times New Roman" w:cs="Times New Roman"/>
          <w:sz w:val="20"/>
          <w:szCs w:val="20"/>
        </w:rPr>
        <w:t xml:space="preserve">of the number of animals indicated in </w:t>
      </w:r>
      <w:r w:rsidRPr="00927915">
        <w:rPr>
          <w:rFonts w:ascii="Times New Roman" w:eastAsia="Times New Roman" w:hAnsi="Times New Roman" w:cs="Times New Roman"/>
          <w:sz w:val="20"/>
          <w:szCs w:val="20"/>
        </w:rPr>
        <w:t>parentheses. Means with different superscript letters are significantly different by one-way ANOVA followed by Tukey's test.</w:t>
      </w:r>
    </w:p>
    <w:p w14:paraId="10948C0F" w14:textId="77777777" w:rsidR="006A40FC" w:rsidRPr="00927915" w:rsidRDefault="006A40FC">
      <w:pPr>
        <w:spacing w:line="360" w:lineRule="auto"/>
        <w:jc w:val="both"/>
        <w:rPr>
          <w:rFonts w:ascii="Times New Roman" w:eastAsia="Times New Roman" w:hAnsi="Times New Roman" w:cs="Times New Roman"/>
        </w:rPr>
      </w:pPr>
    </w:p>
    <w:p w14:paraId="2DCDE062" w14:textId="77777777" w:rsidR="006A40FC" w:rsidRPr="00927915" w:rsidRDefault="006A40FC">
      <w:pPr>
        <w:spacing w:line="360" w:lineRule="auto"/>
        <w:jc w:val="both"/>
        <w:rPr>
          <w:rFonts w:ascii="Times New Roman" w:eastAsia="Times New Roman" w:hAnsi="Times New Roman" w:cs="Times New Roman"/>
        </w:rPr>
      </w:pPr>
    </w:p>
    <w:p w14:paraId="4E25EDA3" w14:textId="77777777" w:rsidR="007E3FFB" w:rsidRPr="00927915" w:rsidRDefault="007E3FFB">
      <w:pPr>
        <w:spacing w:line="360" w:lineRule="auto"/>
        <w:jc w:val="both"/>
        <w:rPr>
          <w:rFonts w:ascii="Times New Roman" w:eastAsia="Times New Roman" w:hAnsi="Times New Roman" w:cs="Times New Roman"/>
        </w:rPr>
      </w:pPr>
    </w:p>
    <w:p w14:paraId="201A5E7C" w14:textId="77777777" w:rsidR="00545753" w:rsidRPr="00927915" w:rsidRDefault="00545753">
      <w:pPr>
        <w:spacing w:line="360" w:lineRule="auto"/>
        <w:jc w:val="both"/>
        <w:rPr>
          <w:rFonts w:ascii="Times New Roman" w:eastAsia="Times New Roman" w:hAnsi="Times New Roman" w:cs="Times New Roman"/>
        </w:rPr>
      </w:pPr>
    </w:p>
    <w:p w14:paraId="2EA76D7A" w14:textId="77777777" w:rsidR="006A40FC" w:rsidRPr="00927915" w:rsidRDefault="006A40FC">
      <w:pPr>
        <w:spacing w:line="360" w:lineRule="auto"/>
        <w:jc w:val="both"/>
        <w:rPr>
          <w:rFonts w:ascii="Times New Roman" w:eastAsia="Times New Roman" w:hAnsi="Times New Roman" w:cs="Times New Roman"/>
        </w:rPr>
      </w:pPr>
    </w:p>
    <w:p w14:paraId="681F9E29" w14:textId="77777777" w:rsidR="00ED7F07" w:rsidRPr="00927915" w:rsidRDefault="00F95F28">
      <w:pPr>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br w:type="page"/>
      </w:r>
    </w:p>
    <w:p w14:paraId="2003779E" w14:textId="77777777" w:rsidR="009D13E3" w:rsidRPr="00927915" w:rsidRDefault="00F95F28">
      <w:pPr>
        <w:spacing w:line="360" w:lineRule="auto"/>
        <w:jc w:val="both"/>
        <w:rPr>
          <w:rFonts w:ascii="Times New Roman" w:eastAsia="Times New Roman" w:hAnsi="Times New Roman" w:cs="Times New Roman"/>
          <w:strike/>
          <w:sz w:val="24"/>
          <w:szCs w:val="24"/>
        </w:rPr>
      </w:pPr>
      <w:r w:rsidRPr="00927915">
        <w:rPr>
          <w:rFonts w:ascii="Times New Roman" w:eastAsia="Times New Roman" w:hAnsi="Times New Roman" w:cs="Times New Roman"/>
          <w:b/>
          <w:sz w:val="24"/>
          <w:szCs w:val="24"/>
        </w:rPr>
        <w:lastRenderedPageBreak/>
        <w:t>Table 5:</w:t>
      </w:r>
      <w:r w:rsidRPr="00927915">
        <w:rPr>
          <w:rFonts w:ascii="Times New Roman" w:eastAsia="Times New Roman" w:hAnsi="Times New Roman" w:cs="Times New Roman"/>
          <w:sz w:val="24"/>
          <w:szCs w:val="24"/>
        </w:rPr>
        <w:t xml:space="preserve"> Hepatic and muscular glycogen content and total lipid content in white and brown adipose tissue of animals in the C</w:t>
      </w:r>
      <w:r w:rsidRPr="00927915">
        <w:rPr>
          <w:rFonts w:ascii="Times New Roman" w:eastAsia="Times New Roman" w:hAnsi="Times New Roman" w:cs="Times New Roman"/>
          <w:sz w:val="24"/>
          <w:szCs w:val="24"/>
        </w:rPr>
        <w:t xml:space="preserve">ontrol, Vitamin A Deficient, and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groups after 45 days of treatment.</w:t>
      </w:r>
    </w:p>
    <w:tbl>
      <w:tblPr>
        <w:tblStyle w:val="a8"/>
        <w:tblpPr w:leftFromText="141" w:rightFromText="141" w:vertAnchor="page" w:horzAnchor="margin" w:tblpY="2786"/>
        <w:tblW w:w="13891" w:type="dxa"/>
        <w:tblInd w:w="0" w:type="dxa"/>
        <w:tblBorders>
          <w:top w:val="single" w:sz="4" w:space="0" w:color="7F7F7F"/>
          <w:bottom w:val="single" w:sz="4" w:space="0" w:color="7F7F7F"/>
        </w:tblBorders>
        <w:tblLayout w:type="fixed"/>
        <w:tblLook w:val="04A0" w:firstRow="1" w:lastRow="0" w:firstColumn="1" w:lastColumn="0" w:noHBand="0" w:noVBand="1"/>
      </w:tblPr>
      <w:tblGrid>
        <w:gridCol w:w="3372"/>
        <w:gridCol w:w="2419"/>
        <w:gridCol w:w="2960"/>
        <w:gridCol w:w="2769"/>
        <w:gridCol w:w="2371"/>
      </w:tblGrid>
      <w:tr w:rsidR="00D70824" w14:paraId="4B4DD62B" w14:textId="77777777" w:rsidTr="00D70824">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4010B161" w14:textId="77777777" w:rsidR="009D13E3" w:rsidRPr="00927915" w:rsidRDefault="00F95F28" w:rsidP="00D14250">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 xml:space="preserve">Parameters </w:t>
            </w:r>
          </w:p>
        </w:tc>
        <w:tc>
          <w:tcPr>
            <w:tcW w:w="2419" w:type="dxa"/>
            <w:vAlign w:val="center"/>
          </w:tcPr>
          <w:p w14:paraId="5B71ACEE" w14:textId="77777777" w:rsidR="009D13E3" w:rsidRPr="00927915" w:rsidRDefault="00F95F28" w:rsidP="009D13E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Control</w:t>
            </w:r>
          </w:p>
          <w:p w14:paraId="3304065F" w14:textId="77777777" w:rsidR="00903B0D" w:rsidRPr="00927915" w:rsidRDefault="00F95F28" w:rsidP="009D13E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(10)</w:t>
            </w:r>
          </w:p>
        </w:tc>
        <w:tc>
          <w:tcPr>
            <w:tcW w:w="2960" w:type="dxa"/>
            <w:vAlign w:val="center"/>
          </w:tcPr>
          <w:p w14:paraId="3C75312B" w14:textId="77777777" w:rsidR="009D13E3" w:rsidRPr="00927915" w:rsidRDefault="00F95F28" w:rsidP="009D13E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Vit. A deficiency</w:t>
            </w:r>
          </w:p>
          <w:p w14:paraId="76EC2379" w14:textId="77777777" w:rsidR="00903B0D" w:rsidRPr="00927915" w:rsidRDefault="00F95F28" w:rsidP="009D13E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(10)</w:t>
            </w:r>
          </w:p>
        </w:tc>
        <w:tc>
          <w:tcPr>
            <w:tcW w:w="2769" w:type="dxa"/>
            <w:vAlign w:val="center"/>
          </w:tcPr>
          <w:p w14:paraId="5C19C587" w14:textId="77777777" w:rsidR="009D13E3" w:rsidRPr="00927915" w:rsidRDefault="00F95F28" w:rsidP="009D13E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b w:val="0"/>
                <w:i/>
                <w:sz w:val="24"/>
                <w:szCs w:val="24"/>
              </w:rPr>
              <w:t xml:space="preserve">Attalea phalerata </w:t>
            </w:r>
            <w:r w:rsidRPr="00927915">
              <w:rPr>
                <w:rFonts w:ascii="Times New Roman" w:eastAsia="Times New Roman" w:hAnsi="Times New Roman" w:cs="Times New Roman"/>
                <w:b w:val="0"/>
                <w:sz w:val="24"/>
                <w:szCs w:val="24"/>
              </w:rPr>
              <w:t>oil</w:t>
            </w:r>
          </w:p>
          <w:p w14:paraId="63BBAD86" w14:textId="77777777" w:rsidR="00903B0D" w:rsidRPr="00927915" w:rsidRDefault="00F95F28" w:rsidP="009D13E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(11)</w:t>
            </w:r>
          </w:p>
        </w:tc>
        <w:tc>
          <w:tcPr>
            <w:tcW w:w="2371" w:type="dxa"/>
            <w:vAlign w:val="center"/>
          </w:tcPr>
          <w:p w14:paraId="31FCD395" w14:textId="77777777" w:rsidR="009D13E3" w:rsidRPr="00927915" w:rsidRDefault="00F95F28" w:rsidP="009D13E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b w:val="0"/>
                <w:i/>
                <w:sz w:val="24"/>
                <w:szCs w:val="24"/>
              </w:rPr>
              <w:t>P</w:t>
            </w:r>
            <w:r w:rsidRPr="00927915">
              <w:rPr>
                <w:rFonts w:ascii="Times New Roman" w:eastAsia="Times New Roman" w:hAnsi="Times New Roman" w:cs="Times New Roman"/>
                <w:b w:val="0"/>
                <w:sz w:val="24"/>
                <w:szCs w:val="24"/>
              </w:rPr>
              <w:t xml:space="preserve"> value</w:t>
            </w:r>
          </w:p>
        </w:tc>
      </w:tr>
      <w:tr w:rsidR="00D70824" w14:paraId="399D36CF" w14:textId="77777777" w:rsidTr="00D70824">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041DFDB3" w14:textId="77777777" w:rsidR="009D13E3" w:rsidRPr="00927915" w:rsidRDefault="00F95F28" w:rsidP="00D14250">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Glycogen content</w:t>
            </w:r>
          </w:p>
        </w:tc>
        <w:tc>
          <w:tcPr>
            <w:tcW w:w="2419" w:type="dxa"/>
            <w:vAlign w:val="center"/>
          </w:tcPr>
          <w:p w14:paraId="0D9A79D9"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2960" w:type="dxa"/>
            <w:vAlign w:val="center"/>
          </w:tcPr>
          <w:p w14:paraId="7A4127AF"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2769" w:type="dxa"/>
            <w:vAlign w:val="center"/>
          </w:tcPr>
          <w:p w14:paraId="309C6B12"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
        </w:tc>
        <w:tc>
          <w:tcPr>
            <w:tcW w:w="2371" w:type="dxa"/>
            <w:vAlign w:val="center"/>
          </w:tcPr>
          <w:p w14:paraId="7BC46D2C"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r>
      <w:tr w:rsidR="00D70824" w14:paraId="71F4A754" w14:textId="77777777" w:rsidTr="00D70824">
        <w:trPr>
          <w:trHeight w:val="467"/>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5F4C668F" w14:textId="77777777" w:rsidR="009D13E3" w:rsidRPr="00927915" w:rsidRDefault="00F95F28" w:rsidP="009D13E3">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Liver (µg/tissue)</w:t>
            </w:r>
          </w:p>
        </w:tc>
        <w:tc>
          <w:tcPr>
            <w:tcW w:w="2419" w:type="dxa"/>
            <w:vAlign w:val="center"/>
          </w:tcPr>
          <w:p w14:paraId="1107611B" w14:textId="77777777" w:rsidR="009D13E3" w:rsidRPr="00927915" w:rsidRDefault="00F95F28" w:rsidP="00D1425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11.9 ± 0.3</w:t>
            </w:r>
            <w:r w:rsidR="00D14250" w:rsidRPr="00927915">
              <w:rPr>
                <w:rFonts w:ascii="Times New Roman" w:eastAsia="Times New Roman" w:hAnsi="Times New Roman" w:cs="Times New Roman"/>
                <w:sz w:val="24"/>
                <w:szCs w:val="24"/>
                <w:vertAlign w:val="superscript"/>
              </w:rPr>
              <w:t>b</w:t>
            </w:r>
          </w:p>
        </w:tc>
        <w:tc>
          <w:tcPr>
            <w:tcW w:w="2960" w:type="dxa"/>
            <w:vAlign w:val="center"/>
          </w:tcPr>
          <w:p w14:paraId="63250486" w14:textId="77777777" w:rsidR="009D13E3" w:rsidRPr="00927915" w:rsidRDefault="00F95F28" w:rsidP="00D1425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12.5 ± 0.4</w:t>
            </w:r>
            <w:r w:rsidR="00D14250" w:rsidRPr="00927915">
              <w:rPr>
                <w:rFonts w:ascii="Times New Roman" w:eastAsia="Times New Roman" w:hAnsi="Times New Roman" w:cs="Times New Roman"/>
                <w:sz w:val="24"/>
                <w:szCs w:val="24"/>
                <w:vertAlign w:val="superscript"/>
              </w:rPr>
              <w:t>b</w:t>
            </w:r>
          </w:p>
        </w:tc>
        <w:tc>
          <w:tcPr>
            <w:tcW w:w="2769" w:type="dxa"/>
            <w:vAlign w:val="center"/>
          </w:tcPr>
          <w:p w14:paraId="1E2B7FF8" w14:textId="77777777" w:rsidR="009D13E3" w:rsidRPr="00927915" w:rsidRDefault="00F95F28" w:rsidP="00D1425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14.6 ± 0.6</w:t>
            </w:r>
            <w:r w:rsidR="00D14250" w:rsidRPr="00927915">
              <w:rPr>
                <w:rFonts w:ascii="Times New Roman" w:eastAsia="Times New Roman" w:hAnsi="Times New Roman" w:cs="Times New Roman"/>
                <w:sz w:val="24"/>
                <w:szCs w:val="24"/>
                <w:vertAlign w:val="superscript"/>
              </w:rPr>
              <w:t>a</w:t>
            </w:r>
          </w:p>
        </w:tc>
        <w:tc>
          <w:tcPr>
            <w:tcW w:w="2371" w:type="dxa"/>
            <w:vAlign w:val="center"/>
          </w:tcPr>
          <w:p w14:paraId="05D9072B"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0.0015*</w:t>
            </w:r>
          </w:p>
        </w:tc>
      </w:tr>
      <w:tr w:rsidR="00D70824" w14:paraId="4AEE8FFC" w14:textId="77777777" w:rsidTr="00D7082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51C42FE2" w14:textId="77777777" w:rsidR="009D13E3" w:rsidRPr="00927915" w:rsidRDefault="00F95F28" w:rsidP="009D13E3">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EDL (µg/tissue)</w:t>
            </w:r>
          </w:p>
        </w:tc>
        <w:tc>
          <w:tcPr>
            <w:tcW w:w="2419" w:type="dxa"/>
            <w:vAlign w:val="center"/>
          </w:tcPr>
          <w:p w14:paraId="6E6DE05E"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0.17 ± 0.008</w:t>
            </w:r>
          </w:p>
        </w:tc>
        <w:tc>
          <w:tcPr>
            <w:tcW w:w="2960" w:type="dxa"/>
            <w:vAlign w:val="center"/>
          </w:tcPr>
          <w:p w14:paraId="08456C3D"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927915">
              <w:rPr>
                <w:rFonts w:ascii="Times New Roman" w:eastAsia="Times New Roman" w:hAnsi="Times New Roman" w:cs="Times New Roman"/>
                <w:sz w:val="24"/>
                <w:szCs w:val="24"/>
              </w:rPr>
              <w:t>0.18 ± 0.01</w:t>
            </w:r>
          </w:p>
        </w:tc>
        <w:tc>
          <w:tcPr>
            <w:tcW w:w="2769" w:type="dxa"/>
            <w:vAlign w:val="center"/>
          </w:tcPr>
          <w:p w14:paraId="6A561DD3"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0.18 ± 0.01</w:t>
            </w:r>
          </w:p>
        </w:tc>
        <w:tc>
          <w:tcPr>
            <w:tcW w:w="2371" w:type="dxa"/>
            <w:vAlign w:val="center"/>
          </w:tcPr>
          <w:p w14:paraId="04C3144D"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0.7771</w:t>
            </w:r>
          </w:p>
        </w:tc>
      </w:tr>
      <w:tr w:rsidR="00D70824" w14:paraId="70C3BA70" w14:textId="77777777" w:rsidTr="00D70824">
        <w:trPr>
          <w:trHeight w:val="333"/>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3D16915C" w14:textId="77777777" w:rsidR="009D13E3" w:rsidRPr="00927915" w:rsidRDefault="00F95F28" w:rsidP="009D13E3">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Soleus (µg/tissue)</w:t>
            </w:r>
          </w:p>
        </w:tc>
        <w:tc>
          <w:tcPr>
            <w:tcW w:w="2419" w:type="dxa"/>
            <w:vAlign w:val="center"/>
          </w:tcPr>
          <w:p w14:paraId="25D355F5"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1.0 ± 0.09</w:t>
            </w:r>
          </w:p>
        </w:tc>
        <w:tc>
          <w:tcPr>
            <w:tcW w:w="2960" w:type="dxa"/>
            <w:vAlign w:val="center"/>
          </w:tcPr>
          <w:p w14:paraId="3795622F"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0.8 ± 0.04</w:t>
            </w:r>
          </w:p>
        </w:tc>
        <w:tc>
          <w:tcPr>
            <w:tcW w:w="2769" w:type="dxa"/>
            <w:vAlign w:val="center"/>
          </w:tcPr>
          <w:p w14:paraId="78E4782B"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0.09 ± 0.08</w:t>
            </w:r>
          </w:p>
        </w:tc>
        <w:tc>
          <w:tcPr>
            <w:tcW w:w="2371" w:type="dxa"/>
            <w:vAlign w:val="center"/>
          </w:tcPr>
          <w:p w14:paraId="6FE2F451"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0.14282</w:t>
            </w:r>
          </w:p>
        </w:tc>
      </w:tr>
      <w:tr w:rsidR="00D70824" w14:paraId="748C560E" w14:textId="77777777" w:rsidTr="00D7082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1FD45400" w14:textId="77777777" w:rsidR="009D13E3" w:rsidRPr="00927915" w:rsidRDefault="00F95F28" w:rsidP="00D14250">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Total lipid content</w:t>
            </w:r>
          </w:p>
        </w:tc>
        <w:tc>
          <w:tcPr>
            <w:tcW w:w="2419" w:type="dxa"/>
            <w:vAlign w:val="center"/>
          </w:tcPr>
          <w:p w14:paraId="2FA73A79"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960" w:type="dxa"/>
            <w:vAlign w:val="center"/>
          </w:tcPr>
          <w:p w14:paraId="3D7B0FD2"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769" w:type="dxa"/>
            <w:vAlign w:val="center"/>
          </w:tcPr>
          <w:p w14:paraId="351AB94A"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371" w:type="dxa"/>
            <w:vAlign w:val="center"/>
          </w:tcPr>
          <w:p w14:paraId="5D432918" w14:textId="77777777" w:rsidR="009D13E3" w:rsidRPr="00927915" w:rsidRDefault="009D13E3"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D70824" w14:paraId="522644A4" w14:textId="77777777" w:rsidTr="00D70824">
        <w:trPr>
          <w:trHeight w:val="481"/>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46CE5D35" w14:textId="77777777" w:rsidR="009D13E3" w:rsidRPr="00927915" w:rsidRDefault="00F95F28" w:rsidP="009D13E3">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Liver (g/tissue)</w:t>
            </w:r>
          </w:p>
        </w:tc>
        <w:tc>
          <w:tcPr>
            <w:tcW w:w="2419" w:type="dxa"/>
            <w:vAlign w:val="center"/>
          </w:tcPr>
          <w:p w14:paraId="75DA997C"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21.7 ± 3.1</w:t>
            </w:r>
          </w:p>
        </w:tc>
        <w:tc>
          <w:tcPr>
            <w:tcW w:w="2960" w:type="dxa"/>
            <w:vAlign w:val="center"/>
          </w:tcPr>
          <w:p w14:paraId="5E3F2514"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20.7 ± 1.8</w:t>
            </w:r>
          </w:p>
        </w:tc>
        <w:tc>
          <w:tcPr>
            <w:tcW w:w="2769" w:type="dxa"/>
            <w:vAlign w:val="center"/>
          </w:tcPr>
          <w:p w14:paraId="377E53FF"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19.7 ± 1.0</w:t>
            </w:r>
          </w:p>
        </w:tc>
        <w:tc>
          <w:tcPr>
            <w:tcW w:w="2371" w:type="dxa"/>
            <w:vAlign w:val="center"/>
          </w:tcPr>
          <w:p w14:paraId="04692E6A"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0.2602</w:t>
            </w:r>
          </w:p>
        </w:tc>
      </w:tr>
      <w:tr w:rsidR="00D70824" w14:paraId="7EB9C10A" w14:textId="77777777" w:rsidTr="00D7082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212420E5" w14:textId="77777777" w:rsidR="009D13E3" w:rsidRPr="00927915" w:rsidRDefault="00F95F28" w:rsidP="00D14250">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Brown adipose tissue (g/tissue)</w:t>
            </w:r>
          </w:p>
        </w:tc>
        <w:tc>
          <w:tcPr>
            <w:tcW w:w="2419" w:type="dxa"/>
            <w:vAlign w:val="center"/>
          </w:tcPr>
          <w:p w14:paraId="020EB874"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5.6 ± 0.2</w:t>
            </w:r>
          </w:p>
        </w:tc>
        <w:tc>
          <w:tcPr>
            <w:tcW w:w="2960" w:type="dxa"/>
            <w:vAlign w:val="center"/>
          </w:tcPr>
          <w:p w14:paraId="09C6E3A8"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5.5 ± 0.1</w:t>
            </w:r>
          </w:p>
        </w:tc>
        <w:tc>
          <w:tcPr>
            <w:tcW w:w="2769" w:type="dxa"/>
            <w:vAlign w:val="center"/>
          </w:tcPr>
          <w:p w14:paraId="2E184946"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5.7 ± 0.1</w:t>
            </w:r>
          </w:p>
        </w:tc>
        <w:tc>
          <w:tcPr>
            <w:tcW w:w="2371" w:type="dxa"/>
            <w:vAlign w:val="center"/>
          </w:tcPr>
          <w:p w14:paraId="74BFD776"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0.5777</w:t>
            </w:r>
          </w:p>
        </w:tc>
      </w:tr>
      <w:tr w:rsidR="00D70824" w14:paraId="57762D1E" w14:textId="77777777" w:rsidTr="00D70824">
        <w:trPr>
          <w:trHeight w:val="477"/>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372F85E8" w14:textId="77777777" w:rsidR="009D13E3" w:rsidRPr="00927915" w:rsidRDefault="00F95F28" w:rsidP="009D13E3">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Perirenal adipose tissue (g/tissue)</w:t>
            </w:r>
          </w:p>
        </w:tc>
        <w:tc>
          <w:tcPr>
            <w:tcW w:w="2419" w:type="dxa"/>
            <w:vAlign w:val="center"/>
          </w:tcPr>
          <w:p w14:paraId="3530F710"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6.5 ± 0.1</w:t>
            </w:r>
            <w:r w:rsidRPr="00927915">
              <w:rPr>
                <w:rFonts w:ascii="Times New Roman" w:eastAsia="Times New Roman" w:hAnsi="Times New Roman" w:cs="Times New Roman"/>
                <w:sz w:val="24"/>
                <w:szCs w:val="24"/>
                <w:vertAlign w:val="superscript"/>
              </w:rPr>
              <w:t>a</w:t>
            </w:r>
          </w:p>
        </w:tc>
        <w:tc>
          <w:tcPr>
            <w:tcW w:w="2960" w:type="dxa"/>
            <w:vAlign w:val="center"/>
          </w:tcPr>
          <w:p w14:paraId="3282FC3A"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5.8 ± 0.5</w:t>
            </w:r>
            <w:r w:rsidRPr="00927915">
              <w:rPr>
                <w:rFonts w:ascii="Times New Roman" w:eastAsia="Times New Roman" w:hAnsi="Times New Roman" w:cs="Times New Roman"/>
                <w:sz w:val="24"/>
                <w:szCs w:val="24"/>
                <w:vertAlign w:val="superscript"/>
              </w:rPr>
              <w:t>b</w:t>
            </w:r>
          </w:p>
        </w:tc>
        <w:tc>
          <w:tcPr>
            <w:tcW w:w="2769" w:type="dxa"/>
            <w:vAlign w:val="center"/>
          </w:tcPr>
          <w:p w14:paraId="6613079F"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6.0 ± 0.2</w:t>
            </w:r>
            <w:r w:rsidRPr="00927915">
              <w:rPr>
                <w:rFonts w:ascii="Times New Roman" w:eastAsia="Times New Roman" w:hAnsi="Times New Roman" w:cs="Times New Roman"/>
                <w:sz w:val="24"/>
                <w:szCs w:val="24"/>
                <w:vertAlign w:val="superscript"/>
              </w:rPr>
              <w:t>b</w:t>
            </w:r>
          </w:p>
        </w:tc>
        <w:tc>
          <w:tcPr>
            <w:tcW w:w="2371" w:type="dxa"/>
            <w:vAlign w:val="center"/>
          </w:tcPr>
          <w:p w14:paraId="031854B4" w14:textId="77777777" w:rsidR="009D13E3" w:rsidRPr="00927915" w:rsidRDefault="00F95F28" w:rsidP="009D13E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0.0045*</w:t>
            </w:r>
          </w:p>
        </w:tc>
      </w:tr>
      <w:tr w:rsidR="00D70824" w14:paraId="78DB4CA1" w14:textId="77777777" w:rsidTr="00D7082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72" w:type="dxa"/>
            <w:vAlign w:val="center"/>
          </w:tcPr>
          <w:p w14:paraId="6BADCCC9" w14:textId="77777777" w:rsidR="009D13E3" w:rsidRPr="00927915" w:rsidRDefault="00F95F28" w:rsidP="009D13E3">
            <w:pPr>
              <w:pBdr>
                <w:top w:val="nil"/>
                <w:left w:val="nil"/>
                <w:bottom w:val="nil"/>
                <w:right w:val="nil"/>
                <w:between w:val="nil"/>
              </w:pBdr>
              <w:jc w:val="left"/>
              <w:rPr>
                <w:rFonts w:ascii="Times New Roman" w:eastAsia="Times New Roman" w:hAnsi="Times New Roman" w:cs="Times New Roman"/>
                <w:sz w:val="24"/>
                <w:szCs w:val="24"/>
              </w:rPr>
            </w:pPr>
            <w:r w:rsidRPr="00927915">
              <w:rPr>
                <w:rFonts w:ascii="Times New Roman" w:eastAsia="Times New Roman" w:hAnsi="Times New Roman" w:cs="Times New Roman"/>
                <w:b w:val="0"/>
                <w:sz w:val="24"/>
                <w:szCs w:val="24"/>
              </w:rPr>
              <w:t>Epididymal adipose tissue (g/tissue)</w:t>
            </w:r>
          </w:p>
        </w:tc>
        <w:tc>
          <w:tcPr>
            <w:tcW w:w="2419" w:type="dxa"/>
            <w:vAlign w:val="center"/>
          </w:tcPr>
          <w:p w14:paraId="059639A7"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1.1 ± 0.1</w:t>
            </w:r>
          </w:p>
        </w:tc>
        <w:tc>
          <w:tcPr>
            <w:tcW w:w="2960" w:type="dxa"/>
            <w:vAlign w:val="center"/>
          </w:tcPr>
          <w:p w14:paraId="6F2E6E3E"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0.6 ± 0.1</w:t>
            </w:r>
          </w:p>
        </w:tc>
        <w:tc>
          <w:tcPr>
            <w:tcW w:w="2769" w:type="dxa"/>
            <w:vAlign w:val="center"/>
          </w:tcPr>
          <w:p w14:paraId="634831AA"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0.6 ± 0.2</w:t>
            </w:r>
          </w:p>
        </w:tc>
        <w:tc>
          <w:tcPr>
            <w:tcW w:w="2371" w:type="dxa"/>
            <w:vAlign w:val="center"/>
          </w:tcPr>
          <w:p w14:paraId="63A62B62" w14:textId="77777777" w:rsidR="009D13E3" w:rsidRPr="00927915" w:rsidRDefault="00F95F28" w:rsidP="009D13E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0.0380</w:t>
            </w:r>
          </w:p>
        </w:tc>
      </w:tr>
    </w:tbl>
    <w:p w14:paraId="1017AA43" w14:textId="77777777" w:rsidR="006A40FC" w:rsidRPr="00927915" w:rsidRDefault="006A40FC">
      <w:pPr>
        <w:pBdr>
          <w:top w:val="nil"/>
          <w:left w:val="nil"/>
          <w:bottom w:val="nil"/>
          <w:right w:val="nil"/>
          <w:between w:val="nil"/>
        </w:pBdr>
        <w:spacing w:after="0" w:line="360" w:lineRule="auto"/>
        <w:jc w:val="both"/>
        <w:rPr>
          <w:rFonts w:ascii="Times New Roman" w:eastAsia="Times New Roman" w:hAnsi="Times New Roman" w:cs="Times New Roman"/>
          <w:sz w:val="18"/>
          <w:szCs w:val="18"/>
        </w:rPr>
      </w:pPr>
    </w:p>
    <w:p w14:paraId="76EB83DC" w14:textId="77777777" w:rsidR="00ED7F07" w:rsidRPr="00927915" w:rsidRDefault="00F95F28" w:rsidP="00ED7F07">
      <w:pPr>
        <w:tabs>
          <w:tab w:val="left" w:pos="2929"/>
          <w:tab w:val="left" w:pos="12616"/>
        </w:tabs>
        <w:ind w:right="993"/>
        <w:jc w:val="both"/>
        <w:rPr>
          <w:rFonts w:ascii="Times New Roman" w:eastAsia="Times New Roman" w:hAnsi="Times New Roman" w:cs="Times New Roman"/>
        </w:rPr>
      </w:pPr>
      <w:r w:rsidRPr="00927915">
        <w:rPr>
          <w:rFonts w:ascii="Times New Roman" w:eastAsia="Times New Roman" w:hAnsi="Times New Roman" w:cs="Times New Roman"/>
          <w:sz w:val="20"/>
          <w:szCs w:val="20"/>
        </w:rPr>
        <w:t>E</w:t>
      </w:r>
      <w:r w:rsidR="005E39C5" w:rsidRPr="00927915">
        <w:rPr>
          <w:rFonts w:ascii="Times New Roman" w:eastAsia="Times New Roman" w:hAnsi="Times New Roman" w:cs="Times New Roman"/>
          <w:sz w:val="20"/>
          <w:szCs w:val="20"/>
        </w:rPr>
        <w:t>xtensor digitorum longus (EDL)</w:t>
      </w:r>
      <w:r w:rsidR="009D13E3" w:rsidRPr="00927915">
        <w:rPr>
          <w:rFonts w:ascii="Times New Roman" w:eastAsia="Times New Roman" w:hAnsi="Times New Roman" w:cs="Times New Roman"/>
          <w:sz w:val="20"/>
          <w:szCs w:val="20"/>
        </w:rPr>
        <w:t xml:space="preserve">. </w:t>
      </w:r>
      <w:r w:rsidRPr="00927915">
        <w:rPr>
          <w:rFonts w:ascii="Times New Roman" w:eastAsia="Times New Roman" w:hAnsi="Times New Roman" w:cs="Times New Roman"/>
        </w:rPr>
        <w:t xml:space="preserve">Results are presented as mean and standard error of the mean </w:t>
      </w:r>
      <w:r w:rsidRPr="00927915">
        <w:rPr>
          <w:rFonts w:ascii="Times New Roman" w:eastAsia="Times New Roman" w:hAnsi="Times New Roman" w:cs="Times New Roman"/>
          <w:sz w:val="20"/>
          <w:szCs w:val="20"/>
        </w:rPr>
        <w:t>of the number of animals indicated in parentheses. Means with different superscript letters are significantly different by one-way ANOVA followed by Tukey's test.</w:t>
      </w:r>
    </w:p>
    <w:p w14:paraId="442E7F9D" w14:textId="77777777" w:rsidR="006A40FC" w:rsidRPr="00927915" w:rsidRDefault="006A40FC" w:rsidP="00ED7F07">
      <w:pPr>
        <w:tabs>
          <w:tab w:val="left" w:pos="2929"/>
          <w:tab w:val="left" w:pos="12616"/>
        </w:tabs>
        <w:ind w:right="993"/>
        <w:jc w:val="both"/>
        <w:rPr>
          <w:rFonts w:ascii="Times New Roman" w:eastAsia="Times New Roman" w:hAnsi="Times New Roman" w:cs="Times New Roman"/>
        </w:rPr>
      </w:pPr>
    </w:p>
    <w:p w14:paraId="46E28B11" w14:textId="77777777" w:rsidR="006A40FC" w:rsidRPr="00927915" w:rsidRDefault="006A40FC">
      <w:pPr>
        <w:tabs>
          <w:tab w:val="left" w:pos="709"/>
        </w:tabs>
        <w:spacing w:after="0" w:line="360" w:lineRule="auto"/>
        <w:jc w:val="both"/>
        <w:rPr>
          <w:rFonts w:ascii="Times New Roman" w:eastAsia="Times New Roman" w:hAnsi="Times New Roman" w:cs="Times New Roman"/>
          <w:sz w:val="24"/>
          <w:szCs w:val="24"/>
        </w:rPr>
      </w:pPr>
    </w:p>
    <w:p w14:paraId="7BFDEDA1" w14:textId="77777777" w:rsidR="006A40FC" w:rsidRPr="00927915" w:rsidRDefault="006A40FC">
      <w:pPr>
        <w:spacing w:line="360" w:lineRule="auto"/>
        <w:jc w:val="both"/>
        <w:rPr>
          <w:rFonts w:ascii="Times New Roman" w:eastAsia="Times New Roman" w:hAnsi="Times New Roman" w:cs="Times New Roman"/>
        </w:rPr>
      </w:pPr>
    </w:p>
    <w:p w14:paraId="57922D40" w14:textId="77777777" w:rsidR="006A40FC" w:rsidRPr="00927915" w:rsidRDefault="006A40FC">
      <w:pPr>
        <w:spacing w:line="360" w:lineRule="auto"/>
        <w:jc w:val="both"/>
        <w:rPr>
          <w:rFonts w:ascii="Times New Roman" w:eastAsia="Times New Roman" w:hAnsi="Times New Roman" w:cs="Times New Roman"/>
        </w:rPr>
      </w:pPr>
    </w:p>
    <w:p w14:paraId="1DDEE285" w14:textId="77777777" w:rsidR="006A40FC" w:rsidRPr="00927915" w:rsidRDefault="006A40FC">
      <w:pPr>
        <w:spacing w:line="360" w:lineRule="auto"/>
        <w:jc w:val="both"/>
        <w:rPr>
          <w:rFonts w:ascii="Times New Roman" w:eastAsia="Times New Roman" w:hAnsi="Times New Roman" w:cs="Times New Roman"/>
        </w:rPr>
        <w:sectPr w:rsidR="006A40FC" w:rsidRPr="00927915" w:rsidSect="004F0676">
          <w:type w:val="continuous"/>
          <w:pgSz w:w="16838" w:h="11906" w:orient="landscape"/>
          <w:pgMar w:top="1701" w:right="1417" w:bottom="1701" w:left="1417" w:header="709" w:footer="709" w:gutter="0"/>
          <w:cols w:space="720"/>
          <w:docGrid w:linePitch="299"/>
        </w:sectPr>
      </w:pPr>
    </w:p>
    <w:p w14:paraId="0AA4BBDF" w14:textId="3E79DAB0" w:rsidR="006A40FC" w:rsidRPr="00465B00" w:rsidRDefault="00F95F28" w:rsidP="00465B00">
      <w:pPr>
        <w:pStyle w:val="PargrafodaLista"/>
        <w:numPr>
          <w:ilvl w:val="1"/>
          <w:numId w:val="9"/>
        </w:numPr>
        <w:spacing w:line="360" w:lineRule="auto"/>
        <w:ind w:left="1134" w:hanging="567"/>
        <w:jc w:val="both"/>
        <w:rPr>
          <w:rFonts w:ascii="Times New Roman" w:eastAsia="Times New Roman" w:hAnsi="Times New Roman" w:cs="Times New Roman"/>
          <w:b/>
        </w:rPr>
      </w:pPr>
      <w:r w:rsidRPr="00465B00">
        <w:rPr>
          <w:rFonts w:ascii="Times New Roman" w:eastAsia="Times New Roman" w:hAnsi="Times New Roman" w:cs="Times New Roman"/>
          <w:b/>
        </w:rPr>
        <w:lastRenderedPageBreak/>
        <w:t>Ox</w:t>
      </w:r>
      <w:r w:rsidRPr="00465B00">
        <w:rPr>
          <w:rFonts w:ascii="Times New Roman" w:eastAsia="Times New Roman" w:hAnsi="Times New Roman" w:cs="Times New Roman"/>
          <w:b/>
        </w:rPr>
        <w:t>idative Profile</w:t>
      </w:r>
    </w:p>
    <w:p w14:paraId="6CC80C49" w14:textId="77777777" w:rsidR="00445846" w:rsidRPr="00927915" w:rsidRDefault="00F95F28">
      <w:pPr>
        <w:tabs>
          <w:tab w:val="left" w:pos="709"/>
        </w:tabs>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rPr>
        <w:t>The activity of th</w:t>
      </w:r>
      <w:r w:rsidR="00ED7F07" w:rsidRPr="00927915">
        <w:rPr>
          <w:rFonts w:ascii="Times New Roman" w:eastAsia="Times New Roman" w:hAnsi="Times New Roman" w:cs="Times New Roman"/>
        </w:rPr>
        <w:t xml:space="preserve">e enzyme glutathione reductase </w:t>
      </w:r>
      <w:r w:rsidRPr="00927915">
        <w:rPr>
          <w:rFonts w:ascii="Times New Roman" w:eastAsia="Times New Roman" w:hAnsi="Times New Roman" w:cs="Times New Roman"/>
        </w:rPr>
        <w:t>in the liver was approximately 80% lower in both the VAD and AO groups when compared to controls (Figure 1). The level of carbonylated proteins was altered in the liver, being higher in the AO group than in the C (171%) and VAD (310%) groups. The other par</w:t>
      </w:r>
      <w:r w:rsidRPr="00927915">
        <w:rPr>
          <w:rFonts w:ascii="Times New Roman" w:eastAsia="Times New Roman" w:hAnsi="Times New Roman" w:cs="Times New Roman"/>
        </w:rPr>
        <w:t xml:space="preserve">ameters evaluated remained unchanged. </w:t>
      </w:r>
      <w:r w:rsidR="005E39C5" w:rsidRPr="00927915">
        <w:rPr>
          <w:rFonts w:ascii="Times New Roman" w:eastAsia="Times New Roman" w:hAnsi="Times New Roman" w:cs="Times New Roman"/>
          <w:sz w:val="24"/>
          <w:szCs w:val="24"/>
        </w:rPr>
        <w:t xml:space="preserve"> </w:t>
      </w:r>
      <w:r w:rsidRPr="00927915">
        <w:rPr>
          <w:rFonts w:ascii="Times New Roman" w:eastAsia="Times New Roman" w:hAnsi="Times New Roman" w:cs="Times New Roman"/>
          <w:sz w:val="24"/>
          <w:szCs w:val="24"/>
        </w:rPr>
        <w:tab/>
      </w:r>
      <w:r w:rsidRPr="00927915">
        <w:rPr>
          <w:rFonts w:ascii="Times New Roman" w:eastAsia="Times New Roman" w:hAnsi="Times New Roman" w:cs="Times New Roman"/>
          <w:sz w:val="24"/>
          <w:szCs w:val="24"/>
        </w:rPr>
        <w:tab/>
      </w:r>
      <w:r w:rsidRPr="00927915">
        <w:rPr>
          <w:rFonts w:ascii="Times New Roman" w:eastAsia="Times New Roman" w:hAnsi="Times New Roman" w:cs="Times New Roman"/>
          <w:sz w:val="24"/>
          <w:szCs w:val="24"/>
        </w:rPr>
        <w:tab/>
      </w:r>
      <w:r w:rsidRPr="00927915">
        <w:rPr>
          <w:rFonts w:ascii="Times New Roman" w:eastAsia="Times New Roman" w:hAnsi="Times New Roman" w:cs="Times New Roman"/>
          <w:sz w:val="24"/>
          <w:szCs w:val="24"/>
        </w:rPr>
        <w:tab/>
      </w:r>
    </w:p>
    <w:p w14:paraId="518C4827" w14:textId="77777777" w:rsidR="006A40FC" w:rsidRPr="00927915" w:rsidRDefault="00F95F28">
      <w:pPr>
        <w:tabs>
          <w:tab w:val="left" w:pos="709"/>
        </w:tabs>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A                                                                    B     </w:t>
      </w:r>
    </w:p>
    <w:p w14:paraId="0DB8CEEC" w14:textId="77777777" w:rsidR="006A40FC" w:rsidRPr="00927915" w:rsidRDefault="00F95F28">
      <w:pPr>
        <w:spacing w:after="0" w:line="360" w:lineRule="auto"/>
        <w:ind w:left="-284"/>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 </w:t>
      </w:r>
      <w:r>
        <w:rPr>
          <w:noProof/>
        </w:rPr>
        <w:object w:dxaOrig="4230" w:dyaOrig="3240" w14:anchorId="29112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62pt" o:ole="" filled="t">
            <v:imagedata r:id="rId15" o:title=""/>
          </v:shape>
          <o:OLEObject Type="Embed" ProgID="Prism8.Document" ShapeID="_x0000_i1025" DrawAspect="Content" ObjectID="_1818603102" r:id="rId16"/>
        </w:object>
      </w:r>
      <w:r>
        <w:rPr>
          <w:noProof/>
        </w:rPr>
        <w:object w:dxaOrig="4230" w:dyaOrig="3120" w14:anchorId="12CB2655">
          <v:shape id="_x0000_i1026" type="#_x0000_t75" style="width:211.5pt;height:156pt" o:ole="" filled="t">
            <v:imagedata r:id="rId17" o:title=""/>
          </v:shape>
          <o:OLEObject Type="Embed" ProgID="Prism8.Document" ShapeID="_x0000_i1026" DrawAspect="Content" ObjectID="_1818603103" r:id="rId18"/>
        </w:object>
      </w:r>
    </w:p>
    <w:p w14:paraId="05E6E38B" w14:textId="77777777" w:rsidR="006A40FC" w:rsidRPr="00927915" w:rsidRDefault="00F95F28">
      <w:pPr>
        <w:tabs>
          <w:tab w:val="left" w:pos="709"/>
        </w:tabs>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C    </w:t>
      </w:r>
      <w:r w:rsidR="007E3FFB" w:rsidRPr="00927915">
        <w:rPr>
          <w:rFonts w:ascii="Times New Roman" w:eastAsia="Times New Roman" w:hAnsi="Times New Roman" w:cs="Times New Roman"/>
          <w:sz w:val="24"/>
          <w:szCs w:val="24"/>
        </w:rPr>
        <w:tab/>
      </w:r>
      <w:r w:rsidR="007E3FFB" w:rsidRPr="00927915">
        <w:rPr>
          <w:rFonts w:ascii="Times New Roman" w:eastAsia="Times New Roman" w:hAnsi="Times New Roman" w:cs="Times New Roman"/>
          <w:sz w:val="24"/>
          <w:szCs w:val="24"/>
        </w:rPr>
        <w:tab/>
      </w:r>
      <w:r w:rsidR="007E3FFB" w:rsidRPr="00927915">
        <w:rPr>
          <w:rFonts w:ascii="Times New Roman" w:eastAsia="Times New Roman" w:hAnsi="Times New Roman" w:cs="Times New Roman"/>
          <w:sz w:val="24"/>
          <w:szCs w:val="24"/>
        </w:rPr>
        <w:tab/>
      </w:r>
      <w:r w:rsidR="007E3FFB" w:rsidRPr="00927915">
        <w:rPr>
          <w:rFonts w:ascii="Times New Roman" w:eastAsia="Times New Roman" w:hAnsi="Times New Roman" w:cs="Times New Roman"/>
          <w:sz w:val="24"/>
          <w:szCs w:val="24"/>
        </w:rPr>
        <w:tab/>
      </w:r>
      <w:r w:rsidR="007E3FFB" w:rsidRPr="00927915">
        <w:rPr>
          <w:rFonts w:ascii="Times New Roman" w:eastAsia="Times New Roman" w:hAnsi="Times New Roman" w:cs="Times New Roman"/>
          <w:sz w:val="24"/>
          <w:szCs w:val="24"/>
        </w:rPr>
        <w:tab/>
      </w:r>
      <w:r w:rsidR="007E3FFB" w:rsidRPr="00927915">
        <w:rPr>
          <w:rFonts w:ascii="Times New Roman" w:eastAsia="Times New Roman" w:hAnsi="Times New Roman" w:cs="Times New Roman"/>
          <w:sz w:val="24"/>
          <w:szCs w:val="24"/>
        </w:rPr>
        <w:tab/>
      </w:r>
      <w:r w:rsidR="007E3FFB" w:rsidRPr="00927915">
        <w:rPr>
          <w:rFonts w:ascii="Times New Roman" w:eastAsia="Times New Roman" w:hAnsi="Times New Roman" w:cs="Times New Roman"/>
          <w:sz w:val="24"/>
          <w:szCs w:val="24"/>
        </w:rPr>
        <w:tab/>
        <w:t xml:space="preserve"> </w:t>
      </w:r>
      <w:r w:rsidRPr="00927915">
        <w:rPr>
          <w:rFonts w:ascii="Times New Roman" w:eastAsia="Times New Roman" w:hAnsi="Times New Roman" w:cs="Times New Roman"/>
          <w:sz w:val="24"/>
          <w:szCs w:val="24"/>
        </w:rPr>
        <w:t xml:space="preserve">  D</w:t>
      </w:r>
    </w:p>
    <w:p w14:paraId="05B3FAA1" w14:textId="77777777" w:rsidR="006A40FC" w:rsidRPr="00927915" w:rsidRDefault="00F95F28">
      <w:pPr>
        <w:tabs>
          <w:tab w:val="left" w:pos="709"/>
        </w:tabs>
        <w:spacing w:after="0" w:line="360" w:lineRule="auto"/>
        <w:jc w:val="both"/>
      </w:pPr>
      <w:r>
        <w:rPr>
          <w:noProof/>
        </w:rPr>
        <w:object w:dxaOrig="4275" w:dyaOrig="3315" w14:anchorId="168A34D7">
          <v:shape id="_x0000_i1027" type="#_x0000_t75" style="width:213.75pt;height:165.75pt" o:ole="" filled="t">
            <v:imagedata r:id="rId19" o:title=""/>
          </v:shape>
          <o:OLEObject Type="Embed" ProgID="Prism8.Document" ShapeID="_x0000_i1027" DrawAspect="Content" ObjectID="_1818603104" r:id="rId20"/>
        </w:object>
      </w:r>
      <w:r>
        <w:rPr>
          <w:noProof/>
        </w:rPr>
        <w:object w:dxaOrig="4080" w:dyaOrig="3330" w14:anchorId="4F19EB27">
          <v:shape id="_x0000_i1028" type="#_x0000_t75" style="width:204pt;height:166.5pt" o:ole="" filled="t">
            <v:imagedata r:id="rId21" o:title=""/>
          </v:shape>
          <o:OLEObject Type="Embed" ProgID="Prism8.Document" ShapeID="_x0000_i1028" DrawAspect="Content" ObjectID="_1818603105" r:id="rId22"/>
        </w:object>
      </w:r>
    </w:p>
    <w:p w14:paraId="64A2AFA1" w14:textId="77777777" w:rsidR="006A40FC" w:rsidRPr="00927915" w:rsidRDefault="00F95F28" w:rsidP="00F6295B">
      <w:pPr>
        <w:spacing w:after="0" w:line="36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 </w:t>
      </w:r>
      <w:r w:rsidRPr="00927915">
        <w:rPr>
          <w:rFonts w:ascii="Times New Roman" w:eastAsia="Times New Roman" w:hAnsi="Times New Roman" w:cs="Times New Roman"/>
          <w:sz w:val="24"/>
          <w:szCs w:val="24"/>
        </w:rPr>
        <w:tab/>
      </w:r>
      <w:r w:rsidR="005E39C5" w:rsidRPr="00927915">
        <w:rPr>
          <w:rFonts w:ascii="Times New Roman" w:eastAsia="Times New Roman" w:hAnsi="Times New Roman" w:cs="Times New Roman"/>
          <w:sz w:val="24"/>
          <w:szCs w:val="24"/>
        </w:rPr>
        <w:t>E</w:t>
      </w:r>
    </w:p>
    <w:p w14:paraId="503895B8" w14:textId="77777777" w:rsidR="006A40FC" w:rsidRPr="00927915" w:rsidRDefault="00F95F28">
      <w:pPr>
        <w:spacing w:after="0" w:line="360" w:lineRule="auto"/>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     </w:t>
      </w:r>
      <w:r>
        <w:rPr>
          <w:noProof/>
        </w:rPr>
        <w:object w:dxaOrig="4275" w:dyaOrig="3120" w14:anchorId="305F2936">
          <v:shape id="_x0000_i1029" type="#_x0000_t75" style="width:213.75pt;height:156pt" o:ole="" filled="t">
            <v:imagedata r:id="rId23" o:title=""/>
          </v:shape>
          <o:OLEObject Type="Embed" ProgID="Prism8.Document" ShapeID="_x0000_i1029" DrawAspect="Content" ObjectID="_1818603106" r:id="rId24"/>
        </w:object>
      </w:r>
    </w:p>
    <w:p w14:paraId="25D492B4" w14:textId="77777777" w:rsidR="00ED7F07" w:rsidRPr="00927915" w:rsidRDefault="00F95F28" w:rsidP="00ED7F07">
      <w:pPr>
        <w:tabs>
          <w:tab w:val="left" w:pos="2929"/>
          <w:tab w:val="left" w:pos="12616"/>
        </w:tabs>
        <w:ind w:right="993"/>
        <w:jc w:val="both"/>
        <w:rPr>
          <w:rFonts w:ascii="Times New Roman" w:eastAsia="Times New Roman" w:hAnsi="Times New Roman" w:cs="Times New Roman"/>
        </w:rPr>
      </w:pPr>
      <w:r w:rsidRPr="00927915">
        <w:rPr>
          <w:rFonts w:ascii="Times New Roman" w:eastAsia="Times New Roman" w:hAnsi="Times New Roman" w:cs="Times New Roman"/>
          <w:b/>
          <w:sz w:val="20"/>
          <w:szCs w:val="20"/>
        </w:rPr>
        <w:lastRenderedPageBreak/>
        <w:t>Figure 1:</w:t>
      </w:r>
      <w:r w:rsidRPr="00927915">
        <w:rPr>
          <w:rFonts w:ascii="Times New Roman" w:eastAsia="Times New Roman" w:hAnsi="Times New Roman" w:cs="Times New Roman"/>
          <w:sz w:val="20"/>
          <w:szCs w:val="20"/>
        </w:rPr>
        <w:t xml:space="preserve"> Evaluation of antioxidant activity</w:t>
      </w:r>
      <w:r w:rsidR="007E3FFB" w:rsidRPr="00927915">
        <w:rPr>
          <w:rFonts w:ascii="Times New Roman" w:eastAsia="Times New Roman" w:hAnsi="Times New Roman" w:cs="Times New Roman"/>
          <w:sz w:val="20"/>
          <w:szCs w:val="20"/>
        </w:rPr>
        <w:t xml:space="preserve"> and oxidative damage to the liver of animals in the Control</w:t>
      </w:r>
      <w:r w:rsidR="00445846" w:rsidRPr="00927915">
        <w:rPr>
          <w:rFonts w:ascii="Times New Roman" w:eastAsia="Times New Roman" w:hAnsi="Times New Roman" w:cs="Times New Roman"/>
          <w:sz w:val="20"/>
          <w:szCs w:val="20"/>
        </w:rPr>
        <w:t xml:space="preserve"> (n=</w:t>
      </w:r>
      <w:r w:rsidR="00903B0D" w:rsidRPr="00927915">
        <w:rPr>
          <w:rFonts w:ascii="Times New Roman" w:eastAsia="Times New Roman" w:hAnsi="Times New Roman" w:cs="Times New Roman"/>
          <w:sz w:val="20"/>
          <w:szCs w:val="20"/>
        </w:rPr>
        <w:t>7</w:t>
      </w:r>
      <w:r w:rsidR="00445846" w:rsidRPr="00927915">
        <w:rPr>
          <w:rFonts w:ascii="Times New Roman" w:eastAsia="Times New Roman" w:hAnsi="Times New Roman" w:cs="Times New Roman"/>
          <w:sz w:val="20"/>
          <w:szCs w:val="20"/>
        </w:rPr>
        <w:t>)</w:t>
      </w:r>
      <w:r w:rsidR="007E3FFB" w:rsidRPr="00927915">
        <w:rPr>
          <w:rFonts w:ascii="Times New Roman" w:eastAsia="Times New Roman" w:hAnsi="Times New Roman" w:cs="Times New Roman"/>
          <w:sz w:val="20"/>
          <w:szCs w:val="20"/>
        </w:rPr>
        <w:t>, Vitamin A Deficient</w:t>
      </w:r>
      <w:r w:rsidR="00445846" w:rsidRPr="00927915">
        <w:rPr>
          <w:rFonts w:ascii="Times New Roman" w:eastAsia="Times New Roman" w:hAnsi="Times New Roman" w:cs="Times New Roman"/>
          <w:sz w:val="20"/>
          <w:szCs w:val="20"/>
        </w:rPr>
        <w:t xml:space="preserve"> (n=</w:t>
      </w:r>
      <w:r w:rsidR="00903B0D" w:rsidRPr="00927915">
        <w:rPr>
          <w:rFonts w:ascii="Times New Roman" w:eastAsia="Times New Roman" w:hAnsi="Times New Roman" w:cs="Times New Roman"/>
          <w:sz w:val="20"/>
          <w:szCs w:val="20"/>
        </w:rPr>
        <w:t>7</w:t>
      </w:r>
      <w:r w:rsidR="00445846" w:rsidRPr="00927915">
        <w:rPr>
          <w:rFonts w:ascii="Times New Roman" w:eastAsia="Times New Roman" w:hAnsi="Times New Roman" w:cs="Times New Roman"/>
          <w:sz w:val="20"/>
          <w:szCs w:val="20"/>
        </w:rPr>
        <w:t xml:space="preserve"> )</w:t>
      </w:r>
      <w:r w:rsidR="007E3FFB" w:rsidRPr="00927915">
        <w:rPr>
          <w:rFonts w:ascii="Times New Roman" w:eastAsia="Times New Roman" w:hAnsi="Times New Roman" w:cs="Times New Roman"/>
          <w:sz w:val="20"/>
          <w:szCs w:val="20"/>
        </w:rPr>
        <w:t xml:space="preserve">, and </w:t>
      </w:r>
      <w:r w:rsidR="007E3FFB" w:rsidRPr="00927915">
        <w:rPr>
          <w:rFonts w:ascii="Times New Roman" w:eastAsia="Times New Roman" w:hAnsi="Times New Roman" w:cs="Times New Roman"/>
          <w:i/>
          <w:sz w:val="20"/>
          <w:szCs w:val="20"/>
        </w:rPr>
        <w:t>Attalea phalerata</w:t>
      </w:r>
      <w:r w:rsidR="007E3FFB" w:rsidRPr="00927915">
        <w:rPr>
          <w:rFonts w:ascii="Times New Roman" w:eastAsia="Times New Roman" w:hAnsi="Times New Roman" w:cs="Times New Roman"/>
          <w:sz w:val="20"/>
          <w:szCs w:val="20"/>
        </w:rPr>
        <w:t xml:space="preserve"> Oil </w:t>
      </w:r>
      <w:r w:rsidR="00445846" w:rsidRPr="00927915">
        <w:rPr>
          <w:rFonts w:ascii="Times New Roman" w:eastAsia="Times New Roman" w:hAnsi="Times New Roman" w:cs="Times New Roman"/>
          <w:sz w:val="20"/>
          <w:szCs w:val="20"/>
        </w:rPr>
        <w:t>(n=</w:t>
      </w:r>
      <w:r w:rsidR="00903B0D" w:rsidRPr="00927915">
        <w:rPr>
          <w:rFonts w:ascii="Times New Roman" w:eastAsia="Times New Roman" w:hAnsi="Times New Roman" w:cs="Times New Roman"/>
          <w:sz w:val="20"/>
          <w:szCs w:val="20"/>
        </w:rPr>
        <w:t>7</w:t>
      </w:r>
      <w:r w:rsidR="00445846" w:rsidRPr="00927915">
        <w:rPr>
          <w:rFonts w:ascii="Times New Roman" w:eastAsia="Times New Roman" w:hAnsi="Times New Roman" w:cs="Times New Roman"/>
          <w:sz w:val="20"/>
          <w:szCs w:val="20"/>
        </w:rPr>
        <w:t xml:space="preserve">) </w:t>
      </w:r>
      <w:r w:rsidR="007E3FFB" w:rsidRPr="00927915">
        <w:rPr>
          <w:rFonts w:ascii="Times New Roman" w:eastAsia="Times New Roman" w:hAnsi="Times New Roman" w:cs="Times New Roman"/>
          <w:sz w:val="20"/>
          <w:szCs w:val="20"/>
        </w:rPr>
        <w:t xml:space="preserve">groups after 45 days of treatment. </w:t>
      </w:r>
      <w:r w:rsidRPr="00927915">
        <w:rPr>
          <w:rFonts w:ascii="Times New Roman" w:eastAsia="Times New Roman" w:hAnsi="Times New Roman" w:cs="Times New Roman"/>
          <w:sz w:val="20"/>
          <w:szCs w:val="20"/>
        </w:rPr>
        <w:t xml:space="preserve">Catalase activity (A); Superoxide dismutase activity (B); </w:t>
      </w:r>
      <w:r w:rsidR="007E3FFB" w:rsidRPr="00927915">
        <w:rPr>
          <w:rFonts w:ascii="Times New Roman" w:eastAsia="Times New Roman" w:hAnsi="Times New Roman" w:cs="Times New Roman"/>
          <w:sz w:val="20"/>
          <w:szCs w:val="20"/>
        </w:rPr>
        <w:t>G</w:t>
      </w:r>
      <w:r w:rsidRPr="00927915">
        <w:rPr>
          <w:rFonts w:ascii="Times New Roman" w:eastAsia="Times New Roman" w:hAnsi="Times New Roman" w:cs="Times New Roman"/>
          <w:sz w:val="20"/>
          <w:szCs w:val="20"/>
        </w:rPr>
        <w:t>lutathione reductase activity (C)</w:t>
      </w:r>
      <w:r w:rsidR="007E3FFB" w:rsidRPr="00927915">
        <w:rPr>
          <w:rFonts w:ascii="Times New Roman" w:eastAsia="Times New Roman" w:hAnsi="Times New Roman" w:cs="Times New Roman"/>
          <w:sz w:val="20"/>
          <w:szCs w:val="20"/>
        </w:rPr>
        <w:t>;</w:t>
      </w:r>
      <w:r w:rsidRPr="00927915">
        <w:rPr>
          <w:rFonts w:ascii="Times New Roman" w:eastAsia="Times New Roman" w:hAnsi="Times New Roman" w:cs="Times New Roman"/>
          <w:sz w:val="20"/>
          <w:szCs w:val="20"/>
        </w:rPr>
        <w:t xml:space="preserve"> Carbonylated proteins </w:t>
      </w:r>
      <w:r w:rsidR="007E3FFB" w:rsidRPr="00927915">
        <w:rPr>
          <w:rFonts w:ascii="Times New Roman" w:eastAsia="Times New Roman" w:hAnsi="Times New Roman" w:cs="Times New Roman"/>
          <w:sz w:val="20"/>
          <w:szCs w:val="20"/>
        </w:rPr>
        <w:t xml:space="preserve">levels </w:t>
      </w:r>
      <w:r w:rsidRPr="00927915">
        <w:rPr>
          <w:rFonts w:ascii="Times New Roman" w:eastAsia="Times New Roman" w:hAnsi="Times New Roman" w:cs="Times New Roman"/>
          <w:sz w:val="20"/>
          <w:szCs w:val="20"/>
        </w:rPr>
        <w:t xml:space="preserve">(D); </w:t>
      </w:r>
      <w:r w:rsidR="007E3FFB" w:rsidRPr="00927915">
        <w:rPr>
          <w:rFonts w:ascii="Times New Roman" w:eastAsia="Times New Roman" w:hAnsi="Times New Roman" w:cs="Times New Roman"/>
          <w:sz w:val="20"/>
          <w:szCs w:val="20"/>
        </w:rPr>
        <w:t>M</w:t>
      </w:r>
      <w:r w:rsidRPr="00927915">
        <w:rPr>
          <w:rFonts w:ascii="Times New Roman" w:eastAsia="Times New Roman" w:hAnsi="Times New Roman" w:cs="Times New Roman"/>
          <w:sz w:val="20"/>
          <w:szCs w:val="20"/>
        </w:rPr>
        <w:t>alondialdehyde</w:t>
      </w:r>
      <w:r w:rsidR="007E3FFB" w:rsidRPr="00927915">
        <w:rPr>
          <w:rFonts w:ascii="Times New Roman" w:eastAsia="Times New Roman" w:hAnsi="Times New Roman" w:cs="Times New Roman"/>
          <w:sz w:val="20"/>
          <w:szCs w:val="20"/>
        </w:rPr>
        <w:t xml:space="preserve"> levels</w:t>
      </w:r>
      <w:r w:rsidRPr="00927915">
        <w:rPr>
          <w:rFonts w:ascii="Times New Roman" w:eastAsia="Times New Roman" w:hAnsi="Times New Roman" w:cs="Times New Roman"/>
          <w:sz w:val="20"/>
          <w:szCs w:val="20"/>
        </w:rPr>
        <w:t xml:space="preserve"> (E). Results are presented as mean and standard error of the mean. Means with different superscript lette</w:t>
      </w:r>
      <w:r w:rsidRPr="00927915">
        <w:rPr>
          <w:rFonts w:ascii="Times New Roman" w:eastAsia="Times New Roman" w:hAnsi="Times New Roman" w:cs="Times New Roman"/>
          <w:sz w:val="20"/>
          <w:szCs w:val="20"/>
        </w:rPr>
        <w:t>rs are significantly different by one-way ANOVA followed by Tukey's test.</w:t>
      </w:r>
    </w:p>
    <w:p w14:paraId="670CDB94" w14:textId="77777777" w:rsidR="006A40FC" w:rsidRPr="00927915" w:rsidRDefault="006A40FC" w:rsidP="00ED7F07">
      <w:pPr>
        <w:tabs>
          <w:tab w:val="left" w:pos="2929"/>
          <w:tab w:val="left" w:pos="12616"/>
        </w:tabs>
        <w:ind w:right="993"/>
        <w:jc w:val="both"/>
        <w:rPr>
          <w:rFonts w:ascii="Times New Roman" w:eastAsia="Times New Roman" w:hAnsi="Times New Roman" w:cs="Times New Roman"/>
          <w:b/>
          <w:sz w:val="24"/>
          <w:szCs w:val="24"/>
        </w:rPr>
      </w:pPr>
    </w:p>
    <w:p w14:paraId="7350B4F3" w14:textId="77777777" w:rsidR="006A40FC" w:rsidRPr="00927915" w:rsidRDefault="00F95F28">
      <w:pPr>
        <w:numPr>
          <w:ilvl w:val="0"/>
          <w:numId w:val="5"/>
        </w:numPr>
        <w:pBdr>
          <w:top w:val="nil"/>
          <w:left w:val="nil"/>
          <w:bottom w:val="nil"/>
          <w:right w:val="nil"/>
          <w:between w:val="nil"/>
        </w:pBdr>
        <w:spacing w:after="0" w:line="360" w:lineRule="auto"/>
        <w:ind w:left="851" w:hanging="425"/>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DISCUSSION</w:t>
      </w:r>
    </w:p>
    <w:p w14:paraId="7A3AB59A" w14:textId="77777777" w:rsidR="006A40FC" w:rsidRPr="00927915" w:rsidRDefault="00F95F2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Previous studies conducted by our research group have shown that the use of oil obtained from the pulp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Mart. ex Spreng. in the state of Mato Grosso can be considered an effective source of β-carotene, since it contains higher amounts of this component compared to fruits of the same species harvested in other regions of the country (Spada et al., 2025). The</w:t>
      </w:r>
      <w:r w:rsidRPr="00927915">
        <w:rPr>
          <w:rFonts w:ascii="Times New Roman" w:eastAsia="Times New Roman" w:hAnsi="Times New Roman" w:cs="Times New Roman"/>
          <w:sz w:val="24"/>
          <w:szCs w:val="24"/>
        </w:rPr>
        <w:t xml:space="preserve"> study evaluated whether a diet based on </w:t>
      </w:r>
      <w:r w:rsidR="00DE6D4C" w:rsidRPr="00927915">
        <w:rPr>
          <w:rFonts w:ascii="Times New Roman" w:eastAsia="Times New Roman" w:hAnsi="Times New Roman" w:cs="Times New Roman"/>
          <w:sz w:val="24"/>
          <w:szCs w:val="24"/>
        </w:rPr>
        <w:t>hexane extract (</w:t>
      </w:r>
      <w:r w:rsidRPr="00927915">
        <w:rPr>
          <w:rFonts w:ascii="Times New Roman" w:eastAsia="Times New Roman" w:hAnsi="Times New Roman" w:cs="Times New Roman"/>
          <w:sz w:val="24"/>
          <w:szCs w:val="24"/>
        </w:rPr>
        <w:t>oil</w:t>
      </w:r>
      <w:r w:rsidR="00DE6D4C" w:rsidRPr="00927915">
        <w:rPr>
          <w:rFonts w:ascii="Times New Roman" w:eastAsia="Times New Roman" w:hAnsi="Times New Roman" w:cs="Times New Roman"/>
          <w:sz w:val="24"/>
          <w:szCs w:val="24"/>
        </w:rPr>
        <w:t>)</w:t>
      </w:r>
      <w:r w:rsidRPr="00927915">
        <w:rPr>
          <w:rFonts w:ascii="Times New Roman" w:eastAsia="Times New Roman" w:hAnsi="Times New Roman" w:cs="Times New Roman"/>
          <w:sz w:val="24"/>
          <w:szCs w:val="24"/>
        </w:rPr>
        <w:t xml:space="preserve"> obtained from the pulp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Mart. ex Spreng., administered in Swiss mice, is effective as the sole source of provitamin A. To this end, we verified the effects on murinometric, b</w:t>
      </w:r>
      <w:r w:rsidRPr="00927915">
        <w:rPr>
          <w:rFonts w:ascii="Times New Roman" w:eastAsia="Times New Roman" w:hAnsi="Times New Roman" w:cs="Times New Roman"/>
          <w:sz w:val="24"/>
          <w:szCs w:val="24"/>
        </w:rPr>
        <w:t xml:space="preserve">iochemical, and oxidative parameters in </w:t>
      </w:r>
      <w:r w:rsidR="00DE6D4C" w:rsidRPr="00927915">
        <w:rPr>
          <w:rFonts w:ascii="Times New Roman" w:eastAsia="Times New Roman" w:hAnsi="Times New Roman" w:cs="Times New Roman"/>
          <w:sz w:val="24"/>
          <w:szCs w:val="24"/>
        </w:rPr>
        <w:t>animals</w:t>
      </w:r>
      <w:r w:rsidRPr="00927915">
        <w:rPr>
          <w:rFonts w:ascii="Times New Roman" w:eastAsia="Times New Roman" w:hAnsi="Times New Roman" w:cs="Times New Roman"/>
          <w:sz w:val="24"/>
          <w:szCs w:val="24"/>
        </w:rPr>
        <w:t>.</w:t>
      </w:r>
    </w:p>
    <w:p w14:paraId="3955C15E" w14:textId="77777777" w:rsidR="006A40FC" w:rsidRPr="00927915" w:rsidRDefault="00F95F2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The experimental diet administered to the animals was standardized according to AIN-93G (Reeves et al., 1993), and vitamin A (retinyl palmitate) was removed </w:t>
      </w:r>
      <w:r w:rsidR="00DE6D4C" w:rsidRPr="00927915">
        <w:rPr>
          <w:rFonts w:ascii="Times New Roman" w:eastAsia="Times New Roman" w:hAnsi="Times New Roman" w:cs="Times New Roman"/>
          <w:sz w:val="24"/>
          <w:szCs w:val="24"/>
        </w:rPr>
        <w:t xml:space="preserve">of the vitamin mix </w:t>
      </w:r>
      <w:r w:rsidRPr="00927915">
        <w:rPr>
          <w:rFonts w:ascii="Times New Roman" w:eastAsia="Times New Roman" w:hAnsi="Times New Roman" w:cs="Times New Roman"/>
          <w:sz w:val="24"/>
          <w:szCs w:val="24"/>
        </w:rPr>
        <w:t>as described by Spada et al. (2</w:t>
      </w:r>
      <w:r w:rsidRPr="00927915">
        <w:rPr>
          <w:rFonts w:ascii="Times New Roman" w:eastAsia="Times New Roman" w:hAnsi="Times New Roman" w:cs="Times New Roman"/>
          <w:sz w:val="24"/>
          <w:szCs w:val="24"/>
        </w:rPr>
        <w:t xml:space="preserve">022). The calculation of the β-carotene content was based on the bioconversion equivalence, considering 1 µg of Retinol </w:t>
      </w:r>
      <w:r w:rsidR="00DE6D4C" w:rsidRPr="00927915">
        <w:rPr>
          <w:rFonts w:ascii="Times New Roman" w:eastAsia="Times New Roman" w:hAnsi="Times New Roman" w:cs="Times New Roman"/>
          <w:sz w:val="24"/>
          <w:szCs w:val="24"/>
        </w:rPr>
        <w:t>E</w:t>
      </w:r>
      <w:r w:rsidRPr="00927915">
        <w:rPr>
          <w:rFonts w:ascii="Times New Roman" w:eastAsia="Times New Roman" w:hAnsi="Times New Roman" w:cs="Times New Roman"/>
          <w:sz w:val="24"/>
          <w:szCs w:val="24"/>
        </w:rPr>
        <w:t>quivalent (RE) to be equivalent to 12 µg of β-carotene. The diet proposed by AIN 93G recommends a vitamin A content of 1,200 RE (or 14,</w:t>
      </w:r>
      <w:r w:rsidRPr="00927915">
        <w:rPr>
          <w:rFonts w:ascii="Times New Roman" w:eastAsia="Times New Roman" w:hAnsi="Times New Roman" w:cs="Times New Roman"/>
          <w:sz w:val="24"/>
          <w:szCs w:val="24"/>
        </w:rPr>
        <w:t xml:space="preserve">400 μg of β-carotene). Considering the concentration of β-carotene found in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used in this study was 195.8µg, it was necessary to add 73mL of oil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for each kg of diet</w:t>
      </w:r>
      <w:r w:rsidR="00DE6D4C" w:rsidRPr="00927915">
        <w:rPr>
          <w:rFonts w:ascii="Times New Roman" w:eastAsia="Times New Roman" w:hAnsi="Times New Roman" w:cs="Times New Roman"/>
          <w:sz w:val="24"/>
          <w:szCs w:val="24"/>
        </w:rPr>
        <w:t xml:space="preserve"> [see Table 1]</w:t>
      </w:r>
      <w:r w:rsidRPr="00927915">
        <w:rPr>
          <w:rFonts w:ascii="Times New Roman" w:eastAsia="Times New Roman" w:hAnsi="Times New Roman" w:cs="Times New Roman"/>
          <w:sz w:val="24"/>
          <w:szCs w:val="24"/>
        </w:rPr>
        <w:t>. Thus, soybean oil, as recommended by A</w:t>
      </w:r>
      <w:r w:rsidRPr="00927915">
        <w:rPr>
          <w:rFonts w:ascii="Times New Roman" w:eastAsia="Times New Roman" w:hAnsi="Times New Roman" w:cs="Times New Roman"/>
          <w:sz w:val="24"/>
          <w:szCs w:val="24"/>
        </w:rPr>
        <w:t xml:space="preserve">IN93G, was replaced by </w:t>
      </w:r>
      <w:r w:rsidRPr="00927915">
        <w:rPr>
          <w:rFonts w:ascii="Times New Roman" w:eastAsia="Times New Roman" w:hAnsi="Times New Roman" w:cs="Times New Roman"/>
          <w:i/>
          <w:sz w:val="24"/>
          <w:szCs w:val="24"/>
        </w:rPr>
        <w:t>Attalea phalerata</w:t>
      </w:r>
      <w:r w:rsidR="00DE6D4C" w:rsidRPr="00927915">
        <w:rPr>
          <w:rFonts w:ascii="Times New Roman" w:eastAsia="Times New Roman" w:hAnsi="Times New Roman" w:cs="Times New Roman"/>
          <w:i/>
          <w:sz w:val="24"/>
          <w:szCs w:val="24"/>
        </w:rPr>
        <w:t xml:space="preserve"> </w:t>
      </w:r>
      <w:r w:rsidR="00DE6D4C" w:rsidRPr="00927915">
        <w:rPr>
          <w:rFonts w:ascii="Times New Roman" w:eastAsia="Times New Roman" w:hAnsi="Times New Roman" w:cs="Times New Roman"/>
          <w:sz w:val="24"/>
          <w:szCs w:val="24"/>
        </w:rPr>
        <w:t>oil</w:t>
      </w:r>
      <w:r w:rsidRPr="00927915">
        <w:rPr>
          <w:rFonts w:ascii="Times New Roman" w:eastAsia="Times New Roman" w:hAnsi="Times New Roman" w:cs="Times New Roman"/>
          <w:i/>
          <w:sz w:val="24"/>
          <w:szCs w:val="24"/>
        </w:rPr>
        <w:t>.</w:t>
      </w:r>
      <w:r w:rsidRPr="00927915">
        <w:rPr>
          <w:rFonts w:ascii="Times New Roman" w:eastAsia="Times New Roman" w:hAnsi="Times New Roman" w:cs="Times New Roman"/>
          <w:sz w:val="24"/>
          <w:szCs w:val="24"/>
        </w:rPr>
        <w:t xml:space="preserve"> As a result, the volume of oil in the AO group was 3mL (73mL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w:t>
      </w:r>
      <w:r w:rsidR="00DE6D4C" w:rsidRPr="00927915">
        <w:rPr>
          <w:rFonts w:ascii="Times New Roman" w:eastAsia="Times New Roman" w:hAnsi="Times New Roman" w:cs="Times New Roman"/>
          <w:sz w:val="24"/>
          <w:szCs w:val="24"/>
        </w:rPr>
        <w:t xml:space="preserve">oil per kg of diet, </w:t>
      </w:r>
      <w:r w:rsidRPr="00927915">
        <w:rPr>
          <w:rFonts w:ascii="Times New Roman" w:eastAsia="Times New Roman" w:hAnsi="Times New Roman" w:cs="Times New Roman"/>
          <w:sz w:val="24"/>
          <w:szCs w:val="24"/>
        </w:rPr>
        <w:t>compared to 70mL</w:t>
      </w:r>
      <w:r w:rsidR="00DE6D4C" w:rsidRPr="00927915">
        <w:rPr>
          <w:rFonts w:ascii="Times New Roman" w:eastAsia="Times New Roman" w:hAnsi="Times New Roman" w:cs="Times New Roman"/>
          <w:sz w:val="24"/>
          <w:szCs w:val="24"/>
        </w:rPr>
        <w:t xml:space="preserve"> of soybean oil per </w:t>
      </w:r>
      <w:r w:rsidRPr="00927915">
        <w:rPr>
          <w:rFonts w:ascii="Times New Roman" w:eastAsia="Times New Roman" w:hAnsi="Times New Roman" w:cs="Times New Roman"/>
          <w:sz w:val="24"/>
          <w:szCs w:val="24"/>
        </w:rPr>
        <w:t xml:space="preserve">kg for the Control </w:t>
      </w:r>
      <w:r w:rsidR="00DE6D4C" w:rsidRPr="00927915">
        <w:rPr>
          <w:rFonts w:ascii="Times New Roman" w:eastAsia="Times New Roman" w:hAnsi="Times New Roman" w:cs="Times New Roman"/>
          <w:sz w:val="24"/>
          <w:szCs w:val="24"/>
        </w:rPr>
        <w:t xml:space="preserve">and VAD </w:t>
      </w:r>
      <w:r w:rsidRPr="00927915">
        <w:rPr>
          <w:rFonts w:ascii="Times New Roman" w:eastAsia="Times New Roman" w:hAnsi="Times New Roman" w:cs="Times New Roman"/>
          <w:sz w:val="24"/>
          <w:szCs w:val="24"/>
        </w:rPr>
        <w:t>diet</w:t>
      </w:r>
      <w:r w:rsidR="00DE6D4C" w:rsidRPr="00927915">
        <w:rPr>
          <w:rFonts w:ascii="Times New Roman" w:eastAsia="Times New Roman" w:hAnsi="Times New Roman" w:cs="Times New Roman"/>
          <w:sz w:val="24"/>
          <w:szCs w:val="24"/>
        </w:rPr>
        <w:t>s</w:t>
      </w:r>
      <w:r w:rsidRPr="00927915">
        <w:rPr>
          <w:rFonts w:ascii="Times New Roman" w:eastAsia="Times New Roman" w:hAnsi="Times New Roman" w:cs="Times New Roman"/>
          <w:sz w:val="24"/>
          <w:szCs w:val="24"/>
        </w:rPr>
        <w:t>), which was superior to the Control and</w:t>
      </w:r>
      <w:r w:rsidRPr="00927915">
        <w:rPr>
          <w:rFonts w:ascii="Times New Roman" w:eastAsia="Times New Roman" w:hAnsi="Times New Roman" w:cs="Times New Roman"/>
          <w:sz w:val="24"/>
          <w:szCs w:val="24"/>
        </w:rPr>
        <w:t xml:space="preserve"> VAD groups. This difference in the volume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compared to the other diets, did not substantially change the calorie content (16.3 kcal for the Control diet and VAD, and 16.4 kcal for the AO diet, with a value equivalent to 3.9kcal fo</w:t>
      </w:r>
      <w:r w:rsidRPr="00927915">
        <w:rPr>
          <w:rFonts w:ascii="Times New Roman" w:eastAsia="Times New Roman" w:hAnsi="Times New Roman" w:cs="Times New Roman"/>
          <w:sz w:val="24"/>
          <w:szCs w:val="24"/>
        </w:rPr>
        <w:t xml:space="preserve">r all diets). </w:t>
      </w:r>
    </w:p>
    <w:p w14:paraId="29E806B2" w14:textId="77777777" w:rsidR="00EB57E6" w:rsidRPr="00927915" w:rsidRDefault="00F95F2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The animals showed no changes in body weight and weight gain at the end of the experiment. The non-change in total dietary intake and total energy intake contributed to the maintenance of weight gain and body weight at the end of the experim</w:t>
      </w:r>
      <w:r w:rsidRPr="00927915">
        <w:rPr>
          <w:rFonts w:ascii="Times New Roman" w:eastAsia="Times New Roman" w:hAnsi="Times New Roman" w:cs="Times New Roman"/>
          <w:sz w:val="24"/>
          <w:szCs w:val="24"/>
        </w:rPr>
        <w:t xml:space="preserve">ent. </w:t>
      </w:r>
      <w:r w:rsidR="00D765EC" w:rsidRPr="00927915">
        <w:rPr>
          <w:rFonts w:ascii="Times New Roman" w:eastAsia="Times New Roman" w:hAnsi="Times New Roman" w:cs="Times New Roman"/>
          <w:sz w:val="24"/>
          <w:szCs w:val="24"/>
        </w:rPr>
        <w:t>The</w:t>
      </w:r>
      <w:r w:rsidRPr="00927915">
        <w:rPr>
          <w:rFonts w:ascii="Times New Roman" w:eastAsia="Times New Roman" w:hAnsi="Times New Roman" w:cs="Times New Roman"/>
          <w:sz w:val="24"/>
          <w:szCs w:val="24"/>
        </w:rPr>
        <w:t xml:space="preserve"> lower daily water intake in the VAD group</w:t>
      </w:r>
      <w:r w:rsidR="00D765EC" w:rsidRPr="00927915">
        <w:rPr>
          <w:rFonts w:ascii="Times New Roman" w:eastAsia="Times New Roman" w:hAnsi="Times New Roman" w:cs="Times New Roman"/>
          <w:sz w:val="24"/>
          <w:szCs w:val="24"/>
        </w:rPr>
        <w:t xml:space="preserve"> was reflected in a lower total water intake (in terms of absolute values), although there was no statistical difference. </w:t>
      </w:r>
      <w:r w:rsidRPr="00927915">
        <w:rPr>
          <w:rFonts w:ascii="Times New Roman" w:eastAsia="Times New Roman" w:hAnsi="Times New Roman" w:cs="Times New Roman"/>
          <w:sz w:val="24"/>
          <w:szCs w:val="24"/>
        </w:rPr>
        <w:t xml:space="preserve">These results differ from </w:t>
      </w:r>
      <w:r w:rsidRPr="00927915">
        <w:rPr>
          <w:rFonts w:ascii="Times New Roman" w:eastAsia="Times New Roman" w:hAnsi="Times New Roman" w:cs="Times New Roman"/>
          <w:sz w:val="24"/>
          <w:szCs w:val="24"/>
        </w:rPr>
        <w:lastRenderedPageBreak/>
        <w:t>those found in rats with vitamin A deficiency for 45 days,</w:t>
      </w:r>
      <w:r w:rsidRPr="00927915">
        <w:rPr>
          <w:rFonts w:ascii="Times New Roman" w:eastAsia="Times New Roman" w:hAnsi="Times New Roman" w:cs="Times New Roman"/>
          <w:sz w:val="24"/>
          <w:szCs w:val="24"/>
        </w:rPr>
        <w:t xml:space="preserve"> which presented lower weight gain and final body weight, with no change in daily diet intake (Spada et al., 2022). </w:t>
      </w:r>
    </w:p>
    <w:p w14:paraId="4555A272" w14:textId="77777777" w:rsidR="004B5967" w:rsidRPr="00927915" w:rsidRDefault="00F95F2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The liver is a central organ in metabolism, which can be used in clinical evaluation related to the toxicity of substances (Adane et al., 2023). In addition, one of the signs of toxicity can be observed through abnormal liver function tests (Dasgupta, 2011</w:t>
      </w:r>
      <w:r w:rsidRPr="00927915">
        <w:rPr>
          <w:rFonts w:ascii="Times New Roman" w:eastAsia="Times New Roman" w:hAnsi="Times New Roman" w:cs="Times New Roman"/>
          <w:sz w:val="24"/>
          <w:szCs w:val="24"/>
        </w:rPr>
        <w:t xml:space="preserve">). In the present study, the liver mass of animals in the VAD group was lower than that of the control group. </w:t>
      </w:r>
      <w:r w:rsidR="000C0058" w:rsidRPr="00927915">
        <w:rPr>
          <w:rFonts w:ascii="Times New Roman" w:eastAsia="Times New Roman" w:hAnsi="Times New Roman" w:cs="Times New Roman"/>
          <w:sz w:val="24"/>
          <w:szCs w:val="24"/>
        </w:rPr>
        <w:t>This result is consistent with signs of vitamin A deficiency also observed by Spada et al.</w:t>
      </w:r>
      <w:r w:rsidR="00864705" w:rsidRPr="00927915">
        <w:rPr>
          <w:rFonts w:ascii="Times New Roman" w:eastAsia="Times New Roman" w:hAnsi="Times New Roman" w:cs="Times New Roman"/>
          <w:sz w:val="24"/>
          <w:szCs w:val="24"/>
        </w:rPr>
        <w:t xml:space="preserve"> (2022)</w:t>
      </w:r>
      <w:r w:rsidR="000C0058" w:rsidRPr="00927915">
        <w:rPr>
          <w:rFonts w:ascii="Times New Roman" w:eastAsia="Times New Roman" w:hAnsi="Times New Roman" w:cs="Times New Roman"/>
          <w:sz w:val="24"/>
          <w:szCs w:val="24"/>
        </w:rPr>
        <w:t xml:space="preserve"> in rats. </w:t>
      </w:r>
      <w:r w:rsidRPr="00927915">
        <w:rPr>
          <w:rFonts w:ascii="Times New Roman" w:eastAsia="Times New Roman" w:hAnsi="Times New Roman" w:cs="Times New Roman"/>
          <w:sz w:val="24"/>
          <w:szCs w:val="24"/>
        </w:rPr>
        <w:t>However, the liver mass of the AO group</w:t>
      </w:r>
      <w:r w:rsidRPr="00927915">
        <w:rPr>
          <w:rFonts w:ascii="Times New Roman" w:eastAsia="Times New Roman" w:hAnsi="Times New Roman" w:cs="Times New Roman"/>
          <w:sz w:val="24"/>
          <w:szCs w:val="24"/>
        </w:rPr>
        <w:t xml:space="preserve"> was greater than that of animals in the VAD group and equal to that of the controls</w:t>
      </w:r>
      <w:r w:rsidR="00864705" w:rsidRPr="00927915">
        <w:rPr>
          <w:rFonts w:ascii="Times New Roman" w:eastAsia="Times New Roman" w:hAnsi="Times New Roman" w:cs="Times New Roman"/>
          <w:sz w:val="24"/>
          <w:szCs w:val="24"/>
        </w:rPr>
        <w:t>, demonstrating a sign of maintenance of liver functions</w:t>
      </w:r>
      <w:r w:rsidRPr="00927915">
        <w:rPr>
          <w:rFonts w:ascii="Times New Roman" w:eastAsia="Times New Roman" w:hAnsi="Times New Roman" w:cs="Times New Roman"/>
          <w:sz w:val="24"/>
          <w:szCs w:val="24"/>
        </w:rPr>
        <w:t>.</w:t>
      </w:r>
    </w:p>
    <w:p w14:paraId="0145C9B5" w14:textId="77777777" w:rsidR="004B5967" w:rsidRPr="00927915" w:rsidRDefault="0086470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On the other hand, animals in both the VAD group and the AO group had higher levels of ALT compared to controls. Although an increase in AST levels may not necessarily indicate liver damage</w:t>
      </w:r>
      <w:r w:rsidR="00E85596" w:rsidRPr="00927915">
        <w:rPr>
          <w:rFonts w:ascii="Times New Roman" w:eastAsia="Times New Roman" w:hAnsi="Times New Roman" w:cs="Times New Roman"/>
          <w:sz w:val="24"/>
          <w:szCs w:val="24"/>
        </w:rPr>
        <w:t xml:space="preserve"> (Han et al., 2022)</w:t>
      </w:r>
      <w:r w:rsidRPr="00927915">
        <w:rPr>
          <w:rFonts w:ascii="Times New Roman" w:eastAsia="Times New Roman" w:hAnsi="Times New Roman" w:cs="Times New Roman"/>
          <w:sz w:val="24"/>
          <w:szCs w:val="24"/>
        </w:rPr>
        <w:t>, the animals in this study exhibited elevated serum AST levels in both groups (VAD and AO), with the highest values observed in the VAD group. These results differ from those observed in the VAD model developed by Spada</w:t>
      </w:r>
      <w:r w:rsidR="00E85596" w:rsidRPr="00927915">
        <w:rPr>
          <w:rFonts w:ascii="Times New Roman" w:eastAsia="Times New Roman" w:hAnsi="Times New Roman" w:cs="Times New Roman"/>
          <w:sz w:val="24"/>
          <w:szCs w:val="24"/>
        </w:rPr>
        <w:t xml:space="preserve"> et al. (2022)</w:t>
      </w:r>
      <w:r w:rsidRPr="00927915">
        <w:rPr>
          <w:rFonts w:ascii="Times New Roman" w:eastAsia="Times New Roman" w:hAnsi="Times New Roman" w:cs="Times New Roman"/>
          <w:sz w:val="24"/>
          <w:szCs w:val="24"/>
        </w:rPr>
        <w:t xml:space="preserve">, in which rats did not exhibit changes in plasma levels of ALT and AST. Epidemiological studies (Song &amp; Jiang, 2023) have associated low levels of vitamin A with chronic liver disease, particularly liver fibrosis (Vallet-Pichard, 2007). This is a possible response to the altered levels of transaminases observed in group com vitamin A deficiency. </w:t>
      </w:r>
      <w:r w:rsidR="00E85596" w:rsidRPr="00927915">
        <w:rPr>
          <w:rFonts w:ascii="Times New Roman" w:eastAsia="Times New Roman" w:hAnsi="Times New Roman" w:cs="Times New Roman"/>
          <w:sz w:val="24"/>
          <w:szCs w:val="24"/>
        </w:rPr>
        <w:t xml:space="preserve">The absence of these vitamins may have induced liver damage in the VAD group. The reduction in liver mass and increase in liver enzymes observed in this group of animals corroborate this hypothesis. </w:t>
      </w:r>
      <w:r w:rsidRPr="00927915">
        <w:rPr>
          <w:rFonts w:ascii="Times New Roman" w:eastAsia="Times New Roman" w:hAnsi="Times New Roman" w:cs="Times New Roman"/>
          <w:sz w:val="24"/>
          <w:szCs w:val="24"/>
        </w:rPr>
        <w:t xml:space="preserve">On the other hand, the presence of </w:t>
      </w:r>
      <w:r w:rsidRPr="00927915">
        <w:rPr>
          <w:rFonts w:ascii="Times New Roman" w:eastAsia="Times New Roman" w:hAnsi="Times New Roman" w:cs="Times New Roman"/>
          <w:i/>
          <w:sz w:val="24"/>
          <w:szCs w:val="24"/>
        </w:rPr>
        <w:t xml:space="preserve">A. phalerata oil </w:t>
      </w:r>
      <w:r w:rsidRPr="00927915">
        <w:rPr>
          <w:rFonts w:ascii="Times New Roman" w:eastAsia="Times New Roman" w:hAnsi="Times New Roman" w:cs="Times New Roman"/>
          <w:sz w:val="24"/>
          <w:szCs w:val="24"/>
        </w:rPr>
        <w:t xml:space="preserve">in the diet may be related to the elevation of serum transaminases observed in this group, as well as in the lipid fractions, which would require further investigation. </w:t>
      </w:r>
    </w:p>
    <w:p w14:paraId="6D57D382" w14:textId="77777777" w:rsidR="006A40FC" w:rsidRPr="00927915" w:rsidRDefault="00F95F2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The liver is considered the primary organ responsible for the storage and metabolism of retinoids (</w:t>
      </w:r>
      <w:r w:rsidR="0005192D" w:rsidRPr="00927915">
        <w:rPr>
          <w:rFonts w:ascii="Times New Roman" w:eastAsia="Times New Roman" w:hAnsi="Times New Roman" w:cs="Times New Roman"/>
          <w:sz w:val="24"/>
          <w:szCs w:val="24"/>
        </w:rPr>
        <w:t>Blaner, 2019</w:t>
      </w:r>
      <w:r w:rsidRPr="00927915">
        <w:rPr>
          <w:rFonts w:ascii="Times New Roman" w:eastAsia="Times New Roman" w:hAnsi="Times New Roman" w:cs="Times New Roman"/>
          <w:sz w:val="24"/>
          <w:szCs w:val="24"/>
        </w:rPr>
        <w:t>). However, adipose tissue plays an important role in the homeostasis a</w:t>
      </w:r>
      <w:r w:rsidRPr="00927915">
        <w:rPr>
          <w:rFonts w:ascii="Times New Roman" w:eastAsia="Times New Roman" w:hAnsi="Times New Roman" w:cs="Times New Roman"/>
          <w:sz w:val="24"/>
          <w:szCs w:val="24"/>
        </w:rPr>
        <w:t>nd metabolism of retinoids (</w:t>
      </w:r>
      <w:r w:rsidR="00444BF8" w:rsidRPr="00927915">
        <w:rPr>
          <w:rFonts w:ascii="Times New Roman" w:eastAsia="Times New Roman" w:hAnsi="Times New Roman" w:cs="Times New Roman"/>
          <w:sz w:val="24"/>
          <w:szCs w:val="24"/>
        </w:rPr>
        <w:t>Blaner, 2019; Kiefer et al., 2012</w:t>
      </w:r>
      <w:r w:rsidRPr="00927915">
        <w:rPr>
          <w:rFonts w:ascii="Times New Roman" w:eastAsia="Times New Roman" w:hAnsi="Times New Roman" w:cs="Times New Roman"/>
          <w:sz w:val="24"/>
          <w:szCs w:val="24"/>
        </w:rPr>
        <w:t xml:space="preserve">). This tissue participates by </w:t>
      </w:r>
      <w:r w:rsidR="00776CF5" w:rsidRPr="00927915">
        <w:rPr>
          <w:rFonts w:ascii="Times New Roman" w:eastAsia="Times New Roman" w:hAnsi="Times New Roman" w:cs="Times New Roman"/>
          <w:sz w:val="24"/>
          <w:szCs w:val="24"/>
        </w:rPr>
        <w:t>capturing</w:t>
      </w:r>
      <w:r w:rsidRPr="00927915">
        <w:rPr>
          <w:rFonts w:ascii="Times New Roman" w:eastAsia="Times New Roman" w:hAnsi="Times New Roman" w:cs="Times New Roman"/>
          <w:sz w:val="24"/>
          <w:szCs w:val="24"/>
        </w:rPr>
        <w:t xml:space="preserve"> circulating retinol, storing it as retinyl esters, converting it into retinoic acid, and mobilizing retinol stores when needed (</w:t>
      </w:r>
      <w:r w:rsidR="00444BF8" w:rsidRPr="00927915">
        <w:rPr>
          <w:rFonts w:ascii="Times New Roman" w:eastAsia="Times New Roman" w:hAnsi="Times New Roman" w:cs="Times New Roman"/>
          <w:sz w:val="24"/>
          <w:szCs w:val="24"/>
        </w:rPr>
        <w:t>Kiefer et al., 2012</w:t>
      </w:r>
      <w:r w:rsidRPr="00927915">
        <w:rPr>
          <w:rFonts w:ascii="Times New Roman" w:eastAsia="Times New Roman" w:hAnsi="Times New Roman" w:cs="Times New Roman"/>
          <w:sz w:val="24"/>
          <w:szCs w:val="24"/>
        </w:rPr>
        <w:t xml:space="preserve">). </w:t>
      </w:r>
      <w:r w:rsidRPr="00927915">
        <w:rPr>
          <w:rFonts w:ascii="Times New Roman" w:eastAsia="Times New Roman" w:hAnsi="Times New Roman" w:cs="Times New Roman"/>
          <w:sz w:val="24"/>
          <w:szCs w:val="24"/>
        </w:rPr>
        <w:t>Thus, vitamin A deficiency can directly impact the reduction of adipose tissue mass. In our study, animals in the VAD group had lower perirenal adipose tissue mass. This result corroborates the information reported in the literature about retinol metabolis</w:t>
      </w:r>
      <w:r w:rsidRPr="00927915">
        <w:rPr>
          <w:rFonts w:ascii="Times New Roman" w:eastAsia="Times New Roman" w:hAnsi="Times New Roman" w:cs="Times New Roman"/>
          <w:sz w:val="24"/>
          <w:szCs w:val="24"/>
        </w:rPr>
        <w:t>m and adipose tissue (</w:t>
      </w:r>
      <w:r w:rsidR="00444BF8" w:rsidRPr="00927915">
        <w:rPr>
          <w:rFonts w:ascii="Times New Roman" w:eastAsia="Times New Roman" w:hAnsi="Times New Roman" w:cs="Times New Roman"/>
          <w:sz w:val="24"/>
          <w:szCs w:val="24"/>
        </w:rPr>
        <w:t>Kiefer et al., 2012</w:t>
      </w:r>
      <w:r w:rsidRPr="00927915">
        <w:rPr>
          <w:rFonts w:ascii="Times New Roman" w:eastAsia="Times New Roman" w:hAnsi="Times New Roman" w:cs="Times New Roman"/>
          <w:sz w:val="24"/>
          <w:szCs w:val="24"/>
        </w:rPr>
        <w:t>).</w:t>
      </w:r>
    </w:p>
    <w:p w14:paraId="5D5A0941" w14:textId="77777777" w:rsidR="00082C12" w:rsidRPr="00927915" w:rsidRDefault="00F95F28" w:rsidP="00082C1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lastRenderedPageBreak/>
        <w:t xml:space="preserve">Regarding the lipid profile, the vitamin A-deficient diet induced hypolipidemia in mice. The same effect was observed </w:t>
      </w:r>
      <w:r w:rsidR="003F2B5A" w:rsidRPr="00927915">
        <w:rPr>
          <w:rFonts w:ascii="Times New Roman" w:eastAsia="Times New Roman" w:hAnsi="Times New Roman" w:cs="Times New Roman"/>
          <w:sz w:val="24"/>
          <w:szCs w:val="24"/>
        </w:rPr>
        <w:t xml:space="preserve">in other studies with </w:t>
      </w:r>
      <w:r w:rsidRPr="00927915">
        <w:rPr>
          <w:rFonts w:ascii="Times New Roman" w:eastAsia="Times New Roman" w:hAnsi="Times New Roman" w:cs="Times New Roman"/>
          <w:sz w:val="24"/>
          <w:szCs w:val="24"/>
        </w:rPr>
        <w:t>rats that received the same diet during this period (Spada et al., 2022)</w:t>
      </w:r>
      <w:r w:rsidR="003F2B5A" w:rsidRPr="00927915">
        <w:rPr>
          <w:rFonts w:ascii="Times New Roman" w:eastAsia="Times New Roman" w:hAnsi="Times New Roman" w:cs="Times New Roman"/>
          <w:sz w:val="24"/>
          <w:szCs w:val="24"/>
        </w:rPr>
        <w:t xml:space="preserve"> and for more extended periods (Oliveros et al., 2007)</w:t>
      </w:r>
      <w:r w:rsidRPr="00927915">
        <w:rPr>
          <w:rFonts w:ascii="Times New Roman" w:eastAsia="Times New Roman" w:hAnsi="Times New Roman" w:cs="Times New Roman"/>
          <w:sz w:val="24"/>
          <w:szCs w:val="24"/>
        </w:rPr>
        <w:t xml:space="preserve">. The administration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xml:space="preserve"> oil increased all parameters related to the lipid profile to values higher than those observed in the Control group and in the VAD group. The increase in parame</w:t>
      </w:r>
      <w:r w:rsidRPr="00927915">
        <w:rPr>
          <w:rFonts w:ascii="Times New Roman" w:eastAsia="Times New Roman" w:hAnsi="Times New Roman" w:cs="Times New Roman"/>
          <w:sz w:val="24"/>
          <w:szCs w:val="24"/>
        </w:rPr>
        <w:t xml:space="preserve">ters related to the lipid profile may be attributed to the composition of the oil from the pulp of </w:t>
      </w:r>
      <w:r w:rsidRPr="00927915">
        <w:rPr>
          <w:rFonts w:ascii="Times New Roman" w:eastAsia="Times New Roman" w:hAnsi="Times New Roman" w:cs="Times New Roman"/>
          <w:i/>
          <w:sz w:val="24"/>
          <w:szCs w:val="24"/>
        </w:rPr>
        <w:t>Attalea phalerata</w:t>
      </w:r>
      <w:r w:rsidRPr="00927915">
        <w:rPr>
          <w:rFonts w:ascii="Times New Roman" w:eastAsia="Times New Roman" w:hAnsi="Times New Roman" w:cs="Times New Roman"/>
          <w:sz w:val="24"/>
          <w:szCs w:val="24"/>
        </w:rPr>
        <w:t>, which predominantly contains unsaturated fatty acids (64%), with monounsaturated oleic acid being the most abundant (approximately 48%) (S</w:t>
      </w:r>
      <w:r w:rsidRPr="00927915">
        <w:rPr>
          <w:rFonts w:ascii="Times New Roman" w:eastAsia="Times New Roman" w:hAnsi="Times New Roman" w:cs="Times New Roman"/>
          <w:sz w:val="24"/>
          <w:szCs w:val="24"/>
        </w:rPr>
        <w:t xml:space="preserve">pada et al., 2025). </w:t>
      </w:r>
    </w:p>
    <w:p w14:paraId="6221DEB3" w14:textId="77777777" w:rsidR="000518C2" w:rsidRPr="00927915" w:rsidRDefault="00F95F28" w:rsidP="00082C1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Animals in the VAD group had lower blood glucose levels, but no changes in liver glycogen. Similar results were also observed by Spada et al. </w:t>
      </w:r>
      <w:r w:rsidR="00927915" w:rsidRPr="00927915">
        <w:rPr>
          <w:rFonts w:ascii="Times New Roman" w:eastAsia="Times New Roman" w:hAnsi="Times New Roman" w:cs="Times New Roman"/>
          <w:sz w:val="24"/>
          <w:szCs w:val="24"/>
        </w:rPr>
        <w:t xml:space="preserve">(2022) </w:t>
      </w:r>
      <w:r w:rsidRPr="00927915">
        <w:rPr>
          <w:rFonts w:ascii="Times New Roman" w:eastAsia="Times New Roman" w:hAnsi="Times New Roman" w:cs="Times New Roman"/>
          <w:sz w:val="24"/>
          <w:szCs w:val="24"/>
        </w:rPr>
        <w:t>in the rat model of VAD. On the other hand, animals in the AO group had higher basal b</w:t>
      </w:r>
      <w:r w:rsidRPr="00927915">
        <w:rPr>
          <w:rFonts w:ascii="Times New Roman" w:eastAsia="Times New Roman" w:hAnsi="Times New Roman" w:cs="Times New Roman"/>
          <w:sz w:val="24"/>
          <w:szCs w:val="24"/>
        </w:rPr>
        <w:t>lood glucose levels and higher liver glycogen levels. This physiological response, characterized by an increase in basal blood glucose levels and hepatic glycogen levels, may indicate a potential change in insulin action, which warrants further investigati</w:t>
      </w:r>
      <w:r w:rsidRPr="00927915">
        <w:rPr>
          <w:rFonts w:ascii="Times New Roman" w:eastAsia="Times New Roman" w:hAnsi="Times New Roman" w:cs="Times New Roman"/>
          <w:sz w:val="24"/>
          <w:szCs w:val="24"/>
        </w:rPr>
        <w:t>on (Kubota et al., 2025).</w:t>
      </w:r>
    </w:p>
    <w:p w14:paraId="48695BEF" w14:textId="77777777" w:rsidR="00082C12" w:rsidRPr="00927915" w:rsidRDefault="00F95F28" w:rsidP="00082C1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Vitamin A is recognized as a non-enzymatic, lipophilic antioxidant, utilized as a dietary supplement to mitigate oxidative stress (Didier et al., 2023). These molecules act by inhibiting lipid peroxidation, preventing oxidative da</w:t>
      </w:r>
      <w:r w:rsidRPr="00927915">
        <w:rPr>
          <w:rFonts w:ascii="Times New Roman" w:eastAsia="Times New Roman" w:hAnsi="Times New Roman" w:cs="Times New Roman"/>
          <w:sz w:val="24"/>
          <w:szCs w:val="24"/>
        </w:rPr>
        <w:t>mage. Furthermore, retinoic acid (a vitamin A derivative) may indirectly regulate cellular antioxidant genes (Didier et al., 2023). We observed a reduction in glutathione reductase</w:t>
      </w:r>
      <w:r w:rsidR="00927915" w:rsidRPr="00927915">
        <w:rPr>
          <w:rFonts w:ascii="Times New Roman" w:eastAsia="Times New Roman" w:hAnsi="Times New Roman" w:cs="Times New Roman"/>
          <w:sz w:val="24"/>
          <w:szCs w:val="24"/>
        </w:rPr>
        <w:t xml:space="preserve"> (GR)</w:t>
      </w:r>
      <w:r w:rsidRPr="00927915">
        <w:rPr>
          <w:rFonts w:ascii="Times New Roman" w:eastAsia="Times New Roman" w:hAnsi="Times New Roman" w:cs="Times New Roman"/>
          <w:sz w:val="24"/>
          <w:szCs w:val="24"/>
        </w:rPr>
        <w:t xml:space="preserve"> activity in the VAD and AO groups. This reduction in GR activity may i</w:t>
      </w:r>
      <w:r w:rsidRPr="00927915">
        <w:rPr>
          <w:rFonts w:ascii="Times New Roman" w:eastAsia="Times New Roman" w:hAnsi="Times New Roman" w:cs="Times New Roman"/>
          <w:sz w:val="24"/>
          <w:szCs w:val="24"/>
        </w:rPr>
        <w:t>ndicate a compromised antioxidant defense system, since GR is essential in the cellular antioxidant system by regenerating reduced glutathione (GSH) from its oxidized form (GSSG) using NADPH as a reducing cofactor (Kalinina et al., 2014). The increase in t</w:t>
      </w:r>
      <w:r w:rsidRPr="00927915">
        <w:rPr>
          <w:rFonts w:ascii="Times New Roman" w:eastAsia="Times New Roman" w:hAnsi="Times New Roman" w:cs="Times New Roman"/>
          <w:sz w:val="24"/>
          <w:szCs w:val="24"/>
        </w:rPr>
        <w:t>he levels of carbonylated proteins, a marker of oxidative damage, in the AO group, reflects the state of oxidative stress induced by the oil. This requires further investigation.</w:t>
      </w:r>
    </w:p>
    <w:p w14:paraId="0CF8B0AD" w14:textId="77777777" w:rsidR="00122CC5" w:rsidRPr="00927915" w:rsidRDefault="00122CC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B9E8FF3" w14:textId="77777777" w:rsidR="006A40FC" w:rsidRPr="00927915" w:rsidRDefault="006A40F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D053278" w14:textId="77777777" w:rsidR="006A40FC" w:rsidRPr="00927915" w:rsidRDefault="00F95F28">
      <w:pPr>
        <w:numPr>
          <w:ilvl w:val="0"/>
          <w:numId w:val="5"/>
        </w:numPr>
        <w:pBdr>
          <w:top w:val="nil"/>
          <w:left w:val="nil"/>
          <w:bottom w:val="nil"/>
          <w:right w:val="nil"/>
          <w:between w:val="nil"/>
        </w:pBdr>
        <w:spacing w:after="0" w:line="360" w:lineRule="auto"/>
        <w:ind w:left="993"/>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CONCLUSION </w:t>
      </w:r>
    </w:p>
    <w:p w14:paraId="5B6E1396" w14:textId="77777777" w:rsidR="003B6E74" w:rsidRPr="00927915" w:rsidRDefault="003B6E74" w:rsidP="003B6E7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3" w:name="_heading=h.zcmqqir91awm" w:colFirst="0" w:colLast="0"/>
      <w:bookmarkEnd w:id="3"/>
    </w:p>
    <w:p w14:paraId="28F25436" w14:textId="77777777" w:rsidR="00BB32B0" w:rsidRPr="00927915" w:rsidRDefault="00F95F28" w:rsidP="00F6295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 xml:space="preserve">Based on the results obtained, we conclude that vitamin A deficiency induced hypolipidemia in Swiss mice. The presence of </w:t>
      </w:r>
      <w:r w:rsidRPr="00927915">
        <w:rPr>
          <w:rFonts w:ascii="Times New Roman" w:eastAsia="Times New Roman" w:hAnsi="Times New Roman" w:cs="Times New Roman"/>
          <w:i/>
          <w:sz w:val="24"/>
          <w:szCs w:val="24"/>
        </w:rPr>
        <w:t>A. phalerata</w:t>
      </w:r>
      <w:r w:rsidRPr="00927915">
        <w:rPr>
          <w:rFonts w:ascii="Times New Roman" w:eastAsia="Times New Roman" w:hAnsi="Times New Roman" w:cs="Times New Roman"/>
          <w:sz w:val="24"/>
          <w:szCs w:val="24"/>
        </w:rPr>
        <w:t xml:space="preserve"> oil in the diet altered biochemical parameters related to carbohydrate and lipid metabolism, resulting in </w:t>
      </w:r>
      <w:r w:rsidRPr="00927915">
        <w:rPr>
          <w:rFonts w:ascii="Times New Roman" w:eastAsia="Times New Roman" w:hAnsi="Times New Roman" w:cs="Times New Roman"/>
          <w:sz w:val="24"/>
          <w:szCs w:val="24"/>
        </w:rPr>
        <w:lastRenderedPageBreak/>
        <w:t>increased serum</w:t>
      </w:r>
      <w:r w:rsidRPr="00927915">
        <w:rPr>
          <w:rFonts w:ascii="Times New Roman" w:eastAsia="Times New Roman" w:hAnsi="Times New Roman" w:cs="Times New Roman"/>
          <w:sz w:val="24"/>
          <w:szCs w:val="24"/>
        </w:rPr>
        <w:t xml:space="preserve"> glucose and lipid levels, as well as elevated hepatic glycogen levels. The increased levels of carbonylated proteins in the liver, combined with the reduction in glutathione reductase activity, indicate oxidative stress. Furthermore, investigations into t</w:t>
      </w:r>
      <w:r w:rsidRPr="00927915">
        <w:rPr>
          <w:rFonts w:ascii="Times New Roman" w:eastAsia="Times New Roman" w:hAnsi="Times New Roman" w:cs="Times New Roman"/>
          <w:sz w:val="24"/>
          <w:szCs w:val="24"/>
        </w:rPr>
        <w:t xml:space="preserve">he possible </w:t>
      </w:r>
      <w:r w:rsidR="00927915" w:rsidRPr="00927915">
        <w:rPr>
          <w:rFonts w:ascii="Times New Roman" w:eastAsia="Times New Roman" w:hAnsi="Times New Roman" w:cs="Times New Roman"/>
          <w:sz w:val="24"/>
          <w:szCs w:val="24"/>
        </w:rPr>
        <w:t>insulin action</w:t>
      </w:r>
      <w:r w:rsidRPr="00927915">
        <w:rPr>
          <w:rFonts w:ascii="Times New Roman" w:eastAsia="Times New Roman" w:hAnsi="Times New Roman" w:cs="Times New Roman"/>
          <w:sz w:val="24"/>
          <w:szCs w:val="24"/>
        </w:rPr>
        <w:t xml:space="preserve"> induced by </w:t>
      </w:r>
      <w:r w:rsidRPr="00927915">
        <w:rPr>
          <w:rFonts w:ascii="Times New Roman" w:eastAsia="Times New Roman" w:hAnsi="Times New Roman" w:cs="Times New Roman"/>
          <w:i/>
          <w:sz w:val="24"/>
          <w:szCs w:val="24"/>
        </w:rPr>
        <w:t>A. phalerata</w:t>
      </w:r>
      <w:r w:rsidRPr="00927915">
        <w:rPr>
          <w:rFonts w:ascii="Times New Roman" w:eastAsia="Times New Roman" w:hAnsi="Times New Roman" w:cs="Times New Roman"/>
          <w:sz w:val="24"/>
          <w:szCs w:val="24"/>
        </w:rPr>
        <w:t xml:space="preserve"> oil would be interesting for future research.</w:t>
      </w:r>
    </w:p>
    <w:p w14:paraId="7395529D" w14:textId="77777777" w:rsidR="00852EAC" w:rsidRPr="00927915" w:rsidRDefault="00852EA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28F3750" w14:textId="77777777" w:rsidR="00986A3B" w:rsidRPr="00927915" w:rsidRDefault="00F95F28" w:rsidP="00F95F28">
      <w:pPr>
        <w:jc w:val="both"/>
        <w:rPr>
          <w:rFonts w:ascii="Times New Roman" w:eastAsia="Times New Roman" w:hAnsi="Times New Roman" w:cs="Times New Roman"/>
          <w:sz w:val="24"/>
          <w:szCs w:val="24"/>
        </w:rPr>
      </w:pPr>
      <w:r w:rsidRPr="00927915">
        <w:rPr>
          <w:rFonts w:ascii="Times New Roman" w:eastAsia="Times New Roman" w:hAnsi="Times New Roman" w:cs="Times New Roman"/>
          <w:sz w:val="24"/>
          <w:szCs w:val="24"/>
        </w:rPr>
        <w:t>Disclaimer (Artificial intelligence)</w:t>
      </w:r>
    </w:p>
    <w:p w14:paraId="1C936038" w14:textId="522FA877" w:rsidR="00986A3B" w:rsidRPr="00927915" w:rsidRDefault="00F95F28" w:rsidP="00F95F28">
      <w:pPr>
        <w:jc w:val="both"/>
        <w:rPr>
          <w:rFonts w:ascii="Times New Roman" w:eastAsia="Times New Roman" w:hAnsi="Times New Roman" w:cs="Times New Roman"/>
          <w:sz w:val="24"/>
          <w:szCs w:val="24"/>
        </w:rPr>
      </w:pPr>
      <w:r w:rsidRPr="00F95F28">
        <w:rPr>
          <w:rFonts w:ascii="Times New Roman" w:eastAsia="Times New Roman" w:hAnsi="Times New Roman" w:cs="Times New Roman"/>
          <w:sz w:val="24"/>
          <w:szCs w:val="24"/>
        </w:rPr>
        <w:t>The author(s) declare(s) that Grammarly Pro version technologies were used for a grammatical and spelling review of the English language.</w:t>
      </w:r>
    </w:p>
    <w:p w14:paraId="5CDF14AA" w14:textId="77777777" w:rsidR="006A40FC" w:rsidRPr="00927915" w:rsidRDefault="006A40FC" w:rsidP="00F95F2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528B32B" w14:textId="77777777" w:rsidR="007C5B82" w:rsidRDefault="00F95F28" w:rsidP="007C5B82">
      <w:pPr>
        <w:numPr>
          <w:ilvl w:val="0"/>
          <w:numId w:val="5"/>
        </w:numPr>
        <w:pBdr>
          <w:top w:val="nil"/>
          <w:left w:val="nil"/>
          <w:bottom w:val="nil"/>
          <w:right w:val="nil"/>
          <w:between w:val="nil"/>
        </w:pBdr>
        <w:spacing w:after="0" w:line="360" w:lineRule="auto"/>
        <w:ind w:left="993"/>
        <w:jc w:val="both"/>
        <w:rPr>
          <w:rFonts w:ascii="Times New Roman" w:eastAsia="Times New Roman" w:hAnsi="Times New Roman" w:cs="Times New Roman"/>
          <w:b/>
          <w:sz w:val="24"/>
          <w:szCs w:val="24"/>
        </w:rPr>
      </w:pPr>
      <w:r w:rsidRPr="00927915">
        <w:rPr>
          <w:rFonts w:ascii="Times New Roman" w:eastAsia="Times New Roman" w:hAnsi="Times New Roman" w:cs="Times New Roman"/>
          <w:b/>
          <w:sz w:val="24"/>
          <w:szCs w:val="24"/>
        </w:rPr>
        <w:t xml:space="preserve">REFERENCES </w:t>
      </w:r>
    </w:p>
    <w:p w14:paraId="356E6AAA" w14:textId="77777777" w:rsidR="00BD2150" w:rsidRDefault="00BD2150" w:rsidP="00BD2150">
      <w:pPr>
        <w:pBdr>
          <w:top w:val="nil"/>
          <w:left w:val="nil"/>
          <w:bottom w:val="nil"/>
          <w:right w:val="nil"/>
          <w:between w:val="nil"/>
        </w:pBdr>
        <w:spacing w:after="0" w:line="360" w:lineRule="auto"/>
        <w:ind w:left="993"/>
        <w:jc w:val="both"/>
        <w:rPr>
          <w:rFonts w:ascii="Times New Roman" w:eastAsia="Times New Roman" w:hAnsi="Times New Roman" w:cs="Times New Roman"/>
          <w:b/>
          <w:sz w:val="24"/>
          <w:szCs w:val="24"/>
        </w:rPr>
      </w:pPr>
    </w:p>
    <w:p w14:paraId="67FEC0EA"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Adane, F., Assefa, W., Alem, M. B., &amp; Dessalegn, M. (2023). Subchronic toxicity of the aqueous leaf extract of </w:t>
      </w:r>
      <w:r w:rsidRPr="00BD2150">
        <w:rPr>
          <w:rFonts w:ascii="Times New Roman" w:eastAsia="Times New Roman" w:hAnsi="Times New Roman" w:cs="Times New Roman"/>
          <w:i/>
          <w:iCs/>
          <w:sz w:val="24"/>
          <w:szCs w:val="24"/>
        </w:rPr>
        <w:t>Ocimum lamiifolium</w:t>
      </w:r>
      <w:r w:rsidRPr="00BD2150">
        <w:rPr>
          <w:rFonts w:ascii="Times New Roman" w:eastAsia="Times New Roman" w:hAnsi="Times New Roman" w:cs="Times New Roman"/>
          <w:sz w:val="24"/>
          <w:szCs w:val="24"/>
        </w:rPr>
        <w:t xml:space="preserve"> Hochst. ex Benth. On biochemical parameters and histopathology of the liver and kidney in rats: in vivo and in silico toxicity studies. </w:t>
      </w:r>
      <w:r w:rsidRPr="00BD2150">
        <w:rPr>
          <w:rFonts w:ascii="Times New Roman" w:eastAsia="Times New Roman" w:hAnsi="Times New Roman" w:cs="Times New Roman"/>
          <w:i/>
          <w:iCs/>
          <w:sz w:val="24"/>
          <w:szCs w:val="24"/>
        </w:rPr>
        <w:t>BMC Complementary Medicine and Therapies,</w:t>
      </w:r>
      <w:r w:rsidRPr="00BD2150">
        <w:rPr>
          <w:rFonts w:ascii="Times New Roman" w:eastAsia="Times New Roman" w:hAnsi="Times New Roman" w:cs="Times New Roman"/>
          <w:sz w:val="24"/>
          <w:szCs w:val="24"/>
        </w:rPr>
        <w:t xml:space="preserve"> 23, 30. https://doi.org/10.1186/s12906-023-03863-7</w:t>
      </w:r>
    </w:p>
    <w:p w14:paraId="333BC3F3"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16D90D2F"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lang w:val=""/>
        </w:rPr>
        <w:t>Aebi, H. (1984). Catalase</w:t>
      </w:r>
      <w:r w:rsidRPr="00BD2150">
        <w:rPr>
          <w:rFonts w:ascii="Times New Roman" w:eastAsia="Times New Roman" w:hAnsi="Times New Roman" w:cs="Times New Roman"/>
          <w:sz w:val="24"/>
          <w:szCs w:val="24"/>
          <w:lang w:val=""/>
        </w:rPr>
        <w:t xml:space="preserve"> in vitro. </w:t>
      </w:r>
      <w:r w:rsidRPr="00BD2150">
        <w:rPr>
          <w:rFonts w:ascii="Times New Roman" w:eastAsia="Times New Roman" w:hAnsi="Times New Roman" w:cs="Times New Roman"/>
          <w:i/>
          <w:iCs/>
          <w:sz w:val="24"/>
          <w:szCs w:val="24"/>
        </w:rPr>
        <w:t>Methods Enzymol</w:t>
      </w:r>
      <w:r w:rsidRPr="00BD2150">
        <w:rPr>
          <w:rFonts w:ascii="Times New Roman" w:eastAsia="Times New Roman" w:hAnsi="Times New Roman" w:cs="Times New Roman"/>
          <w:sz w:val="24"/>
          <w:szCs w:val="24"/>
        </w:rPr>
        <w:t>. 105, 121-126. https://doi:10.1016/s0076-6879(84)05016-3</w:t>
      </w:r>
    </w:p>
    <w:p w14:paraId="1FDB77A1"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41890DC4"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Atwater, W. O., &amp; Wood, C. D. (1896). </w:t>
      </w:r>
      <w:r w:rsidRPr="00BD2150">
        <w:rPr>
          <w:rFonts w:ascii="Times New Roman" w:eastAsia="Times New Roman" w:hAnsi="Times New Roman" w:cs="Times New Roman"/>
          <w:i/>
          <w:iCs/>
          <w:sz w:val="24"/>
          <w:szCs w:val="24"/>
        </w:rPr>
        <w:t>The Chemical Composition of American Food Materials</w:t>
      </w:r>
      <w:r w:rsidRPr="00BD2150">
        <w:rPr>
          <w:rFonts w:ascii="Times New Roman" w:eastAsia="Times New Roman" w:hAnsi="Times New Roman" w:cs="Times New Roman"/>
          <w:sz w:val="24"/>
          <w:szCs w:val="24"/>
        </w:rPr>
        <w:t>. U.S. Department of Agriculture, Office of Experiment Stations, Bulletin No. 28.</w:t>
      </w:r>
    </w:p>
    <w:p w14:paraId="41E1ED79"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1360098F"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Bannister, J. V., &amp; Calabrese, L. Assays for superoxide dismutase. </w:t>
      </w:r>
      <w:r w:rsidRPr="00BD2150">
        <w:rPr>
          <w:rFonts w:ascii="Times New Roman" w:eastAsia="Times New Roman" w:hAnsi="Times New Roman" w:cs="Times New Roman"/>
          <w:i/>
          <w:iCs/>
          <w:sz w:val="24"/>
          <w:szCs w:val="24"/>
        </w:rPr>
        <w:t>Methods Biochemical Analysis</w:t>
      </w:r>
      <w:r w:rsidRPr="00BD2150">
        <w:rPr>
          <w:rFonts w:ascii="Times New Roman" w:eastAsia="Times New Roman" w:hAnsi="Times New Roman" w:cs="Times New Roman"/>
          <w:sz w:val="24"/>
          <w:szCs w:val="24"/>
        </w:rPr>
        <w:t>, 32,: 279-312. https://doi:10.1002/9780470110539.ch5</w:t>
      </w:r>
    </w:p>
    <w:p w14:paraId="665B7B2E"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5E917172"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Bastos, G. R., Silva, W. B. da., Dourado, T. A., Dahmer, D. de S. V., Spada, E. C. de L., &amp; França, S. A.</w:t>
      </w:r>
      <w:r w:rsidRPr="00BD2150">
        <w:rPr>
          <w:rFonts w:ascii="Times New Roman" w:eastAsia="Times New Roman" w:hAnsi="Times New Roman" w:cs="Times New Roman"/>
          <w:sz w:val="24"/>
          <w:szCs w:val="24"/>
        </w:rPr>
        <w:t xml:space="preserve"> de. (2024). Proximal composition and antioxidant potential of </w:t>
      </w:r>
      <w:r w:rsidRPr="00BD2150">
        <w:rPr>
          <w:rFonts w:ascii="Times New Roman" w:eastAsia="Times New Roman" w:hAnsi="Times New Roman" w:cs="Times New Roman"/>
          <w:i/>
          <w:iCs/>
          <w:sz w:val="24"/>
          <w:szCs w:val="24"/>
        </w:rPr>
        <w:t>Attalea phalerata</w:t>
      </w:r>
      <w:r w:rsidRPr="00BD2150">
        <w:rPr>
          <w:rFonts w:ascii="Times New Roman" w:eastAsia="Times New Roman" w:hAnsi="Times New Roman" w:cs="Times New Roman"/>
          <w:sz w:val="24"/>
          <w:szCs w:val="24"/>
        </w:rPr>
        <w:t xml:space="preserve"> (acuri) pulp harvested from the Federal University of Mato Grosso campus. </w:t>
      </w:r>
      <w:r w:rsidRPr="00BD2150">
        <w:rPr>
          <w:rFonts w:ascii="Times New Roman" w:eastAsia="Times New Roman" w:hAnsi="Times New Roman" w:cs="Times New Roman"/>
          <w:i/>
          <w:iCs/>
          <w:sz w:val="24"/>
          <w:szCs w:val="24"/>
        </w:rPr>
        <w:t>E&amp;S Engineering and Science</w:t>
      </w:r>
      <w:r w:rsidRPr="00BD2150">
        <w:rPr>
          <w:rFonts w:ascii="Times New Roman" w:eastAsia="Times New Roman" w:hAnsi="Times New Roman" w:cs="Times New Roman"/>
          <w:sz w:val="24"/>
          <w:szCs w:val="24"/>
        </w:rPr>
        <w:t>, 13(2), 10–19. https://doi.org/10.18607/ES20241317305</w:t>
      </w:r>
    </w:p>
    <w:p w14:paraId="0CBA052C" w14:textId="77777777" w:rsidR="00BD2150" w:rsidRPr="00BD2150" w:rsidRDefault="00BD2150" w:rsidP="00BD2150">
      <w:pPr>
        <w:tabs>
          <w:tab w:val="left" w:pos="709"/>
        </w:tabs>
        <w:spacing w:after="0" w:line="240" w:lineRule="auto"/>
        <w:jc w:val="both"/>
        <w:rPr>
          <w:rFonts w:ascii="Times New Roman" w:hAnsi="Times New Roman" w:cs="Times New Roman"/>
          <w:sz w:val="24"/>
          <w:szCs w:val="24"/>
        </w:rPr>
      </w:pPr>
    </w:p>
    <w:p w14:paraId="57652BE5"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en-US"/>
        </w:rPr>
      </w:pPr>
      <w:r w:rsidRPr="00BD2150">
        <w:rPr>
          <w:rFonts w:ascii="Times New Roman" w:eastAsia="Times New Roman" w:hAnsi="Times New Roman" w:cs="Times New Roman"/>
          <w:sz w:val="24"/>
          <w:szCs w:val="24"/>
          <w:lang w:val="en-US"/>
        </w:rPr>
        <w:t>Blaner, W. S. (201</w:t>
      </w:r>
      <w:r w:rsidRPr="00BD2150">
        <w:rPr>
          <w:rFonts w:ascii="Times New Roman" w:eastAsia="Times New Roman" w:hAnsi="Times New Roman" w:cs="Times New Roman"/>
          <w:sz w:val="24"/>
          <w:szCs w:val="24"/>
          <w:lang w:val="en-US"/>
        </w:rPr>
        <w:t xml:space="preserve">9).   Vitamin A signaling and homeostasis in obesity, diabetes, and metabolic disorders. </w:t>
      </w:r>
      <w:r w:rsidRPr="00BD2150">
        <w:rPr>
          <w:rFonts w:ascii="Times New Roman" w:eastAsia="Times New Roman" w:hAnsi="Times New Roman" w:cs="Times New Roman"/>
          <w:i/>
          <w:iCs/>
          <w:sz w:val="24"/>
          <w:szCs w:val="24"/>
          <w:lang w:val="en-US"/>
        </w:rPr>
        <w:t xml:space="preserve">Pharmacology &amp; Therapeutics, </w:t>
      </w:r>
      <w:r w:rsidRPr="00BD2150">
        <w:rPr>
          <w:rFonts w:ascii="Times New Roman" w:eastAsia="Times New Roman" w:hAnsi="Times New Roman" w:cs="Times New Roman"/>
          <w:sz w:val="24"/>
          <w:szCs w:val="24"/>
          <w:lang w:val="en-US"/>
        </w:rPr>
        <w:t xml:space="preserve">197, 153-178. https://doi.org/10.1016/j.pharmthera.2019.01.006 </w:t>
      </w:r>
    </w:p>
    <w:p w14:paraId="5F51D1E5"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60EE38FF"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Bradford, M. M. (1976). A rapid and sensitive method for the quantitation</w:t>
      </w:r>
      <w:r w:rsidRPr="00BD2150">
        <w:rPr>
          <w:rFonts w:ascii="Times New Roman" w:eastAsia="Times New Roman" w:hAnsi="Times New Roman" w:cs="Times New Roman"/>
          <w:sz w:val="24"/>
          <w:szCs w:val="24"/>
        </w:rPr>
        <w:t xml:space="preserve"> of microgram quantities of protein utilizing the principle of protein-dye binding. </w:t>
      </w:r>
      <w:r w:rsidRPr="00BD2150">
        <w:rPr>
          <w:rFonts w:ascii="Times New Roman" w:eastAsia="Times New Roman" w:hAnsi="Times New Roman" w:cs="Times New Roman"/>
          <w:i/>
          <w:iCs/>
          <w:sz w:val="24"/>
          <w:szCs w:val="24"/>
        </w:rPr>
        <w:t>Analytical Biochemistry</w:t>
      </w:r>
      <w:r w:rsidRPr="00BD2150">
        <w:rPr>
          <w:rFonts w:ascii="Times New Roman" w:eastAsia="Times New Roman" w:hAnsi="Times New Roman" w:cs="Times New Roman"/>
          <w:sz w:val="24"/>
          <w:szCs w:val="24"/>
        </w:rPr>
        <w:t>, 72, 248–254. https://doi.org/10.1016/0003-2697(76)90527-3</w:t>
      </w:r>
    </w:p>
    <w:p w14:paraId="2E0D83AD" w14:textId="77777777" w:rsidR="00BD2150" w:rsidRPr="00BD2150" w:rsidRDefault="00BD2150" w:rsidP="00BD2150">
      <w:pPr>
        <w:tabs>
          <w:tab w:val="left" w:pos="709"/>
        </w:tabs>
        <w:spacing w:after="0" w:line="240" w:lineRule="auto"/>
        <w:jc w:val="both"/>
        <w:rPr>
          <w:rStyle w:val="Forte"/>
          <w:rFonts w:ascii="Times New Roman" w:hAnsi="Times New Roman" w:cs="Times New Roman"/>
          <w:b w:val="0"/>
          <w:bCs w:val="0"/>
          <w:sz w:val="24"/>
          <w:szCs w:val="24"/>
        </w:rPr>
      </w:pPr>
    </w:p>
    <w:p w14:paraId="5781530C"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en-US"/>
        </w:rPr>
      </w:pPr>
      <w:r w:rsidRPr="00BD2150">
        <w:rPr>
          <w:rFonts w:ascii="Times New Roman" w:eastAsia="Times New Roman" w:hAnsi="Times New Roman" w:cs="Times New Roman"/>
          <w:sz w:val="24"/>
          <w:szCs w:val="24"/>
          <w:lang w:val="en-US"/>
        </w:rPr>
        <w:t xml:space="preserve">Didier, A. J., Stiene, J., Fang, L., Watkins, D., Dworkin, L. D., &amp; Creeden, J. F. (2023). Antioxidant and Anti-Tumor Effects of Dietary Vitamins A, C, and E. </w:t>
      </w:r>
      <w:r w:rsidRPr="00BD2150">
        <w:rPr>
          <w:rFonts w:ascii="Times New Roman" w:eastAsia="Times New Roman" w:hAnsi="Times New Roman" w:cs="Times New Roman"/>
          <w:i/>
          <w:iCs/>
          <w:sz w:val="24"/>
          <w:szCs w:val="24"/>
          <w:lang w:val="en-US"/>
        </w:rPr>
        <w:t>Antioxidants</w:t>
      </w:r>
      <w:r w:rsidRPr="00BD2150">
        <w:rPr>
          <w:rFonts w:ascii="Times New Roman" w:eastAsia="Times New Roman" w:hAnsi="Times New Roman" w:cs="Times New Roman"/>
          <w:sz w:val="24"/>
          <w:szCs w:val="24"/>
          <w:lang w:val="en-US"/>
        </w:rPr>
        <w:t xml:space="preserve">, 12(3), 632. https://doi.org/10.3390/antiox12030632 </w:t>
      </w:r>
    </w:p>
    <w:p w14:paraId="175BCCFA" w14:textId="77777777" w:rsidR="00BD2150" w:rsidRPr="00BD2150" w:rsidRDefault="00BD2150" w:rsidP="00BD2150">
      <w:pPr>
        <w:tabs>
          <w:tab w:val="left" w:pos="709"/>
        </w:tabs>
        <w:spacing w:after="0" w:line="240" w:lineRule="auto"/>
        <w:jc w:val="both"/>
        <w:rPr>
          <w:rFonts w:ascii="Times New Roman" w:hAnsi="Times New Roman" w:cs="Times New Roman"/>
          <w:sz w:val="24"/>
          <w:szCs w:val="24"/>
        </w:rPr>
      </w:pPr>
    </w:p>
    <w:p w14:paraId="37D34F97" w14:textId="77777777" w:rsidR="00BD2150" w:rsidRPr="00BD2150" w:rsidRDefault="00F95F28" w:rsidP="00BD2150">
      <w:pPr>
        <w:tabs>
          <w:tab w:val="left" w:pos="709"/>
        </w:tabs>
        <w:spacing w:after="0" w:line="240" w:lineRule="auto"/>
        <w:jc w:val="both"/>
        <w:rPr>
          <w:rStyle w:val="Forte"/>
          <w:rFonts w:ascii="Times New Roman" w:hAnsi="Times New Roman" w:cs="Times New Roman"/>
          <w:b w:val="0"/>
          <w:bCs w:val="0"/>
          <w:i/>
          <w:iCs/>
          <w:sz w:val="24"/>
          <w:szCs w:val="24"/>
        </w:rPr>
      </w:pPr>
      <w:r w:rsidRPr="00BD2150">
        <w:rPr>
          <w:rFonts w:ascii="Times New Roman" w:hAnsi="Times New Roman" w:cs="Times New Roman"/>
          <w:sz w:val="24"/>
          <w:szCs w:val="24"/>
        </w:rPr>
        <w:t>Dasgupta</w:t>
      </w:r>
      <w:r w:rsidRPr="00BD2150">
        <w:rPr>
          <w:rStyle w:val="Forte"/>
          <w:rFonts w:ascii="Times New Roman" w:hAnsi="Times New Roman" w:cs="Times New Roman"/>
          <w:sz w:val="24"/>
          <w:szCs w:val="24"/>
        </w:rPr>
        <w:t xml:space="preserve">, A., &amp; </w:t>
      </w:r>
      <w:r w:rsidRPr="00BD2150">
        <w:rPr>
          <w:rFonts w:ascii="Times New Roman" w:hAnsi="Times New Roman" w:cs="Times New Roman"/>
          <w:sz w:val="24"/>
          <w:szCs w:val="24"/>
        </w:rPr>
        <w:t>Hammett</w:t>
      </w:r>
      <w:r w:rsidRPr="00BD2150">
        <w:rPr>
          <w:rFonts w:ascii="Times New Roman" w:hAnsi="Times New Roman" w:cs="Times New Roman"/>
          <w:sz w:val="24"/>
          <w:szCs w:val="24"/>
        </w:rPr>
        <w:noBreakHyphen/>
        <w:t>Stable</w:t>
      </w:r>
      <w:r w:rsidRPr="00BD2150">
        <w:rPr>
          <w:rFonts w:ascii="Times New Roman" w:hAnsi="Times New Roman" w:cs="Times New Roman"/>
          <w:sz w:val="24"/>
          <w:szCs w:val="24"/>
        </w:rPr>
        <w:t xml:space="preserve">r, C. A. (Eds.). (2011). </w:t>
      </w:r>
      <w:r w:rsidRPr="00BD2150">
        <w:rPr>
          <w:rStyle w:val="Forte"/>
          <w:rFonts w:ascii="Times New Roman" w:hAnsi="Times New Roman" w:cs="Times New Roman"/>
          <w:sz w:val="24"/>
          <w:szCs w:val="24"/>
        </w:rPr>
        <w:t xml:space="preserve">Abnormal Liver Function Tests Due to the Use of Hepatotoxic Herbals. In </w:t>
      </w:r>
      <w:r w:rsidRPr="00BD2150">
        <w:rPr>
          <w:rStyle w:val="Forte"/>
          <w:rFonts w:ascii="Times New Roman" w:hAnsi="Times New Roman" w:cs="Times New Roman"/>
          <w:i/>
          <w:iCs/>
          <w:sz w:val="24"/>
          <w:szCs w:val="24"/>
        </w:rPr>
        <w:t>Herbal Supplements: Efficacy, Toxicity, Interactions with Western Drugs, and Effects on Clinical Laboratory Tests. Spriner.</w:t>
      </w:r>
    </w:p>
    <w:p w14:paraId="40A1133F"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7E6C24FC"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Folch, J., Lees, M., &amp; Sloane Stan</w:t>
      </w:r>
      <w:r w:rsidRPr="00BD2150">
        <w:rPr>
          <w:rFonts w:ascii="Times New Roman" w:eastAsia="Times New Roman" w:hAnsi="Times New Roman" w:cs="Times New Roman"/>
          <w:sz w:val="24"/>
          <w:szCs w:val="24"/>
        </w:rPr>
        <w:t xml:space="preserve">ley, G. H. (1957). A simple method for the isolation and purification of total lipides from animal tissues. </w:t>
      </w:r>
      <w:r w:rsidRPr="00BD2150">
        <w:rPr>
          <w:rFonts w:ascii="Times New Roman" w:eastAsia="Times New Roman" w:hAnsi="Times New Roman" w:cs="Times New Roman"/>
          <w:i/>
          <w:iCs/>
          <w:sz w:val="24"/>
          <w:szCs w:val="24"/>
        </w:rPr>
        <w:t>Journal of Biological Chemistry</w:t>
      </w:r>
      <w:r w:rsidRPr="00BD2150">
        <w:rPr>
          <w:rFonts w:ascii="Times New Roman" w:eastAsia="Times New Roman" w:hAnsi="Times New Roman" w:cs="Times New Roman"/>
          <w:sz w:val="24"/>
          <w:szCs w:val="24"/>
        </w:rPr>
        <w:t>, 226, 497–509. PMID: 13428781</w:t>
      </w:r>
    </w:p>
    <w:p w14:paraId="15D3D43B"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7A81987F"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Freitas de Lima F., Lescano C. H., Arrigo J. D. S., Cardoso C. A. L., Coutinho J. P., &amp; Moslaves I. S. B., et al. (2018). Anti-inflammatory, antiproliferative and cytoprotective potential of the </w:t>
      </w:r>
      <w:r w:rsidRPr="00BD2150">
        <w:rPr>
          <w:rFonts w:ascii="Times New Roman" w:eastAsia="Times New Roman" w:hAnsi="Times New Roman" w:cs="Times New Roman"/>
          <w:i/>
          <w:iCs/>
          <w:sz w:val="24"/>
          <w:szCs w:val="24"/>
        </w:rPr>
        <w:t>Attalea phalerata</w:t>
      </w:r>
      <w:r w:rsidRPr="00BD2150">
        <w:rPr>
          <w:rFonts w:ascii="Times New Roman" w:eastAsia="Times New Roman" w:hAnsi="Times New Roman" w:cs="Times New Roman"/>
          <w:sz w:val="24"/>
          <w:szCs w:val="24"/>
        </w:rPr>
        <w:t xml:space="preserve"> Mart. ex Spreng. pulp oil. </w:t>
      </w:r>
      <w:r w:rsidRPr="00BD2150">
        <w:rPr>
          <w:rFonts w:ascii="Times New Roman" w:eastAsia="Times New Roman" w:hAnsi="Times New Roman" w:cs="Times New Roman"/>
          <w:i/>
          <w:iCs/>
          <w:sz w:val="24"/>
          <w:szCs w:val="24"/>
        </w:rPr>
        <w:t>PLoS One</w:t>
      </w:r>
      <w:r w:rsidRPr="00BD2150">
        <w:rPr>
          <w:rFonts w:ascii="Times New Roman" w:eastAsia="Times New Roman" w:hAnsi="Times New Roman" w:cs="Times New Roman"/>
          <w:sz w:val="24"/>
          <w:szCs w:val="24"/>
        </w:rPr>
        <w:t>, 13(4):</w:t>
      </w:r>
      <w:r w:rsidRPr="00BD2150">
        <w:rPr>
          <w:rFonts w:ascii="Times New Roman" w:eastAsia="Times New Roman" w:hAnsi="Times New Roman" w:cs="Times New Roman"/>
          <w:sz w:val="24"/>
          <w:szCs w:val="24"/>
        </w:rPr>
        <w:t>e0195678. https://doi: 10.1371/journal.pone.0195678</w:t>
      </w:r>
    </w:p>
    <w:p w14:paraId="58C441C3"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7C1BB8F7"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Haskell, M. J. (2012). The challenge to achieve nutritional adequacy for vitamin A: β-carotene bioavailability and conversion--evidence in humans. </w:t>
      </w:r>
      <w:r w:rsidRPr="00BD2150">
        <w:rPr>
          <w:rFonts w:ascii="Times New Roman" w:eastAsia="Times New Roman" w:hAnsi="Times New Roman" w:cs="Times New Roman"/>
          <w:i/>
          <w:iCs/>
          <w:sz w:val="24"/>
          <w:szCs w:val="24"/>
        </w:rPr>
        <w:t xml:space="preserve">American Journal of Clinical Nutrition, </w:t>
      </w:r>
      <w:r w:rsidRPr="00BD2150">
        <w:rPr>
          <w:rFonts w:ascii="Times New Roman" w:eastAsia="Times New Roman" w:hAnsi="Times New Roman" w:cs="Times New Roman"/>
          <w:sz w:val="24"/>
          <w:szCs w:val="24"/>
        </w:rPr>
        <w:t>96(5). https://d</w:t>
      </w:r>
      <w:r w:rsidRPr="00BD2150">
        <w:rPr>
          <w:rFonts w:ascii="Times New Roman" w:eastAsia="Times New Roman" w:hAnsi="Times New Roman" w:cs="Times New Roman"/>
          <w:sz w:val="24"/>
          <w:szCs w:val="24"/>
        </w:rPr>
        <w:t>oi:10.3945/ajcn.112.034850</w:t>
      </w:r>
    </w:p>
    <w:p w14:paraId="4E93E7D9"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1B323D16"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lang w:val="en-US"/>
        </w:rPr>
        <w:t xml:space="preserve">Kalinina, E. V., Chernov, N. N., &amp; Novichkova, M. D. (2014). </w:t>
      </w:r>
      <w:r w:rsidRPr="00BD2150">
        <w:rPr>
          <w:rFonts w:ascii="Times New Roman" w:eastAsia="Times New Roman" w:hAnsi="Times New Roman" w:cs="Times New Roman"/>
          <w:sz w:val="24"/>
          <w:szCs w:val="24"/>
        </w:rPr>
        <w:t xml:space="preserve">Role of glutathione, glutathione transferase, and glutaredoxin in regulation of redox-dependent processes. </w:t>
      </w:r>
      <w:r w:rsidRPr="00BD2150">
        <w:rPr>
          <w:rFonts w:ascii="Times New Roman" w:eastAsia="Times New Roman" w:hAnsi="Times New Roman" w:cs="Times New Roman"/>
          <w:i/>
          <w:iCs/>
          <w:sz w:val="24"/>
          <w:szCs w:val="24"/>
        </w:rPr>
        <w:t>Biochemistry</w:t>
      </w:r>
      <w:r w:rsidRPr="00BD2150">
        <w:rPr>
          <w:rFonts w:ascii="Times New Roman" w:eastAsia="Times New Roman" w:hAnsi="Times New Roman" w:cs="Times New Roman"/>
          <w:sz w:val="24"/>
          <w:szCs w:val="24"/>
        </w:rPr>
        <w:t>, 79, 1562-1583. https://doi.org/10.1134/S000629</w:t>
      </w:r>
      <w:r w:rsidRPr="00BD2150">
        <w:rPr>
          <w:rFonts w:ascii="Times New Roman" w:eastAsia="Times New Roman" w:hAnsi="Times New Roman" w:cs="Times New Roman"/>
          <w:sz w:val="24"/>
          <w:szCs w:val="24"/>
        </w:rPr>
        <w:t>7914130082</w:t>
      </w:r>
    </w:p>
    <w:p w14:paraId="715E32E1"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45D2E34A"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en-US"/>
        </w:rPr>
      </w:pPr>
      <w:r w:rsidRPr="00BD2150">
        <w:rPr>
          <w:rFonts w:ascii="Times New Roman" w:eastAsia="Times New Roman" w:hAnsi="Times New Roman" w:cs="Times New Roman"/>
          <w:sz w:val="24"/>
          <w:szCs w:val="24"/>
          <w:lang w:val="en-US"/>
        </w:rPr>
        <w:t xml:space="preserve">Kiefer, F. W., Vernochet, C., O’Brien, P., Spoerl, S., Brown, J. D., Nallamshetty, S., &amp; Rosen, E. D. (2012). Retinaldehyde dehydrogenase 1 regulates a thermogenic program in white adipose tissue. </w:t>
      </w:r>
      <w:r w:rsidRPr="00BD2150">
        <w:rPr>
          <w:rFonts w:ascii="Times New Roman" w:eastAsia="Times New Roman" w:hAnsi="Times New Roman" w:cs="Times New Roman"/>
          <w:i/>
          <w:iCs/>
          <w:sz w:val="24"/>
          <w:szCs w:val="24"/>
          <w:lang w:val="en-US"/>
        </w:rPr>
        <w:t>Nature Medicine, 18</w:t>
      </w:r>
      <w:r w:rsidRPr="00BD2150">
        <w:rPr>
          <w:rFonts w:ascii="Times New Roman" w:eastAsia="Times New Roman" w:hAnsi="Times New Roman" w:cs="Times New Roman"/>
          <w:sz w:val="24"/>
          <w:szCs w:val="24"/>
          <w:lang w:val="en-US"/>
        </w:rPr>
        <w:t>, 918–925. https://doi.org/1</w:t>
      </w:r>
      <w:r w:rsidRPr="00BD2150">
        <w:rPr>
          <w:rFonts w:ascii="Times New Roman" w:eastAsia="Times New Roman" w:hAnsi="Times New Roman" w:cs="Times New Roman"/>
          <w:sz w:val="24"/>
          <w:szCs w:val="24"/>
          <w:lang w:val="en-US"/>
        </w:rPr>
        <w:t>0.1038/nm.2757</w:t>
      </w:r>
    </w:p>
    <w:p w14:paraId="466669F8"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61FC31FF" w14:textId="77777777" w:rsidR="00BD2150" w:rsidRPr="00BD2150" w:rsidRDefault="00F95F28" w:rsidP="00BD215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Kotake-Nara, E., Hase, M., Hoshina, R.; Hidan, M., &amp; Kobayashi H. (2022). Effect of an Emulsified Formulation on Vegetable Carotenoid Bioaccessibility. </w:t>
      </w:r>
      <w:r w:rsidRPr="00BD2150">
        <w:rPr>
          <w:rFonts w:ascii="Times New Roman" w:eastAsia="Times New Roman" w:hAnsi="Times New Roman" w:cs="Times New Roman"/>
          <w:i/>
          <w:iCs/>
          <w:sz w:val="24"/>
          <w:szCs w:val="24"/>
        </w:rPr>
        <w:t>Journal of Oleo Science</w:t>
      </w:r>
      <w:r w:rsidRPr="00BD2150">
        <w:rPr>
          <w:rFonts w:ascii="Times New Roman" w:eastAsia="Times New Roman" w:hAnsi="Times New Roman" w:cs="Times New Roman"/>
          <w:sz w:val="24"/>
          <w:szCs w:val="24"/>
        </w:rPr>
        <w:t>, 71(1), 135-140. https://doi:10.5650/jos.ess21265</w:t>
      </w:r>
    </w:p>
    <w:p w14:paraId="2316FADA" w14:textId="77777777" w:rsidR="00BD2150" w:rsidRPr="00BD2150" w:rsidRDefault="00BD2150" w:rsidP="00BD215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3A2304C"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i/>
          <w:iCs/>
          <w:sz w:val="24"/>
          <w:szCs w:val="24"/>
        </w:rPr>
      </w:pPr>
      <w:r w:rsidRPr="00BD2150">
        <w:rPr>
          <w:rFonts w:ascii="Times New Roman" w:eastAsia="Times New Roman" w:hAnsi="Times New Roman" w:cs="Times New Roman"/>
          <w:sz w:val="24"/>
          <w:szCs w:val="24"/>
        </w:rPr>
        <w:t xml:space="preserve">Kubota, N., Kubota, T., &amp; Kadowaki, T. (2025). Physiological and pathophysiological actions of insulin in the liver. </w:t>
      </w:r>
      <w:r w:rsidRPr="00BD2150">
        <w:rPr>
          <w:rFonts w:ascii="Times New Roman" w:eastAsia="Times New Roman" w:hAnsi="Times New Roman" w:cs="Times New Roman"/>
          <w:i/>
          <w:iCs/>
          <w:sz w:val="24"/>
          <w:szCs w:val="24"/>
        </w:rPr>
        <w:t xml:space="preserve">Endocrine Journal, </w:t>
      </w:r>
      <w:r w:rsidRPr="00BD2150">
        <w:rPr>
          <w:rFonts w:ascii="Times New Roman" w:eastAsia="Times New Roman" w:hAnsi="Times New Roman" w:cs="Times New Roman"/>
          <w:sz w:val="24"/>
          <w:szCs w:val="24"/>
        </w:rPr>
        <w:t xml:space="preserve">72(2), 149-159. </w:t>
      </w:r>
      <w:bookmarkStart w:id="4" w:name="_Hlk207977930"/>
      <w:r w:rsidRPr="00BD2150">
        <w:rPr>
          <w:rFonts w:ascii="Times New Roman" w:eastAsia="Times New Roman" w:hAnsi="Times New Roman" w:cs="Times New Roman"/>
          <w:sz w:val="24"/>
          <w:szCs w:val="24"/>
        </w:rPr>
        <w:t>https://</w:t>
      </w:r>
      <w:bookmarkEnd w:id="4"/>
      <w:r w:rsidRPr="00BD2150">
        <w:rPr>
          <w:rFonts w:ascii="Times New Roman" w:eastAsia="Times New Roman" w:hAnsi="Times New Roman" w:cs="Times New Roman"/>
          <w:sz w:val="24"/>
          <w:szCs w:val="24"/>
        </w:rPr>
        <w:t>doi.org/10.1507/endocrj.EJ24-0192</w:t>
      </w:r>
    </w:p>
    <w:p w14:paraId="4023A8CE"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330FAE78" w14:textId="77777777" w:rsidR="00BD2150" w:rsidRPr="00BD2150" w:rsidRDefault="00F95F28" w:rsidP="00BD2150">
      <w:pPr>
        <w:spacing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Li, Y., Wongsiriroj, N., Blaner, W. S. (2014). The multifacet</w:t>
      </w:r>
      <w:r w:rsidRPr="00BD2150">
        <w:rPr>
          <w:rFonts w:ascii="Times New Roman" w:eastAsia="Times New Roman" w:hAnsi="Times New Roman" w:cs="Times New Roman"/>
          <w:sz w:val="24"/>
          <w:szCs w:val="24"/>
        </w:rPr>
        <w:t xml:space="preserve">ed nature of retinoid transport and metabolism. </w:t>
      </w:r>
      <w:r w:rsidRPr="00BD2150">
        <w:rPr>
          <w:rFonts w:ascii="Times New Roman" w:eastAsia="Times New Roman" w:hAnsi="Times New Roman" w:cs="Times New Roman"/>
          <w:i/>
          <w:iCs/>
          <w:sz w:val="24"/>
          <w:szCs w:val="24"/>
        </w:rPr>
        <w:t>Hepatobiliary Surgery and Nutrition</w:t>
      </w:r>
      <w:r w:rsidRPr="00BD2150">
        <w:rPr>
          <w:rFonts w:ascii="Times New Roman" w:eastAsia="Times New Roman" w:hAnsi="Times New Roman" w:cs="Times New Roman"/>
          <w:sz w:val="24"/>
          <w:szCs w:val="24"/>
        </w:rPr>
        <w:t>, 3(3), 126-39. https:doi:10.3978/j.issn.2304-3881.2014.05.04</w:t>
      </w:r>
    </w:p>
    <w:p w14:paraId="7BA4FDF1"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lang w:val=""/>
        </w:rPr>
        <w:t xml:space="preserve">Lima, F. F.; Traesel, G. K., Menegati, S. E. L. T., Santos, A. C. do.; Souza, R. I. C., Oliveira, V. S. de. et </w:t>
      </w:r>
      <w:r w:rsidRPr="00BD2150">
        <w:rPr>
          <w:rFonts w:ascii="Times New Roman" w:eastAsia="Times New Roman" w:hAnsi="Times New Roman" w:cs="Times New Roman"/>
          <w:sz w:val="24"/>
          <w:szCs w:val="24"/>
          <w:lang w:val=""/>
        </w:rPr>
        <w:t xml:space="preserve">al. </w:t>
      </w:r>
      <w:r w:rsidRPr="00BD2150">
        <w:rPr>
          <w:rFonts w:ascii="Times New Roman" w:eastAsia="Times New Roman" w:hAnsi="Times New Roman" w:cs="Times New Roman"/>
          <w:sz w:val="24"/>
          <w:szCs w:val="24"/>
        </w:rPr>
        <w:t xml:space="preserve">(2017). Acute and subacute oral toxicity assessment of the oil extracted from </w:t>
      </w:r>
      <w:r w:rsidRPr="00BD2150">
        <w:rPr>
          <w:rFonts w:ascii="Times New Roman" w:eastAsia="Times New Roman" w:hAnsi="Times New Roman" w:cs="Times New Roman"/>
          <w:i/>
          <w:iCs/>
          <w:sz w:val="24"/>
          <w:szCs w:val="24"/>
        </w:rPr>
        <w:t>Attalea phalerata</w:t>
      </w:r>
      <w:r w:rsidRPr="00BD2150">
        <w:rPr>
          <w:rFonts w:ascii="Times New Roman" w:eastAsia="Times New Roman" w:hAnsi="Times New Roman" w:cs="Times New Roman"/>
          <w:sz w:val="24"/>
          <w:szCs w:val="24"/>
        </w:rPr>
        <w:t xml:space="preserve"> Mart. ex Spreng. pulp fruit in rats. </w:t>
      </w:r>
      <w:r w:rsidRPr="00BD2150">
        <w:rPr>
          <w:rFonts w:ascii="Times New Roman" w:eastAsia="Times New Roman" w:hAnsi="Times New Roman" w:cs="Times New Roman"/>
          <w:i/>
          <w:iCs/>
          <w:sz w:val="24"/>
          <w:szCs w:val="24"/>
        </w:rPr>
        <w:t>Food Research International</w:t>
      </w:r>
      <w:r w:rsidRPr="00BD2150">
        <w:rPr>
          <w:rFonts w:ascii="Times New Roman" w:eastAsia="Times New Roman" w:hAnsi="Times New Roman" w:cs="Times New Roman"/>
          <w:sz w:val="24"/>
          <w:szCs w:val="24"/>
        </w:rPr>
        <w:t>, 91, 11-17. https:doi:10.1016/j.foodres.2016.11.019</w:t>
      </w:r>
    </w:p>
    <w:p w14:paraId="03AF0A47" w14:textId="77777777" w:rsidR="00BD2150" w:rsidRPr="00BD2150" w:rsidRDefault="00BD2150" w:rsidP="00BD2150">
      <w:pPr>
        <w:spacing w:line="240" w:lineRule="auto"/>
        <w:jc w:val="both"/>
        <w:rPr>
          <w:rFonts w:ascii="Times New Roman" w:eastAsia="Times New Roman" w:hAnsi="Times New Roman" w:cs="Times New Roman"/>
          <w:sz w:val="24"/>
          <w:szCs w:val="24"/>
        </w:rPr>
      </w:pPr>
    </w:p>
    <w:p w14:paraId="6D2A05DB" w14:textId="77777777" w:rsidR="00BD2150" w:rsidRPr="00BD2150" w:rsidRDefault="00F95F28" w:rsidP="00BD2150">
      <w:pPr>
        <w:tabs>
          <w:tab w:val="left" w:pos="709"/>
        </w:tabs>
        <w:spacing w:after="0" w:line="240" w:lineRule="auto"/>
        <w:jc w:val="both"/>
        <w:rPr>
          <w:rFonts w:ascii="Times New Roman" w:hAnsi="Times New Roman" w:cs="Times New Roman"/>
          <w:sz w:val="24"/>
          <w:szCs w:val="24"/>
        </w:rPr>
      </w:pPr>
      <w:r w:rsidRPr="00BD2150">
        <w:rPr>
          <w:rFonts w:ascii="Times New Roman" w:eastAsia="Times New Roman" w:hAnsi="Times New Roman" w:cs="Times New Roman"/>
          <w:sz w:val="24"/>
          <w:szCs w:val="24"/>
        </w:rPr>
        <w:t xml:space="preserve">Medeiros, T. D. S.; Guedes, A. C. L., Júnior, C. A. S. S., Silva, R. B. L., Farias, A. L. F., Almeida, S. S. M. S. et al. (2021). Taxonomic complexity and occurrence area expansion of the Attalea phalerata Mart. ex Spreng. to the State of Amapá, Brazil. </w:t>
      </w:r>
      <w:r w:rsidRPr="00BD2150">
        <w:rPr>
          <w:rFonts w:ascii="Times New Roman" w:eastAsia="Times New Roman" w:hAnsi="Times New Roman" w:cs="Times New Roman"/>
          <w:i/>
          <w:iCs/>
          <w:sz w:val="24"/>
          <w:szCs w:val="24"/>
        </w:rPr>
        <w:t>Re</w:t>
      </w:r>
      <w:r w:rsidRPr="00BD2150">
        <w:rPr>
          <w:rFonts w:ascii="Times New Roman" w:eastAsia="Times New Roman" w:hAnsi="Times New Roman" w:cs="Times New Roman"/>
          <w:i/>
          <w:iCs/>
          <w:sz w:val="24"/>
          <w:szCs w:val="24"/>
        </w:rPr>
        <w:t>search, Society and Development</w:t>
      </w:r>
      <w:r w:rsidRPr="00BD2150">
        <w:rPr>
          <w:rFonts w:ascii="Times New Roman" w:eastAsia="Times New Roman" w:hAnsi="Times New Roman" w:cs="Times New Roman"/>
          <w:sz w:val="24"/>
          <w:szCs w:val="24"/>
        </w:rPr>
        <w:t>, 10, 1-11. http://dx.doi.org/10.33448/rsd-v10i11.19294</w:t>
      </w:r>
    </w:p>
    <w:p w14:paraId="002F8804"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3A81B2D5"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pt-BR"/>
        </w:rPr>
      </w:pPr>
      <w:r w:rsidRPr="00BD2150">
        <w:rPr>
          <w:rFonts w:ascii="Times New Roman" w:eastAsia="Times New Roman" w:hAnsi="Times New Roman" w:cs="Times New Roman"/>
          <w:sz w:val="24"/>
          <w:szCs w:val="24"/>
          <w:lang w:val="pt-BR"/>
        </w:rPr>
        <w:lastRenderedPageBreak/>
        <w:t xml:space="preserve">Negrelle, R. R. B. (2015). </w:t>
      </w:r>
      <w:r w:rsidRPr="00BD2150">
        <w:rPr>
          <w:rFonts w:ascii="Times New Roman" w:eastAsia="Times New Roman" w:hAnsi="Times New Roman" w:cs="Times New Roman"/>
          <w:i/>
          <w:iCs/>
          <w:sz w:val="24"/>
          <w:szCs w:val="24"/>
          <w:lang w:val="pt-BR"/>
        </w:rPr>
        <w:t>Attalea phalerata</w:t>
      </w:r>
      <w:r w:rsidRPr="00BD2150">
        <w:rPr>
          <w:rFonts w:ascii="Times New Roman" w:eastAsia="Times New Roman" w:hAnsi="Times New Roman" w:cs="Times New Roman"/>
          <w:sz w:val="24"/>
          <w:szCs w:val="24"/>
          <w:lang w:val="pt-BR"/>
        </w:rPr>
        <w:t xml:space="preserve"> Mart. Ex Spreng.: Aspectos Botânicos, Ecológicos, Etnobotânicos e Agronômicos. </w:t>
      </w:r>
      <w:r w:rsidRPr="00BD2150">
        <w:rPr>
          <w:rFonts w:ascii="Times New Roman" w:eastAsia="Times New Roman" w:hAnsi="Times New Roman" w:cs="Times New Roman"/>
          <w:i/>
          <w:iCs/>
          <w:sz w:val="24"/>
          <w:szCs w:val="24"/>
          <w:lang w:val="pt-BR"/>
        </w:rPr>
        <w:t>Ciência Florestal</w:t>
      </w:r>
      <w:r w:rsidRPr="00BD2150">
        <w:rPr>
          <w:rFonts w:ascii="Times New Roman" w:eastAsia="Times New Roman" w:hAnsi="Times New Roman" w:cs="Times New Roman"/>
          <w:sz w:val="24"/>
          <w:szCs w:val="24"/>
          <w:lang w:val="pt-BR"/>
        </w:rPr>
        <w:t>, 25(4), 1061–1066. https:/</w:t>
      </w:r>
      <w:r w:rsidRPr="00BD2150">
        <w:rPr>
          <w:rFonts w:ascii="Times New Roman" w:eastAsia="Times New Roman" w:hAnsi="Times New Roman" w:cs="Times New Roman"/>
          <w:sz w:val="24"/>
          <w:szCs w:val="24"/>
          <w:lang w:val="pt-BR"/>
        </w:rPr>
        <w:t xml:space="preserve">/doi.org/10.5902/1980509820669 </w:t>
      </w:r>
    </w:p>
    <w:p w14:paraId="1CB663C2"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1C1DCB31" w14:textId="77777777" w:rsidR="00BD2150" w:rsidRPr="00BD2150" w:rsidRDefault="00F95F28" w:rsidP="00BD2150">
      <w:pPr>
        <w:spacing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O'Byrne, S. M., &amp; Blaner, W. S. (2013). Retinol and retinyl esters: biochemistry and physiology. </w:t>
      </w:r>
      <w:r w:rsidRPr="00BD2150">
        <w:rPr>
          <w:rFonts w:ascii="Times New Roman" w:eastAsia="Times New Roman" w:hAnsi="Times New Roman" w:cs="Times New Roman"/>
          <w:i/>
          <w:iCs/>
          <w:sz w:val="24"/>
          <w:szCs w:val="24"/>
        </w:rPr>
        <w:t>Journal of Lipid Research</w:t>
      </w:r>
      <w:r w:rsidRPr="00BD2150">
        <w:rPr>
          <w:rFonts w:ascii="Times New Roman" w:eastAsia="Times New Roman" w:hAnsi="Times New Roman" w:cs="Times New Roman"/>
          <w:sz w:val="24"/>
          <w:szCs w:val="24"/>
        </w:rPr>
        <w:t xml:space="preserve">, 54(7),1731–1743. </w:t>
      </w:r>
      <w:r w:rsidRPr="00BD2150">
        <w:rPr>
          <w:rFonts w:ascii="Times New Roman" w:eastAsia="Times New Roman" w:hAnsi="Times New Roman" w:cs="Times New Roman"/>
          <w:sz w:val="24"/>
          <w:szCs w:val="24"/>
          <w:lang w:val="pt-BR"/>
        </w:rPr>
        <w:t>https://</w:t>
      </w:r>
      <w:r w:rsidRPr="00BD2150">
        <w:rPr>
          <w:rFonts w:ascii="Times New Roman" w:eastAsia="Times New Roman" w:hAnsi="Times New Roman" w:cs="Times New Roman"/>
          <w:sz w:val="24"/>
          <w:szCs w:val="24"/>
        </w:rPr>
        <w:t>doi:10.1194/jlr.R037648</w:t>
      </w:r>
    </w:p>
    <w:p w14:paraId="3E08D5BE"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pt-BR"/>
        </w:rPr>
      </w:pPr>
      <w:r w:rsidRPr="00BD2150">
        <w:rPr>
          <w:rFonts w:ascii="Times New Roman" w:eastAsia="Times New Roman" w:hAnsi="Times New Roman" w:cs="Times New Roman"/>
          <w:sz w:val="24"/>
          <w:szCs w:val="24"/>
          <w:lang w:val="pt-BR"/>
        </w:rPr>
        <w:t>Odetti, P., Girabaldi, S., Gurreri, G., Aragno, I.</w:t>
      </w:r>
      <w:r w:rsidRPr="00BD2150">
        <w:rPr>
          <w:rFonts w:ascii="Times New Roman" w:eastAsia="Times New Roman" w:hAnsi="Times New Roman" w:cs="Times New Roman"/>
          <w:sz w:val="24"/>
          <w:szCs w:val="24"/>
          <w:lang w:val="pt-BR"/>
        </w:rPr>
        <w:t xml:space="preserve">, Dapino, D., Pronzato, M. A., &amp; Marinari, U. M. (1996). Protein oxidation in hemodialysis and kidney transplantation. </w:t>
      </w:r>
      <w:r w:rsidRPr="00BD2150">
        <w:rPr>
          <w:rFonts w:ascii="Times New Roman" w:eastAsia="Times New Roman" w:hAnsi="Times New Roman" w:cs="Times New Roman"/>
          <w:i/>
          <w:iCs/>
          <w:sz w:val="24"/>
          <w:szCs w:val="24"/>
          <w:lang w:val="pt-BR"/>
        </w:rPr>
        <w:t>Metabolism</w:t>
      </w:r>
      <w:r w:rsidRPr="00BD2150">
        <w:rPr>
          <w:rFonts w:ascii="Times New Roman" w:eastAsia="Times New Roman" w:hAnsi="Times New Roman" w:cs="Times New Roman"/>
          <w:sz w:val="24"/>
          <w:szCs w:val="24"/>
          <w:lang w:val="pt-BR"/>
        </w:rPr>
        <w:t>, 45(11), 1319-1322. https://doi.org/10.1016/s0026-0495(96)90108-0</w:t>
      </w:r>
    </w:p>
    <w:p w14:paraId="73FCA3AD"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lang w:val="pt-BR"/>
        </w:rPr>
      </w:pPr>
    </w:p>
    <w:p w14:paraId="3E2012E4"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en-US"/>
        </w:rPr>
      </w:pPr>
      <w:r w:rsidRPr="00BD2150">
        <w:rPr>
          <w:rFonts w:ascii="Times New Roman" w:eastAsia="Times New Roman" w:hAnsi="Times New Roman" w:cs="Times New Roman"/>
          <w:sz w:val="24"/>
          <w:szCs w:val="24"/>
          <w:lang w:val="pt-BR"/>
        </w:rPr>
        <w:t>Oliveros, L. B., Domeniconi, M. A., Veja, V. A., Gatica, L.</w:t>
      </w:r>
      <w:r w:rsidRPr="00BD2150">
        <w:rPr>
          <w:rFonts w:ascii="Times New Roman" w:eastAsia="Times New Roman" w:hAnsi="Times New Roman" w:cs="Times New Roman"/>
          <w:sz w:val="24"/>
          <w:szCs w:val="24"/>
          <w:lang w:val="pt-BR"/>
        </w:rPr>
        <w:t xml:space="preserve"> V., Brigada, A. M., &amp; Gimenez, M. S. </w:t>
      </w:r>
      <w:r w:rsidRPr="00BD2150">
        <w:rPr>
          <w:rFonts w:ascii="Times New Roman" w:eastAsia="Times New Roman" w:hAnsi="Times New Roman" w:cs="Times New Roman"/>
          <w:sz w:val="24"/>
          <w:szCs w:val="24"/>
          <w:lang w:val="en-US"/>
        </w:rPr>
        <w:t xml:space="preserve">(2007). Vitamin A deficiency modifies lipid metabolism in rat liver. </w:t>
      </w:r>
      <w:r w:rsidRPr="00BD2150">
        <w:rPr>
          <w:rFonts w:ascii="Times New Roman" w:eastAsia="Times New Roman" w:hAnsi="Times New Roman" w:cs="Times New Roman"/>
          <w:i/>
          <w:iCs/>
          <w:sz w:val="24"/>
          <w:szCs w:val="24"/>
          <w:lang w:val="en-US"/>
        </w:rPr>
        <w:t xml:space="preserve">British Journal of Nutrition, </w:t>
      </w:r>
      <w:r w:rsidRPr="00BD2150">
        <w:rPr>
          <w:rFonts w:ascii="Times New Roman" w:eastAsia="Times New Roman" w:hAnsi="Times New Roman" w:cs="Times New Roman"/>
          <w:sz w:val="24"/>
          <w:szCs w:val="24"/>
          <w:lang w:val="en-US"/>
        </w:rPr>
        <w:t xml:space="preserve">97(2), 263-272. </w:t>
      </w:r>
      <w:bookmarkStart w:id="5" w:name="_Hlk207978105"/>
      <w:r w:rsidRPr="00BD2150">
        <w:rPr>
          <w:rFonts w:ascii="Times New Roman" w:eastAsia="Times New Roman" w:hAnsi="Times New Roman" w:cs="Times New Roman"/>
          <w:sz w:val="24"/>
          <w:szCs w:val="24"/>
        </w:rPr>
        <w:t>https://</w:t>
      </w:r>
      <w:bookmarkEnd w:id="5"/>
      <w:r w:rsidRPr="00BD2150">
        <w:rPr>
          <w:rFonts w:ascii="Times New Roman" w:eastAsia="Times New Roman" w:hAnsi="Times New Roman" w:cs="Times New Roman"/>
          <w:sz w:val="24"/>
          <w:szCs w:val="24"/>
          <w:lang w:val="en-US"/>
        </w:rPr>
        <w:t>doi:10.1017/S0007114507182659</w:t>
      </w:r>
    </w:p>
    <w:p w14:paraId="6F819628"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596A7ADC"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Percario, S., Vital, A. C. C., &amp; Jablonka, F. (1994). Dosage of malondialdehyde. </w:t>
      </w:r>
      <w:r w:rsidRPr="00BD2150">
        <w:rPr>
          <w:rFonts w:ascii="Times New Roman" w:eastAsia="Times New Roman" w:hAnsi="Times New Roman" w:cs="Times New Roman"/>
          <w:i/>
          <w:iCs/>
          <w:sz w:val="24"/>
          <w:szCs w:val="24"/>
        </w:rPr>
        <w:t>Newslab</w:t>
      </w:r>
      <w:r w:rsidRPr="00BD2150">
        <w:rPr>
          <w:rFonts w:ascii="Times New Roman" w:eastAsia="Times New Roman" w:hAnsi="Times New Roman" w:cs="Times New Roman"/>
          <w:sz w:val="24"/>
          <w:szCs w:val="24"/>
        </w:rPr>
        <w:t>, 2(6),</w:t>
      </w:r>
      <w:r w:rsidRPr="00BD2150">
        <w:rPr>
          <w:rFonts w:ascii="Times New Roman" w:hAnsi="Times New Roman" w:cs="Times New Roman"/>
          <w:sz w:val="24"/>
          <w:szCs w:val="24"/>
        </w:rPr>
        <w:t xml:space="preserve"> </w:t>
      </w:r>
      <w:r w:rsidRPr="00BD2150">
        <w:rPr>
          <w:rFonts w:ascii="Times New Roman" w:eastAsia="Times New Roman" w:hAnsi="Times New Roman" w:cs="Times New Roman"/>
          <w:sz w:val="24"/>
          <w:szCs w:val="24"/>
        </w:rPr>
        <w:t>46-50.</w:t>
      </w:r>
    </w:p>
    <w:p w14:paraId="64F82D5A"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1FF0B0F6"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pt-BR"/>
        </w:rPr>
      </w:pPr>
      <w:r w:rsidRPr="00BD2150">
        <w:rPr>
          <w:rFonts w:ascii="Times New Roman" w:eastAsia="Times New Roman" w:hAnsi="Times New Roman" w:cs="Times New Roman"/>
          <w:sz w:val="24"/>
          <w:szCs w:val="24"/>
        </w:rPr>
        <w:t>Reeves, P. G., Nielsen, F. H., &amp; Fahey, G. C. Jr. (1993). AIN-93 purified diets for laboratory rodents: final report of the American Institute of Nutrit</w:t>
      </w:r>
      <w:r w:rsidRPr="00BD2150">
        <w:rPr>
          <w:rFonts w:ascii="Times New Roman" w:eastAsia="Times New Roman" w:hAnsi="Times New Roman" w:cs="Times New Roman"/>
          <w:sz w:val="24"/>
          <w:szCs w:val="24"/>
        </w:rPr>
        <w:t xml:space="preserve">ion ad hoc writing committee on the reformulation of the AIN-76A rodent diet. </w:t>
      </w:r>
      <w:r w:rsidRPr="00BD2150">
        <w:rPr>
          <w:rFonts w:ascii="Times New Roman" w:eastAsia="Times New Roman" w:hAnsi="Times New Roman" w:cs="Times New Roman"/>
          <w:i/>
          <w:iCs/>
          <w:sz w:val="24"/>
          <w:szCs w:val="24"/>
        </w:rPr>
        <w:t xml:space="preserve">The </w:t>
      </w:r>
      <w:r w:rsidRPr="00BD2150">
        <w:rPr>
          <w:rFonts w:ascii="Times New Roman" w:eastAsia="Times New Roman" w:hAnsi="Times New Roman" w:cs="Times New Roman"/>
          <w:i/>
          <w:iCs/>
          <w:sz w:val="24"/>
          <w:szCs w:val="24"/>
          <w:lang w:val="pt-BR"/>
        </w:rPr>
        <w:t>Journal of Nutrition,</w:t>
      </w:r>
      <w:r w:rsidRPr="00BD2150">
        <w:rPr>
          <w:rFonts w:ascii="Times New Roman" w:eastAsia="Times New Roman" w:hAnsi="Times New Roman" w:cs="Times New Roman"/>
          <w:sz w:val="24"/>
          <w:szCs w:val="24"/>
          <w:lang w:val="pt-BR"/>
        </w:rPr>
        <w:t xml:space="preserve"> 123(11), 1939-51. https://doi.org/10.1093/jn/123.11.1939</w:t>
      </w:r>
    </w:p>
    <w:p w14:paraId="6FC189FB"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lang w:val="pt-BR"/>
        </w:rPr>
      </w:pPr>
    </w:p>
    <w:p w14:paraId="6ED7605C"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pt-BR"/>
        </w:rPr>
      </w:pPr>
      <w:r w:rsidRPr="00BD2150">
        <w:rPr>
          <w:rFonts w:ascii="Times New Roman" w:eastAsia="Times New Roman" w:hAnsi="Times New Roman" w:cs="Times New Roman"/>
          <w:sz w:val="24"/>
          <w:szCs w:val="24"/>
          <w:lang w:val="pt-BR"/>
        </w:rPr>
        <w:t xml:space="preserve">Sedlak, J., &amp; Lindsay, R. H. (1968). Estimation of total, protein-bound, and nonprotein sulfhydryl groups in tissue with Ellman's reagent. </w:t>
      </w:r>
      <w:r w:rsidRPr="00BD2150">
        <w:rPr>
          <w:rFonts w:ascii="Times New Roman" w:eastAsia="Times New Roman" w:hAnsi="Times New Roman" w:cs="Times New Roman"/>
          <w:i/>
          <w:iCs/>
          <w:sz w:val="24"/>
          <w:szCs w:val="24"/>
          <w:lang w:val="pt-BR"/>
        </w:rPr>
        <w:t>Analytical Biochemistry,</w:t>
      </w:r>
      <w:r w:rsidRPr="00BD2150">
        <w:rPr>
          <w:rFonts w:ascii="Times New Roman" w:eastAsia="Times New Roman" w:hAnsi="Times New Roman" w:cs="Times New Roman"/>
          <w:sz w:val="24"/>
          <w:szCs w:val="24"/>
          <w:lang w:val="pt-BR"/>
        </w:rPr>
        <w:t xml:space="preserve"> 25(1), 192-205. https://doi.org/10.1016/0003-2697(68)90092-4</w:t>
      </w:r>
    </w:p>
    <w:p w14:paraId="5798A521"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lang w:val="pt-BR"/>
        </w:rPr>
      </w:pPr>
    </w:p>
    <w:p w14:paraId="1603B8A2"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en-US"/>
        </w:rPr>
      </w:pPr>
      <w:r w:rsidRPr="00BD2150">
        <w:rPr>
          <w:rFonts w:ascii="Times New Roman" w:eastAsia="Times New Roman" w:hAnsi="Times New Roman" w:cs="Times New Roman"/>
          <w:sz w:val="24"/>
          <w:szCs w:val="24"/>
          <w:lang w:val="pt-BR"/>
        </w:rPr>
        <w:t>Siqueira, L. M. M., Campos, A.</w:t>
      </w:r>
      <w:r w:rsidRPr="00BD2150">
        <w:rPr>
          <w:rFonts w:ascii="Times New Roman" w:eastAsia="Times New Roman" w:hAnsi="Times New Roman" w:cs="Times New Roman"/>
          <w:sz w:val="24"/>
          <w:szCs w:val="24"/>
          <w:lang w:val="pt-BR"/>
        </w:rPr>
        <w:t xml:space="preserve"> L. B. S., Pires, F. C. S., Ferreira, M. C. R., Silva, A. P. S. E., Menezes, E. G. O. et al. </w:t>
      </w:r>
      <w:r w:rsidRPr="00BD2150">
        <w:rPr>
          <w:rFonts w:ascii="Times New Roman" w:eastAsia="Times New Roman" w:hAnsi="Times New Roman" w:cs="Times New Roman"/>
          <w:sz w:val="24"/>
          <w:szCs w:val="24"/>
          <w:lang w:val="en-US"/>
        </w:rPr>
        <w:t>(2024). Evaluation of Bioactive Compounds and Antioxidant and Cytotoxic Effects of Oil and Pulp without Açaí Fat (</w:t>
      </w:r>
      <w:r w:rsidRPr="00BD2150">
        <w:rPr>
          <w:rFonts w:ascii="Times New Roman" w:eastAsia="Times New Roman" w:hAnsi="Times New Roman" w:cs="Times New Roman"/>
          <w:i/>
          <w:iCs/>
          <w:sz w:val="24"/>
          <w:szCs w:val="24"/>
          <w:lang w:val="en-US"/>
        </w:rPr>
        <w:t>Euterpe oleracea</w:t>
      </w:r>
      <w:r w:rsidRPr="00BD2150">
        <w:rPr>
          <w:rFonts w:ascii="Times New Roman" w:eastAsia="Times New Roman" w:hAnsi="Times New Roman" w:cs="Times New Roman"/>
          <w:sz w:val="24"/>
          <w:szCs w:val="24"/>
          <w:lang w:val="en-US"/>
        </w:rPr>
        <w:t xml:space="preserve">) Obtained by Supercritical Extraction. </w:t>
      </w:r>
      <w:r w:rsidRPr="00BD2150">
        <w:rPr>
          <w:rFonts w:ascii="Times New Roman" w:eastAsia="Times New Roman" w:hAnsi="Times New Roman" w:cs="Times New Roman"/>
          <w:i/>
          <w:iCs/>
          <w:sz w:val="24"/>
          <w:szCs w:val="24"/>
          <w:lang w:val="en-US"/>
        </w:rPr>
        <w:t>Foods</w:t>
      </w:r>
      <w:r w:rsidRPr="00BD2150">
        <w:rPr>
          <w:rFonts w:ascii="Times New Roman" w:eastAsia="Times New Roman" w:hAnsi="Times New Roman" w:cs="Times New Roman"/>
          <w:sz w:val="24"/>
          <w:szCs w:val="24"/>
          <w:lang w:val="en-US"/>
        </w:rPr>
        <w:t>, 13(17), 1-18. https://doi.org/10.3390/foods13172819</w:t>
      </w:r>
    </w:p>
    <w:p w14:paraId="27CEE9EE"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lang w:val="en-US"/>
        </w:rPr>
      </w:pPr>
    </w:p>
    <w:p w14:paraId="47F12973"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pt-BR"/>
        </w:rPr>
      </w:pPr>
      <w:r w:rsidRPr="00BD2150">
        <w:rPr>
          <w:rFonts w:ascii="Times New Roman" w:eastAsia="Times New Roman" w:hAnsi="Times New Roman" w:cs="Times New Roman"/>
          <w:sz w:val="24"/>
          <w:szCs w:val="24"/>
          <w:lang w:val="pt-BR"/>
        </w:rPr>
        <w:t>Sjögren, B., Nordenskjöld, T., Holmgren, H., &amp; Möllerström, J. (1938). Beitrag zur Kenntnis der Leberrhythmik: Glykogen, Phosphor und Calcium in der Kaninch</w:t>
      </w:r>
      <w:r w:rsidRPr="00BD2150">
        <w:rPr>
          <w:rFonts w:ascii="Times New Roman" w:eastAsia="Times New Roman" w:hAnsi="Times New Roman" w:cs="Times New Roman"/>
          <w:sz w:val="24"/>
          <w:szCs w:val="24"/>
          <w:lang w:val="pt-BR"/>
        </w:rPr>
        <w:t xml:space="preserve">enleber. </w:t>
      </w:r>
      <w:r w:rsidRPr="00BD2150">
        <w:rPr>
          <w:rFonts w:ascii="Times New Roman" w:eastAsia="Times New Roman" w:hAnsi="Times New Roman" w:cs="Times New Roman"/>
          <w:i/>
          <w:iCs/>
          <w:sz w:val="24"/>
          <w:szCs w:val="24"/>
          <w:lang w:val="pt-BR"/>
        </w:rPr>
        <w:t>Pflüger's Archiv European Jpurnal of Physiology,</w:t>
      </w:r>
      <w:r w:rsidRPr="00BD2150">
        <w:rPr>
          <w:rFonts w:ascii="Times New Roman" w:eastAsia="Times New Roman" w:hAnsi="Times New Roman" w:cs="Times New Roman"/>
          <w:sz w:val="24"/>
          <w:szCs w:val="24"/>
          <w:lang w:val="pt-BR"/>
        </w:rPr>
        <w:t xml:space="preserve"> 240(4), 427-448.</w:t>
      </w:r>
    </w:p>
    <w:p w14:paraId="09D00064"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lang w:val="en-US"/>
        </w:rPr>
      </w:pPr>
    </w:p>
    <w:p w14:paraId="0BABA71E" w14:textId="77777777" w:rsidR="00BD2150" w:rsidRPr="00BD2150" w:rsidRDefault="00F95F28" w:rsidP="00BD2150">
      <w:pPr>
        <w:tabs>
          <w:tab w:val="left" w:pos="709"/>
        </w:tabs>
        <w:spacing w:after="0" w:line="240" w:lineRule="auto"/>
        <w:jc w:val="both"/>
        <w:rPr>
          <w:rFonts w:ascii="Times New Roman" w:hAnsi="Times New Roman" w:cs="Times New Roman"/>
          <w:sz w:val="24"/>
          <w:szCs w:val="24"/>
          <w:shd w:val="clear" w:color="auto" w:fill="FFFFFF"/>
        </w:rPr>
      </w:pPr>
      <w:r w:rsidRPr="00BD2150">
        <w:rPr>
          <w:rFonts w:ascii="Times New Roman" w:hAnsi="Times New Roman" w:cs="Times New Roman"/>
          <w:sz w:val="24"/>
          <w:szCs w:val="24"/>
          <w:shd w:val="clear" w:color="auto" w:fill="FFFFFF"/>
        </w:rPr>
        <w:t xml:space="preserve">Song,  J., &amp; Jiang, Z. G. (2023). Low vitamin A levels are associated with liver-related mortality: a nationally representative cohort study. </w:t>
      </w:r>
      <w:r w:rsidRPr="00BD2150">
        <w:rPr>
          <w:rFonts w:ascii="Times New Roman" w:hAnsi="Times New Roman" w:cs="Times New Roman"/>
          <w:i/>
          <w:iCs/>
          <w:sz w:val="24"/>
          <w:szCs w:val="24"/>
          <w:shd w:val="clear" w:color="auto" w:fill="FFFFFF"/>
        </w:rPr>
        <w:t>Hepatology Connunications,</w:t>
      </w:r>
      <w:r w:rsidRPr="00BD2150">
        <w:rPr>
          <w:rFonts w:ascii="Times New Roman" w:hAnsi="Times New Roman" w:cs="Times New Roman"/>
          <w:sz w:val="24"/>
          <w:szCs w:val="24"/>
          <w:shd w:val="clear" w:color="auto" w:fill="FFFFFF"/>
        </w:rPr>
        <w:t xml:space="preserve"> 7(5), e0124</w:t>
      </w:r>
      <w:r w:rsidRPr="00BD2150">
        <w:rPr>
          <w:rFonts w:ascii="Times New Roman" w:hAnsi="Times New Roman" w:cs="Times New Roman"/>
          <w:sz w:val="24"/>
          <w:szCs w:val="24"/>
          <w:shd w:val="clear" w:color="auto" w:fill="FFFFFF"/>
        </w:rPr>
        <w:t xml:space="preserve">. </w:t>
      </w:r>
      <w:r w:rsidRPr="00BD2150">
        <w:rPr>
          <w:rFonts w:ascii="Times New Roman" w:eastAsia="Times New Roman" w:hAnsi="Times New Roman" w:cs="Times New Roman"/>
          <w:sz w:val="24"/>
          <w:szCs w:val="24"/>
        </w:rPr>
        <w:t>https://</w:t>
      </w:r>
      <w:r w:rsidRPr="00BD2150">
        <w:rPr>
          <w:rFonts w:ascii="Times New Roman" w:hAnsi="Times New Roman" w:cs="Times New Roman"/>
          <w:sz w:val="24"/>
          <w:szCs w:val="24"/>
          <w:shd w:val="clear" w:color="auto" w:fill="FFFFFF"/>
        </w:rPr>
        <w:t>doi:10.1097/HC9.0000000000000124</w:t>
      </w:r>
    </w:p>
    <w:p w14:paraId="5336D282"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7936B04C"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Souza, F. G., Araújo, F. F., Farias, D. P., Zanotto, A. W., Neri-Numa, I. A., &amp; Glaucia, M. P. (2020). Brazilian fruits of Arecaceae family: An overview of some representatives with promising food, therapeutic and industrial applications. </w:t>
      </w:r>
      <w:r w:rsidRPr="00BD2150">
        <w:rPr>
          <w:rFonts w:ascii="Times New Roman" w:eastAsia="Times New Roman" w:hAnsi="Times New Roman" w:cs="Times New Roman"/>
          <w:i/>
          <w:iCs/>
          <w:sz w:val="24"/>
          <w:szCs w:val="24"/>
        </w:rPr>
        <w:t>Food Research Int</w:t>
      </w:r>
      <w:r w:rsidRPr="00BD2150">
        <w:rPr>
          <w:rFonts w:ascii="Times New Roman" w:eastAsia="Times New Roman" w:hAnsi="Times New Roman" w:cs="Times New Roman"/>
          <w:i/>
          <w:iCs/>
          <w:sz w:val="24"/>
          <w:szCs w:val="24"/>
        </w:rPr>
        <w:t>ernational</w:t>
      </w:r>
      <w:r w:rsidRPr="00BD2150">
        <w:rPr>
          <w:rFonts w:ascii="Times New Roman" w:eastAsia="Times New Roman" w:hAnsi="Times New Roman" w:cs="Times New Roman"/>
          <w:sz w:val="24"/>
          <w:szCs w:val="24"/>
        </w:rPr>
        <w:t>, 138, 1-14. https://doi.org/10.1016/j.foodres.2020.109690</w:t>
      </w:r>
    </w:p>
    <w:p w14:paraId="4216431A" w14:textId="77777777" w:rsidR="00BD2150" w:rsidRPr="00982DDD" w:rsidRDefault="00BD2150" w:rsidP="00BD2150">
      <w:pPr>
        <w:pStyle w:val="Default"/>
        <w:jc w:val="both"/>
        <w:rPr>
          <w:rFonts w:ascii="Times New Roman" w:hAnsi="Times New Roman" w:cs="Times New Roman"/>
          <w:color w:val="auto"/>
        </w:rPr>
      </w:pPr>
    </w:p>
    <w:p w14:paraId="6B192112" w14:textId="77777777" w:rsidR="00BD2150" w:rsidRPr="00982DDD" w:rsidRDefault="00F95F28" w:rsidP="00BD2150">
      <w:pPr>
        <w:pStyle w:val="Default"/>
        <w:jc w:val="both"/>
        <w:rPr>
          <w:rFonts w:ascii="Times New Roman" w:eastAsia="Times New Roman" w:hAnsi="Times New Roman" w:cs="Times New Roman"/>
          <w:color w:val="auto"/>
        </w:rPr>
      </w:pPr>
      <w:r w:rsidRPr="00982DDD">
        <w:rPr>
          <w:rFonts w:ascii="Times New Roman" w:hAnsi="Times New Roman" w:cs="Times New Roman"/>
          <w:color w:val="auto"/>
        </w:rPr>
        <w:t xml:space="preserve">Spada, E. C. L., Boaventura, M. F., Souza, G. A., Hernandes, T., &amp; Lemes, S. A. F. (2024). Evaluation of the morphological and physicochemical characteristics of the mesocarp of </w:t>
      </w:r>
      <w:r w:rsidRPr="00982DDD">
        <w:rPr>
          <w:rFonts w:ascii="Times New Roman" w:hAnsi="Times New Roman" w:cs="Times New Roman"/>
          <w:i/>
          <w:iCs/>
          <w:color w:val="auto"/>
        </w:rPr>
        <w:t xml:space="preserve">Attalea </w:t>
      </w:r>
      <w:r w:rsidRPr="00982DDD">
        <w:rPr>
          <w:rFonts w:ascii="Times New Roman" w:hAnsi="Times New Roman" w:cs="Times New Roman"/>
          <w:i/>
          <w:iCs/>
          <w:color w:val="auto"/>
        </w:rPr>
        <w:t xml:space="preserve">phalerata </w:t>
      </w:r>
      <w:r w:rsidRPr="00982DDD">
        <w:rPr>
          <w:rFonts w:ascii="Times New Roman" w:hAnsi="Times New Roman" w:cs="Times New Roman"/>
          <w:color w:val="auto"/>
        </w:rPr>
        <w:t xml:space="preserve">from the state of Mato-Grosso. </w:t>
      </w:r>
      <w:r w:rsidRPr="00982DDD">
        <w:rPr>
          <w:rFonts w:ascii="Times New Roman" w:hAnsi="Times New Roman" w:cs="Times New Roman"/>
          <w:i/>
          <w:iCs/>
          <w:color w:val="auto"/>
        </w:rPr>
        <w:t xml:space="preserve">ES Engineering and Science, </w:t>
      </w:r>
      <w:r w:rsidRPr="00982DDD">
        <w:rPr>
          <w:rFonts w:ascii="Times New Roman" w:hAnsi="Times New Roman" w:cs="Times New Roman"/>
          <w:color w:val="auto"/>
        </w:rPr>
        <w:t>13(3), 1-10. http://dx.doi.org/10.18607/ES20241317219</w:t>
      </w:r>
    </w:p>
    <w:p w14:paraId="3E16AD92" w14:textId="77777777" w:rsidR="00BD2150" w:rsidRPr="00BD2150" w:rsidRDefault="00BD2150" w:rsidP="00BD215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70D8199"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2C318FF8" w14:textId="137B67CB"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pt-BR"/>
        </w:rPr>
      </w:pPr>
      <w:r w:rsidRPr="00BD2150">
        <w:rPr>
          <w:rFonts w:ascii="Times New Roman" w:eastAsia="Times New Roman" w:hAnsi="Times New Roman" w:cs="Times New Roman"/>
          <w:sz w:val="24"/>
          <w:szCs w:val="24"/>
          <w:lang w:val="pt-BR"/>
        </w:rPr>
        <w:t>Spada, E. C. L., Cruz, G. N., Almeida, F. J. S., Dahmer, D. S. V., Neto, E. W. A., Souza, A. O.</w:t>
      </w:r>
      <w:r>
        <w:rPr>
          <w:rFonts w:ascii="Times New Roman" w:eastAsia="Times New Roman" w:hAnsi="Times New Roman" w:cs="Times New Roman"/>
          <w:sz w:val="24"/>
          <w:szCs w:val="24"/>
          <w:lang w:val="pt-BR"/>
        </w:rPr>
        <w:t xml:space="preserve"> et al.</w:t>
      </w:r>
      <w:bookmarkStart w:id="6" w:name="_GoBack"/>
      <w:bookmarkEnd w:id="6"/>
      <w:r w:rsidRPr="00BD2150">
        <w:rPr>
          <w:rFonts w:ascii="Times New Roman" w:eastAsia="Times New Roman" w:hAnsi="Times New Roman" w:cs="Times New Roman"/>
          <w:sz w:val="24"/>
          <w:szCs w:val="24"/>
          <w:lang w:val="pt-BR"/>
        </w:rPr>
        <w:t xml:space="preserve"> (2022). Impact of dietary vitamin A</w:t>
      </w:r>
      <w:r w:rsidRPr="00BD2150">
        <w:rPr>
          <w:rFonts w:ascii="Times New Roman" w:eastAsia="Times New Roman" w:hAnsi="Times New Roman" w:cs="Times New Roman"/>
          <w:sz w:val="24"/>
          <w:szCs w:val="24"/>
          <w:lang w:val="pt-BR"/>
        </w:rPr>
        <w:t xml:space="preserve"> deficiency on body physiology and liver metabolism of Wistar rats. </w:t>
      </w:r>
      <w:r w:rsidRPr="00BD2150">
        <w:rPr>
          <w:rFonts w:ascii="Times New Roman" w:eastAsia="Times New Roman" w:hAnsi="Times New Roman" w:cs="Times New Roman"/>
          <w:i/>
          <w:iCs/>
          <w:sz w:val="24"/>
          <w:szCs w:val="24"/>
          <w:lang w:val="pt-BR"/>
        </w:rPr>
        <w:t>Nutrition and Health</w:t>
      </w:r>
      <w:r w:rsidRPr="00BD2150">
        <w:rPr>
          <w:rFonts w:ascii="Times New Roman" w:eastAsia="Times New Roman" w:hAnsi="Times New Roman" w:cs="Times New Roman"/>
          <w:sz w:val="24"/>
          <w:szCs w:val="24"/>
          <w:lang w:val="pt-BR"/>
        </w:rPr>
        <w:t xml:space="preserve">. </w:t>
      </w:r>
      <w:r w:rsidRPr="00BD2150">
        <w:rPr>
          <w:rFonts w:ascii="Times New Roman" w:eastAsia="Times New Roman" w:hAnsi="Times New Roman" w:cs="Times New Roman"/>
          <w:sz w:val="24"/>
          <w:szCs w:val="24"/>
        </w:rPr>
        <w:t>http://</w:t>
      </w:r>
      <w:r w:rsidRPr="00BD2150">
        <w:rPr>
          <w:rFonts w:ascii="Times New Roman" w:eastAsia="Times New Roman" w:hAnsi="Times New Roman" w:cs="Times New Roman"/>
          <w:sz w:val="24"/>
          <w:szCs w:val="24"/>
          <w:lang w:val="pt-BR"/>
        </w:rPr>
        <w:t>doi:10.1177/02601060221103005.</w:t>
      </w:r>
    </w:p>
    <w:p w14:paraId="046CD837"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lang w:val="pt-BR"/>
        </w:rPr>
      </w:pPr>
    </w:p>
    <w:p w14:paraId="5EAF7585"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lang w:val="en-US"/>
        </w:rPr>
        <w:t xml:space="preserve">Spada, E. C. L., Dahmer, D. S. V., Barboza, A. M., Silva, W. B., Neto, E. W. A., Boaventura, M. F. et al. (2025). </w:t>
      </w:r>
      <w:r w:rsidRPr="00BD2150">
        <w:rPr>
          <w:rFonts w:ascii="Times New Roman" w:eastAsia="Times New Roman" w:hAnsi="Times New Roman" w:cs="Times New Roman"/>
          <w:sz w:val="24"/>
          <w:szCs w:val="24"/>
        </w:rPr>
        <w:t>ß-carotene an</w:t>
      </w:r>
      <w:r w:rsidRPr="00BD2150">
        <w:rPr>
          <w:rFonts w:ascii="Times New Roman" w:eastAsia="Times New Roman" w:hAnsi="Times New Roman" w:cs="Times New Roman"/>
          <w:sz w:val="24"/>
          <w:szCs w:val="24"/>
        </w:rPr>
        <w:t xml:space="preserve">d fatty acid composition of Attalea phalerata oil and its effect on metabolism as the sole source of vitamin A precursors in deficient rats. </w:t>
      </w:r>
      <w:r w:rsidRPr="00BD2150">
        <w:rPr>
          <w:rFonts w:ascii="Times New Roman" w:eastAsia="Times New Roman" w:hAnsi="Times New Roman" w:cs="Times New Roman"/>
          <w:i/>
          <w:iCs/>
          <w:sz w:val="24"/>
          <w:szCs w:val="24"/>
        </w:rPr>
        <w:t>Nutrition and Health. In Press</w:t>
      </w:r>
      <w:r w:rsidRPr="00BD2150">
        <w:rPr>
          <w:rFonts w:ascii="Times New Roman" w:eastAsia="Times New Roman" w:hAnsi="Times New Roman" w:cs="Times New Roman"/>
          <w:sz w:val="24"/>
          <w:szCs w:val="24"/>
        </w:rPr>
        <w:t>, http://dx.doi.org/10.1177/02601060251375505</w:t>
      </w:r>
    </w:p>
    <w:p w14:paraId="0C3C4A5C" w14:textId="77777777" w:rsidR="00BD2150" w:rsidRPr="00BD2150" w:rsidRDefault="00BD2150" w:rsidP="00BD2150">
      <w:pPr>
        <w:tabs>
          <w:tab w:val="left" w:pos="709"/>
        </w:tabs>
        <w:spacing w:after="0" w:line="240" w:lineRule="auto"/>
        <w:jc w:val="both"/>
        <w:rPr>
          <w:rFonts w:ascii="Times New Roman" w:hAnsi="Times New Roman" w:cs="Times New Roman"/>
          <w:sz w:val="24"/>
          <w:szCs w:val="24"/>
          <w:shd w:val="clear" w:color="auto" w:fill="FFFFFF"/>
        </w:rPr>
      </w:pPr>
    </w:p>
    <w:p w14:paraId="7FFD5321"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rPr>
      </w:pPr>
      <w:r w:rsidRPr="00BD2150">
        <w:rPr>
          <w:rFonts w:ascii="Times New Roman" w:eastAsia="Times New Roman" w:hAnsi="Times New Roman" w:cs="Times New Roman"/>
          <w:sz w:val="24"/>
          <w:szCs w:val="24"/>
        </w:rPr>
        <w:t xml:space="preserve">Vallet-Pichard, A., Mallet, V., Nalpas, B., Verkarre, V., Nalpas, A., Dhalluin-Venier, V. et al. (2007). FIB-4: an inexpensive and accurate marker of fibrosis in HCV infection. comparison with liver biopsy and fibrotest. </w:t>
      </w:r>
      <w:r w:rsidRPr="00BD2150">
        <w:rPr>
          <w:rFonts w:ascii="Times New Roman" w:eastAsia="Times New Roman" w:hAnsi="Times New Roman" w:cs="Times New Roman"/>
          <w:i/>
          <w:iCs/>
          <w:sz w:val="24"/>
          <w:szCs w:val="24"/>
        </w:rPr>
        <w:t>Hepatology</w:t>
      </w:r>
      <w:r w:rsidRPr="00BD2150">
        <w:rPr>
          <w:rFonts w:ascii="Times New Roman" w:eastAsia="Times New Roman" w:hAnsi="Times New Roman" w:cs="Times New Roman"/>
          <w:sz w:val="24"/>
          <w:szCs w:val="24"/>
        </w:rPr>
        <w:t>, 46(1), 32-36. https://d</w:t>
      </w:r>
      <w:r w:rsidRPr="00BD2150">
        <w:rPr>
          <w:rFonts w:ascii="Times New Roman" w:eastAsia="Times New Roman" w:hAnsi="Times New Roman" w:cs="Times New Roman"/>
          <w:sz w:val="24"/>
          <w:szCs w:val="24"/>
        </w:rPr>
        <w:t>oi.org/10.1002/hep.21669</w:t>
      </w:r>
    </w:p>
    <w:p w14:paraId="346B2388" w14:textId="77777777" w:rsidR="00BD2150" w:rsidRPr="00BD2150" w:rsidRDefault="00BD2150" w:rsidP="00BD2150">
      <w:pPr>
        <w:tabs>
          <w:tab w:val="left" w:pos="709"/>
        </w:tabs>
        <w:spacing w:after="0" w:line="240" w:lineRule="auto"/>
        <w:jc w:val="both"/>
        <w:rPr>
          <w:rFonts w:ascii="Times New Roman" w:eastAsia="Times New Roman" w:hAnsi="Times New Roman" w:cs="Times New Roman"/>
          <w:sz w:val="24"/>
          <w:szCs w:val="24"/>
        </w:rPr>
      </w:pPr>
    </w:p>
    <w:p w14:paraId="0D3EECB4" w14:textId="77777777" w:rsidR="00BD2150" w:rsidRPr="00BD2150" w:rsidRDefault="00F95F28" w:rsidP="00BD2150">
      <w:pPr>
        <w:tabs>
          <w:tab w:val="left" w:pos="709"/>
        </w:tabs>
        <w:spacing w:after="0" w:line="240" w:lineRule="auto"/>
        <w:jc w:val="both"/>
        <w:rPr>
          <w:rFonts w:ascii="Times New Roman" w:eastAsia="Times New Roman" w:hAnsi="Times New Roman" w:cs="Times New Roman"/>
          <w:sz w:val="24"/>
          <w:szCs w:val="24"/>
          <w:lang w:val="pt-BR"/>
        </w:rPr>
      </w:pPr>
      <w:r w:rsidRPr="00BD2150">
        <w:rPr>
          <w:rFonts w:ascii="Times New Roman" w:eastAsia="Times New Roman" w:hAnsi="Times New Roman" w:cs="Times New Roman"/>
          <w:sz w:val="24"/>
          <w:szCs w:val="24"/>
          <w:lang w:val="pt-BR"/>
        </w:rPr>
        <w:t xml:space="preserve">Virani, S. S. (2011). Non-HDL cholesterol as a metric of good quality of care: opportunities and challenges. </w:t>
      </w:r>
      <w:r w:rsidRPr="00BD2150">
        <w:rPr>
          <w:rFonts w:ascii="Times New Roman" w:eastAsia="Times New Roman" w:hAnsi="Times New Roman" w:cs="Times New Roman"/>
          <w:i/>
          <w:iCs/>
          <w:sz w:val="24"/>
          <w:szCs w:val="24"/>
          <w:lang w:val="pt-BR"/>
        </w:rPr>
        <w:t xml:space="preserve">Texas Heart Institute Journal, </w:t>
      </w:r>
      <w:r w:rsidRPr="00BD2150">
        <w:rPr>
          <w:rFonts w:ascii="Times New Roman" w:eastAsia="Times New Roman" w:hAnsi="Times New Roman" w:cs="Times New Roman"/>
          <w:sz w:val="24"/>
          <w:szCs w:val="24"/>
          <w:lang w:val="pt-BR"/>
        </w:rPr>
        <w:t>38(2), 160-162. PMID: 21494527; PMCID: PMC3066801.</w:t>
      </w:r>
    </w:p>
    <w:p w14:paraId="4CBFA76E" w14:textId="77777777" w:rsidR="00BD2150" w:rsidRPr="00BD2150" w:rsidRDefault="00BD2150" w:rsidP="00465B00">
      <w:pPr>
        <w:pStyle w:val="PargrafodaLista"/>
        <w:spacing w:line="240" w:lineRule="auto"/>
        <w:ind w:left="540"/>
        <w:jc w:val="both"/>
        <w:rPr>
          <w:rFonts w:ascii="Times New Roman" w:hAnsi="Times New Roman" w:cs="Times New Roman"/>
          <w:sz w:val="24"/>
          <w:szCs w:val="24"/>
        </w:rPr>
      </w:pPr>
    </w:p>
    <w:p w14:paraId="6F86FFD3" w14:textId="77777777" w:rsidR="00BD2150" w:rsidRPr="00927915" w:rsidRDefault="00BD2150" w:rsidP="00BD2150">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sectPr w:rsidR="00BD2150" w:rsidRPr="00927915" w:rsidSect="004F0676">
      <w:type w:val="continuous"/>
      <w:pgSz w:w="11906" w:h="16838"/>
      <w:pgMar w:top="1417" w:right="1701" w:bottom="1417"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567C2" w14:textId="77777777" w:rsidR="0042503F" w:rsidRDefault="0042503F">
      <w:pPr>
        <w:spacing w:after="0" w:line="240" w:lineRule="auto"/>
      </w:pPr>
      <w:r>
        <w:separator/>
      </w:r>
    </w:p>
  </w:endnote>
  <w:endnote w:type="continuationSeparator" w:id="0">
    <w:p w14:paraId="6C2838F6" w14:textId="77777777" w:rsidR="0042503F" w:rsidRDefault="00425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582AFB1-1DFD-457F-ACD6-68F351950F71}"/>
    <w:embedBold r:id="rId2" w:fontKey="{C09445F1-1320-49F6-8331-F6EE6A54B3D2}"/>
    <w:embedItalic r:id="rId3" w:fontKey="{9325B136-92AE-4AE1-BB6A-F254071918FA}"/>
    <w:embedBoldItalic r:id="rId4" w:fontKey="{3166A5C3-11C7-450F-A3B7-9C8AF0C5BA87}"/>
  </w:font>
  <w:font w:name="Play">
    <w:charset w:val="00"/>
    <w:family w:val="auto"/>
    <w:pitch w:val="default"/>
    <w:embedRegular r:id="rId5" w:fontKey="{BFC30C48-3F7D-4BAF-92E1-2C013B055495}"/>
  </w:font>
  <w:font w:name="Aptos Display">
    <w:charset w:val="00"/>
    <w:family w:val="swiss"/>
    <w:pitch w:val="variable"/>
    <w:sig w:usb0="20000287" w:usb1="00000003" w:usb2="00000000" w:usb3="00000000" w:csb0="0000019F" w:csb1="00000000"/>
    <w:embedRegular r:id="rId6" w:fontKey="{701D02A6-FF17-4128-9914-F78C781A0239}"/>
  </w:font>
  <w:font w:name="Segoe UI">
    <w:panose1 w:val="020B0502040204020203"/>
    <w:charset w:val="00"/>
    <w:family w:val="swiss"/>
    <w:pitch w:val="variable"/>
    <w:sig w:usb0="E4002EFF" w:usb1="C000E47F" w:usb2="00000009" w:usb3="00000000" w:csb0="000001FF" w:csb1="00000000"/>
    <w:embedRegular r:id="rId7" w:fontKey="{3ABCA6D8-A865-4744-ACD4-8843C08E8B96}"/>
  </w:font>
  <w:font w:name="Calibri">
    <w:panose1 w:val="020F0502020204030204"/>
    <w:charset w:val="00"/>
    <w:family w:val="swiss"/>
    <w:pitch w:val="variable"/>
    <w:sig w:usb0="E4002EFF" w:usb1="C000247B" w:usb2="00000009" w:usb3="00000000" w:csb0="000001FF" w:csb1="00000000"/>
    <w:embedRegular r:id="rId8" w:fontKey="{E2E38377-3A64-4E12-972A-F17ABD478ACB}"/>
  </w:font>
  <w:font w:name="Cambria">
    <w:panose1 w:val="02040503050406030204"/>
    <w:charset w:val="00"/>
    <w:family w:val="roman"/>
    <w:pitch w:val="variable"/>
    <w:sig w:usb0="E00006FF" w:usb1="420024FF" w:usb2="02000000" w:usb3="00000000" w:csb0="0000019F" w:csb1="00000000"/>
    <w:embedRegular r:id="rId9" w:fontKey="{AE2608CD-BDF3-4BE8-8D09-0B402E44EE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86E58" w14:textId="77777777" w:rsidR="008F3567" w:rsidRDefault="008F356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C42DE" w14:textId="77777777" w:rsidR="008F3567" w:rsidRDefault="008F356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EF24C" w14:textId="77777777" w:rsidR="008F3567" w:rsidRDefault="008F356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6135B" w14:textId="77777777" w:rsidR="0042503F" w:rsidRDefault="0042503F">
      <w:pPr>
        <w:spacing w:after="0" w:line="240" w:lineRule="auto"/>
      </w:pPr>
      <w:r>
        <w:separator/>
      </w:r>
    </w:p>
  </w:footnote>
  <w:footnote w:type="continuationSeparator" w:id="0">
    <w:p w14:paraId="6280BA89" w14:textId="77777777" w:rsidR="0042503F" w:rsidRDefault="00425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77B7" w14:textId="77777777" w:rsidR="008F3567" w:rsidRDefault="00F95F28">
    <w:pPr>
      <w:pStyle w:val="Cabealho"/>
    </w:pPr>
    <w:r>
      <w:rPr>
        <w:noProof/>
      </w:rPr>
      <w:pict w14:anchorId="2CCDB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98610" o:spid="_x0000_s3073" type="#_x0000_t136" style="position:absolute;margin-left:0;margin-top:0;width:539.45pt;height:59.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0ACE6" w14:textId="77777777" w:rsidR="008F3567" w:rsidRDefault="00F95F28">
    <w:pPr>
      <w:pBdr>
        <w:top w:val="nil"/>
        <w:left w:val="nil"/>
        <w:bottom w:val="nil"/>
        <w:right w:val="nil"/>
        <w:between w:val="nil"/>
      </w:pBdr>
      <w:tabs>
        <w:tab w:val="center" w:pos="4252"/>
        <w:tab w:val="right" w:pos="8504"/>
      </w:tabs>
      <w:spacing w:after="0" w:line="240" w:lineRule="auto"/>
      <w:rPr>
        <w:color w:val="000000"/>
      </w:rPr>
    </w:pPr>
    <w:r>
      <w:rPr>
        <w:noProof/>
      </w:rPr>
      <w:pict w14:anchorId="6C3FF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98611" o:spid="_x0000_s3074" type="#_x0000_t136" style="position:absolute;margin-left:0;margin-top:0;width:539.45pt;height:59.9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A25E" w14:textId="77777777" w:rsidR="008F3567" w:rsidRDefault="00F95F28">
    <w:pPr>
      <w:pStyle w:val="Cabealho"/>
    </w:pPr>
    <w:r>
      <w:rPr>
        <w:noProof/>
      </w:rPr>
      <w:pict w14:anchorId="6C357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98609" o:spid="_x0000_s3075" type="#_x0000_t136" style="position:absolute;margin-left:0;margin-top:0;width:539.45pt;height:59.9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228C9"/>
    <w:multiLevelType w:val="multilevel"/>
    <w:tmpl w:val="83ACD132"/>
    <w:lvl w:ilvl="0">
      <w:start w:val="2"/>
      <w:numFmt w:val="decimal"/>
      <w:lvlText w:val="%1."/>
      <w:lvlJc w:val="left"/>
      <w:pPr>
        <w:ind w:left="540" w:hanging="540"/>
      </w:pPr>
    </w:lvl>
    <w:lvl w:ilvl="1">
      <w:start w:val="2"/>
      <w:numFmt w:val="decimal"/>
      <w:lvlText w:val="%1.%2."/>
      <w:lvlJc w:val="left"/>
      <w:pPr>
        <w:ind w:left="1532"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 w15:restartNumberingAfterBreak="0">
    <w:nsid w:val="1FB21EF2"/>
    <w:multiLevelType w:val="multilevel"/>
    <w:tmpl w:val="BBB22CF2"/>
    <w:lvl w:ilvl="0">
      <w:start w:val="3"/>
      <w:numFmt w:val="decimal"/>
      <w:lvlText w:val="%1."/>
      <w:lvlJc w:val="left"/>
      <w:pPr>
        <w:ind w:left="540" w:hanging="540"/>
      </w:pPr>
    </w:lvl>
    <w:lvl w:ilvl="1">
      <w:start w:val="1"/>
      <w:numFmt w:val="decimal"/>
      <w:lvlText w:val="%1.%2."/>
      <w:lvlJc w:val="left"/>
      <w:pPr>
        <w:ind w:left="1080"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15:restartNumberingAfterBreak="0">
    <w:nsid w:val="26B0651F"/>
    <w:multiLevelType w:val="multilevel"/>
    <w:tmpl w:val="25A209BE"/>
    <w:lvl w:ilvl="0">
      <w:start w:val="3"/>
      <w:numFmt w:val="decimal"/>
      <w:lvlText w:val="%1."/>
      <w:lvlJc w:val="left"/>
      <w:pPr>
        <w:ind w:left="540" w:hanging="540"/>
      </w:pPr>
    </w:lvl>
    <w:lvl w:ilvl="1">
      <w:start w:val="1"/>
      <w:numFmt w:val="decimal"/>
      <w:lvlText w:val="%1.%2."/>
      <w:lvlJc w:val="left"/>
      <w:pPr>
        <w:ind w:left="1080"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 w15:restartNumberingAfterBreak="0">
    <w:nsid w:val="2FB20DE5"/>
    <w:multiLevelType w:val="hybridMultilevel"/>
    <w:tmpl w:val="806E5E54"/>
    <w:lvl w:ilvl="0" w:tplc="9BF20510">
      <w:start w:val="1"/>
      <w:numFmt w:val="upperLetter"/>
      <w:lvlText w:val="%1."/>
      <w:lvlJc w:val="left"/>
      <w:pPr>
        <w:ind w:left="720" w:hanging="360"/>
      </w:pPr>
      <w:rPr>
        <w:rFonts w:hint="default"/>
        <w:b w:val="0"/>
      </w:rPr>
    </w:lvl>
    <w:lvl w:ilvl="1" w:tplc="7E8647C2" w:tentative="1">
      <w:start w:val="1"/>
      <w:numFmt w:val="lowerLetter"/>
      <w:lvlText w:val="%2."/>
      <w:lvlJc w:val="left"/>
      <w:pPr>
        <w:ind w:left="1440" w:hanging="360"/>
      </w:pPr>
    </w:lvl>
    <w:lvl w:ilvl="2" w:tplc="688C55F4" w:tentative="1">
      <w:start w:val="1"/>
      <w:numFmt w:val="lowerRoman"/>
      <w:lvlText w:val="%3."/>
      <w:lvlJc w:val="right"/>
      <w:pPr>
        <w:ind w:left="2160" w:hanging="180"/>
      </w:pPr>
    </w:lvl>
    <w:lvl w:ilvl="3" w:tplc="FBCEA98C" w:tentative="1">
      <w:start w:val="1"/>
      <w:numFmt w:val="decimal"/>
      <w:lvlText w:val="%4."/>
      <w:lvlJc w:val="left"/>
      <w:pPr>
        <w:ind w:left="2880" w:hanging="360"/>
      </w:pPr>
    </w:lvl>
    <w:lvl w:ilvl="4" w:tplc="D8805EB4" w:tentative="1">
      <w:start w:val="1"/>
      <w:numFmt w:val="lowerLetter"/>
      <w:lvlText w:val="%5."/>
      <w:lvlJc w:val="left"/>
      <w:pPr>
        <w:ind w:left="3600" w:hanging="360"/>
      </w:pPr>
    </w:lvl>
    <w:lvl w:ilvl="5" w:tplc="72F45CE8" w:tentative="1">
      <w:start w:val="1"/>
      <w:numFmt w:val="lowerRoman"/>
      <w:lvlText w:val="%6."/>
      <w:lvlJc w:val="right"/>
      <w:pPr>
        <w:ind w:left="4320" w:hanging="180"/>
      </w:pPr>
    </w:lvl>
    <w:lvl w:ilvl="6" w:tplc="8460DA94" w:tentative="1">
      <w:start w:val="1"/>
      <w:numFmt w:val="decimal"/>
      <w:lvlText w:val="%7."/>
      <w:lvlJc w:val="left"/>
      <w:pPr>
        <w:ind w:left="5040" w:hanging="360"/>
      </w:pPr>
    </w:lvl>
    <w:lvl w:ilvl="7" w:tplc="E432F4C2" w:tentative="1">
      <w:start w:val="1"/>
      <w:numFmt w:val="lowerLetter"/>
      <w:lvlText w:val="%8."/>
      <w:lvlJc w:val="left"/>
      <w:pPr>
        <w:ind w:left="5760" w:hanging="360"/>
      </w:pPr>
    </w:lvl>
    <w:lvl w:ilvl="8" w:tplc="53A4358C" w:tentative="1">
      <w:start w:val="1"/>
      <w:numFmt w:val="lowerRoman"/>
      <w:lvlText w:val="%9."/>
      <w:lvlJc w:val="right"/>
      <w:pPr>
        <w:ind w:left="6480" w:hanging="180"/>
      </w:pPr>
    </w:lvl>
  </w:abstractNum>
  <w:abstractNum w:abstractNumId="4" w15:restartNumberingAfterBreak="0">
    <w:nsid w:val="341372A0"/>
    <w:multiLevelType w:val="multilevel"/>
    <w:tmpl w:val="8884AD06"/>
    <w:lvl w:ilvl="0">
      <w:start w:val="1"/>
      <w:numFmt w:val="decimal"/>
      <w:lvlText w:val="%1."/>
      <w:lvlJc w:val="left"/>
      <w:pPr>
        <w:ind w:left="720" w:hanging="360"/>
      </w:pPr>
    </w:lvl>
    <w:lvl w:ilvl="1">
      <w:start w:val="1"/>
      <w:numFmt w:val="decimal"/>
      <w:lvlText w:val="%1.%2."/>
      <w:lvlJc w:val="left"/>
      <w:pPr>
        <w:ind w:left="1070" w:hanging="360"/>
      </w:pPr>
      <w:rPr>
        <w:b/>
        <w:i w:val="0"/>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45C26606"/>
    <w:multiLevelType w:val="multilevel"/>
    <w:tmpl w:val="6094973E"/>
    <w:lvl w:ilvl="0">
      <w:start w:val="3"/>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4D5F071D"/>
    <w:multiLevelType w:val="multilevel"/>
    <w:tmpl w:val="497226A0"/>
    <w:lvl w:ilvl="0">
      <w:start w:val="2"/>
      <w:numFmt w:val="decimal"/>
      <w:lvlText w:val="%1."/>
      <w:lvlJc w:val="left"/>
      <w:pPr>
        <w:ind w:left="540" w:hanging="540"/>
      </w:pPr>
    </w:lvl>
    <w:lvl w:ilvl="1">
      <w:start w:val="2"/>
      <w:numFmt w:val="decimal"/>
      <w:lvlText w:val="%1.%2."/>
      <w:lvlJc w:val="left"/>
      <w:pPr>
        <w:ind w:left="1080"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7" w15:restartNumberingAfterBreak="0">
    <w:nsid w:val="6C0A05DC"/>
    <w:multiLevelType w:val="hybridMultilevel"/>
    <w:tmpl w:val="E648EB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ECB0AAA"/>
    <w:multiLevelType w:val="multilevel"/>
    <w:tmpl w:val="83ACD132"/>
    <w:lvl w:ilvl="0">
      <w:start w:val="2"/>
      <w:numFmt w:val="decimal"/>
      <w:lvlText w:val="%1."/>
      <w:lvlJc w:val="left"/>
      <w:pPr>
        <w:ind w:left="540" w:hanging="540"/>
      </w:pPr>
    </w:lvl>
    <w:lvl w:ilvl="1">
      <w:start w:val="2"/>
      <w:numFmt w:val="decimal"/>
      <w:lvlText w:val="%1.%2."/>
      <w:lvlJc w:val="left"/>
      <w:pPr>
        <w:ind w:left="1249"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num w:numId="1">
    <w:abstractNumId w:val="4"/>
  </w:num>
  <w:num w:numId="2">
    <w:abstractNumId w:val="6"/>
  </w:num>
  <w:num w:numId="3">
    <w:abstractNumId w:val="8"/>
  </w:num>
  <w:num w:numId="4">
    <w:abstractNumId w:val="1"/>
  </w:num>
  <w:num w:numId="5">
    <w:abstractNumId w:val="2"/>
  </w:num>
  <w:num w:numId="6">
    <w:abstractNumId w:val="0"/>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0FC"/>
    <w:rsid w:val="00011989"/>
    <w:rsid w:val="00015BB1"/>
    <w:rsid w:val="00022694"/>
    <w:rsid w:val="0002438B"/>
    <w:rsid w:val="00026887"/>
    <w:rsid w:val="00050F58"/>
    <w:rsid w:val="000518C2"/>
    <w:rsid w:val="0005192D"/>
    <w:rsid w:val="0006187B"/>
    <w:rsid w:val="00065D7F"/>
    <w:rsid w:val="00066A10"/>
    <w:rsid w:val="00082C12"/>
    <w:rsid w:val="000C0058"/>
    <w:rsid w:val="000D789A"/>
    <w:rsid w:val="000F518F"/>
    <w:rsid w:val="0010283D"/>
    <w:rsid w:val="00122CC5"/>
    <w:rsid w:val="00124A56"/>
    <w:rsid w:val="001374D6"/>
    <w:rsid w:val="00167D94"/>
    <w:rsid w:val="00174A87"/>
    <w:rsid w:val="001775DF"/>
    <w:rsid w:val="001813AE"/>
    <w:rsid w:val="00185DF5"/>
    <w:rsid w:val="001977F8"/>
    <w:rsid w:val="001A5435"/>
    <w:rsid w:val="001D05F7"/>
    <w:rsid w:val="00204067"/>
    <w:rsid w:val="00205317"/>
    <w:rsid w:val="00224DB0"/>
    <w:rsid w:val="00227CC0"/>
    <w:rsid w:val="00254D8C"/>
    <w:rsid w:val="002D507F"/>
    <w:rsid w:val="002E39B6"/>
    <w:rsid w:val="00335021"/>
    <w:rsid w:val="0033580E"/>
    <w:rsid w:val="003433DA"/>
    <w:rsid w:val="00350074"/>
    <w:rsid w:val="00366F08"/>
    <w:rsid w:val="00392F47"/>
    <w:rsid w:val="00397A1B"/>
    <w:rsid w:val="003A771A"/>
    <w:rsid w:val="003B6E74"/>
    <w:rsid w:val="003D400E"/>
    <w:rsid w:val="003F2B5A"/>
    <w:rsid w:val="004052E9"/>
    <w:rsid w:val="00405855"/>
    <w:rsid w:val="00415841"/>
    <w:rsid w:val="0042503F"/>
    <w:rsid w:val="00444BF8"/>
    <w:rsid w:val="00445846"/>
    <w:rsid w:val="00463ECD"/>
    <w:rsid w:val="00465B00"/>
    <w:rsid w:val="004A084C"/>
    <w:rsid w:val="004B5967"/>
    <w:rsid w:val="004E0CD4"/>
    <w:rsid w:val="004E10C5"/>
    <w:rsid w:val="004F0676"/>
    <w:rsid w:val="005218DF"/>
    <w:rsid w:val="0054552E"/>
    <w:rsid w:val="00545753"/>
    <w:rsid w:val="0054603B"/>
    <w:rsid w:val="00563542"/>
    <w:rsid w:val="005967A8"/>
    <w:rsid w:val="00597EEF"/>
    <w:rsid w:val="005A6616"/>
    <w:rsid w:val="005E39C5"/>
    <w:rsid w:val="005E6DAE"/>
    <w:rsid w:val="005F4436"/>
    <w:rsid w:val="00605F60"/>
    <w:rsid w:val="00672FA7"/>
    <w:rsid w:val="006A0D67"/>
    <w:rsid w:val="006A40FC"/>
    <w:rsid w:val="00752679"/>
    <w:rsid w:val="00776CF5"/>
    <w:rsid w:val="00793298"/>
    <w:rsid w:val="00795777"/>
    <w:rsid w:val="00796CFF"/>
    <w:rsid w:val="007C49A1"/>
    <w:rsid w:val="007C5B82"/>
    <w:rsid w:val="007E01EE"/>
    <w:rsid w:val="007E3FFB"/>
    <w:rsid w:val="00800C9C"/>
    <w:rsid w:val="00810EC9"/>
    <w:rsid w:val="00852EAC"/>
    <w:rsid w:val="00864705"/>
    <w:rsid w:val="008B3B43"/>
    <w:rsid w:val="008C2DDD"/>
    <w:rsid w:val="008D04F5"/>
    <w:rsid w:val="008F3567"/>
    <w:rsid w:val="00903B0D"/>
    <w:rsid w:val="00927915"/>
    <w:rsid w:val="00982DDD"/>
    <w:rsid w:val="00986A3B"/>
    <w:rsid w:val="00992F1A"/>
    <w:rsid w:val="009C149B"/>
    <w:rsid w:val="009C486A"/>
    <w:rsid w:val="009D13E3"/>
    <w:rsid w:val="009D1AC2"/>
    <w:rsid w:val="009D245B"/>
    <w:rsid w:val="009F2456"/>
    <w:rsid w:val="00A0478D"/>
    <w:rsid w:val="00A21B8D"/>
    <w:rsid w:val="00A35FA0"/>
    <w:rsid w:val="00A36D29"/>
    <w:rsid w:val="00A8304C"/>
    <w:rsid w:val="00A85D0A"/>
    <w:rsid w:val="00AF39B8"/>
    <w:rsid w:val="00B20FC5"/>
    <w:rsid w:val="00B2646D"/>
    <w:rsid w:val="00B3035C"/>
    <w:rsid w:val="00B325F7"/>
    <w:rsid w:val="00B375A1"/>
    <w:rsid w:val="00B72911"/>
    <w:rsid w:val="00B91AAC"/>
    <w:rsid w:val="00B93956"/>
    <w:rsid w:val="00BB32B0"/>
    <w:rsid w:val="00BD07F1"/>
    <w:rsid w:val="00BD2150"/>
    <w:rsid w:val="00C14C74"/>
    <w:rsid w:val="00C55060"/>
    <w:rsid w:val="00C57E51"/>
    <w:rsid w:val="00CA4273"/>
    <w:rsid w:val="00CA721E"/>
    <w:rsid w:val="00CB3B7A"/>
    <w:rsid w:val="00D14250"/>
    <w:rsid w:val="00D70824"/>
    <w:rsid w:val="00D765EC"/>
    <w:rsid w:val="00D931DB"/>
    <w:rsid w:val="00D93F22"/>
    <w:rsid w:val="00DE6D4C"/>
    <w:rsid w:val="00DF1EEA"/>
    <w:rsid w:val="00DF7F76"/>
    <w:rsid w:val="00E23357"/>
    <w:rsid w:val="00E32C42"/>
    <w:rsid w:val="00E450D3"/>
    <w:rsid w:val="00E85596"/>
    <w:rsid w:val="00E95F93"/>
    <w:rsid w:val="00EB0280"/>
    <w:rsid w:val="00EB57E6"/>
    <w:rsid w:val="00ED7F07"/>
    <w:rsid w:val="00F11CD2"/>
    <w:rsid w:val="00F16C1E"/>
    <w:rsid w:val="00F228F0"/>
    <w:rsid w:val="00F5569E"/>
    <w:rsid w:val="00F6295B"/>
    <w:rsid w:val="00F820FD"/>
    <w:rsid w:val="00F95F28"/>
    <w:rsid w:val="00FC3F3C"/>
    <w:rsid w:val="00FF44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5B284A4F"/>
  <w15:docId w15:val="{AF0B8659-D37E-4CD0-9E93-A714C00EA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45B"/>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har"/>
    <w:uiPriority w:val="9"/>
    <w:semiHidden/>
    <w:unhideWhenUsed/>
    <w:qFormat/>
    <w:rsid w:val="00FE2D5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E2D5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E2D5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_0"/>
    <w:tblPr>
      <w:tblCellMar>
        <w:top w:w="0" w:type="dxa"/>
        <w:left w:w="0" w:type="dxa"/>
        <w:bottom w:w="0" w:type="dxa"/>
        <w:right w:w="0" w:type="dxa"/>
      </w:tblCellMar>
    </w:tblPr>
  </w:style>
  <w:style w:type="character" w:customStyle="1" w:styleId="Ttulo1Char">
    <w:name w:val="Título 1 Char"/>
    <w:basedOn w:val="Fontepargpadro"/>
    <w:uiPriority w:val="9"/>
    <w:rsid w:val="00FE2D5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FE2D5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FE2D58"/>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FE2D58"/>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FE2D58"/>
    <w:rPr>
      <w:rFonts w:eastAsiaTheme="majorEastAsia" w:cstheme="majorBidi"/>
      <w:color w:val="0F4761" w:themeColor="accent1" w:themeShade="BF"/>
    </w:rPr>
  </w:style>
  <w:style w:type="character" w:customStyle="1" w:styleId="Ttulo6Char">
    <w:name w:val="Título 6 Char"/>
    <w:basedOn w:val="Fontepargpadro"/>
    <w:uiPriority w:val="9"/>
    <w:semiHidden/>
    <w:rsid w:val="00FE2D5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E2D5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E2D5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E2D58"/>
    <w:rPr>
      <w:rFonts w:eastAsiaTheme="majorEastAsia" w:cstheme="majorBidi"/>
      <w:color w:val="272727" w:themeColor="text1" w:themeTint="D8"/>
    </w:rPr>
  </w:style>
  <w:style w:type="character" w:customStyle="1" w:styleId="TtuloChar">
    <w:name w:val="Título Char"/>
    <w:basedOn w:val="Fontepargpadro"/>
    <w:uiPriority w:val="10"/>
    <w:rsid w:val="00FE2D58"/>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FE2D5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E2D58"/>
    <w:pPr>
      <w:spacing w:before="160"/>
      <w:jc w:val="center"/>
    </w:pPr>
    <w:rPr>
      <w:i/>
      <w:iCs/>
      <w:color w:val="404040" w:themeColor="text1" w:themeTint="BF"/>
    </w:rPr>
  </w:style>
  <w:style w:type="character" w:customStyle="1" w:styleId="CitaoChar">
    <w:name w:val="Citação Char"/>
    <w:basedOn w:val="Fontepargpadro"/>
    <w:link w:val="Citao"/>
    <w:uiPriority w:val="29"/>
    <w:rsid w:val="00FE2D58"/>
    <w:rPr>
      <w:i/>
      <w:iCs/>
      <w:color w:val="404040" w:themeColor="text1" w:themeTint="BF"/>
    </w:rPr>
  </w:style>
  <w:style w:type="paragraph" w:styleId="PargrafodaLista">
    <w:name w:val="List Paragraph"/>
    <w:basedOn w:val="Normal"/>
    <w:uiPriority w:val="34"/>
    <w:qFormat/>
    <w:rsid w:val="00FE2D58"/>
    <w:pPr>
      <w:ind w:left="720"/>
      <w:contextualSpacing/>
    </w:pPr>
  </w:style>
  <w:style w:type="character" w:styleId="nfaseIntensa">
    <w:name w:val="Intense Emphasis"/>
    <w:basedOn w:val="Fontepargpadro"/>
    <w:uiPriority w:val="21"/>
    <w:qFormat/>
    <w:rsid w:val="00FE2D58"/>
    <w:rPr>
      <w:i/>
      <w:iCs/>
      <w:color w:val="0F4761" w:themeColor="accent1" w:themeShade="BF"/>
    </w:rPr>
  </w:style>
  <w:style w:type="paragraph" w:styleId="CitaoIntensa">
    <w:name w:val="Intense Quote"/>
    <w:basedOn w:val="Normal"/>
    <w:next w:val="Normal"/>
    <w:link w:val="CitaoIntensaChar"/>
    <w:uiPriority w:val="30"/>
    <w:qFormat/>
    <w:rsid w:val="00FE2D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FE2D58"/>
    <w:rPr>
      <w:i/>
      <w:iCs/>
      <w:color w:val="0F4761" w:themeColor="accent1" w:themeShade="BF"/>
    </w:rPr>
  </w:style>
  <w:style w:type="character" w:styleId="RefernciaIntensa">
    <w:name w:val="Intense Reference"/>
    <w:basedOn w:val="Fontepargpadro"/>
    <w:uiPriority w:val="32"/>
    <w:qFormat/>
    <w:rsid w:val="00FE2D58"/>
    <w:rPr>
      <w:b/>
      <w:bCs/>
      <w:smallCaps/>
      <w:color w:val="0F4761" w:themeColor="accent1" w:themeShade="BF"/>
      <w:spacing w:val="5"/>
    </w:rPr>
  </w:style>
  <w:style w:type="character" w:styleId="Nmerodelinha">
    <w:name w:val="line number"/>
    <w:basedOn w:val="Fontepargpadro"/>
    <w:uiPriority w:val="99"/>
    <w:semiHidden/>
    <w:unhideWhenUsed/>
    <w:rsid w:val="002802F4"/>
  </w:style>
  <w:style w:type="paragraph" w:styleId="SemEspaamento">
    <w:name w:val="No Spacing"/>
    <w:link w:val="SemEspaamentoChar"/>
    <w:uiPriority w:val="1"/>
    <w:qFormat/>
    <w:rsid w:val="00A22FC0"/>
    <w:pPr>
      <w:spacing w:after="0" w:line="240" w:lineRule="auto"/>
    </w:pPr>
  </w:style>
  <w:style w:type="paragraph" w:styleId="Textodecomentrio">
    <w:name w:val="annotation text"/>
    <w:basedOn w:val="Normal"/>
    <w:link w:val="TextodecomentrioChar"/>
    <w:uiPriority w:val="99"/>
    <w:unhideWhenUsed/>
    <w:rsid w:val="00FF0FB7"/>
    <w:rPr>
      <w:rFonts w:cs="Times New Roman"/>
    </w:rPr>
  </w:style>
  <w:style w:type="character" w:customStyle="1" w:styleId="TextodecomentrioChar">
    <w:name w:val="Texto de comentário Char"/>
    <w:basedOn w:val="Fontepargpadro"/>
    <w:link w:val="Textodecomentrio"/>
    <w:uiPriority w:val="99"/>
    <w:rsid w:val="00FF0FB7"/>
    <w:rPr>
      <w:rFonts w:ascii="Aptos" w:eastAsia="Aptos" w:hAnsi="Aptos" w:cs="Times New Roman"/>
    </w:rPr>
  </w:style>
  <w:style w:type="character" w:styleId="Refdecomentrio">
    <w:name w:val="annotation reference"/>
    <w:uiPriority w:val="99"/>
    <w:semiHidden/>
    <w:unhideWhenUsed/>
    <w:rsid w:val="00FF0FB7"/>
    <w:rPr>
      <w:sz w:val="16"/>
      <w:szCs w:val="16"/>
    </w:rPr>
  </w:style>
  <w:style w:type="character" w:styleId="Hyperlink">
    <w:name w:val="Hyperlink"/>
    <w:uiPriority w:val="99"/>
    <w:unhideWhenUsed/>
    <w:qFormat/>
    <w:rsid w:val="002C761E"/>
    <w:rPr>
      <w:color w:val="467886"/>
      <w:u w:val="single"/>
    </w:rPr>
  </w:style>
  <w:style w:type="character" w:customStyle="1" w:styleId="SemEspaamentoChar">
    <w:name w:val="Sem Espaçamento Char"/>
    <w:link w:val="SemEspaamento"/>
    <w:uiPriority w:val="1"/>
    <w:qFormat/>
    <w:rsid w:val="002C761E"/>
  </w:style>
  <w:style w:type="character" w:styleId="HiperlinkVisitado">
    <w:name w:val="FollowedHyperlink"/>
    <w:basedOn w:val="Fontepargpadro"/>
    <w:uiPriority w:val="99"/>
    <w:semiHidden/>
    <w:unhideWhenUsed/>
    <w:rsid w:val="00541691"/>
    <w:rPr>
      <w:color w:val="96607D" w:themeColor="followedHyperlink"/>
      <w:u w:val="single"/>
    </w:rPr>
  </w:style>
  <w:style w:type="character" w:customStyle="1" w:styleId="MenoPendente1">
    <w:name w:val="Menção Pendente1"/>
    <w:basedOn w:val="Fontepargpadro"/>
    <w:uiPriority w:val="99"/>
    <w:semiHidden/>
    <w:unhideWhenUsed/>
    <w:rsid w:val="00CD6D95"/>
    <w:rPr>
      <w:color w:val="605E5C"/>
      <w:shd w:val="clear" w:color="auto" w:fill="E1DFDD"/>
    </w:rPr>
  </w:style>
  <w:style w:type="table" w:customStyle="1" w:styleId="SimplesTabela22">
    <w:name w:val="Simples Tabela 22"/>
    <w:basedOn w:val="Tabelanormal"/>
    <w:next w:val="TabelaSimples2"/>
    <w:uiPriority w:val="42"/>
    <w:rsid w:val="00F32105"/>
    <w:pPr>
      <w:spacing w:after="0" w:line="240" w:lineRule="auto"/>
      <w:jc w:val="both"/>
    </w:pPr>
    <w:rPr>
      <w:rFonts w:eastAsia="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aSimples2">
    <w:name w:val="Plain Table 2"/>
    <w:basedOn w:val="Tabelanormal"/>
    <w:uiPriority w:val="42"/>
    <w:rsid w:val="00F32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mplesTabela21">
    <w:name w:val="Simples Tabela 21"/>
    <w:basedOn w:val="Tabelanormal"/>
    <w:next w:val="TabelaSimples2"/>
    <w:uiPriority w:val="42"/>
    <w:rsid w:val="00F32105"/>
    <w:pPr>
      <w:spacing w:after="0" w:line="240" w:lineRule="auto"/>
      <w:jc w:val="both"/>
    </w:pPr>
    <w:rPr>
      <w:rFonts w:eastAsia="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bealho">
    <w:name w:val="header"/>
    <w:basedOn w:val="Normal"/>
    <w:link w:val="CabealhoChar"/>
    <w:uiPriority w:val="99"/>
    <w:unhideWhenUsed/>
    <w:rsid w:val="007974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974D5"/>
  </w:style>
  <w:style w:type="paragraph" w:styleId="Rodap">
    <w:name w:val="footer"/>
    <w:basedOn w:val="Normal"/>
    <w:link w:val="RodapChar"/>
    <w:uiPriority w:val="99"/>
    <w:unhideWhenUsed/>
    <w:rsid w:val="007974D5"/>
    <w:pPr>
      <w:tabs>
        <w:tab w:val="center" w:pos="4252"/>
        <w:tab w:val="right" w:pos="8504"/>
      </w:tabs>
      <w:spacing w:after="0" w:line="240" w:lineRule="auto"/>
    </w:pPr>
  </w:style>
  <w:style w:type="character" w:customStyle="1" w:styleId="RodapChar">
    <w:name w:val="Rodapé Char"/>
    <w:basedOn w:val="Fontepargpadro"/>
    <w:link w:val="Rodap"/>
    <w:uiPriority w:val="99"/>
    <w:rsid w:val="007974D5"/>
  </w:style>
  <w:style w:type="table" w:customStyle="1" w:styleId="a">
    <w:name w:val="a"/>
    <w:basedOn w:val="TableNormal0"/>
    <w:pPr>
      <w:spacing w:after="0" w:line="240" w:lineRule="auto"/>
      <w:jc w:val="both"/>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name w:val="a0"/>
    <w:basedOn w:val="TableNormal0"/>
    <w:pPr>
      <w:spacing w:after="0" w:line="240" w:lineRule="auto"/>
      <w:jc w:val="both"/>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name w:val="a1"/>
    <w:basedOn w:val="TableNormal0"/>
    <w:tblPr>
      <w:tblStyleRowBandSize w:val="1"/>
      <w:tblStyleColBandSize w:val="1"/>
      <w:tblCellMar>
        <w:left w:w="115" w:type="dxa"/>
        <w:right w:w="115" w:type="dxa"/>
      </w:tblCellMar>
    </w:tblPr>
  </w:style>
  <w:style w:type="table" w:customStyle="1" w:styleId="a2">
    <w:name w:val="a2"/>
    <w:basedOn w:val="TableNormal0"/>
    <w:tblPr>
      <w:tblStyleRowBandSize w:val="1"/>
      <w:tblStyleColBandSize w:val="1"/>
      <w:tblCellMar>
        <w:left w:w="115" w:type="dxa"/>
        <w:right w:w="115" w:type="dxa"/>
      </w:tblCellMar>
    </w:tblPr>
  </w:style>
  <w:style w:type="table" w:customStyle="1" w:styleId="a3">
    <w:name w:val="a3"/>
    <w:basedOn w:val="TableNormal0"/>
    <w:pPr>
      <w:spacing w:after="0" w:line="240" w:lineRule="auto"/>
      <w:jc w:val="both"/>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Subttulo">
    <w:name w:val="Subtitle"/>
    <w:basedOn w:val="Normal"/>
    <w:next w:val="Normal"/>
    <w:uiPriority w:val="11"/>
    <w:qFormat/>
    <w:rPr>
      <w:color w:val="595959"/>
      <w:sz w:val="28"/>
      <w:szCs w:val="28"/>
    </w:rPr>
  </w:style>
  <w:style w:type="table" w:customStyle="1" w:styleId="a4">
    <w:name w:val="a4"/>
    <w:basedOn w:val="TableNormal0"/>
    <w:pPr>
      <w:spacing w:after="0" w:line="240" w:lineRule="auto"/>
      <w:jc w:val="both"/>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name w:val="a5"/>
    <w:basedOn w:val="TableNormal0"/>
    <w:pPr>
      <w:spacing w:after="0" w:line="240" w:lineRule="auto"/>
      <w:jc w:val="both"/>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name w:val="a6"/>
    <w:basedOn w:val="TableNormal0"/>
    <w:tblPr>
      <w:tblStyleRowBandSize w:val="1"/>
      <w:tblStyleColBandSize w:val="1"/>
      <w:tblCellMar>
        <w:left w:w="115" w:type="dxa"/>
        <w:right w:w="115" w:type="dxa"/>
      </w:tblCellMar>
    </w:tblPr>
  </w:style>
  <w:style w:type="table" w:customStyle="1" w:styleId="a7">
    <w:name w:val="a7"/>
    <w:basedOn w:val="TableNormal0"/>
    <w:tblPr>
      <w:tblStyleRowBandSize w:val="1"/>
      <w:tblStyleColBandSize w:val="1"/>
      <w:tblCellMar>
        <w:left w:w="115" w:type="dxa"/>
        <w:right w:w="115" w:type="dxa"/>
      </w:tblCellMar>
    </w:tblPr>
  </w:style>
  <w:style w:type="table" w:customStyle="1" w:styleId="a8">
    <w:name w:val="a8"/>
    <w:basedOn w:val="TableNormal0"/>
    <w:pPr>
      <w:spacing w:after="0" w:line="240" w:lineRule="auto"/>
      <w:jc w:val="both"/>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ssuntodocomentrio">
    <w:name w:val="annotation subject"/>
    <w:basedOn w:val="Textodecomentrio"/>
    <w:next w:val="Textodecomentrio"/>
    <w:link w:val="AssuntodocomentrioChar"/>
    <w:uiPriority w:val="99"/>
    <w:semiHidden/>
    <w:unhideWhenUsed/>
    <w:rsid w:val="00545753"/>
    <w:pPr>
      <w:spacing w:line="240" w:lineRule="auto"/>
    </w:pPr>
    <w:rPr>
      <w:rFonts w:cs="Aptos"/>
      <w:b/>
      <w:bCs/>
      <w:sz w:val="20"/>
      <w:szCs w:val="20"/>
    </w:rPr>
  </w:style>
  <w:style w:type="character" w:customStyle="1" w:styleId="AssuntodocomentrioChar">
    <w:name w:val="Assunto do comentário Char"/>
    <w:basedOn w:val="TextodecomentrioChar"/>
    <w:link w:val="Assuntodocomentrio"/>
    <w:uiPriority w:val="99"/>
    <w:semiHidden/>
    <w:rsid w:val="00545753"/>
    <w:rPr>
      <w:rFonts w:ascii="Aptos" w:eastAsia="Aptos" w:hAnsi="Aptos" w:cs="Times New Roman"/>
      <w:b/>
      <w:bCs/>
      <w:sz w:val="20"/>
      <w:szCs w:val="20"/>
    </w:rPr>
  </w:style>
  <w:style w:type="paragraph" w:styleId="Textodebalo">
    <w:name w:val="Balloon Text"/>
    <w:basedOn w:val="Normal"/>
    <w:link w:val="TextodebaloChar"/>
    <w:uiPriority w:val="99"/>
    <w:semiHidden/>
    <w:unhideWhenUsed/>
    <w:rsid w:val="00366F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66F08"/>
    <w:rPr>
      <w:rFonts w:ascii="Segoe UI" w:hAnsi="Segoe UI" w:cs="Segoe UI"/>
      <w:sz w:val="18"/>
      <w:szCs w:val="18"/>
    </w:rPr>
  </w:style>
  <w:style w:type="character" w:customStyle="1" w:styleId="MenoPendente2">
    <w:name w:val="Menção Pendente2"/>
    <w:basedOn w:val="Fontepargpadro"/>
    <w:uiPriority w:val="99"/>
    <w:semiHidden/>
    <w:unhideWhenUsed/>
    <w:rsid w:val="00563542"/>
    <w:rPr>
      <w:color w:val="605E5C"/>
      <w:shd w:val="clear" w:color="auto" w:fill="E1DFDD"/>
    </w:rPr>
  </w:style>
  <w:style w:type="character" w:styleId="nfase">
    <w:name w:val="Emphasis"/>
    <w:basedOn w:val="Fontepargpadro"/>
    <w:uiPriority w:val="20"/>
    <w:qFormat/>
    <w:rsid w:val="00444BF8"/>
    <w:rPr>
      <w:i/>
      <w:iCs/>
    </w:rPr>
  </w:style>
  <w:style w:type="paragraph" w:styleId="Reviso">
    <w:name w:val="Revision"/>
    <w:hidden/>
    <w:uiPriority w:val="99"/>
    <w:semiHidden/>
    <w:rsid w:val="004E10C5"/>
    <w:pPr>
      <w:spacing w:after="0" w:line="240" w:lineRule="auto"/>
    </w:pPr>
  </w:style>
  <w:style w:type="paragraph" w:customStyle="1" w:styleId="Default">
    <w:name w:val="Default"/>
    <w:rsid w:val="00BD2150"/>
    <w:pPr>
      <w:autoSpaceDE w:val="0"/>
      <w:autoSpaceDN w:val="0"/>
      <w:adjustRightInd w:val="0"/>
      <w:spacing w:after="0" w:line="240" w:lineRule="auto"/>
    </w:pPr>
    <w:rPr>
      <w:rFonts w:ascii="Calibri" w:eastAsiaTheme="minorHAnsi" w:hAnsi="Calibri" w:cs="Calibri"/>
      <w:color w:val="000000"/>
      <w:sz w:val="24"/>
      <w:szCs w:val="24"/>
      <w:lang w:val="pt-BR" w:eastAsia="en-US"/>
    </w:rPr>
  </w:style>
  <w:style w:type="character" w:styleId="Forte">
    <w:name w:val="Strong"/>
    <w:basedOn w:val="Fontepargpadro"/>
    <w:uiPriority w:val="22"/>
    <w:qFormat/>
    <w:rsid w:val="00BD21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xhuAx3Ox5pLl+Uk+lSd7urvCKA==">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EDED20-B4F1-430E-AC87-32CB5871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5998</Words>
  <Characters>32204</Characters>
  <Application>Microsoft Office Word</Application>
  <DocSecurity>0</DocSecurity>
  <Lines>870</Lines>
  <Paragraphs>460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DanielaVialDahmer</dc:creator>
  <cp:lastModifiedBy>Suélem</cp:lastModifiedBy>
  <cp:revision>2</cp:revision>
  <dcterms:created xsi:type="dcterms:W3CDTF">2025-09-05T22:45:00Z</dcterms:created>
  <dcterms:modified xsi:type="dcterms:W3CDTF">2025-09-05T22:45:00Z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b85f4d71-951f-496e-b374-8caefda9d375</vt:lpwstr>
  </property>
  <property fmtid="{D5CDD505-2E9C-101B-9397-08002B2CF9AE}" pid="3" name="Mendeley Recent Style Id 0_1">
    <vt:lpwstr>http://www.zotero.org/styles/american-political-science-association</vt:lpwstr>
  </property>
  <property fmtid="{D5CDD505-2E9C-101B-9397-08002B2CF9AE}" pid="4" name="Mendeley Recent Style Id 1_1">
    <vt:lpwstr>http://www.zotero.org/styles/apa</vt:lpwstr>
  </property>
  <property fmtid="{D5CDD505-2E9C-101B-9397-08002B2CF9AE}" pid="5" name="Mendeley Recent Style Id 2_1">
    <vt:lpwstr>http://www.zotero.org/styles/american-sociological-association</vt:lpwstr>
  </property>
  <property fmtid="{D5CDD505-2E9C-101B-9397-08002B2CF9AE}" pid="6" name="Mendeley Recent Style Id 3_1">
    <vt:lpwstr>http://www.zotero.org/styles/chicago-author-date</vt:lpwstr>
  </property>
  <property fmtid="{D5CDD505-2E9C-101B-9397-08002B2CF9AE}" pid="7" name="Mendeley Recent Style Id 4_1">
    <vt:lpwstr>http://www.zotero.org/styles/harvard-cite-them-right</vt:lpwstr>
  </property>
  <property fmtid="{D5CDD505-2E9C-101B-9397-08002B2CF9AE}" pid="8" name="Mendeley Recent Style Id 5_1">
    <vt:lpwstr>http://www.zotero.org/styles/instituto-brasileiro-de-informacao-em-ciencia-e-tecnologia-abnt</vt:lpwstr>
  </property>
  <property fmtid="{D5CDD505-2E9C-101B-9397-08002B2CF9AE}" pid="9" name="Mendeley Recent Style Id 6_1">
    <vt:lpwstr>http://www.zotero.org/styles/modern-humanities-research-association</vt:lpwstr>
  </property>
  <property fmtid="{D5CDD505-2E9C-101B-9397-08002B2CF9AE}" pid="10" name="Mendeley Recent Style Id 7_1">
    <vt:lpwstr>http://www.zotero.org/styles/modern-language-association</vt:lpwstr>
  </property>
  <property fmtid="{D5CDD505-2E9C-101B-9397-08002B2CF9AE}" pid="11" name="Mendeley Recent Style Id 8_1">
    <vt:lpwstr>http://www.zotero.org/styles/nature</vt:lpwstr>
  </property>
  <property fmtid="{D5CDD505-2E9C-101B-9397-08002B2CF9AE}" pid="12" name="Mendeley Recent Style Id 9_1">
    <vt:lpwstr>http://www.zotero.org/styles/vancouver</vt:lpwstr>
  </property>
  <property fmtid="{D5CDD505-2E9C-101B-9397-08002B2CF9AE}" pid="13" name="Mendeley Recent Style Name 0_1">
    <vt:lpwstr>American Political Science Association</vt:lpwstr>
  </property>
  <property fmtid="{D5CDD505-2E9C-101B-9397-08002B2CF9AE}" pid="14" name="Mendeley Recent Style Name 1_1">
    <vt:lpwstr>American Psychological Association 7th edition</vt:lpwstr>
  </property>
  <property fmtid="{D5CDD505-2E9C-101B-9397-08002B2CF9AE}" pid="15" name="Mendeley Recent Style Name 2_1">
    <vt:lpwstr>American Sociological Association 6th/7th edition</vt:lpwstr>
  </property>
  <property fmtid="{D5CDD505-2E9C-101B-9397-08002B2CF9AE}" pid="16" name="Mendeley Recent Style Name 3_1">
    <vt:lpwstr>Chicago Manual of Style 17th edition (author-date)</vt:lpwstr>
  </property>
  <property fmtid="{D5CDD505-2E9C-101B-9397-08002B2CF9AE}" pid="17" name="Mendeley Recent Style Name 4_1">
    <vt:lpwstr>Cite Them Right 12th edition - Harvard</vt:lpwstr>
  </property>
  <property fmtid="{D5CDD505-2E9C-101B-9397-08002B2CF9AE}" pid="18" name="Mendeley Recent Style Name 5_1">
    <vt:lpwstr>Instituto Brasileiro de Informação em Ciência e Tecnologia - ABNT (autoria completa)</vt:lpwstr>
  </property>
  <property fmtid="{D5CDD505-2E9C-101B-9397-08002B2CF9AE}" pid="19" name="Mendeley Recent Style Name 6_1">
    <vt:lpwstr>Modern Humanities Research Association 4th edition (note with bibliography)</vt:lpwstr>
  </property>
  <property fmtid="{D5CDD505-2E9C-101B-9397-08002B2CF9AE}" pid="20" name="Mendeley Recent Style Name 7_1">
    <vt:lpwstr>Modern Language Association 9th edition</vt:lpwstr>
  </property>
  <property fmtid="{D5CDD505-2E9C-101B-9397-08002B2CF9AE}" pid="21" name="Mendeley Recent Style Name 8_1">
    <vt:lpwstr>Nature</vt:lpwstr>
  </property>
  <property fmtid="{D5CDD505-2E9C-101B-9397-08002B2CF9AE}" pid="22" name="Mendeley Recent Style Name 9_1">
    <vt:lpwstr>Vancouver</vt:lpwstr>
  </property>
</Properties>
</file>