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2FD7" w14:textId="09B10B8C" w:rsidR="00543303" w:rsidRPr="00F705D6" w:rsidRDefault="006978CD" w:rsidP="00F705D6">
      <w:pPr>
        <w:tabs>
          <w:tab w:val="left" w:pos="90"/>
        </w:tabs>
        <w:spacing w:line="240" w:lineRule="auto"/>
        <w:ind w:firstLine="360"/>
        <w:jc w:val="center"/>
        <w:rPr>
          <w:rFonts w:ascii="Times New Roman" w:hAnsi="Times New Roman" w:cs="Times New Roman"/>
          <w:b/>
          <w:sz w:val="36"/>
          <w:szCs w:val="36"/>
        </w:rPr>
      </w:pPr>
      <w:r w:rsidRPr="00CE4C4F">
        <w:rPr>
          <w:rFonts w:ascii="Times New Roman" w:hAnsi="Times New Roman" w:cs="Times New Roman"/>
          <w:b/>
          <w:sz w:val="36"/>
          <w:szCs w:val="36"/>
        </w:rPr>
        <w:t>Biopolymer composites</w:t>
      </w:r>
      <w:r w:rsidR="004732DA" w:rsidRPr="00CE4C4F">
        <w:rPr>
          <w:rFonts w:ascii="Times New Roman" w:hAnsi="Times New Roman" w:cs="Times New Roman"/>
          <w:b/>
          <w:sz w:val="36"/>
          <w:szCs w:val="36"/>
        </w:rPr>
        <w:t>:</w:t>
      </w:r>
      <w:r w:rsidRPr="00CE4C4F">
        <w:rPr>
          <w:rFonts w:ascii="Times New Roman" w:hAnsi="Times New Roman" w:cs="Times New Roman"/>
          <w:b/>
          <w:sz w:val="36"/>
          <w:szCs w:val="36"/>
        </w:rPr>
        <w:t xml:space="preserve"> Integrating agro waste-Fillers with LDPE for Enhanced Mechanistic and Moisture Properties</w:t>
      </w:r>
    </w:p>
    <w:p w14:paraId="44834320" w14:textId="447634D2" w:rsidR="00997384" w:rsidRPr="00CE4C4F" w:rsidRDefault="006978CD">
      <w:pPr>
        <w:tabs>
          <w:tab w:val="left" w:pos="90"/>
        </w:tabs>
        <w:spacing w:line="480" w:lineRule="auto"/>
        <w:ind w:firstLine="360"/>
        <w:jc w:val="center"/>
        <w:rPr>
          <w:rFonts w:ascii="Times New Roman" w:hAnsi="Times New Roman" w:cs="Times New Roman"/>
          <w:b/>
          <w:sz w:val="28"/>
          <w:szCs w:val="28"/>
        </w:rPr>
      </w:pPr>
      <w:r w:rsidRPr="00CE4C4F">
        <w:rPr>
          <w:rFonts w:ascii="Times New Roman" w:hAnsi="Times New Roman" w:cs="Times New Roman"/>
          <w:b/>
          <w:sz w:val="28"/>
          <w:szCs w:val="28"/>
        </w:rPr>
        <w:t>Abstract</w:t>
      </w:r>
    </w:p>
    <w:p w14:paraId="7AB2FC3C" w14:textId="120B984E"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Availability of sustainable materials has been closely linked to the development of new technologies</w:t>
      </w:r>
      <w:r w:rsidR="00FC6609"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In this study, agro-waste materials; Coconut shell (CS) and Saw dust (SD) were employed as filler materials in the production of polymer composites using low density polyethylene (LDPE) as matrix at varying composition ratios ranging from 10/90 to 50/50 of filler/LDPE. A total of fifteen (15) composites materials (Coconut shell (CS) and Saw dust (SD) and Hybrid (HB) bio-polymer composites) were fabricated and studied. SEM micrographs showed </w:t>
      </w:r>
      <w:r w:rsidR="00FC6609" w:rsidRPr="00CE4C4F">
        <w:rPr>
          <w:rFonts w:ascii="Times New Roman" w:hAnsi="Times New Roman" w:cs="Times New Roman"/>
          <w:sz w:val="24"/>
          <w:szCs w:val="24"/>
        </w:rPr>
        <w:t>a</w:t>
      </w:r>
      <w:r w:rsidRPr="00CE4C4F">
        <w:rPr>
          <w:rFonts w:ascii="Times New Roman" w:hAnsi="Times New Roman" w:cs="Times New Roman"/>
          <w:sz w:val="24"/>
          <w:szCs w:val="24"/>
        </w:rPr>
        <w:t xml:space="preserve"> </w:t>
      </w:r>
      <w:r w:rsidR="00FC6609" w:rsidRPr="00CE4C4F">
        <w:rPr>
          <w:rFonts w:ascii="Times New Roman" w:hAnsi="Times New Roman" w:cs="Times New Roman"/>
          <w:sz w:val="24"/>
          <w:szCs w:val="24"/>
        </w:rPr>
        <w:t>homogen</w:t>
      </w:r>
      <w:r w:rsidR="004F4727" w:rsidRPr="00CE4C4F">
        <w:rPr>
          <w:rFonts w:ascii="Times New Roman" w:hAnsi="Times New Roman" w:cs="Times New Roman"/>
          <w:sz w:val="24"/>
          <w:szCs w:val="24"/>
        </w:rPr>
        <w:t>e</w:t>
      </w:r>
      <w:r w:rsidR="00FC6609" w:rsidRPr="00CE4C4F">
        <w:rPr>
          <w:rFonts w:ascii="Times New Roman" w:hAnsi="Times New Roman" w:cs="Times New Roman"/>
          <w:sz w:val="24"/>
          <w:szCs w:val="24"/>
        </w:rPr>
        <w:t xml:space="preserve">ous </w:t>
      </w:r>
      <w:r w:rsidRPr="00CE4C4F">
        <w:rPr>
          <w:rFonts w:ascii="Times New Roman" w:hAnsi="Times New Roman" w:cs="Times New Roman"/>
          <w:sz w:val="24"/>
          <w:szCs w:val="24"/>
        </w:rPr>
        <w:t>distribution of particles</w:t>
      </w:r>
      <w:r w:rsidR="00FC6609"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with a good interfacial bonding at the filler/matrix interface, FTIR analysis identified </w:t>
      </w:r>
      <w:r w:rsidR="0022634D" w:rsidRPr="00CE4C4F">
        <w:rPr>
          <w:rFonts w:ascii="Times New Roman" w:hAnsi="Times New Roman" w:cs="Times New Roman"/>
          <w:sz w:val="24"/>
          <w:szCs w:val="24"/>
        </w:rPr>
        <w:t>peaks at</w:t>
      </w:r>
      <w:r w:rsidR="00D125A5" w:rsidRPr="00CE4C4F">
        <w:rPr>
          <w:rFonts w:ascii="Times New Roman" w:hAnsi="Times New Roman" w:cs="Times New Roman"/>
          <w:sz w:val="24"/>
          <w:szCs w:val="24"/>
        </w:rPr>
        <w:t xml:space="preserve"> </w:t>
      </w:r>
      <w:r w:rsidR="0022634D" w:rsidRPr="00CE4C4F">
        <w:rPr>
          <w:rFonts w:ascii="Times New Roman" w:hAnsi="Times New Roman" w:cs="Times New Roman"/>
          <w:sz w:val="24"/>
          <w:szCs w:val="24"/>
        </w:rPr>
        <w:t>1500</w:t>
      </w:r>
      <w:r w:rsidR="00475E76" w:rsidRPr="00CE4C4F">
        <w:rPr>
          <w:rFonts w:ascii="Times New Roman" w:hAnsi="Times New Roman" w:cs="Times New Roman"/>
          <w:sz w:val="24"/>
          <w:szCs w:val="24"/>
        </w:rPr>
        <w:t xml:space="preserve"> cm-1 for Ethylene</w:t>
      </w:r>
      <w:r w:rsidR="0022634D" w:rsidRPr="00CE4C4F">
        <w:rPr>
          <w:rFonts w:ascii="Times New Roman" w:hAnsi="Times New Roman" w:cs="Times New Roman"/>
          <w:sz w:val="24"/>
          <w:szCs w:val="24"/>
        </w:rPr>
        <w:t xml:space="preserve"> and</w:t>
      </w:r>
      <w:r w:rsidR="00D125A5" w:rsidRPr="00CE4C4F">
        <w:rPr>
          <w:rFonts w:ascii="Times New Roman" w:hAnsi="Times New Roman" w:cs="Times New Roman"/>
          <w:sz w:val="24"/>
          <w:szCs w:val="24"/>
        </w:rPr>
        <w:t xml:space="preserve"> </w:t>
      </w:r>
      <w:r w:rsidR="00D125A5" w:rsidRPr="00CE4C4F">
        <w:rPr>
          <w:rFonts w:ascii="Times New Roman" w:hAnsi="Times New Roman" w:cs="Times New Roman"/>
          <w:sz w:val="24"/>
          <w:szCs w:val="24"/>
        </w:rPr>
        <w:t>3000</w:t>
      </w:r>
      <w:r w:rsidR="00D125A5" w:rsidRPr="00CE4C4F">
        <w:rPr>
          <w:rFonts w:ascii="Times New Roman" w:hAnsi="Times New Roman" w:cs="Times New Roman"/>
          <w:sz w:val="24"/>
          <w:szCs w:val="24"/>
        </w:rPr>
        <w:t xml:space="preserve"> cm-1 for</w:t>
      </w:r>
      <w:r w:rsidR="0022634D" w:rsidRPr="00CE4C4F">
        <w:rPr>
          <w:rFonts w:ascii="Times New Roman" w:hAnsi="Times New Roman" w:cs="Times New Roman"/>
          <w:sz w:val="24"/>
          <w:szCs w:val="24"/>
        </w:rPr>
        <w:t xml:space="preserve"> </w:t>
      </w:r>
      <w:r w:rsidRPr="00CE4C4F">
        <w:rPr>
          <w:rFonts w:ascii="Times New Roman" w:hAnsi="Times New Roman" w:cs="Times New Roman"/>
          <w:sz w:val="24"/>
          <w:szCs w:val="24"/>
        </w:rPr>
        <w:t>hydrophilic hydroxyl (OH) grou</w:t>
      </w:r>
      <w:r w:rsidR="006762B3" w:rsidRPr="00CE4C4F">
        <w:rPr>
          <w:rFonts w:ascii="Times New Roman" w:hAnsi="Times New Roman" w:cs="Times New Roman"/>
          <w:sz w:val="24"/>
          <w:szCs w:val="24"/>
        </w:rPr>
        <w:t>ps. T</w:t>
      </w:r>
      <w:r w:rsidRPr="00CE4C4F">
        <w:rPr>
          <w:rFonts w:ascii="Times New Roman" w:hAnsi="Times New Roman" w:cs="Times New Roman"/>
          <w:sz w:val="24"/>
          <w:szCs w:val="24"/>
        </w:rPr>
        <w:t xml:space="preserve">he mechanical </w:t>
      </w:r>
      <w:r w:rsidR="00475E76" w:rsidRPr="00CE4C4F">
        <w:rPr>
          <w:rFonts w:ascii="Times New Roman" w:hAnsi="Times New Roman" w:cs="Times New Roman"/>
          <w:sz w:val="24"/>
          <w:szCs w:val="24"/>
        </w:rPr>
        <w:t xml:space="preserve">characterization </w:t>
      </w:r>
      <w:r w:rsidR="006762B3" w:rsidRPr="00CE4C4F">
        <w:rPr>
          <w:rFonts w:ascii="Times New Roman" w:hAnsi="Times New Roman" w:cs="Times New Roman"/>
          <w:sz w:val="24"/>
          <w:szCs w:val="24"/>
        </w:rPr>
        <w:t>showed h</w:t>
      </w:r>
      <w:r w:rsidR="00475E76" w:rsidRPr="00CE4C4F">
        <w:rPr>
          <w:rFonts w:ascii="Times New Roman" w:hAnsi="Times New Roman" w:cs="Times New Roman"/>
          <w:sz w:val="24"/>
          <w:szCs w:val="24"/>
        </w:rPr>
        <w:t>igher</w:t>
      </w:r>
      <w:r w:rsidRPr="00CE4C4F">
        <w:rPr>
          <w:rFonts w:ascii="Times New Roman" w:hAnsi="Times New Roman" w:cs="Times New Roman"/>
          <w:sz w:val="24"/>
          <w:szCs w:val="24"/>
        </w:rPr>
        <w:t xml:space="preserve"> filler </w:t>
      </w:r>
      <w:r w:rsidR="00475E76" w:rsidRPr="00CE4C4F">
        <w:rPr>
          <w:rFonts w:ascii="Times New Roman" w:hAnsi="Times New Roman" w:cs="Times New Roman"/>
          <w:sz w:val="24"/>
          <w:szCs w:val="24"/>
        </w:rPr>
        <w:t>ratios</w:t>
      </w:r>
      <w:r w:rsidRPr="00CE4C4F">
        <w:rPr>
          <w:rFonts w:ascii="Times New Roman" w:hAnsi="Times New Roman" w:cs="Times New Roman"/>
          <w:sz w:val="24"/>
          <w:szCs w:val="24"/>
        </w:rPr>
        <w:t xml:space="preserve"> enhanced material stiffness and reduced elasticity, </w:t>
      </w:r>
      <w:r w:rsidR="006762B3" w:rsidRPr="00CE4C4F">
        <w:rPr>
          <w:rFonts w:ascii="Times New Roman" w:hAnsi="Times New Roman" w:cs="Times New Roman"/>
          <w:sz w:val="24"/>
          <w:szCs w:val="24"/>
        </w:rPr>
        <w:t>SD 40/60, HB 50/50 and CS 50/50 were in cluster I</w:t>
      </w:r>
      <w:r w:rsidR="006762B3"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while CS 10/90, SD 30/70 and HB 20/80 </w:t>
      </w:r>
      <w:r w:rsidR="006762B3" w:rsidRPr="00CE4C4F">
        <w:rPr>
          <w:rFonts w:ascii="Times New Roman" w:hAnsi="Times New Roman" w:cs="Times New Roman"/>
          <w:sz w:val="24"/>
          <w:szCs w:val="24"/>
        </w:rPr>
        <w:t xml:space="preserve">in cluster III </w:t>
      </w:r>
      <w:r w:rsidRPr="00CE4C4F">
        <w:rPr>
          <w:rFonts w:ascii="Times New Roman" w:hAnsi="Times New Roman" w:cs="Times New Roman"/>
          <w:sz w:val="24"/>
          <w:szCs w:val="24"/>
        </w:rPr>
        <w:t xml:space="preserve">had the most tolerance for moisture. </w:t>
      </w:r>
      <w:r w:rsidR="00937B70" w:rsidRPr="00CE4C4F">
        <w:rPr>
          <w:rFonts w:ascii="Times New Roman" w:hAnsi="Times New Roman" w:cs="Times New Roman"/>
          <w:sz w:val="24"/>
          <w:szCs w:val="24"/>
        </w:rPr>
        <w:t>The principal component analysis (PCA)</w:t>
      </w:r>
      <w:r w:rsidR="00B60B89" w:rsidRPr="00CE4C4F">
        <w:rPr>
          <w:rFonts w:ascii="Times New Roman" w:hAnsi="Times New Roman" w:cs="Times New Roman"/>
          <w:sz w:val="24"/>
          <w:szCs w:val="24"/>
        </w:rPr>
        <w:t xml:space="preserve"> could explain 87% variation</w:t>
      </w:r>
      <w:r w:rsidR="006762B3" w:rsidRPr="00CE4C4F">
        <w:rPr>
          <w:rFonts w:ascii="Times New Roman" w:hAnsi="Times New Roman" w:cs="Times New Roman"/>
          <w:sz w:val="24"/>
          <w:szCs w:val="24"/>
        </w:rPr>
        <w:t xml:space="preserve"> </w:t>
      </w:r>
      <w:r w:rsidR="00E30D69" w:rsidRPr="00CE4C4F">
        <w:rPr>
          <w:rFonts w:ascii="Times New Roman" w:hAnsi="Times New Roman" w:cs="Times New Roman"/>
          <w:sz w:val="24"/>
          <w:szCs w:val="24"/>
        </w:rPr>
        <w:t xml:space="preserve">while </w:t>
      </w:r>
      <w:r w:rsidR="006762B3" w:rsidRPr="00CE4C4F">
        <w:rPr>
          <w:rFonts w:ascii="Times New Roman" w:hAnsi="Times New Roman" w:cs="Times New Roman"/>
          <w:sz w:val="24"/>
          <w:szCs w:val="24"/>
        </w:rPr>
        <w:t>cluster analysis (HCA)</w:t>
      </w:r>
      <w:r w:rsidR="00937B70" w:rsidRPr="00CE4C4F">
        <w:rPr>
          <w:rFonts w:ascii="Times New Roman" w:hAnsi="Times New Roman" w:cs="Times New Roman"/>
          <w:sz w:val="24"/>
          <w:szCs w:val="24"/>
        </w:rPr>
        <w:t xml:space="preserve"> identified the second day of testing to have the most impact on composites in presence of moisture. </w:t>
      </w:r>
      <w:r w:rsidR="00D125A5" w:rsidRPr="00CE4C4F">
        <w:rPr>
          <w:rFonts w:ascii="Times New Roman" w:hAnsi="Times New Roman" w:cs="Times New Roman"/>
          <w:sz w:val="24"/>
          <w:szCs w:val="24"/>
        </w:rPr>
        <w:t xml:space="preserve">The findings </w:t>
      </w:r>
      <w:r w:rsidR="00D125A5" w:rsidRPr="00CE4C4F">
        <w:rPr>
          <w:rFonts w:ascii="Times New Roman" w:hAnsi="Times New Roman" w:cs="Times New Roman"/>
          <w:sz w:val="24"/>
          <w:szCs w:val="24"/>
        </w:rPr>
        <w:t>provide a</w:t>
      </w:r>
      <w:r w:rsidR="00D125A5" w:rsidRPr="00CE4C4F">
        <w:rPr>
          <w:rFonts w:ascii="Times New Roman" w:hAnsi="Times New Roman" w:cs="Times New Roman"/>
          <w:sz w:val="24"/>
          <w:szCs w:val="24"/>
        </w:rPr>
        <w:t xml:space="preserve"> </w:t>
      </w:r>
      <w:r w:rsidR="00D125A5" w:rsidRPr="00CE4C4F">
        <w:rPr>
          <w:rFonts w:ascii="Times New Roman" w:hAnsi="Times New Roman" w:cs="Times New Roman"/>
          <w:sz w:val="24"/>
          <w:szCs w:val="24"/>
        </w:rPr>
        <w:t>pathway to reduce environmental pollution and offers valuable insights into the design of bio-polymer composites with enhanced performance</w:t>
      </w:r>
      <w:r w:rsidR="00D125A5" w:rsidRPr="00CE4C4F">
        <w:rPr>
          <w:rFonts w:ascii="Times New Roman" w:hAnsi="Times New Roman" w:cs="Times New Roman"/>
          <w:sz w:val="24"/>
          <w:szCs w:val="24"/>
        </w:rPr>
        <w:t xml:space="preserve">. </w:t>
      </w:r>
      <w:r w:rsidRPr="00CE4C4F">
        <w:rPr>
          <w:rFonts w:ascii="Times New Roman" w:hAnsi="Times New Roman" w:cs="Times New Roman"/>
          <w:sz w:val="24"/>
          <w:szCs w:val="24"/>
        </w:rPr>
        <w:t>for application</w:t>
      </w:r>
      <w:r w:rsidR="00942F12">
        <w:rPr>
          <w:rFonts w:ascii="Times New Roman" w:hAnsi="Times New Roman" w:cs="Times New Roman"/>
          <w:sz w:val="24"/>
          <w:szCs w:val="24"/>
        </w:rPr>
        <w:t xml:space="preserve"> in packaging, construction, automobile and other industries.</w:t>
      </w:r>
    </w:p>
    <w:p w14:paraId="3F83934A" w14:textId="71648A93" w:rsidR="00997384" w:rsidRPr="00CE4C4F" w:rsidRDefault="00250A40">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 xml:space="preserve">Keywords: </w:t>
      </w:r>
      <w:r w:rsidRPr="00CE4C4F">
        <w:rPr>
          <w:rFonts w:ascii="Times New Roman" w:hAnsi="Times New Roman" w:cs="Times New Roman"/>
          <w:sz w:val="24"/>
          <w:szCs w:val="24"/>
        </w:rPr>
        <w:t>Polymer composites, agro wastes, alkali pretreatment, mechanical properties, PCA analysis,</w:t>
      </w:r>
      <w:r w:rsidRPr="00CE4C4F">
        <w:rPr>
          <w:rFonts w:ascii="Times New Roman" w:hAnsi="Times New Roman" w:cs="Times New Roman"/>
          <w:b/>
          <w:bCs/>
          <w:sz w:val="24"/>
          <w:szCs w:val="24"/>
        </w:rPr>
        <w:t xml:space="preserve"> </w:t>
      </w:r>
    </w:p>
    <w:p w14:paraId="7B61B863" w14:textId="77777777" w:rsidR="00F705D6" w:rsidRDefault="00F705D6">
      <w:pPr>
        <w:spacing w:line="480" w:lineRule="auto"/>
        <w:jc w:val="both"/>
        <w:rPr>
          <w:rFonts w:ascii="Times New Roman" w:hAnsi="Times New Roman" w:cs="Times New Roman"/>
          <w:b/>
          <w:bCs/>
          <w:sz w:val="24"/>
          <w:szCs w:val="24"/>
        </w:rPr>
      </w:pPr>
    </w:p>
    <w:p w14:paraId="35B663B6" w14:textId="6814A744"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lastRenderedPageBreak/>
        <w:t xml:space="preserve">1.0 Introduction </w:t>
      </w:r>
    </w:p>
    <w:p w14:paraId="311C1130" w14:textId="0ED4964D"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The growing world population and economic indices suggests that social resources like construction materials are in increasing demand for housing and other economic activities. The availability of suitable materials has been closely linked to the development of technologies that improve the convenience of human existence. (Chamas </w:t>
      </w:r>
      <w:r w:rsidRPr="00CE4C4F">
        <w:rPr>
          <w:rFonts w:ascii="Times New Roman" w:hAnsi="Times New Roman" w:cs="Times New Roman"/>
          <w:i/>
          <w:iCs/>
          <w:sz w:val="24"/>
          <w:szCs w:val="24"/>
        </w:rPr>
        <w:t>et al.,</w:t>
      </w:r>
      <w:r w:rsidRPr="00CE4C4F">
        <w:rPr>
          <w:rFonts w:ascii="Times New Roman" w:hAnsi="Times New Roman" w:cs="Times New Roman"/>
          <w:sz w:val="24"/>
          <w:szCs w:val="24"/>
        </w:rPr>
        <w:t xml:space="preserve"> 2020; Guna </w:t>
      </w:r>
      <w:r w:rsidRPr="00CE4C4F">
        <w:rPr>
          <w:rFonts w:ascii="Times New Roman" w:hAnsi="Times New Roman" w:cs="Times New Roman"/>
          <w:i/>
          <w:iCs/>
          <w:sz w:val="24"/>
          <w:szCs w:val="24"/>
        </w:rPr>
        <w:t>et al.,</w:t>
      </w:r>
      <w:r w:rsidRPr="00CE4C4F">
        <w:rPr>
          <w:rFonts w:ascii="Times New Roman" w:hAnsi="Times New Roman" w:cs="Times New Roman"/>
          <w:sz w:val="24"/>
          <w:szCs w:val="24"/>
        </w:rPr>
        <w:t xml:space="preserve"> 2019). One of the most common problems in developing economies around the world such as Nigeria is proper management of waste materials and sustainable consumption of resources. Research has also shown that using agricultural waste and by products in the development of materials, and in combination with polymer wastes, is a viable sustainable approach that not only addresses environmental pollution but enhance sustainable consumption of resources. </w:t>
      </w:r>
      <w:r w:rsidR="003E60E4">
        <w:rPr>
          <w:rFonts w:ascii="Times New Roman" w:hAnsi="Times New Roman" w:cs="Times New Roman"/>
          <w:sz w:val="24"/>
          <w:szCs w:val="24"/>
        </w:rPr>
        <w:t>Global p</w:t>
      </w:r>
      <w:r w:rsidRPr="00CE4C4F">
        <w:rPr>
          <w:rFonts w:ascii="Times New Roman" w:hAnsi="Times New Roman" w:cs="Times New Roman"/>
          <w:sz w:val="24"/>
          <w:szCs w:val="24"/>
        </w:rPr>
        <w:t xml:space="preserve">lastic waste has risen by 7.11% since 2021(Pilapitiya &amp; Ratnayake, 2024: UNEPA, 2024). Nigeria </w:t>
      </w:r>
      <w:r w:rsidR="003E60E4">
        <w:rPr>
          <w:rFonts w:ascii="Times New Roman" w:hAnsi="Times New Roman" w:cs="Times New Roman"/>
          <w:sz w:val="24"/>
          <w:szCs w:val="24"/>
        </w:rPr>
        <w:t xml:space="preserve">for instance </w:t>
      </w:r>
      <w:r w:rsidRPr="00CE4C4F">
        <w:rPr>
          <w:rFonts w:ascii="Times New Roman" w:hAnsi="Times New Roman" w:cs="Times New Roman"/>
          <w:sz w:val="24"/>
          <w:szCs w:val="24"/>
        </w:rPr>
        <w:t xml:space="preserve">produced 5.2 million tons of wood waste and 1.8 million tons of sawdust annually compared to the United States' 64 million tons in 2021 (Owoyemi et al., 2016). In several fields, including packaging, construction, aerospace, and the automotive industries, where significant load bearing capacities are not necessary, agro-waste reinforced polymer composites have previously been used effectively (Sethuraman </w:t>
      </w:r>
      <w:r w:rsidRPr="00CE4C4F">
        <w:rPr>
          <w:rFonts w:ascii="Times New Roman" w:hAnsi="Times New Roman" w:cs="Times New Roman"/>
          <w:i/>
          <w:iCs/>
          <w:sz w:val="24"/>
          <w:szCs w:val="24"/>
        </w:rPr>
        <w:t>et al.,</w:t>
      </w:r>
      <w:r w:rsidRPr="00CE4C4F">
        <w:rPr>
          <w:rFonts w:ascii="Times New Roman" w:hAnsi="Times New Roman" w:cs="Times New Roman"/>
          <w:sz w:val="24"/>
          <w:szCs w:val="24"/>
        </w:rPr>
        <w:t xml:space="preserve"> 2020). Additionally, there is a great chance to produce superior composites for automotive, aircraft, and recreational uses. The most appealing qualities of agro-waste polymer composites are their comparatively low weight, high specific strength, ease of formability, and significant resistance to corrosion and fatigue. When compared to composites with synthetic fillers, biodegradable materials have some drawbacks, such as a high degree of anisotropy and moisture absorption ((Ezeudu &amp; Ugochukwu, 2024; Rosso, 2006). Also, composites reinforced with agricultural waste have a significant deal of promise to replace synthetic composites, which could result in more affordable, durable, and ecologically friendly </w:t>
      </w:r>
      <w:r w:rsidRPr="00CE4C4F">
        <w:rPr>
          <w:rFonts w:ascii="Times New Roman" w:hAnsi="Times New Roman" w:cs="Times New Roman"/>
          <w:sz w:val="24"/>
          <w:szCs w:val="24"/>
        </w:rPr>
        <w:lastRenderedPageBreak/>
        <w:t>products (Yogitha et al., 2020), even though, there are many problems with their manufacture. For a better interface and improved mechanical properties, the compatibility of recycled/virgin adhesive matrices and agro-waste materials with other components in the composite system presents significant hurdles (Owuamanam and Cree, 2020; Salifu et al., 2022). For instance, agricultural wastes contain extraneous material that can prevent the polymer matrix from bonding with them. In most cases, researchers used various pre-treatment techniques to remove the interfering substances from the fiber components. By incorporating lignocellulosic agro-wastes into polymer matrices, it is feasible to produce bio-polymer composite materials with increased durability and moisture tolerance since bio-polymer composite materials require less energy and easily degrade into water-soluble polymers as functional groups like ester and amide bonds in their chemical structure deteriorate (Yogitha et al., 2020).</w:t>
      </w:r>
    </w:p>
    <w:p w14:paraId="1CCC30A3" w14:textId="77777777"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2.0 Materials and Methods</w:t>
      </w:r>
    </w:p>
    <w:p w14:paraId="60729AA8" w14:textId="0E960E74" w:rsidR="00997384" w:rsidRPr="00CE4C4F" w:rsidRDefault="00B861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978CD" w:rsidRPr="00CE4C4F">
        <w:rPr>
          <w:rFonts w:ascii="Times New Roman" w:hAnsi="Times New Roman" w:cs="Times New Roman"/>
          <w:b/>
          <w:bCs/>
          <w:sz w:val="24"/>
          <w:szCs w:val="24"/>
        </w:rPr>
        <w:t>.1 Processing of filler materials</w:t>
      </w:r>
    </w:p>
    <w:p w14:paraId="27A3F6C6" w14:textId="58245714"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The saw dust (SD) and coconut shell (CS) was granulated to reduce their particle size and stored to serve as filler materials, while the polyethylene waste was cut into tiny pieces with a pair of scissors and stored to serve as polymer matrix. The saw dust (SD) and coconut shell (CS) was washed with tap water and dried to remove moisture. </w:t>
      </w:r>
      <w:r w:rsidR="005B20B4" w:rsidRPr="00CE4C4F">
        <w:rPr>
          <w:rFonts w:ascii="Times New Roman" w:hAnsi="Times New Roman" w:cs="Times New Roman"/>
          <w:sz w:val="24"/>
          <w:szCs w:val="24"/>
        </w:rPr>
        <w:t>Alkali pretreatment of the filler materials was then carried out</w:t>
      </w:r>
      <w:r w:rsidR="009A4561" w:rsidRPr="00CE4C4F">
        <w:rPr>
          <w:rFonts w:ascii="Times New Roman" w:hAnsi="Times New Roman" w:cs="Times New Roman"/>
          <w:sz w:val="24"/>
          <w:szCs w:val="24"/>
        </w:rPr>
        <w:t xml:space="preserve"> by immersing the filler materials in 2M NaOH solution while stirring for 1 hour at room temperature after which it was washed severally with water and oven dried at 100 </w:t>
      </w:r>
      <w:r w:rsidR="009A4561" w:rsidRPr="00CE4C4F">
        <w:rPr>
          <w:rFonts w:ascii="Times New Roman" w:hAnsi="Times New Roman" w:cs="Times New Roman"/>
          <w:sz w:val="24"/>
          <w:szCs w:val="24"/>
          <w:vertAlign w:val="superscript"/>
        </w:rPr>
        <w:t>O</w:t>
      </w:r>
      <w:r w:rsidR="009A4561" w:rsidRPr="00CE4C4F">
        <w:rPr>
          <w:rFonts w:ascii="Times New Roman" w:hAnsi="Times New Roman" w:cs="Times New Roman"/>
          <w:sz w:val="24"/>
          <w:szCs w:val="24"/>
        </w:rPr>
        <w:t>C before storage.</w:t>
      </w:r>
    </w:p>
    <w:p w14:paraId="583ED84E" w14:textId="18857306" w:rsidR="00997384" w:rsidRPr="00CE4C4F" w:rsidRDefault="00B861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978CD" w:rsidRPr="00CE4C4F">
        <w:rPr>
          <w:rFonts w:ascii="Times New Roman" w:hAnsi="Times New Roman" w:cs="Times New Roman"/>
          <w:b/>
          <w:bCs/>
          <w:sz w:val="24"/>
          <w:szCs w:val="24"/>
        </w:rPr>
        <w:t>.2 Composition of Polymer composite Materials</w:t>
      </w:r>
    </w:p>
    <w:p w14:paraId="7DFD0206" w14:textId="75FEB321" w:rsidR="00997384" w:rsidRPr="00CE4C4F" w:rsidRDefault="006978CD">
      <w:pPr>
        <w:spacing w:after="0" w:line="480" w:lineRule="auto"/>
        <w:jc w:val="both"/>
        <w:rPr>
          <w:rFonts w:ascii="Times New Roman" w:hAnsi="Times New Roman" w:cs="Times New Roman"/>
          <w:sz w:val="24"/>
          <w:szCs w:val="24"/>
        </w:rPr>
      </w:pPr>
      <w:r w:rsidRPr="00CE4C4F">
        <w:rPr>
          <w:rFonts w:ascii="Times New Roman" w:hAnsi="Times New Roman" w:cs="Times New Roman"/>
          <w:sz w:val="24"/>
          <w:szCs w:val="24"/>
        </w:rPr>
        <w:lastRenderedPageBreak/>
        <w:t>The mixing process involv</w:t>
      </w:r>
      <w:r w:rsidR="00400B7D" w:rsidRPr="00CE4C4F">
        <w:rPr>
          <w:rFonts w:ascii="Times New Roman" w:hAnsi="Times New Roman" w:cs="Times New Roman"/>
          <w:sz w:val="24"/>
          <w:szCs w:val="24"/>
        </w:rPr>
        <w:t>es</w:t>
      </w:r>
      <w:r w:rsidRPr="00CE4C4F">
        <w:rPr>
          <w:rFonts w:ascii="Times New Roman" w:hAnsi="Times New Roman" w:cs="Times New Roman"/>
          <w:sz w:val="24"/>
          <w:szCs w:val="24"/>
        </w:rPr>
        <w:t xml:space="preserve"> the introduction of the </w:t>
      </w:r>
      <w:r w:rsidR="00315D82">
        <w:rPr>
          <w:rFonts w:ascii="Times New Roman" w:hAnsi="Times New Roman" w:cs="Times New Roman"/>
          <w:sz w:val="24"/>
          <w:szCs w:val="24"/>
        </w:rPr>
        <w:t xml:space="preserve">filler material while the </w:t>
      </w:r>
      <w:r w:rsidRPr="00CE4C4F">
        <w:rPr>
          <w:rFonts w:ascii="Times New Roman" w:hAnsi="Times New Roman" w:cs="Times New Roman"/>
          <w:sz w:val="24"/>
          <w:szCs w:val="24"/>
        </w:rPr>
        <w:t>polymer</w:t>
      </w:r>
      <w:r w:rsidR="005C672E" w:rsidRPr="00CE4C4F">
        <w:rPr>
          <w:rFonts w:ascii="Times New Roman" w:hAnsi="Times New Roman" w:cs="Times New Roman"/>
          <w:sz w:val="24"/>
          <w:szCs w:val="24"/>
        </w:rPr>
        <w:t xml:space="preserve"> is rolled on the</w:t>
      </w:r>
      <w:r w:rsidRPr="00CE4C4F">
        <w:rPr>
          <w:rFonts w:ascii="Times New Roman" w:hAnsi="Times New Roman" w:cs="Times New Roman"/>
          <w:sz w:val="24"/>
          <w:szCs w:val="24"/>
        </w:rPr>
        <w:t xml:space="preserve"> mill machine for a period </w:t>
      </w:r>
      <w:r w:rsidR="001C17F1" w:rsidRPr="00CE4C4F">
        <w:rPr>
          <w:rFonts w:ascii="Times New Roman" w:hAnsi="Times New Roman" w:cs="Times New Roman"/>
          <w:sz w:val="24"/>
          <w:szCs w:val="24"/>
        </w:rPr>
        <w:t>of five</w:t>
      </w:r>
      <w:r w:rsidR="005C672E"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5 </w:t>
      </w:r>
      <w:r w:rsidR="005C672E" w:rsidRPr="00CE4C4F">
        <w:rPr>
          <w:rFonts w:ascii="Times New Roman" w:hAnsi="Times New Roman" w:cs="Times New Roman"/>
          <w:sz w:val="24"/>
          <w:szCs w:val="24"/>
        </w:rPr>
        <w:t xml:space="preserve">) </w:t>
      </w:r>
      <w:r w:rsidRPr="00CE4C4F">
        <w:rPr>
          <w:rFonts w:ascii="Times New Roman" w:hAnsi="Times New Roman" w:cs="Times New Roman"/>
          <w:sz w:val="24"/>
          <w:szCs w:val="24"/>
        </w:rPr>
        <w:t>minutes at 170 °C</w:t>
      </w:r>
      <w:r w:rsidR="005C672E" w:rsidRPr="00CE4C4F">
        <w:rPr>
          <w:rFonts w:ascii="Times New Roman" w:hAnsi="Times New Roman" w:cs="Times New Roman"/>
          <w:sz w:val="24"/>
          <w:szCs w:val="24"/>
        </w:rPr>
        <w:t xml:space="preserve"> </w:t>
      </w:r>
      <w:r w:rsidR="001C17F1" w:rsidRPr="00CE4C4F">
        <w:rPr>
          <w:rFonts w:ascii="Times New Roman" w:hAnsi="Times New Roman" w:cs="Times New Roman"/>
          <w:sz w:val="24"/>
          <w:szCs w:val="24"/>
        </w:rPr>
        <w:t>to homogenize</w:t>
      </w:r>
      <w:r w:rsidRPr="00CE4C4F">
        <w:rPr>
          <w:rFonts w:ascii="Times New Roman" w:hAnsi="Times New Roman" w:cs="Times New Roman"/>
          <w:sz w:val="24"/>
          <w:szCs w:val="24"/>
        </w:rPr>
        <w:t xml:space="preserve"> the mixture. After which a metal mould of dimensions 120mm x100mm x 3.2 mm </w:t>
      </w:r>
      <w:r w:rsidR="00254D8D">
        <w:rPr>
          <w:rFonts w:ascii="Times New Roman" w:hAnsi="Times New Roman" w:cs="Times New Roman"/>
          <w:sz w:val="24"/>
          <w:szCs w:val="24"/>
        </w:rPr>
        <w:t>wa</w:t>
      </w:r>
      <w:r w:rsidRPr="00CE4C4F">
        <w:rPr>
          <w:rFonts w:ascii="Times New Roman" w:hAnsi="Times New Roman" w:cs="Times New Roman"/>
          <w:sz w:val="24"/>
          <w:szCs w:val="24"/>
        </w:rPr>
        <w:t>s placed on the hydraulic hot press (Compression Moulding Machine) for shaping at 150</w:t>
      </w:r>
      <w:r w:rsidRPr="00CE4C4F">
        <w:rPr>
          <w:rFonts w:ascii="Times New Roman" w:hAnsi="Times New Roman" w:cs="Times New Roman"/>
          <w:sz w:val="24"/>
          <w:szCs w:val="24"/>
          <w:vertAlign w:val="superscript"/>
        </w:rPr>
        <w:t>o</w:t>
      </w:r>
      <w:r w:rsidRPr="00CE4C4F">
        <w:rPr>
          <w:rFonts w:ascii="Times New Roman" w:hAnsi="Times New Roman" w:cs="Times New Roman"/>
          <w:sz w:val="24"/>
          <w:szCs w:val="24"/>
        </w:rPr>
        <w:t xml:space="preserve">C and pressure of 2.5 MPa for 5mins. The composition ratios for both coconut shell (CS) and saw dust </w:t>
      </w:r>
      <w:r w:rsidR="00134EB9">
        <w:rPr>
          <w:rFonts w:ascii="Times New Roman" w:hAnsi="Times New Roman" w:cs="Times New Roman"/>
          <w:sz w:val="24"/>
          <w:szCs w:val="24"/>
        </w:rPr>
        <w:t>(SD) and hybrid (H)</w:t>
      </w:r>
      <w:r w:rsidRPr="00CE4C4F">
        <w:rPr>
          <w:rFonts w:ascii="Times New Roman" w:hAnsi="Times New Roman" w:cs="Times New Roman"/>
          <w:sz w:val="24"/>
          <w:szCs w:val="24"/>
        </w:rPr>
        <w:t xml:space="preserve"> is shown in Table 1.</w:t>
      </w:r>
    </w:p>
    <w:p w14:paraId="6E438A47" w14:textId="77777777" w:rsidR="00997384" w:rsidRPr="00CE4C4F" w:rsidRDefault="006978CD">
      <w:pPr>
        <w:spacing w:line="240" w:lineRule="auto"/>
        <w:rPr>
          <w:rFonts w:ascii="Times New Roman" w:hAnsi="Times New Roman" w:cs="Times New Roman"/>
          <w:b/>
          <w:bCs/>
          <w:sz w:val="24"/>
          <w:szCs w:val="24"/>
        </w:rPr>
      </w:pPr>
      <w:r w:rsidRPr="00CE4C4F">
        <w:rPr>
          <w:rFonts w:ascii="Times New Roman" w:hAnsi="Times New Roman" w:cs="Times New Roman"/>
          <w:b/>
          <w:bCs/>
          <w:sz w:val="24"/>
          <w:szCs w:val="24"/>
        </w:rPr>
        <w:t>Table 1: Composite ratios (LDPE/CS and LDPE/SD)</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1618"/>
        <w:gridCol w:w="1568"/>
        <w:gridCol w:w="1568"/>
        <w:gridCol w:w="1610"/>
        <w:gridCol w:w="1498"/>
        <w:gridCol w:w="1498"/>
      </w:tblGrid>
      <w:tr w:rsidR="00997384" w:rsidRPr="00CE4C4F" w14:paraId="7F5EBB9E" w14:textId="77777777">
        <w:trPr>
          <w:trHeight w:val="501"/>
        </w:trPr>
        <w:tc>
          <w:tcPr>
            <w:tcW w:w="3186" w:type="dxa"/>
            <w:gridSpan w:val="2"/>
            <w:tcBorders>
              <w:bottom w:val="single" w:sz="4" w:space="0" w:color="auto"/>
              <w:right w:val="single" w:sz="4" w:space="0" w:color="auto"/>
            </w:tcBorders>
          </w:tcPr>
          <w:p w14:paraId="301CA76D" w14:textId="77777777" w:rsidR="00997384" w:rsidRPr="00CE4C4F" w:rsidRDefault="006978CD">
            <w:pPr>
              <w:spacing w:line="240" w:lineRule="auto"/>
              <w:rPr>
                <w:rFonts w:ascii="Times New Roman" w:hAnsi="Times New Roman" w:cs="Times New Roman"/>
                <w:b/>
                <w:bCs/>
                <w:sz w:val="24"/>
                <w:szCs w:val="24"/>
              </w:rPr>
            </w:pPr>
            <w:r w:rsidRPr="00CE4C4F">
              <w:rPr>
                <w:rFonts w:ascii="Times New Roman" w:hAnsi="Times New Roman" w:cs="Times New Roman"/>
                <w:b/>
                <w:bCs/>
                <w:sz w:val="24"/>
                <w:szCs w:val="24"/>
              </w:rPr>
              <w:t>Sample</w:t>
            </w:r>
          </w:p>
        </w:tc>
        <w:tc>
          <w:tcPr>
            <w:tcW w:w="3178" w:type="dxa"/>
            <w:gridSpan w:val="2"/>
            <w:tcBorders>
              <w:left w:val="single" w:sz="4" w:space="0" w:color="auto"/>
              <w:bottom w:val="single" w:sz="4" w:space="0" w:color="auto"/>
              <w:right w:val="single" w:sz="4" w:space="0" w:color="auto"/>
            </w:tcBorders>
          </w:tcPr>
          <w:p w14:paraId="564FCE26" w14:textId="77777777" w:rsidR="00997384" w:rsidRPr="00CE4C4F" w:rsidRDefault="006978CD">
            <w:pPr>
              <w:spacing w:line="240" w:lineRule="auto"/>
              <w:jc w:val="center"/>
              <w:rPr>
                <w:rFonts w:ascii="Times New Roman" w:hAnsi="Times New Roman" w:cs="Times New Roman"/>
                <w:b/>
                <w:bCs/>
                <w:sz w:val="24"/>
                <w:szCs w:val="24"/>
              </w:rPr>
            </w:pPr>
            <w:r w:rsidRPr="00CE4C4F">
              <w:rPr>
                <w:rFonts w:ascii="Times New Roman" w:hAnsi="Times New Roman" w:cs="Times New Roman"/>
                <w:b/>
                <w:bCs/>
                <w:sz w:val="24"/>
                <w:szCs w:val="24"/>
              </w:rPr>
              <w:t>LDPE/CS</w:t>
            </w:r>
          </w:p>
          <w:p w14:paraId="4EA46191" w14:textId="77777777" w:rsidR="00997384" w:rsidRPr="00CE4C4F" w:rsidRDefault="006978CD">
            <w:pPr>
              <w:spacing w:line="240" w:lineRule="auto"/>
              <w:jc w:val="center"/>
              <w:rPr>
                <w:rFonts w:ascii="Times New Roman" w:hAnsi="Times New Roman" w:cs="Times New Roman"/>
                <w:b/>
                <w:bCs/>
                <w:sz w:val="24"/>
                <w:szCs w:val="24"/>
              </w:rPr>
            </w:pPr>
            <w:r w:rsidRPr="00CE4C4F">
              <w:rPr>
                <w:rFonts w:ascii="Times New Roman" w:hAnsi="Times New Roman" w:cs="Times New Roman"/>
                <w:b/>
                <w:bCs/>
                <w:sz w:val="24"/>
                <w:szCs w:val="24"/>
              </w:rPr>
              <w:t>Composites</w:t>
            </w:r>
          </w:p>
        </w:tc>
        <w:tc>
          <w:tcPr>
            <w:tcW w:w="2996" w:type="dxa"/>
            <w:gridSpan w:val="2"/>
            <w:tcBorders>
              <w:left w:val="single" w:sz="4" w:space="0" w:color="auto"/>
              <w:bottom w:val="single" w:sz="4" w:space="0" w:color="auto"/>
            </w:tcBorders>
          </w:tcPr>
          <w:p w14:paraId="133FE8BF" w14:textId="77777777" w:rsidR="00997384" w:rsidRPr="00CE4C4F" w:rsidRDefault="006978CD">
            <w:pPr>
              <w:spacing w:line="240" w:lineRule="auto"/>
              <w:jc w:val="center"/>
              <w:rPr>
                <w:rFonts w:ascii="Times New Roman" w:hAnsi="Times New Roman" w:cs="Times New Roman"/>
                <w:b/>
                <w:bCs/>
                <w:sz w:val="24"/>
                <w:szCs w:val="24"/>
              </w:rPr>
            </w:pPr>
            <w:r w:rsidRPr="00CE4C4F">
              <w:rPr>
                <w:rFonts w:ascii="Times New Roman" w:hAnsi="Times New Roman" w:cs="Times New Roman"/>
                <w:b/>
                <w:bCs/>
                <w:sz w:val="24"/>
                <w:szCs w:val="24"/>
              </w:rPr>
              <w:t>LDPE/SD</w:t>
            </w:r>
          </w:p>
          <w:p w14:paraId="15D09E89" w14:textId="77777777" w:rsidR="00997384" w:rsidRPr="00CE4C4F" w:rsidRDefault="006978CD">
            <w:pPr>
              <w:spacing w:line="240" w:lineRule="auto"/>
              <w:jc w:val="center"/>
              <w:rPr>
                <w:rFonts w:ascii="Times New Roman" w:hAnsi="Times New Roman" w:cs="Times New Roman"/>
                <w:b/>
                <w:bCs/>
                <w:sz w:val="24"/>
                <w:szCs w:val="24"/>
              </w:rPr>
            </w:pPr>
            <w:r w:rsidRPr="00CE4C4F">
              <w:rPr>
                <w:rFonts w:ascii="Times New Roman" w:hAnsi="Times New Roman" w:cs="Times New Roman"/>
                <w:b/>
                <w:bCs/>
                <w:sz w:val="24"/>
                <w:szCs w:val="24"/>
              </w:rPr>
              <w:t>Composites</w:t>
            </w:r>
          </w:p>
        </w:tc>
      </w:tr>
      <w:tr w:rsidR="00997384" w:rsidRPr="00CE4C4F" w14:paraId="03F0FAB1" w14:textId="77777777">
        <w:trPr>
          <w:trHeight w:val="501"/>
        </w:trPr>
        <w:tc>
          <w:tcPr>
            <w:tcW w:w="1618" w:type="dxa"/>
            <w:tcBorders>
              <w:bottom w:val="single" w:sz="4" w:space="0" w:color="auto"/>
            </w:tcBorders>
          </w:tcPr>
          <w:p w14:paraId="70509209" w14:textId="77777777" w:rsidR="00997384" w:rsidRPr="00CE4C4F" w:rsidRDefault="00997384">
            <w:pPr>
              <w:spacing w:line="240" w:lineRule="auto"/>
              <w:jc w:val="both"/>
              <w:rPr>
                <w:rFonts w:ascii="Times New Roman" w:hAnsi="Times New Roman" w:cs="Times New Roman"/>
                <w:sz w:val="20"/>
                <w:szCs w:val="20"/>
              </w:rPr>
            </w:pPr>
          </w:p>
        </w:tc>
        <w:tc>
          <w:tcPr>
            <w:tcW w:w="1568" w:type="dxa"/>
            <w:tcBorders>
              <w:bottom w:val="single" w:sz="4" w:space="0" w:color="auto"/>
              <w:right w:val="single" w:sz="4" w:space="0" w:color="auto"/>
            </w:tcBorders>
          </w:tcPr>
          <w:p w14:paraId="5DFF4400"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LDPE (wt%)</w:t>
            </w:r>
          </w:p>
        </w:tc>
        <w:tc>
          <w:tcPr>
            <w:tcW w:w="1568" w:type="dxa"/>
            <w:tcBorders>
              <w:left w:val="single" w:sz="4" w:space="0" w:color="auto"/>
              <w:bottom w:val="single" w:sz="4" w:space="0" w:color="auto"/>
            </w:tcBorders>
          </w:tcPr>
          <w:p w14:paraId="24E0A106"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CS (wt%)</w:t>
            </w:r>
          </w:p>
        </w:tc>
        <w:tc>
          <w:tcPr>
            <w:tcW w:w="1610" w:type="dxa"/>
            <w:tcBorders>
              <w:bottom w:val="single" w:sz="4" w:space="0" w:color="auto"/>
              <w:right w:val="single" w:sz="4" w:space="0" w:color="auto"/>
            </w:tcBorders>
          </w:tcPr>
          <w:p w14:paraId="588E21A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SD (wt%)</w:t>
            </w:r>
          </w:p>
        </w:tc>
        <w:tc>
          <w:tcPr>
            <w:tcW w:w="1498" w:type="dxa"/>
            <w:tcBorders>
              <w:left w:val="single" w:sz="4" w:space="0" w:color="auto"/>
              <w:bottom w:val="single" w:sz="4" w:space="0" w:color="auto"/>
            </w:tcBorders>
          </w:tcPr>
          <w:p w14:paraId="5FAE89B1"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SD (wt%)</w:t>
            </w:r>
          </w:p>
        </w:tc>
        <w:tc>
          <w:tcPr>
            <w:tcW w:w="1498" w:type="dxa"/>
            <w:tcBorders>
              <w:bottom w:val="single" w:sz="4" w:space="0" w:color="auto"/>
            </w:tcBorders>
          </w:tcPr>
          <w:p w14:paraId="45E52CB5"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CS (wt%)</w:t>
            </w:r>
          </w:p>
        </w:tc>
      </w:tr>
      <w:tr w:rsidR="00997384" w:rsidRPr="00CE4C4F" w14:paraId="1CA829A6" w14:textId="77777777">
        <w:trPr>
          <w:trHeight w:val="501"/>
        </w:trPr>
        <w:tc>
          <w:tcPr>
            <w:tcW w:w="1618" w:type="dxa"/>
            <w:tcBorders>
              <w:bottom w:val="nil"/>
            </w:tcBorders>
          </w:tcPr>
          <w:p w14:paraId="4ECE1119"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A</w:t>
            </w:r>
          </w:p>
        </w:tc>
        <w:tc>
          <w:tcPr>
            <w:tcW w:w="1568" w:type="dxa"/>
            <w:tcBorders>
              <w:bottom w:val="nil"/>
              <w:right w:val="single" w:sz="4" w:space="0" w:color="auto"/>
            </w:tcBorders>
          </w:tcPr>
          <w:p w14:paraId="5272B9C8"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100</w:t>
            </w:r>
          </w:p>
        </w:tc>
        <w:tc>
          <w:tcPr>
            <w:tcW w:w="1568" w:type="dxa"/>
            <w:tcBorders>
              <w:left w:val="single" w:sz="4" w:space="0" w:color="auto"/>
              <w:bottom w:val="nil"/>
            </w:tcBorders>
          </w:tcPr>
          <w:p w14:paraId="164E155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610" w:type="dxa"/>
            <w:tcBorders>
              <w:bottom w:val="nil"/>
              <w:right w:val="single" w:sz="4" w:space="0" w:color="auto"/>
            </w:tcBorders>
          </w:tcPr>
          <w:p w14:paraId="4C962CE2"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left w:val="single" w:sz="4" w:space="0" w:color="auto"/>
              <w:bottom w:val="nil"/>
            </w:tcBorders>
          </w:tcPr>
          <w:p w14:paraId="3844B85D"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bottom w:val="nil"/>
            </w:tcBorders>
          </w:tcPr>
          <w:p w14:paraId="3F618E98"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r w:rsidR="00997384" w:rsidRPr="00CE4C4F" w14:paraId="1C861824" w14:textId="77777777">
        <w:trPr>
          <w:trHeight w:val="501"/>
        </w:trPr>
        <w:tc>
          <w:tcPr>
            <w:tcW w:w="1618" w:type="dxa"/>
            <w:tcBorders>
              <w:top w:val="nil"/>
              <w:bottom w:val="nil"/>
            </w:tcBorders>
          </w:tcPr>
          <w:p w14:paraId="7A528344"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B</w:t>
            </w:r>
          </w:p>
        </w:tc>
        <w:tc>
          <w:tcPr>
            <w:tcW w:w="1568" w:type="dxa"/>
            <w:tcBorders>
              <w:top w:val="nil"/>
              <w:bottom w:val="nil"/>
              <w:right w:val="single" w:sz="4" w:space="0" w:color="auto"/>
            </w:tcBorders>
          </w:tcPr>
          <w:p w14:paraId="4A82D039"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90</w:t>
            </w:r>
          </w:p>
        </w:tc>
        <w:tc>
          <w:tcPr>
            <w:tcW w:w="1568" w:type="dxa"/>
            <w:tcBorders>
              <w:top w:val="nil"/>
              <w:left w:val="single" w:sz="4" w:space="0" w:color="auto"/>
              <w:bottom w:val="nil"/>
            </w:tcBorders>
          </w:tcPr>
          <w:p w14:paraId="177AF2C0"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10</w:t>
            </w:r>
          </w:p>
        </w:tc>
        <w:tc>
          <w:tcPr>
            <w:tcW w:w="1610" w:type="dxa"/>
            <w:tcBorders>
              <w:top w:val="nil"/>
              <w:bottom w:val="nil"/>
              <w:right w:val="single" w:sz="4" w:space="0" w:color="auto"/>
            </w:tcBorders>
          </w:tcPr>
          <w:p w14:paraId="62BF73A2"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top w:val="nil"/>
              <w:left w:val="single" w:sz="4" w:space="0" w:color="auto"/>
              <w:bottom w:val="nil"/>
            </w:tcBorders>
          </w:tcPr>
          <w:p w14:paraId="65C3FD6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10</w:t>
            </w:r>
          </w:p>
        </w:tc>
        <w:tc>
          <w:tcPr>
            <w:tcW w:w="1498" w:type="dxa"/>
            <w:tcBorders>
              <w:top w:val="nil"/>
              <w:bottom w:val="nil"/>
            </w:tcBorders>
          </w:tcPr>
          <w:p w14:paraId="2ADDDD78"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r w:rsidR="00997384" w:rsidRPr="00CE4C4F" w14:paraId="71B02FF8" w14:textId="77777777">
        <w:trPr>
          <w:trHeight w:val="518"/>
        </w:trPr>
        <w:tc>
          <w:tcPr>
            <w:tcW w:w="1618" w:type="dxa"/>
            <w:tcBorders>
              <w:top w:val="nil"/>
              <w:bottom w:val="nil"/>
            </w:tcBorders>
          </w:tcPr>
          <w:p w14:paraId="5F58E4D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C</w:t>
            </w:r>
          </w:p>
        </w:tc>
        <w:tc>
          <w:tcPr>
            <w:tcW w:w="1568" w:type="dxa"/>
            <w:tcBorders>
              <w:top w:val="nil"/>
              <w:bottom w:val="nil"/>
              <w:right w:val="single" w:sz="4" w:space="0" w:color="auto"/>
            </w:tcBorders>
          </w:tcPr>
          <w:p w14:paraId="7050A635"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80</w:t>
            </w:r>
          </w:p>
        </w:tc>
        <w:tc>
          <w:tcPr>
            <w:tcW w:w="1568" w:type="dxa"/>
            <w:tcBorders>
              <w:top w:val="nil"/>
              <w:left w:val="single" w:sz="4" w:space="0" w:color="auto"/>
              <w:bottom w:val="nil"/>
            </w:tcBorders>
          </w:tcPr>
          <w:p w14:paraId="61053AB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20</w:t>
            </w:r>
          </w:p>
        </w:tc>
        <w:tc>
          <w:tcPr>
            <w:tcW w:w="1610" w:type="dxa"/>
            <w:tcBorders>
              <w:top w:val="nil"/>
              <w:bottom w:val="nil"/>
              <w:right w:val="single" w:sz="4" w:space="0" w:color="auto"/>
            </w:tcBorders>
          </w:tcPr>
          <w:p w14:paraId="20AB255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top w:val="nil"/>
              <w:left w:val="single" w:sz="4" w:space="0" w:color="auto"/>
              <w:bottom w:val="nil"/>
            </w:tcBorders>
          </w:tcPr>
          <w:p w14:paraId="60C3B1A0"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20</w:t>
            </w:r>
          </w:p>
        </w:tc>
        <w:tc>
          <w:tcPr>
            <w:tcW w:w="1498" w:type="dxa"/>
            <w:tcBorders>
              <w:top w:val="nil"/>
              <w:bottom w:val="nil"/>
            </w:tcBorders>
          </w:tcPr>
          <w:p w14:paraId="4E82241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r w:rsidR="00997384" w:rsidRPr="00CE4C4F" w14:paraId="2E7B4812" w14:textId="77777777">
        <w:trPr>
          <w:trHeight w:val="501"/>
        </w:trPr>
        <w:tc>
          <w:tcPr>
            <w:tcW w:w="1618" w:type="dxa"/>
            <w:tcBorders>
              <w:top w:val="nil"/>
              <w:bottom w:val="nil"/>
            </w:tcBorders>
          </w:tcPr>
          <w:p w14:paraId="0F2D2938"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D</w:t>
            </w:r>
          </w:p>
        </w:tc>
        <w:tc>
          <w:tcPr>
            <w:tcW w:w="1568" w:type="dxa"/>
            <w:tcBorders>
              <w:top w:val="nil"/>
              <w:bottom w:val="nil"/>
              <w:right w:val="single" w:sz="4" w:space="0" w:color="auto"/>
            </w:tcBorders>
          </w:tcPr>
          <w:p w14:paraId="52930104"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70</w:t>
            </w:r>
          </w:p>
        </w:tc>
        <w:tc>
          <w:tcPr>
            <w:tcW w:w="1568" w:type="dxa"/>
            <w:tcBorders>
              <w:top w:val="nil"/>
              <w:left w:val="single" w:sz="4" w:space="0" w:color="auto"/>
              <w:bottom w:val="nil"/>
            </w:tcBorders>
          </w:tcPr>
          <w:p w14:paraId="6C9ACEB7"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30</w:t>
            </w:r>
          </w:p>
        </w:tc>
        <w:tc>
          <w:tcPr>
            <w:tcW w:w="1610" w:type="dxa"/>
            <w:tcBorders>
              <w:top w:val="nil"/>
              <w:bottom w:val="nil"/>
              <w:right w:val="single" w:sz="4" w:space="0" w:color="auto"/>
            </w:tcBorders>
          </w:tcPr>
          <w:p w14:paraId="09F941A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top w:val="nil"/>
              <w:left w:val="single" w:sz="4" w:space="0" w:color="auto"/>
              <w:bottom w:val="nil"/>
            </w:tcBorders>
          </w:tcPr>
          <w:p w14:paraId="3A57C722"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30</w:t>
            </w:r>
          </w:p>
        </w:tc>
        <w:tc>
          <w:tcPr>
            <w:tcW w:w="1498" w:type="dxa"/>
            <w:tcBorders>
              <w:top w:val="nil"/>
              <w:bottom w:val="nil"/>
            </w:tcBorders>
          </w:tcPr>
          <w:p w14:paraId="547F30AD"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r w:rsidR="00997384" w:rsidRPr="00CE4C4F" w14:paraId="3E20B001" w14:textId="77777777">
        <w:trPr>
          <w:trHeight w:val="518"/>
        </w:trPr>
        <w:tc>
          <w:tcPr>
            <w:tcW w:w="1618" w:type="dxa"/>
            <w:tcBorders>
              <w:top w:val="nil"/>
              <w:bottom w:val="nil"/>
            </w:tcBorders>
          </w:tcPr>
          <w:p w14:paraId="4A88B19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E</w:t>
            </w:r>
          </w:p>
        </w:tc>
        <w:tc>
          <w:tcPr>
            <w:tcW w:w="1568" w:type="dxa"/>
            <w:tcBorders>
              <w:top w:val="nil"/>
              <w:bottom w:val="nil"/>
              <w:right w:val="single" w:sz="4" w:space="0" w:color="auto"/>
            </w:tcBorders>
          </w:tcPr>
          <w:p w14:paraId="791263B1"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60</w:t>
            </w:r>
          </w:p>
        </w:tc>
        <w:tc>
          <w:tcPr>
            <w:tcW w:w="1568" w:type="dxa"/>
            <w:tcBorders>
              <w:top w:val="nil"/>
              <w:left w:val="single" w:sz="4" w:space="0" w:color="auto"/>
              <w:bottom w:val="nil"/>
            </w:tcBorders>
          </w:tcPr>
          <w:p w14:paraId="51877C14"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40</w:t>
            </w:r>
          </w:p>
        </w:tc>
        <w:tc>
          <w:tcPr>
            <w:tcW w:w="1610" w:type="dxa"/>
            <w:tcBorders>
              <w:top w:val="nil"/>
              <w:bottom w:val="nil"/>
              <w:right w:val="single" w:sz="4" w:space="0" w:color="auto"/>
            </w:tcBorders>
          </w:tcPr>
          <w:p w14:paraId="55AFF1FE"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top w:val="nil"/>
              <w:left w:val="single" w:sz="4" w:space="0" w:color="auto"/>
              <w:bottom w:val="nil"/>
            </w:tcBorders>
          </w:tcPr>
          <w:p w14:paraId="59E3783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40</w:t>
            </w:r>
          </w:p>
        </w:tc>
        <w:tc>
          <w:tcPr>
            <w:tcW w:w="1498" w:type="dxa"/>
            <w:tcBorders>
              <w:top w:val="nil"/>
              <w:bottom w:val="nil"/>
            </w:tcBorders>
          </w:tcPr>
          <w:p w14:paraId="06888345"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r w:rsidR="00997384" w:rsidRPr="00CE4C4F" w14:paraId="23CB90D7" w14:textId="77777777">
        <w:trPr>
          <w:trHeight w:val="501"/>
        </w:trPr>
        <w:tc>
          <w:tcPr>
            <w:tcW w:w="1618" w:type="dxa"/>
            <w:tcBorders>
              <w:top w:val="nil"/>
            </w:tcBorders>
          </w:tcPr>
          <w:p w14:paraId="070CEA36"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F</w:t>
            </w:r>
          </w:p>
        </w:tc>
        <w:tc>
          <w:tcPr>
            <w:tcW w:w="1568" w:type="dxa"/>
            <w:tcBorders>
              <w:top w:val="nil"/>
              <w:right w:val="single" w:sz="4" w:space="0" w:color="auto"/>
            </w:tcBorders>
          </w:tcPr>
          <w:p w14:paraId="1581D6E9"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50</w:t>
            </w:r>
          </w:p>
        </w:tc>
        <w:tc>
          <w:tcPr>
            <w:tcW w:w="1568" w:type="dxa"/>
            <w:tcBorders>
              <w:top w:val="nil"/>
              <w:left w:val="single" w:sz="4" w:space="0" w:color="auto"/>
            </w:tcBorders>
          </w:tcPr>
          <w:p w14:paraId="311E727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50</w:t>
            </w:r>
          </w:p>
        </w:tc>
        <w:tc>
          <w:tcPr>
            <w:tcW w:w="1610" w:type="dxa"/>
            <w:tcBorders>
              <w:top w:val="nil"/>
              <w:right w:val="single" w:sz="4" w:space="0" w:color="auto"/>
            </w:tcBorders>
          </w:tcPr>
          <w:p w14:paraId="78197C64"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c>
          <w:tcPr>
            <w:tcW w:w="1498" w:type="dxa"/>
            <w:tcBorders>
              <w:top w:val="nil"/>
              <w:left w:val="single" w:sz="4" w:space="0" w:color="auto"/>
            </w:tcBorders>
          </w:tcPr>
          <w:p w14:paraId="04C607A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50</w:t>
            </w:r>
          </w:p>
        </w:tc>
        <w:tc>
          <w:tcPr>
            <w:tcW w:w="1498" w:type="dxa"/>
            <w:tcBorders>
              <w:top w:val="nil"/>
            </w:tcBorders>
          </w:tcPr>
          <w:p w14:paraId="3C1F9CB5"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0</w:t>
            </w:r>
          </w:p>
        </w:tc>
      </w:tr>
    </w:tbl>
    <w:p w14:paraId="53804DB7" w14:textId="77777777" w:rsidR="00997384" w:rsidRPr="00CE4C4F" w:rsidRDefault="00997384">
      <w:pPr>
        <w:spacing w:after="0" w:line="480" w:lineRule="auto"/>
        <w:jc w:val="both"/>
        <w:rPr>
          <w:rFonts w:ascii="Times New Roman" w:hAnsi="Times New Roman" w:cs="Times New Roman"/>
          <w:b/>
          <w:bCs/>
          <w:sz w:val="24"/>
          <w:szCs w:val="24"/>
        </w:rPr>
      </w:pPr>
    </w:p>
    <w:p w14:paraId="7C323580" w14:textId="77777777" w:rsidR="00997384" w:rsidRPr="00CE4C4F" w:rsidRDefault="006978CD">
      <w:pPr>
        <w:spacing w:after="0"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Table 2: Composite ratios (LDPE/CS/SD)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82"/>
        <w:gridCol w:w="2282"/>
        <w:gridCol w:w="2283"/>
        <w:gridCol w:w="2283"/>
      </w:tblGrid>
      <w:tr w:rsidR="00997384" w:rsidRPr="00CE4C4F" w14:paraId="1114DF62" w14:textId="77777777">
        <w:trPr>
          <w:trHeight w:val="501"/>
        </w:trPr>
        <w:tc>
          <w:tcPr>
            <w:tcW w:w="2282" w:type="dxa"/>
            <w:tcBorders>
              <w:bottom w:val="single" w:sz="4" w:space="0" w:color="auto"/>
            </w:tcBorders>
          </w:tcPr>
          <w:p w14:paraId="2D3B6F67"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Sample</w:t>
            </w:r>
          </w:p>
        </w:tc>
        <w:tc>
          <w:tcPr>
            <w:tcW w:w="2282" w:type="dxa"/>
            <w:tcBorders>
              <w:bottom w:val="single" w:sz="4" w:space="0" w:color="auto"/>
              <w:right w:val="single" w:sz="4" w:space="0" w:color="auto"/>
            </w:tcBorders>
          </w:tcPr>
          <w:p w14:paraId="5C2D9EA7"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LDPE (wt%)</w:t>
            </w:r>
          </w:p>
        </w:tc>
        <w:tc>
          <w:tcPr>
            <w:tcW w:w="2283" w:type="dxa"/>
            <w:tcBorders>
              <w:left w:val="single" w:sz="4" w:space="0" w:color="auto"/>
              <w:bottom w:val="single" w:sz="4" w:space="0" w:color="auto"/>
              <w:right w:val="single" w:sz="4" w:space="0" w:color="auto"/>
            </w:tcBorders>
          </w:tcPr>
          <w:p w14:paraId="5D2C5D82"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 xml:space="preserve"> CS (wt%)</w:t>
            </w:r>
          </w:p>
        </w:tc>
        <w:tc>
          <w:tcPr>
            <w:tcW w:w="2283" w:type="dxa"/>
            <w:tcBorders>
              <w:left w:val="single" w:sz="4" w:space="0" w:color="auto"/>
              <w:bottom w:val="single" w:sz="4" w:space="0" w:color="auto"/>
            </w:tcBorders>
          </w:tcPr>
          <w:p w14:paraId="0A0C333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SD (wt%)</w:t>
            </w:r>
          </w:p>
        </w:tc>
      </w:tr>
      <w:tr w:rsidR="00997384" w:rsidRPr="00CE4C4F" w14:paraId="3F207377" w14:textId="77777777">
        <w:trPr>
          <w:trHeight w:val="501"/>
        </w:trPr>
        <w:tc>
          <w:tcPr>
            <w:tcW w:w="2282" w:type="dxa"/>
            <w:tcBorders>
              <w:bottom w:val="nil"/>
            </w:tcBorders>
          </w:tcPr>
          <w:p w14:paraId="68CA5A63"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A</w:t>
            </w:r>
          </w:p>
        </w:tc>
        <w:tc>
          <w:tcPr>
            <w:tcW w:w="2282" w:type="dxa"/>
            <w:tcBorders>
              <w:bottom w:val="nil"/>
              <w:right w:val="single" w:sz="4" w:space="0" w:color="auto"/>
            </w:tcBorders>
          </w:tcPr>
          <w:p w14:paraId="35FA731D"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90</w:t>
            </w:r>
          </w:p>
        </w:tc>
        <w:tc>
          <w:tcPr>
            <w:tcW w:w="2283" w:type="dxa"/>
            <w:tcBorders>
              <w:left w:val="single" w:sz="4" w:space="0" w:color="auto"/>
              <w:bottom w:val="nil"/>
              <w:right w:val="single" w:sz="4" w:space="0" w:color="auto"/>
            </w:tcBorders>
          </w:tcPr>
          <w:p w14:paraId="641EEFA2"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w:t>
            </w:r>
          </w:p>
        </w:tc>
        <w:tc>
          <w:tcPr>
            <w:tcW w:w="2283" w:type="dxa"/>
            <w:tcBorders>
              <w:left w:val="single" w:sz="4" w:space="0" w:color="auto"/>
              <w:bottom w:val="nil"/>
            </w:tcBorders>
          </w:tcPr>
          <w:p w14:paraId="11DBFA5D"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w:t>
            </w:r>
          </w:p>
        </w:tc>
      </w:tr>
      <w:tr w:rsidR="00997384" w:rsidRPr="00CE4C4F" w14:paraId="11797248" w14:textId="77777777">
        <w:trPr>
          <w:trHeight w:val="518"/>
        </w:trPr>
        <w:tc>
          <w:tcPr>
            <w:tcW w:w="2282" w:type="dxa"/>
            <w:tcBorders>
              <w:top w:val="nil"/>
              <w:bottom w:val="nil"/>
            </w:tcBorders>
          </w:tcPr>
          <w:p w14:paraId="5AFA601D"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B</w:t>
            </w:r>
          </w:p>
        </w:tc>
        <w:tc>
          <w:tcPr>
            <w:tcW w:w="2282" w:type="dxa"/>
            <w:tcBorders>
              <w:top w:val="nil"/>
              <w:bottom w:val="nil"/>
              <w:right w:val="single" w:sz="4" w:space="0" w:color="auto"/>
            </w:tcBorders>
          </w:tcPr>
          <w:p w14:paraId="5246281A"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80</w:t>
            </w:r>
          </w:p>
        </w:tc>
        <w:tc>
          <w:tcPr>
            <w:tcW w:w="2283" w:type="dxa"/>
            <w:tcBorders>
              <w:top w:val="nil"/>
              <w:left w:val="single" w:sz="4" w:space="0" w:color="auto"/>
              <w:bottom w:val="nil"/>
              <w:right w:val="single" w:sz="4" w:space="0" w:color="auto"/>
            </w:tcBorders>
          </w:tcPr>
          <w:p w14:paraId="687D590A"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10</w:t>
            </w:r>
          </w:p>
        </w:tc>
        <w:tc>
          <w:tcPr>
            <w:tcW w:w="2283" w:type="dxa"/>
            <w:tcBorders>
              <w:top w:val="nil"/>
              <w:left w:val="single" w:sz="4" w:space="0" w:color="auto"/>
              <w:bottom w:val="nil"/>
            </w:tcBorders>
          </w:tcPr>
          <w:p w14:paraId="2BCDCE8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10</w:t>
            </w:r>
          </w:p>
        </w:tc>
      </w:tr>
      <w:tr w:rsidR="00997384" w:rsidRPr="00CE4C4F" w14:paraId="6839A42B" w14:textId="77777777">
        <w:trPr>
          <w:trHeight w:val="501"/>
        </w:trPr>
        <w:tc>
          <w:tcPr>
            <w:tcW w:w="2282" w:type="dxa"/>
            <w:tcBorders>
              <w:top w:val="nil"/>
              <w:bottom w:val="nil"/>
            </w:tcBorders>
          </w:tcPr>
          <w:p w14:paraId="7B21E814"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C</w:t>
            </w:r>
          </w:p>
        </w:tc>
        <w:tc>
          <w:tcPr>
            <w:tcW w:w="2282" w:type="dxa"/>
            <w:tcBorders>
              <w:top w:val="nil"/>
              <w:bottom w:val="nil"/>
              <w:right w:val="single" w:sz="4" w:space="0" w:color="auto"/>
            </w:tcBorders>
          </w:tcPr>
          <w:p w14:paraId="5ED142BF"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70</w:t>
            </w:r>
          </w:p>
        </w:tc>
        <w:tc>
          <w:tcPr>
            <w:tcW w:w="2283" w:type="dxa"/>
            <w:tcBorders>
              <w:top w:val="nil"/>
              <w:left w:val="single" w:sz="4" w:space="0" w:color="auto"/>
              <w:bottom w:val="nil"/>
              <w:right w:val="single" w:sz="4" w:space="0" w:color="auto"/>
            </w:tcBorders>
          </w:tcPr>
          <w:p w14:paraId="1CFA806A"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15</w:t>
            </w:r>
          </w:p>
        </w:tc>
        <w:tc>
          <w:tcPr>
            <w:tcW w:w="2283" w:type="dxa"/>
            <w:tcBorders>
              <w:top w:val="nil"/>
              <w:left w:val="single" w:sz="4" w:space="0" w:color="auto"/>
              <w:bottom w:val="nil"/>
            </w:tcBorders>
          </w:tcPr>
          <w:p w14:paraId="511D32F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15</w:t>
            </w:r>
          </w:p>
        </w:tc>
      </w:tr>
      <w:tr w:rsidR="00997384" w:rsidRPr="00CE4C4F" w14:paraId="05D169B5" w14:textId="77777777">
        <w:trPr>
          <w:trHeight w:val="364"/>
        </w:trPr>
        <w:tc>
          <w:tcPr>
            <w:tcW w:w="2282" w:type="dxa"/>
            <w:tcBorders>
              <w:top w:val="nil"/>
              <w:bottom w:val="nil"/>
            </w:tcBorders>
          </w:tcPr>
          <w:p w14:paraId="065BEF6C"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D</w:t>
            </w:r>
          </w:p>
        </w:tc>
        <w:tc>
          <w:tcPr>
            <w:tcW w:w="2282" w:type="dxa"/>
            <w:tcBorders>
              <w:top w:val="nil"/>
              <w:bottom w:val="nil"/>
              <w:right w:val="single" w:sz="4" w:space="0" w:color="auto"/>
            </w:tcBorders>
          </w:tcPr>
          <w:p w14:paraId="0FFCC7FF"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60</w:t>
            </w:r>
          </w:p>
        </w:tc>
        <w:tc>
          <w:tcPr>
            <w:tcW w:w="2283" w:type="dxa"/>
            <w:tcBorders>
              <w:top w:val="nil"/>
              <w:left w:val="single" w:sz="4" w:space="0" w:color="auto"/>
              <w:bottom w:val="nil"/>
              <w:right w:val="single" w:sz="4" w:space="0" w:color="auto"/>
            </w:tcBorders>
          </w:tcPr>
          <w:p w14:paraId="6F91393B"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20</w:t>
            </w:r>
          </w:p>
        </w:tc>
        <w:tc>
          <w:tcPr>
            <w:tcW w:w="2283" w:type="dxa"/>
            <w:tcBorders>
              <w:top w:val="nil"/>
              <w:left w:val="single" w:sz="4" w:space="0" w:color="auto"/>
              <w:bottom w:val="nil"/>
            </w:tcBorders>
          </w:tcPr>
          <w:p w14:paraId="314D8418"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20</w:t>
            </w:r>
          </w:p>
        </w:tc>
      </w:tr>
      <w:tr w:rsidR="00997384" w:rsidRPr="00CE4C4F" w14:paraId="6C81E576" w14:textId="77777777">
        <w:trPr>
          <w:trHeight w:val="88"/>
        </w:trPr>
        <w:tc>
          <w:tcPr>
            <w:tcW w:w="2282" w:type="dxa"/>
            <w:tcBorders>
              <w:top w:val="nil"/>
            </w:tcBorders>
          </w:tcPr>
          <w:p w14:paraId="4DD10830"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E</w:t>
            </w:r>
          </w:p>
        </w:tc>
        <w:tc>
          <w:tcPr>
            <w:tcW w:w="2282" w:type="dxa"/>
            <w:tcBorders>
              <w:top w:val="nil"/>
              <w:right w:val="single" w:sz="4" w:space="0" w:color="auto"/>
            </w:tcBorders>
          </w:tcPr>
          <w:p w14:paraId="6734058F"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50</w:t>
            </w:r>
          </w:p>
        </w:tc>
        <w:tc>
          <w:tcPr>
            <w:tcW w:w="2283" w:type="dxa"/>
            <w:tcBorders>
              <w:top w:val="nil"/>
              <w:left w:val="single" w:sz="4" w:space="0" w:color="auto"/>
              <w:right w:val="single" w:sz="4" w:space="0" w:color="auto"/>
            </w:tcBorders>
          </w:tcPr>
          <w:p w14:paraId="51C61CE9"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25</w:t>
            </w:r>
          </w:p>
        </w:tc>
        <w:tc>
          <w:tcPr>
            <w:tcW w:w="2283" w:type="dxa"/>
            <w:tcBorders>
              <w:top w:val="nil"/>
              <w:left w:val="single" w:sz="4" w:space="0" w:color="auto"/>
            </w:tcBorders>
          </w:tcPr>
          <w:p w14:paraId="384FE7F1" w14:textId="77777777" w:rsidR="00997384" w:rsidRPr="00CE4C4F" w:rsidRDefault="006978CD">
            <w:pPr>
              <w:spacing w:line="240" w:lineRule="auto"/>
              <w:jc w:val="both"/>
              <w:rPr>
                <w:rFonts w:ascii="Times New Roman" w:hAnsi="Times New Roman" w:cs="Times New Roman"/>
                <w:sz w:val="20"/>
                <w:szCs w:val="20"/>
              </w:rPr>
            </w:pPr>
            <w:r w:rsidRPr="00CE4C4F">
              <w:rPr>
                <w:rFonts w:ascii="Times New Roman" w:hAnsi="Times New Roman" w:cs="Times New Roman"/>
                <w:sz w:val="20"/>
                <w:szCs w:val="20"/>
              </w:rPr>
              <w:t>25</w:t>
            </w:r>
          </w:p>
        </w:tc>
      </w:tr>
    </w:tbl>
    <w:p w14:paraId="4E4CC2B2" w14:textId="77777777" w:rsidR="00997384" w:rsidRPr="00CE4C4F" w:rsidRDefault="00997384">
      <w:pPr>
        <w:autoSpaceDE w:val="0"/>
        <w:autoSpaceDN w:val="0"/>
        <w:adjustRightInd w:val="0"/>
        <w:spacing w:before="60" w:after="60" w:line="480" w:lineRule="auto"/>
        <w:jc w:val="both"/>
        <w:rPr>
          <w:rFonts w:ascii="Times New Roman" w:hAnsi="Times New Roman" w:cs="Times New Roman"/>
          <w:b/>
          <w:bCs/>
          <w:color w:val="000000"/>
          <w:sz w:val="24"/>
          <w:szCs w:val="24"/>
        </w:rPr>
      </w:pPr>
    </w:p>
    <w:p w14:paraId="71D616FB" w14:textId="2CCB0770" w:rsidR="00997384" w:rsidRPr="00CE4C4F" w:rsidRDefault="00B861BA">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2.3 </w:t>
      </w:r>
      <w:r w:rsidR="006978CD" w:rsidRPr="00CE4C4F">
        <w:rPr>
          <w:rFonts w:ascii="Times New Roman" w:hAnsi="Times New Roman" w:cs="Times New Roman"/>
          <w:b/>
          <w:bCs/>
          <w:color w:val="000000"/>
          <w:sz w:val="24"/>
          <w:szCs w:val="24"/>
        </w:rPr>
        <w:t>Characterization of materials</w:t>
      </w:r>
    </w:p>
    <w:p w14:paraId="3D3C7FBD" w14:textId="46A84836" w:rsidR="00997384" w:rsidRPr="00CE4C4F" w:rsidRDefault="006978CD">
      <w:pPr>
        <w:autoSpaceDE w:val="0"/>
        <w:autoSpaceDN w:val="0"/>
        <w:adjustRightInd w:val="0"/>
        <w:spacing w:before="60" w:after="60" w:line="480" w:lineRule="auto"/>
        <w:jc w:val="both"/>
        <w:rPr>
          <w:rFonts w:ascii="Times New Roman" w:hAnsi="Times New Roman" w:cs="Times New Roman"/>
          <w:color w:val="000000"/>
          <w:sz w:val="24"/>
          <w:szCs w:val="24"/>
        </w:rPr>
      </w:pPr>
      <w:r w:rsidRPr="00CE4C4F">
        <w:rPr>
          <w:rFonts w:ascii="Times New Roman" w:hAnsi="Times New Roman" w:cs="Times New Roman"/>
          <w:color w:val="000000"/>
          <w:sz w:val="24"/>
          <w:szCs w:val="24"/>
        </w:rPr>
        <w:t xml:space="preserve">The </w:t>
      </w:r>
      <w:r w:rsidR="00B861BA">
        <w:rPr>
          <w:rFonts w:ascii="Times New Roman" w:hAnsi="Times New Roman" w:cs="Times New Roman"/>
          <w:color w:val="000000"/>
          <w:sz w:val="24"/>
          <w:szCs w:val="24"/>
        </w:rPr>
        <w:t>bio-polymer composites</w:t>
      </w:r>
      <w:r w:rsidRPr="00CE4C4F">
        <w:rPr>
          <w:rFonts w:ascii="Times New Roman" w:hAnsi="Times New Roman" w:cs="Times New Roman"/>
          <w:color w:val="000000"/>
          <w:sz w:val="24"/>
          <w:szCs w:val="24"/>
        </w:rPr>
        <w:t xml:space="preserve"> w</w:t>
      </w:r>
      <w:r w:rsidR="000E0C19">
        <w:rPr>
          <w:rFonts w:ascii="Times New Roman" w:hAnsi="Times New Roman" w:cs="Times New Roman"/>
          <w:color w:val="000000"/>
          <w:sz w:val="24"/>
          <w:szCs w:val="24"/>
        </w:rPr>
        <w:t>ere</w:t>
      </w:r>
      <w:r w:rsidR="0020468F">
        <w:rPr>
          <w:rFonts w:ascii="Times New Roman" w:hAnsi="Times New Roman" w:cs="Times New Roman"/>
          <w:color w:val="000000"/>
          <w:sz w:val="24"/>
          <w:szCs w:val="24"/>
        </w:rPr>
        <w:t xml:space="preserve"> characterized</w:t>
      </w:r>
      <w:r w:rsidR="00F06A80">
        <w:rPr>
          <w:rFonts w:ascii="Times New Roman" w:hAnsi="Times New Roman" w:cs="Times New Roman"/>
          <w:color w:val="000000"/>
          <w:sz w:val="24"/>
          <w:szCs w:val="24"/>
        </w:rPr>
        <w:t xml:space="preserve"> for morphology</w:t>
      </w:r>
      <w:r w:rsidRPr="00CE4C4F">
        <w:rPr>
          <w:rFonts w:ascii="Times New Roman" w:hAnsi="Times New Roman" w:cs="Times New Roman"/>
          <w:color w:val="000000"/>
          <w:sz w:val="24"/>
          <w:szCs w:val="24"/>
        </w:rPr>
        <w:t xml:space="preserve"> using scanning electron microscope (SEM), while the functional groups w</w:t>
      </w:r>
      <w:r w:rsidR="00346062">
        <w:rPr>
          <w:rFonts w:ascii="Times New Roman" w:hAnsi="Times New Roman" w:cs="Times New Roman"/>
          <w:color w:val="000000"/>
          <w:sz w:val="24"/>
          <w:szCs w:val="24"/>
        </w:rPr>
        <w:t xml:space="preserve">as </w:t>
      </w:r>
      <w:r w:rsidRPr="00CE4C4F">
        <w:rPr>
          <w:rFonts w:ascii="Times New Roman" w:hAnsi="Times New Roman" w:cs="Times New Roman"/>
          <w:color w:val="000000"/>
          <w:sz w:val="24"/>
          <w:szCs w:val="24"/>
        </w:rPr>
        <w:t>monitored using Fourier transformed infrared spectroscopy (FTIR).</w:t>
      </w:r>
    </w:p>
    <w:p w14:paraId="54FD4682" w14:textId="24AD0BCF" w:rsidR="00997384" w:rsidRPr="00CE4C4F" w:rsidRDefault="00B861BA">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6978CD" w:rsidRPr="00CE4C4F">
        <w:rPr>
          <w:rFonts w:ascii="Times New Roman" w:hAnsi="Times New Roman" w:cs="Times New Roman"/>
          <w:b/>
          <w:bCs/>
          <w:color w:val="000000"/>
          <w:sz w:val="24"/>
          <w:szCs w:val="24"/>
        </w:rPr>
        <w:t>.</w:t>
      </w:r>
      <w:r>
        <w:rPr>
          <w:rFonts w:ascii="Times New Roman" w:hAnsi="Times New Roman" w:cs="Times New Roman"/>
          <w:b/>
          <w:bCs/>
          <w:color w:val="000000"/>
          <w:sz w:val="24"/>
          <w:szCs w:val="24"/>
        </w:rPr>
        <w:t>4</w:t>
      </w:r>
      <w:r w:rsidR="006978CD" w:rsidRPr="00CE4C4F">
        <w:rPr>
          <w:rFonts w:ascii="Times New Roman" w:hAnsi="Times New Roman" w:cs="Times New Roman"/>
          <w:b/>
          <w:bCs/>
          <w:color w:val="000000"/>
          <w:sz w:val="24"/>
          <w:szCs w:val="24"/>
        </w:rPr>
        <w:t xml:space="preserve"> Preparation of bio-polymer composites for Testing</w:t>
      </w:r>
    </w:p>
    <w:p w14:paraId="1386C2B2" w14:textId="77777777" w:rsidR="00997384" w:rsidRPr="00CE4C4F"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sidRPr="00CE4C4F">
        <w:rPr>
          <w:rFonts w:ascii="Times New Roman" w:hAnsi="Times New Roman" w:cs="Times New Roman"/>
          <w:bCs/>
          <w:color w:val="000000"/>
          <w:sz w:val="24"/>
          <w:szCs w:val="24"/>
        </w:rPr>
        <w:t>For the mechanical test, test samples were cut from the composites in accordance with the suggested standard for each test. According to ASTM D618, each sample underwent conditioning at a temperature of 23 °C and a relative humidity of 65% before the test.</w:t>
      </w:r>
    </w:p>
    <w:p w14:paraId="33E7D57F" w14:textId="5E520302" w:rsidR="00997384" w:rsidRPr="00CE4C4F" w:rsidRDefault="00977D48">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6978CD" w:rsidRPr="00CE4C4F">
        <w:rPr>
          <w:rFonts w:ascii="Times New Roman" w:hAnsi="Times New Roman" w:cs="Times New Roman"/>
          <w:b/>
          <w:bCs/>
          <w:color w:val="000000"/>
          <w:sz w:val="24"/>
          <w:szCs w:val="24"/>
        </w:rPr>
        <w:t xml:space="preserve"> Mechanical Properties of bio-polymer composites</w:t>
      </w:r>
    </w:p>
    <w:p w14:paraId="02B9C1EC" w14:textId="63C37063" w:rsidR="00997384" w:rsidRPr="00CE4C4F" w:rsidRDefault="006978CD">
      <w:pPr>
        <w:autoSpaceDE w:val="0"/>
        <w:autoSpaceDN w:val="0"/>
        <w:adjustRightInd w:val="0"/>
        <w:spacing w:before="60" w:after="60" w:line="480" w:lineRule="auto"/>
        <w:jc w:val="both"/>
        <w:rPr>
          <w:rFonts w:ascii="Times New Roman" w:hAnsi="Times New Roman" w:cs="Times New Roman"/>
          <w:color w:val="000000"/>
          <w:sz w:val="24"/>
          <w:szCs w:val="24"/>
        </w:rPr>
      </w:pPr>
      <w:r w:rsidRPr="00CE4C4F">
        <w:rPr>
          <w:rFonts w:ascii="Times New Roman" w:hAnsi="Times New Roman" w:cs="Times New Roman"/>
          <w:color w:val="000000"/>
          <w:sz w:val="24"/>
          <w:szCs w:val="24"/>
        </w:rPr>
        <w:t>The following mechanical properties were determined on the prepared bio-polymer composites.</w:t>
      </w:r>
    </w:p>
    <w:p w14:paraId="2B5131BC" w14:textId="0F57C6D4" w:rsidR="00997384" w:rsidRPr="00CE4C4F" w:rsidRDefault="00977D48">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6978CD" w:rsidRPr="00CE4C4F">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r w:rsidR="006978CD" w:rsidRPr="00CE4C4F">
        <w:rPr>
          <w:rFonts w:ascii="Times New Roman" w:hAnsi="Times New Roman" w:cs="Times New Roman"/>
          <w:b/>
          <w:bCs/>
          <w:color w:val="000000"/>
          <w:sz w:val="24"/>
          <w:szCs w:val="24"/>
        </w:rPr>
        <w:t xml:space="preserve">.1 Hardness test </w:t>
      </w:r>
    </w:p>
    <w:p w14:paraId="64EDB936" w14:textId="77777777" w:rsidR="00997384" w:rsidRPr="00CE4C4F"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sidRPr="00CE4C4F">
        <w:rPr>
          <w:rFonts w:ascii="Times New Roman" w:hAnsi="Times New Roman" w:cs="Times New Roman"/>
          <w:bCs/>
          <w:color w:val="000000"/>
          <w:sz w:val="24"/>
          <w:szCs w:val="24"/>
        </w:rPr>
        <w:t>The ASTM D2583 method was used to gauge the composites' hardness. Prior to testing, the test specimens were preconditioned for 40 hours at 23°C and 50% relative humidity. The samples were sliced from the composites, and a micrometer screw gauge was used to measure their thickness. The test was performed using a durometer, which forced the indentor pin to penetrate the sample while displaying the sample's hardness on the display screen. For every sample, the procedure was carried out three times.</w:t>
      </w:r>
    </w:p>
    <w:p w14:paraId="0EE73B24" w14:textId="35EF11DA" w:rsidR="00997384" w:rsidRPr="00CE4C4F" w:rsidRDefault="006978CD">
      <w:pPr>
        <w:spacing w:line="480" w:lineRule="auto"/>
        <w:jc w:val="both"/>
        <w:rPr>
          <w:rFonts w:ascii="Times New Roman" w:hAnsi="Times New Roman" w:cs="Times New Roman"/>
          <w:color w:val="000000" w:themeColor="text1"/>
          <w:sz w:val="24"/>
          <w:szCs w:val="24"/>
        </w:rPr>
      </w:pPr>
      <w:r w:rsidRPr="00CE4C4F">
        <w:rPr>
          <w:rFonts w:ascii="Times New Roman" w:hAnsi="Times New Roman" w:cs="Times New Roman"/>
          <w:sz w:val="24"/>
          <w:szCs w:val="24"/>
        </w:rPr>
        <w:t xml:space="preserve">Average Hardness = </w:t>
      </w:r>
      <m:oMath>
        <m:f>
          <m:fPr>
            <m:ctrlPr>
              <w:rPr>
                <w:rFonts w:ascii="Cambria Math" w:hAnsi="Cambria Math" w:cs="Times New Roman"/>
                <w:i/>
                <w:sz w:val="36"/>
                <w:szCs w:val="36"/>
              </w:rPr>
            </m:ctrlPr>
          </m:fPr>
          <m:num>
            <m:r>
              <w:rPr>
                <w:rFonts w:ascii="Cambria Math" w:hAnsi="Cambria Math" w:cs="Times New Roman"/>
                <w:sz w:val="36"/>
                <w:szCs w:val="36"/>
              </w:rPr>
              <m:t xml:space="preserve">1st + 2nd + 3rd  </m:t>
            </m:r>
          </m:num>
          <m:den>
            <m:r>
              <w:rPr>
                <w:rFonts w:ascii="Cambria Math" w:hAnsi="Cambria Math" w:cs="Times New Roman"/>
                <w:sz w:val="36"/>
                <w:szCs w:val="36"/>
              </w:rPr>
              <m:t>3</m:t>
            </m:r>
          </m:den>
        </m:f>
      </m:oMath>
      <w:r w:rsidRPr="00CE4C4F">
        <w:rPr>
          <w:rFonts w:ascii="Times New Roman" w:hAnsi="Times New Roman" w:cs="Times New Roman"/>
          <w:sz w:val="24"/>
          <w:szCs w:val="24"/>
        </w:rPr>
        <w:t xml:space="preserve">   (Hv) ……………………………………….. (</w:t>
      </w:r>
      <w:r w:rsidR="002D0CEB" w:rsidRPr="00CE4C4F">
        <w:rPr>
          <w:rFonts w:ascii="Times New Roman" w:hAnsi="Times New Roman" w:cs="Times New Roman"/>
          <w:sz w:val="24"/>
          <w:szCs w:val="24"/>
        </w:rPr>
        <w:t>i</w:t>
      </w:r>
      <w:r w:rsidRPr="00CE4C4F">
        <w:rPr>
          <w:rFonts w:ascii="Times New Roman" w:hAnsi="Times New Roman" w:cs="Times New Roman"/>
          <w:sz w:val="24"/>
          <w:szCs w:val="24"/>
        </w:rPr>
        <w:t>)</w:t>
      </w:r>
    </w:p>
    <w:p w14:paraId="57D4847B" w14:textId="02CBEF7F" w:rsidR="00997384" w:rsidRPr="00CE4C4F" w:rsidRDefault="00033AC5">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6978CD" w:rsidRPr="00CE4C4F">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r w:rsidR="006978CD" w:rsidRPr="00CE4C4F">
        <w:rPr>
          <w:rFonts w:ascii="Times New Roman" w:hAnsi="Times New Roman" w:cs="Times New Roman"/>
          <w:b/>
          <w:bCs/>
          <w:color w:val="000000"/>
          <w:sz w:val="24"/>
          <w:szCs w:val="24"/>
        </w:rPr>
        <w:t xml:space="preserve">.2 Impact test </w:t>
      </w:r>
    </w:p>
    <w:p w14:paraId="0EEB4990" w14:textId="2F94C875" w:rsidR="00997384" w:rsidRPr="00CE4C4F"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sidRPr="00CE4C4F">
        <w:rPr>
          <w:rFonts w:ascii="Times New Roman" w:hAnsi="Times New Roman" w:cs="Times New Roman"/>
          <w:bCs/>
          <w:color w:val="000000"/>
          <w:sz w:val="24"/>
          <w:szCs w:val="24"/>
        </w:rPr>
        <w:t xml:space="preserve">The materials were subjected to an impact test in line with ASTM D6110. The specimen samples were cut into 64, 12.7, 6.4 mm dimensions. In a pendulum impact test fixture, a specimen was </w:t>
      </w:r>
      <w:r w:rsidRPr="00CE4C4F">
        <w:rPr>
          <w:rFonts w:ascii="Times New Roman" w:hAnsi="Times New Roman" w:cs="Times New Roman"/>
          <w:bCs/>
          <w:color w:val="000000"/>
          <w:sz w:val="24"/>
          <w:szCs w:val="24"/>
        </w:rPr>
        <w:lastRenderedPageBreak/>
        <w:t>clamped, and when the pendulum was released, it str</w:t>
      </w:r>
      <w:r w:rsidR="001C17F1" w:rsidRPr="00CE4C4F">
        <w:rPr>
          <w:rFonts w:ascii="Times New Roman" w:hAnsi="Times New Roman" w:cs="Times New Roman"/>
          <w:bCs/>
          <w:color w:val="000000"/>
          <w:sz w:val="24"/>
          <w:szCs w:val="24"/>
        </w:rPr>
        <w:t>uck</w:t>
      </w:r>
      <w:r w:rsidRPr="00CE4C4F">
        <w:rPr>
          <w:rFonts w:ascii="Times New Roman" w:hAnsi="Times New Roman" w:cs="Times New Roman"/>
          <w:bCs/>
          <w:color w:val="000000"/>
          <w:sz w:val="24"/>
          <w:szCs w:val="24"/>
        </w:rPr>
        <w:t xml:space="preserve"> the specimen. The energy that the sample had absorbed was used to determine the impact strength, which was displayed on screen.</w:t>
      </w:r>
    </w:p>
    <w:p w14:paraId="7371DBD9" w14:textId="46E84BD2" w:rsidR="00997384" w:rsidRPr="00CE4C4F" w:rsidRDefault="00033AC5">
      <w:pPr>
        <w:autoSpaceDE w:val="0"/>
        <w:autoSpaceDN w:val="0"/>
        <w:adjustRightInd w:val="0"/>
        <w:spacing w:before="60" w:after="6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6978CD" w:rsidRPr="00CE4C4F">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r w:rsidR="006978CD" w:rsidRPr="00CE4C4F">
        <w:rPr>
          <w:rFonts w:ascii="Times New Roman" w:hAnsi="Times New Roman" w:cs="Times New Roman"/>
          <w:b/>
          <w:bCs/>
          <w:color w:val="000000"/>
          <w:sz w:val="24"/>
          <w:szCs w:val="24"/>
        </w:rPr>
        <w:t xml:space="preserve">.3 Tensile test </w:t>
      </w:r>
    </w:p>
    <w:p w14:paraId="720BF90F" w14:textId="408E9037" w:rsidR="00997384" w:rsidRPr="00CE4C4F" w:rsidRDefault="006978CD">
      <w:pPr>
        <w:autoSpaceDE w:val="0"/>
        <w:autoSpaceDN w:val="0"/>
        <w:adjustRightInd w:val="0"/>
        <w:spacing w:before="60" w:after="60" w:line="480" w:lineRule="auto"/>
        <w:jc w:val="both"/>
        <w:rPr>
          <w:rFonts w:ascii="Times New Roman" w:hAnsi="Times New Roman" w:cs="Times New Roman"/>
          <w:bCs/>
          <w:color w:val="000000"/>
          <w:sz w:val="24"/>
          <w:szCs w:val="24"/>
        </w:rPr>
      </w:pPr>
      <w:r w:rsidRPr="00CE4C4F">
        <w:rPr>
          <w:rFonts w:ascii="Times New Roman" w:hAnsi="Times New Roman" w:cs="Times New Roman"/>
          <w:bCs/>
          <w:color w:val="000000"/>
          <w:sz w:val="24"/>
          <w:szCs w:val="24"/>
        </w:rPr>
        <w:t xml:space="preserve">A material testing machine was used to conduct the tensile strength measurement experiment at a constant strain rate of 0.5 mm/minute. According to ASTM D638, the composite samples was cut into dumbbell shapes with cross-sectional dimensions 135 by 114 by 14 4.0 mm. Up until it fractures, the load handle was constantly turned. The determinations; ultimate tensile strength, strain, and elastic modulus (E) were done using equations </w:t>
      </w:r>
      <w:r w:rsidR="002D0CEB" w:rsidRPr="00CE4C4F">
        <w:rPr>
          <w:rFonts w:ascii="Times New Roman" w:hAnsi="Times New Roman" w:cs="Times New Roman"/>
          <w:bCs/>
          <w:color w:val="000000"/>
          <w:sz w:val="24"/>
          <w:szCs w:val="24"/>
        </w:rPr>
        <w:t>i</w:t>
      </w:r>
      <w:r w:rsidRPr="00CE4C4F">
        <w:rPr>
          <w:rFonts w:ascii="Times New Roman" w:hAnsi="Times New Roman" w:cs="Times New Roman"/>
          <w:bCs/>
          <w:color w:val="000000"/>
          <w:sz w:val="24"/>
          <w:szCs w:val="24"/>
        </w:rPr>
        <w:t xml:space="preserve">, </w:t>
      </w:r>
      <w:r w:rsidR="002D0CEB" w:rsidRPr="00CE4C4F">
        <w:rPr>
          <w:rFonts w:ascii="Times New Roman" w:hAnsi="Times New Roman" w:cs="Times New Roman"/>
          <w:bCs/>
          <w:color w:val="000000"/>
          <w:sz w:val="24"/>
          <w:szCs w:val="24"/>
        </w:rPr>
        <w:t>ii</w:t>
      </w:r>
      <w:r w:rsidRPr="00CE4C4F">
        <w:rPr>
          <w:rFonts w:ascii="Times New Roman" w:hAnsi="Times New Roman" w:cs="Times New Roman"/>
          <w:bCs/>
          <w:color w:val="000000"/>
          <w:sz w:val="24"/>
          <w:szCs w:val="24"/>
        </w:rPr>
        <w:t xml:space="preserve">, and </w:t>
      </w:r>
      <w:r w:rsidR="002D0CEB" w:rsidRPr="00CE4C4F">
        <w:rPr>
          <w:rFonts w:ascii="Times New Roman" w:hAnsi="Times New Roman" w:cs="Times New Roman"/>
          <w:bCs/>
          <w:color w:val="000000"/>
          <w:sz w:val="24"/>
          <w:szCs w:val="24"/>
        </w:rPr>
        <w:t>iii</w:t>
      </w:r>
      <w:r w:rsidRPr="00CE4C4F">
        <w:rPr>
          <w:rFonts w:ascii="Times New Roman" w:hAnsi="Times New Roman" w:cs="Times New Roman"/>
          <w:bCs/>
          <w:color w:val="000000"/>
          <w:sz w:val="24"/>
          <w:szCs w:val="24"/>
        </w:rPr>
        <w:t>:</w:t>
      </w:r>
    </w:p>
    <w:p w14:paraId="505E9D93" w14:textId="779AF95A" w:rsidR="00997384" w:rsidRPr="00CE4C4F"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sidRPr="00CE4C4F">
        <w:rPr>
          <w:rFonts w:ascii="Times New Roman" w:hAnsi="Times New Roman" w:cs="Times New Roman"/>
          <w:color w:val="000000"/>
          <w:sz w:val="24"/>
          <w:szCs w:val="24"/>
        </w:rPr>
        <w:t xml:space="preserve">δ = </w:t>
      </w:r>
      <w:r w:rsidRPr="00CE4C4F">
        <w:rPr>
          <w:rFonts w:ascii="Times New Roman" w:hAnsi="Times New Roman" w:cs="Times New Roman"/>
          <w:i/>
          <w:iCs/>
          <w:color w:val="000000"/>
          <w:sz w:val="24"/>
          <w:szCs w:val="24"/>
        </w:rPr>
        <w:t xml:space="preserve">F/A …………………………………. </w:t>
      </w:r>
      <w:r w:rsidRPr="00CE4C4F">
        <w:rPr>
          <w:rFonts w:ascii="Times New Roman" w:hAnsi="Times New Roman" w:cs="Times New Roman"/>
          <w:color w:val="000000"/>
          <w:sz w:val="24"/>
          <w:szCs w:val="24"/>
        </w:rPr>
        <w:t>(</w:t>
      </w:r>
      <w:r w:rsidR="002D0CEB" w:rsidRPr="00CE4C4F">
        <w:rPr>
          <w:rFonts w:ascii="Times New Roman" w:hAnsi="Times New Roman" w:cs="Times New Roman"/>
          <w:color w:val="000000"/>
          <w:sz w:val="24"/>
          <w:szCs w:val="24"/>
        </w:rPr>
        <w:t>ii</w:t>
      </w:r>
      <w:r w:rsidRPr="00CE4C4F">
        <w:rPr>
          <w:rFonts w:ascii="Times New Roman" w:hAnsi="Times New Roman" w:cs="Times New Roman"/>
          <w:color w:val="000000"/>
          <w:sz w:val="24"/>
          <w:szCs w:val="24"/>
        </w:rPr>
        <w:t>)</w:t>
      </w:r>
    </w:p>
    <w:p w14:paraId="58CFE43F" w14:textId="20D672A2" w:rsidR="00997384" w:rsidRPr="00CE4C4F"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sidRPr="00CE4C4F">
        <w:rPr>
          <w:rFonts w:ascii="Times New Roman" w:hAnsi="Times New Roman" w:cs="Times New Roman"/>
          <w:color w:val="000000"/>
          <w:sz w:val="24"/>
          <w:szCs w:val="24"/>
        </w:rPr>
        <w:t xml:space="preserve">ε = </w:t>
      </w:r>
      <w:r w:rsidRPr="00CE4C4F">
        <w:rPr>
          <w:rFonts w:ascii="Times New Roman" w:hAnsi="Times New Roman" w:cs="Times New Roman"/>
          <w:i/>
          <w:iCs/>
          <w:color w:val="000000"/>
          <w:sz w:val="24"/>
          <w:szCs w:val="24"/>
        </w:rPr>
        <w:t>e/l ……………. ……………………..</w:t>
      </w:r>
      <w:r w:rsidRPr="00CE4C4F">
        <w:rPr>
          <w:rFonts w:ascii="Times New Roman" w:hAnsi="Times New Roman" w:cs="Times New Roman"/>
          <w:color w:val="000000"/>
          <w:sz w:val="24"/>
          <w:szCs w:val="24"/>
        </w:rPr>
        <w:t>(</w:t>
      </w:r>
      <w:r w:rsidR="002D0CEB" w:rsidRPr="00CE4C4F">
        <w:rPr>
          <w:rFonts w:ascii="Times New Roman" w:hAnsi="Times New Roman" w:cs="Times New Roman"/>
          <w:color w:val="000000"/>
          <w:sz w:val="24"/>
          <w:szCs w:val="24"/>
        </w:rPr>
        <w:t>iii</w:t>
      </w:r>
      <w:r w:rsidRPr="00CE4C4F">
        <w:rPr>
          <w:rFonts w:ascii="Times New Roman" w:hAnsi="Times New Roman" w:cs="Times New Roman"/>
          <w:color w:val="000000"/>
          <w:sz w:val="24"/>
          <w:szCs w:val="24"/>
        </w:rPr>
        <w:t>)</w:t>
      </w:r>
    </w:p>
    <w:p w14:paraId="3A74288B" w14:textId="77777777" w:rsidR="00997384" w:rsidRPr="00CE4C4F" w:rsidRDefault="006978CD">
      <w:pPr>
        <w:autoSpaceDE w:val="0"/>
        <w:autoSpaceDN w:val="0"/>
        <w:adjustRightInd w:val="0"/>
        <w:spacing w:before="60" w:after="60" w:line="480" w:lineRule="auto"/>
        <w:jc w:val="center"/>
        <w:rPr>
          <w:rFonts w:ascii="Times New Roman" w:hAnsi="Times New Roman" w:cs="Times New Roman"/>
          <w:color w:val="000000"/>
          <w:sz w:val="24"/>
          <w:szCs w:val="24"/>
        </w:rPr>
      </w:pPr>
      <w:r w:rsidRPr="00CE4C4F">
        <w:rPr>
          <w:rFonts w:ascii="Times New Roman" w:hAnsi="Times New Roman" w:cs="Times New Roman"/>
          <w:i/>
          <w:iCs/>
          <w:color w:val="000000"/>
          <w:sz w:val="24"/>
          <w:szCs w:val="24"/>
        </w:rPr>
        <w:t>E=</w:t>
      </w:r>
      <w:r w:rsidRPr="00CE4C4F">
        <w:rPr>
          <w:rFonts w:ascii="Times New Roman" w:hAnsi="Times New Roman" w:cs="Times New Roman"/>
          <w:color w:val="000000"/>
          <w:sz w:val="24"/>
          <w:szCs w:val="24"/>
        </w:rPr>
        <w:t xml:space="preserve"> δ/ε    ………………………………. (3.3)</w:t>
      </w:r>
    </w:p>
    <w:p w14:paraId="1544264E" w14:textId="77777777" w:rsidR="00997384" w:rsidRDefault="006978CD">
      <w:pPr>
        <w:autoSpaceDE w:val="0"/>
        <w:autoSpaceDN w:val="0"/>
        <w:adjustRightInd w:val="0"/>
        <w:spacing w:after="0" w:line="480" w:lineRule="auto"/>
        <w:jc w:val="both"/>
        <w:rPr>
          <w:rFonts w:ascii="Times New Roman" w:hAnsi="Times New Roman" w:cs="Times New Roman"/>
          <w:color w:val="000000"/>
          <w:sz w:val="24"/>
          <w:szCs w:val="24"/>
        </w:rPr>
      </w:pPr>
      <w:r w:rsidRPr="00CE4C4F">
        <w:rPr>
          <w:rFonts w:ascii="Times New Roman" w:hAnsi="Times New Roman" w:cs="Times New Roman"/>
          <w:color w:val="000000"/>
          <w:sz w:val="24"/>
          <w:szCs w:val="24"/>
        </w:rPr>
        <w:t xml:space="preserve">where </w:t>
      </w:r>
      <w:r w:rsidRPr="00CE4C4F">
        <w:rPr>
          <w:rFonts w:ascii="Times New Roman" w:hAnsi="Times New Roman" w:cs="Times New Roman"/>
          <w:i/>
          <w:iCs/>
          <w:color w:val="000000"/>
          <w:sz w:val="24"/>
          <w:szCs w:val="24"/>
        </w:rPr>
        <w:t xml:space="preserve">F </w:t>
      </w:r>
      <w:r w:rsidRPr="00CE4C4F">
        <w:rPr>
          <w:rFonts w:ascii="Times New Roman" w:hAnsi="Times New Roman" w:cs="Times New Roman"/>
          <w:color w:val="000000"/>
          <w:sz w:val="24"/>
          <w:szCs w:val="24"/>
        </w:rPr>
        <w:t xml:space="preserve">is the breaking load, </w:t>
      </w:r>
      <w:r w:rsidRPr="00CE4C4F">
        <w:rPr>
          <w:rFonts w:ascii="Times New Roman" w:hAnsi="Times New Roman" w:cs="Times New Roman"/>
          <w:i/>
          <w:iCs/>
          <w:color w:val="000000"/>
          <w:sz w:val="24"/>
          <w:szCs w:val="24"/>
        </w:rPr>
        <w:t xml:space="preserve">A </w:t>
      </w:r>
      <w:r w:rsidRPr="00CE4C4F">
        <w:rPr>
          <w:rFonts w:ascii="Times New Roman" w:hAnsi="Times New Roman" w:cs="Times New Roman"/>
          <w:color w:val="000000"/>
          <w:sz w:val="24"/>
          <w:szCs w:val="24"/>
        </w:rPr>
        <w:t xml:space="preserve">is the cross-sectional area, </w:t>
      </w:r>
      <w:r w:rsidRPr="00CE4C4F">
        <w:rPr>
          <w:rFonts w:ascii="Times New Roman" w:hAnsi="Times New Roman" w:cs="Times New Roman"/>
          <w:i/>
          <w:iCs/>
          <w:color w:val="000000"/>
          <w:sz w:val="24"/>
          <w:szCs w:val="24"/>
        </w:rPr>
        <w:t xml:space="preserve">e </w:t>
      </w:r>
      <w:r w:rsidRPr="00CE4C4F">
        <w:rPr>
          <w:rFonts w:ascii="Times New Roman" w:hAnsi="Times New Roman" w:cs="Times New Roman"/>
          <w:color w:val="000000"/>
          <w:sz w:val="24"/>
          <w:szCs w:val="24"/>
        </w:rPr>
        <w:t xml:space="preserve">is the extension, and </w:t>
      </w:r>
      <w:r w:rsidRPr="00CE4C4F">
        <w:rPr>
          <w:rFonts w:ascii="Times New Roman" w:hAnsi="Times New Roman" w:cs="Times New Roman"/>
          <w:i/>
          <w:iCs/>
          <w:color w:val="000000"/>
          <w:sz w:val="24"/>
          <w:szCs w:val="24"/>
        </w:rPr>
        <w:t xml:space="preserve">l </w:t>
      </w:r>
      <w:r w:rsidRPr="00CE4C4F">
        <w:rPr>
          <w:rFonts w:ascii="Times New Roman" w:hAnsi="Times New Roman" w:cs="Times New Roman"/>
          <w:color w:val="000000"/>
          <w:sz w:val="24"/>
          <w:szCs w:val="24"/>
        </w:rPr>
        <w:t xml:space="preserve">is the original length. </w:t>
      </w:r>
    </w:p>
    <w:p w14:paraId="5DDA0DCE" w14:textId="2400AA92" w:rsidR="00DA32F4" w:rsidRPr="00DA32F4" w:rsidRDefault="00DA32F4">
      <w:pPr>
        <w:autoSpaceDE w:val="0"/>
        <w:autoSpaceDN w:val="0"/>
        <w:adjustRightInd w:val="0"/>
        <w:spacing w:after="0" w:line="480" w:lineRule="auto"/>
        <w:jc w:val="both"/>
        <w:rPr>
          <w:rFonts w:ascii="Times New Roman" w:hAnsi="Times New Roman" w:cs="Times New Roman"/>
          <w:b/>
          <w:bCs/>
          <w:color w:val="000000"/>
          <w:sz w:val="24"/>
          <w:szCs w:val="24"/>
        </w:rPr>
      </w:pPr>
      <w:r w:rsidRPr="00DA32F4">
        <w:rPr>
          <w:rFonts w:ascii="Times New Roman" w:hAnsi="Times New Roman" w:cs="Times New Roman"/>
          <w:b/>
          <w:bCs/>
          <w:color w:val="000000"/>
          <w:sz w:val="24"/>
          <w:szCs w:val="24"/>
        </w:rPr>
        <w:t>2.6 Moisture Testing</w:t>
      </w:r>
    </w:p>
    <w:p w14:paraId="5856430C" w14:textId="47B5ED60" w:rsidR="00664EEB" w:rsidRPr="00EA45EA" w:rsidRDefault="00664EEB" w:rsidP="00664EEB">
      <w:pPr>
        <w:spacing w:line="480" w:lineRule="auto"/>
        <w:jc w:val="both"/>
        <w:rPr>
          <w:rFonts w:ascii="Times New Roman" w:hAnsi="Times New Roman" w:cs="Times New Roman"/>
          <w:sz w:val="24"/>
          <w:szCs w:val="24"/>
        </w:rPr>
      </w:pPr>
      <w:r w:rsidRPr="00EA45EA">
        <w:rPr>
          <w:rFonts w:ascii="Times New Roman" w:hAnsi="Times New Roman" w:cs="Times New Roman"/>
          <w:sz w:val="24"/>
          <w:szCs w:val="24"/>
        </w:rPr>
        <w:t>According to ASTM D570-98, moisture absorption tests w</w:t>
      </w:r>
      <w:r w:rsidR="004A1ABC">
        <w:rPr>
          <w:rFonts w:ascii="Times New Roman" w:hAnsi="Times New Roman" w:cs="Times New Roman"/>
          <w:sz w:val="24"/>
          <w:szCs w:val="24"/>
        </w:rPr>
        <w:t>as</w:t>
      </w:r>
      <w:r w:rsidRPr="00EA45EA">
        <w:rPr>
          <w:rFonts w:ascii="Times New Roman" w:hAnsi="Times New Roman" w:cs="Times New Roman"/>
          <w:sz w:val="24"/>
          <w:szCs w:val="24"/>
        </w:rPr>
        <w:t xml:space="preserve"> performed on</w:t>
      </w:r>
      <w:r w:rsidR="00D5723A">
        <w:rPr>
          <w:rFonts w:ascii="Times New Roman" w:hAnsi="Times New Roman" w:cs="Times New Roman"/>
          <w:sz w:val="24"/>
          <w:szCs w:val="24"/>
        </w:rPr>
        <w:t xml:space="preserve"> b</w:t>
      </w:r>
      <w:r w:rsidRPr="00EA45EA">
        <w:rPr>
          <w:rFonts w:ascii="Times New Roman" w:hAnsi="Times New Roman" w:cs="Times New Roman"/>
          <w:sz w:val="24"/>
          <w:szCs w:val="24"/>
        </w:rPr>
        <w:t>io-polymer composites with dimensions of 50 mm x 10 mm x 10 mm (l x w x t) at room temperature for 1</w:t>
      </w:r>
      <w:r>
        <w:rPr>
          <w:rFonts w:ascii="Times New Roman" w:hAnsi="Times New Roman" w:cs="Times New Roman"/>
          <w:sz w:val="24"/>
          <w:szCs w:val="24"/>
        </w:rPr>
        <w:t>0</w:t>
      </w:r>
      <w:r w:rsidRPr="00EA45EA">
        <w:rPr>
          <w:rFonts w:ascii="Times New Roman" w:hAnsi="Times New Roman" w:cs="Times New Roman"/>
          <w:sz w:val="24"/>
          <w:szCs w:val="24"/>
        </w:rPr>
        <w:t xml:space="preserve"> days. Every 24 hours, the </w:t>
      </w:r>
      <w:r w:rsidR="00D5723A">
        <w:rPr>
          <w:rFonts w:ascii="Times New Roman" w:hAnsi="Times New Roman" w:cs="Times New Roman"/>
          <w:sz w:val="24"/>
          <w:szCs w:val="24"/>
        </w:rPr>
        <w:t xml:space="preserve">composites, submerged in 50ml distilled water in a beaker </w:t>
      </w:r>
      <w:r w:rsidRPr="00EA45EA">
        <w:rPr>
          <w:rFonts w:ascii="Times New Roman" w:hAnsi="Times New Roman" w:cs="Times New Roman"/>
          <w:sz w:val="24"/>
          <w:szCs w:val="24"/>
        </w:rPr>
        <w:t>w</w:t>
      </w:r>
      <w:r w:rsidR="004A1ABC">
        <w:rPr>
          <w:rFonts w:ascii="Times New Roman" w:hAnsi="Times New Roman" w:cs="Times New Roman"/>
          <w:sz w:val="24"/>
          <w:szCs w:val="24"/>
        </w:rPr>
        <w:t>as</w:t>
      </w:r>
      <w:r w:rsidRPr="00EA45EA">
        <w:rPr>
          <w:rFonts w:ascii="Times New Roman" w:hAnsi="Times New Roman" w:cs="Times New Roman"/>
          <w:sz w:val="24"/>
          <w:szCs w:val="24"/>
        </w:rPr>
        <w:t xml:space="preserve"> </w:t>
      </w:r>
      <w:r w:rsidR="00D5723A">
        <w:rPr>
          <w:rFonts w:ascii="Times New Roman" w:hAnsi="Times New Roman" w:cs="Times New Roman"/>
          <w:sz w:val="24"/>
          <w:szCs w:val="24"/>
        </w:rPr>
        <w:t xml:space="preserve">removed, dried and </w:t>
      </w:r>
      <w:r w:rsidRPr="00EA45EA">
        <w:rPr>
          <w:rFonts w:ascii="Times New Roman" w:hAnsi="Times New Roman" w:cs="Times New Roman"/>
          <w:sz w:val="24"/>
          <w:szCs w:val="24"/>
        </w:rPr>
        <w:t>weighed</w:t>
      </w:r>
      <w:r w:rsidR="00D5723A">
        <w:rPr>
          <w:rFonts w:ascii="Times New Roman" w:hAnsi="Times New Roman" w:cs="Times New Roman"/>
          <w:sz w:val="24"/>
          <w:szCs w:val="24"/>
        </w:rPr>
        <w:t xml:space="preserve">. </w:t>
      </w:r>
      <w:r w:rsidRPr="00EA45EA">
        <w:rPr>
          <w:rFonts w:ascii="Times New Roman" w:hAnsi="Times New Roman" w:cs="Times New Roman"/>
          <w:sz w:val="24"/>
          <w:szCs w:val="24"/>
        </w:rPr>
        <w:t xml:space="preserve"> Equation </w:t>
      </w:r>
      <w:r w:rsidR="00D5723A">
        <w:rPr>
          <w:rFonts w:ascii="Times New Roman" w:hAnsi="Times New Roman" w:cs="Times New Roman"/>
          <w:sz w:val="24"/>
          <w:szCs w:val="24"/>
        </w:rPr>
        <w:t>(i)</w:t>
      </w:r>
      <w:r w:rsidRPr="00EA45EA">
        <w:rPr>
          <w:rFonts w:ascii="Times New Roman" w:hAnsi="Times New Roman" w:cs="Times New Roman"/>
          <w:sz w:val="24"/>
          <w:szCs w:val="24"/>
        </w:rPr>
        <w:t xml:space="preserve"> w</w:t>
      </w:r>
      <w:r w:rsidR="004A1ABC">
        <w:rPr>
          <w:rFonts w:ascii="Times New Roman" w:hAnsi="Times New Roman" w:cs="Times New Roman"/>
          <w:sz w:val="24"/>
          <w:szCs w:val="24"/>
        </w:rPr>
        <w:t>as</w:t>
      </w:r>
      <w:r w:rsidRPr="00EA45EA">
        <w:rPr>
          <w:rFonts w:ascii="Times New Roman" w:hAnsi="Times New Roman" w:cs="Times New Roman"/>
          <w:sz w:val="24"/>
          <w:szCs w:val="24"/>
        </w:rPr>
        <w:t xml:space="preserve"> used to calculate </w:t>
      </w:r>
      <w:r w:rsidR="00D5723A">
        <w:rPr>
          <w:rFonts w:ascii="Times New Roman" w:hAnsi="Times New Roman" w:cs="Times New Roman"/>
          <w:sz w:val="24"/>
          <w:szCs w:val="24"/>
        </w:rPr>
        <w:t>absorbed</w:t>
      </w:r>
      <w:r w:rsidR="009E0540">
        <w:rPr>
          <w:rFonts w:ascii="Times New Roman" w:hAnsi="Times New Roman" w:cs="Times New Roman"/>
          <w:sz w:val="24"/>
          <w:szCs w:val="24"/>
        </w:rPr>
        <w:t xml:space="preserve"> in % weight gain</w:t>
      </w:r>
      <w:r w:rsidR="00324B15">
        <w:rPr>
          <w:rFonts w:ascii="Times New Roman" w:hAnsi="Times New Roman" w:cs="Times New Roman"/>
          <w:sz w:val="24"/>
          <w:szCs w:val="24"/>
        </w:rPr>
        <w:t xml:space="preserve"> as </w:t>
      </w:r>
      <w:r w:rsidR="00324B15">
        <w:rPr>
          <w:rFonts w:ascii="Times New Roman" w:hAnsi="Times New Roman" w:cs="Times New Roman"/>
          <w:sz w:val="24"/>
          <w:szCs w:val="24"/>
        </w:rPr>
        <w:t>% moisture</w:t>
      </w:r>
      <w:r w:rsidR="00324B15">
        <w:rPr>
          <w:rFonts w:ascii="Times New Roman" w:hAnsi="Times New Roman" w:cs="Times New Roman"/>
          <w:sz w:val="24"/>
          <w:szCs w:val="24"/>
        </w:rPr>
        <w:t xml:space="preserve"> absorption by composites</w:t>
      </w:r>
      <w:r w:rsidR="00D5723A">
        <w:rPr>
          <w:rFonts w:ascii="Times New Roman" w:hAnsi="Times New Roman" w:cs="Times New Roman"/>
          <w:sz w:val="24"/>
          <w:szCs w:val="24"/>
        </w:rPr>
        <w:t>.</w:t>
      </w:r>
    </w:p>
    <w:p w14:paraId="0056FFE6" w14:textId="55D25C57" w:rsidR="00664EEB" w:rsidRPr="00EA45EA" w:rsidRDefault="00664EEB" w:rsidP="00664EEB">
      <w:pPr>
        <w:spacing w:line="480" w:lineRule="auto"/>
        <w:jc w:val="center"/>
        <w:rPr>
          <w:rFonts w:ascii="Times New Roman" w:hAnsi="Times New Roman" w:cs="Times New Roman"/>
          <w:sz w:val="24"/>
          <w:szCs w:val="24"/>
        </w:rPr>
      </w:pPr>
      <m:oMath>
        <m:r>
          <w:rPr>
            <w:rFonts w:ascii="Cambria Math" w:hAnsi="Cambria Math" w:cs="Times New Roman"/>
            <w:sz w:val="24"/>
            <w:szCs w:val="24"/>
          </w:rPr>
          <m:t>W%=</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X 100</m:t>
        </m:r>
      </m:oMath>
      <w:r w:rsidRPr="00EA45EA">
        <w:rPr>
          <w:rFonts w:ascii="Times New Roman" w:hAnsi="Times New Roman" w:cs="Times New Roman"/>
          <w:sz w:val="24"/>
          <w:szCs w:val="24"/>
        </w:rPr>
        <w:t>……………………………………………(</w:t>
      </w:r>
      <w:r w:rsidR="00D5723A">
        <w:rPr>
          <w:rFonts w:ascii="Times New Roman" w:hAnsi="Times New Roman" w:cs="Times New Roman"/>
          <w:sz w:val="24"/>
          <w:szCs w:val="24"/>
        </w:rPr>
        <w:t>i</w:t>
      </w:r>
      <w:r w:rsidRPr="00EA45EA">
        <w:rPr>
          <w:rFonts w:ascii="Times New Roman" w:hAnsi="Times New Roman" w:cs="Times New Roman"/>
          <w:sz w:val="24"/>
          <w:szCs w:val="24"/>
        </w:rPr>
        <w:t>)</w:t>
      </w:r>
    </w:p>
    <w:p w14:paraId="5847520E" w14:textId="193902D7" w:rsidR="00664EEB" w:rsidRPr="00B66823" w:rsidRDefault="00664EEB" w:rsidP="00B66823">
      <w:pPr>
        <w:spacing w:line="480" w:lineRule="auto"/>
        <w:jc w:val="both"/>
        <w:rPr>
          <w:rFonts w:ascii="Times New Roman" w:hAnsi="Times New Roman" w:cs="Times New Roman"/>
          <w:color w:val="000000"/>
          <w:sz w:val="24"/>
          <w:szCs w:val="24"/>
        </w:rPr>
      </w:pPr>
      <w:r w:rsidRPr="00EA45EA">
        <w:rPr>
          <w:rFonts w:ascii="Times New Roman" w:hAnsi="Times New Roman" w:cs="Times New Roman"/>
          <w:color w:val="000000"/>
          <w:sz w:val="24"/>
          <w:szCs w:val="24"/>
        </w:rPr>
        <w:lastRenderedPageBreak/>
        <w:t xml:space="preserve">where, W% is the </w:t>
      </w:r>
      <w:r w:rsidR="00EA131A">
        <w:rPr>
          <w:rFonts w:ascii="Times New Roman" w:hAnsi="Times New Roman" w:cs="Times New Roman"/>
          <w:color w:val="000000"/>
          <w:sz w:val="24"/>
          <w:szCs w:val="24"/>
        </w:rPr>
        <w:t xml:space="preserve">composite </w:t>
      </w:r>
      <w:r w:rsidRPr="00EA45EA">
        <w:rPr>
          <w:rFonts w:ascii="Times New Roman" w:hAnsi="Times New Roman" w:cs="Times New Roman"/>
          <w:color w:val="000000"/>
          <w:sz w:val="24"/>
          <w:szCs w:val="24"/>
        </w:rPr>
        <w:t>weight gain in percentage, W</w:t>
      </w:r>
      <w:r w:rsidRPr="00EA45EA">
        <w:rPr>
          <w:rFonts w:ascii="Times New Roman" w:hAnsi="Times New Roman" w:cs="Times New Roman"/>
          <w:color w:val="000000"/>
          <w:sz w:val="24"/>
          <w:szCs w:val="24"/>
          <w:vertAlign w:val="subscript"/>
        </w:rPr>
        <w:t>1</w:t>
      </w:r>
      <w:r w:rsidRPr="00EA45EA">
        <w:rPr>
          <w:rFonts w:ascii="Times New Roman" w:hAnsi="Times New Roman" w:cs="Times New Roman"/>
          <w:color w:val="000000"/>
          <w:sz w:val="24"/>
          <w:szCs w:val="24"/>
        </w:rPr>
        <w:t xml:space="preserve"> is the weight of </w:t>
      </w:r>
      <w:r w:rsidR="005541A5">
        <w:rPr>
          <w:rFonts w:ascii="Times New Roman" w:hAnsi="Times New Roman" w:cs="Times New Roman"/>
          <w:color w:val="000000"/>
          <w:sz w:val="24"/>
          <w:szCs w:val="24"/>
        </w:rPr>
        <w:t xml:space="preserve">composite </w:t>
      </w:r>
      <w:r w:rsidRPr="00EA45EA">
        <w:rPr>
          <w:rFonts w:ascii="Times New Roman" w:hAnsi="Times New Roman" w:cs="Times New Roman"/>
          <w:color w:val="000000"/>
          <w:sz w:val="24"/>
          <w:szCs w:val="24"/>
        </w:rPr>
        <w:t xml:space="preserve">after </w:t>
      </w:r>
      <w:r w:rsidR="00BE0D86">
        <w:rPr>
          <w:rFonts w:ascii="Times New Roman" w:hAnsi="Times New Roman" w:cs="Times New Roman"/>
          <w:color w:val="000000"/>
          <w:sz w:val="24"/>
          <w:szCs w:val="24"/>
        </w:rPr>
        <w:t>each</w:t>
      </w:r>
      <w:r w:rsidR="005541A5">
        <w:rPr>
          <w:rFonts w:ascii="Times New Roman" w:hAnsi="Times New Roman" w:cs="Times New Roman"/>
          <w:color w:val="000000"/>
          <w:sz w:val="24"/>
          <w:szCs w:val="24"/>
        </w:rPr>
        <w:t xml:space="preserve"> day</w:t>
      </w:r>
      <w:r w:rsidRPr="00EA45EA">
        <w:rPr>
          <w:rFonts w:ascii="Times New Roman" w:hAnsi="Times New Roman" w:cs="Times New Roman"/>
          <w:color w:val="000000"/>
          <w:sz w:val="24"/>
          <w:szCs w:val="24"/>
        </w:rPr>
        <w:t>, and W</w:t>
      </w:r>
      <w:r w:rsidRPr="00EA45EA">
        <w:rPr>
          <w:rFonts w:ascii="Times New Roman" w:hAnsi="Times New Roman" w:cs="Times New Roman"/>
          <w:color w:val="000000"/>
          <w:sz w:val="24"/>
          <w:szCs w:val="24"/>
          <w:vertAlign w:val="subscript"/>
        </w:rPr>
        <w:t>2</w:t>
      </w:r>
      <w:r w:rsidRPr="00EA45EA">
        <w:rPr>
          <w:rFonts w:ascii="Times New Roman" w:hAnsi="Times New Roman" w:cs="Times New Roman"/>
          <w:color w:val="000000"/>
          <w:sz w:val="24"/>
          <w:szCs w:val="24"/>
        </w:rPr>
        <w:t xml:space="preserve"> is the dry weight of sample before immersion in distilled water.</w:t>
      </w:r>
      <w:r w:rsidR="00B97558">
        <w:rPr>
          <w:rFonts w:ascii="Times New Roman" w:hAnsi="Times New Roman" w:cs="Times New Roman"/>
          <w:color w:val="000000"/>
          <w:sz w:val="24"/>
          <w:szCs w:val="24"/>
        </w:rPr>
        <w:t xml:space="preserve"> Principal component analysis (PCA) and Hierarchical cluster analysis (HCA) w</w:t>
      </w:r>
      <w:r w:rsidR="008A3331">
        <w:rPr>
          <w:rFonts w:ascii="Times New Roman" w:hAnsi="Times New Roman" w:cs="Times New Roman"/>
          <w:color w:val="000000"/>
          <w:sz w:val="24"/>
          <w:szCs w:val="24"/>
        </w:rPr>
        <w:t>as</w:t>
      </w:r>
      <w:r w:rsidR="00B97558">
        <w:rPr>
          <w:rFonts w:ascii="Times New Roman" w:hAnsi="Times New Roman" w:cs="Times New Roman"/>
          <w:color w:val="000000"/>
          <w:sz w:val="24"/>
          <w:szCs w:val="24"/>
        </w:rPr>
        <w:t xml:space="preserve"> carried out on data.</w:t>
      </w:r>
    </w:p>
    <w:p w14:paraId="727E2E96" w14:textId="2D4557D5" w:rsidR="00997384" w:rsidRPr="00CE4C4F" w:rsidRDefault="006978CD">
      <w:pPr>
        <w:spacing w:after="0"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3.0 Results and Discussion</w:t>
      </w:r>
    </w:p>
    <w:p w14:paraId="6DCE2FCB" w14:textId="77777777" w:rsidR="00997384" w:rsidRPr="00CE4C4F" w:rsidRDefault="006978CD">
      <w:pPr>
        <w:spacing w:after="0"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3.1 Characterization of bio-polymer composites</w:t>
      </w:r>
    </w:p>
    <w:p w14:paraId="0FD72205" w14:textId="476C43E0" w:rsidR="00DB7187" w:rsidRPr="00CE4C4F" w:rsidRDefault="00DB7187">
      <w:pPr>
        <w:spacing w:after="0"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The following characterizations were carried out on prepared bio-polymer composites from </w:t>
      </w:r>
      <w:r w:rsidRPr="00CE4C4F">
        <w:rPr>
          <w:rFonts w:ascii="Times New Roman" w:eastAsia="SimSun" w:hAnsi="Times New Roman" w:cs="Times New Roman"/>
          <w:color w:val="000000"/>
          <w:sz w:val="24"/>
          <w:szCs w:val="24"/>
        </w:rPr>
        <w:t>Coconut shell (CS), Saw dust (SD) and Hybrid (H)</w:t>
      </w:r>
      <w:r w:rsidRPr="00CE4C4F">
        <w:rPr>
          <w:rFonts w:ascii="Times New Roman" w:eastAsia="SimSun" w:hAnsi="Times New Roman" w:cs="Times New Roman"/>
          <w:color w:val="000000"/>
          <w:sz w:val="24"/>
          <w:szCs w:val="24"/>
        </w:rPr>
        <w:t>.</w:t>
      </w:r>
    </w:p>
    <w:p w14:paraId="1A0C6FF7" w14:textId="77777777"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3.1.1 Surface morphology of bio-polymer composites</w:t>
      </w:r>
    </w:p>
    <w:p w14:paraId="6A301BE3" w14:textId="77777777"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noProof/>
          <w:sz w:val="24"/>
          <w:szCs w:val="24"/>
        </w:rPr>
        <w:drawing>
          <wp:inline distT="0" distB="0" distL="0" distR="0" wp14:anchorId="2F532C0D" wp14:editId="24CDBB60">
            <wp:extent cx="5892165" cy="1795780"/>
            <wp:effectExtent l="0" t="0" r="0" b="0"/>
            <wp:docPr id="376061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6136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084" r="2225" b="37028"/>
                    <a:stretch>
                      <a:fillRect/>
                    </a:stretch>
                  </pic:blipFill>
                  <pic:spPr>
                    <a:xfrm>
                      <a:off x="0" y="0"/>
                      <a:ext cx="5904191" cy="1799771"/>
                    </a:xfrm>
                    <a:prstGeom prst="rect">
                      <a:avLst/>
                    </a:prstGeom>
                    <a:noFill/>
                    <a:ln>
                      <a:noFill/>
                    </a:ln>
                  </pic:spPr>
                </pic:pic>
              </a:graphicData>
            </a:graphic>
          </wp:inline>
        </w:drawing>
      </w:r>
    </w:p>
    <w:p w14:paraId="52AAC667" w14:textId="77777777"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Figure1: SEM images for bio-polymer composites (CSR, SD and H)</w:t>
      </w:r>
    </w:p>
    <w:p w14:paraId="7C8A4FAE" w14:textId="54DA4922"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The morphology of bio polymer composite material depends on the processing conditions, nature components, weight fractions, and component melt viscosities. The </w:t>
      </w:r>
      <w:r w:rsidR="00686ACB" w:rsidRPr="00CE4C4F">
        <w:rPr>
          <w:rFonts w:ascii="Times New Roman" w:hAnsi="Times New Roman" w:cs="Times New Roman"/>
          <w:sz w:val="24"/>
          <w:szCs w:val="24"/>
        </w:rPr>
        <w:t xml:space="preserve">SEM images </w:t>
      </w:r>
      <w:r w:rsidR="00686ACB" w:rsidRPr="00CE4C4F">
        <w:rPr>
          <w:rFonts w:ascii="Times New Roman" w:hAnsi="Times New Roman" w:cs="Times New Roman"/>
          <w:sz w:val="24"/>
          <w:szCs w:val="24"/>
        </w:rPr>
        <w:t xml:space="preserve">for </w:t>
      </w:r>
      <w:r w:rsidRPr="00CE4C4F">
        <w:rPr>
          <w:rFonts w:ascii="Times New Roman" w:eastAsia="SimSun" w:hAnsi="Times New Roman" w:cs="Times New Roman"/>
          <w:color w:val="000000"/>
          <w:sz w:val="24"/>
          <w:szCs w:val="24"/>
        </w:rPr>
        <w:t>Coconut shell residue (CSR), Saw dust (SD) and Hybrid (H)</w:t>
      </w:r>
      <w:r w:rsidRPr="00CE4C4F">
        <w:rPr>
          <w:rFonts w:ascii="Times New Roman" w:eastAsia="SimSun" w:hAnsi="Times New Roman" w:cs="Times New Roman"/>
          <w:b/>
          <w:bCs/>
          <w:color w:val="000000"/>
          <w:sz w:val="24"/>
          <w:szCs w:val="24"/>
        </w:rPr>
        <w:t xml:space="preserve"> </w:t>
      </w:r>
      <w:r w:rsidRPr="00CE4C4F">
        <w:rPr>
          <w:rFonts w:ascii="Times New Roman" w:eastAsia="SimSun" w:hAnsi="Times New Roman" w:cs="Times New Roman"/>
          <w:color w:val="000000"/>
          <w:sz w:val="24"/>
          <w:szCs w:val="24"/>
        </w:rPr>
        <w:t>filler</w:t>
      </w:r>
      <w:r w:rsidRPr="00CE4C4F">
        <w:rPr>
          <w:rFonts w:ascii="Times New Roman" w:eastAsia="SimSun" w:hAnsi="Times New Roman" w:cs="Times New Roman"/>
          <w:b/>
          <w:bCs/>
          <w:color w:val="000000"/>
          <w:sz w:val="24"/>
          <w:szCs w:val="24"/>
        </w:rPr>
        <w:t xml:space="preserve"> </w:t>
      </w:r>
      <w:r w:rsidRPr="00CE4C4F">
        <w:rPr>
          <w:rFonts w:ascii="Times New Roman" w:eastAsia="SimSun" w:hAnsi="Times New Roman" w:cs="Times New Roman"/>
          <w:color w:val="000000"/>
          <w:sz w:val="24"/>
          <w:szCs w:val="24"/>
        </w:rPr>
        <w:t>bio-polymer</w:t>
      </w:r>
      <w:r w:rsidRPr="00CE4C4F">
        <w:rPr>
          <w:rFonts w:ascii="Times New Roman" w:eastAsia="SimSun" w:hAnsi="Times New Roman" w:cs="Times New Roman"/>
          <w:b/>
          <w:bCs/>
          <w:color w:val="000000"/>
          <w:sz w:val="24"/>
          <w:szCs w:val="24"/>
        </w:rPr>
        <w:t xml:space="preserve"> </w:t>
      </w:r>
      <w:r w:rsidRPr="00CE4C4F">
        <w:rPr>
          <w:rFonts w:ascii="Times New Roman" w:eastAsia="SimSun" w:hAnsi="Times New Roman" w:cs="Times New Roman"/>
          <w:color w:val="000000"/>
          <w:sz w:val="24"/>
          <w:szCs w:val="24"/>
        </w:rPr>
        <w:t>composites</w:t>
      </w:r>
      <w:r w:rsidRPr="00CE4C4F">
        <w:rPr>
          <w:rFonts w:ascii="Times New Roman" w:hAnsi="Times New Roman" w:cs="Times New Roman"/>
          <w:sz w:val="24"/>
          <w:szCs w:val="24"/>
        </w:rPr>
        <w:t xml:space="preserve"> are shown in Figure1, the images showed rough and heterogenous surfaces from the various filler additions to polymer matrix. The micrographs s</w:t>
      </w:r>
      <w:r w:rsidR="0003394A" w:rsidRPr="00CE4C4F">
        <w:rPr>
          <w:rFonts w:ascii="Times New Roman" w:hAnsi="Times New Roman" w:cs="Times New Roman"/>
          <w:sz w:val="24"/>
          <w:szCs w:val="24"/>
        </w:rPr>
        <w:t>how</w:t>
      </w:r>
      <w:r w:rsidRPr="00CE4C4F">
        <w:rPr>
          <w:rFonts w:ascii="Times New Roman" w:hAnsi="Times New Roman" w:cs="Times New Roman"/>
          <w:sz w:val="24"/>
          <w:szCs w:val="24"/>
        </w:rPr>
        <w:t xml:space="preserve"> that the particle distribution </w:t>
      </w:r>
      <w:r w:rsidR="0003394A" w:rsidRPr="00CE4C4F">
        <w:rPr>
          <w:rFonts w:ascii="Times New Roman" w:hAnsi="Times New Roman" w:cs="Times New Roman"/>
          <w:sz w:val="24"/>
          <w:szCs w:val="24"/>
        </w:rPr>
        <w:t>i</w:t>
      </w:r>
      <w:r w:rsidRPr="00CE4C4F">
        <w:rPr>
          <w:rFonts w:ascii="Times New Roman" w:hAnsi="Times New Roman" w:cs="Times New Roman"/>
          <w:sz w:val="24"/>
          <w:szCs w:val="24"/>
        </w:rPr>
        <w:t xml:space="preserve">s essentially homogeneous and that there </w:t>
      </w:r>
      <w:r w:rsidR="0003394A" w:rsidRPr="00CE4C4F">
        <w:rPr>
          <w:rFonts w:ascii="Times New Roman" w:hAnsi="Times New Roman" w:cs="Times New Roman"/>
          <w:sz w:val="24"/>
          <w:szCs w:val="24"/>
        </w:rPr>
        <w:t>i</w:t>
      </w:r>
      <w:r w:rsidRPr="00CE4C4F">
        <w:rPr>
          <w:rFonts w:ascii="Times New Roman" w:hAnsi="Times New Roman" w:cs="Times New Roman"/>
          <w:sz w:val="24"/>
          <w:szCs w:val="24"/>
        </w:rPr>
        <w:t xml:space="preserve">s </w:t>
      </w:r>
      <w:r w:rsidR="0003394A" w:rsidRPr="00CE4C4F">
        <w:rPr>
          <w:rFonts w:ascii="Times New Roman" w:hAnsi="Times New Roman" w:cs="Times New Roman"/>
          <w:sz w:val="24"/>
          <w:szCs w:val="24"/>
        </w:rPr>
        <w:t xml:space="preserve">a </w:t>
      </w:r>
      <w:r w:rsidRPr="00CE4C4F">
        <w:rPr>
          <w:rFonts w:ascii="Times New Roman" w:hAnsi="Times New Roman" w:cs="Times New Roman"/>
          <w:sz w:val="24"/>
          <w:szCs w:val="24"/>
        </w:rPr>
        <w:t xml:space="preserve">strong interfacial adhesion at the filler/matrix contact. The filler particles </w:t>
      </w:r>
      <w:r w:rsidR="00E81FDC" w:rsidRPr="00CE4C4F">
        <w:rPr>
          <w:rFonts w:ascii="Times New Roman" w:hAnsi="Times New Roman" w:cs="Times New Roman"/>
          <w:sz w:val="24"/>
          <w:szCs w:val="24"/>
        </w:rPr>
        <w:t>a</w:t>
      </w:r>
      <w:r w:rsidRPr="00CE4C4F">
        <w:rPr>
          <w:rFonts w:ascii="Times New Roman" w:hAnsi="Times New Roman" w:cs="Times New Roman"/>
          <w:sz w:val="24"/>
          <w:szCs w:val="24"/>
        </w:rPr>
        <w:t xml:space="preserve">re not coming </w:t>
      </w:r>
      <w:r w:rsidR="00B632AA" w:rsidRPr="00CE4C4F">
        <w:rPr>
          <w:rFonts w:ascii="Times New Roman" w:hAnsi="Times New Roman" w:cs="Times New Roman"/>
          <w:sz w:val="24"/>
          <w:szCs w:val="24"/>
        </w:rPr>
        <w:t>off but</w:t>
      </w:r>
      <w:r w:rsidRPr="00CE4C4F">
        <w:rPr>
          <w:rFonts w:ascii="Times New Roman" w:hAnsi="Times New Roman" w:cs="Times New Roman"/>
          <w:sz w:val="24"/>
          <w:szCs w:val="24"/>
        </w:rPr>
        <w:t xml:space="preserve"> </w:t>
      </w:r>
      <w:r w:rsidR="00A0594A" w:rsidRPr="00CE4C4F">
        <w:rPr>
          <w:rFonts w:ascii="Times New Roman" w:hAnsi="Times New Roman" w:cs="Times New Roman"/>
          <w:sz w:val="24"/>
          <w:szCs w:val="24"/>
        </w:rPr>
        <w:t>a</w:t>
      </w:r>
      <w:r w:rsidRPr="00CE4C4F">
        <w:rPr>
          <w:rFonts w:ascii="Times New Roman" w:hAnsi="Times New Roman" w:cs="Times New Roman"/>
          <w:sz w:val="24"/>
          <w:szCs w:val="24"/>
        </w:rPr>
        <w:t>re still firmly linked to the matrix material</w:t>
      </w:r>
      <w:r w:rsidR="00410ACC" w:rsidRPr="00CE4C4F">
        <w:rPr>
          <w:rFonts w:ascii="Times New Roman" w:hAnsi="Times New Roman" w:cs="Times New Roman"/>
          <w:sz w:val="24"/>
          <w:szCs w:val="24"/>
        </w:rPr>
        <w:t xml:space="preserve"> indicating</w:t>
      </w:r>
      <w:r w:rsidRPr="00CE4C4F">
        <w:rPr>
          <w:rFonts w:ascii="Times New Roman" w:hAnsi="Times New Roman" w:cs="Times New Roman"/>
          <w:sz w:val="24"/>
          <w:szCs w:val="24"/>
        </w:rPr>
        <w:t xml:space="preserve"> ideal bonding. Also at the </w:t>
      </w:r>
      <w:r w:rsidRPr="00CE4C4F">
        <w:rPr>
          <w:rFonts w:ascii="Times New Roman" w:hAnsi="Times New Roman" w:cs="Times New Roman"/>
          <w:sz w:val="24"/>
          <w:szCs w:val="24"/>
        </w:rPr>
        <w:lastRenderedPageBreak/>
        <w:t xml:space="preserve">constituents' bonding sites, void areas </w:t>
      </w:r>
      <w:r w:rsidR="00B632AA" w:rsidRPr="00CE4C4F">
        <w:rPr>
          <w:rFonts w:ascii="Times New Roman" w:hAnsi="Times New Roman" w:cs="Times New Roman"/>
          <w:sz w:val="24"/>
          <w:szCs w:val="24"/>
        </w:rPr>
        <w:t>a</w:t>
      </w:r>
      <w:r w:rsidR="00E16202" w:rsidRPr="00CE4C4F">
        <w:rPr>
          <w:rFonts w:ascii="Times New Roman" w:hAnsi="Times New Roman" w:cs="Times New Roman"/>
          <w:sz w:val="24"/>
          <w:szCs w:val="24"/>
        </w:rPr>
        <w:t>r</w:t>
      </w:r>
      <w:r w:rsidRPr="00CE4C4F">
        <w:rPr>
          <w:rFonts w:ascii="Times New Roman" w:hAnsi="Times New Roman" w:cs="Times New Roman"/>
          <w:sz w:val="24"/>
          <w:szCs w:val="24"/>
        </w:rPr>
        <w:t xml:space="preserve">e not seen. In general, the micrographs demonstrate a notable impact of the filler elements on the composites. Reitman </w:t>
      </w:r>
      <w:r w:rsidRPr="00CE4C4F">
        <w:rPr>
          <w:rFonts w:ascii="Times New Roman" w:hAnsi="Times New Roman" w:cs="Times New Roman"/>
          <w:i/>
          <w:iCs/>
          <w:sz w:val="24"/>
          <w:szCs w:val="24"/>
        </w:rPr>
        <w:t>et al.,</w:t>
      </w:r>
      <w:r w:rsidRPr="00CE4C4F">
        <w:rPr>
          <w:rFonts w:ascii="Times New Roman" w:hAnsi="Times New Roman" w:cs="Times New Roman"/>
          <w:sz w:val="24"/>
          <w:szCs w:val="24"/>
        </w:rPr>
        <w:t xml:space="preserve"> (2019)</w:t>
      </w:r>
      <w:r w:rsidR="00E16202" w:rsidRPr="00CE4C4F">
        <w:rPr>
          <w:rFonts w:ascii="Times New Roman" w:hAnsi="Times New Roman" w:cs="Times New Roman"/>
          <w:sz w:val="24"/>
          <w:szCs w:val="24"/>
        </w:rPr>
        <w:t xml:space="preserve"> s</w:t>
      </w:r>
      <w:r w:rsidRPr="00CE4C4F">
        <w:rPr>
          <w:rFonts w:ascii="Times New Roman" w:hAnsi="Times New Roman" w:cs="Times New Roman"/>
          <w:sz w:val="24"/>
          <w:szCs w:val="24"/>
        </w:rPr>
        <w:t xml:space="preserve">uggested that the reduction to finer particle sizes will greatly improve interfacial contact of the two distinct fillers used in the composites and the polymer matrix and in turn enhance the mechanical properties and moisture absorption. Ogudo, </w:t>
      </w:r>
      <w:r w:rsidRPr="00CE4C4F">
        <w:rPr>
          <w:rFonts w:ascii="Times New Roman" w:hAnsi="Times New Roman" w:cs="Times New Roman"/>
          <w:i/>
          <w:iCs/>
          <w:sz w:val="24"/>
          <w:szCs w:val="24"/>
        </w:rPr>
        <w:t>et al.,</w:t>
      </w:r>
      <w:r w:rsidRPr="00CE4C4F">
        <w:rPr>
          <w:rFonts w:ascii="Times New Roman" w:hAnsi="Times New Roman" w:cs="Times New Roman"/>
          <w:sz w:val="24"/>
          <w:szCs w:val="24"/>
        </w:rPr>
        <w:t xml:space="preserve"> (2021) noted a degree of homogeneity in agro-waste to LDPE composites and this was observed to influenced their moisture absorptivity as the hydrophobic and hydrophilic components of the materials played a significant role in the degradation of the composites.</w:t>
      </w:r>
    </w:p>
    <w:p w14:paraId="7C305EC4" w14:textId="77777777" w:rsidR="006D13C4" w:rsidRPr="00CE4C4F" w:rsidRDefault="006D13C4">
      <w:pPr>
        <w:spacing w:line="480" w:lineRule="auto"/>
        <w:jc w:val="both"/>
        <w:rPr>
          <w:rFonts w:ascii="Times New Roman" w:hAnsi="Times New Roman" w:cs="Times New Roman"/>
          <w:b/>
          <w:bCs/>
          <w:sz w:val="24"/>
          <w:szCs w:val="24"/>
        </w:rPr>
      </w:pPr>
    </w:p>
    <w:p w14:paraId="611FC67D" w14:textId="6AAFFAAB"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3.1.2 FTIR Analysis</w:t>
      </w:r>
    </w:p>
    <w:p w14:paraId="1B0E820E" w14:textId="77777777" w:rsidR="00997384" w:rsidRPr="00CE4C4F" w:rsidRDefault="006978CD">
      <w:pPr>
        <w:spacing w:line="480" w:lineRule="auto"/>
        <w:jc w:val="both"/>
        <w:rPr>
          <w14:ligatures w14:val="standardContextual"/>
        </w:rPr>
      </w:pPr>
      <w:r w:rsidRPr="00CE4C4F">
        <w:rPr>
          <w:rFonts w:ascii="Times New Roman" w:hAnsi="Times New Roman" w:cs="Times New Roman"/>
          <w:noProof/>
          <w:sz w:val="24"/>
          <w:szCs w:val="24"/>
        </w:rPr>
        <w:drawing>
          <wp:inline distT="0" distB="0" distL="0" distR="0" wp14:anchorId="039A24C0" wp14:editId="4B80892E">
            <wp:extent cx="5902960" cy="3060700"/>
            <wp:effectExtent l="0" t="0" r="2540" b="6350"/>
            <wp:docPr id="448822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22260" name="Picture 1"/>
                    <pic:cNvPicPr>
                      <a:picLocks noChangeAspect="1" noChangeArrowheads="1"/>
                    </pic:cNvPicPr>
                  </pic:nvPicPr>
                  <pic:blipFill>
                    <a:blip r:embed="rId7">
                      <a:extLst>
                        <a:ext uri="{28A0092B-C50C-407E-A947-70E740481C1C}">
                          <a14:useLocalDpi xmlns:a14="http://schemas.microsoft.com/office/drawing/2010/main" val="0"/>
                        </a:ext>
                      </a:extLst>
                    </a:blip>
                    <a:srcRect l="5060" t="3534" r="13236" b="3294"/>
                    <a:stretch>
                      <a:fillRect/>
                    </a:stretch>
                  </pic:blipFill>
                  <pic:spPr>
                    <a:xfrm>
                      <a:off x="0" y="0"/>
                      <a:ext cx="5924929" cy="3072645"/>
                    </a:xfrm>
                    <a:prstGeom prst="rect">
                      <a:avLst/>
                    </a:prstGeom>
                    <a:noFill/>
                    <a:ln>
                      <a:noFill/>
                    </a:ln>
                  </pic:spPr>
                </pic:pic>
              </a:graphicData>
            </a:graphic>
          </wp:inline>
        </w:drawing>
      </w:r>
    </w:p>
    <w:p w14:paraId="16A001FE" w14:textId="77777777" w:rsidR="00997384" w:rsidRPr="00CE4C4F" w:rsidRDefault="006978CD">
      <w:pPr>
        <w:spacing w:line="480" w:lineRule="auto"/>
        <w:jc w:val="both"/>
        <w:rPr>
          <w:b/>
          <w:bCs/>
          <w14:ligatures w14:val="standardContextual"/>
        </w:rPr>
      </w:pPr>
      <w:r w:rsidRPr="00CE4C4F">
        <w:rPr>
          <w:rFonts w:ascii="Times New Roman" w:hAnsi="Times New Roman" w:cs="Times New Roman"/>
          <w:b/>
          <w:bCs/>
          <w:sz w:val="24"/>
          <w:szCs w:val="24"/>
        </w:rPr>
        <w:t xml:space="preserve">Figure 2: FTIR spectra </w:t>
      </w:r>
      <w:r w:rsidRPr="00CE4C4F">
        <w:rPr>
          <w:rFonts w:ascii="Times New Roman" w:eastAsia="SimSun" w:hAnsi="Times New Roman" w:cs="Times New Roman"/>
          <w:b/>
          <w:bCs/>
          <w:color w:val="000000"/>
          <w:sz w:val="24"/>
          <w:szCs w:val="24"/>
        </w:rPr>
        <w:t xml:space="preserve">for Coconut shell (CS), Saw dust (SD) and Hybrid (HB) </w:t>
      </w:r>
      <w:r w:rsidRPr="00CE4C4F">
        <w:rPr>
          <w:rFonts w:ascii="Times New Roman" w:hAnsi="Times New Roman" w:cs="Times New Roman"/>
          <w:b/>
          <w:bCs/>
          <w:sz w:val="24"/>
          <w:szCs w:val="24"/>
        </w:rPr>
        <w:t>bio-polymer composites</w:t>
      </w:r>
    </w:p>
    <w:p w14:paraId="64680BDD" w14:textId="5F6A68F2" w:rsidR="00560D07" w:rsidRPr="00CE4C4F" w:rsidRDefault="006978CD" w:rsidP="00560D07">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lastRenderedPageBreak/>
        <w:t xml:space="preserve">Figure 2. shows the FTIR spectra </w:t>
      </w:r>
      <w:r w:rsidRPr="00CE4C4F">
        <w:rPr>
          <w:rFonts w:ascii="Times New Roman" w:eastAsia="SimSun" w:hAnsi="Times New Roman" w:cs="Times New Roman"/>
          <w:color w:val="000000"/>
          <w:sz w:val="24"/>
          <w:szCs w:val="24"/>
        </w:rPr>
        <w:t xml:space="preserve">for Coconut shell (CS), Saw dust (SD) and Hybrid (HB) </w:t>
      </w:r>
      <w:r w:rsidRPr="00CE4C4F">
        <w:rPr>
          <w:rFonts w:ascii="Times New Roman" w:hAnsi="Times New Roman" w:cs="Times New Roman"/>
          <w:sz w:val="24"/>
          <w:szCs w:val="24"/>
        </w:rPr>
        <w:t>bio-polymer composites, the characteristic peaks of polyethylene such as the C-H stretching vibrations between 2915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xml:space="preserve"> and 2848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xml:space="preserve"> the CH</w:t>
      </w:r>
      <w:r w:rsidRPr="00CE4C4F">
        <w:rPr>
          <w:rFonts w:ascii="Times New Roman" w:hAnsi="Times New Roman" w:cs="Times New Roman"/>
          <w:sz w:val="24"/>
          <w:szCs w:val="24"/>
          <w:vertAlign w:val="subscript"/>
        </w:rPr>
        <w:t>2</w:t>
      </w:r>
      <w:r w:rsidRPr="00CE4C4F">
        <w:rPr>
          <w:rFonts w:ascii="Times New Roman" w:hAnsi="Times New Roman" w:cs="Times New Roman"/>
          <w:sz w:val="24"/>
          <w:szCs w:val="24"/>
        </w:rPr>
        <w:t xml:space="preserve"> bending vibrations from 1461 to 1501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and the vibrations from 716 to 1000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xml:space="preserve">, </w:t>
      </w:r>
      <w:r w:rsidR="00914361" w:rsidRPr="00CE4C4F">
        <w:rPr>
          <w:rFonts w:ascii="Times New Roman" w:hAnsi="Times New Roman" w:cs="Times New Roman"/>
          <w:sz w:val="24"/>
          <w:szCs w:val="24"/>
        </w:rPr>
        <w:t xml:space="preserve"> were observed, a</w:t>
      </w:r>
      <w:r w:rsidRPr="00CE4C4F">
        <w:rPr>
          <w:rFonts w:ascii="Times New Roman" w:hAnsi="Times New Roman" w:cs="Times New Roman"/>
          <w:sz w:val="24"/>
          <w:szCs w:val="24"/>
        </w:rPr>
        <w:t>lso, a small peak at 1370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xml:space="preserve"> appears for the composites due to CH</w:t>
      </w:r>
      <w:r w:rsidRPr="00CE4C4F">
        <w:rPr>
          <w:rFonts w:ascii="Times New Roman" w:hAnsi="Times New Roman" w:cs="Times New Roman"/>
          <w:sz w:val="24"/>
          <w:szCs w:val="24"/>
          <w:vertAlign w:val="subscript"/>
        </w:rPr>
        <w:t>3</w:t>
      </w:r>
      <w:r w:rsidRPr="00CE4C4F">
        <w:rPr>
          <w:rFonts w:ascii="Times New Roman" w:hAnsi="Times New Roman" w:cs="Times New Roman"/>
          <w:sz w:val="24"/>
          <w:szCs w:val="24"/>
        </w:rPr>
        <w:t xml:space="preserve"> symmetric deformation vibrations.</w:t>
      </w:r>
      <w:r w:rsidR="00161E14" w:rsidRPr="00CE4C4F">
        <w:rPr>
          <w:rFonts w:ascii="Times New Roman" w:hAnsi="Times New Roman" w:cs="Times New Roman"/>
          <w:sz w:val="24"/>
          <w:szCs w:val="24"/>
        </w:rPr>
        <w:t xml:space="preserve"> A far reduction in the hydroxyl </w:t>
      </w:r>
      <w:r w:rsidR="00FF46F4" w:rsidRPr="00CE4C4F">
        <w:rPr>
          <w:rFonts w:ascii="Times New Roman" w:hAnsi="Times New Roman" w:cs="Times New Roman"/>
          <w:sz w:val="24"/>
          <w:szCs w:val="24"/>
        </w:rPr>
        <w:t xml:space="preserve">(OH) </w:t>
      </w:r>
      <w:r w:rsidR="00161E14" w:rsidRPr="00CE4C4F">
        <w:rPr>
          <w:rFonts w:ascii="Times New Roman" w:hAnsi="Times New Roman" w:cs="Times New Roman"/>
          <w:sz w:val="24"/>
          <w:szCs w:val="24"/>
        </w:rPr>
        <w:t xml:space="preserve">peak for saw dust was observed after </w:t>
      </w:r>
      <w:r w:rsidR="006E0C62" w:rsidRPr="00CE4C4F">
        <w:rPr>
          <w:rFonts w:ascii="Times New Roman" w:hAnsi="Times New Roman" w:cs="Times New Roman"/>
          <w:sz w:val="24"/>
          <w:szCs w:val="24"/>
        </w:rPr>
        <w:t>alkali pre</w:t>
      </w:r>
      <w:r w:rsidR="00161E14" w:rsidRPr="00CE4C4F">
        <w:rPr>
          <w:rFonts w:ascii="Times New Roman" w:hAnsi="Times New Roman" w:cs="Times New Roman"/>
          <w:sz w:val="24"/>
          <w:szCs w:val="24"/>
        </w:rPr>
        <w:t xml:space="preserve">treatment and also enhanced its performance in mechanical testing. </w:t>
      </w:r>
      <w:r w:rsidRPr="00CE4C4F">
        <w:rPr>
          <w:rFonts w:ascii="Times New Roman" w:hAnsi="Times New Roman" w:cs="Times New Roman"/>
          <w:sz w:val="24"/>
          <w:szCs w:val="24"/>
        </w:rPr>
        <w:t>The presence of OH</w:t>
      </w:r>
      <w:r w:rsidR="00A72148" w:rsidRPr="00CE4C4F">
        <w:rPr>
          <w:rFonts w:ascii="Times New Roman" w:hAnsi="Times New Roman" w:cs="Times New Roman"/>
          <w:sz w:val="24"/>
          <w:szCs w:val="24"/>
        </w:rPr>
        <w:t xml:space="preserve"> peak</w:t>
      </w:r>
      <w:r w:rsidR="00B627FC" w:rsidRPr="00CE4C4F">
        <w:rPr>
          <w:rFonts w:ascii="Times New Roman" w:hAnsi="Times New Roman" w:cs="Times New Roman"/>
          <w:sz w:val="24"/>
          <w:szCs w:val="24"/>
        </w:rPr>
        <w:t xml:space="preserve"> between</w:t>
      </w:r>
      <w:r w:rsidRPr="00CE4C4F">
        <w:rPr>
          <w:rFonts w:ascii="Times New Roman" w:hAnsi="Times New Roman" w:cs="Times New Roman"/>
          <w:sz w:val="24"/>
          <w:szCs w:val="24"/>
        </w:rPr>
        <w:t xml:space="preserve"> 3</w:t>
      </w:r>
      <w:r w:rsidR="00A72148" w:rsidRPr="00CE4C4F">
        <w:rPr>
          <w:rFonts w:ascii="Times New Roman" w:hAnsi="Times New Roman" w:cs="Times New Roman"/>
          <w:sz w:val="24"/>
          <w:szCs w:val="24"/>
        </w:rPr>
        <w:t>0</w:t>
      </w:r>
      <w:r w:rsidRPr="00CE4C4F">
        <w:rPr>
          <w:rFonts w:ascii="Times New Roman" w:hAnsi="Times New Roman" w:cs="Times New Roman"/>
          <w:sz w:val="24"/>
          <w:szCs w:val="24"/>
        </w:rPr>
        <w:t>00-3600 cm</w:t>
      </w:r>
      <w:r w:rsidRPr="00CE4C4F">
        <w:rPr>
          <w:rFonts w:ascii="Times New Roman" w:hAnsi="Times New Roman" w:cs="Times New Roman"/>
          <w:sz w:val="24"/>
          <w:szCs w:val="24"/>
          <w:vertAlign w:val="superscript"/>
        </w:rPr>
        <w:t>-1</w:t>
      </w:r>
      <w:r w:rsidRPr="00CE4C4F">
        <w:rPr>
          <w:rFonts w:ascii="Times New Roman" w:hAnsi="Times New Roman" w:cs="Times New Roman"/>
          <w:sz w:val="24"/>
          <w:szCs w:val="24"/>
        </w:rPr>
        <w:t xml:space="preserve"> can be attributed to the hydroxyl groups from cellulosic component of the filler materials and also </w:t>
      </w:r>
      <w:r w:rsidR="00B627FC" w:rsidRPr="00CE4C4F">
        <w:rPr>
          <w:rFonts w:ascii="Times New Roman" w:hAnsi="Times New Roman" w:cs="Times New Roman"/>
          <w:sz w:val="24"/>
          <w:szCs w:val="24"/>
        </w:rPr>
        <w:t xml:space="preserve">residual </w:t>
      </w:r>
      <w:r w:rsidRPr="00CE4C4F">
        <w:rPr>
          <w:rFonts w:ascii="Times New Roman" w:hAnsi="Times New Roman" w:cs="Times New Roman"/>
          <w:sz w:val="24"/>
          <w:szCs w:val="24"/>
        </w:rPr>
        <w:t xml:space="preserve">moisture absorbed during the preparation of the composite, similar frequencies were noted by Hamin </w:t>
      </w:r>
      <w:r w:rsidRPr="00CE4C4F">
        <w:rPr>
          <w:rFonts w:ascii="Times New Roman" w:hAnsi="Times New Roman" w:cs="Times New Roman"/>
          <w:i/>
          <w:iCs/>
          <w:sz w:val="24"/>
          <w:szCs w:val="24"/>
        </w:rPr>
        <w:t xml:space="preserve">et al., </w:t>
      </w:r>
      <w:r w:rsidRPr="00CE4C4F">
        <w:rPr>
          <w:rFonts w:ascii="Times New Roman" w:hAnsi="Times New Roman" w:cs="Times New Roman"/>
          <w:sz w:val="24"/>
          <w:szCs w:val="24"/>
        </w:rPr>
        <w:t>(2023)</w:t>
      </w:r>
      <w:r w:rsidR="00D974DD" w:rsidRPr="00CE4C4F">
        <w:rPr>
          <w:rFonts w:ascii="Times New Roman" w:hAnsi="Times New Roman" w:cs="Times New Roman"/>
          <w:sz w:val="24"/>
          <w:szCs w:val="24"/>
        </w:rPr>
        <w:t xml:space="preserve"> in</w:t>
      </w:r>
      <w:r w:rsidRPr="00CE4C4F">
        <w:rPr>
          <w:rFonts w:ascii="Times New Roman" w:hAnsi="Times New Roman" w:cs="Times New Roman"/>
          <w:sz w:val="24"/>
          <w:szCs w:val="24"/>
        </w:rPr>
        <w:t xml:space="preserve"> sugarcane bagasse as fill</w:t>
      </w:r>
      <w:r w:rsidR="00D974DD" w:rsidRPr="00CE4C4F">
        <w:rPr>
          <w:rFonts w:ascii="Times New Roman" w:hAnsi="Times New Roman" w:cs="Times New Roman"/>
          <w:sz w:val="24"/>
          <w:szCs w:val="24"/>
        </w:rPr>
        <w:t>ed</w:t>
      </w:r>
      <w:r w:rsidRPr="00CE4C4F">
        <w:rPr>
          <w:rFonts w:ascii="Times New Roman" w:hAnsi="Times New Roman" w:cs="Times New Roman"/>
          <w:sz w:val="24"/>
          <w:szCs w:val="24"/>
        </w:rPr>
        <w:t xml:space="preserve"> polymer composites.</w:t>
      </w:r>
      <w:r w:rsidR="00560D07" w:rsidRPr="00CE4C4F">
        <w:rPr>
          <w:rFonts w:ascii="Times New Roman" w:hAnsi="Times New Roman" w:cs="Times New Roman"/>
          <w:sz w:val="24"/>
          <w:szCs w:val="24"/>
        </w:rPr>
        <w:t xml:space="preserve"> The treatment of agro wastes with alkaline has been observed to reduce moisture absorption in cellulosic fibers </w:t>
      </w:r>
      <w:r w:rsidR="00807B28" w:rsidRPr="00CE4C4F">
        <w:rPr>
          <w:rFonts w:ascii="Times New Roman" w:hAnsi="Times New Roman" w:cs="Times New Roman"/>
          <w:sz w:val="24"/>
          <w:szCs w:val="24"/>
        </w:rPr>
        <w:t xml:space="preserve">as in replaces th hydroxy groups with metallic groups </w:t>
      </w:r>
      <w:r w:rsidR="00C724ED" w:rsidRPr="00CE4C4F">
        <w:rPr>
          <w:rFonts w:ascii="Times New Roman" w:hAnsi="Times New Roman" w:cs="Times New Roman"/>
          <w:sz w:val="24"/>
          <w:szCs w:val="24"/>
        </w:rPr>
        <w:t xml:space="preserve">thereby </w:t>
      </w:r>
      <w:r w:rsidR="00807B28" w:rsidRPr="00CE4C4F">
        <w:rPr>
          <w:rFonts w:ascii="Times New Roman" w:hAnsi="Times New Roman" w:cs="Times New Roman"/>
          <w:sz w:val="24"/>
          <w:szCs w:val="24"/>
        </w:rPr>
        <w:t xml:space="preserve">increasing </w:t>
      </w:r>
      <w:r w:rsidR="00C724ED" w:rsidRPr="00CE4C4F">
        <w:rPr>
          <w:rFonts w:ascii="Times New Roman" w:hAnsi="Times New Roman" w:cs="Times New Roman"/>
          <w:sz w:val="24"/>
          <w:szCs w:val="24"/>
        </w:rPr>
        <w:t>hydrophobicity</w:t>
      </w:r>
      <w:r w:rsidR="00807B28" w:rsidRPr="00CE4C4F">
        <w:rPr>
          <w:rFonts w:ascii="Times New Roman" w:hAnsi="Times New Roman" w:cs="Times New Roman"/>
          <w:sz w:val="24"/>
          <w:szCs w:val="24"/>
        </w:rPr>
        <w:t xml:space="preserve"> </w:t>
      </w:r>
      <w:r w:rsidR="00560D07" w:rsidRPr="00CE4C4F">
        <w:rPr>
          <w:rFonts w:ascii="Times New Roman" w:hAnsi="Times New Roman" w:cs="Times New Roman"/>
          <w:sz w:val="24"/>
          <w:szCs w:val="24"/>
        </w:rPr>
        <w:t>(Gautam et al., 2024; Rahman et al., 2021; Dinh et al., 2018)</w:t>
      </w:r>
      <w:r w:rsidR="00560D07" w:rsidRPr="00CE4C4F">
        <w:rPr>
          <w:rFonts w:ascii="Times New Roman" w:hAnsi="Times New Roman" w:cs="Times New Roman"/>
          <w:sz w:val="24"/>
          <w:szCs w:val="24"/>
        </w:rPr>
        <w:t xml:space="preserve">. </w:t>
      </w:r>
      <w:r w:rsidR="00560D07" w:rsidRPr="00CE4C4F">
        <w:rPr>
          <w:rFonts w:ascii="Times New Roman" w:hAnsi="Times New Roman" w:cs="Times New Roman"/>
          <w:sz w:val="24"/>
          <w:szCs w:val="24"/>
        </w:rPr>
        <w:t xml:space="preserve">Rahman et al., </w:t>
      </w:r>
      <w:r w:rsidR="00560D07" w:rsidRPr="00CE4C4F">
        <w:rPr>
          <w:rFonts w:ascii="Times New Roman" w:hAnsi="Times New Roman" w:cs="Times New Roman"/>
          <w:sz w:val="24"/>
          <w:szCs w:val="24"/>
        </w:rPr>
        <w:t>(</w:t>
      </w:r>
      <w:r w:rsidR="00560D07" w:rsidRPr="00CE4C4F">
        <w:rPr>
          <w:rFonts w:ascii="Times New Roman" w:hAnsi="Times New Roman" w:cs="Times New Roman"/>
          <w:sz w:val="24"/>
          <w:szCs w:val="24"/>
        </w:rPr>
        <w:t>2021</w:t>
      </w:r>
      <w:r w:rsidR="00560D07" w:rsidRPr="00CE4C4F">
        <w:rPr>
          <w:rFonts w:ascii="Times New Roman" w:hAnsi="Times New Roman" w:cs="Times New Roman"/>
          <w:sz w:val="24"/>
          <w:szCs w:val="24"/>
        </w:rPr>
        <w:t xml:space="preserve">) found treatment of </w:t>
      </w:r>
      <w:r w:rsidR="00560D07" w:rsidRPr="00CE4C4F">
        <w:rPr>
          <w:rFonts w:ascii="Times New Roman" w:hAnsi="Times New Roman" w:cs="Times New Roman"/>
          <w:sz w:val="24"/>
          <w:szCs w:val="24"/>
        </w:rPr>
        <w:t>pineapple leaf fiber (PALF)</w:t>
      </w:r>
      <w:r w:rsidR="00560D07" w:rsidRPr="00CE4C4F">
        <w:rPr>
          <w:rFonts w:ascii="Times New Roman" w:hAnsi="Times New Roman" w:cs="Times New Roman"/>
          <w:sz w:val="24"/>
          <w:szCs w:val="24"/>
        </w:rPr>
        <w:t xml:space="preserve"> with 7% </w:t>
      </w:r>
      <w:r w:rsidR="00560D07" w:rsidRPr="00CE4C4F">
        <w:rPr>
          <w:rFonts w:ascii="Times New Roman" w:hAnsi="Times New Roman" w:cs="Times New Roman"/>
          <w:sz w:val="24"/>
          <w:szCs w:val="24"/>
        </w:rPr>
        <w:t xml:space="preserve">NaOH </w:t>
      </w:r>
      <w:r w:rsidR="00560D07" w:rsidRPr="00CE4C4F">
        <w:rPr>
          <w:rFonts w:ascii="Times New Roman" w:hAnsi="Times New Roman" w:cs="Times New Roman"/>
          <w:sz w:val="24"/>
          <w:szCs w:val="24"/>
        </w:rPr>
        <w:t xml:space="preserve">to </w:t>
      </w:r>
      <w:r w:rsidR="00945576" w:rsidRPr="00CE4C4F">
        <w:rPr>
          <w:rFonts w:ascii="Times New Roman" w:hAnsi="Times New Roman" w:cs="Times New Roman"/>
          <w:sz w:val="24"/>
          <w:szCs w:val="24"/>
        </w:rPr>
        <w:t xml:space="preserve">enhance </w:t>
      </w:r>
      <w:r w:rsidR="00566543" w:rsidRPr="00CE4C4F">
        <w:rPr>
          <w:rFonts w:ascii="Times New Roman" w:hAnsi="Times New Roman" w:cs="Times New Roman"/>
          <w:sz w:val="24"/>
          <w:szCs w:val="24"/>
        </w:rPr>
        <w:t xml:space="preserve">mechanical properties by improving </w:t>
      </w:r>
      <w:r w:rsidR="00945576" w:rsidRPr="00CE4C4F">
        <w:rPr>
          <w:rFonts w:ascii="Times New Roman" w:hAnsi="Times New Roman" w:cs="Times New Roman"/>
          <w:sz w:val="24"/>
          <w:szCs w:val="24"/>
        </w:rPr>
        <w:t>homogeneity and</w:t>
      </w:r>
      <w:r w:rsidR="00566543" w:rsidRPr="00CE4C4F">
        <w:rPr>
          <w:rFonts w:ascii="Times New Roman" w:hAnsi="Times New Roman" w:cs="Times New Roman"/>
          <w:sz w:val="24"/>
          <w:szCs w:val="24"/>
        </w:rPr>
        <w:t xml:space="preserve"> in turn</w:t>
      </w:r>
      <w:r w:rsidR="00560D07" w:rsidRPr="00CE4C4F">
        <w:rPr>
          <w:rFonts w:ascii="Times New Roman" w:hAnsi="Times New Roman" w:cs="Times New Roman"/>
          <w:sz w:val="24"/>
          <w:szCs w:val="24"/>
        </w:rPr>
        <w:t xml:space="preserve"> moisture tolerance in</w:t>
      </w:r>
      <w:r w:rsidR="00560D07" w:rsidRPr="00CE4C4F">
        <w:rPr>
          <w:rFonts w:ascii="Times New Roman" w:hAnsi="Times New Roman" w:cs="Times New Roman"/>
          <w:sz w:val="24"/>
          <w:szCs w:val="24"/>
        </w:rPr>
        <w:t xml:space="preserve"> reinforced LDPE composites</w:t>
      </w:r>
      <w:r w:rsidR="00560D07" w:rsidRPr="00CE4C4F">
        <w:rPr>
          <w:rFonts w:ascii="Times New Roman" w:hAnsi="Times New Roman" w:cs="Times New Roman"/>
          <w:sz w:val="24"/>
          <w:szCs w:val="24"/>
        </w:rPr>
        <w:t>.</w:t>
      </w:r>
    </w:p>
    <w:p w14:paraId="13793BE0" w14:textId="069C0A4F" w:rsidR="00997384" w:rsidRPr="00CE4C4F" w:rsidRDefault="00997384">
      <w:pPr>
        <w:spacing w:line="480" w:lineRule="auto"/>
        <w:jc w:val="both"/>
        <w:rPr>
          <w:rFonts w:ascii="Times New Roman" w:hAnsi="Times New Roman" w:cs="Times New Roman"/>
          <w:sz w:val="24"/>
          <w:szCs w:val="24"/>
        </w:rPr>
      </w:pPr>
    </w:p>
    <w:p w14:paraId="2CFAC89B" w14:textId="77777777" w:rsidR="00997384" w:rsidRPr="00CE4C4F" w:rsidRDefault="006978CD">
      <w:pPr>
        <w:pStyle w:val="NormalWeb"/>
        <w:spacing w:line="480" w:lineRule="auto"/>
        <w:jc w:val="both"/>
        <w:rPr>
          <w:b/>
          <w:bCs/>
        </w:rPr>
      </w:pPr>
      <w:r w:rsidRPr="00CE4C4F">
        <w:rPr>
          <w:b/>
          <w:bCs/>
        </w:rPr>
        <w:t>3.2 Mechanical properties</w:t>
      </w:r>
    </w:p>
    <w:p w14:paraId="2BEEC00C" w14:textId="0E4264F5" w:rsidR="00997384" w:rsidRPr="00CE4C4F" w:rsidRDefault="006978CD">
      <w:pPr>
        <w:pStyle w:val="NormalWeb"/>
        <w:spacing w:line="480" w:lineRule="auto"/>
        <w:jc w:val="both"/>
      </w:pPr>
      <w:r w:rsidRPr="00CE4C4F">
        <w:t>The mechanical properties were determined for the prepared bio-polymer composites</w:t>
      </w:r>
      <w:r w:rsidR="0008538C" w:rsidRPr="00CE4C4F">
        <w:t xml:space="preserve"> as follows;</w:t>
      </w:r>
      <w:r w:rsidRPr="00CE4C4F">
        <w:t>.</w:t>
      </w:r>
    </w:p>
    <w:p w14:paraId="014A48C1"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lastRenderedPageBreak/>
        <w:drawing>
          <wp:inline distT="0" distB="0" distL="0" distR="0" wp14:anchorId="1D1B82BA" wp14:editId="4372EB51">
            <wp:extent cx="5937885" cy="3140710"/>
            <wp:effectExtent l="0" t="0" r="5715" b="2540"/>
            <wp:docPr id="3458037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5D707"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3: Hardness test for coconut shell (CS), saw dust (SD) and Hybrid (HB) bio-polymer composites </w:t>
      </w:r>
    </w:p>
    <w:p w14:paraId="3BA6E2E3" w14:textId="77777777" w:rsidR="00997384" w:rsidRPr="00CE4C4F" w:rsidRDefault="006978CD">
      <w:pPr>
        <w:pStyle w:val="NormalWeb"/>
        <w:spacing w:line="480" w:lineRule="auto"/>
        <w:jc w:val="both"/>
      </w:pPr>
      <w:r w:rsidRPr="00CE4C4F">
        <w:rPr>
          <w:b/>
          <w:bCs/>
        </w:rPr>
        <w:t>3.2.1 Hardness of bio-polymer composites</w:t>
      </w:r>
    </w:p>
    <w:p w14:paraId="0C5AFE6A" w14:textId="28664BB0" w:rsidR="00997384" w:rsidRPr="00CE4C4F" w:rsidRDefault="006978CD">
      <w:pPr>
        <w:pStyle w:val="NormalWeb"/>
        <w:spacing w:line="480" w:lineRule="auto"/>
        <w:jc w:val="both"/>
      </w:pPr>
      <w:r w:rsidRPr="00CE4C4F">
        <w:t xml:space="preserve">The hardness test was determined for the </w:t>
      </w:r>
      <w:r w:rsidRPr="00CE4C4F">
        <w:rPr>
          <w:rFonts w:eastAsia="SimSun"/>
          <w:color w:val="000000"/>
        </w:rPr>
        <w:t>Coconut shell (CS)</w:t>
      </w:r>
      <w:r w:rsidR="00871CEB" w:rsidRPr="00CE4C4F">
        <w:rPr>
          <w:rFonts w:eastAsia="SimSun"/>
          <w:color w:val="000000"/>
        </w:rPr>
        <w:t xml:space="preserve">, </w:t>
      </w:r>
      <w:r w:rsidRPr="00CE4C4F">
        <w:rPr>
          <w:rFonts w:eastAsia="SimSun"/>
          <w:color w:val="000000"/>
        </w:rPr>
        <w:t>Saw dust (SD) and Hybrid (HB)</w:t>
      </w:r>
      <w:r w:rsidR="00871CEB" w:rsidRPr="00CE4C4F">
        <w:rPr>
          <w:rFonts w:eastAsia="SimSun"/>
          <w:color w:val="000000"/>
        </w:rPr>
        <w:t xml:space="preserve"> </w:t>
      </w:r>
      <w:r w:rsidR="00871CEB" w:rsidRPr="00CE4C4F">
        <w:t>bio-polymer composites</w:t>
      </w:r>
      <w:r w:rsidR="00871CEB" w:rsidRPr="00CE4C4F">
        <w:t>. T</w:t>
      </w:r>
      <w:r w:rsidRPr="00CE4C4F">
        <w:t>he hardness plot is shown in Figure 3, the hardness of the bio-polymer composites was observed to increase for all the prepared composites as the filler concentration was increased. This is expected since the elasticity of the polymer matrix decreases as more filler material is added, resulting in the development of a more rigid polymer composite material. The polymer composites recorded values ranging between 50/50 to 90/10 filler ratios as 69.27-82.33 (Hv) for coconut shell (CS), 66.15- 77.84(Hv) for saw dust (SD) and 70.19-82.97 (Hv) for hybrid (HB) composites. Although the average hardness of the polymer composites is observed to increase with additional filler loads, individual variations are also seen to exist with the various ratio</w:t>
      </w:r>
      <w:r w:rsidR="00F27E1F" w:rsidRPr="00CE4C4F">
        <w:t>s, this is due to</w:t>
      </w:r>
      <w:r w:rsidRPr="00CE4C4F">
        <w:t xml:space="preserve"> the inadequate phase interaction between the two highly cellulosic fillers and </w:t>
      </w:r>
      <w:r w:rsidRPr="00CE4C4F">
        <w:lastRenderedPageBreak/>
        <w:t xml:space="preserve">the polyethylene matrices. </w:t>
      </w:r>
      <w:bookmarkStart w:id="0" w:name="_Hlk181351501"/>
      <w:r w:rsidRPr="00CE4C4F">
        <w:t xml:space="preserve">Kundie </w:t>
      </w:r>
      <w:r w:rsidRPr="00CE4C4F">
        <w:rPr>
          <w:i/>
          <w:iCs/>
        </w:rPr>
        <w:t>et al.,</w:t>
      </w:r>
      <w:r w:rsidRPr="00CE4C4F">
        <w:t xml:space="preserve"> (2018)</w:t>
      </w:r>
      <w:bookmarkEnd w:id="0"/>
      <w:r w:rsidR="00416D83" w:rsidRPr="00CE4C4F">
        <w:t xml:space="preserve"> also observed </w:t>
      </w:r>
      <w:r w:rsidRPr="00CE4C4F">
        <w:t>that the filler load had a significant impact and enhanced the hardness of prepared dental composites.</w:t>
      </w:r>
    </w:p>
    <w:p w14:paraId="19DEDF82"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drawing>
          <wp:inline distT="0" distB="0" distL="0" distR="0" wp14:anchorId="2ABA62C9" wp14:editId="4B6C8320">
            <wp:extent cx="5927725" cy="2997200"/>
            <wp:effectExtent l="0" t="0" r="15875" b="12700"/>
            <wp:docPr id="11121945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313E25"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4: Average impact energy (J) for Coconut shell (CS), Saw dust (SD) and Hybrid (HB) bio-polymer composites </w:t>
      </w:r>
    </w:p>
    <w:p w14:paraId="7A29C297"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drawing>
          <wp:inline distT="0" distB="0" distL="0" distR="0" wp14:anchorId="1CEF2EC1" wp14:editId="1EE16A92">
            <wp:extent cx="5845810" cy="3200400"/>
            <wp:effectExtent l="0" t="0" r="2540" b="0"/>
            <wp:docPr id="9495895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1B210E"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Figure 5: Impact strength (Jmm) for Coconut shell (CS), Saw dust (SD) and Hybrid (HB)</w:t>
      </w:r>
    </w:p>
    <w:p w14:paraId="3ECFD5DA"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bio-polymer composites </w:t>
      </w:r>
    </w:p>
    <w:p w14:paraId="66C08E44" w14:textId="77777777" w:rsidR="00E362CF" w:rsidRPr="00CE4C4F" w:rsidRDefault="00E362CF">
      <w:pPr>
        <w:spacing w:line="480" w:lineRule="auto"/>
        <w:jc w:val="both"/>
        <w:rPr>
          <w:rFonts w:ascii="Times New Roman" w:hAnsi="Times New Roman" w:cs="Times New Roman"/>
          <w:b/>
          <w:bCs/>
          <w:sz w:val="24"/>
          <w:szCs w:val="24"/>
        </w:rPr>
      </w:pPr>
    </w:p>
    <w:p w14:paraId="464BD5C6" w14:textId="7908EEDD"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lastRenderedPageBreak/>
        <w:t>3.2.2 Impact strength of bio-polymer composites</w:t>
      </w:r>
    </w:p>
    <w:p w14:paraId="6654F501" w14:textId="3871AF3E"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The average impact energy and impact strength for the prepared Coconut shell (CS)</w:t>
      </w:r>
      <w:r w:rsidR="000D4443" w:rsidRPr="00CE4C4F">
        <w:rPr>
          <w:rFonts w:ascii="Times New Roman" w:hAnsi="Times New Roman" w:cs="Times New Roman"/>
          <w:sz w:val="24"/>
          <w:szCs w:val="24"/>
        </w:rPr>
        <w:t xml:space="preserve">, </w:t>
      </w:r>
      <w:r w:rsidRPr="00CE4C4F">
        <w:rPr>
          <w:rFonts w:ascii="Times New Roman" w:hAnsi="Times New Roman" w:cs="Times New Roman"/>
          <w:sz w:val="24"/>
          <w:szCs w:val="24"/>
        </w:rPr>
        <w:t>Saw dust (SD) and Hybrid (HB) bio-polymer composites was determined, and the results are plotted in Figure</w:t>
      </w:r>
      <w:r w:rsidR="00B73DDD" w:rsidRPr="00CE4C4F">
        <w:rPr>
          <w:rFonts w:ascii="Times New Roman" w:hAnsi="Times New Roman" w:cs="Times New Roman"/>
          <w:sz w:val="24"/>
          <w:szCs w:val="24"/>
        </w:rPr>
        <w:t>s</w:t>
      </w:r>
      <w:r w:rsidRPr="00CE4C4F">
        <w:rPr>
          <w:rFonts w:ascii="Times New Roman" w:hAnsi="Times New Roman" w:cs="Times New Roman"/>
          <w:sz w:val="24"/>
          <w:szCs w:val="24"/>
        </w:rPr>
        <w:t xml:space="preserve"> 4 </w:t>
      </w:r>
      <w:r w:rsidR="00B73DDD" w:rsidRPr="00CE4C4F">
        <w:rPr>
          <w:rFonts w:ascii="Times New Roman" w:hAnsi="Times New Roman" w:cs="Times New Roman"/>
          <w:sz w:val="24"/>
          <w:szCs w:val="24"/>
        </w:rPr>
        <w:t xml:space="preserve">and </w:t>
      </w:r>
      <w:r w:rsidRPr="00CE4C4F">
        <w:rPr>
          <w:rFonts w:ascii="Times New Roman" w:hAnsi="Times New Roman" w:cs="Times New Roman"/>
          <w:sz w:val="24"/>
          <w:szCs w:val="24"/>
        </w:rPr>
        <w:t>5</w:t>
      </w:r>
      <w:r w:rsidR="000A3381" w:rsidRPr="00CE4C4F">
        <w:rPr>
          <w:rFonts w:ascii="Times New Roman" w:hAnsi="Times New Roman" w:cs="Times New Roman"/>
          <w:sz w:val="24"/>
          <w:szCs w:val="24"/>
        </w:rPr>
        <w:t xml:space="preserve"> respectively</w:t>
      </w:r>
      <w:r w:rsidRPr="00CE4C4F">
        <w:rPr>
          <w:rFonts w:ascii="Times New Roman" w:hAnsi="Times New Roman" w:cs="Times New Roman"/>
          <w:sz w:val="24"/>
          <w:szCs w:val="24"/>
        </w:rPr>
        <w:t xml:space="preserve">. The </w:t>
      </w:r>
      <w:r w:rsidR="00E95910" w:rsidRPr="00CE4C4F">
        <w:rPr>
          <w:rFonts w:ascii="Times New Roman" w:hAnsi="Times New Roman" w:cs="Times New Roman"/>
          <w:sz w:val="24"/>
          <w:szCs w:val="24"/>
        </w:rPr>
        <w:t xml:space="preserve">average </w:t>
      </w:r>
      <w:r w:rsidRPr="00CE4C4F">
        <w:rPr>
          <w:rFonts w:ascii="Times New Roman" w:hAnsi="Times New Roman" w:cs="Times New Roman"/>
          <w:sz w:val="24"/>
          <w:szCs w:val="24"/>
        </w:rPr>
        <w:t>impact energy measured in joules ranged from 50/50 to 10/90 ratios as</w:t>
      </w:r>
      <w:r w:rsidR="00E95910" w:rsidRPr="00CE4C4F">
        <w:rPr>
          <w:rFonts w:ascii="Times New Roman" w:hAnsi="Times New Roman" w:cs="Times New Roman"/>
          <w:sz w:val="24"/>
          <w:szCs w:val="24"/>
        </w:rPr>
        <w:t xml:space="preserve"> </w:t>
      </w:r>
      <w:r w:rsidRPr="00CE4C4F">
        <w:rPr>
          <w:rFonts w:ascii="Times New Roman" w:hAnsi="Times New Roman" w:cs="Times New Roman"/>
          <w:sz w:val="24"/>
          <w:szCs w:val="24"/>
        </w:rPr>
        <w:t>0.81-0.30 (J), 0.61-0.44(J) and 0.80-0.31(J) for Coconut shell (CS)</w:t>
      </w:r>
      <w:r w:rsidR="002A0753" w:rsidRPr="00CE4C4F">
        <w:rPr>
          <w:rFonts w:ascii="Times New Roman" w:hAnsi="Times New Roman" w:cs="Times New Roman"/>
          <w:sz w:val="24"/>
          <w:szCs w:val="24"/>
        </w:rPr>
        <w:t xml:space="preserve">, </w:t>
      </w:r>
      <w:r w:rsidRPr="00CE4C4F">
        <w:rPr>
          <w:rFonts w:ascii="Times New Roman" w:hAnsi="Times New Roman" w:cs="Times New Roman"/>
          <w:sz w:val="24"/>
          <w:szCs w:val="24"/>
        </w:rPr>
        <w:t>Saw dust (SD) and Hybrid (HB) bio-polymer composites</w:t>
      </w:r>
      <w:r w:rsidR="002A0753" w:rsidRPr="00CE4C4F">
        <w:rPr>
          <w:rFonts w:ascii="Times New Roman" w:hAnsi="Times New Roman" w:cs="Times New Roman"/>
          <w:sz w:val="24"/>
          <w:szCs w:val="24"/>
        </w:rPr>
        <w:t xml:space="preserve"> respectively,</w:t>
      </w:r>
      <w:r w:rsidRPr="00CE4C4F">
        <w:rPr>
          <w:rFonts w:ascii="Times New Roman" w:hAnsi="Times New Roman" w:cs="Times New Roman"/>
          <w:sz w:val="24"/>
          <w:szCs w:val="24"/>
        </w:rPr>
        <w:t xml:space="preserve"> while the impact strength ranged from 0.25-0.09 (Jmm), 0.19-0.14 (Jmm) and 0.25-0.10 (Jmm) for Coconut shell (CS) and Saw dust (SD) filler materials and Hybrid (HB) bio-polymer composites respectively.</w:t>
      </w:r>
      <w:r w:rsidR="002A0753" w:rsidRPr="00CE4C4F">
        <w:rPr>
          <w:rFonts w:ascii="Times New Roman" w:hAnsi="Times New Roman" w:cs="Times New Roman"/>
          <w:sz w:val="24"/>
          <w:szCs w:val="24"/>
        </w:rPr>
        <w:t xml:space="preserve"> </w:t>
      </w:r>
      <w:r w:rsidR="00B1049B" w:rsidRPr="00CE4C4F">
        <w:rPr>
          <w:rFonts w:ascii="Times New Roman" w:hAnsi="Times New Roman" w:cs="Times New Roman"/>
          <w:sz w:val="24"/>
          <w:szCs w:val="24"/>
        </w:rPr>
        <w:t>The maximum energy that the composites may absorb upon impact is determined by the impact strength</w:t>
      </w:r>
      <w:r w:rsidR="00B1049B" w:rsidRPr="00CE4C4F">
        <w:rPr>
          <w:rFonts w:ascii="Times New Roman" w:hAnsi="Times New Roman" w:cs="Times New Roman"/>
          <w:sz w:val="24"/>
          <w:szCs w:val="24"/>
        </w:rPr>
        <w:t>, t</w:t>
      </w:r>
      <w:r w:rsidRPr="00CE4C4F">
        <w:rPr>
          <w:rFonts w:ascii="Times New Roman" w:hAnsi="Times New Roman" w:cs="Times New Roman"/>
          <w:sz w:val="24"/>
          <w:szCs w:val="24"/>
        </w:rPr>
        <w:t xml:space="preserve">he produced composites showed a gradual loss of this property as the concentration of the filler material was increased. The composition of the filler, the polymer, and the interfacial bonding between the filler and matrix all affect the impact properties of filler reinforced polymer composites </w:t>
      </w:r>
      <w:bookmarkStart w:id="1" w:name="_Hlk181351527"/>
      <w:r w:rsidRPr="00CE4C4F">
        <w:rPr>
          <w:rFonts w:ascii="Times New Roman" w:hAnsi="Times New Roman" w:cs="Times New Roman"/>
          <w:sz w:val="24"/>
          <w:szCs w:val="24"/>
        </w:rPr>
        <w:t xml:space="preserve">(Navaranjan </w:t>
      </w:r>
      <w:r w:rsidRPr="00CE4C4F">
        <w:t>&amp;</w:t>
      </w:r>
      <w:r w:rsidRPr="00CE4C4F">
        <w:rPr>
          <w:rFonts w:ascii="Times New Roman" w:hAnsi="Times New Roman" w:cs="Times New Roman"/>
          <w:sz w:val="24"/>
          <w:szCs w:val="24"/>
        </w:rPr>
        <w:t xml:space="preserve"> Neitzert, 2017).</w:t>
      </w:r>
      <w:bookmarkEnd w:id="1"/>
      <w:r w:rsidRPr="00CE4C4F">
        <w:rPr>
          <w:rFonts w:ascii="Times New Roman" w:hAnsi="Times New Roman" w:cs="Times New Roman"/>
          <w:sz w:val="24"/>
          <w:szCs w:val="24"/>
        </w:rPr>
        <w:t xml:space="preserve"> The findings a</w:t>
      </w:r>
      <w:r w:rsidR="00BE2062" w:rsidRPr="00CE4C4F">
        <w:rPr>
          <w:rFonts w:ascii="Times New Roman" w:hAnsi="Times New Roman" w:cs="Times New Roman"/>
          <w:sz w:val="24"/>
          <w:szCs w:val="24"/>
        </w:rPr>
        <w:t xml:space="preserve">gree </w:t>
      </w:r>
      <w:r w:rsidRPr="00CE4C4F">
        <w:rPr>
          <w:rFonts w:ascii="Times New Roman" w:hAnsi="Times New Roman" w:cs="Times New Roman"/>
          <w:sz w:val="24"/>
          <w:szCs w:val="24"/>
        </w:rPr>
        <w:t xml:space="preserve">with the report of Iyer </w:t>
      </w:r>
      <w:r w:rsidRPr="00CE4C4F">
        <w:t>&amp;</w:t>
      </w:r>
      <w:r w:rsidRPr="00CE4C4F">
        <w:rPr>
          <w:rFonts w:ascii="Times New Roman" w:hAnsi="Times New Roman" w:cs="Times New Roman"/>
          <w:sz w:val="24"/>
          <w:szCs w:val="24"/>
        </w:rPr>
        <w:t xml:space="preserve"> </w:t>
      </w:r>
      <w:bookmarkStart w:id="2" w:name="_Hlk181351537"/>
      <w:r w:rsidRPr="00CE4C4F">
        <w:rPr>
          <w:rFonts w:ascii="Times New Roman" w:hAnsi="Times New Roman" w:cs="Times New Roman"/>
          <w:sz w:val="24"/>
          <w:szCs w:val="24"/>
        </w:rPr>
        <w:t xml:space="preserve">Torkelson, (2014) </w:t>
      </w:r>
      <w:bookmarkEnd w:id="2"/>
      <w:r w:rsidRPr="00CE4C4F">
        <w:rPr>
          <w:rFonts w:ascii="Times New Roman" w:hAnsi="Times New Roman" w:cs="Times New Roman"/>
          <w:sz w:val="24"/>
          <w:szCs w:val="24"/>
        </w:rPr>
        <w:t xml:space="preserve">for injection-molded pure PHB and pure PLA composites produced using corn cob as filler materials. Corncob fillers were observed to disrupt the PHB-PLA matrix's continuity, preventing energy absorption and transmission when the impact force was applied. This reduced the composite's resistance to deformation and accelerated its failure </w:t>
      </w:r>
      <w:bookmarkStart w:id="3" w:name="_Hlk181351558"/>
      <w:r w:rsidRPr="00CE4C4F">
        <w:rPr>
          <w:rFonts w:ascii="Times New Roman" w:hAnsi="Times New Roman" w:cs="Times New Roman"/>
          <w:sz w:val="24"/>
          <w:szCs w:val="24"/>
        </w:rPr>
        <w:t xml:space="preserve">(Iyer </w:t>
      </w:r>
      <w:r w:rsidRPr="00CE4C4F">
        <w:t>&amp;</w:t>
      </w:r>
      <w:r w:rsidRPr="00CE4C4F">
        <w:rPr>
          <w:rFonts w:ascii="Times New Roman" w:hAnsi="Times New Roman" w:cs="Times New Roman"/>
          <w:sz w:val="24"/>
          <w:szCs w:val="24"/>
        </w:rPr>
        <w:t xml:space="preserve"> Torkelson, 2014).</w:t>
      </w:r>
      <w:bookmarkEnd w:id="3"/>
    </w:p>
    <w:p w14:paraId="64480CAA"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lastRenderedPageBreak/>
        <w:drawing>
          <wp:inline distT="0" distB="0" distL="0" distR="0" wp14:anchorId="48C22F51" wp14:editId="5C9E0CD1">
            <wp:extent cx="5845810" cy="3626485"/>
            <wp:effectExtent l="0" t="0" r="2540" b="12065"/>
            <wp:docPr id="18712773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1AC5C7"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6: Tensile strength for coconut shell (CS), saw dust (SD) and Hybrid (HB) bio-polymer composites </w:t>
      </w:r>
    </w:p>
    <w:p w14:paraId="0D222BFA" w14:textId="77777777" w:rsidR="00997384" w:rsidRPr="00CE4C4F" w:rsidRDefault="00997384">
      <w:pPr>
        <w:spacing w:after="0" w:line="240" w:lineRule="auto"/>
        <w:rPr>
          <w:rFonts w:ascii="Times New Roman" w:hAnsi="Times New Roman" w:cs="Times New Roman"/>
          <w:b/>
          <w:bCs/>
          <w:color w:val="000000"/>
          <w:sz w:val="24"/>
          <w:szCs w:val="24"/>
        </w:rPr>
      </w:pPr>
    </w:p>
    <w:p w14:paraId="72FDD0A3"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drawing>
          <wp:inline distT="0" distB="0" distL="0" distR="0" wp14:anchorId="365E9853" wp14:editId="66067F4B">
            <wp:extent cx="5769610" cy="3404870"/>
            <wp:effectExtent l="0" t="0" r="2540" b="5080"/>
            <wp:docPr id="11960627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39ED9C"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7: Tensile modulus for coconut shell (CS), saw dust (SD) and Hybrid (HB) bio-polymer composites </w:t>
      </w:r>
    </w:p>
    <w:p w14:paraId="5F5D3ED4"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noProof/>
        </w:rPr>
        <w:lastRenderedPageBreak/>
        <w:drawing>
          <wp:inline distT="0" distB="0" distL="0" distR="0" wp14:anchorId="224E439A" wp14:editId="2F843F3E">
            <wp:extent cx="5753100" cy="3321050"/>
            <wp:effectExtent l="0" t="0" r="0" b="12700"/>
            <wp:docPr id="11246776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403DF5"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8: % Elongation for coconut shell (CS), saw dust (SD) and Hybrid (HB) bio-polymer composites </w:t>
      </w:r>
    </w:p>
    <w:p w14:paraId="5BFD87FB" w14:textId="77777777" w:rsidR="00B05C03" w:rsidRPr="00CE4C4F" w:rsidRDefault="00B05C03">
      <w:pPr>
        <w:pStyle w:val="NormalWeb"/>
        <w:spacing w:line="480" w:lineRule="auto"/>
        <w:jc w:val="both"/>
        <w:rPr>
          <w:b/>
          <w:bCs/>
        </w:rPr>
      </w:pPr>
    </w:p>
    <w:p w14:paraId="1695ABE9" w14:textId="10B3C79D" w:rsidR="00997384" w:rsidRPr="00CE4C4F" w:rsidRDefault="006978CD">
      <w:pPr>
        <w:pStyle w:val="NormalWeb"/>
        <w:spacing w:line="480" w:lineRule="auto"/>
        <w:jc w:val="both"/>
        <w:rPr>
          <w:b/>
          <w:bCs/>
        </w:rPr>
      </w:pPr>
      <w:r w:rsidRPr="00CE4C4F">
        <w:rPr>
          <w:b/>
          <w:bCs/>
        </w:rPr>
        <w:t>3.2.3 Tensile properties of bio-polymer composites</w:t>
      </w:r>
    </w:p>
    <w:p w14:paraId="06F0BD33" w14:textId="2FD4AA5D" w:rsidR="00997384" w:rsidRPr="00CE4C4F" w:rsidRDefault="006978CD">
      <w:pPr>
        <w:pStyle w:val="NormalWeb"/>
        <w:spacing w:line="480" w:lineRule="auto"/>
        <w:jc w:val="both"/>
      </w:pPr>
      <w:r w:rsidRPr="00CE4C4F">
        <w:t xml:space="preserve">The findings </w:t>
      </w:r>
      <w:r w:rsidR="00D91101" w:rsidRPr="00CE4C4F">
        <w:t>of</w:t>
      </w:r>
      <w:r w:rsidRPr="00CE4C4F">
        <w:t xml:space="preserve"> tensile strength, tensile modulus and % elongation for Coconut shell (CS) and Saw dust (SD) filler materials and Hybrid (HB) bio-polymer composites are shown in Figures 6</w:t>
      </w:r>
      <w:r w:rsidR="00180288" w:rsidRPr="00CE4C4F">
        <w:t xml:space="preserve">, 7 and </w:t>
      </w:r>
      <w:r w:rsidRPr="00CE4C4F">
        <w:t>8. Tensile properties</w:t>
      </w:r>
      <w:r w:rsidR="00952A75" w:rsidRPr="00CE4C4F">
        <w:t xml:space="preserve"> </w:t>
      </w:r>
      <w:r w:rsidR="007A156E" w:rsidRPr="00CE4C4F">
        <w:t xml:space="preserve">were observed to </w:t>
      </w:r>
      <w:r w:rsidR="002F43EA" w:rsidRPr="00CE4C4F">
        <w:t>vary with</w:t>
      </w:r>
      <w:r w:rsidRPr="00CE4C4F">
        <w:t xml:space="preserve"> filler load. </w:t>
      </w:r>
      <w:bookmarkStart w:id="4" w:name="_Hlk181351642"/>
      <w:r w:rsidRPr="00CE4C4F">
        <w:t xml:space="preserve">Betancourta &amp; Cree (2017) </w:t>
      </w:r>
      <w:bookmarkEnd w:id="4"/>
      <w:r w:rsidRPr="00CE4C4F">
        <w:t xml:space="preserve">reported that the filler to matrix </w:t>
      </w:r>
      <w:r w:rsidR="00532AFE" w:rsidRPr="00CE4C4F">
        <w:t>link</w:t>
      </w:r>
      <w:r w:rsidRPr="00CE4C4F">
        <w:t xml:space="preserve"> decreases with increasing filler load. When filler loadi</w:t>
      </w:r>
      <w:r w:rsidR="00712EA4" w:rsidRPr="00CE4C4F">
        <w:t>ng</w:t>
      </w:r>
      <w:r w:rsidRPr="00CE4C4F">
        <w:t xml:space="preserve"> is increased, the tensile modulus of the composites is increased because the load is effectively transferred to the filler particles, which absorb and transmit the stress loading significantly better. The tensile strength of the prepared Coconut shell (CS) and Saw dust (SD) filler materials and Hybrid (HB) bio-polymer composites</w:t>
      </w:r>
      <w:r w:rsidR="00B03E49" w:rsidRPr="00CE4C4F">
        <w:t xml:space="preserve"> was observed to</w:t>
      </w:r>
      <w:r w:rsidRPr="00CE4C4F">
        <w:t xml:space="preserve"> </w:t>
      </w:r>
      <w:r w:rsidR="003C0532" w:rsidRPr="00CE4C4F">
        <w:t>decrease</w:t>
      </w:r>
      <w:r w:rsidRPr="00CE4C4F">
        <w:t xml:space="preserve"> with</w:t>
      </w:r>
      <w:r w:rsidR="005A62B4" w:rsidRPr="00CE4C4F">
        <w:t xml:space="preserve"> increas</w:t>
      </w:r>
      <w:r w:rsidR="00063B7E" w:rsidRPr="00CE4C4F">
        <w:t xml:space="preserve">ed </w:t>
      </w:r>
      <w:r w:rsidRPr="00CE4C4F">
        <w:t>filler</w:t>
      </w:r>
      <w:r w:rsidR="005A62B4" w:rsidRPr="00CE4C4F">
        <w:t xml:space="preserve"> ratio</w:t>
      </w:r>
      <w:r w:rsidR="00A14E32" w:rsidRPr="00CE4C4F">
        <w:t xml:space="preserve"> as shown in f</w:t>
      </w:r>
      <w:r w:rsidR="00A14E32" w:rsidRPr="00CE4C4F">
        <w:t xml:space="preserve">igure </w:t>
      </w:r>
      <w:r w:rsidR="00EB5C3D" w:rsidRPr="00CE4C4F">
        <w:t>6</w:t>
      </w:r>
      <w:r w:rsidR="00A14E32" w:rsidRPr="00CE4C4F">
        <w:t>,</w:t>
      </w:r>
      <w:r w:rsidR="00A14E32" w:rsidRPr="00CE4C4F">
        <w:t xml:space="preserve"> t</w:t>
      </w:r>
      <w:r w:rsidRPr="00CE4C4F">
        <w:t xml:space="preserve">he tensile </w:t>
      </w:r>
      <w:r w:rsidR="009D0E4E" w:rsidRPr="00CE4C4F">
        <w:t>strengths</w:t>
      </w:r>
      <w:r w:rsidRPr="00CE4C4F">
        <w:t xml:space="preserve"> were determined </w:t>
      </w:r>
      <w:r w:rsidR="002411FD" w:rsidRPr="00CE4C4F">
        <w:t>for the</w:t>
      </w:r>
      <w:r w:rsidR="009D0E4E" w:rsidRPr="00CE4C4F">
        <w:t xml:space="preserve"> </w:t>
      </w:r>
      <w:r w:rsidRPr="00CE4C4F">
        <w:t xml:space="preserve">10/90 and 50/50 ratio </w:t>
      </w:r>
      <w:r w:rsidR="002411FD" w:rsidRPr="00CE4C4F">
        <w:t xml:space="preserve">as </w:t>
      </w:r>
      <w:r w:rsidRPr="00CE4C4F">
        <w:t>24.09</w:t>
      </w:r>
      <w:r w:rsidR="009D0E4E" w:rsidRPr="00CE4C4F">
        <w:t xml:space="preserve"> and </w:t>
      </w:r>
      <w:r w:rsidRPr="00CE4C4F">
        <w:t xml:space="preserve">9.02 (MPa) for </w:t>
      </w:r>
      <w:r w:rsidRPr="00CE4C4F">
        <w:lastRenderedPageBreak/>
        <w:t xml:space="preserve">Coconut shell (CS), </w:t>
      </w:r>
      <w:r w:rsidRPr="00CE4C4F">
        <w:rPr>
          <w:color w:val="000000"/>
        </w:rPr>
        <w:t>22.03-9.31(MPa), for</w:t>
      </w:r>
      <w:r w:rsidRPr="00CE4C4F">
        <w:t xml:space="preserve"> Saw dust (SD) and </w:t>
      </w:r>
      <w:r w:rsidRPr="00CE4C4F">
        <w:rPr>
          <w:color w:val="000000"/>
        </w:rPr>
        <w:t xml:space="preserve">23.04-8.01(MPa) and for </w:t>
      </w:r>
      <w:r w:rsidRPr="00CE4C4F">
        <w:t>Hybrid (HB) polymer composites</w:t>
      </w:r>
      <w:r w:rsidR="00024B6A" w:rsidRPr="00CE4C4F">
        <w:t>, while t</w:t>
      </w:r>
      <w:r w:rsidR="009A2370" w:rsidRPr="00CE4C4F">
        <w:t xml:space="preserve">he Modulus was determined </w:t>
      </w:r>
      <w:r w:rsidR="00A14E32" w:rsidRPr="00CE4C4F">
        <w:t xml:space="preserve">as shown in figure </w:t>
      </w:r>
      <w:r w:rsidR="00EB5C3D" w:rsidRPr="00CE4C4F">
        <w:t xml:space="preserve">7 </w:t>
      </w:r>
      <w:r w:rsidR="009A2370" w:rsidRPr="00CE4C4F">
        <w:t xml:space="preserve">as </w:t>
      </w:r>
      <w:r w:rsidR="009A2370" w:rsidRPr="00CE4C4F">
        <w:t>245.11</w:t>
      </w:r>
      <w:r w:rsidR="00024B6A" w:rsidRPr="00CE4C4F">
        <w:t xml:space="preserve"> </w:t>
      </w:r>
      <w:r w:rsidR="009A2370" w:rsidRPr="00CE4C4F">
        <w:t>and 127.30 (MPa)</w:t>
      </w:r>
      <w:r w:rsidR="00024B6A" w:rsidRPr="00CE4C4F">
        <w:t xml:space="preserve"> </w:t>
      </w:r>
      <w:r w:rsidR="00024B6A" w:rsidRPr="00CE4C4F">
        <w:t>for Coconut shell</w:t>
      </w:r>
      <w:r w:rsidR="00024B6A" w:rsidRPr="00CE4C4F">
        <w:t xml:space="preserve"> (CS)</w:t>
      </w:r>
      <w:r w:rsidR="009A2370" w:rsidRPr="00CE4C4F">
        <w:t xml:space="preserve">, </w:t>
      </w:r>
      <w:r w:rsidR="009A2370" w:rsidRPr="00CE4C4F">
        <w:rPr>
          <w:color w:val="000000"/>
        </w:rPr>
        <w:t>241.51</w:t>
      </w:r>
      <w:r w:rsidR="00024B6A" w:rsidRPr="00CE4C4F">
        <w:rPr>
          <w:color w:val="000000"/>
        </w:rPr>
        <w:t xml:space="preserve"> and </w:t>
      </w:r>
      <w:r w:rsidR="009A2370" w:rsidRPr="00CE4C4F">
        <w:rPr>
          <w:color w:val="000000"/>
        </w:rPr>
        <w:t>121.50 (MPa)</w:t>
      </w:r>
      <w:r w:rsidR="00024B6A" w:rsidRPr="00CE4C4F">
        <w:rPr>
          <w:color w:val="000000"/>
        </w:rPr>
        <w:t xml:space="preserve"> </w:t>
      </w:r>
      <w:r w:rsidR="00024B6A" w:rsidRPr="00CE4C4F">
        <w:rPr>
          <w:color w:val="000000"/>
        </w:rPr>
        <w:t>for</w:t>
      </w:r>
      <w:r w:rsidR="00024B6A" w:rsidRPr="00CE4C4F">
        <w:t xml:space="preserve"> Saw dust (SD)</w:t>
      </w:r>
      <w:r w:rsidR="009A2370" w:rsidRPr="00CE4C4F">
        <w:rPr>
          <w:color w:val="000000"/>
        </w:rPr>
        <w:t>, 244.08</w:t>
      </w:r>
      <w:r w:rsidR="00024B6A" w:rsidRPr="00CE4C4F">
        <w:rPr>
          <w:color w:val="000000"/>
        </w:rPr>
        <w:t xml:space="preserve"> and </w:t>
      </w:r>
      <w:r w:rsidR="009A2370" w:rsidRPr="00CE4C4F">
        <w:rPr>
          <w:color w:val="000000"/>
        </w:rPr>
        <w:t>126.27(MPa)</w:t>
      </w:r>
      <w:r w:rsidR="00024B6A" w:rsidRPr="00CE4C4F">
        <w:rPr>
          <w:color w:val="000000"/>
        </w:rPr>
        <w:t xml:space="preserve"> </w:t>
      </w:r>
      <w:r w:rsidR="00024B6A" w:rsidRPr="00CE4C4F">
        <w:rPr>
          <w:color w:val="000000"/>
        </w:rPr>
        <w:t xml:space="preserve">for </w:t>
      </w:r>
      <w:r w:rsidR="00024B6A" w:rsidRPr="00CE4C4F">
        <w:t>Hybrid (HB) polymer composites</w:t>
      </w:r>
      <w:r w:rsidR="00024B6A" w:rsidRPr="00CE4C4F">
        <w:t xml:space="preserve"> for the </w:t>
      </w:r>
      <w:r w:rsidR="00024B6A" w:rsidRPr="00CE4C4F">
        <w:t>10/90 and 50/50 ratio</w:t>
      </w:r>
      <w:r w:rsidR="00024B6A" w:rsidRPr="00CE4C4F">
        <w:t>s respectively.</w:t>
      </w:r>
      <w:r w:rsidR="001964E0" w:rsidRPr="00CE4C4F">
        <w:t xml:space="preserve"> </w:t>
      </w:r>
      <w:r w:rsidRPr="00CE4C4F">
        <w:t>The results show that the filler materials significantly affect the composite's tensile characteristics. Similar investigations on polymer composites</w:t>
      </w:r>
      <w:bookmarkStart w:id="5" w:name="_Hlk181351663"/>
      <w:r w:rsidRPr="00CE4C4F">
        <w:t xml:space="preserve"> by Owuamanam </w:t>
      </w:r>
      <w:r w:rsidRPr="00CE4C4F">
        <w:rPr>
          <w:i/>
          <w:iCs/>
        </w:rPr>
        <w:t>et al.,</w:t>
      </w:r>
      <w:r w:rsidRPr="00CE4C4F">
        <w:t xml:space="preserve"> (2021)</w:t>
      </w:r>
      <w:bookmarkEnd w:id="5"/>
      <w:r w:rsidRPr="00CE4C4F">
        <w:t xml:space="preserve"> for PLA/corncob composites and </w:t>
      </w:r>
      <w:bookmarkStart w:id="6" w:name="_Hlk181351677"/>
      <w:r w:rsidRPr="00CE4C4F">
        <w:t xml:space="preserve">Arrakhiz </w:t>
      </w:r>
      <w:r w:rsidRPr="00CE4C4F">
        <w:rPr>
          <w:i/>
          <w:iCs/>
        </w:rPr>
        <w:t>et al.,</w:t>
      </w:r>
      <w:r w:rsidRPr="00CE4C4F">
        <w:t xml:space="preserve"> (2013)</w:t>
      </w:r>
      <w:bookmarkEnd w:id="6"/>
      <w:r w:rsidRPr="00CE4C4F">
        <w:t xml:space="preserve"> for polypropylene/clay composites</w:t>
      </w:r>
      <w:r w:rsidR="008B1EFC" w:rsidRPr="00CE4C4F">
        <w:t xml:space="preserve"> also reported </w:t>
      </w:r>
      <w:r w:rsidRPr="00CE4C4F">
        <w:t>the tensile modulus</w:t>
      </w:r>
      <w:r w:rsidR="008B1EFC" w:rsidRPr="00CE4C4F">
        <w:t xml:space="preserve"> to</w:t>
      </w:r>
      <w:r w:rsidRPr="00CE4C4F">
        <w:t xml:space="preserve"> improve</w:t>
      </w:r>
      <w:r w:rsidR="008B1EFC" w:rsidRPr="00CE4C4F">
        <w:t xml:space="preserve"> with</w:t>
      </w:r>
      <w:r w:rsidRPr="00CE4C4F">
        <w:t xml:space="preserve"> addi</w:t>
      </w:r>
      <w:r w:rsidR="008B1EFC" w:rsidRPr="00CE4C4F">
        <w:t>tion of</w:t>
      </w:r>
      <w:r w:rsidRPr="00CE4C4F">
        <w:t xml:space="preserve"> filler material. </w:t>
      </w:r>
      <w:bookmarkStart w:id="7" w:name="_Hlk181351690"/>
      <w:r w:rsidRPr="00CE4C4F">
        <w:t xml:space="preserve">Tazibt </w:t>
      </w:r>
      <w:r w:rsidRPr="00CE4C4F">
        <w:rPr>
          <w:i/>
          <w:iCs/>
        </w:rPr>
        <w:t>et al.,</w:t>
      </w:r>
      <w:r w:rsidRPr="00CE4C4F">
        <w:t xml:space="preserve"> (2023)</w:t>
      </w:r>
      <w:bookmarkEnd w:id="7"/>
      <w:r w:rsidR="00323E15" w:rsidRPr="00CE4C4F">
        <w:t xml:space="preserve"> </w:t>
      </w:r>
      <w:r w:rsidRPr="00CE4C4F">
        <w:t>the morphology and properties of composites based on poly (lactic acid) (PLA) as filler materials reported that the addition of 5 wt% of HAp into the PLA improve</w:t>
      </w:r>
      <w:r w:rsidR="00323E15" w:rsidRPr="00CE4C4F">
        <w:t>d</w:t>
      </w:r>
      <w:r w:rsidRPr="00CE4C4F">
        <w:t xml:space="preserve"> the thermal stability and tensile properties of the composite </w:t>
      </w:r>
      <w:r w:rsidR="00323E15" w:rsidRPr="00CE4C4F">
        <w:t xml:space="preserve">but decreased </w:t>
      </w:r>
      <w:r w:rsidRPr="00CE4C4F">
        <w:t>at higher filler ratio 15 wt%. High ratios</w:t>
      </w:r>
      <w:r w:rsidR="00323E15" w:rsidRPr="00CE4C4F">
        <w:t xml:space="preserve"> of</w:t>
      </w:r>
      <w:r w:rsidRPr="00CE4C4F">
        <w:t xml:space="preserve"> filler </w:t>
      </w:r>
      <w:r w:rsidR="00323E15" w:rsidRPr="00CE4C4F">
        <w:t xml:space="preserve">tend </w:t>
      </w:r>
      <w:r w:rsidRPr="00CE4C4F">
        <w:t>to occupy the voids between polymer chains, contributing to a hardened structure</w:t>
      </w:r>
      <w:r w:rsidR="00B53C83" w:rsidRPr="00CE4C4F">
        <w:t xml:space="preserve">, </w:t>
      </w:r>
      <w:r w:rsidRPr="00CE4C4F">
        <w:t xml:space="preserve">the microparticles tend to agglomerate, resulting in restricted lateral movement. Consequently, the contact area with the polymer diminishes, complicating the distribution of the filler among the chains. (Owuamanam and Cree (2020). The % elongation for the prepared composites were determined </w:t>
      </w:r>
      <w:r w:rsidR="00EB5C3D" w:rsidRPr="00CE4C4F">
        <w:t xml:space="preserve">as shown in figure </w:t>
      </w:r>
      <w:r w:rsidR="00EB5C3D" w:rsidRPr="00CE4C4F">
        <w:t xml:space="preserve">8 </w:t>
      </w:r>
      <w:r w:rsidR="0029694F" w:rsidRPr="00CE4C4F">
        <w:t>for</w:t>
      </w:r>
      <w:r w:rsidRPr="00CE4C4F">
        <w:t xml:space="preserve"> 10/90 to 50/50 ratio </w:t>
      </w:r>
      <w:r w:rsidR="00500468" w:rsidRPr="00CE4C4F">
        <w:t xml:space="preserve">as </w:t>
      </w:r>
      <w:r w:rsidRPr="00CE4C4F">
        <w:rPr>
          <w:color w:val="000000"/>
        </w:rPr>
        <w:t>8.21-7.06 (%)</w:t>
      </w:r>
      <w:r w:rsidR="00500468" w:rsidRPr="00CE4C4F">
        <w:rPr>
          <w:color w:val="000000"/>
        </w:rPr>
        <w:t xml:space="preserve"> for </w:t>
      </w:r>
      <w:r w:rsidR="00500468" w:rsidRPr="00CE4C4F">
        <w:t>coconut shell (CS)</w:t>
      </w:r>
      <w:r w:rsidRPr="00CE4C4F">
        <w:rPr>
          <w:color w:val="000000"/>
        </w:rPr>
        <w:t>, 8.03-7.16 (%)</w:t>
      </w:r>
      <w:r w:rsidR="00500468" w:rsidRPr="00CE4C4F">
        <w:rPr>
          <w:color w:val="000000"/>
        </w:rPr>
        <w:t xml:space="preserve"> for </w:t>
      </w:r>
      <w:r w:rsidR="00500468" w:rsidRPr="00CE4C4F">
        <w:t>saw dust (SD)</w:t>
      </w:r>
      <w:r w:rsidR="00500468" w:rsidRPr="00CE4C4F">
        <w:rPr>
          <w:color w:val="000000"/>
        </w:rPr>
        <w:t xml:space="preserve"> and </w:t>
      </w:r>
      <w:r w:rsidRPr="00CE4C4F">
        <w:rPr>
          <w:color w:val="000000"/>
        </w:rPr>
        <w:t>7.92-6.17 (%)</w:t>
      </w:r>
      <w:r w:rsidR="00500468" w:rsidRPr="00CE4C4F">
        <w:rPr>
          <w:color w:val="000000"/>
        </w:rPr>
        <w:t xml:space="preserve"> for </w:t>
      </w:r>
      <w:r w:rsidRPr="00CE4C4F">
        <w:t xml:space="preserve">hybrid (HB) bio-polymer composites.  Increasing the concentration of fraction of filler material leads to reduction in the percentage of elongation for samples. This is due to the fact that the presence of fillers imparts the stiffening effect within the matrix and thus imposes a mechanical restraint on the composites (Tazibt </w:t>
      </w:r>
      <w:r w:rsidRPr="00CE4C4F">
        <w:rPr>
          <w:i/>
          <w:iCs/>
        </w:rPr>
        <w:t>et al.,</w:t>
      </w:r>
      <w:r w:rsidRPr="00CE4C4F">
        <w:t xml:space="preserve"> 2023).</w:t>
      </w:r>
    </w:p>
    <w:p w14:paraId="5C96FFCE" w14:textId="77777777" w:rsidR="00997384" w:rsidRPr="00CE4C4F" w:rsidRDefault="006978CD">
      <w:pPr>
        <w:spacing w:after="0" w:line="240" w:lineRule="auto"/>
        <w:jc w:val="both"/>
        <w:rPr>
          <w:rFonts w:ascii="Times New Roman" w:hAnsi="Times New Roman" w:cs="Times New Roman"/>
          <w:b/>
          <w:bCs/>
          <w:color w:val="000000"/>
          <w:sz w:val="24"/>
          <w:szCs w:val="24"/>
        </w:rPr>
      </w:pPr>
      <w:r w:rsidRPr="00CE4C4F">
        <w:rPr>
          <w:noProof/>
        </w:rPr>
        <w:lastRenderedPageBreak/>
        <w:drawing>
          <wp:inline distT="0" distB="0" distL="0" distR="0" wp14:anchorId="7F7AEE42" wp14:editId="2A1357C8">
            <wp:extent cx="5921375" cy="4201795"/>
            <wp:effectExtent l="0" t="0" r="3175" b="8255"/>
            <wp:docPr id="5740418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E0571B" w14:textId="77777777" w:rsidR="00997384" w:rsidRPr="00CE4C4F" w:rsidRDefault="00997384">
      <w:pPr>
        <w:spacing w:after="0" w:line="240" w:lineRule="auto"/>
        <w:rPr>
          <w:rFonts w:ascii="Times New Roman" w:hAnsi="Times New Roman" w:cs="Times New Roman"/>
          <w:b/>
          <w:bCs/>
          <w:color w:val="000000"/>
          <w:sz w:val="24"/>
          <w:szCs w:val="24"/>
        </w:rPr>
      </w:pPr>
    </w:p>
    <w:p w14:paraId="647A7568" w14:textId="77777777" w:rsidR="00997384" w:rsidRPr="00CE4C4F" w:rsidRDefault="00997384">
      <w:pPr>
        <w:spacing w:after="0" w:line="240" w:lineRule="auto"/>
        <w:rPr>
          <w:rFonts w:ascii="Times New Roman" w:hAnsi="Times New Roman" w:cs="Times New Roman"/>
          <w:b/>
          <w:bCs/>
          <w:color w:val="000000"/>
          <w:sz w:val="24"/>
          <w:szCs w:val="24"/>
        </w:rPr>
      </w:pPr>
    </w:p>
    <w:p w14:paraId="48F70560"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9: % Moisture absorption for coconut shell (CS), saw dust (SD) and Hybrid (HB) bio-polymer composites </w:t>
      </w:r>
    </w:p>
    <w:p w14:paraId="4796119C" w14:textId="77777777" w:rsidR="00997384" w:rsidRPr="00CE4C4F" w:rsidRDefault="00997384">
      <w:pPr>
        <w:spacing w:after="0" w:line="240" w:lineRule="auto"/>
        <w:rPr>
          <w:rFonts w:ascii="Times New Roman" w:hAnsi="Times New Roman" w:cs="Times New Roman"/>
          <w:b/>
          <w:bCs/>
          <w:color w:val="000000"/>
          <w:sz w:val="24"/>
          <w:szCs w:val="24"/>
        </w:rPr>
      </w:pPr>
    </w:p>
    <w:p w14:paraId="632E706D" w14:textId="77777777" w:rsidR="00997384" w:rsidRPr="00CE4C4F" w:rsidRDefault="00997384">
      <w:pPr>
        <w:spacing w:after="0" w:line="240" w:lineRule="auto"/>
        <w:rPr>
          <w:rFonts w:ascii="Times New Roman" w:hAnsi="Times New Roman" w:cs="Times New Roman"/>
          <w:b/>
          <w:bCs/>
          <w:color w:val="000000"/>
          <w:sz w:val="24"/>
          <w:szCs w:val="24"/>
        </w:rPr>
      </w:pPr>
    </w:p>
    <w:p w14:paraId="079BEEE0" w14:textId="77777777" w:rsidR="00997384" w:rsidRPr="00CE4C4F" w:rsidRDefault="00997384">
      <w:pPr>
        <w:spacing w:after="0" w:line="240" w:lineRule="auto"/>
        <w:rPr>
          <w:rFonts w:ascii="Times New Roman" w:hAnsi="Times New Roman" w:cs="Times New Roman"/>
          <w:b/>
          <w:bCs/>
          <w:color w:val="000000"/>
          <w:sz w:val="24"/>
          <w:szCs w:val="24"/>
        </w:rPr>
      </w:pPr>
    </w:p>
    <w:p w14:paraId="0427C2B9"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3.3 Moisture absorption capacity</w:t>
      </w:r>
    </w:p>
    <w:p w14:paraId="0465E14B" w14:textId="678D118E" w:rsidR="00997384" w:rsidRPr="00CE4C4F" w:rsidRDefault="006978CD">
      <w:pPr>
        <w:autoSpaceDE w:val="0"/>
        <w:autoSpaceDN w:val="0"/>
        <w:adjustRightInd w:val="0"/>
        <w:spacing w:before="100" w:beforeAutospacing="1" w:line="480" w:lineRule="auto"/>
        <w:jc w:val="both"/>
        <w:rPr>
          <w:rFonts w:ascii="Times New Roman" w:eastAsia="SimSun" w:hAnsi="Times New Roman" w:cs="Times New Roman"/>
          <w:color w:val="000000"/>
          <w:sz w:val="24"/>
          <w:szCs w:val="24"/>
        </w:rPr>
      </w:pPr>
      <w:r w:rsidRPr="00CE4C4F">
        <w:rPr>
          <w:rFonts w:ascii="Times New Roman" w:eastAsia="SimSun" w:hAnsi="Times New Roman" w:cs="Times New Roman"/>
          <w:color w:val="000000"/>
          <w:sz w:val="24"/>
          <w:szCs w:val="24"/>
        </w:rPr>
        <w:t xml:space="preserve">Moisture tolerance of the prepared bio-polymer composites </w:t>
      </w:r>
      <w:r w:rsidR="00215E26" w:rsidRPr="00CE4C4F">
        <w:rPr>
          <w:rFonts w:ascii="Times New Roman" w:eastAsia="SimSun" w:hAnsi="Times New Roman" w:cs="Times New Roman"/>
          <w:color w:val="000000"/>
          <w:sz w:val="24"/>
          <w:szCs w:val="24"/>
        </w:rPr>
        <w:t xml:space="preserve">is shown </w:t>
      </w:r>
      <w:r w:rsidRPr="00CE4C4F">
        <w:rPr>
          <w:rFonts w:ascii="Times New Roman" w:eastAsia="SimSun" w:hAnsi="Times New Roman" w:cs="Times New Roman"/>
          <w:color w:val="000000"/>
          <w:sz w:val="24"/>
          <w:szCs w:val="24"/>
        </w:rPr>
        <w:t>in figure 9. for Coconut shell (CS), Saw dust (SD) and Hybrid (HB)</w:t>
      </w:r>
      <w:r w:rsidRPr="00CE4C4F">
        <w:rPr>
          <w:rFonts w:ascii="Times New Roman" w:eastAsia="SimSun" w:hAnsi="Times New Roman" w:cs="Times New Roman"/>
          <w:b/>
          <w:bCs/>
          <w:color w:val="000000"/>
          <w:sz w:val="24"/>
          <w:szCs w:val="24"/>
        </w:rPr>
        <w:t xml:space="preserve"> </w:t>
      </w:r>
      <w:r w:rsidRPr="00CE4C4F">
        <w:rPr>
          <w:rFonts w:ascii="Times New Roman" w:eastAsia="SimSun" w:hAnsi="Times New Roman" w:cs="Times New Roman"/>
          <w:color w:val="000000"/>
          <w:sz w:val="24"/>
          <w:szCs w:val="24"/>
        </w:rPr>
        <w:t>composites.</w:t>
      </w:r>
      <w:r w:rsidR="00A338F0" w:rsidRPr="00CE4C4F">
        <w:rPr>
          <w:rFonts w:ascii="Times New Roman" w:eastAsia="SimSun" w:hAnsi="Times New Roman" w:cs="Times New Roman"/>
          <w:color w:val="000000"/>
          <w:sz w:val="24"/>
          <w:szCs w:val="24"/>
        </w:rPr>
        <w:t xml:space="preserve"> P</w:t>
      </w:r>
      <w:r w:rsidRPr="00CE4C4F">
        <w:rPr>
          <w:rFonts w:ascii="Times New Roman" w:eastAsia="SimSun" w:hAnsi="Times New Roman" w:cs="Times New Roman"/>
          <w:color w:val="000000"/>
          <w:sz w:val="24"/>
          <w:szCs w:val="24"/>
        </w:rPr>
        <w:t>rincipal component analysis (PCA) and hierarchical cluster analysis (HCA) were carried out to identify the most influential components and also evaluate the composite with the best moisture tolerance. The results are shown in Tables 3 and 4 for total variance and component scores and figure 10.  for dendrogram respectively.</w:t>
      </w:r>
    </w:p>
    <w:p w14:paraId="1775A481" w14:textId="0E6D4319" w:rsidR="00AF1225" w:rsidRPr="00CE4C4F" w:rsidRDefault="00AF1225" w:rsidP="00AF1225">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Table </w:t>
      </w:r>
      <w:r w:rsidRPr="00CE4C4F">
        <w:rPr>
          <w:rFonts w:ascii="Times New Roman" w:hAnsi="Times New Roman" w:cs="Times New Roman"/>
          <w:sz w:val="24"/>
          <w:szCs w:val="24"/>
        </w:rPr>
        <w:t>3.</w:t>
      </w:r>
      <w:r w:rsidRPr="00CE4C4F">
        <w:rPr>
          <w:rFonts w:ascii="Times New Roman" w:hAnsi="Times New Roman" w:cs="Times New Roman"/>
          <w:sz w:val="24"/>
          <w:szCs w:val="24"/>
        </w:rPr>
        <w:t xml:space="preserve"> shows the total variance observed</w:t>
      </w:r>
      <w:r w:rsidR="00355177" w:rsidRPr="00CE4C4F">
        <w:rPr>
          <w:rFonts w:ascii="Times New Roman" w:hAnsi="Times New Roman" w:cs="Times New Roman"/>
          <w:sz w:val="24"/>
          <w:szCs w:val="24"/>
        </w:rPr>
        <w:t xml:space="preserve"> </w:t>
      </w:r>
      <w:r w:rsidR="00355177" w:rsidRPr="00CE4C4F">
        <w:rPr>
          <w:rFonts w:ascii="Times New Roman" w:hAnsi="Times New Roman" w:cs="Times New Roman"/>
          <w:sz w:val="24"/>
          <w:szCs w:val="24"/>
        </w:rPr>
        <w:t xml:space="preserve">for moisture absorption </w:t>
      </w:r>
      <w:r w:rsidR="00355177" w:rsidRPr="00CE4C4F">
        <w:rPr>
          <w:rFonts w:ascii="Times New Roman" w:hAnsi="Times New Roman" w:cs="Times New Roman"/>
          <w:sz w:val="24"/>
          <w:szCs w:val="24"/>
        </w:rPr>
        <w:t xml:space="preserve">of </w:t>
      </w:r>
      <w:r w:rsidRPr="00CE4C4F">
        <w:rPr>
          <w:rFonts w:ascii="Times New Roman" w:hAnsi="Times New Roman" w:cs="Times New Roman"/>
          <w:sz w:val="24"/>
          <w:szCs w:val="24"/>
        </w:rPr>
        <w:t>th</w:t>
      </w:r>
      <w:r w:rsidR="00355177" w:rsidRPr="00CE4C4F">
        <w:rPr>
          <w:rFonts w:ascii="Times New Roman" w:hAnsi="Times New Roman" w:cs="Times New Roman"/>
          <w:sz w:val="24"/>
          <w:szCs w:val="24"/>
        </w:rPr>
        <w:t xml:space="preserve">e composites after 10 </w:t>
      </w:r>
      <w:r w:rsidRPr="00CE4C4F">
        <w:rPr>
          <w:rFonts w:ascii="Times New Roman" w:hAnsi="Times New Roman" w:cs="Times New Roman"/>
          <w:sz w:val="24"/>
          <w:szCs w:val="24"/>
        </w:rPr>
        <w:t>days</w:t>
      </w:r>
      <w:r w:rsidR="00355177" w:rsidRPr="00CE4C4F">
        <w:rPr>
          <w:rFonts w:ascii="Times New Roman" w:hAnsi="Times New Roman" w:cs="Times New Roman"/>
          <w:sz w:val="24"/>
          <w:szCs w:val="24"/>
        </w:rPr>
        <w:t>.</w:t>
      </w:r>
      <w:r w:rsidRPr="00CE4C4F">
        <w:rPr>
          <w:rFonts w:ascii="Times New Roman" w:hAnsi="Times New Roman" w:cs="Times New Roman"/>
          <w:sz w:val="24"/>
          <w:szCs w:val="24"/>
        </w:rPr>
        <w:t xml:space="preserve"> of the bio-polymer composites. The analysis</w:t>
      </w:r>
      <w:r w:rsidR="00AD642F" w:rsidRPr="00CE4C4F">
        <w:rPr>
          <w:rFonts w:ascii="Times New Roman" w:hAnsi="Times New Roman" w:cs="Times New Roman"/>
          <w:sz w:val="24"/>
          <w:szCs w:val="24"/>
        </w:rPr>
        <w:t xml:space="preserve"> identified</w:t>
      </w:r>
      <w:r w:rsidRPr="00CE4C4F">
        <w:rPr>
          <w:rFonts w:ascii="Times New Roman" w:hAnsi="Times New Roman" w:cs="Times New Roman"/>
          <w:sz w:val="24"/>
          <w:szCs w:val="24"/>
        </w:rPr>
        <w:t xml:space="preserve"> two (2) major</w:t>
      </w:r>
      <w:r w:rsidR="00D03984"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components. Component 1 </w:t>
      </w:r>
      <w:r w:rsidR="00AD642F" w:rsidRPr="00CE4C4F">
        <w:rPr>
          <w:rFonts w:ascii="Times New Roman" w:hAnsi="Times New Roman" w:cs="Times New Roman"/>
          <w:sz w:val="24"/>
          <w:szCs w:val="24"/>
        </w:rPr>
        <w:lastRenderedPageBreak/>
        <w:t>could explain the variation to</w:t>
      </w:r>
      <w:r w:rsidRPr="00CE4C4F">
        <w:rPr>
          <w:rFonts w:ascii="Times New Roman" w:hAnsi="Times New Roman" w:cs="Times New Roman"/>
          <w:sz w:val="24"/>
          <w:szCs w:val="24"/>
        </w:rPr>
        <w:t xml:space="preserve"> 73.533</w:t>
      </w:r>
      <w:r w:rsidR="0078455E" w:rsidRPr="00CE4C4F">
        <w:rPr>
          <w:rFonts w:ascii="Times New Roman" w:hAnsi="Times New Roman" w:cs="Times New Roman"/>
          <w:sz w:val="24"/>
          <w:szCs w:val="24"/>
        </w:rPr>
        <w:t>% while</w:t>
      </w:r>
      <w:r w:rsidRPr="00CE4C4F">
        <w:rPr>
          <w:rFonts w:ascii="Times New Roman" w:hAnsi="Times New Roman" w:cs="Times New Roman"/>
          <w:sz w:val="24"/>
          <w:szCs w:val="24"/>
        </w:rPr>
        <w:t xml:space="preserve"> component 2 </w:t>
      </w:r>
      <w:r w:rsidR="00AD642F" w:rsidRPr="00CE4C4F">
        <w:rPr>
          <w:rFonts w:ascii="Times New Roman" w:hAnsi="Times New Roman" w:cs="Times New Roman"/>
          <w:sz w:val="24"/>
          <w:szCs w:val="24"/>
        </w:rPr>
        <w:t>had</w:t>
      </w:r>
      <w:r w:rsidRPr="00CE4C4F">
        <w:rPr>
          <w:rFonts w:ascii="Times New Roman" w:hAnsi="Times New Roman" w:cs="Times New Roman"/>
          <w:sz w:val="24"/>
          <w:szCs w:val="24"/>
        </w:rPr>
        <w:t xml:space="preserve"> 87.405</w:t>
      </w:r>
      <w:r w:rsidR="0078455E" w:rsidRPr="00CE4C4F">
        <w:rPr>
          <w:rFonts w:ascii="Times New Roman" w:hAnsi="Times New Roman" w:cs="Times New Roman"/>
          <w:sz w:val="24"/>
          <w:szCs w:val="24"/>
        </w:rPr>
        <w:t>%.</w:t>
      </w:r>
      <w:r w:rsidRPr="00CE4C4F">
        <w:rPr>
          <w:rFonts w:ascii="Times New Roman" w:hAnsi="Times New Roman" w:cs="Times New Roman"/>
          <w:sz w:val="24"/>
          <w:szCs w:val="24"/>
        </w:rPr>
        <w:t xml:space="preserve"> Component 2 </w:t>
      </w:r>
      <w:r w:rsidR="00FF5A77" w:rsidRPr="00CE4C4F">
        <w:rPr>
          <w:rFonts w:ascii="Times New Roman" w:hAnsi="Times New Roman" w:cs="Times New Roman"/>
          <w:sz w:val="24"/>
          <w:szCs w:val="24"/>
        </w:rPr>
        <w:t xml:space="preserve">was </w:t>
      </w:r>
      <w:r w:rsidRPr="00CE4C4F">
        <w:rPr>
          <w:rFonts w:ascii="Times New Roman" w:hAnsi="Times New Roman" w:cs="Times New Roman"/>
          <w:sz w:val="24"/>
          <w:szCs w:val="24"/>
        </w:rPr>
        <w:t xml:space="preserve">used </w:t>
      </w:r>
      <w:r w:rsidR="006D5AE5" w:rsidRPr="00CE4C4F">
        <w:rPr>
          <w:rFonts w:ascii="Times New Roman" w:hAnsi="Times New Roman" w:cs="Times New Roman"/>
          <w:sz w:val="24"/>
          <w:szCs w:val="24"/>
        </w:rPr>
        <w:t>to</w:t>
      </w:r>
      <w:r w:rsidRPr="00CE4C4F">
        <w:rPr>
          <w:rFonts w:ascii="Times New Roman" w:hAnsi="Times New Roman" w:cs="Times New Roman"/>
          <w:sz w:val="24"/>
          <w:szCs w:val="24"/>
        </w:rPr>
        <w:t xml:space="preserve"> explain the moisture absorption for</w:t>
      </w:r>
      <w:r w:rsidR="0078455E" w:rsidRPr="00CE4C4F">
        <w:rPr>
          <w:rFonts w:ascii="Times New Roman" w:hAnsi="Times New Roman" w:cs="Times New Roman"/>
          <w:sz w:val="24"/>
          <w:szCs w:val="24"/>
        </w:rPr>
        <w:t xml:space="preserve"> the </w:t>
      </w:r>
      <w:r w:rsidRPr="00CE4C4F">
        <w:rPr>
          <w:rFonts w:ascii="Times New Roman" w:hAnsi="Times New Roman" w:cs="Times New Roman"/>
          <w:sz w:val="24"/>
          <w:szCs w:val="24"/>
        </w:rPr>
        <w:t xml:space="preserve">composite samples. </w:t>
      </w:r>
      <w:r w:rsidR="00AD6F55" w:rsidRPr="00CE4C4F">
        <w:rPr>
          <w:rFonts w:ascii="Times New Roman" w:hAnsi="Times New Roman" w:cs="Times New Roman"/>
          <w:sz w:val="24"/>
          <w:szCs w:val="24"/>
        </w:rPr>
        <w:t>D</w:t>
      </w:r>
      <w:r w:rsidRPr="00CE4C4F">
        <w:rPr>
          <w:rFonts w:ascii="Times New Roman" w:hAnsi="Times New Roman" w:cs="Times New Roman"/>
          <w:sz w:val="24"/>
          <w:szCs w:val="24"/>
        </w:rPr>
        <w:t xml:space="preserve">ay 2 </w:t>
      </w:r>
      <w:r w:rsidRPr="00CE4C4F">
        <w:rPr>
          <w:rFonts w:ascii="Times New Roman" w:hAnsi="Times New Roman" w:cs="Times New Roman"/>
          <w:sz w:val="24"/>
          <w:szCs w:val="24"/>
        </w:rPr>
        <w:t>had</w:t>
      </w:r>
      <w:r w:rsidRPr="00CE4C4F">
        <w:rPr>
          <w:rFonts w:ascii="Times New Roman" w:hAnsi="Times New Roman" w:cs="Times New Roman"/>
          <w:sz w:val="24"/>
          <w:szCs w:val="24"/>
        </w:rPr>
        <w:t xml:space="preserve"> the </w:t>
      </w:r>
      <w:r w:rsidRPr="00CE4C4F">
        <w:rPr>
          <w:rFonts w:ascii="Times New Roman" w:hAnsi="Times New Roman" w:cs="Times New Roman"/>
          <w:sz w:val="24"/>
          <w:szCs w:val="24"/>
        </w:rPr>
        <w:t xml:space="preserve">highest </w:t>
      </w:r>
      <w:r w:rsidR="00AD6F55" w:rsidRPr="00CE4C4F">
        <w:rPr>
          <w:rFonts w:ascii="Times New Roman" w:hAnsi="Times New Roman" w:cs="Times New Roman"/>
          <w:sz w:val="24"/>
          <w:szCs w:val="24"/>
        </w:rPr>
        <w:t xml:space="preserve">component </w:t>
      </w:r>
      <w:r w:rsidRPr="00CE4C4F">
        <w:rPr>
          <w:rFonts w:ascii="Times New Roman" w:hAnsi="Times New Roman" w:cs="Times New Roman"/>
          <w:sz w:val="24"/>
          <w:szCs w:val="24"/>
        </w:rPr>
        <w:t>score</w:t>
      </w:r>
      <w:r w:rsidRPr="00CE4C4F">
        <w:rPr>
          <w:rFonts w:ascii="Times New Roman" w:hAnsi="Times New Roman" w:cs="Times New Roman"/>
          <w:sz w:val="24"/>
          <w:szCs w:val="24"/>
        </w:rPr>
        <w:t xml:space="preserve"> of </w:t>
      </w:r>
      <w:r w:rsidRPr="00CE4C4F">
        <w:rPr>
          <w:rFonts w:ascii="Times New Roman" w:hAnsi="Times New Roman" w:cs="Times New Roman"/>
          <w:sz w:val="24"/>
          <w:szCs w:val="24"/>
        </w:rPr>
        <w:t>0.742</w:t>
      </w:r>
      <w:r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meaning the composites had their </w:t>
      </w:r>
      <w:r w:rsidR="0078455E" w:rsidRPr="00CE4C4F">
        <w:rPr>
          <w:rFonts w:ascii="Times New Roman" w:hAnsi="Times New Roman" w:cs="Times New Roman"/>
          <w:sz w:val="24"/>
          <w:szCs w:val="24"/>
        </w:rPr>
        <w:t xml:space="preserve">highest </w:t>
      </w:r>
      <w:r w:rsidRPr="00CE4C4F">
        <w:rPr>
          <w:rFonts w:ascii="Times New Roman" w:hAnsi="Times New Roman" w:cs="Times New Roman"/>
          <w:sz w:val="24"/>
          <w:szCs w:val="24"/>
        </w:rPr>
        <w:t xml:space="preserve">moisture absorption </w:t>
      </w:r>
      <w:r w:rsidRPr="00CE4C4F">
        <w:rPr>
          <w:rFonts w:ascii="Times New Roman" w:hAnsi="Times New Roman" w:cs="Times New Roman"/>
          <w:sz w:val="24"/>
          <w:szCs w:val="24"/>
        </w:rPr>
        <w:t xml:space="preserve">on </w:t>
      </w:r>
      <w:r w:rsidRPr="00CE4C4F">
        <w:rPr>
          <w:rFonts w:ascii="Times New Roman" w:hAnsi="Times New Roman" w:cs="Times New Roman"/>
          <w:sz w:val="24"/>
          <w:szCs w:val="24"/>
        </w:rPr>
        <w:t>day 2</w:t>
      </w:r>
      <w:r w:rsidR="00AD6F55" w:rsidRPr="00CE4C4F">
        <w:rPr>
          <w:rFonts w:ascii="Times New Roman" w:hAnsi="Times New Roman" w:cs="Times New Roman"/>
          <w:sz w:val="24"/>
          <w:szCs w:val="24"/>
        </w:rPr>
        <w:t xml:space="preserve"> as shown in table 4.</w:t>
      </w:r>
      <w:r w:rsidRPr="00CE4C4F">
        <w:rPr>
          <w:rFonts w:ascii="Times New Roman" w:hAnsi="Times New Roman" w:cs="Times New Roman"/>
          <w:sz w:val="24"/>
          <w:szCs w:val="24"/>
        </w:rPr>
        <w:t xml:space="preserve"> this </w:t>
      </w:r>
      <w:r w:rsidR="0050388F" w:rsidRPr="00CE4C4F">
        <w:rPr>
          <w:rFonts w:ascii="Times New Roman" w:hAnsi="Times New Roman" w:cs="Times New Roman"/>
          <w:sz w:val="24"/>
          <w:szCs w:val="24"/>
        </w:rPr>
        <w:t xml:space="preserve">is </w:t>
      </w:r>
      <w:r w:rsidRPr="00CE4C4F">
        <w:rPr>
          <w:rFonts w:ascii="Times New Roman" w:hAnsi="Times New Roman" w:cs="Times New Roman"/>
          <w:sz w:val="24"/>
          <w:szCs w:val="24"/>
        </w:rPr>
        <w:t xml:space="preserve">attributed to the readily available pore spaces in the composites since they were yet to be exhausted. </w:t>
      </w:r>
      <w:r w:rsidRPr="00CE4C4F">
        <w:rPr>
          <w:rFonts w:ascii="Times New Roman" w:hAnsi="Times New Roman" w:cs="Times New Roman"/>
          <w:bCs/>
          <w:sz w:val="24"/>
          <w:szCs w:val="24"/>
        </w:rPr>
        <w:t xml:space="preserve">Figure </w:t>
      </w:r>
      <w:r w:rsidRPr="00CE4C4F">
        <w:rPr>
          <w:rFonts w:ascii="Times New Roman" w:hAnsi="Times New Roman" w:cs="Times New Roman"/>
          <w:bCs/>
          <w:sz w:val="24"/>
          <w:szCs w:val="24"/>
        </w:rPr>
        <w:t>10.</w:t>
      </w:r>
      <w:r w:rsidRPr="00CE4C4F">
        <w:rPr>
          <w:rFonts w:ascii="Times New Roman" w:hAnsi="Times New Roman" w:cs="Times New Roman"/>
          <w:b/>
          <w:sz w:val="24"/>
          <w:szCs w:val="24"/>
        </w:rPr>
        <w:t xml:space="preserve"> </w:t>
      </w:r>
      <w:r w:rsidRPr="00CE4C4F">
        <w:rPr>
          <w:rFonts w:ascii="Times New Roman" w:hAnsi="Times New Roman" w:cs="Times New Roman"/>
          <w:sz w:val="24"/>
          <w:szCs w:val="24"/>
        </w:rPr>
        <w:t xml:space="preserve">shows the cluster plots </w:t>
      </w:r>
      <w:r w:rsidR="009C6693" w:rsidRPr="00CE4C4F">
        <w:rPr>
          <w:rFonts w:ascii="Times New Roman" w:hAnsi="Times New Roman" w:cs="Times New Roman"/>
          <w:sz w:val="24"/>
          <w:szCs w:val="24"/>
        </w:rPr>
        <w:t>from</w:t>
      </w:r>
      <w:r w:rsidRPr="00CE4C4F">
        <w:rPr>
          <w:rFonts w:ascii="Times New Roman" w:hAnsi="Times New Roman" w:cs="Times New Roman"/>
          <w:sz w:val="24"/>
          <w:szCs w:val="24"/>
        </w:rPr>
        <w:t xml:space="preserve"> hierarchical cluster analysis (HCA)</w:t>
      </w:r>
      <w:r w:rsidR="00F240BD"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to check for similarities </w:t>
      </w:r>
      <w:r w:rsidR="00F240BD" w:rsidRPr="00CE4C4F">
        <w:rPr>
          <w:rFonts w:ascii="Times New Roman" w:hAnsi="Times New Roman" w:cs="Times New Roman"/>
          <w:sz w:val="24"/>
          <w:szCs w:val="24"/>
        </w:rPr>
        <w:t>in moisture tolerance among</w:t>
      </w:r>
      <w:r w:rsidRPr="00CE4C4F">
        <w:rPr>
          <w:rFonts w:ascii="Times New Roman" w:hAnsi="Times New Roman" w:cs="Times New Roman"/>
          <w:sz w:val="24"/>
          <w:szCs w:val="24"/>
        </w:rPr>
        <w:t xml:space="preserve"> the bio-polymer composites. Three (3) clusters were identified as cluster I, II and III </w:t>
      </w:r>
      <w:r w:rsidR="00AF1BAE" w:rsidRPr="00CE4C4F">
        <w:rPr>
          <w:rFonts w:ascii="Times New Roman" w:hAnsi="Times New Roman" w:cs="Times New Roman"/>
          <w:sz w:val="24"/>
          <w:szCs w:val="24"/>
        </w:rPr>
        <w:t>representing</w:t>
      </w:r>
      <w:r w:rsidRPr="00CE4C4F">
        <w:rPr>
          <w:rFonts w:ascii="Times New Roman" w:hAnsi="Times New Roman" w:cs="Times New Roman"/>
          <w:sz w:val="24"/>
          <w:szCs w:val="24"/>
        </w:rPr>
        <w:t xml:space="preserve"> clusters having composites </w:t>
      </w:r>
      <w:r w:rsidR="00AF1BAE" w:rsidRPr="00CE4C4F">
        <w:rPr>
          <w:rFonts w:ascii="Times New Roman" w:hAnsi="Times New Roman" w:cs="Times New Roman"/>
          <w:sz w:val="24"/>
          <w:szCs w:val="24"/>
        </w:rPr>
        <w:t>with</w:t>
      </w:r>
      <w:r w:rsidRPr="00CE4C4F">
        <w:rPr>
          <w:rFonts w:ascii="Times New Roman" w:hAnsi="Times New Roman" w:cs="Times New Roman"/>
          <w:sz w:val="24"/>
          <w:szCs w:val="24"/>
        </w:rPr>
        <w:t xml:space="preserve"> high, moderate and low moisture absorption respectively. </w:t>
      </w:r>
      <w:r w:rsidR="00FC181C" w:rsidRPr="00CE4C4F">
        <w:rPr>
          <w:rFonts w:ascii="Times New Roman" w:hAnsi="Times New Roman" w:cs="Times New Roman"/>
          <w:sz w:val="24"/>
          <w:szCs w:val="24"/>
        </w:rPr>
        <w:t>Interestingly saw dust (SD) 50/50 ratio was not clustered in cluster I for high moisture absorption when compared to</w:t>
      </w:r>
      <w:r w:rsidR="00E20525" w:rsidRPr="00CE4C4F">
        <w:rPr>
          <w:rFonts w:ascii="Times New Roman" w:hAnsi="Times New Roman" w:cs="Times New Roman"/>
          <w:sz w:val="24"/>
          <w:szCs w:val="24"/>
        </w:rPr>
        <w:t xml:space="preserve"> hybrid</w:t>
      </w:r>
      <w:r w:rsidR="00FC181C" w:rsidRPr="00CE4C4F">
        <w:rPr>
          <w:rFonts w:ascii="Times New Roman" w:hAnsi="Times New Roman" w:cs="Times New Roman"/>
          <w:sz w:val="24"/>
          <w:szCs w:val="24"/>
        </w:rPr>
        <w:t xml:space="preserve"> </w:t>
      </w:r>
      <w:r w:rsidR="00E20525" w:rsidRPr="00CE4C4F">
        <w:rPr>
          <w:rFonts w:ascii="Times New Roman" w:hAnsi="Times New Roman" w:cs="Times New Roman"/>
          <w:sz w:val="24"/>
          <w:szCs w:val="24"/>
        </w:rPr>
        <w:t>(</w:t>
      </w:r>
      <w:r w:rsidRPr="00CE4C4F">
        <w:rPr>
          <w:rFonts w:ascii="Times New Roman" w:hAnsi="Times New Roman" w:cs="Times New Roman"/>
          <w:sz w:val="24"/>
          <w:szCs w:val="24"/>
        </w:rPr>
        <w:t>HB</w:t>
      </w:r>
      <w:r w:rsidR="00E20525" w:rsidRPr="00CE4C4F">
        <w:rPr>
          <w:rFonts w:ascii="Times New Roman" w:hAnsi="Times New Roman" w:cs="Times New Roman"/>
          <w:sz w:val="24"/>
          <w:szCs w:val="24"/>
        </w:rPr>
        <w:t>)</w:t>
      </w:r>
      <w:r w:rsidRPr="00CE4C4F">
        <w:rPr>
          <w:rFonts w:ascii="Times New Roman" w:hAnsi="Times New Roman" w:cs="Times New Roman"/>
          <w:sz w:val="24"/>
          <w:szCs w:val="24"/>
        </w:rPr>
        <w:t xml:space="preserve"> 50/50 and </w:t>
      </w:r>
      <w:r w:rsidR="00E20525" w:rsidRPr="00CE4C4F">
        <w:rPr>
          <w:rFonts w:ascii="Times New Roman" w:hAnsi="Times New Roman" w:cs="Times New Roman"/>
          <w:sz w:val="24"/>
          <w:szCs w:val="24"/>
        </w:rPr>
        <w:t>coconut shell (</w:t>
      </w:r>
      <w:r w:rsidRPr="00CE4C4F">
        <w:rPr>
          <w:rFonts w:ascii="Times New Roman" w:hAnsi="Times New Roman" w:cs="Times New Roman"/>
          <w:sz w:val="24"/>
          <w:szCs w:val="24"/>
        </w:rPr>
        <w:t>CS</w:t>
      </w:r>
      <w:r w:rsidR="00E20525" w:rsidRPr="00CE4C4F">
        <w:rPr>
          <w:rFonts w:ascii="Times New Roman" w:hAnsi="Times New Roman" w:cs="Times New Roman"/>
          <w:sz w:val="24"/>
          <w:szCs w:val="24"/>
        </w:rPr>
        <w:t>)</w:t>
      </w:r>
      <w:r w:rsidRPr="00CE4C4F">
        <w:rPr>
          <w:rFonts w:ascii="Times New Roman" w:hAnsi="Times New Roman" w:cs="Times New Roman"/>
          <w:sz w:val="24"/>
          <w:szCs w:val="24"/>
        </w:rPr>
        <w:t xml:space="preserve"> 50/50</w:t>
      </w:r>
      <w:r w:rsidR="000756B6"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 SD 50/50, HB 40/60, HB 30/70 and CS 40/60 were in cluster II for moderate moisture absorption, while SD 30/70, HB 10/90, HB 20/80 and CS 10/90 were in cluster III for low moisture absorption composites</w:t>
      </w:r>
      <w:r w:rsidR="009B3382" w:rsidRPr="00CE4C4F">
        <w:rPr>
          <w:rFonts w:ascii="Times New Roman" w:hAnsi="Times New Roman" w:cs="Times New Roman"/>
          <w:sz w:val="24"/>
          <w:szCs w:val="24"/>
        </w:rPr>
        <w:t>.</w:t>
      </w:r>
      <w:r w:rsidRPr="00CE4C4F">
        <w:rPr>
          <w:rFonts w:ascii="Times New Roman" w:hAnsi="Times New Roman" w:cs="Times New Roman"/>
          <w:sz w:val="24"/>
          <w:szCs w:val="24"/>
        </w:rPr>
        <w:t xml:space="preserve"> this behaviour of the prepared composites is attributed to the fact that with increasing filler load increases the hydrophilic component of the </w:t>
      </w:r>
      <w:r w:rsidR="00AC1D35" w:rsidRPr="00CE4C4F">
        <w:rPr>
          <w:rFonts w:ascii="Times New Roman" w:hAnsi="Times New Roman" w:cs="Times New Roman"/>
          <w:sz w:val="24"/>
          <w:szCs w:val="24"/>
        </w:rPr>
        <w:t xml:space="preserve">bio-polymer </w:t>
      </w:r>
      <w:r w:rsidRPr="00CE4C4F">
        <w:rPr>
          <w:rFonts w:ascii="Times New Roman" w:hAnsi="Times New Roman" w:cs="Times New Roman"/>
          <w:sz w:val="24"/>
          <w:szCs w:val="24"/>
        </w:rPr>
        <w:t>composites enhancing moisture absorption.</w:t>
      </w:r>
      <w:r w:rsidRPr="00CE4C4F">
        <w:rPr>
          <w:rFonts w:ascii="Times New Roman" w:hAnsi="Times New Roman" w:cs="Times New Roman"/>
          <w:sz w:val="24"/>
          <w:szCs w:val="24"/>
        </w:rPr>
        <w:t xml:space="preserve"> Figure 9. confirms saw dust composite with the best effect of pretreatment also having the best moisture tolerance at the 50/50 ratio </w:t>
      </w:r>
      <w:r w:rsidR="009B3382" w:rsidRPr="00CE4C4F">
        <w:rPr>
          <w:rFonts w:ascii="Times New Roman" w:hAnsi="Times New Roman" w:cs="Times New Roman"/>
          <w:sz w:val="24"/>
          <w:szCs w:val="24"/>
        </w:rPr>
        <w:t xml:space="preserve">when </w:t>
      </w:r>
      <w:r w:rsidRPr="00CE4C4F">
        <w:rPr>
          <w:rFonts w:ascii="Times New Roman" w:hAnsi="Times New Roman" w:cs="Times New Roman"/>
          <w:sz w:val="24"/>
          <w:szCs w:val="24"/>
        </w:rPr>
        <w:t xml:space="preserve">compared to coconut shell and hybrid composites. </w:t>
      </w:r>
    </w:p>
    <w:p w14:paraId="6E2ECCBC" w14:textId="77777777" w:rsidR="00AF1225" w:rsidRPr="00CE4C4F" w:rsidRDefault="00AF1225">
      <w:pPr>
        <w:autoSpaceDE w:val="0"/>
        <w:autoSpaceDN w:val="0"/>
        <w:adjustRightInd w:val="0"/>
        <w:spacing w:before="100" w:beforeAutospacing="1" w:line="480" w:lineRule="auto"/>
        <w:jc w:val="both"/>
        <w:rPr>
          <w:rFonts w:ascii="Times New Roman" w:eastAsia="SimSun" w:hAnsi="Times New Roman" w:cs="Times New Roman"/>
          <w:color w:val="000000"/>
          <w:sz w:val="24"/>
          <w:szCs w:val="24"/>
        </w:rPr>
      </w:pPr>
    </w:p>
    <w:p w14:paraId="5380A28F" w14:textId="77777777" w:rsidR="00997384" w:rsidRPr="00CE4C4F" w:rsidRDefault="006978CD">
      <w:pPr>
        <w:autoSpaceDE w:val="0"/>
        <w:autoSpaceDN w:val="0"/>
        <w:adjustRightInd w:val="0"/>
        <w:spacing w:after="0" w:line="400" w:lineRule="atLeast"/>
        <w:rPr>
          <w:rFonts w:ascii="Times New Roman" w:hAnsi="Times New Roman" w:cs="Times New Roman"/>
          <w:sz w:val="24"/>
          <w:szCs w:val="24"/>
        </w:rPr>
      </w:pPr>
      <w:r w:rsidRPr="00CE4C4F">
        <w:rPr>
          <w:rFonts w:ascii="Times New Roman" w:hAnsi="Times New Roman" w:cs="Times New Roman"/>
          <w:sz w:val="24"/>
          <w:szCs w:val="24"/>
        </w:rPr>
        <w:t>Table 3: Total variance in principal component analysis (PCA)</w:t>
      </w:r>
    </w:p>
    <w:p w14:paraId="08E91727" w14:textId="77777777" w:rsidR="00997384" w:rsidRPr="00CE4C4F" w:rsidRDefault="006978CD">
      <w:pPr>
        <w:autoSpaceDE w:val="0"/>
        <w:autoSpaceDN w:val="0"/>
        <w:adjustRightInd w:val="0"/>
        <w:spacing w:after="0" w:line="400" w:lineRule="atLeast"/>
        <w:rPr>
          <w:rFonts w:ascii="Times New Roman" w:hAnsi="Times New Roman" w:cs="Times New Roman"/>
          <w:sz w:val="24"/>
          <w:szCs w:val="24"/>
        </w:rPr>
      </w:pPr>
      <w:r w:rsidRPr="00CE4C4F">
        <w:rPr>
          <w:rFonts w:ascii="Times New Roman" w:hAnsi="Times New Roman" w:cs="Times New Roman"/>
          <w:noProof/>
          <w:sz w:val="24"/>
          <w:szCs w:val="24"/>
        </w:rPr>
        <w:lastRenderedPageBreak/>
        <w:drawing>
          <wp:inline distT="0" distB="0" distL="0" distR="0" wp14:anchorId="431B6C99" wp14:editId="0E21F45D">
            <wp:extent cx="6106795" cy="2385060"/>
            <wp:effectExtent l="0" t="0" r="8255" b="0"/>
            <wp:docPr id="1693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7573"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2032" cy="2391343"/>
                    </a:xfrm>
                    <a:prstGeom prst="rect">
                      <a:avLst/>
                    </a:prstGeom>
                    <a:noFill/>
                  </pic:spPr>
                </pic:pic>
              </a:graphicData>
            </a:graphic>
          </wp:inline>
        </w:drawing>
      </w:r>
    </w:p>
    <w:p w14:paraId="7129E66B" w14:textId="77777777" w:rsidR="00997384" w:rsidRPr="00CE4C4F" w:rsidRDefault="006978CD">
      <w:pPr>
        <w:autoSpaceDE w:val="0"/>
        <w:autoSpaceDN w:val="0"/>
        <w:adjustRightInd w:val="0"/>
        <w:spacing w:after="0" w:line="400" w:lineRule="atLeast"/>
        <w:rPr>
          <w:rFonts w:ascii="Times New Roman" w:hAnsi="Times New Roman" w:cs="Times New Roman"/>
          <w:sz w:val="24"/>
          <w:szCs w:val="24"/>
        </w:rPr>
      </w:pPr>
      <w:r w:rsidRPr="00CE4C4F">
        <w:rPr>
          <w:rFonts w:ascii="Times New Roman" w:hAnsi="Times New Roman" w:cs="Times New Roman"/>
          <w:sz w:val="24"/>
          <w:szCs w:val="24"/>
        </w:rPr>
        <w:t>Table 4: Component scores in PCA</w:t>
      </w:r>
    </w:p>
    <w:p w14:paraId="6F797A00" w14:textId="77777777" w:rsidR="00997384" w:rsidRPr="00CE4C4F" w:rsidRDefault="006978CD">
      <w:pPr>
        <w:autoSpaceDE w:val="0"/>
        <w:autoSpaceDN w:val="0"/>
        <w:adjustRightInd w:val="0"/>
        <w:spacing w:after="0" w:line="400" w:lineRule="atLeast"/>
        <w:rPr>
          <w:rFonts w:ascii="Times New Roman" w:hAnsi="Times New Roman" w:cs="Times New Roman"/>
          <w:sz w:val="24"/>
          <w:szCs w:val="24"/>
        </w:rPr>
      </w:pPr>
      <w:r w:rsidRPr="00CE4C4F">
        <w:rPr>
          <w:rFonts w:ascii="Times New Roman" w:hAnsi="Times New Roman" w:cs="Times New Roman"/>
          <w:noProof/>
          <w:sz w:val="24"/>
          <w:szCs w:val="24"/>
        </w:rPr>
        <w:drawing>
          <wp:inline distT="0" distB="0" distL="0" distR="0" wp14:anchorId="47A851E7" wp14:editId="1F5AD4A6">
            <wp:extent cx="2383790" cy="2226310"/>
            <wp:effectExtent l="0" t="0" r="0" b="2540"/>
            <wp:docPr id="1639592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92920" name="Picture 2"/>
                    <pic:cNvPicPr>
                      <a:picLocks noChangeAspect="1" noChangeArrowheads="1"/>
                    </pic:cNvPicPr>
                  </pic:nvPicPr>
                  <pic:blipFill>
                    <a:blip r:embed="rId16">
                      <a:extLst>
                        <a:ext uri="{28A0092B-C50C-407E-A947-70E740481C1C}">
                          <a14:useLocalDpi xmlns:a14="http://schemas.microsoft.com/office/drawing/2010/main" val="0"/>
                        </a:ext>
                      </a:extLst>
                    </a:blip>
                    <a:srcRect b="7336"/>
                    <a:stretch>
                      <a:fillRect/>
                    </a:stretch>
                  </pic:blipFill>
                  <pic:spPr>
                    <a:xfrm>
                      <a:off x="0" y="0"/>
                      <a:ext cx="2387262" cy="2229608"/>
                    </a:xfrm>
                    <a:prstGeom prst="rect">
                      <a:avLst/>
                    </a:prstGeom>
                    <a:noFill/>
                    <a:ln>
                      <a:noFill/>
                    </a:ln>
                  </pic:spPr>
                </pic:pic>
              </a:graphicData>
            </a:graphic>
          </wp:inline>
        </w:drawing>
      </w:r>
    </w:p>
    <w:p w14:paraId="224A37D4" w14:textId="77777777" w:rsidR="00997384" w:rsidRPr="00CE4C4F" w:rsidRDefault="00997384">
      <w:pPr>
        <w:autoSpaceDE w:val="0"/>
        <w:autoSpaceDN w:val="0"/>
        <w:adjustRightInd w:val="0"/>
        <w:spacing w:after="0" w:line="400" w:lineRule="atLeast"/>
        <w:rPr>
          <w:rFonts w:ascii="Times New Roman" w:hAnsi="Times New Roman" w:cs="Times New Roman"/>
          <w:sz w:val="24"/>
          <w:szCs w:val="24"/>
        </w:rPr>
      </w:pPr>
    </w:p>
    <w:p w14:paraId="144C942A" w14:textId="77777777" w:rsidR="00997384" w:rsidRPr="00CE4C4F" w:rsidRDefault="006978CD">
      <w:pPr>
        <w:autoSpaceDE w:val="0"/>
        <w:autoSpaceDN w:val="0"/>
        <w:adjustRightInd w:val="0"/>
        <w:spacing w:after="0" w:line="400" w:lineRule="atLeast"/>
        <w:rPr>
          <w:rFonts w:ascii="Times New Roman" w:hAnsi="Times New Roman" w:cs="Times New Roman"/>
          <w:sz w:val="24"/>
          <w:szCs w:val="24"/>
        </w:rPr>
      </w:pPr>
      <w:r w:rsidRPr="00CE4C4F">
        <w:rPr>
          <w:rFonts w:ascii="Times New Roman" w:hAnsi="Times New Roman" w:cs="Times New Roman"/>
          <w:noProof/>
          <w:sz w:val="24"/>
          <w:szCs w:val="24"/>
        </w:rPr>
        <w:lastRenderedPageBreak/>
        <w:drawing>
          <wp:inline distT="0" distB="0" distL="0" distR="0" wp14:anchorId="7A9CB3F3" wp14:editId="68B074B3">
            <wp:extent cx="5955030" cy="5345430"/>
            <wp:effectExtent l="0" t="0" r="7620" b="7620"/>
            <wp:docPr id="464584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84625" name="Picture 3"/>
                    <pic:cNvPicPr>
                      <a:picLocks noChangeAspect="1" noChangeArrowheads="1"/>
                    </pic:cNvPicPr>
                  </pic:nvPicPr>
                  <pic:blipFill>
                    <a:blip r:embed="rId17">
                      <a:extLst>
                        <a:ext uri="{28A0092B-C50C-407E-A947-70E740481C1C}">
                          <a14:useLocalDpi xmlns:a14="http://schemas.microsoft.com/office/drawing/2010/main" val="0"/>
                        </a:ext>
                      </a:extLst>
                    </a:blip>
                    <a:srcRect l="4822" t="4694" r="10872" b="9841"/>
                    <a:stretch>
                      <a:fillRect/>
                    </a:stretch>
                  </pic:blipFill>
                  <pic:spPr>
                    <a:xfrm>
                      <a:off x="0" y="0"/>
                      <a:ext cx="5966529" cy="5356046"/>
                    </a:xfrm>
                    <a:prstGeom prst="rect">
                      <a:avLst/>
                    </a:prstGeom>
                    <a:noFill/>
                    <a:ln>
                      <a:noFill/>
                    </a:ln>
                  </pic:spPr>
                </pic:pic>
              </a:graphicData>
            </a:graphic>
          </wp:inline>
        </w:drawing>
      </w:r>
    </w:p>
    <w:p w14:paraId="58DCC20F" w14:textId="77777777" w:rsidR="00997384" w:rsidRPr="00CE4C4F" w:rsidRDefault="00997384">
      <w:pPr>
        <w:spacing w:after="0" w:line="240" w:lineRule="auto"/>
        <w:rPr>
          <w:rFonts w:ascii="Times New Roman" w:hAnsi="Times New Roman" w:cs="Times New Roman"/>
          <w:b/>
          <w:bCs/>
          <w:color w:val="000000"/>
          <w:sz w:val="24"/>
          <w:szCs w:val="24"/>
        </w:rPr>
      </w:pPr>
    </w:p>
    <w:p w14:paraId="280D9922"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Figure 10: Hierarchical cluster analysis (HCA) for coconut shell (CS), saw dust (SD) and </w:t>
      </w:r>
    </w:p>
    <w:p w14:paraId="2CB88578" w14:textId="77777777" w:rsidR="00997384" w:rsidRPr="00CE4C4F" w:rsidRDefault="006978CD">
      <w:pPr>
        <w:spacing w:after="0" w:line="240" w:lineRule="auto"/>
        <w:rPr>
          <w:rFonts w:ascii="Times New Roman" w:hAnsi="Times New Roman" w:cs="Times New Roman"/>
          <w:b/>
          <w:bCs/>
          <w:color w:val="000000"/>
          <w:sz w:val="24"/>
          <w:szCs w:val="24"/>
        </w:rPr>
      </w:pPr>
      <w:r w:rsidRPr="00CE4C4F">
        <w:rPr>
          <w:rFonts w:ascii="Times New Roman" w:hAnsi="Times New Roman" w:cs="Times New Roman"/>
          <w:b/>
          <w:bCs/>
          <w:color w:val="000000"/>
          <w:sz w:val="24"/>
          <w:szCs w:val="24"/>
        </w:rPr>
        <w:t xml:space="preserve">Hybrid (HB) bio-polymer composites </w:t>
      </w:r>
    </w:p>
    <w:p w14:paraId="3DE51773" w14:textId="77777777" w:rsidR="00997384" w:rsidRPr="00CE4C4F" w:rsidRDefault="00997384">
      <w:pPr>
        <w:spacing w:line="480" w:lineRule="auto"/>
        <w:jc w:val="both"/>
        <w:rPr>
          <w:rFonts w:ascii="Times New Roman" w:hAnsi="Times New Roman" w:cs="Times New Roman"/>
          <w:b/>
          <w:bCs/>
          <w:sz w:val="24"/>
          <w:szCs w:val="24"/>
        </w:rPr>
      </w:pPr>
    </w:p>
    <w:p w14:paraId="18C15BDD" w14:textId="77777777" w:rsidR="00997384" w:rsidRPr="00CE4C4F" w:rsidRDefault="006978CD">
      <w:pPr>
        <w:spacing w:line="480" w:lineRule="auto"/>
        <w:jc w:val="both"/>
        <w:rPr>
          <w:rFonts w:ascii="Times New Roman" w:hAnsi="Times New Roman" w:cs="Times New Roman"/>
          <w:b/>
          <w:bCs/>
          <w:sz w:val="24"/>
          <w:szCs w:val="24"/>
        </w:rPr>
      </w:pPr>
      <w:r w:rsidRPr="00CE4C4F">
        <w:rPr>
          <w:rFonts w:ascii="Times New Roman" w:hAnsi="Times New Roman" w:cs="Times New Roman"/>
          <w:b/>
          <w:bCs/>
          <w:sz w:val="24"/>
          <w:szCs w:val="24"/>
        </w:rPr>
        <w:t>4.0 CONCLUSION</w:t>
      </w:r>
    </w:p>
    <w:p w14:paraId="4CEDF2E5" w14:textId="05AB1ABE" w:rsidR="00997384" w:rsidRPr="00CE4C4F" w:rsidRDefault="006978CD">
      <w:pPr>
        <w:spacing w:line="480" w:lineRule="auto"/>
        <w:jc w:val="both"/>
        <w:rPr>
          <w:rFonts w:ascii="Times New Roman" w:hAnsi="Times New Roman" w:cs="Times New Roman"/>
          <w:sz w:val="24"/>
          <w:szCs w:val="24"/>
        </w:rPr>
      </w:pPr>
      <w:r w:rsidRPr="00CE4C4F">
        <w:rPr>
          <w:rFonts w:ascii="Times New Roman" w:hAnsi="Times New Roman" w:cs="Times New Roman"/>
          <w:sz w:val="24"/>
          <w:szCs w:val="24"/>
        </w:rPr>
        <w:t xml:space="preserve">The </w:t>
      </w:r>
      <w:r w:rsidR="00487C62" w:rsidRPr="00CE4C4F">
        <w:rPr>
          <w:rFonts w:ascii="Times New Roman" w:hAnsi="Times New Roman" w:cs="Times New Roman"/>
          <w:sz w:val="24"/>
          <w:szCs w:val="24"/>
        </w:rPr>
        <w:t xml:space="preserve">alkali pretreatment of the agro-wastes fibers was able to reduce hydrophilicity and improve homogeneity between filler materials and LDPE matrix. The </w:t>
      </w:r>
      <w:r w:rsidRPr="00CE4C4F">
        <w:rPr>
          <w:rFonts w:ascii="Times New Roman" w:hAnsi="Times New Roman" w:cs="Times New Roman"/>
          <w:sz w:val="24"/>
          <w:szCs w:val="24"/>
        </w:rPr>
        <w:t xml:space="preserve">prepared </w:t>
      </w:r>
      <w:r w:rsidR="00487C62" w:rsidRPr="00CE4C4F">
        <w:rPr>
          <w:rFonts w:ascii="Times New Roman" w:hAnsi="Times New Roman" w:cs="Times New Roman"/>
          <w:sz w:val="24"/>
          <w:szCs w:val="24"/>
        </w:rPr>
        <w:t xml:space="preserve">bio-polymer </w:t>
      </w:r>
      <w:r w:rsidRPr="00CE4C4F">
        <w:rPr>
          <w:rFonts w:ascii="Times New Roman" w:hAnsi="Times New Roman" w:cs="Times New Roman"/>
          <w:sz w:val="24"/>
          <w:szCs w:val="24"/>
        </w:rPr>
        <w:t>composites showed a good interfacial bonding at the filler/matrix interface indicating a homogenous distribution of filler particles as</w:t>
      </w:r>
      <w:r w:rsidR="00487C62" w:rsidRPr="00CE4C4F">
        <w:rPr>
          <w:rFonts w:ascii="Times New Roman" w:hAnsi="Times New Roman" w:cs="Times New Roman"/>
          <w:sz w:val="24"/>
          <w:szCs w:val="24"/>
        </w:rPr>
        <w:t xml:space="preserve"> </w:t>
      </w:r>
      <w:r w:rsidRPr="00CE4C4F">
        <w:rPr>
          <w:rFonts w:ascii="Times New Roman" w:hAnsi="Times New Roman" w:cs="Times New Roman"/>
          <w:sz w:val="24"/>
          <w:szCs w:val="24"/>
        </w:rPr>
        <w:t>observed in S.E.M analysis</w:t>
      </w:r>
      <w:r w:rsidR="009F65E7" w:rsidRPr="00CE4C4F">
        <w:rPr>
          <w:rFonts w:ascii="Times New Roman" w:hAnsi="Times New Roman" w:cs="Times New Roman"/>
          <w:sz w:val="24"/>
          <w:szCs w:val="24"/>
        </w:rPr>
        <w:t xml:space="preserve">. </w:t>
      </w:r>
      <w:r w:rsidR="00A73C8E" w:rsidRPr="00CE4C4F">
        <w:rPr>
          <w:rFonts w:ascii="Times New Roman" w:hAnsi="Times New Roman" w:cs="Times New Roman"/>
          <w:sz w:val="24"/>
          <w:szCs w:val="24"/>
        </w:rPr>
        <w:t>At t</w:t>
      </w:r>
      <w:r w:rsidR="00DF45BB" w:rsidRPr="00CE4C4F">
        <w:rPr>
          <w:rFonts w:ascii="Times New Roman" w:hAnsi="Times New Roman" w:cs="Times New Roman"/>
          <w:sz w:val="24"/>
          <w:szCs w:val="24"/>
        </w:rPr>
        <w:t>he 50/50 ratio</w:t>
      </w:r>
      <w:r w:rsidR="003632C3" w:rsidRPr="00CE4C4F">
        <w:rPr>
          <w:rFonts w:ascii="Times New Roman" w:hAnsi="Times New Roman" w:cs="Times New Roman"/>
          <w:sz w:val="24"/>
          <w:szCs w:val="24"/>
        </w:rPr>
        <w:t xml:space="preserve"> of</w:t>
      </w:r>
      <w:r w:rsidR="00A04495" w:rsidRPr="00CE4C4F">
        <w:rPr>
          <w:rFonts w:ascii="Times New Roman" w:hAnsi="Times New Roman" w:cs="Times New Roman"/>
          <w:sz w:val="24"/>
          <w:szCs w:val="24"/>
        </w:rPr>
        <w:t xml:space="preserve"> </w:t>
      </w:r>
      <w:r w:rsidR="003632C3" w:rsidRPr="00CE4C4F">
        <w:rPr>
          <w:rFonts w:ascii="Times New Roman" w:hAnsi="Times New Roman" w:cs="Times New Roman"/>
          <w:sz w:val="24"/>
          <w:szCs w:val="24"/>
        </w:rPr>
        <w:t>filler/matrix</w:t>
      </w:r>
      <w:r w:rsidR="00471774" w:rsidRPr="00CE4C4F">
        <w:rPr>
          <w:rFonts w:ascii="Times New Roman" w:hAnsi="Times New Roman" w:cs="Times New Roman"/>
          <w:sz w:val="24"/>
          <w:szCs w:val="24"/>
        </w:rPr>
        <w:t xml:space="preserve">, </w:t>
      </w:r>
      <w:r w:rsidR="00A04495" w:rsidRPr="00CE4C4F">
        <w:rPr>
          <w:rFonts w:ascii="Times New Roman" w:hAnsi="Times New Roman" w:cs="Times New Roman"/>
          <w:sz w:val="24"/>
          <w:szCs w:val="24"/>
        </w:rPr>
        <w:t xml:space="preserve">the </w:t>
      </w:r>
      <w:r w:rsidR="00DF45BB" w:rsidRPr="00CE4C4F">
        <w:rPr>
          <w:rFonts w:ascii="Times New Roman" w:hAnsi="Times New Roman" w:cs="Times New Roman"/>
          <w:sz w:val="24"/>
          <w:szCs w:val="24"/>
        </w:rPr>
        <w:lastRenderedPageBreak/>
        <w:t>saw dust (SD) composites</w:t>
      </w:r>
      <w:r w:rsidR="00471774" w:rsidRPr="00CE4C4F">
        <w:rPr>
          <w:rFonts w:ascii="Times New Roman" w:hAnsi="Times New Roman" w:cs="Times New Roman"/>
          <w:sz w:val="24"/>
          <w:szCs w:val="24"/>
        </w:rPr>
        <w:t xml:space="preserve"> were more tolerant to moisture </w:t>
      </w:r>
      <w:r w:rsidR="00DF45BB" w:rsidRPr="00CE4C4F">
        <w:rPr>
          <w:rFonts w:ascii="Times New Roman" w:hAnsi="Times New Roman" w:cs="Times New Roman"/>
          <w:sz w:val="24"/>
          <w:szCs w:val="24"/>
        </w:rPr>
        <w:t>when compared to</w:t>
      </w:r>
      <w:r w:rsidR="009F65E7" w:rsidRPr="00CE4C4F">
        <w:rPr>
          <w:rFonts w:ascii="Times New Roman" w:hAnsi="Times New Roman" w:cs="Times New Roman"/>
          <w:sz w:val="24"/>
          <w:szCs w:val="24"/>
        </w:rPr>
        <w:t xml:space="preserve"> Coconut shell (CS) and hybrid</w:t>
      </w:r>
      <w:r w:rsidR="00471774" w:rsidRPr="00CE4C4F">
        <w:rPr>
          <w:rFonts w:ascii="Times New Roman" w:hAnsi="Times New Roman" w:cs="Times New Roman"/>
          <w:sz w:val="24"/>
          <w:szCs w:val="24"/>
        </w:rPr>
        <w:t>, this is attributed</w:t>
      </w:r>
      <w:r w:rsidRPr="00CE4C4F">
        <w:rPr>
          <w:rFonts w:ascii="Times New Roman" w:hAnsi="Times New Roman" w:cs="Times New Roman"/>
          <w:sz w:val="24"/>
          <w:szCs w:val="24"/>
        </w:rPr>
        <w:t xml:space="preserve"> </w:t>
      </w:r>
      <w:r w:rsidR="00471774" w:rsidRPr="00CE4C4F">
        <w:rPr>
          <w:rFonts w:ascii="Times New Roman" w:hAnsi="Times New Roman" w:cs="Times New Roman"/>
          <w:sz w:val="24"/>
          <w:szCs w:val="24"/>
        </w:rPr>
        <w:t xml:space="preserve">to the effect of alkali pretreatment as seen in </w:t>
      </w:r>
      <w:r w:rsidR="00A04495" w:rsidRPr="00CE4C4F">
        <w:rPr>
          <w:rFonts w:ascii="Times New Roman" w:hAnsi="Times New Roman" w:cs="Times New Roman"/>
          <w:sz w:val="24"/>
          <w:szCs w:val="24"/>
        </w:rPr>
        <w:t>it’s</w:t>
      </w:r>
      <w:r w:rsidR="00471774" w:rsidRPr="00CE4C4F">
        <w:rPr>
          <w:rFonts w:ascii="Times New Roman" w:hAnsi="Times New Roman" w:cs="Times New Roman"/>
          <w:sz w:val="24"/>
          <w:szCs w:val="24"/>
        </w:rPr>
        <w:t xml:space="preserve"> </w:t>
      </w:r>
      <w:r w:rsidR="00CB48D1" w:rsidRPr="00CE4C4F">
        <w:rPr>
          <w:rFonts w:ascii="Times New Roman" w:hAnsi="Times New Roman" w:cs="Times New Roman"/>
          <w:sz w:val="24"/>
          <w:szCs w:val="24"/>
        </w:rPr>
        <w:t>less prominent</w:t>
      </w:r>
      <w:r w:rsidR="00471774" w:rsidRPr="00CE4C4F">
        <w:rPr>
          <w:rFonts w:ascii="Times New Roman" w:hAnsi="Times New Roman" w:cs="Times New Roman"/>
          <w:sz w:val="24"/>
          <w:szCs w:val="24"/>
        </w:rPr>
        <w:t xml:space="preserve"> </w:t>
      </w:r>
      <w:r w:rsidR="00471774" w:rsidRPr="00CE4C4F">
        <w:rPr>
          <w:rFonts w:ascii="Times New Roman" w:hAnsi="Times New Roman" w:cs="Times New Roman"/>
          <w:sz w:val="24"/>
          <w:szCs w:val="24"/>
        </w:rPr>
        <w:t xml:space="preserve">hydrophilic (OH) </w:t>
      </w:r>
      <w:r w:rsidR="00471774" w:rsidRPr="00CE4C4F">
        <w:rPr>
          <w:rFonts w:ascii="Times New Roman" w:hAnsi="Times New Roman" w:cs="Times New Roman"/>
          <w:sz w:val="24"/>
          <w:szCs w:val="24"/>
        </w:rPr>
        <w:t>peak</w:t>
      </w:r>
      <w:r w:rsidR="00471774" w:rsidRPr="00CE4C4F">
        <w:rPr>
          <w:rFonts w:ascii="Times New Roman" w:hAnsi="Times New Roman" w:cs="Times New Roman"/>
          <w:sz w:val="24"/>
          <w:szCs w:val="24"/>
        </w:rPr>
        <w:t xml:space="preserve"> at 3000cm-1</w:t>
      </w:r>
      <w:r w:rsidR="00487C62" w:rsidRPr="00CE4C4F">
        <w:rPr>
          <w:rFonts w:ascii="Times New Roman" w:hAnsi="Times New Roman" w:cs="Times New Roman"/>
          <w:sz w:val="24"/>
          <w:szCs w:val="24"/>
        </w:rPr>
        <w:t xml:space="preserve"> from FTIR</w:t>
      </w:r>
      <w:bookmarkStart w:id="8" w:name="_Hlk181434886"/>
      <w:r w:rsidR="00821471" w:rsidRPr="00CE4C4F">
        <w:rPr>
          <w:rFonts w:ascii="Times New Roman" w:hAnsi="Times New Roman" w:cs="Times New Roman"/>
          <w:sz w:val="24"/>
          <w:szCs w:val="24"/>
        </w:rPr>
        <w:t xml:space="preserve"> and also </w:t>
      </w:r>
      <w:r w:rsidR="00821471" w:rsidRPr="00CE4C4F">
        <w:rPr>
          <w:rFonts w:ascii="Times New Roman" w:hAnsi="Times New Roman" w:cs="Times New Roman"/>
          <w:sz w:val="24"/>
          <w:szCs w:val="24"/>
        </w:rPr>
        <w:t>PCA and HCA analysis</w:t>
      </w:r>
      <w:r w:rsidR="00821471" w:rsidRPr="00CE4C4F">
        <w:rPr>
          <w:rFonts w:ascii="Times New Roman" w:hAnsi="Times New Roman" w:cs="Times New Roman"/>
          <w:sz w:val="24"/>
          <w:szCs w:val="24"/>
        </w:rPr>
        <w:t xml:space="preserve">. </w:t>
      </w:r>
      <w:r w:rsidR="00821471" w:rsidRPr="00CE4C4F">
        <w:rPr>
          <w:rFonts w:ascii="Times New Roman" w:hAnsi="Times New Roman" w:cs="Times New Roman"/>
          <w:sz w:val="24"/>
          <w:szCs w:val="24"/>
        </w:rPr>
        <w:t>clustered saw dust in cluster</w:t>
      </w:r>
      <w:r w:rsidRPr="00CE4C4F">
        <w:rPr>
          <w:rFonts w:ascii="Times New Roman" w:hAnsi="Times New Roman" w:cs="Times New Roman"/>
          <w:sz w:val="24"/>
          <w:szCs w:val="24"/>
        </w:rPr>
        <w:t>.</w:t>
      </w:r>
      <w:r w:rsidR="005942F5" w:rsidRPr="00CE4C4F">
        <w:rPr>
          <w:rFonts w:ascii="Times New Roman" w:hAnsi="Times New Roman" w:cs="Times New Roman"/>
          <w:sz w:val="24"/>
          <w:szCs w:val="24"/>
        </w:rPr>
        <w:t xml:space="preserve"> The enhanced mechanical properties </w:t>
      </w:r>
      <w:r w:rsidR="003377B5" w:rsidRPr="00CE4C4F">
        <w:rPr>
          <w:rFonts w:ascii="Times New Roman" w:hAnsi="Times New Roman" w:cs="Times New Roman"/>
          <w:sz w:val="24"/>
          <w:szCs w:val="24"/>
        </w:rPr>
        <w:t>are</w:t>
      </w:r>
      <w:r w:rsidR="005942F5" w:rsidRPr="00CE4C4F">
        <w:rPr>
          <w:rFonts w:ascii="Times New Roman" w:hAnsi="Times New Roman" w:cs="Times New Roman"/>
          <w:sz w:val="24"/>
          <w:szCs w:val="24"/>
        </w:rPr>
        <w:t xml:space="preserve"> also attributed to improved homogeneity.</w:t>
      </w:r>
      <w:r w:rsidR="00821471" w:rsidRPr="00CE4C4F">
        <w:rPr>
          <w:rFonts w:ascii="Times New Roman" w:hAnsi="Times New Roman" w:cs="Times New Roman"/>
          <w:sz w:val="24"/>
          <w:szCs w:val="24"/>
        </w:rPr>
        <w:t xml:space="preserve"> </w:t>
      </w:r>
      <w:r w:rsidRPr="00CE4C4F">
        <w:rPr>
          <w:rFonts w:ascii="Times New Roman" w:hAnsi="Times New Roman" w:cs="Times New Roman"/>
          <w:sz w:val="24"/>
          <w:szCs w:val="24"/>
        </w:rPr>
        <w:t xml:space="preserve">It is possible using the approach to obtain sustainable bio-polymer composites with </w:t>
      </w:r>
      <w:r w:rsidR="003377B5" w:rsidRPr="00CE4C4F">
        <w:rPr>
          <w:rFonts w:ascii="Times New Roman" w:hAnsi="Times New Roman" w:cs="Times New Roman"/>
          <w:sz w:val="24"/>
          <w:szCs w:val="24"/>
        </w:rPr>
        <w:t>enhanced mechanistic</w:t>
      </w:r>
      <w:r w:rsidRPr="00CE4C4F">
        <w:rPr>
          <w:rFonts w:ascii="Times New Roman" w:hAnsi="Times New Roman" w:cs="Times New Roman"/>
          <w:sz w:val="24"/>
          <w:szCs w:val="24"/>
        </w:rPr>
        <w:t xml:space="preserve"> and durable properties.</w:t>
      </w:r>
    </w:p>
    <w:p w14:paraId="42F68798" w14:textId="2CF8BBA4" w:rsidR="00DD3C05" w:rsidRPr="00CE4C4F" w:rsidRDefault="00DD3C05">
      <w:pPr>
        <w:spacing w:line="480" w:lineRule="auto"/>
        <w:jc w:val="both"/>
        <w:rPr>
          <w:rFonts w:ascii="Times New Roman" w:hAnsi="Times New Roman" w:cs="Times New Roman"/>
          <w:sz w:val="24"/>
          <w:szCs w:val="24"/>
        </w:rPr>
      </w:pPr>
    </w:p>
    <w:p w14:paraId="7A4E4A3E" w14:textId="77777777" w:rsidR="00DD3C05" w:rsidRPr="00CE4C4F" w:rsidRDefault="00DD3C05" w:rsidP="00DD3C05">
      <w:pPr>
        <w:rPr>
          <w:rFonts w:ascii="Calibri" w:eastAsia="Calibri" w:hAnsi="Calibri" w:cs="Times New Roman"/>
          <w:kern w:val="2"/>
        </w:rPr>
      </w:pPr>
      <w:bookmarkStart w:id="9" w:name="_Hlk197682619"/>
      <w:bookmarkStart w:id="10" w:name="_Hlk180402183"/>
      <w:bookmarkStart w:id="11" w:name="_Hlk183680988"/>
      <w:r w:rsidRPr="00CE4C4F">
        <w:rPr>
          <w:rFonts w:ascii="Calibri" w:eastAsia="Calibri" w:hAnsi="Calibri" w:cs="Times New Roman"/>
          <w:kern w:val="2"/>
        </w:rPr>
        <w:t>Disclaimer (Artificial intelligence)</w:t>
      </w:r>
    </w:p>
    <w:p w14:paraId="2883181F"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 xml:space="preserve">Option 1: </w:t>
      </w:r>
    </w:p>
    <w:p w14:paraId="484130CE"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07FA3CFC"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 xml:space="preserve">Option 2: </w:t>
      </w:r>
    </w:p>
    <w:p w14:paraId="26024379"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E34E13"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Details of the AI usage are given below:</w:t>
      </w:r>
    </w:p>
    <w:p w14:paraId="0E3715EF"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1.</w:t>
      </w:r>
    </w:p>
    <w:p w14:paraId="72511BEE" w14:textId="77777777" w:rsidR="00DD3C05" w:rsidRPr="00CE4C4F" w:rsidRDefault="00DD3C05" w:rsidP="00DD3C05">
      <w:pPr>
        <w:rPr>
          <w:rFonts w:ascii="Calibri" w:eastAsia="Calibri" w:hAnsi="Calibri" w:cs="Times New Roman"/>
          <w:kern w:val="2"/>
        </w:rPr>
      </w:pPr>
      <w:r w:rsidRPr="00CE4C4F">
        <w:rPr>
          <w:rFonts w:ascii="Calibri" w:eastAsia="Calibri" w:hAnsi="Calibri" w:cs="Times New Roman"/>
          <w:kern w:val="2"/>
        </w:rPr>
        <w:t>2.</w:t>
      </w:r>
    </w:p>
    <w:p w14:paraId="2CA97CD0" w14:textId="77777777" w:rsidR="00DD3C05" w:rsidRPr="00CE4C4F" w:rsidRDefault="00DD3C05" w:rsidP="00DD3C05">
      <w:pPr>
        <w:rPr>
          <w:rFonts w:ascii="Calibri" w:eastAsia="Calibri" w:hAnsi="Calibri" w:cs="Times New Roman"/>
          <w:kern w:val="2"/>
        </w:rPr>
      </w:pPr>
      <w:bookmarkStart w:id="12" w:name="_Hlk197682629"/>
      <w:bookmarkEnd w:id="9"/>
      <w:r w:rsidRPr="00CE4C4F">
        <w:rPr>
          <w:rFonts w:ascii="Calibri" w:eastAsia="Calibri" w:hAnsi="Calibri" w:cs="Times New Roman"/>
          <w:kern w:val="2"/>
        </w:rPr>
        <w:t>3.</w:t>
      </w:r>
    </w:p>
    <w:bookmarkEnd w:id="10"/>
    <w:bookmarkEnd w:id="11"/>
    <w:bookmarkEnd w:id="12"/>
    <w:p w14:paraId="5D4353B9" w14:textId="77777777" w:rsidR="00DD3C05" w:rsidRPr="00CE4C4F" w:rsidRDefault="00DD3C05">
      <w:pPr>
        <w:spacing w:line="480" w:lineRule="auto"/>
        <w:jc w:val="both"/>
        <w:rPr>
          <w:rFonts w:ascii="Times New Roman" w:hAnsi="Times New Roman" w:cs="Times New Roman"/>
          <w:sz w:val="24"/>
          <w:szCs w:val="24"/>
        </w:rPr>
      </w:pPr>
    </w:p>
    <w:bookmarkEnd w:id="8"/>
    <w:p w14:paraId="5F8C0B37" w14:textId="77777777" w:rsidR="00997384" w:rsidRPr="00CE4C4F" w:rsidRDefault="006978CD">
      <w:pPr>
        <w:autoSpaceDE w:val="0"/>
        <w:autoSpaceDN w:val="0"/>
        <w:adjustRightInd w:val="0"/>
        <w:spacing w:before="100" w:beforeAutospacing="1" w:line="480" w:lineRule="auto"/>
        <w:jc w:val="both"/>
        <w:rPr>
          <w:rFonts w:ascii="Times New Roman" w:eastAsia="SimSun" w:hAnsi="Times New Roman" w:cs="Times New Roman"/>
          <w:b/>
          <w:bCs/>
          <w:color w:val="000000"/>
          <w:sz w:val="24"/>
          <w:szCs w:val="24"/>
        </w:rPr>
      </w:pPr>
      <w:r w:rsidRPr="00CE4C4F">
        <w:rPr>
          <w:rFonts w:ascii="Times New Roman" w:eastAsia="SimSun" w:hAnsi="Times New Roman" w:cs="Times New Roman"/>
          <w:b/>
          <w:bCs/>
          <w:color w:val="000000"/>
          <w:sz w:val="24"/>
          <w:szCs w:val="24"/>
        </w:rPr>
        <w:t>REFERENCE</w:t>
      </w:r>
    </w:p>
    <w:p w14:paraId="1A971686"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lastRenderedPageBreak/>
        <w:t>1. Ali, C., Moon, H., Zheng, J., Qiu, Y., Tabassum, T., Jang, J. H., Abu-Omar, M., Scott, S. L., &amp; Suh, S. (2020). Degradation rates of plastics in the environment. ACS Sustainable Chemistry &amp; Engineering, 8(9), 3494-3511. (link unavailable)</w:t>
      </w:r>
    </w:p>
    <w:p w14:paraId="3147C87B"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2. Guna, V., Ilangovan, M., Hu, C., Venkatesh, K., &amp; Reddy, N. (2019). Valorization of sugarcane bagasse by developing completely biodegradable composites for industrial applications. Industrial Crops and Products, 131, 25-31. (link unavailable)</w:t>
      </w:r>
    </w:p>
    <w:p w14:paraId="29E2DA32"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3. Pilapitiya, P. G. C. N. T., &amp; Ratnayake, A. S. (2024). The world of plastic waste: A review. Cleaner Materials. (link unavailable)</w:t>
      </w:r>
    </w:p>
    <w:p w14:paraId="7ED97CE3"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4. United Nations Environment Programme. (2024). Global tragedy. (link unavailable)</w:t>
      </w:r>
    </w:p>
    <w:p w14:paraId="789910AA"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5. Owoyemi, J. M., Zakariya, H. O., &amp; Elegbede, I. O. (2016). Sustainable wood waste management in Nigeria. Environmental Socio-economic Studies, 4(3), 1-9.</w:t>
      </w:r>
    </w:p>
    <w:p w14:paraId="232141DF"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6. Sethuraman, G., Nizar, N. M. M., Muhamad, F. N., Suhair, T. A. S. T. M., Jahanshiri, E., Gregory, P. J., &amp; Azam-Ali, S. (2020). Nutritional composition of black potato (Plectranthus rotundifolius (Poir.) Spreng.) (Synonym: Solenostemon rotundifolius). International Journal of Scientific &amp; Engineering Research, 11(10), 1145-1150.</w:t>
      </w:r>
    </w:p>
    <w:p w14:paraId="4DE8C215"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7. Yogitha, B., Karthikeyan, M., &amp; Reddy, M. G. M. (2020). Progress of sugarcane bagasse ash applications in production of eco-friendly concrete–Review. Materials Today: Proceedings, 33, 695-699.</w:t>
      </w:r>
    </w:p>
    <w:p w14:paraId="756A70B3"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8. Owuamanam, S., &amp; Cree, D. (2020). Progress of bio-calcium carbonate waste eggshell and seashell fillers in polymer composites: A review. Journal of Composites Science, 4(2), 70. (link unavailable)</w:t>
      </w:r>
    </w:p>
    <w:p w14:paraId="0F727166"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9. Kundie, F., Azhari, C. H., Muchtar, A., &amp; Ahmad, Z. A. (2018). Effects of filler size on the mechanical properties of polymer-filled dental composites: A review of recent developments. Journal of Physical Science, 29(1), 141-165.</w:t>
      </w:r>
    </w:p>
    <w:p w14:paraId="34751EF6"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10. Navaranjan, N., &amp; Neitzert, T. (2017). Impact strength of natural fibre composites measured by different test methods: A review. MATEC Web of Conferences, 109, 01003.</w:t>
      </w:r>
    </w:p>
    <w:p w14:paraId="0C319318"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lastRenderedPageBreak/>
        <w:t>11. Iyer, K. A., &amp; Torkelson, J. M. (2014). Green composites of polypropylene and eggshell: Effective biofiller size reduction and dispersion by single-step processing with solid-state shear pulverization. Composites Science and Technology, 102, 152-160.</w:t>
      </w:r>
    </w:p>
    <w:p w14:paraId="64E4BD62"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12. Arrakhiz, F. Z., Elachaby, M., Bouhfid, R., Vaudreuil, S., Essassi, M., &amp; Qaiss, A. (2012). Mechanical and thermal properties of polypropylene reinforced with alfa fiber under different chemical treatment. Materials &amp; Design, 35, 318-322.</w:t>
      </w:r>
    </w:p>
    <w:p w14:paraId="36424540"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13. Tazibt, N., Kaci, M., Dehouche, N., Ragoubi, M., &amp; Atanase, L. I. (2023). Effect of filler content on the morphology and physical properties of poly(lactic acid)-hydroxyapatite composites. Materials, 16(2), 809.</w:t>
      </w:r>
    </w:p>
    <w:p w14:paraId="27676A43" w14:textId="77777777" w:rsidR="00997384" w:rsidRPr="00CE4C4F" w:rsidRDefault="006978CD">
      <w:pPr>
        <w:spacing w:line="360" w:lineRule="auto"/>
        <w:jc w:val="both"/>
        <w:rPr>
          <w:rFonts w:ascii="Times New Roman" w:hAnsi="Times New Roman"/>
          <w:sz w:val="24"/>
          <w:szCs w:val="24"/>
        </w:rPr>
      </w:pPr>
      <w:r w:rsidRPr="00CE4C4F">
        <w:rPr>
          <w:rFonts w:ascii="Times New Roman" w:hAnsi="Times New Roman"/>
          <w:sz w:val="24"/>
          <w:szCs w:val="24"/>
        </w:rPr>
        <w:t>14. Betancourt, N. G., &amp; Cree, D. E. (2017). Mechanical properties of poly(lactic acid) composites reinforced with CaCO3 eggshell based fillers. Published online by Cambridge University Press.</w:t>
      </w:r>
    </w:p>
    <w:p w14:paraId="25DEA0A6" w14:textId="5791FF09" w:rsidR="00FA1AED" w:rsidRPr="00FA1AED" w:rsidRDefault="00FA1AED" w:rsidP="00FA1AED">
      <w:pPr>
        <w:spacing w:line="360" w:lineRule="auto"/>
        <w:jc w:val="both"/>
        <w:rPr>
          <w:rFonts w:ascii="Times New Roman" w:hAnsi="Times New Roman"/>
          <w:sz w:val="24"/>
          <w:szCs w:val="24"/>
        </w:rPr>
      </w:pPr>
      <w:r w:rsidRPr="00CE4C4F">
        <w:rPr>
          <w:rFonts w:ascii="Times New Roman" w:hAnsi="Times New Roman"/>
          <w:sz w:val="24"/>
          <w:szCs w:val="24"/>
        </w:rPr>
        <w:t xml:space="preserve">15. </w:t>
      </w:r>
      <w:r w:rsidRPr="00FA1AED">
        <w:rPr>
          <w:rFonts w:ascii="Times New Roman" w:hAnsi="Times New Roman"/>
          <w:sz w:val="24"/>
          <w:szCs w:val="24"/>
        </w:rPr>
        <w:t>Rahman, H., Yeasmin, F., Khan, S. A., Hasan, M. Z., Roy, M., Uddin, M. B., &amp; Khan, R. A. (2021). Fabrication and analysis of physico-mechanical characteristics of NaOH treated PALF reinforced LDPE composites: Effect of gamma irradiation. </w:t>
      </w:r>
      <w:r w:rsidRPr="00FA1AED">
        <w:rPr>
          <w:rFonts w:ascii="Times New Roman" w:hAnsi="Times New Roman"/>
          <w:i/>
          <w:iCs/>
          <w:sz w:val="24"/>
          <w:szCs w:val="24"/>
        </w:rPr>
        <w:t>Journal of Materials Research and Technology</w:t>
      </w:r>
      <w:r w:rsidRPr="00FA1AED">
        <w:rPr>
          <w:rFonts w:ascii="Times New Roman" w:hAnsi="Times New Roman"/>
          <w:sz w:val="24"/>
          <w:szCs w:val="24"/>
        </w:rPr>
        <w:t>, </w:t>
      </w:r>
      <w:r w:rsidRPr="00FA1AED">
        <w:rPr>
          <w:rFonts w:ascii="Times New Roman" w:hAnsi="Times New Roman"/>
          <w:i/>
          <w:iCs/>
          <w:sz w:val="24"/>
          <w:szCs w:val="24"/>
        </w:rPr>
        <w:t>11</w:t>
      </w:r>
      <w:r w:rsidRPr="00FA1AED">
        <w:rPr>
          <w:rFonts w:ascii="Times New Roman" w:hAnsi="Times New Roman"/>
          <w:sz w:val="24"/>
          <w:szCs w:val="24"/>
        </w:rPr>
        <w:t>, 914-928.</w:t>
      </w:r>
    </w:p>
    <w:p w14:paraId="68C5D712" w14:textId="72782831" w:rsidR="00FA1AED" w:rsidRPr="00FA1AED" w:rsidRDefault="00FA1AED" w:rsidP="00FA1AED">
      <w:pPr>
        <w:spacing w:line="360" w:lineRule="auto"/>
        <w:jc w:val="both"/>
        <w:rPr>
          <w:rFonts w:ascii="Times New Roman" w:hAnsi="Times New Roman"/>
          <w:sz w:val="24"/>
          <w:szCs w:val="24"/>
        </w:rPr>
      </w:pPr>
      <w:r w:rsidRPr="00CE4C4F">
        <w:rPr>
          <w:rFonts w:ascii="Times New Roman" w:hAnsi="Times New Roman"/>
          <w:sz w:val="24"/>
          <w:szCs w:val="24"/>
        </w:rPr>
        <w:t xml:space="preserve">16. </w:t>
      </w:r>
      <w:r w:rsidRPr="00FA1AED">
        <w:rPr>
          <w:rFonts w:ascii="Times New Roman" w:hAnsi="Times New Roman"/>
          <w:sz w:val="24"/>
          <w:szCs w:val="24"/>
        </w:rPr>
        <w:t>Gautam, S. B., Dixit, S., Yadav, V. L., Mishra, G., Sawood, G. M., &amp; Singh, N. (2024). Utilization of Agro-waste as a reinforcement material in polymer matrix for biodegradable packaging applications. In </w:t>
      </w:r>
      <w:r w:rsidRPr="00FA1AED">
        <w:rPr>
          <w:rFonts w:ascii="Times New Roman" w:hAnsi="Times New Roman"/>
          <w:i/>
          <w:iCs/>
          <w:sz w:val="24"/>
          <w:szCs w:val="24"/>
        </w:rPr>
        <w:t>Sustainable clean energy production using waste biomass: sustainable energy production and utilization</w:t>
      </w:r>
      <w:r w:rsidRPr="00FA1AED">
        <w:rPr>
          <w:rFonts w:ascii="Times New Roman" w:hAnsi="Times New Roman"/>
          <w:sz w:val="24"/>
          <w:szCs w:val="24"/>
        </w:rPr>
        <w:t> (pp. 183-206). Singapore: Springer Nature Singapore.</w:t>
      </w:r>
    </w:p>
    <w:p w14:paraId="08D8B46B" w14:textId="14751E79" w:rsidR="00FA1AED" w:rsidRPr="00FA1AED" w:rsidRDefault="00FA1AED" w:rsidP="00FA1AED">
      <w:pPr>
        <w:spacing w:line="360" w:lineRule="auto"/>
        <w:jc w:val="both"/>
        <w:rPr>
          <w:rFonts w:ascii="Times New Roman" w:hAnsi="Times New Roman"/>
          <w:sz w:val="24"/>
          <w:szCs w:val="24"/>
        </w:rPr>
      </w:pPr>
      <w:r w:rsidRPr="00CE4C4F">
        <w:rPr>
          <w:rFonts w:ascii="Times New Roman" w:hAnsi="Times New Roman"/>
          <w:sz w:val="24"/>
          <w:szCs w:val="24"/>
        </w:rPr>
        <w:t xml:space="preserve">17. </w:t>
      </w:r>
      <w:r w:rsidRPr="00FA1AED">
        <w:rPr>
          <w:rFonts w:ascii="Times New Roman" w:hAnsi="Times New Roman"/>
          <w:sz w:val="24"/>
          <w:szCs w:val="24"/>
        </w:rPr>
        <w:t>Dinh Vu, N., Thi Tran, H., &amp; Duy Nguyen, T. (2018). Characterization of polypropylene green composites reinforced by cellulose fibers extracted from rice straw. </w:t>
      </w:r>
      <w:r w:rsidRPr="00FA1AED">
        <w:rPr>
          <w:rFonts w:ascii="Times New Roman" w:hAnsi="Times New Roman"/>
          <w:i/>
          <w:iCs/>
          <w:sz w:val="24"/>
          <w:szCs w:val="24"/>
        </w:rPr>
        <w:t>International Journal of Polymer Science</w:t>
      </w:r>
      <w:r w:rsidRPr="00FA1AED">
        <w:rPr>
          <w:rFonts w:ascii="Times New Roman" w:hAnsi="Times New Roman"/>
          <w:sz w:val="24"/>
          <w:szCs w:val="24"/>
        </w:rPr>
        <w:t>, </w:t>
      </w:r>
      <w:r w:rsidRPr="00FA1AED">
        <w:rPr>
          <w:rFonts w:ascii="Times New Roman" w:hAnsi="Times New Roman"/>
          <w:i/>
          <w:iCs/>
          <w:sz w:val="24"/>
          <w:szCs w:val="24"/>
        </w:rPr>
        <w:t>2018</w:t>
      </w:r>
      <w:r w:rsidRPr="00FA1AED">
        <w:rPr>
          <w:rFonts w:ascii="Times New Roman" w:hAnsi="Times New Roman"/>
          <w:sz w:val="24"/>
          <w:szCs w:val="24"/>
        </w:rPr>
        <w:t>(1), 1813847.</w:t>
      </w:r>
    </w:p>
    <w:p w14:paraId="7C8E2F67" w14:textId="77777777" w:rsidR="00FA1AED" w:rsidRPr="00FA1AED" w:rsidRDefault="00FA1AED" w:rsidP="00FA1AED">
      <w:pPr>
        <w:spacing w:line="360" w:lineRule="auto"/>
        <w:jc w:val="both"/>
        <w:rPr>
          <w:rFonts w:ascii="Times New Roman" w:hAnsi="Times New Roman"/>
          <w:sz w:val="24"/>
          <w:szCs w:val="24"/>
        </w:rPr>
      </w:pPr>
    </w:p>
    <w:p w14:paraId="06E1180A" w14:textId="77777777" w:rsidR="00FA1AED" w:rsidRDefault="00FA1AED">
      <w:pPr>
        <w:spacing w:line="360" w:lineRule="auto"/>
        <w:jc w:val="both"/>
        <w:rPr>
          <w:rFonts w:ascii="Times New Roman" w:hAnsi="Times New Roman"/>
          <w:sz w:val="24"/>
          <w:szCs w:val="24"/>
        </w:rPr>
      </w:pPr>
    </w:p>
    <w:p w14:paraId="45646727" w14:textId="77777777" w:rsidR="00997384" w:rsidRDefault="00997384">
      <w:pPr>
        <w:spacing w:line="480" w:lineRule="auto"/>
        <w:jc w:val="both"/>
        <w:rPr>
          <w:rFonts w:ascii="Times New Roman" w:hAnsi="Times New Roman" w:cs="Times New Roman"/>
          <w:sz w:val="24"/>
          <w:szCs w:val="24"/>
        </w:rPr>
      </w:pPr>
    </w:p>
    <w:p w14:paraId="37D622B4" w14:textId="77777777" w:rsidR="00997384" w:rsidRDefault="00997384">
      <w:pPr>
        <w:spacing w:line="480" w:lineRule="auto"/>
        <w:jc w:val="both"/>
        <w:rPr>
          <w:rFonts w:ascii="Times New Roman" w:hAnsi="Times New Roman" w:cs="Times New Roman"/>
          <w:sz w:val="24"/>
          <w:szCs w:val="24"/>
        </w:rPr>
      </w:pPr>
    </w:p>
    <w:sectPr w:rsidR="0099738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F4B4" w14:textId="77777777" w:rsidR="006E41FE" w:rsidRDefault="006E41FE">
      <w:pPr>
        <w:spacing w:line="240" w:lineRule="auto"/>
      </w:pPr>
      <w:r>
        <w:separator/>
      </w:r>
    </w:p>
  </w:endnote>
  <w:endnote w:type="continuationSeparator" w:id="0">
    <w:p w14:paraId="292C8B13" w14:textId="77777777" w:rsidR="006E41FE" w:rsidRDefault="006E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AFFD" w14:textId="77777777" w:rsidR="00543303" w:rsidRDefault="0054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DCAB" w14:textId="77777777" w:rsidR="00543303" w:rsidRDefault="0054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A1FE" w14:textId="77777777" w:rsidR="00543303" w:rsidRDefault="0054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771D" w14:textId="77777777" w:rsidR="006E41FE" w:rsidRDefault="006E41FE">
      <w:pPr>
        <w:spacing w:after="0"/>
      </w:pPr>
      <w:r>
        <w:separator/>
      </w:r>
    </w:p>
  </w:footnote>
  <w:footnote w:type="continuationSeparator" w:id="0">
    <w:p w14:paraId="786DE989" w14:textId="77777777" w:rsidR="006E41FE" w:rsidRDefault="006E4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5F1F" w14:textId="73545296" w:rsidR="00543303" w:rsidRDefault="00000000">
    <w:pPr>
      <w:pStyle w:val="Header"/>
    </w:pPr>
    <w:r>
      <w:rPr>
        <w:noProof/>
      </w:rPr>
      <w:pict w14:anchorId="0DAE5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096E" w14:textId="3302373C" w:rsidR="00543303" w:rsidRDefault="00000000">
    <w:pPr>
      <w:pStyle w:val="Header"/>
    </w:pPr>
    <w:r>
      <w:rPr>
        <w:noProof/>
      </w:rPr>
      <w:pict w14:anchorId="4592F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61FF" w14:textId="3770F219" w:rsidR="00543303" w:rsidRDefault="00000000">
    <w:pPr>
      <w:pStyle w:val="Header"/>
    </w:pPr>
    <w:r>
      <w:rPr>
        <w:noProof/>
      </w:rPr>
      <w:pict w14:anchorId="619F4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207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07"/>
    <w:rsid w:val="0000518B"/>
    <w:rsid w:val="00024B6A"/>
    <w:rsid w:val="0003394A"/>
    <w:rsid w:val="00033AC5"/>
    <w:rsid w:val="00063B7E"/>
    <w:rsid w:val="000756B6"/>
    <w:rsid w:val="0008538C"/>
    <w:rsid w:val="000A3381"/>
    <w:rsid w:val="000A5D28"/>
    <w:rsid w:val="000D4443"/>
    <w:rsid w:val="000E0C19"/>
    <w:rsid w:val="00102BE0"/>
    <w:rsid w:val="00134EB9"/>
    <w:rsid w:val="001451D1"/>
    <w:rsid w:val="001468D7"/>
    <w:rsid w:val="00161E14"/>
    <w:rsid w:val="00180288"/>
    <w:rsid w:val="001964E0"/>
    <w:rsid w:val="001C17F1"/>
    <w:rsid w:val="001F18D5"/>
    <w:rsid w:val="0020468F"/>
    <w:rsid w:val="00215E26"/>
    <w:rsid w:val="0022634D"/>
    <w:rsid w:val="00227BCD"/>
    <w:rsid w:val="00231D92"/>
    <w:rsid w:val="0023761D"/>
    <w:rsid w:val="002411FD"/>
    <w:rsid w:val="00250A40"/>
    <w:rsid w:val="00254D8D"/>
    <w:rsid w:val="00257C54"/>
    <w:rsid w:val="0026522A"/>
    <w:rsid w:val="00276017"/>
    <w:rsid w:val="0029694F"/>
    <w:rsid w:val="002975B0"/>
    <w:rsid w:val="002A0753"/>
    <w:rsid w:val="002D0CEB"/>
    <w:rsid w:val="002D43DE"/>
    <w:rsid w:val="002D5D3B"/>
    <w:rsid w:val="002F43EA"/>
    <w:rsid w:val="00305CA4"/>
    <w:rsid w:val="00315D82"/>
    <w:rsid w:val="00323E15"/>
    <w:rsid w:val="00324B15"/>
    <w:rsid w:val="003377B5"/>
    <w:rsid w:val="00346062"/>
    <w:rsid w:val="003513AE"/>
    <w:rsid w:val="00355177"/>
    <w:rsid w:val="003632C3"/>
    <w:rsid w:val="00381A63"/>
    <w:rsid w:val="003830FD"/>
    <w:rsid w:val="003B09CC"/>
    <w:rsid w:val="003B5DDA"/>
    <w:rsid w:val="003C0532"/>
    <w:rsid w:val="003D3B9B"/>
    <w:rsid w:val="003E60E4"/>
    <w:rsid w:val="00400B7D"/>
    <w:rsid w:val="00410ACC"/>
    <w:rsid w:val="00412F92"/>
    <w:rsid w:val="00416D83"/>
    <w:rsid w:val="00424C07"/>
    <w:rsid w:val="00452034"/>
    <w:rsid w:val="00471774"/>
    <w:rsid w:val="004732DA"/>
    <w:rsid w:val="00475E76"/>
    <w:rsid w:val="00487C62"/>
    <w:rsid w:val="004A1ABC"/>
    <w:rsid w:val="004B0CB2"/>
    <w:rsid w:val="004D0593"/>
    <w:rsid w:val="004D4DFC"/>
    <w:rsid w:val="004F4727"/>
    <w:rsid w:val="00500468"/>
    <w:rsid w:val="0050388F"/>
    <w:rsid w:val="00532AFE"/>
    <w:rsid w:val="00543303"/>
    <w:rsid w:val="005541A5"/>
    <w:rsid w:val="00556DBC"/>
    <w:rsid w:val="00560D07"/>
    <w:rsid w:val="00566543"/>
    <w:rsid w:val="00586C85"/>
    <w:rsid w:val="005942F5"/>
    <w:rsid w:val="005A62B4"/>
    <w:rsid w:val="005B20B4"/>
    <w:rsid w:val="005C672E"/>
    <w:rsid w:val="00636A43"/>
    <w:rsid w:val="00640018"/>
    <w:rsid w:val="00664EEB"/>
    <w:rsid w:val="006762B3"/>
    <w:rsid w:val="00686ACB"/>
    <w:rsid w:val="006978CD"/>
    <w:rsid w:val="006A5CC9"/>
    <w:rsid w:val="006D13C4"/>
    <w:rsid w:val="006D5AE5"/>
    <w:rsid w:val="006E0C62"/>
    <w:rsid w:val="006E41FE"/>
    <w:rsid w:val="006E5933"/>
    <w:rsid w:val="00712EA4"/>
    <w:rsid w:val="00714F2D"/>
    <w:rsid w:val="00717B82"/>
    <w:rsid w:val="00756FEB"/>
    <w:rsid w:val="0075734B"/>
    <w:rsid w:val="007714B7"/>
    <w:rsid w:val="0078455E"/>
    <w:rsid w:val="007A156E"/>
    <w:rsid w:val="00806E95"/>
    <w:rsid w:val="00807B28"/>
    <w:rsid w:val="00821471"/>
    <w:rsid w:val="008233B8"/>
    <w:rsid w:val="00842E89"/>
    <w:rsid w:val="00846711"/>
    <w:rsid w:val="00871CEB"/>
    <w:rsid w:val="008A2666"/>
    <w:rsid w:val="008A3331"/>
    <w:rsid w:val="008A399F"/>
    <w:rsid w:val="008B1EFC"/>
    <w:rsid w:val="008D6259"/>
    <w:rsid w:val="008F6E4E"/>
    <w:rsid w:val="0090366A"/>
    <w:rsid w:val="00914361"/>
    <w:rsid w:val="00932F94"/>
    <w:rsid w:val="00937B70"/>
    <w:rsid w:val="00942F12"/>
    <w:rsid w:val="00945576"/>
    <w:rsid w:val="00952A75"/>
    <w:rsid w:val="00977D48"/>
    <w:rsid w:val="00997384"/>
    <w:rsid w:val="009A2370"/>
    <w:rsid w:val="009A4561"/>
    <w:rsid w:val="009B3382"/>
    <w:rsid w:val="009C45B9"/>
    <w:rsid w:val="009C6693"/>
    <w:rsid w:val="009D0E4E"/>
    <w:rsid w:val="009E0540"/>
    <w:rsid w:val="009F65E7"/>
    <w:rsid w:val="00A04495"/>
    <w:rsid w:val="00A0594A"/>
    <w:rsid w:val="00A1167C"/>
    <w:rsid w:val="00A14E32"/>
    <w:rsid w:val="00A338F0"/>
    <w:rsid w:val="00A5693E"/>
    <w:rsid w:val="00A61C14"/>
    <w:rsid w:val="00A61DF2"/>
    <w:rsid w:val="00A72148"/>
    <w:rsid w:val="00A73C8E"/>
    <w:rsid w:val="00A923B2"/>
    <w:rsid w:val="00A92977"/>
    <w:rsid w:val="00A95EDC"/>
    <w:rsid w:val="00AB1A6A"/>
    <w:rsid w:val="00AC1D35"/>
    <w:rsid w:val="00AC2593"/>
    <w:rsid w:val="00AD642F"/>
    <w:rsid w:val="00AD6F55"/>
    <w:rsid w:val="00AF1225"/>
    <w:rsid w:val="00AF1BAE"/>
    <w:rsid w:val="00B03E49"/>
    <w:rsid w:val="00B05C03"/>
    <w:rsid w:val="00B1049B"/>
    <w:rsid w:val="00B10FEB"/>
    <w:rsid w:val="00B53C83"/>
    <w:rsid w:val="00B60B89"/>
    <w:rsid w:val="00B627FC"/>
    <w:rsid w:val="00B632AA"/>
    <w:rsid w:val="00B65EAD"/>
    <w:rsid w:val="00B66823"/>
    <w:rsid w:val="00B73DDD"/>
    <w:rsid w:val="00B804C5"/>
    <w:rsid w:val="00B861BA"/>
    <w:rsid w:val="00B97558"/>
    <w:rsid w:val="00BE0D86"/>
    <w:rsid w:val="00BE2062"/>
    <w:rsid w:val="00C22A70"/>
    <w:rsid w:val="00C33564"/>
    <w:rsid w:val="00C420D0"/>
    <w:rsid w:val="00C5740E"/>
    <w:rsid w:val="00C7172C"/>
    <w:rsid w:val="00C724ED"/>
    <w:rsid w:val="00C74DFB"/>
    <w:rsid w:val="00CB48D1"/>
    <w:rsid w:val="00CC4588"/>
    <w:rsid w:val="00CE4C4F"/>
    <w:rsid w:val="00CE7BAE"/>
    <w:rsid w:val="00D01A4D"/>
    <w:rsid w:val="00D03984"/>
    <w:rsid w:val="00D125A5"/>
    <w:rsid w:val="00D5723A"/>
    <w:rsid w:val="00D7153C"/>
    <w:rsid w:val="00D877C3"/>
    <w:rsid w:val="00D91101"/>
    <w:rsid w:val="00D974DD"/>
    <w:rsid w:val="00DA2985"/>
    <w:rsid w:val="00DA32F4"/>
    <w:rsid w:val="00DA6A43"/>
    <w:rsid w:val="00DB7187"/>
    <w:rsid w:val="00DC1774"/>
    <w:rsid w:val="00DD3C05"/>
    <w:rsid w:val="00DF45BB"/>
    <w:rsid w:val="00DF4868"/>
    <w:rsid w:val="00E02F2B"/>
    <w:rsid w:val="00E1343E"/>
    <w:rsid w:val="00E1461F"/>
    <w:rsid w:val="00E16202"/>
    <w:rsid w:val="00E20525"/>
    <w:rsid w:val="00E30D69"/>
    <w:rsid w:val="00E362CF"/>
    <w:rsid w:val="00E81FDC"/>
    <w:rsid w:val="00E95910"/>
    <w:rsid w:val="00EA131A"/>
    <w:rsid w:val="00EB5C3D"/>
    <w:rsid w:val="00F06A80"/>
    <w:rsid w:val="00F11ACB"/>
    <w:rsid w:val="00F215B6"/>
    <w:rsid w:val="00F240BD"/>
    <w:rsid w:val="00F27E1F"/>
    <w:rsid w:val="00F3145D"/>
    <w:rsid w:val="00F464E2"/>
    <w:rsid w:val="00F705D6"/>
    <w:rsid w:val="00FA1AED"/>
    <w:rsid w:val="00FC181C"/>
    <w:rsid w:val="00FC6609"/>
    <w:rsid w:val="00FF46F4"/>
    <w:rsid w:val="00FF5A77"/>
    <w:rsid w:val="00FF7CAD"/>
    <w:rsid w:val="6D9C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D317"/>
  <w15:docId w15:val="{47C3C96E-0893-445C-94D3-14902CBB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160"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eastAsiaTheme="minorHAns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unhideWhenUsed/>
    <w:rsid w:val="00C71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2C"/>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C71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2C"/>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56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chart" Target="charts/chart5.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CHAEL\Desktop\SEUN%20PLO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CS</c:v>
                </c:pt>
              </c:strCache>
            </c:strRef>
          </c:tx>
          <c:spPr>
            <a:solidFill>
              <a:schemeClr val="accent1"/>
            </a:solidFill>
            <a:ln>
              <a:noFill/>
            </a:ln>
            <a:effectLst/>
          </c:spPr>
          <c:invertIfNegative val="0"/>
          <c:cat>
            <c:strRef>
              <c:f>Sheet1!$A$3:$A$7</c:f>
              <c:strCache>
                <c:ptCount val="5"/>
                <c:pt idx="0">
                  <c:v> 10/90</c:v>
                </c:pt>
                <c:pt idx="1">
                  <c:v> 20/80</c:v>
                </c:pt>
                <c:pt idx="2">
                  <c:v> 30/70</c:v>
                </c:pt>
                <c:pt idx="3">
                  <c:v>40/60</c:v>
                </c:pt>
                <c:pt idx="4">
                  <c:v>50/50</c:v>
                </c:pt>
              </c:strCache>
            </c:strRef>
          </c:cat>
          <c:val>
            <c:numRef>
              <c:f>Sheet1!$B$3:$B$7</c:f>
              <c:numCache>
                <c:formatCode>General</c:formatCode>
                <c:ptCount val="5"/>
                <c:pt idx="0">
                  <c:v>69.27</c:v>
                </c:pt>
                <c:pt idx="1">
                  <c:v>70.77</c:v>
                </c:pt>
                <c:pt idx="2">
                  <c:v>73.180000000000007</c:v>
                </c:pt>
                <c:pt idx="3">
                  <c:v>81.61</c:v>
                </c:pt>
                <c:pt idx="4">
                  <c:v>82.33</c:v>
                </c:pt>
              </c:numCache>
            </c:numRef>
          </c:val>
          <c:extLst>
            <c:ext xmlns:c16="http://schemas.microsoft.com/office/drawing/2014/chart" uri="{C3380CC4-5D6E-409C-BE32-E72D297353CC}">
              <c16:uniqueId val="{00000000-9658-40A2-895B-7A16B4079BB7}"/>
            </c:ext>
          </c:extLst>
        </c:ser>
        <c:ser>
          <c:idx val="1"/>
          <c:order val="1"/>
          <c:tx>
            <c:strRef>
              <c:f>Sheet1!$C$2</c:f>
              <c:strCache>
                <c:ptCount val="1"/>
                <c:pt idx="0">
                  <c:v>SD</c:v>
                </c:pt>
              </c:strCache>
            </c:strRef>
          </c:tx>
          <c:spPr>
            <a:solidFill>
              <a:schemeClr val="accent2"/>
            </a:solidFill>
            <a:ln>
              <a:noFill/>
            </a:ln>
            <a:effectLst/>
          </c:spPr>
          <c:invertIfNegative val="0"/>
          <c:cat>
            <c:strRef>
              <c:f>Sheet1!$A$3:$A$7</c:f>
              <c:strCache>
                <c:ptCount val="5"/>
                <c:pt idx="0">
                  <c:v> 10/90</c:v>
                </c:pt>
                <c:pt idx="1">
                  <c:v> 20/80</c:v>
                </c:pt>
                <c:pt idx="2">
                  <c:v> 30/70</c:v>
                </c:pt>
                <c:pt idx="3">
                  <c:v>40/60</c:v>
                </c:pt>
                <c:pt idx="4">
                  <c:v>50/50</c:v>
                </c:pt>
              </c:strCache>
            </c:strRef>
          </c:cat>
          <c:val>
            <c:numRef>
              <c:f>Sheet1!$C$3:$C$7</c:f>
              <c:numCache>
                <c:formatCode>General</c:formatCode>
                <c:ptCount val="5"/>
                <c:pt idx="0">
                  <c:v>66.150000000000006</c:v>
                </c:pt>
                <c:pt idx="1">
                  <c:v>68.67</c:v>
                </c:pt>
                <c:pt idx="2">
                  <c:v>72.05</c:v>
                </c:pt>
                <c:pt idx="3">
                  <c:v>77.989999999999995</c:v>
                </c:pt>
                <c:pt idx="4">
                  <c:v>77.84</c:v>
                </c:pt>
              </c:numCache>
            </c:numRef>
          </c:val>
          <c:extLst>
            <c:ext xmlns:c16="http://schemas.microsoft.com/office/drawing/2014/chart" uri="{C3380CC4-5D6E-409C-BE32-E72D297353CC}">
              <c16:uniqueId val="{00000001-9658-40A2-895B-7A16B4079BB7}"/>
            </c:ext>
          </c:extLst>
        </c:ser>
        <c:ser>
          <c:idx val="2"/>
          <c:order val="2"/>
          <c:tx>
            <c:strRef>
              <c:f>Sheet1!$D$2</c:f>
              <c:strCache>
                <c:ptCount val="1"/>
                <c:pt idx="0">
                  <c:v>HB</c:v>
                </c:pt>
              </c:strCache>
            </c:strRef>
          </c:tx>
          <c:spPr>
            <a:solidFill>
              <a:schemeClr val="accent3"/>
            </a:solidFill>
            <a:ln>
              <a:noFill/>
            </a:ln>
            <a:effectLst/>
          </c:spPr>
          <c:invertIfNegative val="0"/>
          <c:cat>
            <c:strRef>
              <c:f>Sheet1!$A$3:$A$7</c:f>
              <c:strCache>
                <c:ptCount val="5"/>
                <c:pt idx="0">
                  <c:v> 10/90</c:v>
                </c:pt>
                <c:pt idx="1">
                  <c:v> 20/80</c:v>
                </c:pt>
                <c:pt idx="2">
                  <c:v> 30/70</c:v>
                </c:pt>
                <c:pt idx="3">
                  <c:v>40/60</c:v>
                </c:pt>
                <c:pt idx="4">
                  <c:v>50/50</c:v>
                </c:pt>
              </c:strCache>
            </c:strRef>
          </c:cat>
          <c:val>
            <c:numRef>
              <c:f>Sheet1!$D$3:$D$7</c:f>
              <c:numCache>
                <c:formatCode>General</c:formatCode>
                <c:ptCount val="5"/>
                <c:pt idx="0">
                  <c:v>70.19</c:v>
                </c:pt>
                <c:pt idx="1">
                  <c:v>70.760000000000005</c:v>
                </c:pt>
                <c:pt idx="2">
                  <c:v>73.25</c:v>
                </c:pt>
                <c:pt idx="3">
                  <c:v>76.13</c:v>
                </c:pt>
                <c:pt idx="4">
                  <c:v>82.97</c:v>
                </c:pt>
              </c:numCache>
            </c:numRef>
          </c:val>
          <c:extLst>
            <c:ext xmlns:c16="http://schemas.microsoft.com/office/drawing/2014/chart" uri="{C3380CC4-5D6E-409C-BE32-E72D297353CC}">
              <c16:uniqueId val="{00000002-9658-40A2-895B-7A16B4079BB7}"/>
            </c:ext>
          </c:extLst>
        </c:ser>
        <c:dLbls>
          <c:showLegendKey val="0"/>
          <c:showVal val="0"/>
          <c:showCatName val="0"/>
          <c:showSerName val="0"/>
          <c:showPercent val="0"/>
          <c:showBubbleSize val="0"/>
        </c:dLbls>
        <c:gapWidth val="219"/>
        <c:overlap val="-27"/>
        <c:axId val="1830377648"/>
        <c:axId val="1830380048"/>
      </c:barChart>
      <c:catAx>
        <c:axId val="18303776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80048"/>
        <c:crosses val="autoZero"/>
        <c:auto val="1"/>
        <c:lblAlgn val="ctr"/>
        <c:lblOffset val="100"/>
        <c:noMultiLvlLbl val="0"/>
      </c:catAx>
      <c:valAx>
        <c:axId val="18303800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Average Hardness (Hv)</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0698363-8f61-4c80-9b81-59439a35012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Sheet2!$B$4</c:f>
              <c:strCache>
                <c:ptCount val="1"/>
                <c:pt idx="0">
                  <c:v>CS</c:v>
                </c:pt>
              </c:strCache>
            </c:strRef>
          </c:tx>
          <c:spPr>
            <a:solidFill>
              <a:schemeClr val="accent1"/>
            </a:solidFill>
            <a:ln>
              <a:noFill/>
            </a:ln>
            <a:effectLst/>
          </c:spPr>
          <c:invertIfNegative val="0"/>
          <c:cat>
            <c:strRef>
              <c:f>Sheet2!$A$5:$A$9</c:f>
              <c:strCache>
                <c:ptCount val="5"/>
                <c:pt idx="0">
                  <c:v> 10/90</c:v>
                </c:pt>
                <c:pt idx="1">
                  <c:v> 20/80</c:v>
                </c:pt>
                <c:pt idx="2">
                  <c:v>30/70</c:v>
                </c:pt>
                <c:pt idx="3">
                  <c:v>40/60</c:v>
                </c:pt>
                <c:pt idx="4">
                  <c:v>50/50</c:v>
                </c:pt>
              </c:strCache>
            </c:strRef>
          </c:cat>
          <c:val>
            <c:numRef>
              <c:f>Sheet2!$B$5:$B$9</c:f>
              <c:numCache>
                <c:formatCode>General</c:formatCode>
                <c:ptCount val="5"/>
                <c:pt idx="0">
                  <c:v>0.81</c:v>
                </c:pt>
                <c:pt idx="1">
                  <c:v>0.64</c:v>
                </c:pt>
                <c:pt idx="2">
                  <c:v>0.53</c:v>
                </c:pt>
                <c:pt idx="3">
                  <c:v>0.41</c:v>
                </c:pt>
                <c:pt idx="4">
                  <c:v>0.3</c:v>
                </c:pt>
              </c:numCache>
            </c:numRef>
          </c:val>
          <c:extLst>
            <c:ext xmlns:c16="http://schemas.microsoft.com/office/drawing/2014/chart" uri="{C3380CC4-5D6E-409C-BE32-E72D297353CC}">
              <c16:uniqueId val="{00000000-5C24-4258-A8A3-87C3E4822BDA}"/>
            </c:ext>
          </c:extLst>
        </c:ser>
        <c:ser>
          <c:idx val="1"/>
          <c:order val="1"/>
          <c:tx>
            <c:strRef>
              <c:f>Sheet2!$C$4</c:f>
              <c:strCache>
                <c:ptCount val="1"/>
                <c:pt idx="0">
                  <c:v>SD</c:v>
                </c:pt>
              </c:strCache>
            </c:strRef>
          </c:tx>
          <c:spPr>
            <a:solidFill>
              <a:schemeClr val="accent2"/>
            </a:solidFill>
            <a:ln>
              <a:noFill/>
            </a:ln>
            <a:effectLst/>
          </c:spPr>
          <c:invertIfNegative val="0"/>
          <c:cat>
            <c:strRef>
              <c:f>Sheet2!$A$5:$A$9</c:f>
              <c:strCache>
                <c:ptCount val="5"/>
                <c:pt idx="0">
                  <c:v> 10/90</c:v>
                </c:pt>
                <c:pt idx="1">
                  <c:v> 20/80</c:v>
                </c:pt>
                <c:pt idx="2">
                  <c:v>30/70</c:v>
                </c:pt>
                <c:pt idx="3">
                  <c:v>40/60</c:v>
                </c:pt>
                <c:pt idx="4">
                  <c:v>50/50</c:v>
                </c:pt>
              </c:strCache>
            </c:strRef>
          </c:cat>
          <c:val>
            <c:numRef>
              <c:f>Sheet2!$C$5:$C$9</c:f>
              <c:numCache>
                <c:formatCode>General</c:formatCode>
                <c:ptCount val="5"/>
                <c:pt idx="0">
                  <c:v>0.61</c:v>
                </c:pt>
                <c:pt idx="1">
                  <c:v>0.65</c:v>
                </c:pt>
                <c:pt idx="2">
                  <c:v>0.55000000000000004</c:v>
                </c:pt>
                <c:pt idx="3">
                  <c:v>0.47</c:v>
                </c:pt>
                <c:pt idx="4">
                  <c:v>0.44</c:v>
                </c:pt>
              </c:numCache>
            </c:numRef>
          </c:val>
          <c:extLst>
            <c:ext xmlns:c16="http://schemas.microsoft.com/office/drawing/2014/chart" uri="{C3380CC4-5D6E-409C-BE32-E72D297353CC}">
              <c16:uniqueId val="{00000001-5C24-4258-A8A3-87C3E4822BDA}"/>
            </c:ext>
          </c:extLst>
        </c:ser>
        <c:ser>
          <c:idx val="2"/>
          <c:order val="2"/>
          <c:tx>
            <c:strRef>
              <c:f>Sheet2!$D$4</c:f>
              <c:strCache>
                <c:ptCount val="1"/>
                <c:pt idx="0">
                  <c:v>HB</c:v>
                </c:pt>
              </c:strCache>
            </c:strRef>
          </c:tx>
          <c:spPr>
            <a:solidFill>
              <a:schemeClr val="accent3"/>
            </a:solidFill>
            <a:ln>
              <a:noFill/>
            </a:ln>
            <a:effectLst/>
          </c:spPr>
          <c:invertIfNegative val="0"/>
          <c:cat>
            <c:strRef>
              <c:f>Sheet2!$A$5:$A$9</c:f>
              <c:strCache>
                <c:ptCount val="5"/>
                <c:pt idx="0">
                  <c:v> 10/90</c:v>
                </c:pt>
                <c:pt idx="1">
                  <c:v> 20/80</c:v>
                </c:pt>
                <c:pt idx="2">
                  <c:v>30/70</c:v>
                </c:pt>
                <c:pt idx="3">
                  <c:v>40/60</c:v>
                </c:pt>
                <c:pt idx="4">
                  <c:v>50/50</c:v>
                </c:pt>
              </c:strCache>
            </c:strRef>
          </c:cat>
          <c:val>
            <c:numRef>
              <c:f>Sheet2!$D$5:$D$9</c:f>
              <c:numCache>
                <c:formatCode>General</c:formatCode>
                <c:ptCount val="5"/>
                <c:pt idx="0">
                  <c:v>0.8</c:v>
                </c:pt>
                <c:pt idx="1">
                  <c:v>0.61</c:v>
                </c:pt>
                <c:pt idx="2">
                  <c:v>0.51</c:v>
                </c:pt>
                <c:pt idx="3">
                  <c:v>0.42</c:v>
                </c:pt>
                <c:pt idx="4">
                  <c:v>0.31</c:v>
                </c:pt>
              </c:numCache>
            </c:numRef>
          </c:val>
          <c:extLst>
            <c:ext xmlns:c16="http://schemas.microsoft.com/office/drawing/2014/chart" uri="{C3380CC4-5D6E-409C-BE32-E72D297353CC}">
              <c16:uniqueId val="{00000002-5C24-4258-A8A3-87C3E4822BDA}"/>
            </c:ext>
          </c:extLst>
        </c:ser>
        <c:dLbls>
          <c:showLegendKey val="0"/>
          <c:showVal val="0"/>
          <c:showCatName val="0"/>
          <c:showSerName val="0"/>
          <c:showPercent val="0"/>
          <c:showBubbleSize val="0"/>
        </c:dLbls>
        <c:gapWidth val="219"/>
        <c:overlap val="-27"/>
        <c:axId val="1830373328"/>
        <c:axId val="1830373808"/>
      </c:barChart>
      <c:catAx>
        <c:axId val="18303733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3808"/>
        <c:crosses val="autoZero"/>
        <c:auto val="1"/>
        <c:lblAlgn val="ctr"/>
        <c:lblOffset val="100"/>
        <c:noMultiLvlLbl val="0"/>
      </c:catAx>
      <c:valAx>
        <c:axId val="18303738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Average impact energy (J)</a:t>
                </a:r>
              </a:p>
            </c:rich>
          </c:tx>
          <c:layout>
            <c:manualLayout>
              <c:xMode val="edge"/>
              <c:yMode val="edge"/>
              <c:x val="1.49973219068024E-2"/>
              <c:y val="0.205266981315474"/>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183037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813002b-fc69-4194-9060-f1c47e4e68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Sheet3!$H$4</c:f>
              <c:strCache>
                <c:ptCount val="1"/>
                <c:pt idx="0">
                  <c:v>CS</c:v>
                </c:pt>
              </c:strCache>
            </c:strRef>
          </c:tx>
          <c:spPr>
            <a:solidFill>
              <a:schemeClr val="accent1"/>
            </a:solidFill>
            <a:ln>
              <a:noFill/>
            </a:ln>
            <a:effectLst/>
          </c:spPr>
          <c:invertIfNegative val="0"/>
          <c:cat>
            <c:strRef>
              <c:f>Sheet3!$G$5:$G$9</c:f>
              <c:strCache>
                <c:ptCount val="5"/>
                <c:pt idx="0">
                  <c:v> 10/90</c:v>
                </c:pt>
                <c:pt idx="1">
                  <c:v> 20/80</c:v>
                </c:pt>
                <c:pt idx="2">
                  <c:v>30/70</c:v>
                </c:pt>
                <c:pt idx="3">
                  <c:v>40/60</c:v>
                </c:pt>
                <c:pt idx="4">
                  <c:v>50/50</c:v>
                </c:pt>
              </c:strCache>
            </c:strRef>
          </c:cat>
          <c:val>
            <c:numRef>
              <c:f>Sheet3!$H$5:$H$9</c:f>
              <c:numCache>
                <c:formatCode>0.00</c:formatCode>
                <c:ptCount val="5"/>
                <c:pt idx="0">
                  <c:v>0.25312499999999999</c:v>
                </c:pt>
                <c:pt idx="1">
                  <c:v>0.2</c:v>
                </c:pt>
                <c:pt idx="2">
                  <c:v>0.16562499999999999</c:v>
                </c:pt>
                <c:pt idx="3">
                  <c:v>0.12812499999999999</c:v>
                </c:pt>
                <c:pt idx="4">
                  <c:v>9.375E-2</c:v>
                </c:pt>
              </c:numCache>
            </c:numRef>
          </c:val>
          <c:extLst>
            <c:ext xmlns:c16="http://schemas.microsoft.com/office/drawing/2014/chart" uri="{C3380CC4-5D6E-409C-BE32-E72D297353CC}">
              <c16:uniqueId val="{00000000-13C5-45FB-99AE-2049E9A1A343}"/>
            </c:ext>
          </c:extLst>
        </c:ser>
        <c:ser>
          <c:idx val="1"/>
          <c:order val="1"/>
          <c:tx>
            <c:strRef>
              <c:f>Sheet3!$I$4</c:f>
              <c:strCache>
                <c:ptCount val="1"/>
                <c:pt idx="0">
                  <c:v>SD</c:v>
                </c:pt>
              </c:strCache>
            </c:strRef>
          </c:tx>
          <c:spPr>
            <a:solidFill>
              <a:schemeClr val="accent2"/>
            </a:solidFill>
            <a:ln>
              <a:noFill/>
            </a:ln>
            <a:effectLst/>
          </c:spPr>
          <c:invertIfNegative val="0"/>
          <c:cat>
            <c:strRef>
              <c:f>Sheet3!$G$5:$G$9</c:f>
              <c:strCache>
                <c:ptCount val="5"/>
                <c:pt idx="0">
                  <c:v> 10/90</c:v>
                </c:pt>
                <c:pt idx="1">
                  <c:v> 20/80</c:v>
                </c:pt>
                <c:pt idx="2">
                  <c:v>30/70</c:v>
                </c:pt>
                <c:pt idx="3">
                  <c:v>40/60</c:v>
                </c:pt>
                <c:pt idx="4">
                  <c:v>50/50</c:v>
                </c:pt>
              </c:strCache>
            </c:strRef>
          </c:cat>
          <c:val>
            <c:numRef>
              <c:f>Sheet3!$I$5:$I$9</c:f>
              <c:numCache>
                <c:formatCode>0.00</c:formatCode>
                <c:ptCount val="5"/>
                <c:pt idx="0">
                  <c:v>0.19062499999999999</c:v>
                </c:pt>
                <c:pt idx="1">
                  <c:v>0.203125</c:v>
                </c:pt>
                <c:pt idx="2">
                  <c:v>0.171875</c:v>
                </c:pt>
                <c:pt idx="3">
                  <c:v>0.14687500000000001</c:v>
                </c:pt>
                <c:pt idx="4">
                  <c:v>0.13750000000000001</c:v>
                </c:pt>
              </c:numCache>
            </c:numRef>
          </c:val>
          <c:extLst>
            <c:ext xmlns:c16="http://schemas.microsoft.com/office/drawing/2014/chart" uri="{C3380CC4-5D6E-409C-BE32-E72D297353CC}">
              <c16:uniqueId val="{00000001-13C5-45FB-99AE-2049E9A1A343}"/>
            </c:ext>
          </c:extLst>
        </c:ser>
        <c:ser>
          <c:idx val="2"/>
          <c:order val="2"/>
          <c:tx>
            <c:strRef>
              <c:f>Sheet3!$J$4</c:f>
              <c:strCache>
                <c:ptCount val="1"/>
                <c:pt idx="0">
                  <c:v>HB</c:v>
                </c:pt>
              </c:strCache>
            </c:strRef>
          </c:tx>
          <c:spPr>
            <a:solidFill>
              <a:schemeClr val="accent3"/>
            </a:solidFill>
            <a:ln>
              <a:noFill/>
            </a:ln>
            <a:effectLst/>
          </c:spPr>
          <c:invertIfNegative val="0"/>
          <c:cat>
            <c:strRef>
              <c:f>Sheet3!$G$5:$G$9</c:f>
              <c:strCache>
                <c:ptCount val="5"/>
                <c:pt idx="0">
                  <c:v> 10/90</c:v>
                </c:pt>
                <c:pt idx="1">
                  <c:v> 20/80</c:v>
                </c:pt>
                <c:pt idx="2">
                  <c:v>30/70</c:v>
                </c:pt>
                <c:pt idx="3">
                  <c:v>40/60</c:v>
                </c:pt>
                <c:pt idx="4">
                  <c:v>50/50</c:v>
                </c:pt>
              </c:strCache>
            </c:strRef>
          </c:cat>
          <c:val>
            <c:numRef>
              <c:f>Sheet3!$J$5:$J$9</c:f>
              <c:numCache>
                <c:formatCode>0.00</c:formatCode>
                <c:ptCount val="5"/>
                <c:pt idx="0">
                  <c:v>0.25</c:v>
                </c:pt>
                <c:pt idx="1">
                  <c:v>0.19062499999999999</c:v>
                </c:pt>
                <c:pt idx="2">
                  <c:v>0.15937499999999999</c:v>
                </c:pt>
                <c:pt idx="3">
                  <c:v>0.13125000000000001</c:v>
                </c:pt>
                <c:pt idx="4">
                  <c:v>9.6875000000000003E-2</c:v>
                </c:pt>
              </c:numCache>
            </c:numRef>
          </c:val>
          <c:extLst>
            <c:ext xmlns:c16="http://schemas.microsoft.com/office/drawing/2014/chart" uri="{C3380CC4-5D6E-409C-BE32-E72D297353CC}">
              <c16:uniqueId val="{00000002-13C5-45FB-99AE-2049E9A1A343}"/>
            </c:ext>
          </c:extLst>
        </c:ser>
        <c:dLbls>
          <c:showLegendKey val="0"/>
          <c:showVal val="0"/>
          <c:showCatName val="0"/>
          <c:showSerName val="0"/>
          <c:showPercent val="0"/>
          <c:showBubbleSize val="0"/>
        </c:dLbls>
        <c:gapWidth val="219"/>
        <c:overlap val="-27"/>
        <c:axId val="1833044144"/>
        <c:axId val="1833044624"/>
      </c:barChart>
      <c:catAx>
        <c:axId val="1833044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3044624"/>
        <c:crosses val="autoZero"/>
        <c:auto val="1"/>
        <c:lblAlgn val="ctr"/>
        <c:lblOffset val="100"/>
        <c:noMultiLvlLbl val="0"/>
      </c:catAx>
      <c:valAx>
        <c:axId val="18330446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Impact strength (Jmm)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3304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6b13f73-1fbf-445c-a665-12793a5dcc0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Sheet4!$H$3</c:f>
              <c:strCache>
                <c:ptCount val="1"/>
                <c:pt idx="0">
                  <c:v>CS</c:v>
                </c:pt>
              </c:strCache>
            </c:strRef>
          </c:tx>
          <c:spPr>
            <a:solidFill>
              <a:schemeClr val="accent1"/>
            </a:solidFill>
            <a:ln>
              <a:noFill/>
            </a:ln>
            <a:effectLst/>
          </c:spPr>
          <c:invertIfNegative val="0"/>
          <c:cat>
            <c:strRef>
              <c:f>Sheet4!$G$4:$G$8</c:f>
              <c:strCache>
                <c:ptCount val="5"/>
                <c:pt idx="0">
                  <c:v> 10/90</c:v>
                </c:pt>
                <c:pt idx="1">
                  <c:v> 20/80</c:v>
                </c:pt>
                <c:pt idx="2">
                  <c:v>30/70</c:v>
                </c:pt>
                <c:pt idx="3">
                  <c:v>40/60</c:v>
                </c:pt>
                <c:pt idx="4">
                  <c:v>50/50</c:v>
                </c:pt>
              </c:strCache>
            </c:strRef>
          </c:cat>
          <c:val>
            <c:numRef>
              <c:f>Sheet4!$H$4:$H$8</c:f>
              <c:numCache>
                <c:formatCode>General</c:formatCode>
                <c:ptCount val="5"/>
                <c:pt idx="0">
                  <c:v>24.09</c:v>
                </c:pt>
                <c:pt idx="1">
                  <c:v>22.14</c:v>
                </c:pt>
                <c:pt idx="2">
                  <c:v>15.13</c:v>
                </c:pt>
                <c:pt idx="3">
                  <c:v>12.6</c:v>
                </c:pt>
                <c:pt idx="4">
                  <c:v>9.02</c:v>
                </c:pt>
              </c:numCache>
            </c:numRef>
          </c:val>
          <c:extLst>
            <c:ext xmlns:c16="http://schemas.microsoft.com/office/drawing/2014/chart" uri="{C3380CC4-5D6E-409C-BE32-E72D297353CC}">
              <c16:uniqueId val="{00000000-5CCC-4006-A6C6-2902AE900A45}"/>
            </c:ext>
          </c:extLst>
        </c:ser>
        <c:ser>
          <c:idx val="1"/>
          <c:order val="1"/>
          <c:tx>
            <c:strRef>
              <c:f>Sheet4!$I$3</c:f>
              <c:strCache>
                <c:ptCount val="1"/>
                <c:pt idx="0">
                  <c:v>SD</c:v>
                </c:pt>
              </c:strCache>
            </c:strRef>
          </c:tx>
          <c:spPr>
            <a:solidFill>
              <a:schemeClr val="accent2"/>
            </a:solidFill>
            <a:ln>
              <a:noFill/>
            </a:ln>
            <a:effectLst/>
          </c:spPr>
          <c:invertIfNegative val="0"/>
          <c:cat>
            <c:strRef>
              <c:f>Sheet4!$G$4:$G$8</c:f>
              <c:strCache>
                <c:ptCount val="5"/>
                <c:pt idx="0">
                  <c:v> 10/90</c:v>
                </c:pt>
                <c:pt idx="1">
                  <c:v> 20/80</c:v>
                </c:pt>
                <c:pt idx="2">
                  <c:v>30/70</c:v>
                </c:pt>
                <c:pt idx="3">
                  <c:v>40/60</c:v>
                </c:pt>
                <c:pt idx="4">
                  <c:v>50/50</c:v>
                </c:pt>
              </c:strCache>
            </c:strRef>
          </c:cat>
          <c:val>
            <c:numRef>
              <c:f>Sheet4!$I$4:$I$8</c:f>
              <c:numCache>
                <c:formatCode>General</c:formatCode>
                <c:ptCount val="5"/>
                <c:pt idx="0">
                  <c:v>22.03</c:v>
                </c:pt>
                <c:pt idx="1">
                  <c:v>21.92</c:v>
                </c:pt>
                <c:pt idx="2">
                  <c:v>14.43</c:v>
                </c:pt>
                <c:pt idx="3">
                  <c:v>10.15</c:v>
                </c:pt>
                <c:pt idx="4">
                  <c:v>9.31</c:v>
                </c:pt>
              </c:numCache>
            </c:numRef>
          </c:val>
          <c:extLst>
            <c:ext xmlns:c16="http://schemas.microsoft.com/office/drawing/2014/chart" uri="{C3380CC4-5D6E-409C-BE32-E72D297353CC}">
              <c16:uniqueId val="{00000001-5CCC-4006-A6C6-2902AE900A45}"/>
            </c:ext>
          </c:extLst>
        </c:ser>
        <c:ser>
          <c:idx val="2"/>
          <c:order val="2"/>
          <c:tx>
            <c:strRef>
              <c:f>Sheet4!$J$3</c:f>
              <c:strCache>
                <c:ptCount val="1"/>
                <c:pt idx="0">
                  <c:v>HB</c:v>
                </c:pt>
              </c:strCache>
            </c:strRef>
          </c:tx>
          <c:spPr>
            <a:solidFill>
              <a:schemeClr val="accent3"/>
            </a:solidFill>
            <a:ln>
              <a:noFill/>
            </a:ln>
            <a:effectLst/>
          </c:spPr>
          <c:invertIfNegative val="0"/>
          <c:cat>
            <c:strRef>
              <c:f>Sheet4!$G$4:$G$8</c:f>
              <c:strCache>
                <c:ptCount val="5"/>
                <c:pt idx="0">
                  <c:v> 10/90</c:v>
                </c:pt>
                <c:pt idx="1">
                  <c:v> 20/80</c:v>
                </c:pt>
                <c:pt idx="2">
                  <c:v>30/70</c:v>
                </c:pt>
                <c:pt idx="3">
                  <c:v>40/60</c:v>
                </c:pt>
                <c:pt idx="4">
                  <c:v>50/50</c:v>
                </c:pt>
              </c:strCache>
            </c:strRef>
          </c:cat>
          <c:val>
            <c:numRef>
              <c:f>Sheet4!$J$4:$J$8</c:f>
              <c:numCache>
                <c:formatCode>General</c:formatCode>
                <c:ptCount val="5"/>
                <c:pt idx="0">
                  <c:v>23.04</c:v>
                </c:pt>
                <c:pt idx="1">
                  <c:v>22.52</c:v>
                </c:pt>
                <c:pt idx="2">
                  <c:v>14.94</c:v>
                </c:pt>
                <c:pt idx="3">
                  <c:v>10.31</c:v>
                </c:pt>
                <c:pt idx="4">
                  <c:v>8.01</c:v>
                </c:pt>
              </c:numCache>
            </c:numRef>
          </c:val>
          <c:extLst>
            <c:ext xmlns:c16="http://schemas.microsoft.com/office/drawing/2014/chart" uri="{C3380CC4-5D6E-409C-BE32-E72D297353CC}">
              <c16:uniqueId val="{00000002-5CCC-4006-A6C6-2902AE900A45}"/>
            </c:ext>
          </c:extLst>
        </c:ser>
        <c:dLbls>
          <c:showLegendKey val="0"/>
          <c:showVal val="0"/>
          <c:showCatName val="0"/>
          <c:showSerName val="0"/>
          <c:showPercent val="0"/>
          <c:showBubbleSize val="0"/>
        </c:dLbls>
        <c:gapWidth val="219"/>
        <c:overlap val="-27"/>
        <c:axId val="1928270176"/>
        <c:axId val="1928273536"/>
      </c:barChart>
      <c:catAx>
        <c:axId val="1928270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3536"/>
        <c:crosses val="autoZero"/>
        <c:auto val="1"/>
        <c:lblAlgn val="ctr"/>
        <c:lblOffset val="100"/>
        <c:noMultiLvlLbl val="0"/>
      </c:catAx>
      <c:valAx>
        <c:axId val="19282735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b="0">
                    <a:solidFill>
                      <a:schemeClr val="tx1"/>
                    </a:solidFill>
                  </a:rPr>
                  <a:t>Tensile strength </a:t>
                </a:r>
                <a:r>
                  <a:rPr lang="en-US" sz="1100" b="0" i="0" u="none" strike="noStrike" baseline="0">
                    <a:solidFill>
                      <a:schemeClr val="tx1"/>
                    </a:solidFill>
                    <a:effectLst/>
                  </a:rPr>
                  <a:t>(MPa)</a:t>
                </a:r>
                <a:endParaRPr lang="en-US" sz="1100" b="0">
                  <a:solidFill>
                    <a:schemeClr val="tx1"/>
                  </a:solidFill>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d8d20e8-430b-476b-a68e-f37755eb692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Sheet4!$H$12</c:f>
              <c:strCache>
                <c:ptCount val="1"/>
                <c:pt idx="0">
                  <c:v>CS</c:v>
                </c:pt>
              </c:strCache>
            </c:strRef>
          </c:tx>
          <c:spPr>
            <a:solidFill>
              <a:schemeClr val="accent1"/>
            </a:solidFill>
            <a:ln>
              <a:noFill/>
            </a:ln>
            <a:effectLst/>
          </c:spPr>
          <c:invertIfNegative val="0"/>
          <c:cat>
            <c:strRef>
              <c:f>Sheet4!$G$13:$G$17</c:f>
              <c:strCache>
                <c:ptCount val="5"/>
                <c:pt idx="0">
                  <c:v> 10/90</c:v>
                </c:pt>
                <c:pt idx="1">
                  <c:v> 20/80</c:v>
                </c:pt>
                <c:pt idx="2">
                  <c:v>30/70</c:v>
                </c:pt>
                <c:pt idx="3">
                  <c:v>40/60</c:v>
                </c:pt>
                <c:pt idx="4">
                  <c:v>50/50</c:v>
                </c:pt>
              </c:strCache>
            </c:strRef>
          </c:cat>
          <c:val>
            <c:numRef>
              <c:f>Sheet4!$H$13:$H$17</c:f>
              <c:numCache>
                <c:formatCode>General</c:formatCode>
                <c:ptCount val="5"/>
                <c:pt idx="0">
                  <c:v>127.3</c:v>
                </c:pt>
                <c:pt idx="1">
                  <c:v>152.18</c:v>
                </c:pt>
                <c:pt idx="2">
                  <c:v>170.45</c:v>
                </c:pt>
                <c:pt idx="3">
                  <c:v>196.32</c:v>
                </c:pt>
                <c:pt idx="4">
                  <c:v>245.11</c:v>
                </c:pt>
              </c:numCache>
            </c:numRef>
          </c:val>
          <c:extLst>
            <c:ext xmlns:c16="http://schemas.microsoft.com/office/drawing/2014/chart" uri="{C3380CC4-5D6E-409C-BE32-E72D297353CC}">
              <c16:uniqueId val="{00000000-5238-4591-917F-08CA4339765A}"/>
            </c:ext>
          </c:extLst>
        </c:ser>
        <c:ser>
          <c:idx val="1"/>
          <c:order val="1"/>
          <c:tx>
            <c:strRef>
              <c:f>Sheet4!$I$12</c:f>
              <c:strCache>
                <c:ptCount val="1"/>
                <c:pt idx="0">
                  <c:v>SD</c:v>
                </c:pt>
              </c:strCache>
            </c:strRef>
          </c:tx>
          <c:spPr>
            <a:solidFill>
              <a:schemeClr val="accent2"/>
            </a:solidFill>
            <a:ln>
              <a:noFill/>
            </a:ln>
            <a:effectLst/>
          </c:spPr>
          <c:invertIfNegative val="0"/>
          <c:cat>
            <c:strRef>
              <c:f>Sheet4!$G$13:$G$17</c:f>
              <c:strCache>
                <c:ptCount val="5"/>
                <c:pt idx="0">
                  <c:v> 10/90</c:v>
                </c:pt>
                <c:pt idx="1">
                  <c:v> 20/80</c:v>
                </c:pt>
                <c:pt idx="2">
                  <c:v>30/70</c:v>
                </c:pt>
                <c:pt idx="3">
                  <c:v>40/60</c:v>
                </c:pt>
                <c:pt idx="4">
                  <c:v>50/50</c:v>
                </c:pt>
              </c:strCache>
            </c:strRef>
          </c:cat>
          <c:val>
            <c:numRef>
              <c:f>Sheet4!$I$13:$I$17</c:f>
              <c:numCache>
                <c:formatCode>General</c:formatCode>
                <c:ptCount val="5"/>
                <c:pt idx="0">
                  <c:v>121.5</c:v>
                </c:pt>
                <c:pt idx="1">
                  <c:v>155.91</c:v>
                </c:pt>
                <c:pt idx="2">
                  <c:v>176.24</c:v>
                </c:pt>
                <c:pt idx="3">
                  <c:v>198.41</c:v>
                </c:pt>
                <c:pt idx="4">
                  <c:v>241.51</c:v>
                </c:pt>
              </c:numCache>
            </c:numRef>
          </c:val>
          <c:extLst>
            <c:ext xmlns:c16="http://schemas.microsoft.com/office/drawing/2014/chart" uri="{C3380CC4-5D6E-409C-BE32-E72D297353CC}">
              <c16:uniqueId val="{00000001-5238-4591-917F-08CA4339765A}"/>
            </c:ext>
          </c:extLst>
        </c:ser>
        <c:ser>
          <c:idx val="2"/>
          <c:order val="2"/>
          <c:tx>
            <c:strRef>
              <c:f>Sheet4!$J$12</c:f>
              <c:strCache>
                <c:ptCount val="1"/>
                <c:pt idx="0">
                  <c:v>HB</c:v>
                </c:pt>
              </c:strCache>
            </c:strRef>
          </c:tx>
          <c:spPr>
            <a:solidFill>
              <a:schemeClr val="accent3"/>
            </a:solidFill>
            <a:ln>
              <a:noFill/>
            </a:ln>
            <a:effectLst/>
          </c:spPr>
          <c:invertIfNegative val="0"/>
          <c:cat>
            <c:strRef>
              <c:f>Sheet4!$G$13:$G$17</c:f>
              <c:strCache>
                <c:ptCount val="5"/>
                <c:pt idx="0">
                  <c:v> 10/90</c:v>
                </c:pt>
                <c:pt idx="1">
                  <c:v> 20/80</c:v>
                </c:pt>
                <c:pt idx="2">
                  <c:v>30/70</c:v>
                </c:pt>
                <c:pt idx="3">
                  <c:v>40/60</c:v>
                </c:pt>
                <c:pt idx="4">
                  <c:v>50/50</c:v>
                </c:pt>
              </c:strCache>
            </c:strRef>
          </c:cat>
          <c:val>
            <c:numRef>
              <c:f>Sheet4!$J$13:$J$17</c:f>
              <c:numCache>
                <c:formatCode>General</c:formatCode>
                <c:ptCount val="5"/>
                <c:pt idx="0">
                  <c:v>126.27</c:v>
                </c:pt>
                <c:pt idx="1">
                  <c:v>151.15</c:v>
                </c:pt>
                <c:pt idx="2">
                  <c:v>169.42</c:v>
                </c:pt>
                <c:pt idx="3">
                  <c:v>195.29</c:v>
                </c:pt>
                <c:pt idx="4">
                  <c:v>244.08</c:v>
                </c:pt>
              </c:numCache>
            </c:numRef>
          </c:val>
          <c:extLst>
            <c:ext xmlns:c16="http://schemas.microsoft.com/office/drawing/2014/chart" uri="{C3380CC4-5D6E-409C-BE32-E72D297353CC}">
              <c16:uniqueId val="{00000002-5238-4591-917F-08CA4339765A}"/>
            </c:ext>
          </c:extLst>
        </c:ser>
        <c:dLbls>
          <c:showLegendKey val="0"/>
          <c:showVal val="0"/>
          <c:showCatName val="0"/>
          <c:showSerName val="0"/>
          <c:showPercent val="0"/>
          <c:showBubbleSize val="0"/>
        </c:dLbls>
        <c:gapWidth val="219"/>
        <c:overlap val="-27"/>
        <c:axId val="1928273056"/>
        <c:axId val="1928269216"/>
      </c:barChart>
      <c:catAx>
        <c:axId val="19282730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69216"/>
        <c:crosses val="autoZero"/>
        <c:auto val="1"/>
        <c:lblAlgn val="ctr"/>
        <c:lblOffset val="100"/>
        <c:noMultiLvlLbl val="0"/>
      </c:catAx>
      <c:valAx>
        <c:axId val="19282692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Tensile modulus (MPa)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827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2233df9-a90f-48a6-b076-aab04ecc09f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Sheet4!$H$18</c:f>
              <c:strCache>
                <c:ptCount val="1"/>
                <c:pt idx="0">
                  <c:v>CS</c:v>
                </c:pt>
              </c:strCache>
            </c:strRef>
          </c:tx>
          <c:spPr>
            <a:solidFill>
              <a:schemeClr val="accent1"/>
            </a:solidFill>
            <a:ln>
              <a:noFill/>
            </a:ln>
            <a:effectLst/>
          </c:spPr>
          <c:invertIfNegative val="0"/>
          <c:cat>
            <c:strRef>
              <c:f>Sheet4!$G$19:$G$23</c:f>
              <c:strCache>
                <c:ptCount val="5"/>
                <c:pt idx="0">
                  <c:v> 10/90</c:v>
                </c:pt>
                <c:pt idx="1">
                  <c:v> 20/80</c:v>
                </c:pt>
                <c:pt idx="2">
                  <c:v>30/70</c:v>
                </c:pt>
                <c:pt idx="3">
                  <c:v>40/60</c:v>
                </c:pt>
                <c:pt idx="4">
                  <c:v>50/50</c:v>
                </c:pt>
              </c:strCache>
            </c:strRef>
          </c:cat>
          <c:val>
            <c:numRef>
              <c:f>Sheet4!$H$19:$H$23</c:f>
              <c:numCache>
                <c:formatCode>General</c:formatCode>
                <c:ptCount val="5"/>
                <c:pt idx="0">
                  <c:v>8.2100000000000009</c:v>
                </c:pt>
                <c:pt idx="1">
                  <c:v>7.41</c:v>
                </c:pt>
                <c:pt idx="2">
                  <c:v>7.26</c:v>
                </c:pt>
                <c:pt idx="3">
                  <c:v>7.1</c:v>
                </c:pt>
                <c:pt idx="4">
                  <c:v>7.06</c:v>
                </c:pt>
              </c:numCache>
            </c:numRef>
          </c:val>
          <c:extLst>
            <c:ext xmlns:c16="http://schemas.microsoft.com/office/drawing/2014/chart" uri="{C3380CC4-5D6E-409C-BE32-E72D297353CC}">
              <c16:uniqueId val="{00000000-B405-4423-A92B-6217F111FB5A}"/>
            </c:ext>
          </c:extLst>
        </c:ser>
        <c:ser>
          <c:idx val="1"/>
          <c:order val="1"/>
          <c:tx>
            <c:strRef>
              <c:f>Sheet4!$I$18</c:f>
              <c:strCache>
                <c:ptCount val="1"/>
                <c:pt idx="0">
                  <c:v>SD</c:v>
                </c:pt>
              </c:strCache>
            </c:strRef>
          </c:tx>
          <c:spPr>
            <a:solidFill>
              <a:schemeClr val="accent2"/>
            </a:solidFill>
            <a:ln>
              <a:noFill/>
            </a:ln>
            <a:effectLst/>
          </c:spPr>
          <c:invertIfNegative val="0"/>
          <c:cat>
            <c:strRef>
              <c:f>Sheet4!$G$19:$G$23</c:f>
              <c:strCache>
                <c:ptCount val="5"/>
                <c:pt idx="0">
                  <c:v> 10/90</c:v>
                </c:pt>
                <c:pt idx="1">
                  <c:v> 20/80</c:v>
                </c:pt>
                <c:pt idx="2">
                  <c:v>30/70</c:v>
                </c:pt>
                <c:pt idx="3">
                  <c:v>40/60</c:v>
                </c:pt>
                <c:pt idx="4">
                  <c:v>50/50</c:v>
                </c:pt>
              </c:strCache>
            </c:strRef>
          </c:cat>
          <c:val>
            <c:numRef>
              <c:f>Sheet4!$I$19:$I$23</c:f>
              <c:numCache>
                <c:formatCode>General</c:formatCode>
                <c:ptCount val="5"/>
                <c:pt idx="0">
                  <c:v>8.0299999999999994</c:v>
                </c:pt>
                <c:pt idx="1">
                  <c:v>7.55</c:v>
                </c:pt>
                <c:pt idx="2">
                  <c:v>7.14</c:v>
                </c:pt>
                <c:pt idx="3">
                  <c:v>7.4</c:v>
                </c:pt>
                <c:pt idx="4">
                  <c:v>7.16</c:v>
                </c:pt>
              </c:numCache>
            </c:numRef>
          </c:val>
          <c:extLst>
            <c:ext xmlns:c16="http://schemas.microsoft.com/office/drawing/2014/chart" uri="{C3380CC4-5D6E-409C-BE32-E72D297353CC}">
              <c16:uniqueId val="{00000001-B405-4423-A92B-6217F111FB5A}"/>
            </c:ext>
          </c:extLst>
        </c:ser>
        <c:ser>
          <c:idx val="2"/>
          <c:order val="2"/>
          <c:tx>
            <c:strRef>
              <c:f>Sheet4!$J$18</c:f>
              <c:strCache>
                <c:ptCount val="1"/>
                <c:pt idx="0">
                  <c:v>HB</c:v>
                </c:pt>
              </c:strCache>
            </c:strRef>
          </c:tx>
          <c:spPr>
            <a:solidFill>
              <a:schemeClr val="accent3"/>
            </a:solidFill>
            <a:ln>
              <a:noFill/>
            </a:ln>
            <a:effectLst/>
          </c:spPr>
          <c:invertIfNegative val="0"/>
          <c:cat>
            <c:strRef>
              <c:f>Sheet4!$G$19:$G$23</c:f>
              <c:strCache>
                <c:ptCount val="5"/>
                <c:pt idx="0">
                  <c:v> 10/90</c:v>
                </c:pt>
                <c:pt idx="1">
                  <c:v> 20/80</c:v>
                </c:pt>
                <c:pt idx="2">
                  <c:v>30/70</c:v>
                </c:pt>
                <c:pt idx="3">
                  <c:v>40/60</c:v>
                </c:pt>
                <c:pt idx="4">
                  <c:v>50/50</c:v>
                </c:pt>
              </c:strCache>
            </c:strRef>
          </c:cat>
          <c:val>
            <c:numRef>
              <c:f>Sheet4!$J$19:$J$23</c:f>
              <c:numCache>
                <c:formatCode>General</c:formatCode>
                <c:ptCount val="5"/>
                <c:pt idx="0">
                  <c:v>7.92</c:v>
                </c:pt>
                <c:pt idx="1">
                  <c:v>7.52</c:v>
                </c:pt>
                <c:pt idx="2">
                  <c:v>6.37</c:v>
                </c:pt>
                <c:pt idx="3">
                  <c:v>6.21</c:v>
                </c:pt>
                <c:pt idx="4">
                  <c:v>6.17</c:v>
                </c:pt>
              </c:numCache>
            </c:numRef>
          </c:val>
          <c:extLst>
            <c:ext xmlns:c16="http://schemas.microsoft.com/office/drawing/2014/chart" uri="{C3380CC4-5D6E-409C-BE32-E72D297353CC}">
              <c16:uniqueId val="{00000002-B405-4423-A92B-6217F111FB5A}"/>
            </c:ext>
          </c:extLst>
        </c:ser>
        <c:dLbls>
          <c:showLegendKey val="0"/>
          <c:showVal val="0"/>
          <c:showCatName val="0"/>
          <c:showSerName val="0"/>
          <c:showPercent val="0"/>
          <c:showBubbleSize val="0"/>
        </c:dLbls>
        <c:gapWidth val="219"/>
        <c:overlap val="-27"/>
        <c:axId val="1918528176"/>
        <c:axId val="1918517616"/>
      </c:barChart>
      <c:catAx>
        <c:axId val="1918528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Filler/LDPE ratio</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8517616"/>
        <c:crosses val="autoZero"/>
        <c:auto val="1"/>
        <c:lblAlgn val="ctr"/>
        <c:lblOffset val="100"/>
        <c:noMultiLvlLbl val="0"/>
      </c:catAx>
      <c:valAx>
        <c:axId val="19185176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chemeClr val="tx1"/>
                    </a:solidFill>
                  </a:rPr>
                  <a:t>% Elongation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852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3f091ec-cd03-4480-8629-d6d92c3e848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Sheet5!$O$5</c:f>
              <c:strCache>
                <c:ptCount val="1"/>
                <c:pt idx="0">
                  <c:v>B4</c:v>
                </c:pt>
              </c:strCache>
            </c:strRef>
          </c:tx>
          <c:spPr>
            <a:solidFill>
              <a:schemeClr val="accent1"/>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Sheet5!$O$6:$O$20</c:f>
              <c:numCache>
                <c:formatCode>General</c:formatCode>
                <c:ptCount val="15"/>
                <c:pt idx="0">
                  <c:v>2.4300000000000002</c:v>
                </c:pt>
                <c:pt idx="1">
                  <c:v>2.65</c:v>
                </c:pt>
                <c:pt idx="2">
                  <c:v>3.63</c:v>
                </c:pt>
                <c:pt idx="3">
                  <c:v>3.32</c:v>
                </c:pt>
                <c:pt idx="4">
                  <c:v>2.61</c:v>
                </c:pt>
                <c:pt idx="5">
                  <c:v>2.66</c:v>
                </c:pt>
                <c:pt idx="6">
                  <c:v>2.64</c:v>
                </c:pt>
                <c:pt idx="7">
                  <c:v>3.04</c:v>
                </c:pt>
                <c:pt idx="8">
                  <c:v>2.79</c:v>
                </c:pt>
                <c:pt idx="9">
                  <c:v>3.44</c:v>
                </c:pt>
                <c:pt idx="10">
                  <c:v>2.56</c:v>
                </c:pt>
                <c:pt idx="11">
                  <c:v>3.06</c:v>
                </c:pt>
                <c:pt idx="12">
                  <c:v>2.5099999999999998</c:v>
                </c:pt>
                <c:pt idx="13">
                  <c:v>2.88</c:v>
                </c:pt>
                <c:pt idx="14">
                  <c:v>2.73</c:v>
                </c:pt>
              </c:numCache>
            </c:numRef>
          </c:val>
          <c:extLst>
            <c:ext xmlns:c16="http://schemas.microsoft.com/office/drawing/2014/chart" uri="{C3380CC4-5D6E-409C-BE32-E72D297353CC}">
              <c16:uniqueId val="{00000000-4FDF-48E1-9B86-A59BB791DA87}"/>
            </c:ext>
          </c:extLst>
        </c:ser>
        <c:ser>
          <c:idx val="1"/>
          <c:order val="1"/>
          <c:tx>
            <c:strRef>
              <c:f>Sheet5!$P$5</c:f>
              <c:strCache>
                <c:ptCount val="1"/>
                <c:pt idx="0">
                  <c:v>D1</c:v>
                </c:pt>
              </c:strCache>
            </c:strRef>
          </c:tx>
          <c:spPr>
            <a:solidFill>
              <a:schemeClr val="accent2"/>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Sheet5!$P$6:$P$20</c:f>
              <c:numCache>
                <c:formatCode>General</c:formatCode>
                <c:ptCount val="15"/>
                <c:pt idx="0">
                  <c:v>4.5267489711934097</c:v>
                </c:pt>
                <c:pt idx="1">
                  <c:v>4.5471698113207601</c:v>
                </c:pt>
                <c:pt idx="2">
                  <c:v>5.65289256198347</c:v>
                </c:pt>
                <c:pt idx="3" formatCode="0.00_ ">
                  <c:v>10.433734939759001</c:v>
                </c:pt>
                <c:pt idx="4">
                  <c:v>11.532567049808399</c:v>
                </c:pt>
                <c:pt idx="5">
                  <c:v>3.3834586466165399</c:v>
                </c:pt>
                <c:pt idx="6">
                  <c:v>3.7575757575757498</c:v>
                </c:pt>
                <c:pt idx="7">
                  <c:v>4.2763157894736796</c:v>
                </c:pt>
                <c:pt idx="8" formatCode="0.00_ ">
                  <c:v>9.5268817204301097</c:v>
                </c:pt>
                <c:pt idx="9">
                  <c:v>12.5232558139534</c:v>
                </c:pt>
                <c:pt idx="10">
                  <c:v>5.078125</c:v>
                </c:pt>
                <c:pt idx="11">
                  <c:v>4.2483660130718901</c:v>
                </c:pt>
                <c:pt idx="12">
                  <c:v>5.1792828685259096</c:v>
                </c:pt>
                <c:pt idx="13">
                  <c:v>11.6805555555555</c:v>
                </c:pt>
                <c:pt idx="14">
                  <c:v>15.1868131868132</c:v>
                </c:pt>
              </c:numCache>
            </c:numRef>
          </c:val>
          <c:extLst>
            <c:ext xmlns:c16="http://schemas.microsoft.com/office/drawing/2014/chart" uri="{C3380CC4-5D6E-409C-BE32-E72D297353CC}">
              <c16:uniqueId val="{00000001-4FDF-48E1-9B86-A59BB791DA87}"/>
            </c:ext>
          </c:extLst>
        </c:ser>
        <c:ser>
          <c:idx val="2"/>
          <c:order val="2"/>
          <c:tx>
            <c:strRef>
              <c:f>Sheet5!$Q$5</c:f>
              <c:strCache>
                <c:ptCount val="1"/>
                <c:pt idx="0">
                  <c:v>D2</c:v>
                </c:pt>
              </c:strCache>
            </c:strRef>
          </c:tx>
          <c:spPr>
            <a:solidFill>
              <a:schemeClr val="accent3"/>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Sheet5!$Q$6:$Q$20</c:f>
              <c:numCache>
                <c:formatCode>General</c:formatCode>
                <c:ptCount val="15"/>
                <c:pt idx="0">
                  <c:v>5.7613168724279697</c:v>
                </c:pt>
                <c:pt idx="1">
                  <c:v>10.9433962264151</c:v>
                </c:pt>
                <c:pt idx="2">
                  <c:v>4.4077134986225897</c:v>
                </c:pt>
                <c:pt idx="3">
                  <c:v>12.048192771084301</c:v>
                </c:pt>
                <c:pt idx="4">
                  <c:v>3.8314176245210798</c:v>
                </c:pt>
                <c:pt idx="5">
                  <c:v>5.6390977443608996</c:v>
                </c:pt>
                <c:pt idx="6">
                  <c:v>4.1666666666666599</c:v>
                </c:pt>
                <c:pt idx="7">
                  <c:v>5.9210526315789496</c:v>
                </c:pt>
                <c:pt idx="8">
                  <c:v>12.544802867383501</c:v>
                </c:pt>
                <c:pt idx="9">
                  <c:v>11.1395348837209</c:v>
                </c:pt>
                <c:pt idx="10">
                  <c:v>5.46875</c:v>
                </c:pt>
                <c:pt idx="11">
                  <c:v>5.2287581699346504</c:v>
                </c:pt>
                <c:pt idx="12">
                  <c:v>8.7649402390438294</c:v>
                </c:pt>
                <c:pt idx="13">
                  <c:v>10.7638888888889</c:v>
                </c:pt>
                <c:pt idx="14">
                  <c:v>15.384615384615399</c:v>
                </c:pt>
              </c:numCache>
            </c:numRef>
          </c:val>
          <c:extLst>
            <c:ext xmlns:c16="http://schemas.microsoft.com/office/drawing/2014/chart" uri="{C3380CC4-5D6E-409C-BE32-E72D297353CC}">
              <c16:uniqueId val="{00000002-4FDF-48E1-9B86-A59BB791DA87}"/>
            </c:ext>
          </c:extLst>
        </c:ser>
        <c:ser>
          <c:idx val="3"/>
          <c:order val="3"/>
          <c:tx>
            <c:strRef>
              <c:f>Sheet5!$R$5</c:f>
              <c:strCache>
                <c:ptCount val="1"/>
                <c:pt idx="0">
                  <c:v>D3</c:v>
                </c:pt>
              </c:strCache>
            </c:strRef>
          </c:tx>
          <c:spPr>
            <a:solidFill>
              <a:schemeClr val="accent4"/>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Sheet5!$R$6:$R$20</c:f>
              <c:numCache>
                <c:formatCode>General</c:formatCode>
                <c:ptCount val="15"/>
                <c:pt idx="0">
                  <c:v>2.88065843621398</c:v>
                </c:pt>
                <c:pt idx="1">
                  <c:v>1.1320754716981201</c:v>
                </c:pt>
                <c:pt idx="2">
                  <c:v>4.1322314049586799</c:v>
                </c:pt>
                <c:pt idx="3">
                  <c:v>13.253012048192801</c:v>
                </c:pt>
                <c:pt idx="4">
                  <c:v>12.643678160919499</c:v>
                </c:pt>
                <c:pt idx="5">
                  <c:v>4.1353383458646604</c:v>
                </c:pt>
                <c:pt idx="6">
                  <c:v>1.89393939393939</c:v>
                </c:pt>
                <c:pt idx="7">
                  <c:v>3.2894736842105301</c:v>
                </c:pt>
                <c:pt idx="8">
                  <c:v>8.6021505376343992</c:v>
                </c:pt>
                <c:pt idx="9">
                  <c:v>8.7209302325581497</c:v>
                </c:pt>
                <c:pt idx="10">
                  <c:v>2.34375</c:v>
                </c:pt>
                <c:pt idx="11">
                  <c:v>3.5947712418300601</c:v>
                </c:pt>
                <c:pt idx="12">
                  <c:v>7.17131474103586</c:v>
                </c:pt>
                <c:pt idx="13">
                  <c:v>8.3333333333333393</c:v>
                </c:pt>
                <c:pt idx="14">
                  <c:v>12.454212454212399</c:v>
                </c:pt>
              </c:numCache>
            </c:numRef>
          </c:val>
          <c:extLst>
            <c:ext xmlns:c16="http://schemas.microsoft.com/office/drawing/2014/chart" uri="{C3380CC4-5D6E-409C-BE32-E72D297353CC}">
              <c16:uniqueId val="{00000003-4FDF-48E1-9B86-A59BB791DA87}"/>
            </c:ext>
          </c:extLst>
        </c:ser>
        <c:ser>
          <c:idx val="4"/>
          <c:order val="4"/>
          <c:tx>
            <c:strRef>
              <c:f>Sheet5!$S$5</c:f>
              <c:strCache>
                <c:ptCount val="1"/>
                <c:pt idx="0">
                  <c:v>D4</c:v>
                </c:pt>
              </c:strCache>
            </c:strRef>
          </c:tx>
          <c:spPr>
            <a:solidFill>
              <a:schemeClr val="accent5"/>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Sheet5!$S$6:$S$20</c:f>
              <c:numCache>
                <c:formatCode>General</c:formatCode>
                <c:ptCount val="15"/>
                <c:pt idx="0">
                  <c:v>5.3497942386831197</c:v>
                </c:pt>
                <c:pt idx="1">
                  <c:v>1.5094339622641499</c:v>
                </c:pt>
                <c:pt idx="2" formatCode="0.00_ ">
                  <c:v>4.6831955922865003</c:v>
                </c:pt>
                <c:pt idx="3" formatCode="0.00_ ">
                  <c:v>14.4578313253012</c:v>
                </c:pt>
                <c:pt idx="4">
                  <c:v>16.858237547892699</c:v>
                </c:pt>
                <c:pt idx="5">
                  <c:v>3.3834586466165399</c:v>
                </c:pt>
                <c:pt idx="6">
                  <c:v>6.4393939393939403</c:v>
                </c:pt>
                <c:pt idx="7">
                  <c:v>5.9210526315789496</c:v>
                </c:pt>
                <c:pt idx="8">
                  <c:v>11.8279569892473</c:v>
                </c:pt>
                <c:pt idx="9">
                  <c:v>10.755813953488399</c:v>
                </c:pt>
                <c:pt idx="10">
                  <c:v>2.7343749999999898</c:v>
                </c:pt>
                <c:pt idx="11">
                  <c:v>1.3071895424836599</c:v>
                </c:pt>
                <c:pt idx="12">
                  <c:v>6.3745019920318802</c:v>
                </c:pt>
                <c:pt idx="13">
                  <c:v>12.1527777777778</c:v>
                </c:pt>
                <c:pt idx="14">
                  <c:v>16.4835164835165</c:v>
                </c:pt>
              </c:numCache>
            </c:numRef>
          </c:val>
          <c:extLst>
            <c:ext xmlns:c16="http://schemas.microsoft.com/office/drawing/2014/chart" uri="{C3380CC4-5D6E-409C-BE32-E72D297353CC}">
              <c16:uniqueId val="{00000004-4FDF-48E1-9B86-A59BB791DA87}"/>
            </c:ext>
          </c:extLst>
        </c:ser>
        <c:ser>
          <c:idx val="5"/>
          <c:order val="5"/>
          <c:tx>
            <c:strRef>
              <c:f>Sheet5!$T$5</c:f>
              <c:strCache>
                <c:ptCount val="1"/>
                <c:pt idx="0">
                  <c:v>D5</c:v>
                </c:pt>
              </c:strCache>
            </c:strRef>
          </c:tx>
          <c:spPr>
            <a:solidFill>
              <a:schemeClr val="accent6"/>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Sheet5!$T$6:$T$20</c:f>
              <c:numCache>
                <c:formatCode>General</c:formatCode>
                <c:ptCount val="15"/>
                <c:pt idx="0">
                  <c:v>7.8189300411522602</c:v>
                </c:pt>
                <c:pt idx="1">
                  <c:v>3.7735849056603801</c:v>
                </c:pt>
                <c:pt idx="2">
                  <c:v>7.16253443526172</c:v>
                </c:pt>
                <c:pt idx="3">
                  <c:v>16.265060240963901</c:v>
                </c:pt>
                <c:pt idx="4">
                  <c:v>19.157088122605401</c:v>
                </c:pt>
                <c:pt idx="5">
                  <c:v>5.26315789473683</c:v>
                </c:pt>
                <c:pt idx="6">
                  <c:v>5.3030303030302903</c:v>
                </c:pt>
                <c:pt idx="7">
                  <c:v>7.2368421052631504</c:v>
                </c:pt>
                <c:pt idx="8">
                  <c:v>12.544802867383501</c:v>
                </c:pt>
                <c:pt idx="9">
                  <c:v>12.5</c:v>
                </c:pt>
                <c:pt idx="10">
                  <c:v>6.640625</c:v>
                </c:pt>
                <c:pt idx="11">
                  <c:v>6.2091503267973804</c:v>
                </c:pt>
                <c:pt idx="12">
                  <c:v>10.3585657370518</c:v>
                </c:pt>
                <c:pt idx="13" formatCode="0.00_ ">
                  <c:v>14.5833333333333</c:v>
                </c:pt>
                <c:pt idx="14">
                  <c:v>20.879120879120901</c:v>
                </c:pt>
              </c:numCache>
            </c:numRef>
          </c:val>
          <c:extLst>
            <c:ext xmlns:c16="http://schemas.microsoft.com/office/drawing/2014/chart" uri="{C3380CC4-5D6E-409C-BE32-E72D297353CC}">
              <c16:uniqueId val="{00000005-4FDF-48E1-9B86-A59BB791DA87}"/>
            </c:ext>
          </c:extLst>
        </c:ser>
        <c:ser>
          <c:idx val="6"/>
          <c:order val="6"/>
          <c:tx>
            <c:strRef>
              <c:f>Sheet5!$U$5</c:f>
              <c:strCache>
                <c:ptCount val="1"/>
                <c:pt idx="0">
                  <c:v>D6</c:v>
                </c:pt>
              </c:strCache>
            </c:strRef>
          </c:tx>
          <c:spPr>
            <a:solidFill>
              <a:schemeClr val="accent1">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Sheet5!$U$6:$U$20</c:f>
              <c:numCache>
                <c:formatCode>General</c:formatCode>
                <c:ptCount val="15"/>
                <c:pt idx="0">
                  <c:v>9.0534979423868194</c:v>
                </c:pt>
                <c:pt idx="1">
                  <c:v>7.1698113207547198</c:v>
                </c:pt>
                <c:pt idx="2">
                  <c:v>9.6418732782369201</c:v>
                </c:pt>
                <c:pt idx="3">
                  <c:v>17.168674698795201</c:v>
                </c:pt>
                <c:pt idx="4">
                  <c:v>21.072796934865899</c:v>
                </c:pt>
                <c:pt idx="5">
                  <c:v>8.2706766917293102</c:v>
                </c:pt>
                <c:pt idx="6">
                  <c:v>7.1969696969696901</c:v>
                </c:pt>
                <c:pt idx="7">
                  <c:v>7.8947368421052602</c:v>
                </c:pt>
                <c:pt idx="8">
                  <c:v>12.1863799283154</c:v>
                </c:pt>
                <c:pt idx="9">
                  <c:v>12.790697674418601</c:v>
                </c:pt>
                <c:pt idx="10">
                  <c:v>7.421875</c:v>
                </c:pt>
                <c:pt idx="11">
                  <c:v>8.4967320261437802</c:v>
                </c:pt>
                <c:pt idx="12">
                  <c:v>13.9442231075697</c:v>
                </c:pt>
                <c:pt idx="13">
                  <c:v>16.3194444444445</c:v>
                </c:pt>
                <c:pt idx="14">
                  <c:v>25.274725274725299</c:v>
                </c:pt>
              </c:numCache>
            </c:numRef>
          </c:val>
          <c:extLst>
            <c:ext xmlns:c16="http://schemas.microsoft.com/office/drawing/2014/chart" uri="{C3380CC4-5D6E-409C-BE32-E72D297353CC}">
              <c16:uniqueId val="{00000006-4FDF-48E1-9B86-A59BB791DA87}"/>
            </c:ext>
          </c:extLst>
        </c:ser>
        <c:ser>
          <c:idx val="7"/>
          <c:order val="7"/>
          <c:tx>
            <c:strRef>
              <c:f>Sheet5!$V$5</c:f>
              <c:strCache>
                <c:ptCount val="1"/>
                <c:pt idx="0">
                  <c:v>D7</c:v>
                </c:pt>
              </c:strCache>
            </c:strRef>
          </c:tx>
          <c:spPr>
            <a:solidFill>
              <a:schemeClr val="accent2">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Sheet5!$V$6:$V$20</c:f>
              <c:numCache>
                <c:formatCode>General</c:formatCode>
                <c:ptCount val="15"/>
                <c:pt idx="0">
                  <c:v>5.7613168724279697</c:v>
                </c:pt>
                <c:pt idx="1">
                  <c:v>1.8867924528302</c:v>
                </c:pt>
                <c:pt idx="2">
                  <c:v>8.5399449035812705</c:v>
                </c:pt>
                <c:pt idx="3">
                  <c:v>15.9638554216868</c:v>
                </c:pt>
                <c:pt idx="4">
                  <c:v>16.091954022988499</c:v>
                </c:pt>
                <c:pt idx="5">
                  <c:v>4.5112781954887096</c:v>
                </c:pt>
                <c:pt idx="6">
                  <c:v>3.4090909090908998</c:v>
                </c:pt>
                <c:pt idx="7">
                  <c:v>6.5789473684210602</c:v>
                </c:pt>
                <c:pt idx="8">
                  <c:v>40.852507033568401</c:v>
                </c:pt>
                <c:pt idx="9">
                  <c:v>11.9186046511628</c:v>
                </c:pt>
                <c:pt idx="10">
                  <c:v>5.078125</c:v>
                </c:pt>
                <c:pt idx="11">
                  <c:v>4.9019607843137196</c:v>
                </c:pt>
                <c:pt idx="12">
                  <c:v>11.155378486055801</c:v>
                </c:pt>
                <c:pt idx="13">
                  <c:v>12.5</c:v>
                </c:pt>
                <c:pt idx="14">
                  <c:v>19.780219780219799</c:v>
                </c:pt>
              </c:numCache>
            </c:numRef>
          </c:val>
          <c:extLst>
            <c:ext xmlns:c16="http://schemas.microsoft.com/office/drawing/2014/chart" uri="{C3380CC4-5D6E-409C-BE32-E72D297353CC}">
              <c16:uniqueId val="{00000007-4FDF-48E1-9B86-A59BB791DA87}"/>
            </c:ext>
          </c:extLst>
        </c:ser>
        <c:ser>
          <c:idx val="8"/>
          <c:order val="8"/>
          <c:tx>
            <c:strRef>
              <c:f>Sheet5!$W$5</c:f>
              <c:strCache>
                <c:ptCount val="1"/>
                <c:pt idx="0">
                  <c:v>D8</c:v>
                </c:pt>
              </c:strCache>
            </c:strRef>
          </c:tx>
          <c:spPr>
            <a:solidFill>
              <a:schemeClr val="accent3">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Sheet5!$W$6:$W$20</c:f>
              <c:numCache>
                <c:formatCode>General</c:formatCode>
                <c:ptCount val="15"/>
                <c:pt idx="0">
                  <c:v>8.6419753086419693</c:v>
                </c:pt>
                <c:pt idx="1">
                  <c:v>5.6603773584905603</c:v>
                </c:pt>
                <c:pt idx="2">
                  <c:v>8.81542699724519</c:v>
                </c:pt>
                <c:pt idx="3">
                  <c:v>18.0722891566265</c:v>
                </c:pt>
                <c:pt idx="4">
                  <c:v>22.2222222222222</c:v>
                </c:pt>
                <c:pt idx="5">
                  <c:v>5.26315789473683</c:v>
                </c:pt>
                <c:pt idx="6">
                  <c:v>7.1969696969696901</c:v>
                </c:pt>
                <c:pt idx="7">
                  <c:v>7.8947368421052602</c:v>
                </c:pt>
                <c:pt idx="8">
                  <c:v>13.620071684587799</c:v>
                </c:pt>
                <c:pt idx="9">
                  <c:v>13.953488372093</c:v>
                </c:pt>
                <c:pt idx="10">
                  <c:v>7.8124999999999902</c:v>
                </c:pt>
                <c:pt idx="11">
                  <c:v>7.5163398692810501</c:v>
                </c:pt>
                <c:pt idx="12" formatCode="0.00_ ">
                  <c:v>11.5537848605578</c:v>
                </c:pt>
                <c:pt idx="13">
                  <c:v>16.3194444444445</c:v>
                </c:pt>
                <c:pt idx="14">
                  <c:v>25.6410256410256</c:v>
                </c:pt>
              </c:numCache>
            </c:numRef>
          </c:val>
          <c:extLst>
            <c:ext xmlns:c16="http://schemas.microsoft.com/office/drawing/2014/chart" uri="{C3380CC4-5D6E-409C-BE32-E72D297353CC}">
              <c16:uniqueId val="{00000008-4FDF-48E1-9B86-A59BB791DA87}"/>
            </c:ext>
          </c:extLst>
        </c:ser>
        <c:ser>
          <c:idx val="9"/>
          <c:order val="9"/>
          <c:tx>
            <c:strRef>
              <c:f>Sheet5!$X$5</c:f>
              <c:strCache>
                <c:ptCount val="1"/>
                <c:pt idx="0">
                  <c:v>D9</c:v>
                </c:pt>
              </c:strCache>
            </c:strRef>
          </c:tx>
          <c:spPr>
            <a:solidFill>
              <a:schemeClr val="accent4">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Sheet5!$X$6:$X$20</c:f>
              <c:numCache>
                <c:formatCode>General</c:formatCode>
                <c:ptCount val="15"/>
                <c:pt idx="0">
                  <c:v>6.9958847736625502</c:v>
                </c:pt>
                <c:pt idx="1">
                  <c:v>3.0188679245282999</c:v>
                </c:pt>
                <c:pt idx="2">
                  <c:v>7.9889807162534403</c:v>
                </c:pt>
                <c:pt idx="3">
                  <c:v>18.975903614457799</c:v>
                </c:pt>
                <c:pt idx="4">
                  <c:v>21.072796934865899</c:v>
                </c:pt>
                <c:pt idx="5">
                  <c:v>5.6390977443608996</c:v>
                </c:pt>
                <c:pt idx="6">
                  <c:v>5.6818181818181799</c:v>
                </c:pt>
                <c:pt idx="7">
                  <c:v>8.2236842105263204</c:v>
                </c:pt>
                <c:pt idx="8">
                  <c:v>13.9784946236559</c:v>
                </c:pt>
                <c:pt idx="9">
                  <c:v>13.953488372093</c:v>
                </c:pt>
                <c:pt idx="10">
                  <c:v>7.8124999999999902</c:v>
                </c:pt>
                <c:pt idx="11">
                  <c:v>7.5163398692810501</c:v>
                </c:pt>
                <c:pt idx="12">
                  <c:v>12.350597609561801</c:v>
                </c:pt>
                <c:pt idx="13">
                  <c:v>15.9722222222222</c:v>
                </c:pt>
                <c:pt idx="14">
                  <c:v>22.710622710622701</c:v>
                </c:pt>
              </c:numCache>
            </c:numRef>
          </c:val>
          <c:extLst>
            <c:ext xmlns:c16="http://schemas.microsoft.com/office/drawing/2014/chart" uri="{C3380CC4-5D6E-409C-BE32-E72D297353CC}">
              <c16:uniqueId val="{00000009-4FDF-48E1-9B86-A59BB791DA87}"/>
            </c:ext>
          </c:extLst>
        </c:ser>
        <c:ser>
          <c:idx val="10"/>
          <c:order val="10"/>
          <c:tx>
            <c:strRef>
              <c:f>Sheet5!$Y$5</c:f>
              <c:strCache>
                <c:ptCount val="1"/>
                <c:pt idx="0">
                  <c:v>D10</c:v>
                </c:pt>
              </c:strCache>
            </c:strRef>
          </c:tx>
          <c:spPr>
            <a:solidFill>
              <a:schemeClr val="accent5">
                <a:lumMod val="60000"/>
              </a:schemeClr>
            </a:solidFill>
            <a:ln>
              <a:noFill/>
            </a:ln>
            <a:effectLst/>
          </c:spPr>
          <c:invertIfNegative val="0"/>
          <c:cat>
            <c:strRef>
              <c:f>Sheet5!$N$6:$N$20</c:f>
              <c:strCache>
                <c:ptCount val="15"/>
                <c:pt idx="0">
                  <c:v>CS 10/90</c:v>
                </c:pt>
                <c:pt idx="1">
                  <c:v>CS 20/80</c:v>
                </c:pt>
                <c:pt idx="2">
                  <c:v>CS 30/70</c:v>
                </c:pt>
                <c:pt idx="3">
                  <c:v>CS 40/60</c:v>
                </c:pt>
                <c:pt idx="4">
                  <c:v>CS 50/50</c:v>
                </c:pt>
                <c:pt idx="5">
                  <c:v>SD 10/90</c:v>
                </c:pt>
                <c:pt idx="6">
                  <c:v>SD 20/80</c:v>
                </c:pt>
                <c:pt idx="7">
                  <c:v>SD 30/70</c:v>
                </c:pt>
                <c:pt idx="8">
                  <c:v>SD 40/60</c:v>
                </c:pt>
                <c:pt idx="9">
                  <c:v>SD 50/50</c:v>
                </c:pt>
                <c:pt idx="10">
                  <c:v>HB 10/90</c:v>
                </c:pt>
                <c:pt idx="11">
                  <c:v>HB 20/80</c:v>
                </c:pt>
                <c:pt idx="12">
                  <c:v>HB 30/70</c:v>
                </c:pt>
                <c:pt idx="13">
                  <c:v>HB 40/60</c:v>
                </c:pt>
                <c:pt idx="14">
                  <c:v>HB 50/50</c:v>
                </c:pt>
              </c:strCache>
            </c:strRef>
          </c:cat>
          <c:val>
            <c:numRef>
              <c:f>Sheet5!$Y$6:$Y$20</c:f>
              <c:numCache>
                <c:formatCode>General</c:formatCode>
                <c:ptCount val="15"/>
                <c:pt idx="0">
                  <c:v>8.2304526748971103</c:v>
                </c:pt>
                <c:pt idx="1">
                  <c:v>3.7735849056603801</c:v>
                </c:pt>
                <c:pt idx="2">
                  <c:v>8.81542699724519</c:v>
                </c:pt>
                <c:pt idx="3">
                  <c:v>4.6937663225422204E-53</c:v>
                </c:pt>
                <c:pt idx="4">
                  <c:v>20.689655172413801</c:v>
                </c:pt>
                <c:pt idx="5">
                  <c:v>5.6390977443608996</c:v>
                </c:pt>
                <c:pt idx="6">
                  <c:v>6.0606060606060499</c:v>
                </c:pt>
                <c:pt idx="7" formatCode="0.00_ ">
                  <c:v>8.5526315789473593</c:v>
                </c:pt>
                <c:pt idx="8">
                  <c:v>14.336917562724</c:v>
                </c:pt>
                <c:pt idx="9">
                  <c:v>15.6976744186047</c:v>
                </c:pt>
                <c:pt idx="10">
                  <c:v>6.640625</c:v>
                </c:pt>
                <c:pt idx="11">
                  <c:v>7.8431372549019498</c:v>
                </c:pt>
                <c:pt idx="12">
                  <c:v>11.155378486055801</c:v>
                </c:pt>
                <c:pt idx="13">
                  <c:v>14.9305555555556</c:v>
                </c:pt>
                <c:pt idx="14">
                  <c:v>19.413919413919398</c:v>
                </c:pt>
              </c:numCache>
            </c:numRef>
          </c:val>
          <c:extLst>
            <c:ext xmlns:c16="http://schemas.microsoft.com/office/drawing/2014/chart" uri="{C3380CC4-5D6E-409C-BE32-E72D297353CC}">
              <c16:uniqueId val="{0000000A-4FDF-48E1-9B86-A59BB791DA87}"/>
            </c:ext>
          </c:extLst>
        </c:ser>
        <c:dLbls>
          <c:showLegendKey val="0"/>
          <c:showVal val="0"/>
          <c:showCatName val="0"/>
          <c:showSerName val="0"/>
          <c:showPercent val="0"/>
          <c:showBubbleSize val="0"/>
        </c:dLbls>
        <c:gapWidth val="150"/>
        <c:overlap val="100"/>
        <c:axId val="181326384"/>
        <c:axId val="181320624"/>
      </c:barChart>
      <c:catAx>
        <c:axId val="1813263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rPr>
                  <a:t>Filer/LDPE ratio</a:t>
                </a:r>
              </a:p>
            </c:rich>
          </c:tx>
          <c:layout>
            <c:manualLayout>
              <c:xMode val="edge"/>
              <c:yMode val="edge"/>
              <c:x val="0.44340461463764802"/>
              <c:y val="0.8628647994488070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20624"/>
        <c:crosses val="autoZero"/>
        <c:auto val="1"/>
        <c:lblAlgn val="ctr"/>
        <c:lblOffset val="100"/>
        <c:noMultiLvlLbl val="0"/>
      </c:catAx>
      <c:valAx>
        <c:axId val="1813206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rPr>
                  <a:t>% Moisture absorbed</a:t>
                </a:r>
              </a:p>
            </c:rich>
          </c:tx>
          <c:layout>
            <c:manualLayout>
              <c:xMode val="edge"/>
              <c:yMode val="edge"/>
              <c:x val="1.5013404825737301E-2"/>
              <c:y val="0.27478708504341598"/>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132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25dfd78-72ef-4b43-aef6-45e8948b1dd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22</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mabatyo@gmail.com</dc:creator>
  <cp:lastModifiedBy>mabatyo@gmail.com</cp:lastModifiedBy>
  <cp:revision>223</cp:revision>
  <dcterms:created xsi:type="dcterms:W3CDTF">2025-04-01T13:24:00Z</dcterms:created>
  <dcterms:modified xsi:type="dcterms:W3CDTF">2025-09-20T13:44:00Z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0EADDEFEBF104412BB97757972D56512_12</vt:lpwstr>
  </property>
</Properties>
</file>