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534A0" w14:textId="63B15F68" w:rsidR="00ED4FB3" w:rsidRPr="00476741" w:rsidRDefault="001F1926" w:rsidP="00476741">
      <w:pPr>
        <w:spacing w:line="240" w:lineRule="auto"/>
        <w:jc w:val="right"/>
        <w:rPr>
          <w:rFonts w:ascii="Arial" w:hAnsi="Arial" w:cs="Arial"/>
          <w:b/>
          <w:bCs/>
          <w:sz w:val="36"/>
          <w:szCs w:val="36"/>
          <w:highlight w:val="green"/>
          <w:lang w:val="en-US"/>
        </w:rPr>
      </w:pPr>
      <w:r>
        <w:rPr>
          <w:rFonts w:ascii="Arial" w:hAnsi="Arial" w:cs="Arial"/>
          <w:b/>
          <w:bCs/>
          <w:sz w:val="36"/>
          <w:szCs w:val="36"/>
          <w:highlight w:val="green"/>
          <w:lang w:val="en-US"/>
        </w:rPr>
        <w:t xml:space="preserve">  </w:t>
      </w:r>
      <w:r w:rsidR="008E7689" w:rsidRPr="00476741">
        <w:rPr>
          <w:rFonts w:ascii="Arial" w:hAnsi="Arial" w:cs="Arial"/>
          <w:b/>
          <w:bCs/>
          <w:sz w:val="36"/>
          <w:szCs w:val="36"/>
          <w:highlight w:val="green"/>
          <w:lang w:val="en-US"/>
        </w:rPr>
        <w:t xml:space="preserve">Coordination polymers of </w:t>
      </w:r>
      <w:proofErr w:type="gramStart"/>
      <w:r w:rsidR="008E7689" w:rsidRPr="00476741">
        <w:rPr>
          <w:rFonts w:ascii="Arial" w:hAnsi="Arial" w:cs="Arial"/>
          <w:b/>
          <w:bCs/>
          <w:sz w:val="36"/>
          <w:szCs w:val="36"/>
          <w:highlight w:val="green"/>
          <w:lang w:val="en-US"/>
        </w:rPr>
        <w:t>copper(</w:t>
      </w:r>
      <w:proofErr w:type="gramEnd"/>
      <w:r w:rsidR="008E7689" w:rsidRPr="00476741">
        <w:rPr>
          <w:rFonts w:ascii="Arial" w:hAnsi="Arial" w:cs="Arial"/>
          <w:b/>
          <w:bCs/>
          <w:sz w:val="36"/>
          <w:szCs w:val="36"/>
          <w:highlight w:val="green"/>
          <w:lang w:val="en-US"/>
        </w:rPr>
        <w:t>II) and zinc(II) with 1-ethyl-1</w:t>
      </w:r>
      <w:r w:rsidR="008E7689" w:rsidRPr="00592842">
        <w:rPr>
          <w:rFonts w:ascii="Arial" w:hAnsi="Arial" w:cs="Arial"/>
          <w:b/>
          <w:bCs/>
          <w:i/>
          <w:iCs/>
          <w:sz w:val="36"/>
          <w:szCs w:val="36"/>
          <w:highlight w:val="green"/>
          <w:lang w:val="en-US"/>
        </w:rPr>
        <w:t>H</w:t>
      </w:r>
      <w:r w:rsidR="008E7689" w:rsidRPr="00476741">
        <w:rPr>
          <w:rFonts w:ascii="Arial" w:hAnsi="Arial" w:cs="Arial"/>
          <w:b/>
          <w:bCs/>
          <w:sz w:val="36"/>
          <w:szCs w:val="36"/>
          <w:highlight w:val="green"/>
          <w:lang w:val="en-US"/>
        </w:rPr>
        <w:t xml:space="preserve">-imidazole incorporating </w:t>
      </w:r>
      <w:proofErr w:type="spellStart"/>
      <w:r w:rsidR="008E7689" w:rsidRPr="00476741">
        <w:rPr>
          <w:rFonts w:ascii="Arial" w:hAnsi="Arial" w:cs="Arial"/>
          <w:b/>
          <w:bCs/>
          <w:sz w:val="36"/>
          <w:szCs w:val="36"/>
          <w:highlight w:val="green"/>
          <w:lang w:val="en-US"/>
        </w:rPr>
        <w:t>maleat</w:t>
      </w:r>
      <w:r w:rsidR="00592842">
        <w:rPr>
          <w:rFonts w:ascii="Arial" w:hAnsi="Arial" w:cs="Arial"/>
          <w:b/>
          <w:bCs/>
          <w:sz w:val="36"/>
          <w:szCs w:val="36"/>
          <w:highlight w:val="green"/>
          <w:lang w:val="en-US"/>
        </w:rPr>
        <w:t>o</w:t>
      </w:r>
      <w:proofErr w:type="spellEnd"/>
      <w:r w:rsidR="008E7689" w:rsidRPr="00476741">
        <w:rPr>
          <w:rFonts w:ascii="Arial" w:hAnsi="Arial" w:cs="Arial"/>
          <w:b/>
          <w:bCs/>
          <w:sz w:val="36"/>
          <w:szCs w:val="36"/>
          <w:highlight w:val="green"/>
          <w:lang w:val="en-US"/>
        </w:rPr>
        <w:t xml:space="preserve"> or </w:t>
      </w:r>
      <w:proofErr w:type="spellStart"/>
      <w:r w:rsidR="008E7689" w:rsidRPr="00476741">
        <w:rPr>
          <w:rFonts w:ascii="Arial" w:hAnsi="Arial" w:cs="Arial"/>
          <w:b/>
          <w:bCs/>
          <w:sz w:val="36"/>
          <w:szCs w:val="36"/>
          <w:highlight w:val="green"/>
          <w:lang w:val="en-US"/>
        </w:rPr>
        <w:t>succinato</w:t>
      </w:r>
      <w:proofErr w:type="spellEnd"/>
      <w:r w:rsidR="008E7689" w:rsidRPr="00476741">
        <w:rPr>
          <w:rFonts w:ascii="Arial" w:hAnsi="Arial" w:cs="Arial"/>
          <w:b/>
          <w:bCs/>
          <w:sz w:val="36"/>
          <w:szCs w:val="36"/>
          <w:highlight w:val="green"/>
          <w:lang w:val="en-US"/>
        </w:rPr>
        <w:t xml:space="preserve"> and stud</w:t>
      </w:r>
      <w:r w:rsidR="00BC1402" w:rsidRPr="00476741">
        <w:rPr>
          <w:rFonts w:ascii="Arial" w:hAnsi="Arial" w:cs="Arial"/>
          <w:b/>
          <w:bCs/>
          <w:sz w:val="36"/>
          <w:szCs w:val="36"/>
          <w:highlight w:val="green"/>
          <w:lang w:val="en-US"/>
        </w:rPr>
        <w:t xml:space="preserve">y </w:t>
      </w:r>
      <w:r w:rsidR="008E7689" w:rsidRPr="00476741">
        <w:rPr>
          <w:rFonts w:ascii="Arial" w:hAnsi="Arial" w:cs="Arial"/>
          <w:b/>
          <w:bCs/>
          <w:sz w:val="36"/>
          <w:szCs w:val="36"/>
          <w:highlight w:val="green"/>
          <w:lang w:val="en-US"/>
        </w:rPr>
        <w:t xml:space="preserve">of their </w:t>
      </w:r>
      <w:r w:rsidR="00C27784">
        <w:rPr>
          <w:rFonts w:ascii="Arial" w:hAnsi="Arial" w:cs="Arial"/>
          <w:b/>
          <w:bCs/>
          <w:sz w:val="36"/>
          <w:szCs w:val="36"/>
          <w:highlight w:val="green"/>
          <w:lang w:val="en-US"/>
        </w:rPr>
        <w:t xml:space="preserve">spectroscopic and </w:t>
      </w:r>
      <w:r w:rsidR="008E7689" w:rsidRPr="00476741">
        <w:rPr>
          <w:rFonts w:ascii="Arial" w:hAnsi="Arial" w:cs="Arial"/>
          <w:b/>
          <w:bCs/>
          <w:sz w:val="36"/>
          <w:szCs w:val="36"/>
          <w:highlight w:val="green"/>
          <w:lang w:val="en-US"/>
        </w:rPr>
        <w:t>thermal properties</w:t>
      </w:r>
    </w:p>
    <w:p w14:paraId="133ED11C" w14:textId="77777777" w:rsidR="00ED4FB3" w:rsidRPr="004B1546" w:rsidRDefault="00ED4FB3" w:rsidP="00A57067">
      <w:pPr>
        <w:spacing w:line="240" w:lineRule="auto"/>
        <w:jc w:val="both"/>
        <w:rPr>
          <w:rFonts w:ascii="Arial" w:hAnsi="Arial" w:cs="Arial"/>
          <w:b/>
          <w:bCs/>
          <w:sz w:val="20"/>
          <w:szCs w:val="20"/>
          <w:lang w:val="en-US"/>
        </w:rPr>
      </w:pPr>
    </w:p>
    <w:p w14:paraId="1FC91ED3" w14:textId="6EF50E19" w:rsidR="004E28AF" w:rsidRPr="004D2A0A" w:rsidRDefault="0062211B" w:rsidP="004D2A0A">
      <w:pPr>
        <w:spacing w:line="240" w:lineRule="auto"/>
        <w:jc w:val="both"/>
        <w:rPr>
          <w:rFonts w:ascii="Arial" w:hAnsi="Arial" w:cs="Arial"/>
          <w:b/>
          <w:bCs/>
          <w:sz w:val="22"/>
          <w:szCs w:val="22"/>
          <w:lang w:val="en-US"/>
        </w:rPr>
      </w:pPr>
      <w:r w:rsidRPr="00584381">
        <w:rPr>
          <w:rFonts w:ascii="Arial" w:hAnsi="Arial" w:cs="Arial"/>
          <w:b/>
          <w:bCs/>
          <w:sz w:val="22"/>
          <w:szCs w:val="22"/>
          <w:lang w:val="en-US"/>
        </w:rPr>
        <w:t>A</w:t>
      </w:r>
      <w:r w:rsidR="00584381" w:rsidRPr="00584381">
        <w:rPr>
          <w:rFonts w:ascii="Arial" w:hAnsi="Arial" w:cs="Arial"/>
          <w:b/>
          <w:bCs/>
          <w:sz w:val="22"/>
          <w:szCs w:val="22"/>
          <w:lang w:val="en-US"/>
        </w:rPr>
        <w:t>BSTRACT</w:t>
      </w:r>
    </w:p>
    <w:tbl>
      <w:tblPr>
        <w:tblStyle w:val="TableGrid"/>
        <w:tblW w:w="0" w:type="auto"/>
        <w:tblLook w:val="04A0" w:firstRow="1" w:lastRow="0" w:firstColumn="1" w:lastColumn="0" w:noHBand="0" w:noVBand="1"/>
      </w:tblPr>
      <w:tblGrid>
        <w:gridCol w:w="9062"/>
      </w:tblGrid>
      <w:tr w:rsidR="00736F2B" w:rsidRPr="001F55AE" w14:paraId="0FEBCA2B" w14:textId="77777777" w:rsidTr="0003295E">
        <w:tc>
          <w:tcPr>
            <w:tcW w:w="9062" w:type="dxa"/>
            <w:shd w:val="clear" w:color="auto" w:fill="D0CECE" w:themeFill="background2" w:themeFillShade="E6"/>
          </w:tcPr>
          <w:p w14:paraId="53376A09" w14:textId="4D8D6177" w:rsidR="00736F2B" w:rsidRPr="00736F2B" w:rsidRDefault="00736F2B" w:rsidP="002D4F62">
            <w:pPr>
              <w:spacing w:line="240" w:lineRule="auto"/>
              <w:jc w:val="both"/>
              <w:rPr>
                <w:rFonts w:ascii="Arial" w:hAnsi="Arial" w:cs="Arial"/>
                <w:sz w:val="20"/>
                <w:szCs w:val="20"/>
                <w:shd w:val="clear" w:color="auto" w:fill="FFFFFF"/>
                <w:lang w:val="en-US"/>
              </w:rPr>
            </w:pPr>
            <w:r w:rsidRPr="00F25B40">
              <w:rPr>
                <w:rFonts w:ascii="Arial" w:hAnsi="Arial" w:cs="Arial"/>
                <w:sz w:val="20"/>
                <w:szCs w:val="20"/>
                <w:lang w:val="en-US"/>
              </w:rPr>
              <w:t>Polymer carboxylates coordination complexes formulated as [</w:t>
            </w:r>
            <w:r w:rsidRPr="00F25B40">
              <w:rPr>
                <w:rFonts w:ascii="Arial" w:hAnsi="Arial" w:cs="Arial"/>
                <w:bCs/>
                <w:sz w:val="20"/>
                <w:szCs w:val="20"/>
                <w:lang w:val="en-US"/>
              </w:rPr>
              <w:t>Cu(</w:t>
            </w:r>
            <w:proofErr w:type="spellStart"/>
            <w:r w:rsidRPr="00F25B40">
              <w:rPr>
                <w:rFonts w:ascii="Arial" w:hAnsi="Arial" w:cs="Arial"/>
                <w:bCs/>
                <w:sz w:val="20"/>
                <w:szCs w:val="20"/>
                <w:lang w:val="en-US"/>
              </w:rPr>
              <w:t>malea</w:t>
            </w:r>
            <w:proofErr w:type="spellEnd"/>
            <w:r w:rsidRPr="00F25B40">
              <w:rPr>
                <w:rFonts w:ascii="Arial" w:hAnsi="Arial" w:cs="Arial"/>
                <w:bCs/>
                <w:sz w:val="20"/>
                <w:szCs w:val="20"/>
                <w:lang w:val="en-US"/>
              </w:rPr>
              <w:t>)(1-Etim)</w:t>
            </w:r>
            <w:r w:rsidRPr="00F25B40">
              <w:rPr>
                <w:rFonts w:ascii="Arial" w:hAnsi="Arial" w:cs="Arial"/>
                <w:bCs/>
                <w:sz w:val="20"/>
                <w:szCs w:val="20"/>
                <w:vertAlign w:val="subscript"/>
                <w:lang w:val="en-US"/>
              </w:rPr>
              <w:t>2</w:t>
            </w:r>
            <w:r w:rsidRPr="00F25B40">
              <w:rPr>
                <w:rFonts w:ascii="Arial" w:hAnsi="Arial" w:cs="Arial"/>
                <w:bCs/>
                <w:sz w:val="20"/>
                <w:szCs w:val="20"/>
                <w:lang w:val="en-US"/>
              </w:rPr>
              <w:t>]</w:t>
            </w:r>
            <w:r w:rsidRPr="00F25B40">
              <w:rPr>
                <w:rFonts w:ascii="Arial" w:hAnsi="Arial" w:cs="Arial"/>
                <w:bCs/>
                <w:sz w:val="20"/>
                <w:szCs w:val="20"/>
                <w:vertAlign w:val="subscript"/>
                <w:lang w:val="en-US"/>
              </w:rPr>
              <w:t>n</w:t>
            </w:r>
            <w:r w:rsidRPr="00F25B40">
              <w:rPr>
                <w:rFonts w:ascii="Arial" w:hAnsi="Arial" w:cs="Arial"/>
                <w:sz w:val="20"/>
                <w:szCs w:val="20"/>
                <w:lang w:val="en-US"/>
              </w:rPr>
              <w:t xml:space="preserve"> (</w:t>
            </w:r>
            <w:r w:rsidRPr="00F25B40">
              <w:rPr>
                <w:rFonts w:ascii="Arial" w:hAnsi="Arial" w:cs="Arial"/>
                <w:b/>
                <w:bCs/>
                <w:sz w:val="20"/>
                <w:szCs w:val="20"/>
                <w:lang w:val="en-US"/>
              </w:rPr>
              <w:t>1</w:t>
            </w:r>
            <w:r w:rsidRPr="00F25B40">
              <w:rPr>
                <w:rFonts w:ascii="Arial" w:hAnsi="Arial" w:cs="Arial"/>
                <w:sz w:val="20"/>
                <w:szCs w:val="20"/>
                <w:lang w:val="en-US"/>
              </w:rPr>
              <w:t>) and</w:t>
            </w:r>
            <w:r w:rsidRPr="00F25B40">
              <w:rPr>
                <w:rFonts w:ascii="Arial" w:hAnsi="Arial" w:cs="Arial"/>
                <w:sz w:val="20"/>
                <w:szCs w:val="20"/>
                <w:vertAlign w:val="superscript"/>
                <w:lang w:val="en-US"/>
              </w:rPr>
              <w:t xml:space="preserve">  </w:t>
            </w:r>
            <w:r w:rsidRPr="00F25B40">
              <w:rPr>
                <w:rFonts w:ascii="Arial" w:hAnsi="Arial" w:cs="Arial"/>
                <w:sz w:val="20"/>
                <w:szCs w:val="20"/>
                <w:lang w:val="en-US"/>
              </w:rPr>
              <w:t>[</w:t>
            </w:r>
            <w:r w:rsidRPr="00F25B40">
              <w:rPr>
                <w:rFonts w:ascii="Arial" w:hAnsi="Arial" w:cs="Arial"/>
                <w:bCs/>
                <w:sz w:val="20"/>
                <w:szCs w:val="20"/>
                <w:lang w:val="en-US"/>
              </w:rPr>
              <w:t>Zn(</w:t>
            </w:r>
            <w:proofErr w:type="spellStart"/>
            <w:r w:rsidRPr="00F25B40">
              <w:rPr>
                <w:rFonts w:ascii="Arial" w:hAnsi="Arial" w:cs="Arial"/>
                <w:bCs/>
                <w:sz w:val="20"/>
                <w:szCs w:val="20"/>
                <w:lang w:val="en-US"/>
              </w:rPr>
              <w:t>malon</w:t>
            </w:r>
            <w:proofErr w:type="spellEnd"/>
            <w:r w:rsidRPr="00F25B40">
              <w:rPr>
                <w:rFonts w:ascii="Arial" w:hAnsi="Arial" w:cs="Arial"/>
                <w:bCs/>
                <w:sz w:val="20"/>
                <w:szCs w:val="20"/>
                <w:lang w:val="en-US"/>
              </w:rPr>
              <w:t>)(1-Etim)</w:t>
            </w:r>
            <w:r w:rsidRPr="00F25B40">
              <w:rPr>
                <w:rFonts w:ascii="Arial" w:hAnsi="Arial" w:cs="Arial"/>
                <w:bCs/>
                <w:sz w:val="20"/>
                <w:szCs w:val="20"/>
                <w:vertAlign w:val="subscript"/>
                <w:lang w:val="en-US"/>
              </w:rPr>
              <w:t>2</w:t>
            </w:r>
            <w:r w:rsidRPr="00F25B40">
              <w:rPr>
                <w:rFonts w:ascii="Arial" w:hAnsi="Arial" w:cs="Arial"/>
                <w:sz w:val="20"/>
                <w:szCs w:val="20"/>
                <w:lang w:val="en-US"/>
              </w:rPr>
              <w:t>]</w:t>
            </w:r>
            <w:r w:rsidRPr="00F25B40">
              <w:rPr>
                <w:rFonts w:ascii="Arial" w:hAnsi="Arial" w:cs="Arial"/>
                <w:sz w:val="20"/>
                <w:szCs w:val="20"/>
                <w:vertAlign w:val="subscript"/>
                <w:lang w:val="en-US"/>
              </w:rPr>
              <w:t>n</w:t>
            </w:r>
            <w:r w:rsidRPr="00F25B40">
              <w:rPr>
                <w:rFonts w:ascii="Arial" w:hAnsi="Arial" w:cs="Arial"/>
                <w:sz w:val="20"/>
                <w:szCs w:val="20"/>
                <w:lang w:val="en-US"/>
              </w:rPr>
              <w:t xml:space="preserve"> (</w:t>
            </w:r>
            <w:r w:rsidRPr="00F25B40">
              <w:rPr>
                <w:rFonts w:ascii="Arial" w:hAnsi="Arial" w:cs="Arial"/>
                <w:b/>
                <w:bCs/>
                <w:sz w:val="20"/>
                <w:szCs w:val="20"/>
                <w:lang w:val="en-US"/>
              </w:rPr>
              <w:t>2</w:t>
            </w:r>
            <w:r w:rsidRPr="00F25B40">
              <w:rPr>
                <w:rFonts w:ascii="Arial" w:hAnsi="Arial" w:cs="Arial"/>
                <w:sz w:val="20"/>
                <w:szCs w:val="20"/>
                <w:lang w:val="en-US"/>
              </w:rPr>
              <w:t>) (</w:t>
            </w:r>
            <w:proofErr w:type="spellStart"/>
            <w:r w:rsidRPr="00F25B40">
              <w:rPr>
                <w:rFonts w:ascii="Arial" w:hAnsi="Arial" w:cs="Arial"/>
                <w:sz w:val="20"/>
                <w:szCs w:val="20"/>
                <w:lang w:val="en-US"/>
              </w:rPr>
              <w:t>malea</w:t>
            </w:r>
            <w:proofErr w:type="spellEnd"/>
            <w:r w:rsidRPr="00F25B40">
              <w:rPr>
                <w:rFonts w:ascii="Arial" w:hAnsi="Arial" w:cs="Arial"/>
                <w:sz w:val="20"/>
                <w:szCs w:val="20"/>
                <w:lang w:val="en-US"/>
              </w:rPr>
              <w:t xml:space="preserve"> = </w:t>
            </w:r>
            <w:proofErr w:type="spellStart"/>
            <w:r w:rsidRPr="00F25B40">
              <w:rPr>
                <w:rFonts w:ascii="Arial" w:hAnsi="Arial" w:cs="Arial"/>
                <w:sz w:val="20"/>
                <w:szCs w:val="20"/>
                <w:lang w:val="en-US"/>
              </w:rPr>
              <w:t>maleato</w:t>
            </w:r>
            <w:proofErr w:type="spellEnd"/>
            <w:r w:rsidRPr="00F25B40">
              <w:rPr>
                <w:rFonts w:ascii="Arial" w:hAnsi="Arial" w:cs="Arial"/>
                <w:sz w:val="20"/>
                <w:szCs w:val="20"/>
                <w:lang w:val="en-US"/>
              </w:rPr>
              <w:t xml:space="preserve">, </w:t>
            </w:r>
            <w:proofErr w:type="spellStart"/>
            <w:r w:rsidRPr="00F25B40">
              <w:rPr>
                <w:rFonts w:ascii="Arial" w:hAnsi="Arial" w:cs="Arial"/>
                <w:sz w:val="20"/>
                <w:szCs w:val="20"/>
                <w:lang w:val="en-US"/>
              </w:rPr>
              <w:t>malon</w:t>
            </w:r>
            <w:proofErr w:type="spellEnd"/>
            <w:r w:rsidRPr="00F25B40">
              <w:rPr>
                <w:rFonts w:ascii="Arial" w:hAnsi="Arial" w:cs="Arial"/>
                <w:sz w:val="20"/>
                <w:szCs w:val="20"/>
                <w:lang w:val="en-US"/>
              </w:rPr>
              <w:t xml:space="preserve"> = </w:t>
            </w:r>
            <w:proofErr w:type="spellStart"/>
            <w:r w:rsidRPr="00F25B40">
              <w:rPr>
                <w:rFonts w:ascii="Arial" w:hAnsi="Arial" w:cs="Arial"/>
                <w:sz w:val="20"/>
                <w:szCs w:val="20"/>
                <w:lang w:val="en-US"/>
              </w:rPr>
              <w:t>malonato</w:t>
            </w:r>
            <w:proofErr w:type="spellEnd"/>
            <w:r w:rsidRPr="00F25B40">
              <w:rPr>
                <w:rFonts w:ascii="Arial" w:hAnsi="Arial" w:cs="Arial"/>
                <w:sz w:val="20"/>
                <w:szCs w:val="20"/>
                <w:lang w:val="en-US"/>
              </w:rPr>
              <w:t xml:space="preserve"> and 1-Etim =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were prepared from maleic acid and malonic acid in the presence of 2-ethylimidazole as co-ligand. </w:t>
            </w:r>
            <w:r w:rsidRPr="0003295E">
              <w:rPr>
                <w:rFonts w:ascii="Arial" w:hAnsi="Arial" w:cs="Arial"/>
                <w:sz w:val="20"/>
                <w:szCs w:val="20"/>
                <w:lang w:val="en-US"/>
              </w:rPr>
              <w:t>The complex</w:t>
            </w:r>
            <w:r w:rsidRPr="00F25B40">
              <w:rPr>
                <w:rFonts w:ascii="Arial" w:hAnsi="Arial" w:cs="Arial"/>
                <w:sz w:val="20"/>
                <w:szCs w:val="20"/>
                <w:lang w:val="en-US"/>
              </w:rPr>
              <w:t xml:space="preserve">es were </w:t>
            </w:r>
            <w:r w:rsidRPr="0003295E">
              <w:rPr>
                <w:rFonts w:ascii="Arial" w:hAnsi="Arial" w:cs="Arial"/>
                <w:sz w:val="20"/>
                <w:szCs w:val="20"/>
                <w:lang w:val="en-US"/>
              </w:rPr>
              <w:t xml:space="preserve">characterized by elemental analysis, UV-visible and FTIR spectroscopies, </w:t>
            </w:r>
            <w:r w:rsidRPr="00F25B40">
              <w:rPr>
                <w:rFonts w:ascii="Arial" w:hAnsi="Arial" w:cs="Arial"/>
                <w:sz w:val="20"/>
                <w:szCs w:val="20"/>
                <w:lang w:val="en-US"/>
              </w:rPr>
              <w:t>thermogravimetry analysis (TGA), differential scanning calorimetry (DSC) analysis</w:t>
            </w:r>
            <w:r w:rsidRPr="0003295E">
              <w:rPr>
                <w:rFonts w:ascii="Arial" w:hAnsi="Arial" w:cs="Arial"/>
                <w:sz w:val="20"/>
                <w:szCs w:val="20"/>
                <w:lang w:val="en-US"/>
              </w:rPr>
              <w:t xml:space="preserve"> and X-ray diffraction. </w:t>
            </w:r>
            <w:r w:rsidRPr="00F25B40">
              <w:rPr>
                <w:rFonts w:ascii="Arial" w:hAnsi="Arial" w:cs="Arial"/>
                <w:sz w:val="20"/>
                <w:szCs w:val="20"/>
                <w:lang w:val="en-US"/>
              </w:rPr>
              <w:t xml:space="preserve">Complex </w:t>
            </w:r>
            <w:r w:rsidRPr="00F25B40">
              <w:rPr>
                <w:rFonts w:ascii="Arial" w:hAnsi="Arial" w:cs="Arial"/>
                <w:b/>
                <w:bCs/>
                <w:sz w:val="20"/>
                <w:szCs w:val="20"/>
                <w:lang w:val="en-US"/>
              </w:rPr>
              <w:t>1</w:t>
            </w:r>
            <w:r w:rsidRPr="00F25B40">
              <w:rPr>
                <w:rFonts w:ascii="Arial" w:hAnsi="Arial" w:cs="Arial"/>
                <w:sz w:val="20"/>
                <w:szCs w:val="20"/>
                <w:lang w:val="en-US"/>
              </w:rPr>
              <w:t xml:space="preserve"> crystallizes in the tetragonal system </w:t>
            </w:r>
            <w:r w:rsidRPr="00F25B40">
              <w:rPr>
                <w:rFonts w:ascii="Arial" w:hAnsi="Arial" w:cs="Arial"/>
                <w:sz w:val="20"/>
                <w:szCs w:val="20"/>
                <w:lang w:val="en-GB"/>
              </w:rPr>
              <w:t xml:space="preserve">space group </w:t>
            </w:r>
            <w:r w:rsidRPr="00F25B40">
              <w:rPr>
                <w:rFonts w:ascii="Arial" w:hAnsi="Arial" w:cs="Arial"/>
                <w:i/>
                <w:iCs/>
                <w:sz w:val="20"/>
                <w:szCs w:val="20"/>
                <w:lang w:val="en-US"/>
              </w:rPr>
              <w:t>I4</w:t>
            </w:r>
            <w:r w:rsidRPr="00F25B40">
              <w:rPr>
                <w:rFonts w:ascii="Arial" w:hAnsi="Arial" w:cs="Arial"/>
                <w:sz w:val="20"/>
                <w:szCs w:val="20"/>
                <w:vertAlign w:val="subscript"/>
                <w:lang w:val="en-US"/>
              </w:rPr>
              <w:t>1</w:t>
            </w:r>
            <w:r w:rsidRPr="00F25B40">
              <w:rPr>
                <w:rFonts w:ascii="Arial" w:hAnsi="Arial" w:cs="Arial"/>
                <w:i/>
                <w:iCs/>
                <w:sz w:val="20"/>
                <w:szCs w:val="20"/>
                <w:lang w:val="en-US"/>
              </w:rPr>
              <w:t>cd</w:t>
            </w:r>
            <w:r w:rsidRPr="00F25B40">
              <w:rPr>
                <w:rFonts w:ascii="Arial" w:hAnsi="Arial" w:cs="Arial"/>
                <w:sz w:val="20"/>
                <w:szCs w:val="20"/>
                <w:lang w:val="en-US"/>
              </w:rPr>
              <w:t xml:space="preserve"> </w:t>
            </w:r>
            <w:r w:rsidRPr="00F25B40">
              <w:rPr>
                <w:rFonts w:ascii="Arial" w:hAnsi="Arial" w:cs="Arial"/>
                <w:sz w:val="20"/>
                <w:szCs w:val="20"/>
                <w:lang w:val="en-GB"/>
              </w:rPr>
              <w:t xml:space="preserve">with </w:t>
            </w:r>
            <w:r w:rsidRPr="00F25B40">
              <w:rPr>
                <w:rFonts w:ascii="Arial" w:hAnsi="Arial" w:cs="Arial"/>
                <w:i/>
                <w:iCs/>
                <w:sz w:val="20"/>
                <w:szCs w:val="20"/>
                <w:lang w:val="en-US"/>
              </w:rPr>
              <w:t>a</w:t>
            </w:r>
            <w:r w:rsidRPr="00F25B40">
              <w:rPr>
                <w:rFonts w:ascii="Arial" w:hAnsi="Arial" w:cs="Arial"/>
                <w:sz w:val="20"/>
                <w:szCs w:val="20"/>
                <w:lang w:val="en-US"/>
              </w:rPr>
              <w:t xml:space="preserve"> = </w:t>
            </w:r>
            <w:r w:rsidRPr="00F25B40">
              <w:rPr>
                <w:rFonts w:ascii="Arial" w:eastAsia="Times New Roman" w:hAnsi="Arial" w:cs="Arial"/>
                <w:sz w:val="20"/>
                <w:szCs w:val="20"/>
                <w:lang w:val="en-US" w:eastAsia="fr-CA"/>
              </w:rPr>
              <w:t>16.0188 (14</w:t>
            </w:r>
            <w:r w:rsidRPr="00F25B40">
              <w:rPr>
                <w:rFonts w:ascii="Arial" w:hAnsi="Arial" w:cs="Arial"/>
                <w:sz w:val="20"/>
                <w:szCs w:val="20"/>
                <w:lang w:val="en-US"/>
              </w:rPr>
              <w:t>)</w:t>
            </w:r>
            <w:r w:rsidRPr="00F25B40">
              <w:rPr>
                <w:rFonts w:ascii="Arial" w:eastAsia="Batang" w:hAnsi="Arial" w:cs="Arial"/>
                <w:sz w:val="20"/>
                <w:szCs w:val="20"/>
                <w:lang w:val="en-US"/>
              </w:rPr>
              <w:t xml:space="preserve"> Å</w:t>
            </w:r>
            <w:r w:rsidRPr="00F25B40">
              <w:rPr>
                <w:rFonts w:ascii="Arial" w:hAnsi="Arial" w:cs="Arial"/>
                <w:sz w:val="20"/>
                <w:szCs w:val="20"/>
                <w:lang w:val="en-US"/>
              </w:rPr>
              <w:t xml:space="preserve">, </w:t>
            </w:r>
            <w:r w:rsidRPr="00F25B40">
              <w:rPr>
                <w:rFonts w:ascii="Arial" w:hAnsi="Arial" w:cs="Arial"/>
                <w:i/>
                <w:iCs/>
                <w:sz w:val="20"/>
                <w:szCs w:val="20"/>
                <w:lang w:val="en-US"/>
              </w:rPr>
              <w:t>c</w:t>
            </w:r>
            <w:r w:rsidRPr="00F25B40">
              <w:rPr>
                <w:rFonts w:ascii="Arial" w:hAnsi="Arial" w:cs="Arial"/>
                <w:sz w:val="20"/>
                <w:szCs w:val="20"/>
                <w:lang w:val="en-US"/>
              </w:rPr>
              <w:t xml:space="preserve"> = </w:t>
            </w:r>
            <w:r w:rsidRPr="00F25B40">
              <w:rPr>
                <w:rFonts w:ascii="Arial" w:eastAsia="Times New Roman" w:hAnsi="Arial" w:cs="Arial"/>
                <w:sz w:val="20"/>
                <w:szCs w:val="20"/>
                <w:lang w:val="en-US" w:eastAsia="fr-CA"/>
              </w:rPr>
              <w:t>26.1287 (4)</w:t>
            </w:r>
            <w:r w:rsidRPr="00F25B40">
              <w:rPr>
                <w:rFonts w:ascii="Arial" w:hAnsi="Arial" w:cs="Arial"/>
                <w:sz w:val="20"/>
                <w:szCs w:val="20"/>
                <w:lang w:val="en-US"/>
              </w:rPr>
              <w:t xml:space="preserve"> </w:t>
            </w:r>
            <w:r w:rsidRPr="00F25B40">
              <w:rPr>
                <w:rFonts w:ascii="Arial" w:eastAsia="Batang" w:hAnsi="Arial" w:cs="Arial"/>
                <w:sz w:val="20"/>
                <w:szCs w:val="20"/>
                <w:lang w:val="en-US"/>
              </w:rPr>
              <w:t xml:space="preserve">Å, </w:t>
            </w:r>
            <w:r w:rsidRPr="00F25B40">
              <w:rPr>
                <w:rFonts w:ascii="Arial" w:eastAsia="Times New Roman" w:hAnsi="Arial" w:cs="Arial"/>
                <w:i/>
                <w:sz w:val="20"/>
                <w:szCs w:val="20"/>
                <w:lang w:val="en-GB"/>
              </w:rPr>
              <w:t xml:space="preserve">V </w:t>
            </w:r>
            <w:r w:rsidRPr="00F25B40">
              <w:rPr>
                <w:rFonts w:ascii="Arial" w:eastAsia="Times New Roman" w:hAnsi="Arial" w:cs="Arial"/>
                <w:sz w:val="20"/>
                <w:szCs w:val="20"/>
                <w:lang w:val="en-GB"/>
              </w:rPr>
              <w:t>= 6704.67(13)</w:t>
            </w:r>
            <w:r w:rsidRPr="00F25B40">
              <w:rPr>
                <w:rFonts w:ascii="Arial" w:hAnsi="Arial" w:cs="Arial"/>
                <w:sz w:val="20"/>
                <w:szCs w:val="20"/>
                <w:lang w:val="en-US"/>
              </w:rPr>
              <w:t>Å</w:t>
            </w:r>
            <w:r w:rsidRPr="00F25B40">
              <w:rPr>
                <w:rFonts w:ascii="Arial" w:hAnsi="Arial" w:cs="Arial"/>
                <w:sz w:val="20"/>
                <w:szCs w:val="20"/>
                <w:vertAlign w:val="superscript"/>
                <w:lang w:val="en-US"/>
              </w:rPr>
              <w:t>3</w:t>
            </w:r>
            <w:r w:rsidRPr="00F25B40">
              <w:rPr>
                <w:rFonts w:ascii="Arial" w:hAnsi="Arial" w:cs="Arial"/>
                <w:sz w:val="20"/>
                <w:szCs w:val="20"/>
                <w:lang w:val="en-US"/>
              </w:rPr>
              <w:t xml:space="preserve"> and Z= 16 whereas  </w:t>
            </w:r>
            <w:r w:rsidRPr="00F25B40">
              <w:rPr>
                <w:rFonts w:ascii="Arial" w:hAnsi="Arial" w:cs="Arial"/>
                <w:b/>
                <w:bCs/>
                <w:sz w:val="20"/>
                <w:szCs w:val="20"/>
                <w:lang w:val="en-US"/>
              </w:rPr>
              <w:t xml:space="preserve">2 </w:t>
            </w:r>
            <w:r w:rsidRPr="00F25B40">
              <w:rPr>
                <w:rFonts w:ascii="Arial" w:hAnsi="Arial" w:cs="Arial"/>
                <w:sz w:val="20"/>
                <w:szCs w:val="20"/>
                <w:lang w:val="en-US"/>
              </w:rPr>
              <w:t xml:space="preserve">crystallizes in the monoclinic system </w:t>
            </w:r>
            <w:r w:rsidRPr="00F25B40">
              <w:rPr>
                <w:rFonts w:ascii="Arial" w:hAnsi="Arial" w:cs="Arial"/>
                <w:sz w:val="20"/>
                <w:szCs w:val="20"/>
                <w:lang w:val="en-GB"/>
              </w:rPr>
              <w:t xml:space="preserve">space group </w:t>
            </w:r>
            <w:r w:rsidRPr="00F25B40">
              <w:rPr>
                <w:rFonts w:ascii="Arial" w:hAnsi="Arial" w:cs="Arial"/>
                <w:i/>
                <w:iCs/>
                <w:sz w:val="20"/>
                <w:szCs w:val="20"/>
                <w:lang w:val="en-US"/>
              </w:rPr>
              <w:t>P2</w:t>
            </w:r>
            <w:r w:rsidRPr="00F25B40">
              <w:rPr>
                <w:rFonts w:ascii="Arial" w:hAnsi="Arial" w:cs="Arial"/>
                <w:i/>
                <w:iCs/>
                <w:sz w:val="20"/>
                <w:szCs w:val="20"/>
                <w:vertAlign w:val="subscript"/>
                <w:lang w:val="en-US"/>
              </w:rPr>
              <w:t>1</w:t>
            </w:r>
            <w:r w:rsidRPr="00F25B40">
              <w:rPr>
                <w:rFonts w:ascii="Arial" w:hAnsi="Arial" w:cs="Arial"/>
                <w:i/>
                <w:iCs/>
                <w:sz w:val="20"/>
                <w:szCs w:val="20"/>
                <w:lang w:val="en-US"/>
              </w:rPr>
              <w:t>/n</w:t>
            </w:r>
            <w:r w:rsidRPr="00F25B40">
              <w:rPr>
                <w:rFonts w:ascii="Arial" w:hAnsi="Arial" w:cs="Arial"/>
                <w:sz w:val="20"/>
                <w:szCs w:val="20"/>
                <w:lang w:val="en-US"/>
              </w:rPr>
              <w:t xml:space="preserve"> </w:t>
            </w:r>
            <w:r w:rsidRPr="00F25B40">
              <w:rPr>
                <w:rFonts w:ascii="Arial" w:hAnsi="Arial" w:cs="Arial"/>
                <w:sz w:val="20"/>
                <w:szCs w:val="20"/>
                <w:lang w:val="en-GB"/>
              </w:rPr>
              <w:t xml:space="preserve">with </w:t>
            </w:r>
            <w:r w:rsidRPr="00F25B40">
              <w:rPr>
                <w:rFonts w:ascii="Arial" w:hAnsi="Arial" w:cs="Arial"/>
                <w:sz w:val="20"/>
                <w:szCs w:val="20"/>
                <w:lang w:val="en-US"/>
              </w:rPr>
              <w:t xml:space="preserve">a = 7.2539(2) </w:t>
            </w:r>
            <w:r w:rsidRPr="00F25B40">
              <w:rPr>
                <w:rFonts w:ascii="Arial" w:eastAsia="Batang" w:hAnsi="Arial" w:cs="Arial"/>
                <w:sz w:val="20"/>
                <w:szCs w:val="20"/>
                <w:lang w:val="en-US"/>
              </w:rPr>
              <w:t>Å</w:t>
            </w:r>
            <w:r w:rsidRPr="00F25B40">
              <w:rPr>
                <w:rFonts w:ascii="Arial" w:hAnsi="Arial" w:cs="Arial"/>
                <w:sz w:val="20"/>
                <w:szCs w:val="20"/>
                <w:lang w:val="en-US"/>
              </w:rPr>
              <w:t>, b = 25.1372(7)</w:t>
            </w:r>
            <w:r w:rsidRPr="00F25B40">
              <w:rPr>
                <w:rFonts w:ascii="Arial" w:eastAsia="Batang" w:hAnsi="Arial" w:cs="Arial"/>
                <w:sz w:val="20"/>
                <w:szCs w:val="20"/>
                <w:lang w:val="en-US"/>
              </w:rPr>
              <w:t xml:space="preserve"> Å,</w:t>
            </w:r>
            <w:r w:rsidRPr="00F25B40">
              <w:rPr>
                <w:rFonts w:ascii="Arial" w:hAnsi="Arial" w:cs="Arial"/>
                <w:sz w:val="20"/>
                <w:szCs w:val="20"/>
                <w:lang w:val="en-US"/>
              </w:rPr>
              <w:t xml:space="preserve"> c = 9.0422(3) </w:t>
            </w:r>
            <w:r w:rsidRPr="00F25B40">
              <w:rPr>
                <w:rFonts w:ascii="Arial" w:eastAsia="Batang" w:hAnsi="Arial" w:cs="Arial"/>
                <w:sz w:val="20"/>
                <w:szCs w:val="20"/>
                <w:lang w:val="en-US"/>
              </w:rPr>
              <w:t xml:space="preserve">Å, </w:t>
            </w:r>
            <w:r w:rsidRPr="00F25B40">
              <w:rPr>
                <w:rFonts w:ascii="Arial" w:hAnsi="Arial" w:cs="Arial"/>
                <w:i/>
                <w:iCs/>
                <w:sz w:val="20"/>
                <w:szCs w:val="20"/>
                <w:lang w:val="en-US"/>
              </w:rPr>
              <w:sym w:font="Symbol" w:char="F062"/>
            </w:r>
            <w:r w:rsidRPr="00F25B40">
              <w:rPr>
                <w:rFonts w:ascii="Arial" w:hAnsi="Arial" w:cs="Arial"/>
                <w:sz w:val="20"/>
                <w:szCs w:val="20"/>
                <w:lang w:val="en-US"/>
              </w:rPr>
              <w:t xml:space="preserve"> = 111.8405(8)</w:t>
            </w:r>
            <w:r w:rsidRPr="00F25B40">
              <w:rPr>
                <w:rFonts w:ascii="Arial" w:eastAsia="Batang" w:hAnsi="Arial" w:cs="Arial"/>
                <w:sz w:val="20"/>
                <w:szCs w:val="20"/>
                <w:lang w:val="en-US"/>
              </w:rPr>
              <w:t xml:space="preserve">°, </w:t>
            </w:r>
            <w:r w:rsidRPr="00F25B40">
              <w:rPr>
                <w:rFonts w:ascii="Arial" w:eastAsia="Times New Roman" w:hAnsi="Arial" w:cs="Arial"/>
                <w:i/>
                <w:sz w:val="20"/>
                <w:szCs w:val="20"/>
                <w:lang w:val="en-GB"/>
              </w:rPr>
              <w:t xml:space="preserve">V </w:t>
            </w:r>
            <w:r w:rsidRPr="00F25B40">
              <w:rPr>
                <w:rFonts w:ascii="Arial" w:eastAsia="Times New Roman" w:hAnsi="Arial" w:cs="Arial"/>
                <w:sz w:val="20"/>
                <w:szCs w:val="20"/>
                <w:lang w:val="en-GB"/>
              </w:rPr>
              <w:t xml:space="preserve">= </w:t>
            </w:r>
            <w:r w:rsidRPr="00F25B40">
              <w:rPr>
                <w:rFonts w:ascii="Arial" w:hAnsi="Arial" w:cs="Arial"/>
                <w:sz w:val="20"/>
                <w:szCs w:val="20"/>
                <w:lang w:val="en-US"/>
              </w:rPr>
              <w:t>1530.43</w:t>
            </w:r>
            <w:r w:rsidRPr="00F25B40">
              <w:rPr>
                <w:rFonts w:ascii="Arial" w:eastAsia="Batang" w:hAnsi="Arial" w:cs="Arial"/>
                <w:sz w:val="20"/>
                <w:szCs w:val="20"/>
                <w:lang w:val="en-GB"/>
              </w:rPr>
              <w:t xml:space="preserve"> (8) </w:t>
            </w:r>
            <w:r w:rsidRPr="00F25B40">
              <w:rPr>
                <w:rFonts w:ascii="Arial" w:hAnsi="Arial" w:cs="Arial"/>
                <w:sz w:val="20"/>
                <w:szCs w:val="20"/>
                <w:lang w:val="en-US"/>
              </w:rPr>
              <w:t>Å</w:t>
            </w:r>
            <w:r w:rsidRPr="00F25B40">
              <w:rPr>
                <w:rFonts w:ascii="Arial" w:hAnsi="Arial" w:cs="Arial"/>
                <w:sz w:val="20"/>
                <w:szCs w:val="20"/>
                <w:vertAlign w:val="superscript"/>
                <w:lang w:val="en-US"/>
              </w:rPr>
              <w:t>3</w:t>
            </w:r>
            <w:r w:rsidRPr="00F25B40">
              <w:rPr>
                <w:rFonts w:ascii="Arial" w:hAnsi="Arial" w:cs="Arial"/>
                <w:sz w:val="20"/>
                <w:szCs w:val="20"/>
                <w:lang w:val="en-US"/>
              </w:rPr>
              <w:t xml:space="preserve"> and Z= 4. In complex </w:t>
            </w:r>
            <w:r w:rsidRPr="00F25B40">
              <w:rPr>
                <w:rFonts w:ascii="Arial" w:hAnsi="Arial" w:cs="Arial"/>
                <w:b/>
                <w:bCs/>
                <w:sz w:val="20"/>
                <w:szCs w:val="20"/>
                <w:lang w:val="en-US"/>
              </w:rPr>
              <w:t>1</w:t>
            </w:r>
            <w:r w:rsidRPr="00F25B40">
              <w:rPr>
                <w:rFonts w:ascii="Arial" w:hAnsi="Arial" w:cs="Arial"/>
                <w:sz w:val="20"/>
                <w:szCs w:val="20"/>
                <w:lang w:val="en-US"/>
              </w:rPr>
              <w:t>, the copper (II) is situated in a N</w:t>
            </w:r>
            <w:r w:rsidRPr="00F25B40">
              <w:rPr>
                <w:rFonts w:ascii="Arial" w:hAnsi="Arial" w:cs="Arial"/>
                <w:sz w:val="20"/>
                <w:szCs w:val="20"/>
                <w:vertAlign w:val="subscript"/>
                <w:lang w:val="en-US"/>
              </w:rPr>
              <w:t>2</w:t>
            </w:r>
            <w:r w:rsidRPr="00F25B40">
              <w:rPr>
                <w:rFonts w:ascii="Arial" w:hAnsi="Arial" w:cs="Arial"/>
                <w:sz w:val="20"/>
                <w:szCs w:val="20"/>
                <w:lang w:val="en-US"/>
              </w:rPr>
              <w:t>O</w:t>
            </w:r>
            <w:r w:rsidRPr="00F25B40">
              <w:rPr>
                <w:rFonts w:ascii="Arial" w:hAnsi="Arial" w:cs="Arial"/>
                <w:sz w:val="20"/>
                <w:szCs w:val="20"/>
                <w:vertAlign w:val="subscript"/>
                <w:lang w:val="en-US"/>
              </w:rPr>
              <w:t>3</w:t>
            </w:r>
            <w:r w:rsidRPr="00F25B40">
              <w:rPr>
                <w:rFonts w:ascii="Arial" w:hAnsi="Arial" w:cs="Arial"/>
                <w:sz w:val="20"/>
                <w:szCs w:val="20"/>
                <w:lang w:val="en-US"/>
              </w:rPr>
              <w:t xml:space="preserve"> site, and its coordination sphere is best described as strongly distorted square pyramidal. The Cu(II) ion is linked to two nitrogen atom from two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molecules and one oxygen atom from a maleate dianion. The coordination sphere is completed by two oxygen atoms from a maleate group of a neighboring complex molecule. In complex </w:t>
            </w:r>
            <w:r w:rsidRPr="00F25B40">
              <w:rPr>
                <w:rFonts w:ascii="Arial" w:hAnsi="Arial" w:cs="Arial"/>
                <w:b/>
                <w:bCs/>
                <w:sz w:val="20"/>
                <w:szCs w:val="20"/>
                <w:lang w:val="en-US"/>
              </w:rPr>
              <w:t>2</w:t>
            </w:r>
            <w:r w:rsidRPr="00F25B40">
              <w:rPr>
                <w:rFonts w:ascii="Arial" w:hAnsi="Arial" w:cs="Arial"/>
                <w:sz w:val="20"/>
                <w:szCs w:val="20"/>
                <w:lang w:val="en-US"/>
              </w:rPr>
              <w:t>, the Zn(II) center is coordinated by two nitrogen atom from two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molecules and one oxygen atom from malonate dianion. The fourth position is occupied by an oxygen atom of a maleate unit of a neighboring complex molecule. The environment around Zn(II) is  described as distorted tetrahedral geometry. </w:t>
            </w:r>
            <w:r w:rsidR="004B1546" w:rsidRPr="002D4F62">
              <w:rPr>
                <w:rFonts w:ascii="Arial" w:hAnsi="Arial" w:cs="Arial"/>
                <w:sz w:val="20"/>
                <w:szCs w:val="20"/>
                <w:highlight w:val="green"/>
                <w:lang w:val="en-US"/>
              </w:rPr>
              <w:t>For both complexes</w:t>
            </w:r>
            <w:r w:rsidR="00D52C77" w:rsidRPr="002D4F62">
              <w:rPr>
                <w:rFonts w:ascii="Arial" w:hAnsi="Arial" w:cs="Arial"/>
                <w:sz w:val="20"/>
                <w:szCs w:val="20"/>
                <w:highlight w:val="green"/>
                <w:lang w:val="en-US"/>
              </w:rPr>
              <w:t xml:space="preserve">, adjacent polymers chains </w:t>
            </w:r>
            <w:r w:rsidR="004B1546" w:rsidRPr="002D4F62">
              <w:rPr>
                <w:rFonts w:ascii="Arial" w:hAnsi="Arial" w:cs="Arial"/>
                <w:sz w:val="20"/>
                <w:szCs w:val="20"/>
                <w:highlight w:val="green"/>
                <w:lang w:val="en-US"/>
              </w:rPr>
              <w:t>are linked together by numerous intermolecular hydrogen bonds C</w:t>
            </w:r>
            <w:r w:rsidR="004B1546" w:rsidRPr="002D4F62">
              <w:rPr>
                <w:rFonts w:ascii="Arial" w:eastAsia="Times New Roman" w:hAnsi="Arial" w:cs="Arial"/>
                <w:sz w:val="20"/>
                <w:szCs w:val="20"/>
                <w:highlight w:val="green"/>
                <w:lang w:val="en-US" w:eastAsia="fr-CA"/>
              </w:rPr>
              <w:t>—</w:t>
            </w:r>
            <w:r w:rsidR="004B1546" w:rsidRPr="002D4F62">
              <w:rPr>
                <w:rFonts w:ascii="Arial" w:hAnsi="Arial" w:cs="Arial"/>
                <w:sz w:val="20"/>
                <w:szCs w:val="20"/>
                <w:highlight w:val="green"/>
                <w:lang w:val="en-US"/>
              </w:rPr>
              <w:t>H···O, leading to a 3D network structure.</w:t>
            </w:r>
            <w:r w:rsidR="002D4F62">
              <w:rPr>
                <w:rFonts w:ascii="Arial" w:hAnsi="Arial" w:cs="Arial"/>
                <w:sz w:val="20"/>
                <w:szCs w:val="20"/>
                <w:lang w:val="en-US"/>
              </w:rPr>
              <w:t xml:space="preserve"> </w:t>
            </w:r>
            <w:r w:rsidRPr="00F25B40">
              <w:rPr>
                <w:rFonts w:ascii="Arial" w:hAnsi="Arial" w:cs="Arial"/>
                <w:sz w:val="20"/>
                <w:szCs w:val="20"/>
                <w:lang w:val="en-US"/>
              </w:rPr>
              <w:t xml:space="preserve">Thermogravimetric analysis of the complexes were carried out at 25–700 °C and showed that the complex </w:t>
            </w:r>
            <w:r w:rsidRPr="00F25B40">
              <w:rPr>
                <w:rFonts w:ascii="Arial" w:hAnsi="Arial" w:cs="Arial"/>
                <w:b/>
                <w:bCs/>
                <w:sz w:val="20"/>
                <w:szCs w:val="20"/>
                <w:lang w:val="en-US"/>
              </w:rPr>
              <w:t>1</w:t>
            </w:r>
            <w:r w:rsidRPr="00F25B40">
              <w:rPr>
                <w:rFonts w:ascii="Arial" w:hAnsi="Arial" w:cs="Arial"/>
                <w:sz w:val="20"/>
                <w:szCs w:val="20"/>
                <w:lang w:val="en-US"/>
              </w:rPr>
              <w:t xml:space="preserve"> decomposes in the temperature range 138-438 °C while complex </w:t>
            </w:r>
            <w:r w:rsidRPr="00F25B40">
              <w:rPr>
                <w:rFonts w:ascii="Arial" w:hAnsi="Arial" w:cs="Arial"/>
                <w:b/>
                <w:bCs/>
                <w:sz w:val="20"/>
                <w:szCs w:val="20"/>
                <w:lang w:val="en-US"/>
              </w:rPr>
              <w:t>2</w:t>
            </w:r>
            <w:r w:rsidRPr="00F25B40">
              <w:rPr>
                <w:rFonts w:ascii="Arial" w:hAnsi="Arial" w:cs="Arial"/>
                <w:sz w:val="20"/>
                <w:szCs w:val="20"/>
                <w:lang w:val="en-US"/>
              </w:rPr>
              <w:t xml:space="preserve"> decomposes between 118 and 415 °C.</w:t>
            </w:r>
          </w:p>
        </w:tc>
      </w:tr>
    </w:tbl>
    <w:p w14:paraId="73037D35" w14:textId="77777777" w:rsidR="00DC69AE" w:rsidRDefault="00DC69AE" w:rsidP="00A57067">
      <w:pPr>
        <w:spacing w:line="240" w:lineRule="auto"/>
        <w:jc w:val="both"/>
        <w:rPr>
          <w:rFonts w:ascii="Arial" w:hAnsi="Arial" w:cs="Arial"/>
          <w:b/>
          <w:bCs/>
          <w:sz w:val="20"/>
          <w:szCs w:val="20"/>
          <w:lang w:val="en-US"/>
        </w:rPr>
      </w:pPr>
    </w:p>
    <w:p w14:paraId="60F8D12C" w14:textId="70436DEC" w:rsidR="009679DE" w:rsidRPr="009679DE" w:rsidRDefault="009679DE" w:rsidP="00A57067">
      <w:pPr>
        <w:spacing w:line="240" w:lineRule="auto"/>
        <w:jc w:val="both"/>
        <w:rPr>
          <w:rFonts w:ascii="Arial" w:hAnsi="Arial" w:cs="Arial"/>
          <w:i/>
          <w:iCs/>
          <w:sz w:val="20"/>
          <w:szCs w:val="20"/>
          <w:lang w:val="en-US"/>
        </w:rPr>
      </w:pPr>
      <w:r w:rsidRPr="009679DE">
        <w:rPr>
          <w:rFonts w:ascii="Arial" w:hAnsi="Arial" w:cs="Arial"/>
          <w:i/>
          <w:iCs/>
          <w:sz w:val="20"/>
          <w:szCs w:val="20"/>
          <w:lang w:val="en-US"/>
        </w:rPr>
        <w:t xml:space="preserve">Keywords: </w:t>
      </w:r>
      <w:r>
        <w:rPr>
          <w:rFonts w:ascii="Arial" w:hAnsi="Arial" w:cs="Arial"/>
          <w:i/>
          <w:iCs/>
          <w:sz w:val="20"/>
          <w:szCs w:val="20"/>
          <w:lang w:val="en-US"/>
        </w:rPr>
        <w:t xml:space="preserve">maleic acid, malonic acid, </w:t>
      </w:r>
      <w:r w:rsidR="007A5048">
        <w:rPr>
          <w:rFonts w:ascii="Arial" w:hAnsi="Arial" w:cs="Arial"/>
          <w:i/>
          <w:iCs/>
          <w:sz w:val="20"/>
          <w:szCs w:val="20"/>
          <w:lang w:val="en-US"/>
        </w:rPr>
        <w:t xml:space="preserve">imidazole, coordination </w:t>
      </w:r>
      <w:r>
        <w:rPr>
          <w:rFonts w:ascii="Arial" w:hAnsi="Arial" w:cs="Arial"/>
          <w:i/>
          <w:iCs/>
          <w:sz w:val="20"/>
          <w:szCs w:val="20"/>
          <w:lang w:val="en-US"/>
        </w:rPr>
        <w:t xml:space="preserve">polymer, </w:t>
      </w:r>
      <w:r w:rsidR="007A5048">
        <w:rPr>
          <w:rFonts w:ascii="Arial" w:hAnsi="Arial" w:cs="Arial"/>
          <w:i/>
          <w:iCs/>
          <w:sz w:val="20"/>
          <w:szCs w:val="20"/>
          <w:lang w:val="en-US"/>
        </w:rPr>
        <w:t>copper (II), zinc (II), X-ray</w:t>
      </w:r>
      <w:r w:rsidR="00095584">
        <w:rPr>
          <w:rFonts w:ascii="Arial" w:hAnsi="Arial" w:cs="Arial"/>
          <w:i/>
          <w:iCs/>
          <w:sz w:val="20"/>
          <w:szCs w:val="20"/>
          <w:lang w:val="en-US"/>
        </w:rPr>
        <w:t>.</w:t>
      </w:r>
    </w:p>
    <w:p w14:paraId="637F59B8" w14:textId="46E24F28" w:rsidR="00412A13" w:rsidRPr="00F25B40" w:rsidRDefault="00412A13" w:rsidP="00343124">
      <w:pPr>
        <w:pStyle w:val="Heading1"/>
      </w:pPr>
      <w:r w:rsidRPr="00F25B40">
        <w:t>Introduction</w:t>
      </w:r>
    </w:p>
    <w:p w14:paraId="0889CD36" w14:textId="56FC5974" w:rsidR="00D92736" w:rsidRPr="00F25B40" w:rsidRDefault="009718BF" w:rsidP="00BD0C08">
      <w:pPr>
        <w:jc w:val="both"/>
        <w:rPr>
          <w:rFonts w:ascii="Arial" w:hAnsi="Arial" w:cs="Arial"/>
          <w:sz w:val="20"/>
          <w:szCs w:val="20"/>
          <w:lang w:val="en-US"/>
        </w:rPr>
      </w:pPr>
      <w:r w:rsidRPr="00F25B40">
        <w:rPr>
          <w:rFonts w:ascii="Arial" w:hAnsi="Arial" w:cs="Arial"/>
          <w:sz w:val="20"/>
          <w:szCs w:val="20"/>
          <w:lang w:val="en-US"/>
        </w:rPr>
        <w:t>Imidazole-derived ligands in the presence of co-ligands give coordination compounds with interesting structures and properties. The combination of these ligands has made it possible to design compounds with supramolecular structures</w:t>
      </w:r>
      <w:r w:rsidR="00456BA1" w:rsidRPr="00F25B40">
        <w:rPr>
          <w:rFonts w:ascii="Arial" w:hAnsi="Arial" w:cs="Arial"/>
          <w:sz w:val="20"/>
          <w:szCs w:val="20"/>
          <w:lang w:val="en-US"/>
        </w:rPr>
        <w:t xml:space="preserve"> </w:t>
      </w:r>
      <w:r w:rsidR="00CD5F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{"citationID":"0GsT3QBg","properties":{"formattedCitation":"(Batool et al., 2018; Chen et al., 2010)","plainCitation":"(Batool et al., 2018; Chen et al., 2010)","noteIndex":0},"citationItems":[{"id":3651,"uris":["http://zotero.org/users/local/JzcqJHT8/items/6UYW2LJT"],"itemData":{"id":3651,"type":"article-journal","container-title":"Journal of Coordination Chemistry","DOI":"10.1080/00958972.2018.1460471","issue":"9","note":"publisher: Taylor &amp; Francis\n_eprint: https://doi.org/10.1080/00958972.2018.1460471","page":"1380–1391","title":"Syntheses and crystal structures of mixed-ligand copper(II)–imidazole–carboxylate complexes","volume":"71","author":[{"family":"Batool","given":"Syeda Shahzadi"},{"family":"Harrison","given":"William T. A."},{"family":"Syed","given":"Quratulain"},{"family":"Haider","given":"Muhammad Salman"}],"issued":{"date-parts":[["2018"]]}},"label":"page"},{"id":3650,"uris":["http://zotero.org/users/local/JzcqJHT8/items/DYEZ2IDP"],"itemData":{"id":3650,"type":"article-journal","abstract":"Six new metal–organic coordination polymers [Ni(L)(adip)(H2O)] (1), [Co(L)(adip)]·H2O (2), [Cd2(L)(adip)2] (3), [Ni(L)(oxba)]·H2O (4), [Co(L)(obea)]·H2O (5) and [Mn3(L)2(bta)2]·2H2O (6) were synthesized by reactions of the corresponding metal salt with the rigid ligand 1,4-di(1H-imidazol-4-yl)benzene (L) and different multi-carboxylic acids of adipic acid (H2adip), 4,4′-oxybis(benzoic acid) (H2oxba), 1,2-phenylenediacetic acid (H2obea), benzene-1,3,5-triacetic acid (H3bta), respectively. The structures of the complexes were determined by single crystal X-ray diffraction analysis. Complexes 1–4 have entangled structures with different topologies: 1 is a 2-fold interpenetrating two-dimensional (2D) network with (4,4) topology containing rare meso-helical chains; 3 is a three-dimensional (3D) uninodal 8-connected self-penetrating net; 2 and 4 are a 3-fold interpenetrating dmp 3D net. Complex 5 is a 2D network with (4,4) topology, while 6 is a typical (3,8)-connected tfz-d 3D net based on the trinuclear Mn(ii) subunits. Complex 3 exhibits intense light blue emission in the solid state at room temperature and the results of magnetic measurements show that there are antiferromagnetic interactions in 6.","container-title":"CrystEngComm","DOI":"10.1039/C000373E","issue":"10","note":"publisher: The Royal Society of Chemistry","page":"3091-3104","title":"Synthesis and characterization of metal complexes with a mixed 4-imidazole-containing ligand and a variety of multi-carboxylic acids","volume":"12","author":[{"family":"Chen","given":"Shui-Sheng"},{"family":"Bai","given":"Zheng-Shuai"},{"family":"Fan","given":"Jian"},{"family":"Lv","given":"Gao-Chao"},{"family":"Su","given":"Zhi"},{"family":"Chen","given":"Man-Sheng"},{"family":"Sun","given":"Wei-Yin"}],"issued":{"date-parts":[["2010"]]}},"label":"page"}],"schema":"https://github.com/citation-style-language/schema/raw/master/csl-citation.json"} </w:instrText>
      </w:r>
      <w:r w:rsidR="00CD5FED" w:rsidRPr="00F25B40">
        <w:rPr>
          <w:rFonts w:ascii="Arial" w:hAnsi="Arial" w:cs="Arial"/>
          <w:sz w:val="20"/>
          <w:szCs w:val="20"/>
          <w:lang w:val="en-US"/>
        </w:rPr>
        <w:fldChar w:fldCharType="separate"/>
      </w:r>
      <w:r w:rsidR="002E71C7" w:rsidRPr="00F25B40">
        <w:rPr>
          <w:rFonts w:ascii="Arial" w:hAnsi="Arial" w:cs="Arial"/>
          <w:sz w:val="20"/>
          <w:lang w:val="en-US"/>
        </w:rPr>
        <w:t>(Batool et al., 2018; Chen et al., 2010)</w:t>
      </w:r>
      <w:r w:rsidR="00CD5FED" w:rsidRPr="00F25B40">
        <w:rPr>
          <w:rFonts w:ascii="Arial" w:hAnsi="Arial" w:cs="Arial"/>
          <w:sz w:val="20"/>
          <w:szCs w:val="20"/>
          <w:lang w:val="en-US"/>
        </w:rPr>
        <w:fldChar w:fldCharType="end"/>
      </w:r>
      <w:r w:rsidRPr="00F25B40">
        <w:rPr>
          <w:rFonts w:ascii="Arial" w:hAnsi="Arial" w:cs="Arial"/>
          <w:sz w:val="20"/>
          <w:szCs w:val="20"/>
          <w:lang w:val="en-US"/>
        </w:rPr>
        <w:t xml:space="preserve">. </w:t>
      </w:r>
      <w:r w:rsidR="003171C8">
        <w:rPr>
          <w:rFonts w:ascii="Arial" w:hAnsi="Arial" w:cs="Arial"/>
          <w:sz w:val="20"/>
          <w:szCs w:val="20"/>
          <w:lang w:val="en-US"/>
        </w:rPr>
        <w:t>“</w:t>
      </w:r>
      <w:r w:rsidRPr="00F25B40">
        <w:rPr>
          <w:rFonts w:ascii="Arial" w:hAnsi="Arial" w:cs="Arial"/>
          <w:sz w:val="20"/>
          <w:szCs w:val="20"/>
          <w:lang w:val="en-US"/>
        </w:rPr>
        <w:t>Coordination chemistry based on imidazole ligand or imidazole derivatives has played an important role in the design and construction of various molecules with antibacterial</w:t>
      </w:r>
      <w:r w:rsidR="003171C8">
        <w:rPr>
          <w:rFonts w:ascii="Arial" w:hAnsi="Arial" w:cs="Arial"/>
          <w:sz w:val="20"/>
          <w:szCs w:val="20"/>
          <w:lang w:val="en-US"/>
        </w:rPr>
        <w:t>”</w:t>
      </w:r>
      <w:r w:rsidR="00302342" w:rsidRPr="00F25B40">
        <w:rPr>
          <w:rFonts w:ascii="Arial" w:hAnsi="Arial" w:cs="Arial"/>
          <w:sz w:val="20"/>
          <w:szCs w:val="20"/>
          <w:lang w:val="en-US"/>
        </w:rPr>
        <w:t xml:space="preserve"> </w:t>
      </w:r>
      <w:r w:rsidR="00302342"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{"citationID":"heX6gRcE","properties":{"formattedCitation":"(Atria et al., 2011; Fudulu et al., 2021)","plainCitation":"(Atria et al., 2011; Fudulu et al., 2021)","noteIndex":0},"citationItems":[{"id":3653,"uris":["http://zotero.org/users/local/JzcqJHT8/items/CB2BEFNE"],"itemData":{"id":3653,"type":"article-journal","container-title":"Journal of the Chilean Chemical Society","DOI":"10.4067/S0717-97072011000300015","ISSN":"0717-9707","issue":"3","note":"publisher: Sociedad Chilena de Química","page":"786-792","source":"www.scielo.cl","title":"X-RAY STUDIES AND ANTIBACTERIAL ACTIVITY IN COPPER AND COBALT COMPLEXES WITH IMIDAZOLE DERIVATIVE LIGANDS","volume":"56","author":[{"family":"Atria","given":"Ana María"},{"family":"Cortés-Cortés","given":"Piedad"},{"family":"Garland","given":"María Teresa"},{"family":"Baggio","given":"Ricardo"},{"family":"Morales","given":"Karina"},{"family":"Soto","given":"Mauricio"},{"family":"Corsini","given":"Gino"}],"issued":{"date-parts":[["2011"]]}},"label":"page"},{"id":3652,"uris":["http://zotero.org/users/local/JzcqJHT8/items/Z367IBRR"],"itemData":{"id":3652,"type":"article-journal","abstract":"Three novel Co(II) complexes of the type [Co(C4H5O2)2L2] (where C4H5O2 is methacrylate anion; L = C3H4N2 (imidazole; HIm) (1), C4H6N2 (2-methylimidazole; 2-MeIm) (2), C5H8N2 (2-ethylimidazole; 2-EtIm) (3)) have been synthesized and characterized by elemental analysis, IR and UV-Vis spectroscopic techniques, thermal analysis and single crystal X-ray diffraction. X-ray crystallography revealed for complexes (1) and (2) distorted trigonal bipyramid stereochemistry for Co(II), meanwhile for complex (3) evidenced that the unit cell comprises three molecular units with interesting structural features. In each unit, both stereochemistry adopted by metallic ion and coordination modes of carboxylate anions are different. The screening of antimicrobial activity revealed that Candida albicans planktonic cells were the most susceptible, with minimal inhibitory concentration (MIC) values of 7.8 μg/mL for complexes (1) and (2) and 15.6 μg/mL for complex (3). Complexes (1) and (2) proved to be more active than complex (3) against the tested bacterial strains, both in planktonic and biofilm growth state, with MIC and minimal biofilm eradication concentration (MBEC) values ranging from 15.6 to 62.5 μg/mL, the best antibacterial effects being noticed against Staphylococcus aureus and Pseudomonas aeruginosa. Remarkably, the MBEC values obtained for the four tested bacterial strains were either identical or even lower than the MIC ones. The cytotoxicity assay indicated that the tested complexes affected the cellular cycle of HeLa, HCT-8, and MG63 cells, probably by inhibiting the expression of vimentin and transient receptor potential canonical 1 (TRPC1). The obtained biological results recommend these complexes as potential candidates for the development of novel anti-biofilm agents.","container-title":"Molecules","DOI":"10.3390/molecules26010055","ISSN":"1420-3049","issue":"1","title":"New Cobalt (II) Complexes with Imidazole Derivatives: Antimicrobial Efficiency against Planktonic and Adherent Microbes and In Vitro Cytotoxicity Features","URL":"https://www.mdpi.com/1420-3049/26/1/55","volume":"26","author":[{"family":"Fudulu","given":"Alina"},{"family":"Olar","given":"Rodica"},{"family":"Maxim","given":"Cătălin"},{"family":"Scăeţeanu","given":"Gina Vasile"},{"family":"Bleotu","given":"Coralia"},{"family":"Matei","given":"Lilia"},{"family":"Chifiriuc","given":"Mariana Carmen"},{"family":"Badea","given":"Mihaela"}],"issued":{"date-parts":[["2021"]]}},"label":"page"}],"schema":"https://github.com/citation-style-language/schema/raw/master/csl-citation.json"} </w:instrText>
      </w:r>
      <w:r w:rsidR="00302342" w:rsidRPr="00F25B40">
        <w:rPr>
          <w:rFonts w:ascii="Arial" w:hAnsi="Arial" w:cs="Arial"/>
          <w:sz w:val="20"/>
          <w:szCs w:val="20"/>
          <w:lang w:val="en-US"/>
        </w:rPr>
        <w:fldChar w:fldCharType="separate"/>
      </w:r>
      <w:r w:rsidR="002E71C7" w:rsidRPr="00F25B40">
        <w:rPr>
          <w:rFonts w:ascii="Arial" w:hAnsi="Arial" w:cs="Arial"/>
          <w:sz w:val="20"/>
        </w:rPr>
        <w:t>(Atria et al., 2011; Fudulu et al., 2021)</w:t>
      </w:r>
      <w:r w:rsidR="00302342" w:rsidRPr="00F25B40">
        <w:rPr>
          <w:rFonts w:ascii="Arial" w:hAnsi="Arial" w:cs="Arial"/>
          <w:sz w:val="20"/>
          <w:szCs w:val="20"/>
          <w:lang w:val="en-US"/>
        </w:rPr>
        <w:fldChar w:fldCharType="end"/>
      </w:r>
      <w:r w:rsidRPr="00F25B40">
        <w:rPr>
          <w:rFonts w:ascii="Arial" w:hAnsi="Arial" w:cs="Arial"/>
          <w:sz w:val="20"/>
          <w:szCs w:val="20"/>
          <w:lang w:val="fr-CA"/>
        </w:rPr>
        <w:t xml:space="preserve">, anticancer </w:t>
      </w:r>
      <w:r w:rsidR="003320C3"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{"citationID":"G4mbSUg0","properties":{"formattedCitation":"(Alshehri et al., 2022; Khan et al., 2021)","plainCitation":"(Alshehri et al., 2022; Khan et al., 2021)","noteIndex":0},"citationItems":[{"id":3656,"uris":["http://zotero.org/users/local/JzcqJHT8/items/6PXZE9IC"],"itemData":{"id":3656,"type":"article-journal","abstract":"Successfully three copper-based imidazole complexes were synthesized, [Cu(CTZ)2(H2O)2Cl2], [Cu(MCZ)2(H2O)2Cl2], and [Cu(PPZ)2Cl2]. These complexes were characterized using spectroscopic, thermal method and elemental analysis. The new peaks in the IR spectra are assigned the chelation of the metal ion in the range 500-300 cm-1. Additionally, EPR spectra suggested a compressed octahedral geometry for the six donor atoms systems. Further validation for the proposed complex structures was studied theoretically using DFT approach with B3LYP level of theory. The obtained optimized angles and dihedral angles revealed the structures adopted distorted octahedral geometry. Quantum parameters predicted a practical reactivity for Cu-PPZ complex. The biological affinities were studied by CT-DNA binding experiment where all Cu(II) complexes were intercalation agents and were screened against α,β-1TUB. The docking results showed high docking scores and were in the order [Cu(CTZ)2(H2O)2Cl2], [Cu(MCZ)2(H2O)2Cl2], and [Cu(PPZ)2Cl2]. These results were supported by in vitro cytotoxicity assays against M14 human melanoma.","container-title":"Journal of the Indian Chemical Society","DOI":"https://doi.org/10.1016/j.jics.2022.100692","ISSN":"0019-4522","issue":"10","page":"100692","title":"Experiment versus theory of copper (II) complexes based imidazole derivatives as anti-cancer agents","volume":"99","author":[{"family":"Alshehri","given":"Nujud S."},{"family":"Sharfalddin","given":"Abeer A."},{"family":"Domyati","given":"Doaa"},{"family":"Basaleh","given":"Amal S."},{"family":"Hussien","given":"Mostafa A."}],"issued":{"date-parts":[["2022"]]}},"label":"page"},{"id":3655,"uris":["http://zotero.org/users/local/JzcqJHT8/items/8NIIK28D"],"itemData":{"id":3655,"type":"article-journal","container-title":"Journal of Biomolecular Structure and Dynamics","DOI":"10.1080/07391102.2020.1776156","issue":"11","note":"publisher: Taylor &amp; Francis\n_eprint: https://doi.org/10.1080/07391102.2020.1776156\nPMID: 32496965","page":"4037–4050","title":"Role of biologically important imidazole moiety on the antimicrobial and anticancer activity of Fe(III) and Mn(II) complexes","volume":"39","author":[{"family":"Khan","given":"M. Shahnawaz"},{"family":"Hayat","given":"Mohd Umar"},{"family":"Khanam","given":"Madiha"},{"family":"Saeed","given":"Haris"},{"family":"Owais","given":"Mohammad"},{"family":"Khalid","given":"Mohd"},{"family":"Shahid","given":"M."},{"family":"Ahmad","given":"Musheer"}],"issued":{"date-parts":[["2021"]]}},"label":"page"}],"schema":"https://github.com/citation-style-language/schema/raw/master/csl-citation.json"} </w:instrText>
      </w:r>
      <w:r w:rsidR="003320C3" w:rsidRPr="00F25B40">
        <w:rPr>
          <w:rFonts w:ascii="Arial" w:hAnsi="Arial" w:cs="Arial"/>
          <w:sz w:val="20"/>
          <w:szCs w:val="20"/>
          <w:lang w:val="en-US"/>
        </w:rPr>
        <w:fldChar w:fldCharType="separate"/>
      </w:r>
      <w:r w:rsidR="002E71C7" w:rsidRPr="00F25B40">
        <w:rPr>
          <w:rFonts w:ascii="Arial" w:hAnsi="Arial" w:cs="Arial"/>
          <w:sz w:val="20"/>
        </w:rPr>
        <w:t>(Alshehri et al., 2022; Khan et al., 2021)</w:t>
      </w:r>
      <w:r w:rsidR="003320C3" w:rsidRPr="00F25B40">
        <w:rPr>
          <w:rFonts w:ascii="Arial" w:hAnsi="Arial" w:cs="Arial"/>
          <w:sz w:val="20"/>
          <w:szCs w:val="20"/>
          <w:lang w:val="en-US"/>
        </w:rPr>
        <w:fldChar w:fldCharType="end"/>
      </w:r>
      <w:r w:rsidR="00191233" w:rsidRPr="00F25B40">
        <w:rPr>
          <w:rFonts w:ascii="Arial" w:hAnsi="Arial" w:cs="Arial"/>
          <w:sz w:val="20"/>
          <w:szCs w:val="20"/>
          <w:lang w:val="fr-CA"/>
        </w:rPr>
        <w:t xml:space="preserve"> or </w:t>
      </w:r>
      <w:proofErr w:type="spellStart"/>
      <w:r w:rsidRPr="00F25B40">
        <w:rPr>
          <w:rFonts w:ascii="Arial" w:hAnsi="Arial" w:cs="Arial"/>
          <w:sz w:val="20"/>
          <w:szCs w:val="20"/>
          <w:lang w:val="fr-CA"/>
        </w:rPr>
        <w:t>antifungal</w:t>
      </w:r>
      <w:proofErr w:type="spellEnd"/>
      <w:r w:rsidR="00AE3F8A" w:rsidRPr="00F25B40">
        <w:rPr>
          <w:rFonts w:ascii="Arial" w:hAnsi="Arial" w:cs="Arial"/>
          <w:sz w:val="20"/>
          <w:szCs w:val="20"/>
          <w:lang w:val="fr-CA"/>
        </w:rPr>
        <w:t xml:space="preserve"> </w:t>
      </w:r>
      <w:r w:rsidR="00AE3F8A" w:rsidRPr="00F25B40">
        <w:rPr>
          <w:rFonts w:ascii="Arial" w:hAnsi="Arial" w:cs="Arial"/>
          <w:sz w:val="20"/>
          <w:szCs w:val="20"/>
          <w:lang w:val="fr-CA"/>
        </w:rPr>
        <w:fldChar w:fldCharType="begin"/>
      </w:r>
      <w:r w:rsidR="002E71C7" w:rsidRPr="00F25B40">
        <w:rPr>
          <w:rFonts w:ascii="Arial" w:hAnsi="Arial" w:cs="Arial"/>
          <w:sz w:val="20"/>
          <w:szCs w:val="20"/>
          <w:lang w:val="fr-CA"/>
        </w:rPr>
        <w:instrText xml:space="preserve"> ADDIN ZOTERO_ITEM CSL_CITATION {"citationID":"w8UJDtfX","properties":{"formattedCitation":"(Banfi et al., 2006; Ga\\uc0\\u322{}czy\\uc0\\u324{}ska et al., 2019)","plainCitation":"(Banfi et al., 2006; Gałczyńska et al., 2019)","noteIndex":0},"citationItems":[{"id":3657,"uris":["http://zotero.org/users/local/JzcqJHT8/items/XIUKLYE9"],"itemData":{"id":3657,"type":"article-journal","abstract":"Objectives: To synthesize new antimycobacterial and antifungal drugs that act by binding to sterol 14α-demethylase (14DM) and to characterize the drug–target protein interactions using computer-based molecular simulations.Methods: Different series of imidazole and triazole derivatives having an azomethine linkage to pyridine 2-carboxamidrazone were designed and synthesized. Molecular dynamic simulations of the sterol 14DM (a mixed-function oxidase involved in sterol synthesis in eukaryotic and prokaryotic organisms) complexed with new azole derivatives have been performed to both qualify and quantify the protein–ligand interactions. MICs of the compounds were evaluated by reference assay and by the recently developed Microdilution Resazurin Assay (MRA).Results: Halogenated derivatives showed good activity, with an MIC90 of 1 mg/L against 33 Candida spp. clinical strains; most compounds also had inhibitory activity against Mycobacterium tuberculosis reference and clinical strains, with MICs in the range 4–64 mg/L. Molecular modelling investigations showed that the active new compounds may interact at the active site of both the fungal and the mycobacterial cytochrome P450-dependent sterol-14α-demethylase and that the calculated binding free energy values are in agreement with the corresponding MIC values.Conclusions: The combined experimental and computational approach can be helpful in targeted drug design, thus yielding valuable information for the synthesis and prediction of activity of a second generation of inhibitors.","container-title":"Journal of Antimicrobial Chemotherapy","DOI":"10.1093/jac/dkl182","ISSN":"0305-7453","issue":"1","note":"_eprint: https://academic.oup.com/jac/article-pdf/58/1/76/17429145/dkl182.pdf","page":"76-84","title":"Antifungal and antimycobacterial activity of new imidazole and triazole derivatives. A combined experimental and computational approach","volume":"58","author":[{"family":"Banfi","given":"Elena"},{"family":"Scialino","given":"Giuditta"},{"family":"Zampieri","given":"Daniele"},{"family":"Mamolo","given":"Maria Grazia"},{"family":"Vio","given":"Luciano"},{"family":"Ferrone","given":"Marco"},{"family":"Fermeglia","given":"Maurizio"},{"family":"Paneni","given":"Maria Silvia"},{"family":"Pricl","given":"Sabrina"}],"issued":{"date-parts":[["2006",5]]}},"label":"page"},{"id":3658,"uris":["http://zotero.org/users/local/JzcqJHT8/items/BX5G7G5U"],"itemData":{"id":3658,"type":"article-journal","abstract":"The physicochemical properties of metal complexes determine their potential applications as antitumor agents. In this study, the antitumor properties of mononuclear cobalt(II) and copper(II) coordination compounds (stoichiometry: [Co(iaa)2(H2O)2]·H2O (iaa = imidazole-4-acetate anion), [Co(1-allim)6](NO3)2 (1-allim = 1-allylimidazole), [Cu(iaa)2H2O] and [Cu(1-allim)4(NO3)2]) and their ligands have been evaluated on human lung carcinoma A549 cells and normal bronchial BEAS-2B cells. Designing the chemical structure of new antitumor agents the possible interactions with macromolecules such as DNA or proteins should be take into account. PCR gene tlr4 product served as DNA model, whereas lysozyme and phage-derived endolysin (both peptidoglycan degrading enzymes) were applied as protein/enzyme model. The interactions were analysed using PCR-HRM and circular dichroism, FT-IR, spectrophotometry, respectively. Additionally, the antimicrobial properties of the complexes at a non-cytotoxic concentration were analyzed against S. aureus, E. coli, P. aeruginosa and C. albicans st</w:instrText>
      </w:r>
      <w:r w:rsidR="002E71C7" w:rsidRPr="00F25B40">
        <w:rPr>
          <w:rFonts w:ascii="Arial" w:hAnsi="Arial" w:cs="Arial"/>
          <w:sz w:val="20"/>
          <w:szCs w:val="20"/>
          <w:lang w:val="en-US"/>
        </w:rPr>
        <w:instrText xml:space="preserve">rains. The results obtained in this study showed the selective cytotoxicity of metal complexes, mainly [Cu(1-allim)4(NO3)2] towards tumor cells. From all tested compounds, only [Co(iaa)2(H2O)2].H2O non-covalently interacts with DNA. Cu(II) and Co(II) complexes did not affect the secondary conformation of tested proteins but modified the hydrolytic activity of enzymes (lysozyme and endolysin). Moreover, only [Co(iaa)2(H2O)2].H2O exhibited the antifungal properties. In conclusion, Co(II) and Cu(II) metal complexes bearing two imidazole-4-acetate ligands seemed to be promising antitumor and antifungal agents for future drug design and application.","container-title":"Scientific Reports","DOI":"10.1038/s41598-019-46224-6","ISSN":"2045-2322","issue":"1","journalAbbreviation":"Scientific Reports","page":"9777","title":"Selective cytotoxicity and antifungal properties of copper(II) and cobalt(II) complexes with imidazole-4-acetate anion or 1-allylimidazole","volume":"9","author":[{"family":"Gałczyńska","given":"Katarzyna"},{"family":"Ciepluch","given":"Karol"},{"family":"Madej","given":"Łukasz"},{"family":"Kurdziel","given":"Krystyna"},{"family":"Maciejewska","given":"Barbara"},{"family":"Drulis-Kawa","given":"Zuzanna"},{"family":"Węgierek-Ciuk","given":"Aneta"},{"family":"Lankoff","given":"Anna"},{"family":"Arabski","given":"Michał"}],"issued":{"date-parts":[["2019",7,5]]}},"label":"page"}],"schema":"https://github.com/citation-style-language/schema/raw/master/csl-citation.json"} </w:instrText>
      </w:r>
      <w:r w:rsidR="00AE3F8A" w:rsidRPr="00F25B40">
        <w:rPr>
          <w:rFonts w:ascii="Arial" w:hAnsi="Arial" w:cs="Arial"/>
          <w:sz w:val="20"/>
          <w:szCs w:val="20"/>
          <w:lang w:val="fr-CA"/>
        </w:rPr>
        <w:fldChar w:fldCharType="separate"/>
      </w:r>
      <w:r w:rsidR="002E71C7" w:rsidRPr="00F25B40">
        <w:rPr>
          <w:rFonts w:ascii="Arial" w:hAnsi="Arial" w:cs="Arial"/>
          <w:kern w:val="0"/>
          <w:sz w:val="20"/>
          <w:lang w:val="en-US"/>
        </w:rPr>
        <w:t>(Banfi et al., 2006; Gałczyńska et al., 2019)</w:t>
      </w:r>
      <w:r w:rsidR="00AE3F8A" w:rsidRPr="00F25B40">
        <w:rPr>
          <w:rFonts w:ascii="Arial" w:hAnsi="Arial" w:cs="Arial"/>
          <w:sz w:val="20"/>
          <w:szCs w:val="20"/>
          <w:lang w:val="fr-CA"/>
        </w:rPr>
        <w:fldChar w:fldCharType="end"/>
      </w:r>
      <w:r w:rsidRPr="00F25B40">
        <w:rPr>
          <w:rFonts w:ascii="Arial" w:hAnsi="Arial" w:cs="Arial"/>
          <w:sz w:val="20"/>
          <w:szCs w:val="20"/>
          <w:lang w:val="en-US"/>
        </w:rPr>
        <w:t>.</w:t>
      </w:r>
      <w:r w:rsidR="00960AD1" w:rsidRPr="00F25B40">
        <w:rPr>
          <w:rFonts w:ascii="Arial" w:hAnsi="Arial" w:cs="Arial"/>
          <w:sz w:val="20"/>
          <w:szCs w:val="20"/>
          <w:lang w:val="en-US"/>
        </w:rPr>
        <w:t xml:space="preserve"> </w:t>
      </w:r>
      <w:r w:rsidRPr="00F25B40">
        <w:rPr>
          <w:rFonts w:ascii="Arial" w:hAnsi="Arial" w:cs="Arial"/>
          <w:sz w:val="20"/>
          <w:szCs w:val="20"/>
          <w:lang w:val="en-US"/>
        </w:rPr>
        <w:t>Ligands containing carboxylate groups allow the preparation of coordination complexes with variable structures</w:t>
      </w:r>
      <w:r w:rsidR="00062EED" w:rsidRPr="00F25B40">
        <w:rPr>
          <w:rFonts w:ascii="Arial" w:hAnsi="Arial" w:cs="Arial"/>
          <w:sz w:val="20"/>
          <w:szCs w:val="20"/>
          <w:lang w:val="en-US"/>
        </w:rPr>
        <w:t xml:space="preserve"> </w:t>
      </w:r>
      <w:r w:rsidR="00062E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{"citationID":"OkgQxPGa","properties":{"formattedCitation":"(Efimenko et al., 2011; Rao et al., 2004)","plainCitation":"(Efimenko et al., 2011; Rao et al., 2004)","noteIndex":0},"citationItems":[{"id":3660,"uris":["http://zotero.org/users/local/JzcqJHT8/items/Q8IAPFG2"],"itemData":{"id":3660,"type":"article-journal","abstract":"Replacement of the acetate ligands in Pd3(μ-MeCO2)6 in benzene gave complexes of the general formula Pd3(μ-RCO2)6 (R = CF3, CCl3, CH2Cl, Me, cyclo-C6H11, and CMe3). The structures of the complexes were determined using IR spectroscopy, ESI mass spectrometry, and X-ray diffraction. It was found that the complexes contain a trinuclear Pd framework and that their spectroscopic and structural parameters depend on the donor-acceptor properties of the substituent in the carboxylate ligand.","container-title":"Russian Journal of Coordination Chemistry","DOI":"10.1134/S1070328411080021","ISSN":"1608-3318","issue":"8","journalAbbreviation":"Russian Journal of Coordination Chemistry","page":"625-634","title":"Binary palladium carboxylates with electron-donating and electron-withdrawing substituents in the carboxylate ligand: Synthesis and structural studies. The crystal structures of Pd3(μ-CH2ClCO2)6 · CH2Cl2, Pd3(μ-C6H11CO2)6, and Pd3(μ-CMe3CO2)6","volume":"37","author":[{"family":"Efimenko","given":"I. A."},{"family":"Podobedov","given":"R. E."},{"family":"Churakov","given":"A. V."},{"family":"Kuz’mina","given":"L. G."},{"family":"Garbuzova","given":"I. A."},{"family":"Lokshin","given":"B. V."},{"family":"Maksimov","given":"A. L."},{"family":"Flid","given":"V. R."}],"issued":{"date-parts":[["2011",8,1]]}},"label":"page"},{"id":3659,"uris":["http://zotero.org/users/local/JzcqJHT8/items/R7L2HCLN"],"itemData":{"id":3659,"type":"article-journal","abstract":"Abstract The field of inorganic open-framework materials is dominated by aluminosilicates and phosphates. The metal carboxylates have emerged as an important family in the last few years. This family includes not only mono- and dicarboxylates of transition, rare-earth, and main-group metals, but also a variety of hybrid structures. Some of the carboxylates possess novel adsorption and magnetic properties. Dicarboxylates and related species provide an effective means of designing novel hybrid structures with porous and other properties. In some of these structures, the dicarboxylate acts as a linker between two inorganic units. Hybrid nanocomposites are also of particular note, for example, cadmium oxalate host lattices that can accommodate extended alkali-metal halide structures. This Review discusses the synthesis, structure, and properties of various types of open-framework metal carboxylates.","container-title":"Angewandte Chemie International Edition","DOI":"https://doi.org/10.1002/anie.200300588","issue":"12","note":"_eprint: https://onlinelibrary.wiley.com/doi/pdf/10.1002/anie.200300588","page":"1466-1496","title":"Metal Carboxylates with Open Architectures","volume":"43","author":[{"family":"Rao","given":"C. N. R."},{"family":"Natarajan","given":"Srinivasan"},{"family":"Vaidhyanathan","given":"R."}],"issued":{"date-parts":[["2004"]]}},"label":"page"}],"schema":"https://github.com/citation-style-language/schema/raw/master/csl-citation.json"} </w:instrText>
      </w:r>
      <w:r w:rsidR="00062EED" w:rsidRPr="00F25B40">
        <w:rPr>
          <w:rFonts w:ascii="Arial" w:hAnsi="Arial" w:cs="Arial"/>
          <w:sz w:val="20"/>
          <w:szCs w:val="20"/>
          <w:lang w:val="en-US"/>
        </w:rPr>
        <w:fldChar w:fldCharType="separate"/>
      </w:r>
      <w:r w:rsidR="002E71C7" w:rsidRPr="00F25B40">
        <w:rPr>
          <w:rFonts w:ascii="Arial" w:hAnsi="Arial" w:cs="Arial"/>
          <w:sz w:val="20"/>
          <w:lang w:val="en-US"/>
        </w:rPr>
        <w:t>(Efimenko et al., 2011; Rao et al., 2004)</w:t>
      </w:r>
      <w:r w:rsidR="00062EED" w:rsidRPr="00F25B40">
        <w:rPr>
          <w:rFonts w:ascii="Arial" w:hAnsi="Arial" w:cs="Arial"/>
          <w:sz w:val="20"/>
          <w:szCs w:val="20"/>
          <w:lang w:val="en-US"/>
        </w:rPr>
        <w:fldChar w:fldCharType="end"/>
      </w:r>
      <w:r w:rsidRPr="00F25B40">
        <w:rPr>
          <w:rFonts w:ascii="Arial" w:hAnsi="Arial" w:cs="Arial"/>
          <w:sz w:val="20"/>
          <w:szCs w:val="20"/>
          <w:lang w:val="en-US"/>
        </w:rPr>
        <w:t xml:space="preserve">. Indeed, carboxylate ligands offer several coordination modes. They can be monodentate, bidentate </w:t>
      </w:r>
      <w:r w:rsidRPr="00F25B40">
        <w:rPr>
          <w:rFonts w:ascii="Arial" w:hAnsi="Arial" w:cs="Arial"/>
          <w:i/>
          <w:iCs/>
          <w:sz w:val="20"/>
          <w:szCs w:val="20"/>
          <w:lang w:val="en-US"/>
        </w:rPr>
        <w:t>syn-syn</w:t>
      </w:r>
      <w:r w:rsidRPr="00F25B40">
        <w:rPr>
          <w:rFonts w:ascii="Arial" w:hAnsi="Arial" w:cs="Arial"/>
          <w:sz w:val="20"/>
          <w:szCs w:val="20"/>
          <w:lang w:val="en-US"/>
        </w:rPr>
        <w:t xml:space="preserve"> or </w:t>
      </w:r>
      <w:r w:rsidRPr="00F25B40">
        <w:rPr>
          <w:rFonts w:ascii="Arial" w:hAnsi="Arial" w:cs="Arial"/>
          <w:i/>
          <w:iCs/>
          <w:sz w:val="20"/>
          <w:szCs w:val="20"/>
          <w:lang w:val="en-US"/>
        </w:rPr>
        <w:t>syn-anti</w:t>
      </w:r>
      <w:r w:rsidRPr="00F25B40">
        <w:rPr>
          <w:rFonts w:ascii="Arial" w:hAnsi="Arial" w:cs="Arial"/>
          <w:sz w:val="20"/>
          <w:szCs w:val="20"/>
          <w:lang w:val="en-US"/>
        </w:rPr>
        <w:t xml:space="preserve">, </w:t>
      </w:r>
      <w:r w:rsidR="00E808EF" w:rsidRPr="00F25B40">
        <w:rPr>
          <w:rFonts w:ascii="Arial" w:hAnsi="Arial" w:cs="Arial"/>
          <w:sz w:val="20"/>
          <w:szCs w:val="20"/>
          <w:lang w:val="en-US"/>
        </w:rPr>
        <w:t xml:space="preserve">and </w:t>
      </w:r>
      <w:r w:rsidRPr="00F25B40">
        <w:rPr>
          <w:rFonts w:ascii="Arial" w:hAnsi="Arial" w:cs="Arial"/>
          <w:sz w:val="20"/>
          <w:szCs w:val="20"/>
          <w:lang w:val="en-US"/>
        </w:rPr>
        <w:t xml:space="preserve">bridging </w:t>
      </w:r>
      <w:r w:rsidR="00761BF8"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{"citationID":"ja071Skb","properties":{"formattedCitation":"(Darensbourg et al., 1994; Dey et al., 2007; Su et al., 2015; Vasile Scaeteanu et al., 2024)","plainCitation":"(Darensbourg et al., 1994; Dey et al., 2007; Su et al., 2015; Vasile Scaeteanu et al., 2024)","noteIndex":0},"citationItems":[{"id":3662,"uris":["http://zotero.org/users/local/JzcqJHT8/items/XNLG6EMU"],"itemData":{"id":3662,"type":"article-journal","abstract":"The complexes (Ph3P)2Cu(carboxylate) (carboxylate = acetate (1), hippurate (2), vinyl acetate (3), fluorenate (4)) have been prepared and their solid-state structures determined crystallographically. The copper(I) center in all four structures exhibits a distorted tetrahedral geometry, with varying degrees of asymmetric bidentate binding of the carboxylate ligand. For example, in complex 2 the hippurate ligand displays the greatest extent of asymmetry with the two CuO bond distances differing by 0.234(6) Å. The structures of all four derivatives were each shown to be the same both in the solid-state and in dichloromethane solution based on infrared spectroscopy. The magnitude of Δ (va(CO2−)-vs(CO2−)) in these copper(I) derivatives, determined to be quite similar to the corresponding ionic values, is used as constituting a diagnosis for asymmetric bidentate binding of the carboxylate ligand. Although all four complexes are structurally quite similar, only the fluorenate derivative which affords a resonance-stabilized carbanion upon carbon dioxide extrusion undergoes the decarboxylation reaction. Crystal data for 1: space group P21/c, a = 18.085(5), b = 10.977(2), c = 17.979(5) Å, β = 115.62(2)°, Z= 4, R =3.91%. Crystal data for 2: space group P1, a = 9.96(2), b = 14.68(3), c = 14.96(3) Å , a = 115.46(14), β = 97.54(16), η = 102.31(15)°, Z = 2, R=5.84%. Crystal data for 3: space group P1, a = 12.755(3), b = 13.125(2), c = 12.572(2) Å, α = 118.85(1), β = 105.85(1), η = 97.65(1)°, Z = 2, R =4.08%. Crystal data for 4: space group P1, a = 11.554(1), b = 15.217(2), c = 15.285(2) Å, α = 63.71(1), β = 79.08(1), η = 75.20(1)°, Z = 2, R = 7.6%.","container-title":"Inorganica Chimica Acta","DOI":"https://doi.org/10.1016/0020-1693(94)04214-4","ISSN":"0020-1693","issue":"2","page":"223-232","title":"Structural characterization of bidentate carboxylate derivatives of copper(I) bistriphenylphosphine","volume":"227","author":[{"family":"Darensbourg","given":"Donald J."},{"family":"Holtcamp","given":"Matthew W."},{"family":"Longridge","given":"Elisabeth M."},{"family":"Klausmeyer","given":"Kevin K."},{"family":"Reibenspies","given":"Joseph H."}],"issued":{"date-parts":[["1994"]]}},"label":"page"},{"id":3663,"uris":["http://zotero.org/users/local/JzcqJHT8/items/GHH7DVSM"],"itemData":{"id":3663,"type":"article-journal","abstract":"The trinuclear complex [L2Cu3(CF3CO2)4] (1) has been synthesized and its crystal structure determined. It consists of a linear arrangement of Cu(II) centers. The central copper atom is bonded to six oxygen atoms and has a tetragonally distorted octahedral geometry, while the terminal copper atoms are bonded to three oxygen and two nitrogen atoms and show a distorted square pyramidal geometry. The complex shows di-μ(O,O′) syn–syn carboxylate bridging as well as monoatomic (μ-O) bridging, along with phenolate (μ-O) oxygen bridging. Cryomagnetic investigations in the range 2–300K revealed an antiferromagnetic spin exchange interaction with J=−95.7cm−1, based on the isotropic exchange model Hex=−2J[S1·S2+S2·S3].","container-title":"Inorganica Chimica Acta","DOI":"https://doi.org/10.1016/j.ica.2006.09.030","ISSN":"0020-1693","issue":"6","page":"1915-1920","title":"An antiferromagnetically coupled trinuclear Cu(II) complex containing μ(O,O′), μ(O) carboxylates and μ(O) phenoxide bridges","volume":"360","author":[{"family":"Dey","given":"Subrata K."},{"family":"Shit","given":"Shyamapada"},{"family":"Mitra","given":"Samiran"},{"family":"Thompson","given":"Laurence K."},{"family":"Malik","given":"K. M. Abdul"}],"issued":{"date-parts":[["2007"]]}},"label":"page"},{"id":3664,"uris":["http://zotero.org/users/local/JzcqJHT8/items/2GQDA769"],"itemData":{"id":3664,"type":"article-journal","abstract":"To evaluate magnetic properties of isostructural compounds, a series of 3D carboxylate coordination polymers [M(H2bpta)]n, (H4bpta = 2,2′,4,4′-biphenyltetracarboxylic acid, M = Fe(ii) (1), Ni(ii) (2), Cu(ii) (3) and Zn(ii) (4)), was synthesized in H2O–CH3CN or H2O solvents, respectively. Structurally, complexes 1–4 have isostructural features with (5,5)-connected 3D framework, wherein the M(ii) centre takes an octahedral coordination environment consisting of six oxygen atoms from carboxylates of ligands. The M(ii) sites are linked by syn–anti carboxylates to form chains with an M</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M separation of 4.880(2) (M = Fe), 4.784(2) (M = Ni), 4.541(2) (M = Cu), and 4.607(2) Å (M = Zn), respectively. The shortest M</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M distances between interchains locate 9.122(4), 9.077(3), 9.361(3), and 8.767(2) Å, respectively. Magnetically, the isostructural polymers show different magnetic behaviors due to different spins of central ions. Theoretical analysis indicates that couplings between magnetic ions obey uniform chain models. The magnetic susceptibility of 1 and 2 are perfectly fitted by the modified Fisher model to yield an effective intra-chain exchange coupling constant of −0.81(1) and 3.67(2) cm−1, respectively. For 3, a Heisenberg ferromagnetic S = 1/2 chain included the intra-chain magnetic exchange interaction (J = 9.28(1) cm−1, and zj′ = −0.068(3) cm−1), weak ferromagnetic interactions in intra-chains, and weak antiferromagnetic interactions between interchains. The phenomena of 1–3 accord with the common view that the exchange interaction between two magnetic M(ii) ions bridged by the syn–anti carboxylate bridge is dominantly weak ferro- or anti-ferromagnetic interactions. In addition, the M–O–C–O–M spin exchange interactions |J| of M2(CO2)2 (M = Mn(3d5)20, Fe(3d6), Co(3d7)20, Ni(3d8), Cu(3d9)) decrease in strength with Cu2(CO2)2 &gt; Ni2(CO2)2 &gt; Co2(CO2)2 &gt; Fe2(CO2)2 &gt; Mn2(CO2)2, consistent with orbit order.","container-title":"Dalton Trans.","DOI":"10.1039/C5DT00412H","issue":"16","note":"publisher: The Royal Society of Chemistry","page":"7213-7222","title":"Synthesis, structures and magnetic properties in 3d-electron-rich isostructural complexes based on chains with sole syn–anti carboxylate bridges","volume":"44","author":[{"family":"Su","given":"Feng"},{"family":"Lu","given":"Liping"},{"family":"Feng","given":"Sisi"},{"family":"Zhu","given":"Miaoli"},{"family":"Gao","given":"Zengqiang"},{"family":"Dong","given":"Yuhui"}],"issued":{"date-parts":[["2015"]]}},"label":"page"},{"id":3661,"uris":["http://zotero.org/users/local/JzcqJHT8/items/UZLNBDXT"],"itemData":{"id":3661,"type":"article-journal","abstract":"This review presents an overview of the biological applications of coordinative compounds based on unsaturated carboxylates accompanied by other ligands, usually N-based heterocyclic species. The interest in these compound</w:instrText>
      </w:r>
      <w:r w:rsidR="002E71C7" w:rsidRPr="00F25B40">
        <w:rPr>
          <w:rFonts w:ascii="Arial" w:hAnsi="Arial" w:cs="Arial"/>
          <w:sz w:val="20"/>
          <w:szCs w:val="20"/>
          <w:lang w:val="fr-CA"/>
        </w:rPr>
        <w:instrText xml:space="preserve">s arises from the valuable antimicrobial and antitumor activities evidenced by some species, as well as from their ability to generate metal-containing polymers suitable for various medical purposes. Therefore, we describe the recently discovered aspects related to the synthesis, structure, and biological activity of a wide range of unsaturated carboxylate-containing species and metal ions, originating mostly from 3d series. The unsaturated carboxylates encountered in coordinative compounds are acrylate, methacrylate, fumarate, maleate, cinnamate, ferulate, coumarate, and itaconate. Regarding the properties of the investigated compounds, it is worth mentioning the good ability of some to inhibit the development of resistant strains or microbial biofilms on inert surfaces or, even more, exert antitumor activity against resistant cells. The ability of some species to intercalate into DNA strands as well as to scavenge ROS species is also addressed.","container-title":"Molecules","DOI":"10.3390/molecules29102321","ISSN":"1420-3049","issue":"10","title":"Coordinative Compounds Based on Unsaturated Carboxylate with Versatile Biological Applications","URL":"https://www.mdpi.com/1420-3049/29/10/2321","volume":"29","author":[{"family":"Vasile Scaeteanu","given":"Gina"},{"family":"Badea","given":"Mihaela"},{"family":"Olar","given":"Rodica"}],"issued":{"date-parts":[["2024"]]}},"label":"page"}],"schema":"https://github.com/citation-style-language/schema/raw/master/csl-citation.json"} </w:instrText>
      </w:r>
      <w:r w:rsidR="00761BF8" w:rsidRPr="00F25B40">
        <w:rPr>
          <w:rFonts w:ascii="Arial" w:hAnsi="Arial" w:cs="Arial"/>
          <w:sz w:val="20"/>
          <w:szCs w:val="20"/>
          <w:lang w:val="en-US"/>
        </w:rPr>
        <w:fldChar w:fldCharType="separate"/>
      </w:r>
      <w:r w:rsidR="002E71C7" w:rsidRPr="00F25B40">
        <w:rPr>
          <w:rFonts w:ascii="Arial" w:hAnsi="Arial" w:cs="Arial"/>
          <w:sz w:val="20"/>
        </w:rPr>
        <w:t>(Darensbourg et al., 1994; Dey et al., 2007; Su et al., 2015; Vasile Scaeteanu et al., 2024)</w:t>
      </w:r>
      <w:r w:rsidR="00761BF8" w:rsidRPr="00F25B40">
        <w:rPr>
          <w:rFonts w:ascii="Arial" w:hAnsi="Arial" w:cs="Arial"/>
          <w:sz w:val="20"/>
          <w:szCs w:val="20"/>
          <w:lang w:val="en-US"/>
        </w:rPr>
        <w:fldChar w:fldCharType="end"/>
      </w:r>
      <w:r w:rsidR="00761BF8" w:rsidRPr="00F25B40">
        <w:rPr>
          <w:rFonts w:ascii="Arial" w:hAnsi="Arial" w:cs="Arial"/>
          <w:sz w:val="20"/>
          <w:szCs w:val="20"/>
          <w:lang w:val="fr-CA"/>
        </w:rPr>
        <w:t xml:space="preserve">. </w:t>
      </w:r>
      <w:r w:rsidRPr="00F25B40">
        <w:rPr>
          <w:rFonts w:ascii="Arial" w:hAnsi="Arial" w:cs="Arial"/>
          <w:sz w:val="20"/>
          <w:szCs w:val="20"/>
          <w:lang w:val="en-US"/>
        </w:rPr>
        <w:t>Carboxylate groups can link several metal ions to form chains or three-dimensional structures</w:t>
      </w:r>
      <w:r w:rsidR="00FE01ED" w:rsidRPr="00F25B40">
        <w:rPr>
          <w:rFonts w:ascii="Arial" w:hAnsi="Arial" w:cs="Arial"/>
          <w:sz w:val="20"/>
          <w:szCs w:val="20"/>
          <w:lang w:val="en-US"/>
        </w:rPr>
        <w:t xml:space="preserve"> </w:t>
      </w:r>
      <w:r w:rsidR="00FE01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{"citationID":"xpfJheog","properties":{"formattedCitation":"(G.-C. Liu et al., 2019; Singh &amp; Baruah, 2012; L. Zhang et al., 2009)","plainCitation":"(G.-C. Liu et al., 2019; Singh &amp; Baruah, 2012; L. Zhang et al., 2009)","noteIndex":0},"citationItems":[{"id":3665,"uris":["http://zotero.org/users/local/JzcqJHT8/items/PTP899FU"],"itemData":{"id":3665,"type":"article-journal","container-title":"ACS Omega","DOI":"10.1021/acsomega.9b02124","issue":"17","journalAbbreviation":"ACS Omega","note":"publisher: American Chemical Society","page":"17366-17378","title":"Metal/Carboxylate-Induced Versatile Structures of Nine 0D → 3D Complexes with Different Fluorescent and Electrochemical Behaviors","volume":"4","author":[{"family":"Liu","given":"Guo-Cheng"},{"family":"Lu","given":"Xue"},{"family":"Li","given":"Xiao-Wu"},{"family":"Wang","given":"Xiu-Li"},{"family":"Xu","given":"Na"},{"family":"Li","given":"Yan"},{"family":"Lin","given":"Hong-Yan"},{"family":"Chen","given":"Yong-Qiang"}],"issued":{"date-parts":[["2019",10,22]]}},"label":"page"},{"id":3667,"uris":["http://zotero.org/users/local/JzcqJHT8/items/USL4ITXI"],"itemData":{"id":3667,"type":"article-journal","containe</w:instrText>
      </w:r>
      <w:r w:rsidR="002E71C7" w:rsidRPr="001F55AE">
        <w:rPr>
          <w:rFonts w:ascii="Arial" w:hAnsi="Arial" w:cs="Arial"/>
          <w:sz w:val="20"/>
          <w:szCs w:val="20"/>
          <w:lang w:val="fr-CA"/>
        </w:rPr>
        <w:instrText>r-title":"Crystal Growth &amp; Design","DOI":"10.1021/cg300113f","ISSN":"1528-7483","issue":"4","journalAbbreviation":"Crystal Growth &amp; Design","note":"publisher: American Chemical Society","page":"2109</w:instrText>
      </w:r>
      <w:r w:rsidR="002E71C7" w:rsidRPr="00F25B40">
        <w:rPr>
          <w:rFonts w:ascii="Arial" w:hAnsi="Arial" w:cs="Arial"/>
          <w:sz w:val="20"/>
          <w:szCs w:val="20"/>
          <w:lang w:val="fr-CA"/>
        </w:rPr>
        <w:instrText xml:space="preserve">-2121","title":"Metal(II) Complexes Derived from Conformation Flexible Cyclic Imide Tethered Carboxylic Acids: Syntheses, Supramolecular Structures, and Molecular Properties","volume":"12","author":[{"family":"Singh","given":"Devendra"},{"family":"Baruah","given":"Jubaraj B."}],"issued":{"date-parts":[["2012",4,4]]}},"label":"page"},{"id":3669,"uris":["http://zotero.org/users/local/JzcqJHT8/items/CRMPQEGA"],"itemData":{"id":3669,"type":"article-journal","container-title":"Inorganic Chemistry","DOI":"10.1021/ic900425r","ISSN":"0020-1669","issue":"14","journalAbbreviation":"Inorg. Chem.","note":"publisher: American Chemical Society","page":"6517-6525","title":"Synthesis, Structure, and Luminescent Properties of Hybrid Inorganic−Organic Framework Materials Formed by Lead Aromatic Carboxylates: Inorganic Connectivity Variation from 0D to 3D","volume":"48","author":[{"family":"Zhang","given":"Lei"},{"family":"Li","given":"Zhao-Ji"},{"family":"Lin","given":"Qi-Pu"},{"family":"Qin","given":"Ye-Yan"},{"family":"Zhang","given":"Jian"},{"family":"Yin","given":"Pei-Xiu"},{"family":"Cheng","given":"Jian-Kai"},{"family":"Yao","given":"Yuan-Gen"}],"issued":{"date-parts":[["2009",7,20]]}},"label":"page"}],"schema":"https://github.com/citation-style-language/schema/raw/master/csl-citation.json"} </w:instrText>
      </w:r>
      <w:r w:rsidR="00FE01ED" w:rsidRPr="00F25B40">
        <w:rPr>
          <w:rFonts w:ascii="Arial" w:hAnsi="Arial" w:cs="Arial"/>
          <w:sz w:val="20"/>
          <w:szCs w:val="20"/>
          <w:lang w:val="en-US"/>
        </w:rPr>
        <w:fldChar w:fldCharType="separate"/>
      </w:r>
      <w:r w:rsidR="002E71C7" w:rsidRPr="00F25B40">
        <w:rPr>
          <w:rFonts w:ascii="Arial" w:hAnsi="Arial" w:cs="Arial"/>
          <w:sz w:val="20"/>
          <w:lang w:val="fr-CA"/>
        </w:rPr>
        <w:t>(G.-C. Liu et al., 2019; Singh &amp; Baruah, 2012; L. Zhang et al., 2009)</w:t>
      </w:r>
      <w:r w:rsidR="00FE01ED" w:rsidRPr="00F25B40">
        <w:rPr>
          <w:rFonts w:ascii="Arial" w:hAnsi="Arial" w:cs="Arial"/>
          <w:sz w:val="20"/>
          <w:szCs w:val="20"/>
          <w:lang w:val="en-US"/>
        </w:rPr>
        <w:fldChar w:fldCharType="end"/>
      </w:r>
      <w:r w:rsidRPr="00F25B40">
        <w:rPr>
          <w:rFonts w:ascii="Arial" w:hAnsi="Arial" w:cs="Arial"/>
          <w:sz w:val="20"/>
          <w:szCs w:val="20"/>
          <w:lang w:val="fr-CA"/>
        </w:rPr>
        <w:t xml:space="preserve">. </w:t>
      </w:r>
      <w:r w:rsidR="00AD1F71" w:rsidRPr="001F55AE">
        <w:rPr>
          <w:highlight w:val="green"/>
          <w:lang w:val="fr-CA"/>
        </w:rPr>
        <w:t xml:space="preserve">Carboxylates complexes </w:t>
      </w:r>
      <w:proofErr w:type="spellStart"/>
      <w:r w:rsidR="00AD1F71" w:rsidRPr="001F55AE">
        <w:rPr>
          <w:highlight w:val="green"/>
          <w:lang w:val="fr-CA"/>
        </w:rPr>
        <w:t>with</w:t>
      </w:r>
      <w:proofErr w:type="spellEnd"/>
      <w:r w:rsidR="00AD1F71" w:rsidRPr="001F55AE">
        <w:rPr>
          <w:highlight w:val="green"/>
          <w:lang w:val="fr-CA"/>
        </w:rPr>
        <w:t xml:space="preserve"> </w:t>
      </w:r>
      <w:proofErr w:type="spellStart"/>
      <w:r w:rsidR="00AD1F71" w:rsidRPr="001F55AE">
        <w:rPr>
          <w:highlight w:val="green"/>
          <w:lang w:val="fr-CA"/>
        </w:rPr>
        <w:t>anti-tumoral</w:t>
      </w:r>
      <w:proofErr w:type="spellEnd"/>
      <w:r w:rsidR="00AD1F71" w:rsidRPr="001F55AE">
        <w:rPr>
          <w:highlight w:val="green"/>
          <w:lang w:val="fr-CA"/>
        </w:rPr>
        <w:t xml:space="preserve"> </w:t>
      </w:r>
      <w:proofErr w:type="spellStart"/>
      <w:r w:rsidR="00AD1F71" w:rsidRPr="001F55AE">
        <w:rPr>
          <w:highlight w:val="green"/>
          <w:lang w:val="fr-CA"/>
        </w:rPr>
        <w:t>properties</w:t>
      </w:r>
      <w:proofErr w:type="spellEnd"/>
      <w:r w:rsidR="00BD0C08" w:rsidRPr="001F55AE">
        <w:rPr>
          <w:highlight w:val="green"/>
          <w:lang w:val="fr-CA"/>
        </w:rPr>
        <w:t xml:space="preserve"> </w:t>
      </w:r>
      <w:r w:rsidR="00AD1F71" w:rsidRPr="00B051C2">
        <w:rPr>
          <w:highlight w:val="green"/>
          <w:lang w:val="en-US"/>
        </w:rPr>
        <w:fldChar w:fldCharType="begin"/>
      </w:r>
      <w:r w:rsidR="00AD1F71" w:rsidRPr="001F55AE">
        <w:rPr>
          <w:highlight w:val="green"/>
          <w:lang w:val="fr-CA"/>
        </w:rPr>
        <w:instrText xml:space="preserve"> ADDIN ZOTERO_ITEM CSL_CITATION {"citationID":"2Q6Tap4x","properties":{"formattedCitation":"(He et al., 2024)","plainCitation":"(He et al., 2024)","noteIndex":0},"citationItems":[{"id":3704,"uris":["http://zotero.org/users/local/JzcqJHT8/items/DWLSPQD2"],"itemData":{"id":3704,"type":"article-journal","abstract":"Three distinctive end group-containing organotin (IV) carboxylates complexes (YDCOOSn, CLCOOSn and BZCOOSn) were designed and synthesized. Together with theoretical calculations, a thorough examination was carried out to investigate the photophysical properties of these compounds. The cytotoxicity of the synthesized compounds was tested using normal cell line GES-1 and was assessed against four cancer cell lines (A549, Hela, H1299 and HepG2). The outcomes of the experiments demonstrated that these complexes had superior selectivity than cisplatin towards cancerous cells, particularly in the A549 cell line. BZCOOSn was selected as a candidate compound for additional research because it exhibited the lowest IC50 value and the most impressive inducing effect on cell death and G2/M phase arrest. Increased caspase-3 and -9 enzyme activity, a decline in mitochondrial membrane potential (MMP), characteristic nuclear apoptotic morphology, and an accumulation of intracellular reactive oxygen species (ROS) were seen in A549 exposed to BZCOOSn. These findings demonstrated that BZCOOSn exhibited strong cytotoxicity by triggering cell death in A549 via the mitochondrial route. Furthermore, using the scratch wound healing assay, it was discovered that BZCOOSn reduced the migration of A549 cancerous cells. These data all pointed to BZCOOSn as a possible candidate for more research and development as a chemotherapeutic drug.","container-title":"Journal of Inorganic Biochemistry","DOI":"https://doi.org/10.1016/j.jinorgbio.2024.112609","ISSN":"0162-0134","page":"112609","title":"Synthesis and anti-tumor activities of three newly designed organotin(IV) carboxylates complexes","volume":"258","author":[{"family":"He","given":"Jing"},{"family":"Wang","given":"Yuqing"},{"family":"Su","given":"Chang"},{"family":"Hu","given":"Yuqing"},{"family":"Hu","given":"Weihua"},{"family":"Hu","given":"Lei"},{"family":"Wang","given":"Hui"}],"issued":{"date-parts":[["2024"]]}}}],"schema":"https://github.com/citation-style-language/schema/raw/master/csl-citation.json"} </w:instrText>
      </w:r>
      <w:r w:rsidR="00AD1F71" w:rsidRPr="00B051C2">
        <w:rPr>
          <w:highlight w:val="green"/>
          <w:lang w:val="en-US"/>
        </w:rPr>
        <w:fldChar w:fldCharType="separate"/>
      </w:r>
      <w:r w:rsidR="00AD1F71" w:rsidRPr="001F55AE">
        <w:rPr>
          <w:rFonts w:ascii="Times New Roman" w:hAnsi="Times New Roman" w:cs="Times New Roman"/>
          <w:highlight w:val="green"/>
          <w:lang w:val="fr-CA"/>
        </w:rPr>
        <w:t>(He et al., 2024)</w:t>
      </w:r>
      <w:r w:rsidR="00AD1F71" w:rsidRPr="00B051C2">
        <w:rPr>
          <w:highlight w:val="green"/>
          <w:lang w:val="en-US"/>
        </w:rPr>
        <w:fldChar w:fldCharType="end"/>
      </w:r>
      <w:r w:rsidR="00AD1F71" w:rsidRPr="001F55AE">
        <w:rPr>
          <w:highlight w:val="green"/>
          <w:lang w:val="fr-CA"/>
        </w:rPr>
        <w:t xml:space="preserve">, </w:t>
      </w:r>
      <w:proofErr w:type="spellStart"/>
      <w:r w:rsidR="00AD1F71" w:rsidRPr="001F55AE">
        <w:rPr>
          <w:highlight w:val="green"/>
          <w:lang w:val="fr-CA"/>
        </w:rPr>
        <w:t>antioxidant</w:t>
      </w:r>
      <w:proofErr w:type="spellEnd"/>
      <w:r w:rsidR="00AD1F71" w:rsidRPr="001F55AE">
        <w:rPr>
          <w:highlight w:val="green"/>
          <w:lang w:val="fr-CA"/>
        </w:rPr>
        <w:t xml:space="preserve"> </w:t>
      </w:r>
      <w:proofErr w:type="spellStart"/>
      <w:r w:rsidR="00AD1F71" w:rsidRPr="001F55AE">
        <w:rPr>
          <w:highlight w:val="green"/>
          <w:lang w:val="fr-CA"/>
        </w:rPr>
        <w:t>activities</w:t>
      </w:r>
      <w:proofErr w:type="spellEnd"/>
      <w:r w:rsidR="00AD1F71" w:rsidRPr="001F55AE">
        <w:rPr>
          <w:highlight w:val="green"/>
          <w:lang w:val="fr-CA"/>
        </w:rPr>
        <w:t xml:space="preserve"> </w:t>
      </w:r>
      <w:r w:rsidR="00AD1F71" w:rsidRPr="00B051C2">
        <w:rPr>
          <w:highlight w:val="green"/>
          <w:lang w:val="en-US"/>
        </w:rPr>
        <w:fldChar w:fldCharType="begin"/>
      </w:r>
      <w:r w:rsidR="00AD1F71" w:rsidRPr="001F55AE">
        <w:rPr>
          <w:highlight w:val="green"/>
          <w:lang w:val="fr-CA"/>
        </w:rPr>
        <w:instrText xml:space="preserve"> ADDIN ZOTERO_ITEM CSL_CITATION {"citationID":"QyQZa2vH","properties":{"formattedCitation":"(Nikitin et al., 2025)","plainCitation":"(Nikitin et al., 2025)","noteIndex":0},"citationItems":[{"id":3705,"uris":["http://zotero.org/users/local/JzcqJHT8/items/MCPFH597"],"itemData":{"id":3705,"type":"article-journal","abstract":"A series of organotin carboxylates were synthesized and characterized by NMR (1H, 13C, 119Sn) and IR spectroscopy, ESI mass-spectrometry and elemental analysis. The structure of two compounds was resolved directly using X-ray diffraction analysis and unusual heptacoordinated Sn coordination polyhedron was discovered for them. Antioxidant activity of the synthesized compounds was estimated using DPPH, NBT and CUPRAC-tests, lipid peroxidation and lipoxygenase inhibition capacity as well. It was shown that the presence of the hydroxyl group in the aromatic ring of the ligand drastically increases antioxidant potency of the complexes, while not noticeably affecting the antiproliferative properties, which were measured with the standard MTT-test. Moreover, it was shown that derivatives of dibutyl- and di-tert-butyltin exhibit the highest cytotoxicity. Three complexes were put forward as lead compounds and additional apoptosis induction studies were carried out. Noticeable caspase activation was shown for the complexes 4 and 7 thus marking their mode of action. The results obtained show that the complexes herein described are promising antiproliferative agents.","container-title":"Inorganica Chimica Acta","DOI":"https://doi.org/10.1016/j.ica.2024.122388","ISSN":"0020-1693","page":"122388","title":"Organotin carboxylates with bulky substituents. Synthesis, structure, cytotoxicity and antioxidant activity","volume":"574","author":[{"family":"Nikitin","given":"Evgeny"},{"family":"Fedorov","given":"Stanislav"},{"family":"Gracheva","given":"Yulia"},{"family":"Lyssenko","given":"Konstantin"},{"family":"Semykin","given":"Artem"},{"family":"Oprunenko","given":"Yury"},{"family":"Sobolev","given":"Nikita"},{"family":"Mazur","given":"Dmitrii"},{"family":"Dubova","given":"Ludmila"},{"family":"Shevtsova","given":"Elena"},{"family":"Milaeva","given":"Elena"}],"issued":{"date-parts":[["2025"]]}}}],"schema":"https://github.com/citation-style-language/schema/raw/master/csl-citation.json"} </w:instrText>
      </w:r>
      <w:r w:rsidR="00AD1F71" w:rsidRPr="00B051C2">
        <w:rPr>
          <w:highlight w:val="green"/>
          <w:lang w:val="en-US"/>
        </w:rPr>
        <w:fldChar w:fldCharType="separate"/>
      </w:r>
      <w:r w:rsidR="00AD1F71" w:rsidRPr="001F55AE">
        <w:rPr>
          <w:rFonts w:ascii="Times New Roman" w:hAnsi="Times New Roman" w:cs="Times New Roman"/>
          <w:highlight w:val="green"/>
          <w:lang w:val="fr-CA"/>
        </w:rPr>
        <w:t>(Nikitin et al., 2025)</w:t>
      </w:r>
      <w:r w:rsidR="00AD1F71" w:rsidRPr="00B051C2">
        <w:rPr>
          <w:highlight w:val="green"/>
          <w:lang w:val="en-US"/>
        </w:rPr>
        <w:fldChar w:fldCharType="end"/>
      </w:r>
      <w:r w:rsidR="00AD1F71" w:rsidRPr="001F55AE">
        <w:rPr>
          <w:highlight w:val="green"/>
          <w:lang w:val="fr-CA"/>
        </w:rPr>
        <w:t xml:space="preserve"> and fluorescent </w:t>
      </w:r>
      <w:proofErr w:type="spellStart"/>
      <w:r w:rsidR="00AD1F71" w:rsidRPr="001F55AE">
        <w:rPr>
          <w:highlight w:val="green"/>
          <w:lang w:val="fr-CA"/>
        </w:rPr>
        <w:t>properties</w:t>
      </w:r>
      <w:proofErr w:type="spellEnd"/>
      <w:r w:rsidR="00AD1F71" w:rsidRPr="001F55AE">
        <w:rPr>
          <w:highlight w:val="green"/>
          <w:lang w:val="fr-CA"/>
        </w:rPr>
        <w:t xml:space="preserve"> </w:t>
      </w:r>
      <w:r w:rsidR="00AD1F71" w:rsidRPr="00B051C2">
        <w:rPr>
          <w:highlight w:val="green"/>
          <w:lang w:val="en-US"/>
        </w:rPr>
        <w:fldChar w:fldCharType="begin"/>
      </w:r>
      <w:r w:rsidR="00AD1F71" w:rsidRPr="001F55AE">
        <w:rPr>
          <w:highlight w:val="green"/>
          <w:lang w:val="fr-CA"/>
        </w:rPr>
        <w:instrText xml:space="preserve"> ADDIN ZOTERO_ITEM CSL_CITATION {"citationID":"jK7tgrSe","properties":{"formattedCitation":"(Liu et al., 2024)","plainCitation":"(Liu et al., 2024)","noteIndex":0},"citationItems":[{"id":3706,"uris":["http://zotero.org/users/local/JzcqJHT8/items/M59ZHM8X"],"itemData":{"id":3706,"type":"article-journal","abstract":"Three Cd(II) coordination complexes, formulated as [Cd(dbim)(p-phda)]n (1), [Cd(dbim)1.5(suc)]n (2), [Cd(dbim)0.5(m-bdc)(2H2O)]n (3) (dbim = 1-(4-((2,5-dimethyl-3aH-benzo[d]imidazol-1(7aH)-yl)methyl)benzyl)-3a,7a-dihydro-2,5-dimethyl-1H-benzo[d]imidazole, p-H2phda = p-phenylenediacetic acid, H2suc = succinic acid, m-H2bdc = 1,3-benzenedicarboxylic acid), have been obtained by hydrothermal reactions. Complex 1 features a 4-connected 2D topological net with a point symbol of 44·62. Complex 2 possesses a 3-connected 2D layer with a point symbol of 63. Complex 3 presents a chain structure ornamented with uncoordinated Lewis basic O donor. Complex 3 shows highly sensing for p-Nitrophenol, Erythromycin and 2,6-Dichloro-4-nitroaniline with fluorescence quenching/enhancement, by energy transfer process. The binding constants were calculated as 2.9 × 104 mol−1 for p-Nitrophenol, 5.3 × 103 mol−1 for Erythromycin and 7.2 × 103 mol−1 for 2,6-Dichloro-4-nitroaniline, respectively. The study indicates that Complex 3 can be as a rare sensory material for efficiently detecting p-Nitrophenol, Erythromycin and 2,6-Dichloro-4-nitroaniline.","container-title":"Journal of Molecular Structure","DOI":"https://doi.org/10.1016/j.molstruc.2024.138278","ISSN":"0022-2860","page":"138278","title":"Cd(II) coordination complexes built from semirigid bis(dimethylbenzimidazole) ligand and different carboxylates: Fluorescent sensor and recognition mechanism for p-nitrophenol, erythromycin and 2,6-dichloro-4-nitroaniline","volume":"1310","author":[{"family":"Liu","given":"Lu"},{"family":"Wang","given":"Hui-Jie"},{"family":"Qu","given":"Ling-Bo"},{"family":"Li","given":"Chun-Xiang"},{"family":"Li","given":"Ying"},{"family":"Cui","given":"Cheng-Xing"}],"issued":{"date-parts":[["2024"]]}}}],"schema":"https://github.com/citation-style-language/schema/raw/master/csl-citation.json"} </w:instrText>
      </w:r>
      <w:r w:rsidR="00AD1F71" w:rsidRPr="00B051C2">
        <w:rPr>
          <w:highlight w:val="green"/>
          <w:lang w:val="en-US"/>
        </w:rPr>
        <w:fldChar w:fldCharType="separate"/>
      </w:r>
      <w:r w:rsidR="00AD1F71" w:rsidRPr="001F55AE">
        <w:rPr>
          <w:rFonts w:ascii="Times New Roman" w:hAnsi="Times New Roman" w:cs="Times New Roman"/>
          <w:highlight w:val="green"/>
          <w:lang w:val="fr-CA"/>
        </w:rPr>
        <w:t>(Liu et al., 2024)</w:t>
      </w:r>
      <w:r w:rsidR="00AD1F71" w:rsidRPr="00B051C2">
        <w:rPr>
          <w:highlight w:val="green"/>
          <w:lang w:val="en-US"/>
        </w:rPr>
        <w:fldChar w:fldCharType="end"/>
      </w:r>
      <w:r w:rsidR="00AD1F71" w:rsidRPr="001F55AE">
        <w:rPr>
          <w:highlight w:val="green"/>
          <w:lang w:val="fr-CA"/>
        </w:rPr>
        <w:t xml:space="preserve"> </w:t>
      </w:r>
      <w:proofErr w:type="spellStart"/>
      <w:r w:rsidR="00AD1F71" w:rsidRPr="001F55AE">
        <w:rPr>
          <w:highlight w:val="green"/>
          <w:lang w:val="fr-CA"/>
        </w:rPr>
        <w:t>were</w:t>
      </w:r>
      <w:proofErr w:type="spellEnd"/>
      <w:r w:rsidR="00AD1F71" w:rsidRPr="001F55AE">
        <w:rPr>
          <w:highlight w:val="green"/>
          <w:lang w:val="fr-CA"/>
        </w:rPr>
        <w:t xml:space="preserve"> </w:t>
      </w:r>
      <w:proofErr w:type="spellStart"/>
      <w:r w:rsidR="00AD1F71" w:rsidRPr="001F55AE">
        <w:rPr>
          <w:highlight w:val="green"/>
          <w:lang w:val="fr-CA"/>
        </w:rPr>
        <w:t>recently</w:t>
      </w:r>
      <w:proofErr w:type="spellEnd"/>
      <w:r w:rsidR="00AD1F71" w:rsidRPr="001F55AE">
        <w:rPr>
          <w:highlight w:val="green"/>
          <w:lang w:val="fr-CA"/>
        </w:rPr>
        <w:t xml:space="preserve"> </w:t>
      </w:r>
      <w:proofErr w:type="spellStart"/>
      <w:r w:rsidR="00AD1F71" w:rsidRPr="001F55AE">
        <w:rPr>
          <w:highlight w:val="green"/>
          <w:lang w:val="fr-CA"/>
        </w:rPr>
        <w:t>reported</w:t>
      </w:r>
      <w:proofErr w:type="spellEnd"/>
      <w:r w:rsidR="00AD1F71" w:rsidRPr="001F55AE">
        <w:rPr>
          <w:highlight w:val="green"/>
          <w:lang w:val="fr-CA"/>
        </w:rPr>
        <w:t xml:space="preserve"> in the </w:t>
      </w:r>
      <w:proofErr w:type="spellStart"/>
      <w:r w:rsidR="00AD1F71" w:rsidRPr="001F55AE">
        <w:rPr>
          <w:highlight w:val="green"/>
          <w:lang w:val="fr-CA"/>
        </w:rPr>
        <w:t>literature</w:t>
      </w:r>
      <w:proofErr w:type="spellEnd"/>
      <w:r w:rsidR="00AD1F71" w:rsidRPr="001F55AE">
        <w:rPr>
          <w:highlight w:val="green"/>
          <w:lang w:val="fr-CA"/>
        </w:rPr>
        <w:t>.</w:t>
      </w:r>
      <w:r w:rsidR="00BD0C08" w:rsidRPr="001F55AE">
        <w:rPr>
          <w:lang w:val="fr-CA"/>
        </w:rPr>
        <w:t xml:space="preserve"> </w:t>
      </w:r>
      <w:r w:rsidRPr="00F25B40">
        <w:rPr>
          <w:rFonts w:ascii="Arial" w:hAnsi="Arial" w:cs="Arial"/>
          <w:sz w:val="20"/>
          <w:szCs w:val="20"/>
          <w:lang w:val="en-US"/>
        </w:rPr>
        <w:t>Complexes with open structures possessing porous channels that give them catalytic properties have been obtained from carboxylates</w:t>
      </w:r>
      <w:r w:rsidR="00041800" w:rsidRPr="00F25B40">
        <w:rPr>
          <w:rFonts w:ascii="Arial" w:hAnsi="Arial" w:cs="Arial"/>
          <w:sz w:val="20"/>
          <w:szCs w:val="20"/>
          <w:lang w:val="en-US"/>
        </w:rPr>
        <w:t xml:space="preserve"> </w:t>
      </w:r>
      <w:r w:rsidR="00041800"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{"citationID":"p2kgR4X4","properties":{"formattedCitation":"(L. Zhang et al., 2009; T. Zhang &amp; Crou\\uc0\\u233{}, 2014)","plainCitation":"(L. Zhang et al., 2009; T. Zhang &amp; Croué, 2014)","noteIndex":0},"citationItems":[{"id":3669,"uris":["http://zotero.org/users/local/JzcqJHT8/items/CRMPQEGA"],"itemData":{"id":3669,"type":"article-journal","container-title":"Inorganic Chemistry","DOI":"10.1021/ic900425r","ISSN":"0020-1669","issue":"14","journalAbbreviation":"Inorg. Chem.","note":"publisher: American Chemical Society","page":"6517-6525","title":"Synthesis, Structure, and Luminescent Properties of Hybrid Inorganic−Organic Framework Materials Formed by Lead Aromatic Carboxylates: Inorganic Connectivity Variation from 0D to 3D","volume":"48","author":[{"family":"Zhang","given":"Lei"},{"family":"Li","given":"Zhao-Ji"},{"family":"Lin","given":"Qi-Pu"},{"family":"Qin","given":"Ye-Yan"},{"family":"Zhang","given":"Jian"},{"family":"Yin","given":"Pei-Xiu"},{"family":"Cheng","given":"Jian-Kai"},{"family":"Yao","given":"Yuan-Gen"}],"issued":{"date-parts":[["2009",7,20]]}},"label":"page"},{"id":3671,"uris":["http://zotero.org/users/local/JzcqJHT8/items/AW5PDWVB"],"itemData":{"id":3671,"type":"article-journal","abstract":"Catalytic ozonation following non-hydroxyl radical pathway is an important technique not only to degrade refractory carboxylic-containing organic compounds/matter but also to avoid catalyst deactivation caused by metal–carboxylate complexation. It is unknown whether this process is effective for all carboxylates or selective to special molecule structures. In this work, the selectivity was confirmed using O3/(CuO/CeO2) and six distinct ozone-resistant probe carboxylates (i.e., acetate, citrate, malonate, oxalate, pyruvate and succinate). Among these probe compounds, pyruvate, oxalate, and citrate were readily degraded following the rate order of oxalate&gt;citrate&gt;pyruvate, while the degradation of acetate, malonate, and succinate was not promoted. The selectivity was independent on carboxylate group number of the probe compounds and solution pH. Competitive degradation was observed for carboxylate mixtures following the preference order of citrate, oxalate, and finally pyruvate. The competitive degradation was ascribed to competitive adsorption on the catalyst surface. It was revealed that the catalytically degradable compounds formed bidentate chelating or bridging complexes with surface copper sites of the catalyst, i.e., the active sites. The catalytically undegradable carboxylates formed monodentate complexes with surface copper sites or just electrostatically adsorbed on the catalyst surface. The selectivity, relying on the structure of surface metal–carboxylate complex, should be considered in the design of catalytic ozonation process.","container-title":"Applied Catalysis B: Environmental","DOI":"https://doi.org/10.1016/j.apcatb.2013.08.023","ISSN":"0926-3373","page":"831-839","title":"Catalytic ozonation not relying on hydroxyl radical oxidation: A selective and competitive reaction process related to metal–carboxylate complexes","volume":"144","author":[{"family":"Zhang","given":"Tao"},{"family":"Croué","given":"Jean-Philippe"}],"issued":{"date-parts":[["2014"]]}},"label":"page"}],"schema":"https://github.com/citation-style-language/schema/raw/master/csl-citation.json"} </w:instrText>
      </w:r>
      <w:r w:rsidR="00041800" w:rsidRPr="00F25B40">
        <w:rPr>
          <w:rFonts w:ascii="Arial" w:hAnsi="Arial" w:cs="Arial"/>
          <w:sz w:val="20"/>
          <w:szCs w:val="20"/>
          <w:lang w:val="en-US"/>
        </w:rPr>
        <w:fldChar w:fldCharType="separate"/>
      </w:r>
      <w:r w:rsidR="002E71C7" w:rsidRPr="00F25B40">
        <w:rPr>
          <w:rFonts w:ascii="Arial" w:hAnsi="Arial" w:cs="Arial"/>
          <w:kern w:val="0"/>
          <w:sz w:val="20"/>
          <w:lang w:val="en-US"/>
        </w:rPr>
        <w:t>(L. Zhang et al., 2009; T. Zhang &amp; Croué, 2014)</w:t>
      </w:r>
      <w:r w:rsidR="00041800" w:rsidRPr="00F25B40">
        <w:rPr>
          <w:rFonts w:ascii="Arial" w:hAnsi="Arial" w:cs="Arial"/>
          <w:sz w:val="20"/>
          <w:szCs w:val="20"/>
          <w:lang w:val="en-US"/>
        </w:rPr>
        <w:fldChar w:fldCharType="end"/>
      </w:r>
      <w:r w:rsidR="00041800" w:rsidRPr="00F25B40">
        <w:rPr>
          <w:rFonts w:ascii="Arial" w:hAnsi="Arial" w:cs="Arial"/>
          <w:sz w:val="20"/>
          <w:szCs w:val="20"/>
          <w:lang w:val="en-US"/>
        </w:rPr>
        <w:t xml:space="preserve">. </w:t>
      </w:r>
      <w:r w:rsidRPr="00F25B40">
        <w:rPr>
          <w:rFonts w:ascii="Arial" w:hAnsi="Arial" w:cs="Arial"/>
          <w:sz w:val="20"/>
          <w:szCs w:val="20"/>
          <w:lang w:val="en-US"/>
        </w:rPr>
        <w:t xml:space="preserve">When an imidazole derivative is combined with a ligand bearing one or more carboxylate groups, original structures are generated </w:t>
      </w:r>
      <w:r w:rsidR="00840A41"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{"citationID":"VHcgRmSu","properties":{"formattedCitation":"(H. Liu et al., 2024; Obaleye et al., 2020; Park et al., 2020)","plainCitation":"(H. Liu et al., 2024; Obaleye et al., 2020; Park et al., 2020)","noteIndex":0},"citationItems":[{"id":3672,"uris":["http://zotero.org/users/local/JzcqJHT8/items/TRICNN9R"],"itemData":{"id":3672,"type":"article-journal","abstract":"Solvothermal reactions of a tetradentate imidazole-containing ligand, 3,3′,5,5′-tetra(1H-imidazol-1-yl)-1,1′-biphenyl (L), combined with Zn(II) salt in the presence of varied auxiliary dicarboxylic acids yield three new polymers with (4,4) topologies, [Zn2(L)(o-BDC)2] (1), [Zn2(L)(m-BDC)2]·4H2O (2), [Zn2(L)(p-BDC)2]·2MeOH·4H2O (3) (o-H2BDC = phthalic acid, m-H2BDC = isophthalic acid, p-H2BDC = terephthalic acid). Single crystal X-ray diffraction analysis has revealed that complexes 1 and 2 consist of two-dimensional (2D) layers with different macrocycles, 40- and 52-membered macrocycles in 1, while one 46-membered macrocycles in 2, which is further connected by carboxylates to bring about three-dimensional (3D) frameworks. In complex 3, the layers formed by L, partial p-BDC2− and Zn(II), are pillared by the rest p-BDC2− to result in the final 3D structure. Furthermore, the photoluminescence of these compounds as well as the sorption properties of 2 were investigated.","container-title":"Journal of Molecular Structure","DOI":"https://doi.org/10.1016/j.molstruc.2024.139114","ISSN":"0022-2860","page":"139114","title":"Tuning the structures of three complexes with (4,4) topologies based on imidazole-containing ligand via auxiliary dicarboxylates","volume":"1317","author":[{"family":"Liu","given":"Hua"},{"family":"Zhang","given":"Yu-Tao"},{"family":"Luo","given":"Li"},{"family":"Chen","given":"Kai"}],"issued":{"date-parts":[["2024"]]}},"label":"page"},{"id":3674,"uris":["http://zotero.org/users/local/JzcqJHT8/items/MHAU56EI"],"itemData":{"id":3674,"type":"article-journal","abstract":"Cu(II) complex with trichloroacetic acid and imidazole have been synthesized and characterized by elemental analysis, Uv–Vis, FTIR and single crystal X-ray crystallographic analysis. The compound was synthesized through green synthetic route by simply grinding and dissolving the homogenous mixture of the three components in distilled water at room temperature. The newly synthesized Cu(II) complex crystallized in monoclinic crystal system with C2/c space group. The Cu is in a square planar milieu formed by oxygen atoms from four trichloroacetato ligands. The chlorine atoms are disordered. The imidazole molecules are not directly bonded to the Cu but hydrogen bonding exist between the imidazole and the Cu(II) tetratrichloroacetato complex. The Cu(II) complex shows a significant activity when tested against selected bacteria and fungi compared to its parent ligands.","container-title":"Journal of Molecular Structure","DOI":"https://doi.org/10.1016/j.molstruc.2019.127435","ISSN":"0022-2860","page":"127435","title":"Synthesis, X-ray crystallography, spectroscopic and in vitro antimicrobial studies of a new Cu(II) complex of trichloroacetic acid and imidazole","volume":"1203","author":[{"family":"Obaleye","given":"Joshua A."},{"family":"Ajibola","given":"Abiodun A."},{"family":"Bernardus","given":"Van B."},{"family":"Hosten","given":"Eric C."}],"issued":{"date-parts":[["2020"]]}},"label":"page"},{"id":3673,"uris":["http://zotero.org/users/local/JzcqJHT8/items/XCY5JTFJ"],"itemData":{"id":3673,"type":"article-journal","abstract":"Imidazole- and N-methylimidazole carboxylate have been introduced to serve as ancillary ligands in heteroleptic Ir(iii) complexes containing 2-phenylpyridine-based main ligands, with consideration of the frontier orbital energy levels. Complexes Ir1–Ir4 were synthesized and found to have LUMO levels higher than that of the corresponding Ir(iii) complex containing pyridyl carboxylate. All the synthesized Ir(iii) complexes exhi</w:instrText>
      </w:r>
      <w:r w:rsidR="002E71C7" w:rsidRPr="00F25B40">
        <w:rPr>
          <w:rFonts w:ascii="Arial" w:hAnsi="Arial" w:cs="Arial"/>
          <w:sz w:val="20"/>
          <w:szCs w:val="20"/>
          <w:lang w:val="fr-CA"/>
        </w:rPr>
        <w:instrText xml:space="preserve">bited blue phosphorescence emission maxima in the region of 465–467 nm at room temperature. Phosphorescent quantum efficiencies were increased by a factor of 1.8–6.7 by blocking the intermolecular hydrogen bonding between the imidazole carboxylate ligands of neighboring Ir(iii) complexes, which was achieved by N-methylation of the imidazole carboxylate ancillary ligand. The organic light-emitting diodes fabricated using Ir3 and Ir4 as dopant materials in the emissive layers were found to emit blue emission with peaks at 469 and 471 nm and maximum external quantum efficiencies of 20.0 and 22.4%, respectively. Moreover, all the fabricated devices with Ir3 and Ir4 exhibited low efficiency roll-off, indicating excellent stability of the materials.","container-title":"J. Mater. Chem. C","DOI":"10.1039/D0TC03773G","issue":"39","note":"publisher: The Royal Society of Chemistry","page":"13843-13851","title":"New blue phosphorescent heteroleptic Ir(iii) complexes with imidazole- and N-methylimidazole carboxylates as ancillary ligands","volume":"8","author":[{"family":"Park","given":"Hea Jung"},{"family":"Chae","given":"Eun Ah"},{"family":"Seo","given":"Hye Won"},{"family":"Jang","given":"Jae-Ho"},{"family":"Chung","given":"Won Jae"},{"family":"Lee","given":"Jun Yeob"},{"family":"Hwang","given":"Do-Hoon"},{"family":"Yoon","given":"Ung Chan"}],"issued":{"date-parts":[["2020"]]}},"label":"page"}],"schema":"https://github.com/citation-style-language/schema/raw/master/csl-citation.json"} </w:instrText>
      </w:r>
      <w:r w:rsidR="00840A41" w:rsidRPr="00F25B40">
        <w:rPr>
          <w:rFonts w:ascii="Arial" w:hAnsi="Arial" w:cs="Arial"/>
          <w:sz w:val="20"/>
          <w:szCs w:val="20"/>
          <w:lang w:val="en-US"/>
        </w:rPr>
        <w:fldChar w:fldCharType="separate"/>
      </w:r>
      <w:r w:rsidR="002E71C7" w:rsidRPr="00F25B40">
        <w:rPr>
          <w:rFonts w:ascii="Arial" w:hAnsi="Arial" w:cs="Arial"/>
          <w:sz w:val="20"/>
          <w:lang w:val="fr-CA"/>
        </w:rPr>
        <w:t>(H. Liu et al., 2024; Obaleye et al., 2020; Park et al., 2020)</w:t>
      </w:r>
      <w:r w:rsidR="00840A41" w:rsidRPr="00F25B40">
        <w:rPr>
          <w:rFonts w:ascii="Arial" w:hAnsi="Arial" w:cs="Arial"/>
          <w:sz w:val="20"/>
          <w:szCs w:val="20"/>
          <w:lang w:val="en-US"/>
        </w:rPr>
        <w:fldChar w:fldCharType="end"/>
      </w:r>
      <w:r w:rsidRPr="00F25B40">
        <w:rPr>
          <w:rFonts w:ascii="Arial" w:hAnsi="Arial" w:cs="Arial"/>
          <w:sz w:val="20"/>
          <w:szCs w:val="20"/>
          <w:lang w:val="fr-CA"/>
        </w:rPr>
        <w:t xml:space="preserve">. </w:t>
      </w:r>
      <w:r w:rsidRPr="00F25B40">
        <w:rPr>
          <w:rFonts w:ascii="Arial" w:hAnsi="Arial" w:cs="Arial"/>
          <w:sz w:val="20"/>
          <w:szCs w:val="20"/>
          <w:lang w:val="en-US"/>
        </w:rPr>
        <w:t xml:space="preserve">Coordination compounds with both an imidazole derivative and a carboxylate ligand are reported in the literature. They possess important physical properties such as magnetism </w:t>
      </w:r>
      <w:r w:rsidR="0072720E"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{"citationID":"YxcAzFfb","properties":{"formattedCitation":"(Brezovan et al., 2020; Zhou et al., 2020)","plainCitation":"(Brezovan et al., 2020; Zhou et al., 2020)","noteIndex":0},"citationItems":[{"id":3676,"uris":["http://zotero.org/users/local/JzcqJHT8/items/EFN9HQ6A"],"itemData":{"id":3676,"type":"article-journal","abstract":"Four novel complexes [Co(μ2-suc)(bzim)2(MeOH)2]n (I), [Co(μ2-suc)(bzim)2(H2O)2]n (II), [Co(μ2-suc)(2-Mebzim)2(H2O)2]n (III) and [Co(μ2-suc)(2-Etbzim)2]n (IV) (suc = succinate dianion, bzim = 1-H-benzimidazole, 2-Mebzim = 2-methyl-1-H-benzimidazole and 2-Etbzim = 2-ethyl-1-H-benzimidazole) were synthesized and characterized by elemental analysis, single-crystal structure analysis, infrared and electronic spectra and magnetic measurements. The coordination environment of the central atom is octahedral in I–III and tetrahedral geometry is documented in IV, which is relatively rare in presence of N-donating ligands. All four complexes form one-dimensional coordination polymers which are further connected by N–H</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O and/or O–H</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 xml:space="preserve">O bridges into supramolecular two-dimensional (I) or three-dimensional (II–IV) networks. The interpretation of magnetic properties of complexes II–IV was supported with the help of state-of-the-art quantum chemistry proving spin-only behaviour of tetrahedral system IV and spin–orbit interaction in II and III.","container-title":"Chemical Papers","DOI":"10.1007/s11696-020-01206-1","ISSN":"1336-9075","issue":"11","journalAbbreviation":"Chemical Papers","page":"3741-3753","title":"Four novel cobalt(II) succinate coordination polymers with N-heterocyclic ligands: crystal structures, spectral properties, magnetism and computational study","volume":"74","author":[{"family":"Brezovan","given":"Marek"},{"family":"Kuchtanin","given":"Vladimír"},{"family":"Moncol","given":"Ján"},{"family":"Pavlik","given":"Ján"},{"family":"Dlháň","given":"Ľubor"},{"family":"Segľa","given":"Peter"}],"issued":{"date-parts":[["2020",11,1]]}},"label":"page"},{"id":3675,"uris":["http://zotero.org/users/local/JzcqJHT8/items/FD4E6ZQ6","http://zotero.org/users/local/JzcqJHT8/items/5EJPNNKD"],"itemData":{"id":3675,"type":"article-journal","abstract":"Four metal–organic coordination complexes, namely {[Zn(SIP)(mbi)2]·(Hmbi)·(H2O)2}n (1), {[Cd3(SIP)2(bbhb)3(H2O)4]·(H2O)2}n (2), [Co3(SIP)2(bbhb)4(H2O)2]n (3) and [Zn2(NIPA)2(mbi)2(H2O)3] (4) (H3SIP = 5-sulfoisophthalic acid, mbi = 2-methylbenzimidazole, bbhb = 1,1′-(1,4-butanediyl)bis-1H-benzimidazole and H2NIPA = 5-nitroisophthalic acid), have been hydrothermally synthesized. Single-crystal X-ray analyses show that these complexes have different structural features. In complex 1, the SIP3− anions bridge Zn(II) atoms to form 1D right-handed helical chains, which are further interconnected by hydrogen-bond interactions, forming a 3D supramolecular architecture. In complex 2, the Cd1 and Cd2 atoms are bridged by SIP3− ligands to form 1D chains, which are extended to 2D layer with Cd3 atoms as hinges. The 2D layers are further connected by bbhb ligands to give a 3D framework. The Co(II) atoms in compound 3 are bridged by SIP3− anions to generate 1D ladder-like chain; then, the 1D chains extend to 2D network by the connection of “L”-shaped bbhb ligands. Finally, the 2D networks are bridged by “S”-shaped bbhb ligands to give rise to the formation of 3D framework. In compound 4, the binuclear molecules are connected through hydrogen bonds to generate a 2D layer. The results illustrate that the carboxylate ligands and the versatile conformations of the bbhb ligands contribute to the structural diversity of these complexes. The photoluminescent properties of complexes 1, 2 and 4 are also studied.","container-title":"Transition Metal Chemistry","DOI":"10.1007/s11243-020-00387-8","ISSN":"1572-901X","issue":"5","journalAbbreviation":"Transition Metal Chemistry","page":"353-362","title":"Syntheses, crystal structures and properties of four metal coordination complexes constructed from aromatic carboxylate and benzimidazole-based ligands","volume":"45","author":[{"family":"Zhou","given":"Yong-Hong"},{"family":"Xu","given":"Yun"},{"family":"Xue","given":"Zu-Qian"},{"family":"Shi","given":"Jun-Qing"},{"family":"Su","given":"Yue"},{"family":"Sun","given":"Mei-Ling"},{"family":"Wang","given":"Si-Hui"},{"family":"Wang","given":"Long-Long"},{"family":"Wang","given":"Qing-Qing"},{"family":"Wei","given":"Yuan-Jie"}],"issued":{"date-parts":[["2020",8,1]]}},"label":"page"}],"schema":"https://github.com/citation-style-language/schema/raw/master/csl-citation.json"} </w:instrText>
      </w:r>
      <w:r w:rsidR="0072720E" w:rsidRPr="00F25B40">
        <w:rPr>
          <w:rFonts w:ascii="Arial" w:hAnsi="Arial" w:cs="Arial"/>
          <w:sz w:val="20"/>
          <w:szCs w:val="20"/>
          <w:lang w:val="en-US"/>
        </w:rPr>
        <w:fldChar w:fldCharType="separate"/>
      </w:r>
      <w:r w:rsidR="002E71C7" w:rsidRPr="00F25B40">
        <w:rPr>
          <w:rFonts w:ascii="Arial" w:hAnsi="Arial" w:cs="Arial"/>
          <w:sz w:val="20"/>
        </w:rPr>
        <w:t xml:space="preserve">(Brezovan et al., 2020; Zhou </w:t>
      </w:r>
      <w:r w:rsidR="002E71C7" w:rsidRPr="00F25B40">
        <w:rPr>
          <w:rFonts w:ascii="Arial" w:hAnsi="Arial" w:cs="Arial"/>
          <w:sz w:val="20"/>
        </w:rPr>
        <w:lastRenderedPageBreak/>
        <w:t>et al., 2020)</w:t>
      </w:r>
      <w:r w:rsidR="0072720E" w:rsidRPr="00F25B40">
        <w:rPr>
          <w:rFonts w:ascii="Arial" w:hAnsi="Arial" w:cs="Arial"/>
          <w:sz w:val="20"/>
          <w:szCs w:val="20"/>
          <w:lang w:val="en-US"/>
        </w:rPr>
        <w:fldChar w:fldCharType="end"/>
      </w:r>
      <w:r w:rsidRPr="00F25B40">
        <w:rPr>
          <w:rFonts w:ascii="Arial" w:hAnsi="Arial" w:cs="Arial"/>
          <w:sz w:val="20"/>
          <w:szCs w:val="20"/>
          <w:lang w:val="fr-CA"/>
        </w:rPr>
        <w:t xml:space="preserve">, </w:t>
      </w:r>
      <w:proofErr w:type="spellStart"/>
      <w:r w:rsidRPr="00F25B40">
        <w:rPr>
          <w:rFonts w:ascii="Arial" w:hAnsi="Arial" w:cs="Arial"/>
          <w:sz w:val="20"/>
          <w:szCs w:val="20"/>
          <w:lang w:val="fr-CA"/>
        </w:rPr>
        <w:t>catalysis</w:t>
      </w:r>
      <w:proofErr w:type="spellEnd"/>
      <w:r w:rsidRPr="00F25B40">
        <w:rPr>
          <w:rFonts w:ascii="Arial" w:hAnsi="Arial" w:cs="Arial"/>
          <w:sz w:val="20"/>
          <w:szCs w:val="20"/>
          <w:lang w:val="fr-CA"/>
        </w:rPr>
        <w:t xml:space="preserve"> </w:t>
      </w:r>
      <w:r w:rsidR="00004606" w:rsidRPr="00F25B40">
        <w:rPr>
          <w:rFonts w:ascii="Arial" w:hAnsi="Arial" w:cs="Arial"/>
          <w:sz w:val="20"/>
          <w:szCs w:val="20"/>
          <w:lang w:val="fr-CA"/>
        </w:rPr>
        <w:fldChar w:fldCharType="begin"/>
      </w:r>
      <w:r w:rsidR="002E71C7" w:rsidRPr="00F25B40">
        <w:rPr>
          <w:rFonts w:ascii="Arial" w:hAnsi="Arial" w:cs="Arial"/>
          <w:sz w:val="20"/>
          <w:szCs w:val="20"/>
          <w:lang w:val="fr-CA"/>
        </w:rPr>
        <w:instrText xml:space="preserve"> ADDIN ZOTERO_ITEM CSL_CITATION {"citationID":"9ScAMhBG","properties":{"formattedCitation":"(Czylkowska et al., 2020; Mukred &amp; Aly, 2025)","plainCitation":"(Czylkowska et al., 2020; Mukred &amp; Aly, 2025)","noteIndex":0},"citationItems":[{"id":3678,"uris":["http://zotero.org/users/local/JzcqJHT8/items/BBVRF22A"],"itemData":{"id":3678,"type":"article-journal","abstract":"Four solid compounds with formulae: Co(OAc)2(Im)·H2O (I), Ni(OAc)2(Im)1.5·2H2O (II), Cu2(OAc)4(Im) (III) and Zn(OAc)2(Im)·H2O (IV) (where: Im = 1H-Imidazole) were prepared and characterized by chemical and elemental analysis, powder X-ray diffraction patterns and FTIR spectroscopy. Catalytic properties of each complex for styrene oxidation reaction were investigated. Furthermore, thermal properties of compounds were studied using the TG-DTG and DSC techniques under dry air atmosphere. Additionally, volatile thermal decomposition and fragmentation products were also investigated using the TG-FTIR spectra in air.","container-title":"Materials","DOI":"10.3390/ma13143217","ISSN":"1996-1944","issue":"14","title":"Synthesis, Spectroscopic, Thermal and Catalytic Properties of Four New Metal (II) Complexes with Selected N- and O-Donor Ligands","URL":"https://www.mdpi.com/1996-1944/13/14/3217","volume":"13","author":[{"family":"Czylkowska","given":"Agnieszka"},{"family":"Rogalewicz","given":"Bartłomiej"},{"family":"Raducka","given":"Anita"},{"family":"Błaszczyk","given":"Natalia"},{"family":"Maniecki","given":"Tomasz"},{"family":"Wieczorek","given":"Kinga"},{"family":"Mierczyński","given":"Paweł"}],"issued":{"date-parts":[["2020"]]}},"label":"page"},{"id":3677,"uris":["http://zotero.org/users/local/JzcqJHT8/items/4DKMKRJH"],"itemData":{"id":3677,"type":"article-journal","abstract":"The current study describes the synthesis and complete characterization of three new copper coordination polymers, namely {[Cu2(tyr)2(Him)3(Cl)2(H2O)2].H2O}n 1, {[Cu2(bdc)2(Him)3(H2O)4].H2O}n 2, and {[Cu(btec)(Him)2].3H2O}n 3, where L-tyr = L-tyrosine, H2bdc = terephthalic acid, H4btec = pyromellitic acid, and Him = imidazole. They were characterized using various analytical techniques such as elemental analysis, FT-IR, UV–Vis, magnetic measurements, molar conductance, MM2 theoretical calculations, TG/DTA, and XRPD. Additionally, the catalytic activity of the complexes toward H2O2 decomposition was evaluated as well as their biological activity was tested against bacteria and fungi. The complexes exhibit an octahedral geometry around the copper centers. Thermogravimetric analysis confirmed the thermal stability of the complexes and their proposed structures. The results of the properties, including magnetism, activation energy (E*), nanoparticle sizes, catalytic activity and biological activity of these complexes were computed and discussed. The functional groups, hydrogen bonding, and copper ions significantly influenced the structures, physical properties and biological activity. The findings suggest that complex 1 is a promising candidate as a catalyst and medical transport, while complexes 2 and 3 are promising candidates as porous materials.","container-title":"Journal of the Iranian Chemical Society","DOI":"10.1007/s13738-024-03109-4","ISSN":"1735-2428","issue":"1","journalAbbreviation":"Journal of the Iranian Chemical Society","page":"35-48","title":"Facile synthesis of three new nanosized supramolecular imidazole-carboxylato Cu(II) coordination polymers of promising biological activity","volume":"22","author":[{"family":"Mukred","given":"Rasel Ahmed"},{"family":"Aly","given":"Aref Ahmed Mohamed"}],"issued":{"date-parts":[["2025",1,1]]}},"label":"page"}],"schema":"https://github.com/citation-style-language/schema/raw/master/csl-citation.json"} </w:instrText>
      </w:r>
      <w:r w:rsidR="00004606" w:rsidRPr="00F25B40">
        <w:rPr>
          <w:rFonts w:ascii="Arial" w:hAnsi="Arial" w:cs="Arial"/>
          <w:sz w:val="20"/>
          <w:szCs w:val="20"/>
          <w:lang w:val="fr-CA"/>
        </w:rPr>
        <w:fldChar w:fldCharType="separate"/>
      </w:r>
      <w:r w:rsidR="002E71C7" w:rsidRPr="00F25B40">
        <w:rPr>
          <w:rFonts w:ascii="Arial" w:hAnsi="Arial" w:cs="Arial"/>
          <w:sz w:val="20"/>
        </w:rPr>
        <w:t>(Czylkowska et al., 2020; Mukred &amp; Aly, 2025)</w:t>
      </w:r>
      <w:r w:rsidR="00004606" w:rsidRPr="00F25B40">
        <w:rPr>
          <w:rFonts w:ascii="Arial" w:hAnsi="Arial" w:cs="Arial"/>
          <w:sz w:val="20"/>
          <w:szCs w:val="20"/>
          <w:lang w:val="fr-CA"/>
        </w:rPr>
        <w:fldChar w:fldCharType="end"/>
      </w:r>
      <w:r w:rsidRPr="00F25B40">
        <w:rPr>
          <w:rFonts w:ascii="Arial" w:hAnsi="Arial" w:cs="Arial"/>
          <w:sz w:val="20"/>
          <w:szCs w:val="20"/>
          <w:lang w:val="fr-CA"/>
        </w:rPr>
        <w:t xml:space="preserve">, luminescence </w:t>
      </w:r>
      <w:r w:rsidR="00A439A0"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{"citationID":"jOiGHxjN","properties":{"formattedCitation":"(Sardaru et al., 2021)","plainCitation":"(Sardaru et al., 2021)","noteIndex":0},"citationItems":[{"id":3679,"uris":["http://zotero.org/users/local/JzcqJHT8/items/3AFTHSKG"],"itemData":{"id":3679,"type":"article-journal","abstract":"A series of neutral mononuclear lanthanide complexes [Ln(HL)2(NO3)3] (Ln = La, Ce, Nd, Eu, Gd, Dy, Ho) with rigid bidentate ligand, HL (4′-(1H-imidazol-1-yl)biphenyl-4-carboxylic acid) were synthesized under solvothermal conditions. The coordination compounds have been characterized by infrared spectroscopy, thermogravimetry, powder X-ray diffraction and elemental analysis. According to X-ray diffraction, all the complexes are a series of isostructural compounds crystallized in the P2/n monoclinic space group. Additionally, solid-state luminescence measurements of all complexes show that [Eu(HL)2(NO3)3] complex displays the characteristic emission peaks of Eu(III) ion at 593, 597, 615, and 651 nm.","container-title":"Molecules","DOI":"10.3390/molecules26226942","ISSN":"1420-3049","issue":"22","title":"Novel Lanthanide (III) Complexes Derived from an Imidazole–Biphenyl–Carboxylate Ligand: Synthesis, Structure and Luminescence Properties","URL":"https://www.mdpi.com/1420-3049/26/22/6942","volume":"26","author":[{"family":"Sardaru","given":"Monica-Cornelia"},{"family":"Marangoci","given":"Narcisa Laura"},{"family":"Shova","given":"Sergiu"},{"family":"Bejan","given":"Dana"}],"issued":{"date-parts":[["2021"]]}}}],"schema":"https://github.com/citation-style-language/schema/raw/master/csl-citation.json"} </w:instrText>
      </w:r>
      <w:r w:rsidR="00A439A0" w:rsidRPr="00F25B40">
        <w:rPr>
          <w:rFonts w:ascii="Arial" w:hAnsi="Arial" w:cs="Arial"/>
          <w:sz w:val="20"/>
          <w:szCs w:val="20"/>
          <w:lang w:val="en-US"/>
        </w:rPr>
        <w:fldChar w:fldCharType="separate"/>
      </w:r>
      <w:r w:rsidR="002E71C7" w:rsidRPr="00F25B40">
        <w:rPr>
          <w:rFonts w:ascii="Arial" w:hAnsi="Arial" w:cs="Arial"/>
          <w:sz w:val="20"/>
        </w:rPr>
        <w:t>(Sardaru et al., 2021)</w:t>
      </w:r>
      <w:r w:rsidR="00A439A0" w:rsidRPr="00F25B40">
        <w:rPr>
          <w:rFonts w:ascii="Arial" w:hAnsi="Arial" w:cs="Arial"/>
          <w:sz w:val="20"/>
          <w:szCs w:val="20"/>
          <w:lang w:val="en-US"/>
        </w:rPr>
        <w:fldChar w:fldCharType="end"/>
      </w:r>
      <w:r w:rsidRPr="00F25B40">
        <w:rPr>
          <w:rFonts w:ascii="Arial" w:hAnsi="Arial" w:cs="Arial"/>
          <w:sz w:val="20"/>
          <w:szCs w:val="20"/>
          <w:lang w:val="fr-CA"/>
        </w:rPr>
        <w:t xml:space="preserve"> and thermal</w:t>
      </w:r>
      <w:r w:rsidR="006C3EDC" w:rsidRPr="00F25B40">
        <w:rPr>
          <w:rFonts w:ascii="Arial" w:hAnsi="Arial" w:cs="Arial"/>
          <w:sz w:val="20"/>
          <w:szCs w:val="20"/>
          <w:lang w:val="fr-CA"/>
        </w:rPr>
        <w:t xml:space="preserve"> </w:t>
      </w:r>
      <w:r w:rsidR="00D65470"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{"citationID":"bkrnkRXv","properties":{"formattedCitation":"(Zhou et al., 2020)","plainCitation":"(Zhou et al., 2020)","noteIndex":0},"citationItems":[{"id":3675,"uris":["http://zotero.org/users/local/JzcqJHT8/items/FD4E6ZQ6","http://zotero.org/users/local/JzcqJHT8/items/5EJPNNKD"],"itemData":{"id":3675,"type":"article-journal","abstract":"Four metal–organic coordination complexes, namely {[Zn(SIP)(mbi)2]·(Hmbi)·(H2O)2}n (1), {[Cd3(SIP)2(bbhb)3(H2O)4]·(H2O)2}n (2), [Co3(SIP)2(bbhb)4(H2O)2]n (3) and [Zn2(NIPA)2(mbi)2(H2O)3] (4) (H3SIP = 5-sulfoisophthalic acid, mbi = 2-methylbenzimidazole, bbhb = 1,1′-(1,4-butanediyl)bis-1H-benzimidazole and H2NIPA = 5-nitroisophthalic acid), have been hydrothermally synthesized. Single-crystal X-ray analyses show that these complexes have different structural features. In complex 1, the SIP3− anions bridge Zn(II) atoms to form 1D right-handed helical chains, which are further interconnected by hydrogen-bond interactions, forming a 3D supramolecular architecture. In complex 2, the Cd1 and Cd2 atoms are bridged by SIP3− ligands to form 1D chains, which are extended to 2D layer with Cd3 atoms as hinges. The 2D layers are further connected by bbhb ligands to give a 3D framework. The Co(II) atoms in compound 3 are bridged by SIP3− anions to generate 1D ladder-like chain; then, the 1D chains extend to 2D network by the connection of “L”-shaped bbhb ligands. Finally, the 2D networks are bridged by “S”-shaped bbhb ligands to give rise to the formation of 3D framework. In compound 4, the binuclear molecules are connected through hydrogen bonds to generate a 2D layer. The results illustrate that the carboxylate ligands and the versatile conformations of the bbhb ligands contribute to the structural diversity of these complexes. The photoluminescent properties of complexes 1, 2 and 4 are also studied.","container-title":"Transition Metal Chemistry","DOI":"10.1007/s11243-020-00387-8","ISSN":"1572-901X","issue":"5","journalAbbreviation":"Transition Metal Chemistry","page":"353-362","title":"Syntheses, crystal structures and properties of four metal coordination complexes constructed from aromatic carboxylate and benzimidazole-based ligands","volume":"45","author":[{"family":"Zhou","given":"Yong-Hong"},{"family":"Xu","given":"Yun"},{"family":"Xue","given":"Zu-Qian"},{"family":"Shi","given":"Jun-Qing"},{"family":"Su","given":"Yue"},{"family":"Sun","given":"Mei-Ling"},{"family":"Wang","given":"Si-Hui"},{"family":"Wang","given":"Long-Long"},{"family":"Wang","given":"Qing-Qing"},{"family":"Wei","given":"Yuan-Jie"}],"issued":{"date-parts":[["2020",8,1]]}}}],"schema":"https://github.com/citation-style-language/schema/raw/master/csl-citation.json"} </w:instrText>
      </w:r>
      <w:r w:rsidR="00D65470" w:rsidRPr="00F25B40">
        <w:rPr>
          <w:rFonts w:ascii="Arial" w:hAnsi="Arial" w:cs="Arial"/>
          <w:sz w:val="20"/>
          <w:szCs w:val="20"/>
          <w:lang w:val="en-US"/>
        </w:rPr>
        <w:fldChar w:fldCharType="separate"/>
      </w:r>
      <w:r w:rsidR="002E71C7" w:rsidRPr="00F25B40">
        <w:rPr>
          <w:rFonts w:ascii="Arial" w:hAnsi="Arial" w:cs="Arial"/>
          <w:sz w:val="20"/>
          <w:lang w:val="fr-CA"/>
        </w:rPr>
        <w:t>(Zhou et al., 2020)</w:t>
      </w:r>
      <w:r w:rsidR="00D65470" w:rsidRPr="00F25B40">
        <w:rPr>
          <w:rFonts w:ascii="Arial" w:hAnsi="Arial" w:cs="Arial"/>
          <w:sz w:val="20"/>
          <w:szCs w:val="20"/>
          <w:lang w:val="en-US"/>
        </w:rPr>
        <w:fldChar w:fldCharType="end"/>
      </w:r>
      <w:r w:rsidRPr="00F25B40">
        <w:rPr>
          <w:rFonts w:ascii="Arial" w:hAnsi="Arial" w:cs="Arial"/>
          <w:sz w:val="20"/>
          <w:szCs w:val="20"/>
          <w:lang w:val="fr-CA"/>
        </w:rPr>
        <w:t>.</w:t>
      </w:r>
      <w:r w:rsidR="00A8262E" w:rsidRPr="00F25B40">
        <w:rPr>
          <w:rFonts w:ascii="Arial" w:hAnsi="Arial" w:cs="Arial"/>
          <w:sz w:val="20"/>
          <w:szCs w:val="20"/>
          <w:lang w:val="fr-CA"/>
        </w:rPr>
        <w:t xml:space="preserve"> </w:t>
      </w:r>
      <w:proofErr w:type="spellStart"/>
      <w:r w:rsidR="00405610" w:rsidRPr="001F55AE">
        <w:rPr>
          <w:rFonts w:ascii="Arial" w:hAnsi="Arial" w:cs="Arial"/>
          <w:sz w:val="20"/>
          <w:szCs w:val="20"/>
          <w:lang w:val="fr-CA"/>
        </w:rPr>
        <w:t>Furthermore</w:t>
      </w:r>
      <w:proofErr w:type="spellEnd"/>
      <w:r w:rsidR="00405610" w:rsidRPr="001F55AE">
        <w:rPr>
          <w:rFonts w:ascii="Arial" w:hAnsi="Arial" w:cs="Arial"/>
          <w:sz w:val="20"/>
          <w:szCs w:val="20"/>
          <w:lang w:val="fr-CA"/>
        </w:rPr>
        <w:t xml:space="preserve">, the </w:t>
      </w:r>
      <w:proofErr w:type="spellStart"/>
      <w:r w:rsidR="00405610" w:rsidRPr="001F55AE">
        <w:rPr>
          <w:rFonts w:ascii="Arial" w:hAnsi="Arial" w:cs="Arial"/>
          <w:sz w:val="20"/>
          <w:szCs w:val="20"/>
          <w:lang w:val="fr-CA"/>
        </w:rPr>
        <w:t>simultaneous</w:t>
      </w:r>
      <w:proofErr w:type="spellEnd"/>
      <w:r w:rsidR="00405610" w:rsidRPr="001F55AE">
        <w:rPr>
          <w:rFonts w:ascii="Arial" w:hAnsi="Arial" w:cs="Arial"/>
          <w:sz w:val="20"/>
          <w:szCs w:val="20"/>
          <w:lang w:val="fr-CA"/>
        </w:rPr>
        <w:t xml:space="preserve"> use of </w:t>
      </w:r>
      <w:proofErr w:type="spellStart"/>
      <w:r w:rsidR="00405610" w:rsidRPr="001F55AE">
        <w:rPr>
          <w:rFonts w:ascii="Arial" w:hAnsi="Arial" w:cs="Arial"/>
          <w:sz w:val="20"/>
          <w:szCs w:val="20"/>
          <w:lang w:val="fr-CA"/>
        </w:rPr>
        <w:t>succinic</w:t>
      </w:r>
      <w:proofErr w:type="spellEnd"/>
      <w:r w:rsidR="00405610" w:rsidRPr="001F55AE">
        <w:rPr>
          <w:rFonts w:ascii="Arial" w:hAnsi="Arial" w:cs="Arial"/>
          <w:sz w:val="20"/>
          <w:szCs w:val="20"/>
          <w:lang w:val="fr-CA"/>
        </w:rPr>
        <w:t xml:space="preserve"> </w:t>
      </w:r>
      <w:proofErr w:type="spellStart"/>
      <w:r w:rsidR="00405610" w:rsidRPr="001F55AE">
        <w:rPr>
          <w:rFonts w:ascii="Arial" w:hAnsi="Arial" w:cs="Arial"/>
          <w:sz w:val="20"/>
          <w:szCs w:val="20"/>
          <w:lang w:val="fr-CA"/>
        </w:rPr>
        <w:t>acid</w:t>
      </w:r>
      <w:proofErr w:type="spellEnd"/>
      <w:r w:rsidR="00405610" w:rsidRPr="001F55AE">
        <w:rPr>
          <w:rFonts w:ascii="Arial" w:hAnsi="Arial" w:cs="Arial"/>
          <w:sz w:val="20"/>
          <w:szCs w:val="20"/>
          <w:lang w:val="fr-CA"/>
        </w:rPr>
        <w:t xml:space="preserve"> and an imidazole </w:t>
      </w:r>
      <w:proofErr w:type="spellStart"/>
      <w:r w:rsidR="00405610" w:rsidRPr="001F55AE">
        <w:rPr>
          <w:rFonts w:ascii="Arial" w:hAnsi="Arial" w:cs="Arial"/>
          <w:sz w:val="20"/>
          <w:szCs w:val="20"/>
          <w:lang w:val="fr-CA"/>
        </w:rPr>
        <w:t>derivative</w:t>
      </w:r>
      <w:proofErr w:type="spellEnd"/>
      <w:r w:rsidR="00405610" w:rsidRPr="001F55AE">
        <w:rPr>
          <w:rFonts w:ascii="Arial" w:hAnsi="Arial" w:cs="Arial"/>
          <w:sz w:val="20"/>
          <w:szCs w:val="20"/>
          <w:lang w:val="fr-CA"/>
        </w:rPr>
        <w:t xml:space="preserve"> </w:t>
      </w:r>
      <w:proofErr w:type="spellStart"/>
      <w:r w:rsidR="00405610" w:rsidRPr="001F55AE">
        <w:rPr>
          <w:rFonts w:ascii="Arial" w:hAnsi="Arial" w:cs="Arial"/>
          <w:sz w:val="20"/>
          <w:szCs w:val="20"/>
          <w:lang w:val="fr-CA"/>
        </w:rPr>
        <w:t>makes</w:t>
      </w:r>
      <w:proofErr w:type="spellEnd"/>
      <w:r w:rsidR="00405610" w:rsidRPr="001F55AE">
        <w:rPr>
          <w:rFonts w:ascii="Arial" w:hAnsi="Arial" w:cs="Arial"/>
          <w:sz w:val="20"/>
          <w:szCs w:val="20"/>
          <w:lang w:val="fr-CA"/>
        </w:rPr>
        <w:t xml:space="preserve"> </w:t>
      </w:r>
      <w:proofErr w:type="spellStart"/>
      <w:r w:rsidR="00405610" w:rsidRPr="001F55AE">
        <w:rPr>
          <w:rFonts w:ascii="Arial" w:hAnsi="Arial" w:cs="Arial"/>
          <w:sz w:val="20"/>
          <w:szCs w:val="20"/>
          <w:lang w:val="fr-CA"/>
        </w:rPr>
        <w:t>it</w:t>
      </w:r>
      <w:proofErr w:type="spellEnd"/>
      <w:r w:rsidR="00405610" w:rsidRPr="001F55AE">
        <w:rPr>
          <w:rFonts w:ascii="Arial" w:hAnsi="Arial" w:cs="Arial"/>
          <w:sz w:val="20"/>
          <w:szCs w:val="20"/>
          <w:lang w:val="fr-CA"/>
        </w:rPr>
        <w:t xml:space="preserve"> possible to </w:t>
      </w:r>
      <w:proofErr w:type="spellStart"/>
      <w:r w:rsidR="00405610" w:rsidRPr="001F55AE">
        <w:rPr>
          <w:rFonts w:ascii="Arial" w:hAnsi="Arial" w:cs="Arial"/>
          <w:sz w:val="20"/>
          <w:szCs w:val="20"/>
          <w:lang w:val="fr-CA"/>
        </w:rPr>
        <w:t>generate</w:t>
      </w:r>
      <w:proofErr w:type="spellEnd"/>
      <w:r w:rsidR="00405610" w:rsidRPr="001F55AE">
        <w:rPr>
          <w:rFonts w:ascii="Arial" w:hAnsi="Arial" w:cs="Arial"/>
          <w:sz w:val="20"/>
          <w:szCs w:val="20"/>
          <w:lang w:val="fr-CA"/>
        </w:rPr>
        <w:t xml:space="preserve"> transition </w:t>
      </w:r>
      <w:proofErr w:type="spellStart"/>
      <w:r w:rsidR="00405610" w:rsidRPr="001F55AE">
        <w:rPr>
          <w:rFonts w:ascii="Arial" w:hAnsi="Arial" w:cs="Arial"/>
          <w:sz w:val="20"/>
          <w:szCs w:val="20"/>
          <w:lang w:val="fr-CA"/>
        </w:rPr>
        <w:t>metal</w:t>
      </w:r>
      <w:proofErr w:type="spellEnd"/>
      <w:r w:rsidR="00405610" w:rsidRPr="001F55AE">
        <w:rPr>
          <w:rFonts w:ascii="Arial" w:hAnsi="Arial" w:cs="Arial"/>
          <w:sz w:val="20"/>
          <w:szCs w:val="20"/>
          <w:lang w:val="fr-CA"/>
        </w:rPr>
        <w:t xml:space="preserve"> complexes </w:t>
      </w:r>
      <w:proofErr w:type="spellStart"/>
      <w:r w:rsidR="00405610" w:rsidRPr="001F55AE">
        <w:rPr>
          <w:rFonts w:ascii="Arial" w:hAnsi="Arial" w:cs="Arial"/>
          <w:sz w:val="20"/>
          <w:szCs w:val="20"/>
          <w:lang w:val="fr-CA"/>
        </w:rPr>
        <w:t>with</w:t>
      </w:r>
      <w:proofErr w:type="spellEnd"/>
      <w:r w:rsidR="00405610" w:rsidRPr="001F55AE">
        <w:rPr>
          <w:rFonts w:ascii="Arial" w:hAnsi="Arial" w:cs="Arial"/>
          <w:sz w:val="20"/>
          <w:szCs w:val="20"/>
          <w:lang w:val="fr-CA"/>
        </w:rPr>
        <w:t xml:space="preserve"> </w:t>
      </w:r>
      <w:proofErr w:type="spellStart"/>
      <w:r w:rsidR="00405610" w:rsidRPr="001F55AE">
        <w:rPr>
          <w:rFonts w:ascii="Arial" w:hAnsi="Arial" w:cs="Arial"/>
          <w:sz w:val="20"/>
          <w:szCs w:val="20"/>
          <w:lang w:val="fr-CA"/>
        </w:rPr>
        <w:t>interesting</w:t>
      </w:r>
      <w:proofErr w:type="spellEnd"/>
      <w:r w:rsidR="00405610" w:rsidRPr="001F55AE">
        <w:rPr>
          <w:rFonts w:ascii="Arial" w:hAnsi="Arial" w:cs="Arial"/>
          <w:sz w:val="20"/>
          <w:szCs w:val="20"/>
          <w:lang w:val="fr-CA"/>
        </w:rPr>
        <w:t xml:space="preserve"> structures and </w:t>
      </w:r>
      <w:proofErr w:type="spellStart"/>
      <w:r w:rsidR="00405610" w:rsidRPr="001F55AE">
        <w:rPr>
          <w:rFonts w:ascii="Arial" w:hAnsi="Arial" w:cs="Arial"/>
          <w:sz w:val="20"/>
          <w:szCs w:val="20"/>
          <w:lang w:val="fr-CA"/>
        </w:rPr>
        <w:t>properties</w:t>
      </w:r>
      <w:proofErr w:type="spellEnd"/>
      <w:r w:rsidR="00405610" w:rsidRPr="001F55AE">
        <w:rPr>
          <w:rFonts w:ascii="Arial" w:hAnsi="Arial" w:cs="Arial"/>
          <w:sz w:val="20"/>
          <w:szCs w:val="20"/>
          <w:lang w:val="fr-CA"/>
        </w:rPr>
        <w:t xml:space="preserve"> </w:t>
      </w:r>
      <w:r w:rsidR="000C0C54" w:rsidRPr="00F25B40">
        <w:rPr>
          <w:rFonts w:ascii="Arial" w:hAnsi="Arial" w:cs="Arial"/>
          <w:sz w:val="20"/>
          <w:szCs w:val="20"/>
          <w:lang w:val="en-US"/>
        </w:rPr>
        <w:fldChar w:fldCharType="begin"/>
      </w:r>
      <w:r w:rsidR="002E71C7" w:rsidRPr="001F55AE">
        <w:rPr>
          <w:rFonts w:ascii="Arial" w:hAnsi="Arial" w:cs="Arial"/>
          <w:sz w:val="20"/>
          <w:szCs w:val="20"/>
          <w:lang w:val="fr-CA"/>
        </w:rPr>
        <w:instrText xml:space="preserve"> ADDIN ZOTERO_ITEM CSL_CITATION {"citationID":"65Ye2qaM","properties":{"formattedCitation":"(Alshehri et al., 2022; Atria et al., 2011)","plainCitation":"(Alshehri et al., 2022; Atria et al., 2011)","noteIndex":0},"citationItems":[{"id":3656,"uris":["http://zotero.org/users/local/JzcqJHT8/items/6PXZE9IC"],"itemData":{"id":3656,"type":"article-journal","abstract":"Successfully three copper-based imidazole complexes were synthesized, [Cu(CTZ)2(H2O)2Cl2], [Cu(MCZ)2(H2O)2Cl2], and [Cu(PPZ)2Cl2]. These complexes were characterized using spectroscopic, thermal method and elemental analysis. The new peaks in the IR spectra are assigned the chelation of the metal ion in the range 500-300 cm-1. Additionally, EPR spectra suggested a compressed octahedral geometry for the six donor atoms systems. Further validation for the proposed complex structures was studied theoretically using DFT approach with B3LYP level of theory. The obtained optimized angles and dihedral angles revealed the structures adopted distorted octahedral geometry. Quantum parameters predicted a practical reactivity for Cu-PPZ complex. The biological affinities were studied by CT-DNA binding experiment where all Cu(II) complexes were intercalation agents and were screened against </w:instrText>
      </w:r>
      <w:r w:rsidR="002E71C7" w:rsidRPr="00F25B40">
        <w:rPr>
          <w:rFonts w:ascii="Arial" w:hAnsi="Arial" w:cs="Arial"/>
          <w:sz w:val="20"/>
          <w:szCs w:val="20"/>
          <w:lang w:val="en-US"/>
        </w:rPr>
        <w:instrText>α</w:instrText>
      </w:r>
      <w:r w:rsidR="002E71C7" w:rsidRPr="001F55AE">
        <w:rPr>
          <w:rFonts w:ascii="Arial" w:hAnsi="Arial" w:cs="Arial"/>
          <w:sz w:val="20"/>
          <w:szCs w:val="20"/>
          <w:lang w:val="fr-CA"/>
        </w:rPr>
        <w:instrText>,</w:instrText>
      </w:r>
      <w:r w:rsidR="002E71C7" w:rsidRPr="00F25B40">
        <w:rPr>
          <w:rFonts w:ascii="Arial" w:hAnsi="Arial" w:cs="Arial"/>
          <w:sz w:val="20"/>
          <w:szCs w:val="20"/>
          <w:lang w:val="en-US"/>
        </w:rPr>
        <w:instrText>β</w:instrText>
      </w:r>
      <w:r w:rsidR="002E71C7" w:rsidRPr="001F55AE">
        <w:rPr>
          <w:rFonts w:ascii="Arial" w:hAnsi="Arial" w:cs="Arial"/>
          <w:sz w:val="20"/>
          <w:szCs w:val="20"/>
          <w:lang w:val="fr-CA"/>
        </w:rPr>
        <w:instrText>-1TUB. The docking results showed high docking scores and we</w:instrText>
      </w:r>
      <w:r w:rsidR="002E71C7" w:rsidRPr="00F25B40">
        <w:rPr>
          <w:rFonts w:ascii="Arial" w:hAnsi="Arial" w:cs="Arial"/>
          <w:sz w:val="20"/>
          <w:szCs w:val="20"/>
          <w:lang w:val="en-US"/>
        </w:rPr>
        <w:instrText xml:space="preserve">re in the order [Cu(CTZ)2(H2O)2Cl2], [Cu(MCZ)2(H2O)2Cl2], and [Cu(PPZ)2Cl2]. These results were supported by in vitro cytotoxicity assays against M14 human melanoma.","container-title":"Journal of the Indian Chemical Society","DOI":"https://doi.org/10.1016/j.jics.2022.100692","ISSN":"0019-4522","issue":"10","page":"100692","title":"Experiment versus theory of copper (II) complexes based imidazole derivatives as anti-cancer agents","volume":"99","author":[{"family":"Alshehri","given":"Nujud S."},{"family":"Sharfalddin","given":"Abeer A."},{"family":"Domyati","given":"Doaa"},{"family":"Basaleh","given":"Amal S."},{"family":"Hussien","given":"Mostafa A."}],"issued":{"date-parts":[["2022"]]}},"label":"page"},{"id":3653,"uris":["http://zotero.org/users/local/JzcqJHT8/items/CB2BEFNE"],"itemData":{"id":3653,"type":"article-journal","container-title":"Journal of the Chilean Chemical Society","DOI":"10.4067/S0717-97072011000300015","ISSN":"0717-9707","issue":"3","note":"publisher: Sociedad Chilena de Química","page":"786-792","source":"www.scielo.cl","title":"X-RAY STUDIES AND ANTIBACTERIAL ACTIVITY IN COPPER AND COBALT COMPLEXES WITH IMIDAZOLE DERIVATIVE LIGANDS","volume":"56","author":[{"family":"Atria","given":"Ana María"},{"family":"Cortés-Cortés","given":"Piedad"},{"family":"Garland","given":"María Teresa"},{"family":"Baggio","given":"Ricardo"},{"family":"Morales","given":"Karina"},{"family":"Soto","given":"Mauricio"},{"family":"Corsini","given":"Gino"}],"issued":{"date-parts":[["2011"]]}},"label":"page"}],"schema":"https://github.com/citation-style-language/schema/raw/master/csl-citation.json"} </w:instrText>
      </w:r>
      <w:r w:rsidR="000C0C54" w:rsidRPr="00F25B40">
        <w:rPr>
          <w:rFonts w:ascii="Arial" w:hAnsi="Arial" w:cs="Arial"/>
          <w:sz w:val="20"/>
          <w:szCs w:val="20"/>
          <w:lang w:val="en-US"/>
        </w:rPr>
        <w:fldChar w:fldCharType="separate"/>
      </w:r>
      <w:r w:rsidR="002E71C7" w:rsidRPr="00F25B40">
        <w:rPr>
          <w:rFonts w:ascii="Arial" w:hAnsi="Arial" w:cs="Arial"/>
          <w:sz w:val="20"/>
          <w:lang w:val="en-US"/>
        </w:rPr>
        <w:t>(Alshehri et al., 2022; Atria et al., 2011)</w:t>
      </w:r>
      <w:r w:rsidR="000C0C54" w:rsidRPr="00F25B40">
        <w:rPr>
          <w:rFonts w:ascii="Arial" w:hAnsi="Arial" w:cs="Arial"/>
          <w:sz w:val="20"/>
          <w:szCs w:val="20"/>
          <w:lang w:val="en-US"/>
        </w:rPr>
        <w:fldChar w:fldCharType="end"/>
      </w:r>
      <w:r w:rsidR="00405610" w:rsidRPr="00F25B40">
        <w:rPr>
          <w:rFonts w:ascii="Arial" w:hAnsi="Arial" w:cs="Arial"/>
          <w:sz w:val="20"/>
          <w:szCs w:val="20"/>
          <w:lang w:val="en-US"/>
        </w:rPr>
        <w:t xml:space="preserve">. </w:t>
      </w:r>
      <w:r w:rsidR="003171C8">
        <w:rPr>
          <w:rFonts w:ascii="Arial" w:hAnsi="Arial" w:cs="Arial"/>
          <w:sz w:val="20"/>
          <w:szCs w:val="20"/>
          <w:lang w:val="en-US"/>
        </w:rPr>
        <w:t>“</w:t>
      </w:r>
      <w:r w:rsidR="00405610" w:rsidRPr="00F25B40">
        <w:rPr>
          <w:rFonts w:ascii="Arial" w:hAnsi="Arial" w:cs="Arial"/>
          <w:sz w:val="20"/>
          <w:szCs w:val="20"/>
          <w:lang w:val="en-US"/>
        </w:rPr>
        <w:t>Supramolecular structures based on significant interactions between co-ligands derived from imidazole and succinate flexibility are reported in the literature</w:t>
      </w:r>
      <w:r w:rsidR="003171C8">
        <w:rPr>
          <w:rFonts w:ascii="Arial" w:hAnsi="Arial" w:cs="Arial"/>
          <w:sz w:val="20"/>
          <w:szCs w:val="20"/>
          <w:lang w:val="en-US"/>
        </w:rPr>
        <w:t>”</w:t>
      </w:r>
      <w:r w:rsidR="00405610" w:rsidRPr="00F25B40">
        <w:rPr>
          <w:rFonts w:ascii="Arial" w:hAnsi="Arial" w:cs="Arial"/>
          <w:sz w:val="20"/>
          <w:szCs w:val="20"/>
          <w:lang w:val="en-US"/>
        </w:rPr>
        <w:t xml:space="preserve"> </w:t>
      </w:r>
      <w:r w:rsidR="00A8262E"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{"citationID":"KljcQf6C","properties":{"formattedCitation":"(Banfi et al., 2006; Batool et al., 2018)","plainCitation":"(Banfi et al., 2006; Batool et al., 2018)","noteIndex":0},"citationItems":[{"id":3657,"uris":["http://zotero.org/users/local/JzcqJHT8/items/XIUKLYE9"],"itemData":{"id":3657,"type":"article-journal","abstract":"Objectives: To synthesize new antimycobacterial and antifungal drugs that act by binding to sterol 14α-demethylase (14DM) and to characterize the drug–target protein interactions using computer-based molecular simulations.Methods: Different series of imidazole and triazole derivatives having an azomethine linkage to pyridine 2-carboxamidrazone were designed and synthesized. Molecular dynamic simulations of the sterol 14DM (a mixed-function oxidase involved in sterol synthesis in eukaryotic and prokaryotic organisms) complexed with new azole derivatives have been performed to both qualify and quantify the protein–ligand interactions. MICs of the compounds were evaluated by reference assay and by the recently developed Microdilution Resazurin Assay (MRA).Results: Halogenated derivatives showed good activity, with an MIC90 of 1 mg/L against 33 Candida spp. clinical strains; most compounds also had inhibitory activity against Mycobacterium tuberculosis reference and clinical strains, with MICs in the range 4–64 mg/L. Molecular modelling investigations showed that the active new compounds may interact at the active site of both the fungal and the mycobacterial cytochrome P450-dependent sterol-14α-demethylase and that the calculated binding free energy values are in agreement with the corresponding MIC values.Conclusions: The combined experimental and computational approach can be helpful in targeted drug design, thus yielding valuable information for the synthesis and prediction of activity of a second generation of inhibitors.","container-title":"Journal of Antimicrobial Chemotherapy","DOI":"10.1093/jac/dkl182","ISSN":"0305-7453","issue":"1","note":"_eprint: https://academic.oup.com/jac/article-pdf/58/1/76/17429145/dkl182.pdf","page":"76-84","title":"Antifungal and antimycobacterial activity of new imidazole and triazole derivatives. A combined experimental and computational approach","volume":"58","author":[{"family":"Banfi","given":"Elena"},{"family":"Scialino","given":"Giuditta"},{"family":"Zampieri","given":"Daniele"},{"family":"Mamolo","given":"Maria Grazia"},{"family":"Vio","given":"Luciano"},{"family":"Ferrone","given":"Marco"},{"family":"Fermeglia","given":"Maurizio"},{"family":"Paneni","given":"Maria Silvia"},{"family":"Pricl","given":"Sabrina"}],"issued":{"date-parts":[["2006",5]]}},"label":"page"},{"id":3651,"uris":["http://zotero.org/users/local/JzcqJHT8/items/6UYW2LJT"],"itemData":{"id":3651,"type":"article-journal","container-title":"Journal of Coordination Chemistry","DOI":"10.1080/00958972.2018.1460471","issue":"9","note":"publisher: Taylor &amp; Francis\n_eprint: https://doi.org/10.1080/00958972.2018.1460471","page":"1380–1391","title":"Syntheses and crystal structures of mixed-ligand copper(II)–imidazole–carboxylate complexes","volume":"71","author":[{"family":"Batool","given":"Syeda Shahzadi"},{"family":"Harrison","given":"William T. A."},{"family":"Syed","given":"Quratulain"},{"family":"Haider","given":"Muhammad Salman"}],"issued":{"date-parts":[["2018"]]}},"label":"page"}],"schema":"https://github.com/citation-style-language/schema/raw/master/csl-citation.json"} </w:instrText>
      </w:r>
      <w:r w:rsidR="00A8262E" w:rsidRPr="00F25B40">
        <w:rPr>
          <w:rFonts w:ascii="Arial" w:hAnsi="Arial" w:cs="Arial"/>
          <w:sz w:val="20"/>
          <w:szCs w:val="20"/>
          <w:lang w:val="en-US"/>
        </w:rPr>
        <w:fldChar w:fldCharType="separate"/>
      </w:r>
      <w:r w:rsidR="002E71C7" w:rsidRPr="00F25B40">
        <w:rPr>
          <w:rFonts w:ascii="Arial" w:hAnsi="Arial" w:cs="Arial"/>
          <w:sz w:val="20"/>
          <w:lang w:val="en-US"/>
        </w:rPr>
        <w:t>(Banfi et al., 2006; Batool et al., 2018)</w:t>
      </w:r>
      <w:r w:rsidR="00A8262E" w:rsidRPr="00F25B40">
        <w:rPr>
          <w:rFonts w:ascii="Arial" w:hAnsi="Arial" w:cs="Arial"/>
          <w:sz w:val="20"/>
          <w:szCs w:val="20"/>
          <w:lang w:val="en-US"/>
        </w:rPr>
        <w:fldChar w:fldCharType="end"/>
      </w:r>
      <w:r w:rsidR="00405610" w:rsidRPr="00F25B40">
        <w:rPr>
          <w:rFonts w:ascii="Arial" w:hAnsi="Arial" w:cs="Arial"/>
          <w:sz w:val="20"/>
          <w:szCs w:val="20"/>
          <w:lang w:val="en-US"/>
        </w:rPr>
        <w:t xml:space="preserve">. In the present work, we have mixed, at the same time, </w:t>
      </w:r>
      <w:r w:rsidR="006934CD" w:rsidRPr="00F25B40">
        <w:rPr>
          <w:rFonts w:ascii="Arial" w:hAnsi="Arial" w:cs="Arial"/>
          <w:sz w:val="20"/>
          <w:szCs w:val="20"/>
          <w:lang w:val="en-US"/>
        </w:rPr>
        <w:t>maleic</w:t>
      </w:r>
      <w:r w:rsidR="00D14C9B" w:rsidRPr="00F25B40">
        <w:rPr>
          <w:rFonts w:ascii="Arial" w:hAnsi="Arial" w:cs="Arial"/>
          <w:sz w:val="20"/>
          <w:szCs w:val="20"/>
          <w:lang w:val="en-US"/>
        </w:rPr>
        <w:t>, 2-ethylimidazole and copper acetate</w:t>
      </w:r>
      <w:r w:rsidR="006934CD" w:rsidRPr="00F25B40">
        <w:rPr>
          <w:rFonts w:ascii="Arial" w:hAnsi="Arial" w:cs="Arial"/>
          <w:sz w:val="20"/>
          <w:szCs w:val="20"/>
          <w:lang w:val="en-US"/>
        </w:rPr>
        <w:t xml:space="preserve"> or malonic acid</w:t>
      </w:r>
      <w:r w:rsidR="00405610" w:rsidRPr="00F25B40">
        <w:rPr>
          <w:rFonts w:ascii="Arial" w:hAnsi="Arial" w:cs="Arial"/>
          <w:sz w:val="20"/>
          <w:szCs w:val="20"/>
          <w:lang w:val="en-US"/>
        </w:rPr>
        <w:t xml:space="preserve">, </w:t>
      </w:r>
      <w:r w:rsidR="00A50D23" w:rsidRPr="00F25B40">
        <w:rPr>
          <w:rFonts w:ascii="Arial" w:hAnsi="Arial" w:cs="Arial"/>
          <w:sz w:val="20"/>
          <w:szCs w:val="20"/>
          <w:lang w:val="en-US"/>
        </w:rPr>
        <w:t>2</w:t>
      </w:r>
      <w:r w:rsidR="00405610" w:rsidRPr="00F25B40">
        <w:rPr>
          <w:rFonts w:ascii="Arial" w:hAnsi="Arial" w:cs="Arial"/>
          <w:sz w:val="20"/>
          <w:szCs w:val="20"/>
          <w:lang w:val="en-US"/>
        </w:rPr>
        <w:t xml:space="preserve">-ethylimidazole and </w:t>
      </w:r>
      <w:r w:rsidR="006934CD" w:rsidRPr="00F25B40">
        <w:rPr>
          <w:rFonts w:ascii="Arial" w:hAnsi="Arial" w:cs="Arial"/>
          <w:sz w:val="20"/>
          <w:szCs w:val="20"/>
          <w:lang w:val="en-US"/>
        </w:rPr>
        <w:t xml:space="preserve">zinc </w:t>
      </w:r>
      <w:r w:rsidR="00405610" w:rsidRPr="00F25B40">
        <w:rPr>
          <w:rFonts w:ascii="Arial" w:hAnsi="Arial" w:cs="Arial"/>
          <w:sz w:val="20"/>
          <w:szCs w:val="20"/>
          <w:lang w:val="en-US"/>
        </w:rPr>
        <w:t xml:space="preserve">acetate in 1:1:1 ratio to prepare the </w:t>
      </w:r>
      <w:r w:rsidR="006A1CAF" w:rsidRPr="00F25B40">
        <w:rPr>
          <w:rFonts w:ascii="Arial" w:hAnsi="Arial" w:cs="Arial"/>
          <w:sz w:val="20"/>
          <w:szCs w:val="20"/>
          <w:lang w:val="en-US"/>
        </w:rPr>
        <w:t>title</w:t>
      </w:r>
      <w:r w:rsidR="00405610" w:rsidRPr="00F25B40">
        <w:rPr>
          <w:rFonts w:ascii="Arial" w:hAnsi="Arial" w:cs="Arial"/>
          <w:sz w:val="20"/>
          <w:szCs w:val="20"/>
          <w:lang w:val="en-US"/>
        </w:rPr>
        <w:t xml:space="preserve"> </w:t>
      </w:r>
      <w:r w:rsidR="006A1CAF" w:rsidRPr="00F25B40">
        <w:rPr>
          <w:rFonts w:ascii="Arial" w:hAnsi="Arial" w:cs="Arial"/>
          <w:sz w:val="20"/>
          <w:szCs w:val="20"/>
          <w:lang w:val="en-US"/>
        </w:rPr>
        <w:t>complexes</w:t>
      </w:r>
      <w:r w:rsidR="00405610" w:rsidRPr="00F25B40">
        <w:rPr>
          <w:rFonts w:ascii="Arial" w:hAnsi="Arial" w:cs="Arial"/>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826"/>
      </w:tblGrid>
      <w:tr w:rsidR="00971F09" w:rsidRPr="00F25B40" w14:paraId="79FF1F93" w14:textId="77777777" w:rsidTr="0024239D">
        <w:tc>
          <w:tcPr>
            <w:tcW w:w="5246" w:type="dxa"/>
          </w:tcPr>
          <w:p w14:paraId="1FDD437C" w14:textId="034891FA" w:rsidR="00971F09" w:rsidRPr="00F25B40" w:rsidRDefault="00C13719" w:rsidP="00A57067">
            <w:pPr>
              <w:widowControl w:val="0"/>
              <w:autoSpaceDE w:val="0"/>
              <w:autoSpaceDN w:val="0"/>
              <w:adjustRightInd w:val="0"/>
              <w:spacing w:after="100" w:afterAutospacing="1" w:line="240" w:lineRule="auto"/>
              <w:jc w:val="both"/>
              <w:rPr>
                <w:rFonts w:ascii="Arial" w:hAnsi="Arial" w:cs="Arial"/>
                <w:sz w:val="20"/>
                <w:szCs w:val="20"/>
                <w:lang w:val="en-US"/>
              </w:rPr>
            </w:pPr>
            <w:r w:rsidRPr="00F25B40">
              <w:rPr>
                <w:rFonts w:ascii="Arial" w:hAnsi="Arial" w:cs="Arial"/>
                <w:noProof/>
                <w:sz w:val="20"/>
                <w:szCs w:val="20"/>
                <w:lang w:val="fr-FR" w:eastAsia="fr-FR"/>
              </w:rPr>
              <w:drawing>
                <wp:inline distT="0" distB="0" distL="0" distR="0" wp14:anchorId="1214E4B6" wp14:editId="4B659B09">
                  <wp:extent cx="3214800" cy="2160000"/>
                  <wp:effectExtent l="0" t="0" r="5080" b="0"/>
                  <wp:docPr id="972623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23079" name="Image 9726230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4800" cy="2160000"/>
                          </a:xfrm>
                          <a:prstGeom prst="rect">
                            <a:avLst/>
                          </a:prstGeom>
                        </pic:spPr>
                      </pic:pic>
                    </a:graphicData>
                  </a:graphic>
                </wp:inline>
              </w:drawing>
            </w:r>
          </w:p>
        </w:tc>
        <w:tc>
          <w:tcPr>
            <w:tcW w:w="3826" w:type="dxa"/>
          </w:tcPr>
          <w:p w14:paraId="0672B7BA" w14:textId="65C9F6DA" w:rsidR="00971F09" w:rsidRPr="00F25B40" w:rsidRDefault="00CB0ABE" w:rsidP="00A57067">
            <w:pPr>
              <w:widowControl w:val="0"/>
              <w:autoSpaceDE w:val="0"/>
              <w:autoSpaceDN w:val="0"/>
              <w:adjustRightInd w:val="0"/>
              <w:spacing w:after="100" w:afterAutospacing="1" w:line="240" w:lineRule="auto"/>
              <w:jc w:val="both"/>
              <w:rPr>
                <w:rFonts w:ascii="Arial" w:hAnsi="Arial" w:cs="Arial"/>
                <w:sz w:val="20"/>
                <w:szCs w:val="20"/>
                <w:lang w:val="en-GB"/>
              </w:rPr>
            </w:pPr>
            <w:r w:rsidRPr="00F25B40">
              <w:rPr>
                <w:rFonts w:ascii="Arial" w:hAnsi="Arial" w:cs="Arial"/>
                <w:noProof/>
                <w:sz w:val="20"/>
                <w:szCs w:val="20"/>
                <w:lang w:val="fr-FR" w:eastAsia="fr-FR"/>
              </w:rPr>
              <w:drawing>
                <wp:inline distT="0" distB="0" distL="0" distR="0" wp14:anchorId="100FFE16" wp14:editId="42E3CBFA">
                  <wp:extent cx="2311200" cy="2160000"/>
                  <wp:effectExtent l="0" t="0" r="0" b="0"/>
                  <wp:docPr id="8484547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4707" name="Image 848454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1200" cy="2160000"/>
                          </a:xfrm>
                          <a:prstGeom prst="rect">
                            <a:avLst/>
                          </a:prstGeom>
                        </pic:spPr>
                      </pic:pic>
                    </a:graphicData>
                  </a:graphic>
                </wp:inline>
              </w:drawing>
            </w:r>
          </w:p>
        </w:tc>
      </w:tr>
      <w:tr w:rsidR="0019722C" w:rsidRPr="00F25B40" w14:paraId="0D02D1A6" w14:textId="77777777" w:rsidTr="0024239D">
        <w:tc>
          <w:tcPr>
            <w:tcW w:w="5246" w:type="dxa"/>
          </w:tcPr>
          <w:p w14:paraId="5836C101" w14:textId="7B73492A" w:rsidR="0019722C" w:rsidRPr="00F25B40" w:rsidRDefault="0019722C" w:rsidP="001A5239">
            <w:pPr>
              <w:widowControl w:val="0"/>
              <w:autoSpaceDE w:val="0"/>
              <w:autoSpaceDN w:val="0"/>
              <w:adjustRightInd w:val="0"/>
              <w:spacing w:after="0" w:line="240" w:lineRule="auto"/>
              <w:jc w:val="center"/>
              <w:rPr>
                <w:rFonts w:ascii="Arial" w:hAnsi="Arial" w:cs="Arial"/>
                <w:noProof/>
                <w:sz w:val="20"/>
                <w:szCs w:val="20"/>
                <w:lang w:val="en-US"/>
              </w:rPr>
            </w:pPr>
            <w:r w:rsidRPr="00F25B40">
              <w:rPr>
                <w:rFonts w:ascii="Arial" w:hAnsi="Arial" w:cs="Arial"/>
                <w:noProof/>
                <w:sz w:val="20"/>
                <w:szCs w:val="20"/>
                <w:lang w:val="en-US"/>
              </w:rPr>
              <w:t>(</w:t>
            </w:r>
            <w:r w:rsidRPr="00F25B40">
              <w:rPr>
                <w:rFonts w:ascii="Arial" w:hAnsi="Arial" w:cs="Arial"/>
                <w:b/>
                <w:bCs/>
                <w:noProof/>
                <w:sz w:val="20"/>
                <w:szCs w:val="20"/>
                <w:lang w:val="en-US"/>
              </w:rPr>
              <w:t>1</w:t>
            </w:r>
            <w:r w:rsidRPr="00F25B40">
              <w:rPr>
                <w:rFonts w:ascii="Arial" w:hAnsi="Arial" w:cs="Arial"/>
                <w:noProof/>
                <w:sz w:val="20"/>
                <w:szCs w:val="20"/>
                <w:lang w:val="en-US"/>
              </w:rPr>
              <w:t>)</w:t>
            </w:r>
          </w:p>
        </w:tc>
        <w:tc>
          <w:tcPr>
            <w:tcW w:w="3826" w:type="dxa"/>
          </w:tcPr>
          <w:p w14:paraId="479728BE" w14:textId="2C46282C" w:rsidR="0019722C" w:rsidRPr="00F25B40" w:rsidRDefault="0019722C" w:rsidP="001A5239">
            <w:pPr>
              <w:widowControl w:val="0"/>
              <w:autoSpaceDE w:val="0"/>
              <w:autoSpaceDN w:val="0"/>
              <w:adjustRightInd w:val="0"/>
              <w:spacing w:after="0" w:line="240" w:lineRule="auto"/>
              <w:jc w:val="center"/>
              <w:rPr>
                <w:rFonts w:ascii="Arial" w:hAnsi="Arial" w:cs="Arial"/>
                <w:noProof/>
                <w:sz w:val="20"/>
                <w:szCs w:val="20"/>
                <w:lang w:val="en-GB"/>
              </w:rPr>
            </w:pPr>
            <w:r w:rsidRPr="00F25B40">
              <w:rPr>
                <w:rFonts w:ascii="Arial" w:hAnsi="Arial" w:cs="Arial"/>
                <w:noProof/>
                <w:sz w:val="20"/>
                <w:szCs w:val="20"/>
                <w:lang w:val="en-US"/>
              </w:rPr>
              <w:t>(</w:t>
            </w:r>
            <w:r w:rsidRPr="00F25B40">
              <w:rPr>
                <w:rFonts w:ascii="Arial" w:hAnsi="Arial" w:cs="Arial"/>
                <w:b/>
                <w:bCs/>
                <w:noProof/>
                <w:sz w:val="20"/>
                <w:szCs w:val="20"/>
                <w:lang w:val="en-US"/>
              </w:rPr>
              <w:t>2</w:t>
            </w:r>
            <w:r w:rsidRPr="00F25B40">
              <w:rPr>
                <w:rFonts w:ascii="Arial" w:hAnsi="Arial" w:cs="Arial"/>
                <w:noProof/>
                <w:sz w:val="20"/>
                <w:szCs w:val="20"/>
                <w:lang w:val="en-US"/>
              </w:rPr>
              <w:t>)</w:t>
            </w:r>
          </w:p>
        </w:tc>
      </w:tr>
    </w:tbl>
    <w:p w14:paraId="76CFF03E" w14:textId="1EC94548" w:rsidR="00412A13" w:rsidRPr="00F25B40" w:rsidRDefault="008E05C3" w:rsidP="001A5239">
      <w:pPr>
        <w:widowControl w:val="0"/>
        <w:autoSpaceDE w:val="0"/>
        <w:autoSpaceDN w:val="0"/>
        <w:adjustRightInd w:val="0"/>
        <w:spacing w:before="120" w:after="240" w:line="240" w:lineRule="auto"/>
        <w:jc w:val="both"/>
        <w:rPr>
          <w:rFonts w:ascii="Arial" w:hAnsi="Arial" w:cs="Arial"/>
          <w:b/>
          <w:bCs/>
          <w:sz w:val="20"/>
          <w:szCs w:val="20"/>
          <w:lang w:val="en-GB"/>
        </w:rPr>
      </w:pPr>
      <w:r w:rsidRPr="00F25B40">
        <w:rPr>
          <w:rFonts w:ascii="Arial" w:hAnsi="Arial" w:cs="Arial"/>
          <w:b/>
          <w:bCs/>
          <w:sz w:val="20"/>
          <w:szCs w:val="20"/>
          <w:lang w:val="en-GB"/>
        </w:rPr>
        <w:t xml:space="preserve">Scheme 1. </w:t>
      </w:r>
      <w:r w:rsidR="00EB79E6" w:rsidRPr="00F25B40">
        <w:rPr>
          <w:rFonts w:ascii="Arial" w:hAnsi="Arial" w:cs="Arial"/>
          <w:b/>
          <w:bCs/>
          <w:sz w:val="20"/>
          <w:szCs w:val="20"/>
          <w:lang w:val="en-GB"/>
        </w:rPr>
        <w:t>S</w:t>
      </w:r>
      <w:r w:rsidR="00ED59DF" w:rsidRPr="00F25B40">
        <w:rPr>
          <w:rFonts w:ascii="Arial" w:hAnsi="Arial" w:cs="Arial"/>
          <w:b/>
          <w:bCs/>
          <w:sz w:val="20"/>
          <w:szCs w:val="20"/>
          <w:lang w:val="en-GB"/>
        </w:rPr>
        <w:t>chem</w:t>
      </w:r>
      <w:r w:rsidR="001448D6" w:rsidRPr="00F25B40">
        <w:rPr>
          <w:rFonts w:ascii="Arial" w:hAnsi="Arial" w:cs="Arial"/>
          <w:b/>
          <w:bCs/>
          <w:sz w:val="20"/>
          <w:szCs w:val="20"/>
          <w:lang w:val="en-GB"/>
        </w:rPr>
        <w:t>atic illustration</w:t>
      </w:r>
      <w:r w:rsidR="00A741EE" w:rsidRPr="00F25B40">
        <w:rPr>
          <w:rFonts w:ascii="Arial" w:hAnsi="Arial" w:cs="Arial"/>
          <w:b/>
          <w:bCs/>
          <w:sz w:val="20"/>
          <w:szCs w:val="20"/>
          <w:lang w:val="en-GB"/>
        </w:rPr>
        <w:t xml:space="preserve"> of </w:t>
      </w:r>
      <w:r w:rsidRPr="00F25B40">
        <w:rPr>
          <w:rFonts w:ascii="Arial" w:hAnsi="Arial" w:cs="Arial"/>
          <w:b/>
          <w:bCs/>
          <w:sz w:val="20"/>
          <w:szCs w:val="20"/>
          <w:lang w:val="en-GB"/>
        </w:rPr>
        <w:t xml:space="preserve">complexes </w:t>
      </w:r>
      <w:r w:rsidR="00A741EE" w:rsidRPr="00F25B40">
        <w:rPr>
          <w:rFonts w:ascii="Arial" w:hAnsi="Arial" w:cs="Arial"/>
          <w:b/>
          <w:bCs/>
          <w:sz w:val="20"/>
          <w:szCs w:val="20"/>
          <w:lang w:val="en-GB"/>
        </w:rPr>
        <w:t>(1) and (2)</w:t>
      </w:r>
      <w:r w:rsidRPr="00F25B40">
        <w:rPr>
          <w:rFonts w:ascii="Arial" w:hAnsi="Arial" w:cs="Arial"/>
          <w:b/>
          <w:bCs/>
          <w:sz w:val="20"/>
          <w:szCs w:val="20"/>
          <w:lang w:val="en-GB"/>
        </w:rPr>
        <w:t>.</w:t>
      </w:r>
    </w:p>
    <w:p w14:paraId="22406200" w14:textId="77777777" w:rsidR="00412A13" w:rsidRPr="00F25B40" w:rsidRDefault="00412A13" w:rsidP="00343124">
      <w:pPr>
        <w:pStyle w:val="Heading1"/>
      </w:pPr>
      <w:r w:rsidRPr="00F25B40">
        <w:t>Experimental</w:t>
      </w:r>
    </w:p>
    <w:p w14:paraId="1AFC6DFF" w14:textId="453DD852" w:rsidR="00412A13" w:rsidRPr="00F25B40" w:rsidRDefault="00684E0B" w:rsidP="00F122B0">
      <w:pPr>
        <w:pStyle w:val="Heading2"/>
      </w:pPr>
      <w:r w:rsidRPr="00F25B40">
        <w:t>Material</w:t>
      </w:r>
      <w:r w:rsidR="000F3531" w:rsidRPr="00F25B40">
        <w:t xml:space="preserve"> and method</w:t>
      </w:r>
      <w:r w:rsidRPr="00F25B40">
        <w:t>s</w:t>
      </w:r>
    </w:p>
    <w:p w14:paraId="2B0D8785" w14:textId="7E84FD14" w:rsidR="00211207" w:rsidRPr="00F25B40" w:rsidRDefault="00412A13" w:rsidP="00A57067">
      <w:pPr>
        <w:spacing w:after="0" w:line="240" w:lineRule="auto"/>
        <w:jc w:val="both"/>
        <w:rPr>
          <w:rFonts w:ascii="Arial" w:hAnsi="Arial" w:cs="Arial"/>
          <w:sz w:val="20"/>
          <w:szCs w:val="20"/>
          <w:lang w:val="en-US"/>
        </w:rPr>
      </w:pPr>
      <w:r w:rsidRPr="00F25B40">
        <w:rPr>
          <w:rFonts w:ascii="Arial" w:hAnsi="Arial" w:cs="Arial"/>
          <w:sz w:val="20"/>
          <w:szCs w:val="20"/>
          <w:lang w:val="en-GB"/>
        </w:rPr>
        <w:t>Malonic acid</w:t>
      </w:r>
      <w:r w:rsidR="00DE15A2" w:rsidRPr="00F25B40">
        <w:rPr>
          <w:rFonts w:ascii="Arial" w:hAnsi="Arial" w:cs="Arial"/>
          <w:sz w:val="20"/>
          <w:szCs w:val="20"/>
          <w:lang w:val="en-US"/>
        </w:rPr>
        <w:t xml:space="preserve"> </w:t>
      </w:r>
      <w:r w:rsidR="00252E39" w:rsidRPr="00F25B40">
        <w:rPr>
          <w:rFonts w:ascii="Arial" w:hAnsi="Arial" w:cs="Arial"/>
          <w:sz w:val="20"/>
          <w:szCs w:val="20"/>
          <w:lang w:val="en-US"/>
        </w:rPr>
        <w:t>(</w:t>
      </w:r>
      <w:r w:rsidR="00DE15A2" w:rsidRPr="00F25B40">
        <w:rPr>
          <w:rFonts w:ascii="Arial" w:hAnsi="Arial" w:cs="Arial"/>
          <w:sz w:val="20"/>
          <w:szCs w:val="20"/>
          <w:lang w:val="en-US"/>
        </w:rPr>
        <w:t>HO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C</w:t>
      </w:r>
      <w:r w:rsidR="00B02E7B" w:rsidRPr="00F25B40">
        <w:rPr>
          <w:rFonts w:ascii="Arial" w:hAnsi="Arial" w:cs="Arial"/>
          <w:sz w:val="20"/>
          <w:szCs w:val="20"/>
          <w:lang w:val="en-US"/>
        </w:rPr>
        <w:t>-</w:t>
      </w:r>
      <w:r w:rsidR="00DE15A2" w:rsidRPr="00F25B40">
        <w:rPr>
          <w:rFonts w:ascii="Arial" w:hAnsi="Arial" w:cs="Arial"/>
          <w:sz w:val="20"/>
          <w:szCs w:val="20"/>
          <w:lang w:val="en-US"/>
        </w:rPr>
        <w:t>CH</w:t>
      </w:r>
      <w:r w:rsidR="00DE15A2" w:rsidRPr="00F25B40">
        <w:rPr>
          <w:rFonts w:ascii="Arial" w:hAnsi="Arial" w:cs="Arial"/>
          <w:sz w:val="20"/>
          <w:szCs w:val="20"/>
          <w:vertAlign w:val="subscript"/>
          <w:lang w:val="en-US"/>
        </w:rPr>
        <w:t>2</w:t>
      </w:r>
      <w:r w:rsidR="00B02E7B" w:rsidRPr="00F25B40">
        <w:rPr>
          <w:rFonts w:ascii="Arial" w:hAnsi="Arial" w:cs="Arial"/>
          <w:sz w:val="20"/>
          <w:szCs w:val="20"/>
          <w:lang w:val="en-US"/>
        </w:rPr>
        <w:t>-</w:t>
      </w:r>
      <w:r w:rsidR="00DE15A2" w:rsidRPr="00F25B40">
        <w:rPr>
          <w:rFonts w:ascii="Arial" w:hAnsi="Arial" w:cs="Arial"/>
          <w:sz w:val="20"/>
          <w:szCs w:val="20"/>
          <w:lang w:val="en-US"/>
        </w:rPr>
        <w:t>CO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H</w:t>
      </w:r>
      <w:r w:rsidR="00252E39" w:rsidRPr="00F25B40">
        <w:rPr>
          <w:rFonts w:ascii="Arial" w:hAnsi="Arial" w:cs="Arial"/>
          <w:sz w:val="20"/>
          <w:szCs w:val="20"/>
          <w:lang w:val="en-US"/>
        </w:rPr>
        <w:t>)</w:t>
      </w:r>
      <w:r w:rsidR="00252E39" w:rsidRPr="00F25B40">
        <w:rPr>
          <w:rFonts w:ascii="Arial" w:hAnsi="Arial" w:cs="Arial"/>
          <w:sz w:val="20"/>
          <w:szCs w:val="20"/>
          <w:vertAlign w:val="subscript"/>
          <w:lang w:val="en-US"/>
        </w:rPr>
        <w:t xml:space="preserve"> </w:t>
      </w:r>
      <w:r w:rsidR="00252E39" w:rsidRPr="00F25B40">
        <w:rPr>
          <w:rFonts w:ascii="Arial" w:hAnsi="Arial" w:cs="Arial"/>
          <w:sz w:val="20"/>
          <w:szCs w:val="20"/>
          <w:lang w:val="en-US"/>
        </w:rPr>
        <w:t xml:space="preserve">and </w:t>
      </w:r>
      <w:r w:rsidRPr="00F25B40">
        <w:rPr>
          <w:rFonts w:ascii="Arial" w:hAnsi="Arial" w:cs="Arial"/>
          <w:sz w:val="20"/>
          <w:szCs w:val="20"/>
          <w:lang w:val="en-US"/>
        </w:rPr>
        <w:t xml:space="preserve"> maleic acid</w:t>
      </w:r>
      <w:r w:rsidRPr="00F25B40">
        <w:rPr>
          <w:rFonts w:ascii="Arial" w:hAnsi="Arial" w:cs="Arial"/>
          <w:sz w:val="20"/>
          <w:szCs w:val="20"/>
          <w:vertAlign w:val="subscript"/>
          <w:lang w:val="en-US"/>
        </w:rPr>
        <w:t xml:space="preserve"> </w:t>
      </w:r>
      <w:r w:rsidR="00252E39" w:rsidRPr="00F25B40">
        <w:rPr>
          <w:rFonts w:ascii="Arial" w:hAnsi="Arial" w:cs="Arial"/>
          <w:sz w:val="20"/>
          <w:szCs w:val="20"/>
          <w:lang w:val="en-US"/>
        </w:rPr>
        <w:t>(</w:t>
      </w:r>
      <w:r w:rsidR="00DE15A2" w:rsidRPr="00F25B40">
        <w:rPr>
          <w:rFonts w:ascii="Arial" w:hAnsi="Arial" w:cs="Arial"/>
          <w:sz w:val="20"/>
          <w:szCs w:val="20"/>
          <w:lang w:val="en-US"/>
        </w:rPr>
        <w:t>HO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C</w:t>
      </w:r>
      <w:r w:rsidR="00B02E7B" w:rsidRPr="00F25B40">
        <w:rPr>
          <w:rFonts w:ascii="Arial" w:hAnsi="Arial" w:cs="Arial"/>
          <w:sz w:val="20"/>
          <w:szCs w:val="20"/>
          <w:lang w:val="en-US"/>
        </w:rPr>
        <w:t>-</w:t>
      </w:r>
      <w:r w:rsidR="00DE15A2" w:rsidRPr="00F25B40">
        <w:rPr>
          <w:rFonts w:ascii="Arial" w:hAnsi="Arial" w:cs="Arial"/>
          <w:sz w:val="20"/>
          <w:szCs w:val="20"/>
          <w:lang w:val="en-US"/>
        </w:rPr>
        <w:t>(</w:t>
      </w:r>
      <w:r w:rsidR="0041319B" w:rsidRPr="00F25B40">
        <w:rPr>
          <w:rFonts w:ascii="Arial" w:hAnsi="Arial" w:cs="Arial"/>
          <w:sz w:val="20"/>
          <w:szCs w:val="20"/>
          <w:lang w:val="en-US"/>
        </w:rPr>
        <w:t>CH=</w:t>
      </w:r>
      <w:r w:rsidR="00DE15A2" w:rsidRPr="00F25B40">
        <w:rPr>
          <w:rFonts w:ascii="Arial" w:hAnsi="Arial" w:cs="Arial"/>
          <w:sz w:val="20"/>
          <w:szCs w:val="20"/>
          <w:lang w:val="en-US"/>
        </w:rPr>
        <w:t>CH)</w:t>
      </w:r>
      <w:r w:rsidR="00B02E7B" w:rsidRPr="00F25B40">
        <w:rPr>
          <w:rFonts w:ascii="Arial" w:hAnsi="Arial" w:cs="Arial"/>
          <w:sz w:val="20"/>
          <w:szCs w:val="20"/>
          <w:lang w:val="en-US"/>
        </w:rPr>
        <w:t>-</w:t>
      </w:r>
      <w:r w:rsidR="00DE15A2" w:rsidRPr="00F25B40">
        <w:rPr>
          <w:rFonts w:ascii="Arial" w:hAnsi="Arial" w:cs="Arial"/>
          <w:sz w:val="20"/>
          <w:szCs w:val="20"/>
          <w:lang w:val="en-US"/>
        </w:rPr>
        <w:t>CO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H</w:t>
      </w:r>
      <w:r w:rsidR="00252E39" w:rsidRPr="00F25B40">
        <w:rPr>
          <w:rFonts w:ascii="Arial" w:hAnsi="Arial" w:cs="Arial"/>
          <w:sz w:val="20"/>
          <w:szCs w:val="20"/>
          <w:lang w:val="en-US"/>
        </w:rPr>
        <w:t>)</w:t>
      </w:r>
      <w:r w:rsidR="00DE15A2" w:rsidRPr="00F25B40">
        <w:rPr>
          <w:rFonts w:ascii="Arial" w:hAnsi="Arial" w:cs="Arial"/>
          <w:sz w:val="20"/>
          <w:szCs w:val="20"/>
          <w:lang w:val="en-US"/>
        </w:rPr>
        <w:t xml:space="preserve"> </w:t>
      </w:r>
      <w:r w:rsidRPr="00F25B40">
        <w:rPr>
          <w:rFonts w:ascii="Arial" w:hAnsi="Arial" w:cs="Arial"/>
          <w:sz w:val="20"/>
          <w:szCs w:val="20"/>
          <w:lang w:val="en-US"/>
        </w:rPr>
        <w:t>w</w:t>
      </w:r>
      <w:r w:rsidR="00252E39" w:rsidRPr="00F25B40">
        <w:rPr>
          <w:rFonts w:ascii="Arial" w:hAnsi="Arial" w:cs="Arial"/>
          <w:sz w:val="20"/>
          <w:szCs w:val="20"/>
          <w:lang w:val="en-US"/>
        </w:rPr>
        <w:t>ere</w:t>
      </w:r>
      <w:r w:rsidRPr="00F25B40">
        <w:rPr>
          <w:rFonts w:ascii="Arial" w:hAnsi="Arial" w:cs="Arial"/>
          <w:sz w:val="20"/>
          <w:szCs w:val="20"/>
          <w:lang w:val="en-US"/>
        </w:rPr>
        <w:t xml:space="preserve"> purchased from Merck</w:t>
      </w:r>
      <w:r w:rsidRPr="00F25B40">
        <w:rPr>
          <w:rFonts w:ascii="Arial" w:hAnsi="Arial" w:cs="Arial"/>
          <w:sz w:val="20"/>
          <w:szCs w:val="20"/>
          <w:lang w:val="en-GB"/>
        </w:rPr>
        <w:t xml:space="preserve"> Chemicals (</w:t>
      </w:r>
      <w:proofErr w:type="spellStart"/>
      <w:r w:rsidRPr="00F25B40">
        <w:rPr>
          <w:rFonts w:ascii="Arial" w:hAnsi="Arial" w:cs="Arial"/>
          <w:sz w:val="20"/>
          <w:szCs w:val="20"/>
          <w:lang w:val="en-GB"/>
        </w:rPr>
        <w:t>Hohenbrunn</w:t>
      </w:r>
      <w:proofErr w:type="spellEnd"/>
      <w:r w:rsidRPr="00F25B40">
        <w:rPr>
          <w:rFonts w:ascii="Arial" w:hAnsi="Arial" w:cs="Arial"/>
          <w:sz w:val="20"/>
          <w:szCs w:val="20"/>
          <w:lang w:val="en-GB"/>
        </w:rPr>
        <w:t>, Germany), while 1-ethyl</w:t>
      </w:r>
      <w:r w:rsidR="00D4549F" w:rsidRPr="00F25B40">
        <w:rPr>
          <w:rFonts w:ascii="Arial" w:hAnsi="Arial" w:cs="Arial"/>
          <w:sz w:val="20"/>
          <w:szCs w:val="20"/>
          <w:lang w:val="en-GB"/>
        </w:rPr>
        <w:t>-1</w:t>
      </w:r>
      <w:r w:rsidR="00D4549F" w:rsidRPr="00F25B40">
        <w:rPr>
          <w:rFonts w:ascii="Arial" w:hAnsi="Arial" w:cs="Arial"/>
          <w:i/>
          <w:iCs/>
          <w:sz w:val="20"/>
          <w:szCs w:val="20"/>
          <w:lang w:val="en-GB"/>
        </w:rPr>
        <w:t>H</w:t>
      </w:r>
      <w:r w:rsidR="00D4549F" w:rsidRPr="00F25B40">
        <w:rPr>
          <w:rFonts w:ascii="Arial" w:hAnsi="Arial" w:cs="Arial"/>
          <w:sz w:val="20"/>
          <w:szCs w:val="20"/>
          <w:lang w:val="en-GB"/>
        </w:rPr>
        <w:t>-</w:t>
      </w:r>
      <w:r w:rsidRPr="00F25B40">
        <w:rPr>
          <w:rFonts w:ascii="Arial" w:hAnsi="Arial" w:cs="Arial"/>
          <w:sz w:val="20"/>
          <w:szCs w:val="20"/>
          <w:lang w:val="en-GB"/>
        </w:rPr>
        <w:t>imidazol</w:t>
      </w:r>
      <w:r w:rsidR="00252E39" w:rsidRPr="00F25B40">
        <w:rPr>
          <w:rFonts w:ascii="Arial" w:hAnsi="Arial" w:cs="Arial"/>
          <w:sz w:val="20"/>
          <w:szCs w:val="20"/>
          <w:lang w:val="en-GB"/>
        </w:rPr>
        <w:t xml:space="preserve"> (</w:t>
      </w:r>
      <w:r w:rsidRPr="00F25B40">
        <w:rPr>
          <w:rFonts w:ascii="Arial" w:hAnsi="Arial" w:cs="Arial"/>
          <w:sz w:val="20"/>
          <w:szCs w:val="20"/>
          <w:lang w:val="en-US"/>
        </w:rPr>
        <w:t>C</w:t>
      </w:r>
      <w:r w:rsidRPr="00F25B40">
        <w:rPr>
          <w:rFonts w:ascii="Arial" w:hAnsi="Arial" w:cs="Arial"/>
          <w:sz w:val="20"/>
          <w:szCs w:val="20"/>
          <w:vertAlign w:val="subscript"/>
          <w:lang w:val="en-US"/>
        </w:rPr>
        <w:t>5</w:t>
      </w:r>
      <w:r w:rsidRPr="00F25B40">
        <w:rPr>
          <w:rFonts w:ascii="Arial" w:hAnsi="Arial" w:cs="Arial"/>
          <w:sz w:val="20"/>
          <w:szCs w:val="20"/>
          <w:lang w:val="en-US"/>
        </w:rPr>
        <w:t>H</w:t>
      </w:r>
      <w:r w:rsidRPr="00F25B40">
        <w:rPr>
          <w:rFonts w:ascii="Arial" w:hAnsi="Arial" w:cs="Arial"/>
          <w:sz w:val="20"/>
          <w:szCs w:val="20"/>
          <w:vertAlign w:val="subscript"/>
          <w:lang w:val="en-US"/>
        </w:rPr>
        <w:t>9</w:t>
      </w:r>
      <w:r w:rsidRPr="00F25B40">
        <w:rPr>
          <w:rFonts w:ascii="Arial" w:hAnsi="Arial" w:cs="Arial"/>
          <w:sz w:val="20"/>
          <w:szCs w:val="20"/>
          <w:lang w:val="en-US"/>
        </w:rPr>
        <w:t>N</w:t>
      </w:r>
      <w:r w:rsidRPr="00F25B40">
        <w:rPr>
          <w:rFonts w:ascii="Arial" w:hAnsi="Arial" w:cs="Arial"/>
          <w:sz w:val="20"/>
          <w:szCs w:val="20"/>
          <w:vertAlign w:val="subscript"/>
          <w:lang w:val="en-US"/>
        </w:rPr>
        <w:t>2</w:t>
      </w:r>
      <w:r w:rsidR="00252E39" w:rsidRPr="00F25B40">
        <w:rPr>
          <w:rFonts w:ascii="Arial" w:hAnsi="Arial" w:cs="Arial"/>
          <w:sz w:val="20"/>
          <w:szCs w:val="20"/>
          <w:lang w:val="en-GB"/>
        </w:rPr>
        <w:t>)</w:t>
      </w:r>
      <w:r w:rsidRPr="00F25B40">
        <w:rPr>
          <w:rFonts w:ascii="Arial" w:hAnsi="Arial" w:cs="Arial"/>
          <w:sz w:val="20"/>
          <w:szCs w:val="20"/>
          <w:lang w:val="en-US"/>
        </w:rPr>
        <w:t>, Zn(CH</w:t>
      </w:r>
      <w:r w:rsidRPr="00F25B40">
        <w:rPr>
          <w:rFonts w:ascii="Arial" w:hAnsi="Arial" w:cs="Arial"/>
          <w:sz w:val="20"/>
          <w:szCs w:val="20"/>
          <w:vertAlign w:val="subscript"/>
          <w:lang w:val="en-US"/>
        </w:rPr>
        <w:t>3</w:t>
      </w:r>
      <w:r w:rsidRPr="00F25B40">
        <w:rPr>
          <w:rFonts w:ascii="Arial" w:hAnsi="Arial" w:cs="Arial"/>
          <w:sz w:val="20"/>
          <w:szCs w:val="20"/>
          <w:lang w:val="en-US"/>
        </w:rPr>
        <w:t>COO)</w:t>
      </w:r>
      <w:r w:rsidRPr="00F25B40">
        <w:rPr>
          <w:rFonts w:ascii="Arial" w:hAnsi="Arial" w:cs="Arial"/>
          <w:sz w:val="20"/>
          <w:szCs w:val="20"/>
          <w:vertAlign w:val="subscript"/>
          <w:lang w:val="en-US"/>
        </w:rPr>
        <w:t>2</w:t>
      </w:r>
      <w:r w:rsidRPr="00F25B40">
        <w:rPr>
          <w:rFonts w:ascii="Arial" w:hAnsi="Arial" w:cs="Arial"/>
          <w:sz w:val="20"/>
          <w:szCs w:val="20"/>
          <w:lang w:val="en-US"/>
        </w:rPr>
        <w:t xml:space="preserve"> and Cu(CH</w:t>
      </w:r>
      <w:r w:rsidRPr="00F25B40">
        <w:rPr>
          <w:rFonts w:ascii="Arial" w:hAnsi="Arial" w:cs="Arial"/>
          <w:sz w:val="20"/>
          <w:szCs w:val="20"/>
          <w:vertAlign w:val="subscript"/>
          <w:lang w:val="en-US"/>
        </w:rPr>
        <w:t>3</w:t>
      </w:r>
      <w:r w:rsidRPr="00F25B40">
        <w:rPr>
          <w:rFonts w:ascii="Arial" w:hAnsi="Arial" w:cs="Arial"/>
          <w:sz w:val="20"/>
          <w:szCs w:val="20"/>
          <w:lang w:val="en-US"/>
        </w:rPr>
        <w:t>COO)</w:t>
      </w:r>
      <w:r w:rsidRPr="00F25B40">
        <w:rPr>
          <w:rFonts w:ascii="Arial" w:hAnsi="Arial" w:cs="Arial"/>
          <w:sz w:val="20"/>
          <w:szCs w:val="20"/>
          <w:vertAlign w:val="subscript"/>
          <w:lang w:val="en-US"/>
        </w:rPr>
        <w:t>2</w:t>
      </w:r>
      <w:r w:rsidRPr="00F25B40">
        <w:rPr>
          <w:rFonts w:ascii="Arial" w:hAnsi="Arial" w:cs="Arial"/>
          <w:sz w:val="20"/>
          <w:szCs w:val="20"/>
          <w:lang w:val="en-US"/>
        </w:rPr>
        <w:t xml:space="preserve"> </w:t>
      </w:r>
      <w:r w:rsidRPr="00F25B40">
        <w:rPr>
          <w:rFonts w:ascii="Arial" w:hAnsi="Arial" w:cs="Arial"/>
          <w:sz w:val="20"/>
          <w:szCs w:val="20"/>
          <w:lang w:val="en-GB"/>
        </w:rPr>
        <w:t xml:space="preserve"> </w:t>
      </w:r>
      <w:r w:rsidRPr="00F25B40">
        <w:rPr>
          <w:rFonts w:ascii="Arial" w:hAnsi="Arial" w:cs="Arial"/>
          <w:sz w:val="20"/>
          <w:szCs w:val="20"/>
          <w:lang w:val="en-US"/>
        </w:rPr>
        <w:t>were acquired from Sigma-Aldrich (Steinheim, Germany) and used without any further purification</w:t>
      </w:r>
      <w:r w:rsidRPr="00F25B40">
        <w:rPr>
          <w:rFonts w:ascii="Arial" w:hAnsi="Arial" w:cs="Arial"/>
          <w:sz w:val="20"/>
          <w:szCs w:val="20"/>
          <w:lang w:val="en-GB"/>
        </w:rPr>
        <w:t xml:space="preserve">. </w:t>
      </w:r>
      <w:r w:rsidR="0056008B" w:rsidRPr="00F25B40">
        <w:rPr>
          <w:rFonts w:ascii="Arial" w:hAnsi="Arial" w:cs="Arial"/>
          <w:sz w:val="20"/>
          <w:szCs w:val="20"/>
          <w:lang w:val="en-US"/>
        </w:rPr>
        <w:t xml:space="preserve">Elemental analyses were carried out using a </w:t>
      </w:r>
      <w:proofErr w:type="spellStart"/>
      <w:r w:rsidR="0056008B" w:rsidRPr="00F25B40">
        <w:rPr>
          <w:rFonts w:ascii="Arial" w:hAnsi="Arial" w:cs="Arial"/>
          <w:sz w:val="20"/>
          <w:szCs w:val="20"/>
          <w:lang w:val="en-US"/>
        </w:rPr>
        <w:t>VxRio</w:t>
      </w:r>
      <w:proofErr w:type="spellEnd"/>
      <w:r w:rsidR="0056008B" w:rsidRPr="00F25B40">
        <w:rPr>
          <w:rFonts w:ascii="Arial" w:hAnsi="Arial" w:cs="Arial"/>
          <w:sz w:val="20"/>
          <w:szCs w:val="20"/>
          <w:lang w:val="en-US"/>
        </w:rPr>
        <w:t xml:space="preserve"> EL Instrument. </w:t>
      </w:r>
      <w:r w:rsidR="00E7330C" w:rsidRPr="00F25B40">
        <w:rPr>
          <w:rFonts w:ascii="Arial" w:hAnsi="Arial" w:cs="Arial"/>
          <w:sz w:val="20"/>
          <w:szCs w:val="20"/>
          <w:lang w:val="en-US"/>
        </w:rPr>
        <w:t xml:space="preserve">The Atomic Absorption Spectroscopy was </w:t>
      </w:r>
      <w:r w:rsidR="00B66039" w:rsidRPr="00F25B40">
        <w:rPr>
          <w:rFonts w:ascii="Arial" w:hAnsi="Arial" w:cs="Arial"/>
          <w:sz w:val="20"/>
          <w:szCs w:val="20"/>
          <w:lang w:val="en-US"/>
        </w:rPr>
        <w:t>performed using a</w:t>
      </w:r>
      <w:r w:rsidR="00164664" w:rsidRPr="00F25B40">
        <w:rPr>
          <w:rFonts w:ascii="Arial" w:hAnsi="Arial" w:cs="Arial"/>
          <w:sz w:val="20"/>
          <w:szCs w:val="20"/>
          <w:lang w:val="en-US"/>
        </w:rPr>
        <w:t>n</w:t>
      </w:r>
      <w:r w:rsidR="00B66039" w:rsidRPr="00F25B40">
        <w:rPr>
          <w:rFonts w:ascii="Arial" w:hAnsi="Arial" w:cs="Arial"/>
          <w:sz w:val="20"/>
          <w:szCs w:val="20"/>
          <w:lang w:val="en-US"/>
        </w:rPr>
        <w:t xml:space="preserve"> </w:t>
      </w:r>
      <w:r w:rsidR="003106D6" w:rsidRPr="00F25B40">
        <w:rPr>
          <w:rFonts w:ascii="Arial" w:hAnsi="Arial" w:cs="Arial"/>
          <w:sz w:val="20"/>
          <w:szCs w:val="20"/>
          <w:lang w:val="en-US"/>
        </w:rPr>
        <w:t xml:space="preserve">ICE </w:t>
      </w:r>
      <w:r w:rsidR="00B66039" w:rsidRPr="00F25B40">
        <w:rPr>
          <w:rFonts w:ascii="Arial" w:hAnsi="Arial" w:cs="Arial"/>
          <w:sz w:val="20"/>
          <w:szCs w:val="20"/>
          <w:lang w:val="en-US"/>
        </w:rPr>
        <w:t>3000</w:t>
      </w:r>
      <w:r w:rsidR="00C13248" w:rsidRPr="00F25B40">
        <w:rPr>
          <w:rFonts w:ascii="Arial" w:hAnsi="Arial" w:cs="Arial"/>
          <w:sz w:val="20"/>
          <w:szCs w:val="20"/>
          <w:lang w:val="en-US"/>
        </w:rPr>
        <w:t xml:space="preserve"> </w:t>
      </w:r>
      <w:r w:rsidR="003106D6" w:rsidRPr="00F25B40">
        <w:rPr>
          <w:rFonts w:ascii="Arial" w:hAnsi="Arial" w:cs="Arial"/>
          <w:sz w:val="20"/>
          <w:szCs w:val="20"/>
          <w:lang w:val="en-US"/>
        </w:rPr>
        <w:t>T</w:t>
      </w:r>
      <w:r w:rsidR="00B66039" w:rsidRPr="00F25B40">
        <w:rPr>
          <w:rFonts w:ascii="Arial" w:hAnsi="Arial" w:cs="Arial"/>
          <w:sz w:val="20"/>
          <w:szCs w:val="20"/>
          <w:lang w:val="en-US"/>
        </w:rPr>
        <w:t xml:space="preserve">hermos Fischer </w:t>
      </w:r>
      <w:r w:rsidR="00200FC4" w:rsidRPr="00F25B40">
        <w:rPr>
          <w:rFonts w:ascii="Arial" w:hAnsi="Arial" w:cs="Arial"/>
          <w:sz w:val="20"/>
          <w:szCs w:val="20"/>
          <w:lang w:val="en-US"/>
        </w:rPr>
        <w:t>Atomic Absorption Spectrophotometer</w:t>
      </w:r>
      <w:r w:rsidR="00B66039" w:rsidRPr="00F25B40">
        <w:rPr>
          <w:rFonts w:ascii="Arial" w:hAnsi="Arial" w:cs="Arial"/>
          <w:sz w:val="20"/>
          <w:szCs w:val="20"/>
          <w:lang w:val="en-US"/>
        </w:rPr>
        <w:t xml:space="preserve">. </w:t>
      </w:r>
      <w:r w:rsidR="0056008B" w:rsidRPr="00F25B40">
        <w:rPr>
          <w:rFonts w:ascii="Arial" w:hAnsi="Arial" w:cs="Arial"/>
          <w:sz w:val="20"/>
          <w:szCs w:val="20"/>
          <w:lang w:val="en-US"/>
        </w:rPr>
        <w:t>The IR spectra were recorded on a FTIR Spectrum Two of Perkin Elmer (4000–400 cm</w:t>
      </w:r>
      <w:r w:rsidR="0056008B" w:rsidRPr="00F25B40">
        <w:rPr>
          <w:rFonts w:ascii="Arial" w:hAnsi="Arial" w:cs="Arial"/>
          <w:sz w:val="20"/>
          <w:szCs w:val="20"/>
          <w:vertAlign w:val="superscript"/>
          <w:lang w:val="en-US"/>
        </w:rPr>
        <w:t>-1</w:t>
      </w:r>
      <w:r w:rsidR="0056008B" w:rsidRPr="00F25B40">
        <w:rPr>
          <w:rFonts w:ascii="Arial" w:hAnsi="Arial" w:cs="Arial"/>
          <w:sz w:val="20"/>
          <w:szCs w:val="20"/>
          <w:lang w:val="en-US"/>
        </w:rPr>
        <w:t>). The UV–Vis spectra were run on a Perkin-Elmer UV/Visible spectrophotometer Lambda 365 (1000–200 nm).</w:t>
      </w:r>
      <w:r w:rsidR="00BB3781" w:rsidRPr="00F25B40">
        <w:rPr>
          <w:rFonts w:ascii="Arial" w:hAnsi="Arial" w:cs="Arial"/>
          <w:sz w:val="20"/>
          <w:szCs w:val="20"/>
          <w:lang w:val="en-US"/>
        </w:rPr>
        <w:t xml:space="preserve"> </w:t>
      </w:r>
      <w:r w:rsidR="00211207" w:rsidRPr="00F25B40">
        <w:rPr>
          <w:rFonts w:ascii="Arial" w:hAnsi="Arial" w:cs="Arial"/>
          <w:sz w:val="20"/>
          <w:szCs w:val="20"/>
          <w:lang w:val="en-US"/>
        </w:rPr>
        <w:t>DSC curves were measured using a DSC 821</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Mettler Toledo instrument. Prior to measurements, the instrument</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 xml:space="preserve">was calibrated using indium. Standard 40 </w:t>
      </w:r>
      <w:proofErr w:type="spellStart"/>
      <w:r w:rsidR="00211207" w:rsidRPr="00F25B40">
        <w:rPr>
          <w:rFonts w:ascii="Arial" w:hAnsi="Arial" w:cs="Arial"/>
          <w:sz w:val="20"/>
          <w:szCs w:val="20"/>
          <w:lang w:val="en-US"/>
        </w:rPr>
        <w:t>μL</w:t>
      </w:r>
      <w:proofErr w:type="spellEnd"/>
      <w:r w:rsidR="00211207" w:rsidRPr="00F25B40">
        <w:rPr>
          <w:rFonts w:ascii="Arial" w:hAnsi="Arial" w:cs="Arial"/>
          <w:sz w:val="20"/>
          <w:szCs w:val="20"/>
          <w:lang w:val="en-US"/>
        </w:rPr>
        <w:t xml:space="preserve"> aluminum crucibles were</w:t>
      </w:r>
      <w:r w:rsidR="00BB3781" w:rsidRPr="00F25B40">
        <w:rPr>
          <w:rFonts w:ascii="Arial" w:hAnsi="Arial" w:cs="Arial"/>
          <w:sz w:val="20"/>
          <w:szCs w:val="20"/>
          <w:lang w:val="en-US"/>
        </w:rPr>
        <w:t xml:space="preserve"> </w:t>
      </w:r>
      <w:r w:rsidR="00211207" w:rsidRPr="00F25B40">
        <w:rPr>
          <w:rFonts w:ascii="Arial" w:hAnsi="Arial" w:cs="Arial"/>
          <w:sz w:val="20"/>
          <w:szCs w:val="20"/>
          <w:lang w:val="en-US"/>
        </w:rPr>
        <w:t xml:space="preserve">used. The heating rate was 2 °C/min over the range from 25 to </w:t>
      </w:r>
      <w:r w:rsidR="00BB3781" w:rsidRPr="00F25B40">
        <w:rPr>
          <w:rFonts w:ascii="Arial" w:hAnsi="Arial" w:cs="Arial"/>
          <w:sz w:val="20"/>
          <w:szCs w:val="20"/>
          <w:lang w:val="en-US"/>
        </w:rPr>
        <w:t>70</w:t>
      </w:r>
      <w:r w:rsidR="00211207" w:rsidRPr="00F25B40">
        <w:rPr>
          <w:rFonts w:ascii="Arial" w:hAnsi="Arial" w:cs="Arial"/>
          <w:sz w:val="20"/>
          <w:szCs w:val="20"/>
          <w:lang w:val="en-US"/>
        </w:rPr>
        <w:t>0 °C. TGA was performed using a TGA/SDTA 851 Mettler Toledo</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instrument. The heating rate was 2 °C/min over a range</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 xml:space="preserve">from 25 to </w:t>
      </w:r>
      <w:r w:rsidR="009633A5" w:rsidRPr="00F25B40">
        <w:rPr>
          <w:rFonts w:ascii="Arial" w:hAnsi="Arial" w:cs="Arial"/>
          <w:sz w:val="20"/>
          <w:szCs w:val="20"/>
          <w:lang w:val="en-US"/>
        </w:rPr>
        <w:t>700</w:t>
      </w:r>
      <w:r w:rsidR="00211207" w:rsidRPr="00F25B40">
        <w:rPr>
          <w:rFonts w:ascii="Arial" w:hAnsi="Arial" w:cs="Arial"/>
          <w:sz w:val="20"/>
          <w:szCs w:val="20"/>
          <w:lang w:val="en-US"/>
        </w:rPr>
        <w:t xml:space="preserve"> °C. All experiments were carried out under nitrogen</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atmosphere (a flow rate of 50 mL/min).</w:t>
      </w:r>
    </w:p>
    <w:p w14:paraId="7AB6F772" w14:textId="53758CFE" w:rsidR="004809F3" w:rsidRPr="00682306" w:rsidRDefault="00412A13" w:rsidP="00F122B0">
      <w:pPr>
        <w:pStyle w:val="Heading2"/>
      </w:pPr>
      <w:r w:rsidRPr="00682306">
        <w:t xml:space="preserve">Synthesis of </w:t>
      </w:r>
      <w:r w:rsidR="004809F3" w:rsidRPr="00682306">
        <w:t>Cu(</w:t>
      </w:r>
      <w:r w:rsidR="008D220C" w:rsidRPr="00682306">
        <w:t>O</w:t>
      </w:r>
      <w:r w:rsidR="008D220C" w:rsidRPr="005B484B">
        <w:rPr>
          <w:vertAlign w:val="subscript"/>
        </w:rPr>
        <w:t>2</w:t>
      </w:r>
      <w:r w:rsidR="008D220C" w:rsidRPr="00682306">
        <w:t>C(CH</w:t>
      </w:r>
      <w:r w:rsidR="005C38EA" w:rsidRPr="00682306">
        <w:t>=CH</w:t>
      </w:r>
      <w:r w:rsidR="008D220C" w:rsidRPr="00682306">
        <w:t>)CO</w:t>
      </w:r>
      <w:r w:rsidR="008D220C" w:rsidRPr="005B484B">
        <w:rPr>
          <w:vertAlign w:val="subscript"/>
        </w:rPr>
        <w:t>2</w:t>
      </w:r>
      <w:r w:rsidR="004809F3" w:rsidRPr="00682306">
        <w:t>)</w:t>
      </w:r>
      <w:r w:rsidR="00762868" w:rsidRPr="00682306">
        <w:t>(</w:t>
      </w:r>
      <w:r w:rsidR="004809F3" w:rsidRPr="00682306">
        <w:t>C</w:t>
      </w:r>
      <w:r w:rsidR="004809F3" w:rsidRPr="005B484B">
        <w:rPr>
          <w:vertAlign w:val="subscript"/>
        </w:rPr>
        <w:t>5</w:t>
      </w:r>
      <w:r w:rsidR="004809F3" w:rsidRPr="00682306">
        <w:t>H</w:t>
      </w:r>
      <w:r w:rsidR="00585B14" w:rsidRPr="005B484B">
        <w:rPr>
          <w:vertAlign w:val="subscript"/>
        </w:rPr>
        <w:t>8</w:t>
      </w:r>
      <w:r w:rsidR="004809F3" w:rsidRPr="00682306">
        <w:t>N</w:t>
      </w:r>
      <w:r w:rsidR="004809F3" w:rsidRPr="005B484B">
        <w:rPr>
          <w:vertAlign w:val="subscript"/>
        </w:rPr>
        <w:t>2</w:t>
      </w:r>
      <w:r w:rsidR="00762868" w:rsidRPr="00682306">
        <w:t>)</w:t>
      </w:r>
      <w:r w:rsidR="00762868" w:rsidRPr="005B484B">
        <w:rPr>
          <w:vertAlign w:val="subscript"/>
        </w:rPr>
        <w:t>2</w:t>
      </w:r>
      <w:r w:rsidR="004809F3" w:rsidRPr="00682306">
        <w:t xml:space="preserve"> </w:t>
      </w:r>
      <w:r w:rsidRPr="00682306">
        <w:t xml:space="preserve">(1) </w:t>
      </w:r>
    </w:p>
    <w:p w14:paraId="21EE3DD6" w14:textId="43D0F65D" w:rsidR="00412A13" w:rsidRPr="00F25B40" w:rsidRDefault="00412A13" w:rsidP="00A57067">
      <w:pPr>
        <w:spacing w:after="0" w:line="240" w:lineRule="auto"/>
        <w:jc w:val="both"/>
        <w:rPr>
          <w:rFonts w:ascii="Arial" w:hAnsi="Arial" w:cs="Arial"/>
          <w:sz w:val="20"/>
          <w:szCs w:val="20"/>
          <w:lang w:val="en-US"/>
        </w:rPr>
      </w:pPr>
      <w:r w:rsidRPr="00F25B40">
        <w:rPr>
          <w:rFonts w:ascii="Arial" w:hAnsi="Arial" w:cs="Arial"/>
          <w:sz w:val="20"/>
          <w:szCs w:val="20"/>
          <w:lang w:val="en-GB"/>
        </w:rPr>
        <w:t>0</w:t>
      </w:r>
      <w:r w:rsidR="004809F3" w:rsidRPr="00F25B40">
        <w:rPr>
          <w:rFonts w:ascii="Arial" w:hAnsi="Arial" w:cs="Arial"/>
          <w:sz w:val="20"/>
          <w:szCs w:val="20"/>
          <w:lang w:val="en-GB"/>
        </w:rPr>
        <w:t>.348</w:t>
      </w:r>
      <w:r w:rsidRPr="00F25B40">
        <w:rPr>
          <w:rFonts w:ascii="Arial" w:hAnsi="Arial" w:cs="Arial"/>
          <w:sz w:val="20"/>
          <w:szCs w:val="20"/>
          <w:lang w:val="en-GB"/>
        </w:rPr>
        <w:t xml:space="preserve"> g (</w:t>
      </w:r>
      <w:r w:rsidR="004809F3" w:rsidRPr="00F25B40">
        <w:rPr>
          <w:rFonts w:ascii="Arial" w:hAnsi="Arial" w:cs="Arial"/>
          <w:sz w:val="20"/>
          <w:szCs w:val="20"/>
          <w:lang w:val="en-GB"/>
        </w:rPr>
        <w:t>3</w:t>
      </w:r>
      <w:r w:rsidRPr="00F25B40">
        <w:rPr>
          <w:rFonts w:ascii="Arial" w:hAnsi="Arial" w:cs="Arial"/>
          <w:sz w:val="20"/>
          <w:szCs w:val="20"/>
          <w:lang w:val="en-GB"/>
        </w:rPr>
        <w:t xml:space="preserve"> mmol) of</w:t>
      </w:r>
      <w:r w:rsidR="004809F3" w:rsidRPr="00F25B40">
        <w:rPr>
          <w:rFonts w:ascii="Arial" w:hAnsi="Arial" w:cs="Arial"/>
          <w:sz w:val="20"/>
          <w:szCs w:val="20"/>
          <w:lang w:val="en-GB"/>
        </w:rPr>
        <w:t xml:space="preserve"> </w:t>
      </w:r>
      <w:r w:rsidR="008D220C" w:rsidRPr="00F25B40">
        <w:rPr>
          <w:rFonts w:ascii="Arial" w:hAnsi="Arial" w:cs="Arial"/>
          <w:sz w:val="20"/>
          <w:szCs w:val="20"/>
          <w:lang w:val="en-US"/>
        </w:rPr>
        <w:t>HO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C(CH</w:t>
      </w:r>
      <w:r w:rsidR="00CC6C15" w:rsidRPr="00F25B40">
        <w:rPr>
          <w:rFonts w:ascii="Arial" w:hAnsi="Arial" w:cs="Arial"/>
          <w:sz w:val="20"/>
          <w:szCs w:val="20"/>
          <w:lang w:val="en-US"/>
        </w:rPr>
        <w:t>=CH</w:t>
      </w:r>
      <w:r w:rsidR="008D220C" w:rsidRPr="00F25B40">
        <w:rPr>
          <w:rFonts w:ascii="Arial" w:hAnsi="Arial" w:cs="Arial"/>
          <w:sz w:val="20"/>
          <w:szCs w:val="20"/>
          <w:lang w:val="en-US"/>
        </w:rPr>
        <w:t>)CO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 xml:space="preserve">H </w:t>
      </w:r>
      <w:r w:rsidRPr="00F25B40">
        <w:rPr>
          <w:rFonts w:ascii="Arial" w:hAnsi="Arial" w:cs="Arial"/>
          <w:sz w:val="20"/>
          <w:szCs w:val="20"/>
          <w:lang w:val="en-US"/>
        </w:rPr>
        <w:t>acid and 0</w:t>
      </w:r>
      <w:r w:rsidR="006A2A67" w:rsidRPr="00F25B40">
        <w:rPr>
          <w:rFonts w:ascii="Arial" w:hAnsi="Arial" w:cs="Arial"/>
          <w:sz w:val="20"/>
          <w:szCs w:val="20"/>
          <w:lang w:val="en-US"/>
        </w:rPr>
        <w:t>.</w:t>
      </w:r>
      <w:r w:rsidR="00D062A1" w:rsidRPr="00F25B40">
        <w:rPr>
          <w:rFonts w:ascii="Arial" w:hAnsi="Arial" w:cs="Arial"/>
          <w:sz w:val="20"/>
          <w:szCs w:val="20"/>
          <w:lang w:val="en-US"/>
        </w:rPr>
        <w:t>2</w:t>
      </w:r>
      <w:r w:rsidR="006A2A67" w:rsidRPr="00F25B40">
        <w:rPr>
          <w:rFonts w:ascii="Arial" w:hAnsi="Arial" w:cs="Arial"/>
          <w:sz w:val="20"/>
          <w:szCs w:val="20"/>
          <w:lang w:val="en-US"/>
        </w:rPr>
        <w:t>88</w:t>
      </w:r>
      <w:r w:rsidRPr="00F25B40">
        <w:rPr>
          <w:rFonts w:ascii="Arial" w:hAnsi="Arial" w:cs="Arial"/>
          <w:sz w:val="20"/>
          <w:szCs w:val="20"/>
          <w:lang w:val="en-US"/>
        </w:rPr>
        <w:t xml:space="preserve"> g (</w:t>
      </w:r>
      <w:r w:rsidR="006A2A67" w:rsidRPr="00F25B40">
        <w:rPr>
          <w:rFonts w:ascii="Arial" w:hAnsi="Arial" w:cs="Arial"/>
          <w:sz w:val="20"/>
          <w:szCs w:val="20"/>
          <w:lang w:val="en-US"/>
        </w:rPr>
        <w:t>3</w:t>
      </w:r>
      <w:r w:rsidRPr="00F25B40">
        <w:rPr>
          <w:rFonts w:ascii="Arial" w:hAnsi="Arial" w:cs="Arial"/>
          <w:sz w:val="20"/>
          <w:szCs w:val="20"/>
          <w:lang w:val="en-US"/>
        </w:rPr>
        <w:t xml:space="preserve"> mmol) of </w:t>
      </w:r>
      <w:r w:rsidR="006A2A67" w:rsidRPr="00F25B40">
        <w:rPr>
          <w:rFonts w:ascii="Arial" w:hAnsi="Arial" w:cs="Arial"/>
          <w:bCs/>
          <w:sz w:val="20"/>
          <w:szCs w:val="20"/>
          <w:lang w:val="en-US"/>
        </w:rPr>
        <w:t>C</w:t>
      </w:r>
      <w:r w:rsidR="006A2A67" w:rsidRPr="00F25B40">
        <w:rPr>
          <w:rFonts w:ascii="Arial" w:hAnsi="Arial" w:cs="Arial"/>
          <w:bCs/>
          <w:sz w:val="20"/>
          <w:szCs w:val="20"/>
          <w:vertAlign w:val="subscript"/>
          <w:lang w:val="en-US"/>
        </w:rPr>
        <w:t>5</w:t>
      </w:r>
      <w:r w:rsidR="006A2A67" w:rsidRPr="00F25B40">
        <w:rPr>
          <w:rFonts w:ascii="Arial" w:hAnsi="Arial" w:cs="Arial"/>
          <w:bCs/>
          <w:sz w:val="20"/>
          <w:szCs w:val="20"/>
          <w:lang w:val="en-US"/>
        </w:rPr>
        <w:t>H</w:t>
      </w:r>
      <w:r w:rsidR="006A2A67" w:rsidRPr="00F25B40">
        <w:rPr>
          <w:rFonts w:ascii="Arial" w:hAnsi="Arial" w:cs="Arial"/>
          <w:bCs/>
          <w:sz w:val="20"/>
          <w:szCs w:val="20"/>
          <w:vertAlign w:val="subscript"/>
          <w:lang w:val="en-US"/>
        </w:rPr>
        <w:t>9</w:t>
      </w:r>
      <w:r w:rsidR="006A2A67" w:rsidRPr="00F25B40">
        <w:rPr>
          <w:rFonts w:ascii="Arial" w:hAnsi="Arial" w:cs="Arial"/>
          <w:bCs/>
          <w:sz w:val="20"/>
          <w:szCs w:val="20"/>
          <w:lang w:val="en-US"/>
        </w:rPr>
        <w:t>N</w:t>
      </w:r>
      <w:r w:rsidR="006A2A67" w:rsidRPr="00F25B40">
        <w:rPr>
          <w:rFonts w:ascii="Arial" w:hAnsi="Arial" w:cs="Arial"/>
          <w:bCs/>
          <w:sz w:val="20"/>
          <w:szCs w:val="20"/>
          <w:vertAlign w:val="subscript"/>
          <w:lang w:val="en-US"/>
        </w:rPr>
        <w:t xml:space="preserve">2 </w:t>
      </w:r>
      <w:r w:rsidR="00D268C3" w:rsidRPr="00F25B40">
        <w:rPr>
          <w:rFonts w:ascii="Arial" w:hAnsi="Arial" w:cs="Arial"/>
          <w:bCs/>
          <w:sz w:val="20"/>
          <w:szCs w:val="20"/>
          <w:lang w:val="en-US"/>
        </w:rPr>
        <w:t xml:space="preserve"> (</w:t>
      </w:r>
      <w:r w:rsidR="00D268C3" w:rsidRPr="00F25B40">
        <w:rPr>
          <w:rFonts w:ascii="Arial" w:hAnsi="Arial" w:cs="Arial"/>
          <w:sz w:val="20"/>
          <w:szCs w:val="20"/>
          <w:lang w:val="en-US"/>
        </w:rPr>
        <w:t>1-ethyl-1</w:t>
      </w:r>
      <w:r w:rsidR="00D268C3" w:rsidRPr="00F25B40">
        <w:rPr>
          <w:rFonts w:ascii="Arial" w:hAnsi="Arial" w:cs="Arial"/>
          <w:i/>
          <w:iCs/>
          <w:sz w:val="20"/>
          <w:szCs w:val="20"/>
          <w:lang w:val="en-US"/>
        </w:rPr>
        <w:t>H</w:t>
      </w:r>
      <w:r w:rsidR="00D268C3" w:rsidRPr="00F25B40">
        <w:rPr>
          <w:rFonts w:ascii="Arial" w:hAnsi="Arial" w:cs="Arial"/>
          <w:sz w:val="20"/>
          <w:szCs w:val="20"/>
          <w:lang w:val="en-US"/>
        </w:rPr>
        <w:t xml:space="preserve">-imidazole) </w:t>
      </w:r>
      <w:r w:rsidR="00CE1CD5" w:rsidRPr="00F25B40">
        <w:rPr>
          <w:rFonts w:ascii="Arial" w:hAnsi="Arial" w:cs="Arial"/>
          <w:sz w:val="20"/>
          <w:szCs w:val="20"/>
          <w:lang w:val="en-US"/>
        </w:rPr>
        <w:t>we</w:t>
      </w:r>
      <w:r w:rsidR="006A2A67" w:rsidRPr="00F25B40">
        <w:rPr>
          <w:rFonts w:ascii="Arial" w:hAnsi="Arial" w:cs="Arial"/>
          <w:sz w:val="20"/>
          <w:szCs w:val="20"/>
          <w:lang w:val="en-US"/>
        </w:rPr>
        <w:t xml:space="preserve">re dissolved </w:t>
      </w:r>
      <w:r w:rsidRPr="00F25B40">
        <w:rPr>
          <w:rFonts w:ascii="Arial" w:hAnsi="Arial" w:cs="Arial"/>
          <w:sz w:val="20"/>
          <w:szCs w:val="20"/>
          <w:lang w:val="en-US"/>
        </w:rPr>
        <w:t xml:space="preserve">in </w:t>
      </w:r>
      <w:r w:rsidR="006A2A67" w:rsidRPr="00F25B40">
        <w:rPr>
          <w:rFonts w:ascii="Arial" w:hAnsi="Arial" w:cs="Arial"/>
          <w:sz w:val="20"/>
          <w:szCs w:val="20"/>
          <w:lang w:val="en-US"/>
        </w:rPr>
        <w:t xml:space="preserve">30 </w:t>
      </w:r>
      <w:r w:rsidRPr="00F25B40">
        <w:rPr>
          <w:rFonts w:ascii="Arial" w:hAnsi="Arial" w:cs="Arial"/>
          <w:sz w:val="20"/>
          <w:szCs w:val="20"/>
          <w:lang w:val="en-US"/>
        </w:rPr>
        <w:t xml:space="preserve">mL of </w:t>
      </w:r>
      <w:r w:rsidR="006A2A67" w:rsidRPr="00F25B40">
        <w:rPr>
          <w:rFonts w:ascii="Arial" w:hAnsi="Arial" w:cs="Arial"/>
          <w:sz w:val="20"/>
          <w:szCs w:val="20"/>
          <w:lang w:val="en-US"/>
        </w:rPr>
        <w:t>ethanol</w:t>
      </w:r>
      <w:r w:rsidRPr="00F25B40">
        <w:rPr>
          <w:rFonts w:ascii="Arial" w:hAnsi="Arial" w:cs="Arial"/>
          <w:sz w:val="20"/>
          <w:szCs w:val="20"/>
          <w:lang w:val="en-GB"/>
        </w:rPr>
        <w:t>.</w:t>
      </w:r>
      <w:r w:rsidR="006A2A67" w:rsidRPr="00F25B40">
        <w:rPr>
          <w:rFonts w:ascii="Arial" w:hAnsi="Arial" w:cs="Arial"/>
          <w:sz w:val="20"/>
          <w:szCs w:val="20"/>
          <w:lang w:val="en-GB"/>
        </w:rPr>
        <w:t xml:space="preserve"> After a few minutes of stirred up,</w:t>
      </w:r>
      <w:r w:rsidRPr="00F25B40">
        <w:rPr>
          <w:rFonts w:ascii="Arial" w:hAnsi="Arial" w:cs="Arial"/>
          <w:sz w:val="20"/>
          <w:szCs w:val="20"/>
          <w:lang w:val="en-US"/>
        </w:rPr>
        <w:t xml:space="preserve"> </w:t>
      </w:r>
      <w:r w:rsidR="009B6E68" w:rsidRPr="00F25B40">
        <w:rPr>
          <w:rFonts w:ascii="Arial" w:hAnsi="Arial" w:cs="Arial"/>
          <w:sz w:val="20"/>
          <w:szCs w:val="20"/>
          <w:lang w:val="en-US"/>
        </w:rPr>
        <w:t xml:space="preserve">a solution </w:t>
      </w:r>
      <w:r w:rsidR="002A47A8" w:rsidRPr="00F25B40">
        <w:rPr>
          <w:rFonts w:ascii="Arial" w:hAnsi="Arial" w:cs="Arial"/>
          <w:sz w:val="20"/>
          <w:szCs w:val="20"/>
          <w:lang w:val="en-US"/>
        </w:rPr>
        <w:t xml:space="preserve">10 mL of ethanolic solution </w:t>
      </w:r>
      <w:r w:rsidR="009B6E68" w:rsidRPr="00F25B40">
        <w:rPr>
          <w:rFonts w:ascii="Arial" w:hAnsi="Arial" w:cs="Arial"/>
          <w:sz w:val="20"/>
          <w:szCs w:val="20"/>
          <w:lang w:val="en-US"/>
        </w:rPr>
        <w:t xml:space="preserve">containing </w:t>
      </w:r>
      <w:r w:rsidRPr="00F25B40">
        <w:rPr>
          <w:rFonts w:ascii="Arial" w:hAnsi="Arial" w:cs="Arial"/>
          <w:sz w:val="20"/>
          <w:szCs w:val="20"/>
          <w:lang w:val="en-US"/>
        </w:rPr>
        <w:t>0.</w:t>
      </w:r>
      <w:r w:rsidR="006A2A67" w:rsidRPr="00F25B40">
        <w:rPr>
          <w:rFonts w:ascii="Arial" w:hAnsi="Arial" w:cs="Arial"/>
          <w:sz w:val="20"/>
          <w:szCs w:val="20"/>
          <w:lang w:val="en-US"/>
        </w:rPr>
        <w:t>54</w:t>
      </w:r>
      <w:r w:rsidR="00B96D89" w:rsidRPr="00F25B40">
        <w:rPr>
          <w:rFonts w:ascii="Arial" w:hAnsi="Arial" w:cs="Arial"/>
          <w:sz w:val="20"/>
          <w:szCs w:val="20"/>
          <w:lang w:val="en-US"/>
        </w:rPr>
        <w:t>3</w:t>
      </w:r>
      <w:r w:rsidRPr="00F25B40">
        <w:rPr>
          <w:rFonts w:ascii="Arial" w:hAnsi="Arial" w:cs="Arial"/>
          <w:sz w:val="20"/>
          <w:szCs w:val="20"/>
          <w:lang w:val="en-US"/>
        </w:rPr>
        <w:t xml:space="preserve"> g (</w:t>
      </w:r>
      <w:r w:rsidR="006A2A67" w:rsidRPr="00F25B40">
        <w:rPr>
          <w:rFonts w:ascii="Arial" w:hAnsi="Arial" w:cs="Arial"/>
          <w:sz w:val="20"/>
          <w:szCs w:val="20"/>
          <w:lang w:val="en-US"/>
        </w:rPr>
        <w:t>3</w:t>
      </w:r>
      <w:r w:rsidRPr="00F25B40">
        <w:rPr>
          <w:rFonts w:ascii="Arial" w:hAnsi="Arial" w:cs="Arial"/>
          <w:sz w:val="20"/>
          <w:szCs w:val="20"/>
          <w:lang w:val="en-US"/>
        </w:rPr>
        <w:t xml:space="preserve"> mmol) of </w:t>
      </w:r>
      <w:r w:rsidR="006A2A67" w:rsidRPr="00F25B40">
        <w:rPr>
          <w:rFonts w:ascii="Arial" w:hAnsi="Arial" w:cs="Arial"/>
          <w:sz w:val="20"/>
          <w:szCs w:val="20"/>
          <w:lang w:val="en-US"/>
        </w:rPr>
        <w:t>Cu(CH</w:t>
      </w:r>
      <w:r w:rsidR="006A2A67" w:rsidRPr="00F25B40">
        <w:rPr>
          <w:rFonts w:ascii="Arial" w:hAnsi="Arial" w:cs="Arial"/>
          <w:sz w:val="20"/>
          <w:szCs w:val="20"/>
          <w:vertAlign w:val="subscript"/>
          <w:lang w:val="en-US"/>
        </w:rPr>
        <w:t>3</w:t>
      </w:r>
      <w:r w:rsidR="006A2A67" w:rsidRPr="00F25B40">
        <w:rPr>
          <w:rFonts w:ascii="Arial" w:hAnsi="Arial" w:cs="Arial"/>
          <w:sz w:val="20"/>
          <w:szCs w:val="20"/>
          <w:lang w:val="en-US"/>
        </w:rPr>
        <w:t>COO)</w:t>
      </w:r>
      <w:r w:rsidR="006A2A67" w:rsidRPr="00F25B40">
        <w:rPr>
          <w:rFonts w:ascii="Arial" w:hAnsi="Arial" w:cs="Arial"/>
          <w:sz w:val="20"/>
          <w:szCs w:val="20"/>
          <w:vertAlign w:val="subscript"/>
          <w:lang w:val="en-US"/>
        </w:rPr>
        <w:t>2</w:t>
      </w:r>
      <w:r w:rsidR="006A2A67" w:rsidRPr="00F25B40">
        <w:rPr>
          <w:rFonts w:ascii="Arial" w:hAnsi="Arial" w:cs="Arial"/>
          <w:sz w:val="20"/>
          <w:szCs w:val="20"/>
          <w:lang w:val="en-US"/>
        </w:rPr>
        <w:t xml:space="preserve"> </w:t>
      </w:r>
      <w:r w:rsidR="009B6E68" w:rsidRPr="00F25B40">
        <w:rPr>
          <w:rFonts w:ascii="Arial" w:hAnsi="Arial" w:cs="Arial"/>
          <w:sz w:val="20"/>
          <w:szCs w:val="20"/>
          <w:lang w:val="en-US"/>
        </w:rPr>
        <w:t>was</w:t>
      </w:r>
      <w:r w:rsidR="006A2A67" w:rsidRPr="00F25B40">
        <w:rPr>
          <w:rFonts w:ascii="Arial" w:hAnsi="Arial" w:cs="Arial"/>
          <w:sz w:val="20"/>
          <w:szCs w:val="20"/>
          <w:lang w:val="en-US"/>
        </w:rPr>
        <w:t xml:space="preserve"> added. </w:t>
      </w:r>
      <w:r w:rsidRPr="00F25B40">
        <w:rPr>
          <w:rFonts w:ascii="Arial" w:hAnsi="Arial" w:cs="Arial"/>
          <w:sz w:val="20"/>
          <w:szCs w:val="20"/>
          <w:lang w:val="en-US"/>
        </w:rPr>
        <w:t xml:space="preserve"> </w:t>
      </w:r>
      <w:r w:rsidR="006A2A67" w:rsidRPr="00F25B40">
        <w:rPr>
          <w:rFonts w:ascii="Arial" w:hAnsi="Arial" w:cs="Arial"/>
          <w:sz w:val="20"/>
          <w:szCs w:val="20"/>
          <w:lang w:val="en-US"/>
        </w:rPr>
        <w:t>The c</w:t>
      </w:r>
      <w:r w:rsidRPr="00F25B40">
        <w:rPr>
          <w:rFonts w:ascii="Arial" w:hAnsi="Arial" w:cs="Arial"/>
          <w:sz w:val="20"/>
          <w:szCs w:val="20"/>
          <w:lang w:val="en-US"/>
        </w:rPr>
        <w:t>olorless solution</w:t>
      </w:r>
      <w:r w:rsidR="006A2A67" w:rsidRPr="00F25B40">
        <w:rPr>
          <w:rFonts w:ascii="Arial" w:hAnsi="Arial" w:cs="Arial"/>
          <w:sz w:val="20"/>
          <w:szCs w:val="20"/>
          <w:lang w:val="en-US"/>
        </w:rPr>
        <w:t xml:space="preserve"> </w:t>
      </w:r>
      <w:r w:rsidRPr="00F25B40">
        <w:rPr>
          <w:rFonts w:ascii="Arial" w:hAnsi="Arial" w:cs="Arial"/>
          <w:sz w:val="20"/>
          <w:szCs w:val="20"/>
          <w:lang w:val="en-US"/>
        </w:rPr>
        <w:t xml:space="preserve">obtained after two hours </w:t>
      </w:r>
      <w:r w:rsidR="002A47A8" w:rsidRPr="00F25B40">
        <w:rPr>
          <w:rFonts w:ascii="Arial" w:hAnsi="Arial" w:cs="Arial"/>
          <w:sz w:val="20"/>
          <w:szCs w:val="20"/>
          <w:lang w:val="en-US"/>
        </w:rPr>
        <w:t xml:space="preserve">under </w:t>
      </w:r>
      <w:r w:rsidRPr="00F25B40">
        <w:rPr>
          <w:rFonts w:ascii="Arial" w:hAnsi="Arial" w:cs="Arial"/>
          <w:sz w:val="20"/>
          <w:szCs w:val="20"/>
          <w:lang w:val="en-US"/>
        </w:rPr>
        <w:t>stirring</w:t>
      </w:r>
      <w:r w:rsidR="006A2A67" w:rsidRPr="00F25B40">
        <w:rPr>
          <w:rFonts w:ascii="Arial" w:hAnsi="Arial" w:cs="Arial"/>
          <w:sz w:val="20"/>
          <w:szCs w:val="20"/>
          <w:lang w:val="en-US"/>
        </w:rPr>
        <w:t xml:space="preserve"> </w:t>
      </w:r>
      <w:r w:rsidR="002A47A8" w:rsidRPr="00F25B40">
        <w:rPr>
          <w:rFonts w:ascii="Arial" w:hAnsi="Arial" w:cs="Arial"/>
          <w:sz w:val="20"/>
          <w:szCs w:val="20"/>
          <w:lang w:val="en-US"/>
        </w:rPr>
        <w:t>at</w:t>
      </w:r>
      <w:r w:rsidR="006A2A67" w:rsidRPr="00F25B40">
        <w:rPr>
          <w:rFonts w:ascii="Arial" w:hAnsi="Arial" w:cs="Arial"/>
          <w:sz w:val="20"/>
          <w:szCs w:val="20"/>
          <w:lang w:val="en-US"/>
        </w:rPr>
        <w:t xml:space="preserve"> room temperature, give blue powder after one week of slow solvent evaporation</w:t>
      </w:r>
      <w:r w:rsidRPr="00F25B40">
        <w:rPr>
          <w:rFonts w:ascii="Arial" w:hAnsi="Arial" w:cs="Arial"/>
          <w:sz w:val="20"/>
          <w:szCs w:val="20"/>
          <w:lang w:val="en-US"/>
        </w:rPr>
        <w:t>.</w:t>
      </w:r>
      <w:r w:rsidR="006A2A67" w:rsidRPr="00F25B40">
        <w:rPr>
          <w:rFonts w:ascii="Arial" w:hAnsi="Arial" w:cs="Arial"/>
          <w:sz w:val="20"/>
          <w:szCs w:val="20"/>
          <w:lang w:val="en-US"/>
        </w:rPr>
        <w:t xml:space="preserve"> Th</w:t>
      </w:r>
      <w:r w:rsidR="00D3046B" w:rsidRPr="00F25B40">
        <w:rPr>
          <w:rFonts w:ascii="Arial" w:hAnsi="Arial" w:cs="Arial"/>
          <w:sz w:val="20"/>
          <w:szCs w:val="20"/>
          <w:lang w:val="en-US"/>
        </w:rPr>
        <w:t>e blue</w:t>
      </w:r>
      <w:r w:rsidR="006A2A67" w:rsidRPr="00F25B40">
        <w:rPr>
          <w:rFonts w:ascii="Arial" w:hAnsi="Arial" w:cs="Arial"/>
          <w:sz w:val="20"/>
          <w:szCs w:val="20"/>
          <w:lang w:val="en-US"/>
        </w:rPr>
        <w:t xml:space="preserve"> powder </w:t>
      </w:r>
      <w:r w:rsidR="00D3046B" w:rsidRPr="00F25B40">
        <w:rPr>
          <w:rFonts w:ascii="Arial" w:hAnsi="Arial" w:cs="Arial"/>
          <w:sz w:val="20"/>
          <w:szCs w:val="20"/>
          <w:lang w:val="en-US"/>
        </w:rPr>
        <w:t>wa</w:t>
      </w:r>
      <w:r w:rsidR="006A2A67" w:rsidRPr="00F25B40">
        <w:rPr>
          <w:rFonts w:ascii="Arial" w:hAnsi="Arial" w:cs="Arial"/>
          <w:sz w:val="20"/>
          <w:szCs w:val="20"/>
          <w:lang w:val="en-US"/>
        </w:rPr>
        <w:t>s recrystallized in 10 m</w:t>
      </w:r>
      <w:r w:rsidR="00D3046B" w:rsidRPr="00F25B40">
        <w:rPr>
          <w:rFonts w:ascii="Arial" w:hAnsi="Arial" w:cs="Arial"/>
          <w:sz w:val="20"/>
          <w:szCs w:val="20"/>
          <w:lang w:val="en-US"/>
        </w:rPr>
        <w:t>L</w:t>
      </w:r>
      <w:r w:rsidR="006A2A67" w:rsidRPr="00F25B40">
        <w:rPr>
          <w:rFonts w:ascii="Arial" w:hAnsi="Arial" w:cs="Arial"/>
          <w:sz w:val="20"/>
          <w:szCs w:val="20"/>
          <w:lang w:val="en-US"/>
        </w:rPr>
        <w:t xml:space="preserve"> of methanol and </w:t>
      </w:r>
      <w:r w:rsidRPr="00F25B40">
        <w:rPr>
          <w:rFonts w:ascii="Arial" w:hAnsi="Arial" w:cs="Arial"/>
          <w:sz w:val="20"/>
          <w:szCs w:val="20"/>
          <w:lang w:val="en-US"/>
        </w:rPr>
        <w:t xml:space="preserve">submitted to a slow evaporation of </w:t>
      </w:r>
      <w:r w:rsidR="004553D3" w:rsidRPr="00F25B40">
        <w:rPr>
          <w:rFonts w:ascii="Arial" w:hAnsi="Arial" w:cs="Arial"/>
          <w:sz w:val="20"/>
          <w:szCs w:val="20"/>
          <w:lang w:val="en-US"/>
        </w:rPr>
        <w:t xml:space="preserve">the </w:t>
      </w:r>
      <w:r w:rsidRPr="00F25B40">
        <w:rPr>
          <w:rFonts w:ascii="Arial" w:hAnsi="Arial" w:cs="Arial"/>
          <w:sz w:val="20"/>
          <w:szCs w:val="20"/>
          <w:lang w:val="en-US"/>
        </w:rPr>
        <w:t>solvent, at room temperature (25 °C)</w:t>
      </w:r>
      <w:r w:rsidR="00AD6DD9" w:rsidRPr="00F25B40">
        <w:rPr>
          <w:rFonts w:ascii="Arial" w:hAnsi="Arial" w:cs="Arial"/>
          <w:sz w:val="20"/>
          <w:szCs w:val="20"/>
          <w:lang w:val="en-US"/>
        </w:rPr>
        <w:t xml:space="preserve">. After one week, blue crystals suitable for </w:t>
      </w:r>
      <w:r w:rsidR="00415E30" w:rsidRPr="00F25B40">
        <w:rPr>
          <w:rFonts w:ascii="Arial" w:hAnsi="Arial" w:cs="Arial"/>
          <w:sz w:val="20"/>
          <w:szCs w:val="20"/>
          <w:lang w:val="en-US"/>
        </w:rPr>
        <w:t>X-rays diffraction were recovered. Yield</w:t>
      </w:r>
      <w:r w:rsidR="00F65261" w:rsidRPr="00F25B40">
        <w:rPr>
          <w:rFonts w:ascii="Arial" w:hAnsi="Arial" w:cs="Arial"/>
          <w:sz w:val="20"/>
          <w:szCs w:val="20"/>
          <w:lang w:val="en-US"/>
        </w:rPr>
        <w:t xml:space="preserve"> : 44 %</w:t>
      </w:r>
      <w:r w:rsidR="000F36AC" w:rsidRPr="00F25B40">
        <w:rPr>
          <w:rFonts w:ascii="Arial" w:hAnsi="Arial" w:cs="Arial"/>
          <w:sz w:val="20"/>
          <w:szCs w:val="20"/>
          <w:lang w:val="en-US"/>
        </w:rPr>
        <w:t xml:space="preserve">. </w:t>
      </w:r>
      <w:r w:rsidR="00E14941" w:rsidRPr="00F25B40">
        <w:rPr>
          <w:rFonts w:ascii="Arial" w:hAnsi="Arial" w:cs="Arial"/>
          <w:sz w:val="20"/>
          <w:szCs w:val="20"/>
          <w:lang w:val="en-US"/>
        </w:rPr>
        <w:t>FT</w:t>
      </w:r>
      <w:r w:rsidRPr="00F25B40">
        <w:rPr>
          <w:rFonts w:ascii="Arial" w:hAnsi="Arial" w:cs="Arial"/>
          <w:sz w:val="20"/>
          <w:szCs w:val="20"/>
          <w:lang w:val="en-US"/>
        </w:rPr>
        <w:t xml:space="preserve">IR </w:t>
      </w:r>
      <w:r w:rsidRPr="00F25B40">
        <w:rPr>
          <w:rFonts w:ascii="Arial" w:hAnsi="Arial" w:cs="Arial"/>
          <w:bCs/>
          <w:iCs/>
          <w:sz w:val="20"/>
          <w:szCs w:val="20"/>
          <w:lang w:val="en-US"/>
        </w:rPr>
        <w:t>(</w:t>
      </w:r>
      <w:r w:rsidR="00661569" w:rsidRPr="00F25B40">
        <w:rPr>
          <w:rFonts w:ascii="Arial" w:hAnsi="Arial" w:cs="Arial"/>
          <w:bCs/>
          <w:iCs/>
          <w:sz w:val="20"/>
          <w:szCs w:val="20"/>
          <w:lang w:val="en-US"/>
        </w:rPr>
        <w:sym w:font="Symbol" w:char="F06E"/>
      </w:r>
      <w:r w:rsidR="00661569" w:rsidRPr="00F25B40">
        <w:rPr>
          <w:rFonts w:ascii="Arial" w:hAnsi="Arial" w:cs="Arial"/>
          <w:bCs/>
          <w:iCs/>
          <w:sz w:val="20"/>
          <w:szCs w:val="20"/>
          <w:lang w:val="en-US"/>
        </w:rPr>
        <w:t xml:space="preserve">, </w:t>
      </w:r>
      <w:r w:rsidRPr="00F25B40">
        <w:rPr>
          <w:rFonts w:ascii="Arial" w:hAnsi="Arial" w:cs="Arial"/>
          <w:bCs/>
          <w:iCs/>
          <w:sz w:val="20"/>
          <w:szCs w:val="20"/>
          <w:lang w:val="en-US"/>
        </w:rPr>
        <w:t>cm</w:t>
      </w:r>
      <w:r w:rsidRPr="00F25B40">
        <w:rPr>
          <w:rFonts w:ascii="Arial" w:hAnsi="Arial" w:cs="Arial"/>
          <w:bCs/>
          <w:iCs/>
          <w:sz w:val="20"/>
          <w:szCs w:val="20"/>
          <w:vertAlign w:val="superscript"/>
          <w:lang w:val="en-US"/>
        </w:rPr>
        <w:sym w:font="Symbol" w:char="F02D"/>
      </w:r>
      <w:r w:rsidRPr="00F25B40">
        <w:rPr>
          <w:rFonts w:ascii="Arial" w:hAnsi="Arial" w:cs="Arial"/>
          <w:bCs/>
          <w:iCs/>
          <w:sz w:val="20"/>
          <w:szCs w:val="20"/>
          <w:vertAlign w:val="superscript"/>
          <w:lang w:val="en-US"/>
        </w:rPr>
        <w:t>1</w:t>
      </w:r>
      <w:r w:rsidRPr="00F25B40">
        <w:rPr>
          <w:rFonts w:ascii="Arial" w:hAnsi="Arial" w:cs="Arial"/>
          <w:bCs/>
          <w:iCs/>
          <w:sz w:val="20"/>
          <w:szCs w:val="20"/>
          <w:lang w:val="en-US"/>
        </w:rPr>
        <w:t>)</w:t>
      </w:r>
      <w:r w:rsidRPr="00F25B40">
        <w:rPr>
          <w:rFonts w:ascii="Arial" w:hAnsi="Arial" w:cs="Arial"/>
          <w:sz w:val="20"/>
          <w:szCs w:val="20"/>
          <w:lang w:val="en-US"/>
        </w:rPr>
        <w:t xml:space="preserve">: </w:t>
      </w:r>
      <w:r w:rsidR="00792547" w:rsidRPr="00F25B40">
        <w:rPr>
          <w:rFonts w:ascii="Arial" w:hAnsi="Arial" w:cs="Arial"/>
          <w:sz w:val="20"/>
          <w:szCs w:val="20"/>
          <w:lang w:val="en-US"/>
        </w:rPr>
        <w:t>3401</w:t>
      </w:r>
      <w:r w:rsidR="00661569" w:rsidRPr="00F25B40">
        <w:rPr>
          <w:rFonts w:ascii="Arial" w:hAnsi="Arial" w:cs="Arial"/>
          <w:sz w:val="20"/>
          <w:szCs w:val="20"/>
          <w:lang w:val="en-US"/>
        </w:rPr>
        <w:t xml:space="preserve"> </w:t>
      </w:r>
      <w:r w:rsidR="00792547" w:rsidRPr="00F25B40">
        <w:rPr>
          <w:rFonts w:ascii="Arial" w:hAnsi="Arial" w:cs="Arial"/>
          <w:sz w:val="20"/>
          <w:szCs w:val="20"/>
          <w:lang w:val="en-US"/>
        </w:rPr>
        <w:t>(</w:t>
      </w:r>
      <w:proofErr w:type="spellStart"/>
      <w:r w:rsidR="00661569" w:rsidRPr="00F25B40">
        <w:rPr>
          <w:rFonts w:ascii="Arial" w:hAnsi="Arial" w:cs="Arial"/>
          <w:sz w:val="20"/>
          <w:szCs w:val="20"/>
          <w:lang w:val="en-US"/>
        </w:rPr>
        <w:t>br</w:t>
      </w:r>
      <w:proofErr w:type="spellEnd"/>
      <w:r w:rsidR="00792547" w:rsidRPr="00F25B40">
        <w:rPr>
          <w:rFonts w:ascii="Arial" w:hAnsi="Arial" w:cs="Arial"/>
          <w:sz w:val="20"/>
          <w:szCs w:val="20"/>
          <w:lang w:val="en-US"/>
        </w:rPr>
        <w:t>), 2985 (s), 1560 (s), 1598 (s), 1300 (s), 1374 (s)</w:t>
      </w:r>
      <w:r w:rsidR="002D1ECC" w:rsidRPr="00F25B40">
        <w:rPr>
          <w:rFonts w:ascii="Arial" w:hAnsi="Arial" w:cs="Arial"/>
          <w:sz w:val="20"/>
          <w:szCs w:val="20"/>
          <w:lang w:val="en-US"/>
        </w:rPr>
        <w:t>. UV (</w:t>
      </w:r>
      <w:r w:rsidR="00D4789C" w:rsidRPr="00F25B40">
        <w:rPr>
          <w:rFonts w:ascii="Arial" w:hAnsi="Arial" w:cs="Arial"/>
          <w:sz w:val="20"/>
          <w:szCs w:val="20"/>
          <w:lang w:val="en-US"/>
        </w:rPr>
        <w:sym w:font="Symbol" w:char="F06C"/>
      </w:r>
      <w:r w:rsidR="00661569" w:rsidRPr="00F25B40">
        <w:rPr>
          <w:rFonts w:ascii="Arial" w:hAnsi="Arial" w:cs="Arial"/>
          <w:sz w:val="20"/>
          <w:szCs w:val="20"/>
          <w:lang w:val="en-US"/>
        </w:rPr>
        <w:t xml:space="preserve">, </w:t>
      </w:r>
      <w:r w:rsidR="006B55DF" w:rsidRPr="00F25B40">
        <w:rPr>
          <w:rFonts w:ascii="Arial" w:hAnsi="Arial" w:cs="Arial"/>
          <w:sz w:val="20"/>
          <w:szCs w:val="20"/>
          <w:lang w:val="en-US"/>
        </w:rPr>
        <w:t>nm</w:t>
      </w:r>
      <w:r w:rsidR="002D1ECC" w:rsidRPr="00F25B40">
        <w:rPr>
          <w:rFonts w:ascii="Arial" w:hAnsi="Arial" w:cs="Arial"/>
          <w:sz w:val="20"/>
          <w:szCs w:val="20"/>
          <w:lang w:val="en-US"/>
        </w:rPr>
        <w:t>): 30</w:t>
      </w:r>
      <w:r w:rsidR="006B55DF" w:rsidRPr="00F25B40">
        <w:rPr>
          <w:rFonts w:ascii="Arial" w:hAnsi="Arial" w:cs="Arial"/>
          <w:sz w:val="20"/>
          <w:szCs w:val="20"/>
          <w:lang w:val="en-US"/>
        </w:rPr>
        <w:t>4</w:t>
      </w:r>
      <w:r w:rsidR="00925304" w:rsidRPr="00F25B40">
        <w:rPr>
          <w:rFonts w:ascii="Arial" w:hAnsi="Arial" w:cs="Arial"/>
          <w:sz w:val="20"/>
          <w:szCs w:val="20"/>
          <w:lang w:val="en-US"/>
        </w:rPr>
        <w:t xml:space="preserve">, </w:t>
      </w:r>
      <w:r w:rsidR="002D1ECC" w:rsidRPr="00F25B40">
        <w:rPr>
          <w:rFonts w:ascii="Arial" w:hAnsi="Arial" w:cs="Arial"/>
          <w:sz w:val="20"/>
          <w:szCs w:val="20"/>
          <w:lang w:val="en-US"/>
        </w:rPr>
        <w:t xml:space="preserve">658. </w:t>
      </w:r>
    </w:p>
    <w:p w14:paraId="4BC70106" w14:textId="50014C0D" w:rsidR="00387920" w:rsidRPr="00F25B40" w:rsidRDefault="000C7EF5" w:rsidP="00F122B0">
      <w:pPr>
        <w:pStyle w:val="Heading2"/>
      </w:pPr>
      <w:r w:rsidRPr="00F25B40">
        <w:t>Synthesis of Zn</w:t>
      </w:r>
      <w:r w:rsidR="00310D83" w:rsidRPr="00F25B40">
        <w:t>(</w:t>
      </w:r>
      <w:r w:rsidR="008D220C" w:rsidRPr="00F25B40">
        <w:t>O</w:t>
      </w:r>
      <w:r w:rsidR="008D220C" w:rsidRPr="00F25B40">
        <w:rPr>
          <w:vertAlign w:val="subscript"/>
        </w:rPr>
        <w:t>2</w:t>
      </w:r>
      <w:r w:rsidR="008D220C" w:rsidRPr="00F25B40">
        <w:t>C(CH</w:t>
      </w:r>
      <w:r w:rsidR="008D220C" w:rsidRPr="00F25B40">
        <w:rPr>
          <w:vertAlign w:val="subscript"/>
        </w:rPr>
        <w:t>2</w:t>
      </w:r>
      <w:r w:rsidR="008D220C" w:rsidRPr="00F25B40">
        <w:t>)CO</w:t>
      </w:r>
      <w:r w:rsidR="008D220C" w:rsidRPr="00F25B40">
        <w:rPr>
          <w:vertAlign w:val="subscript"/>
        </w:rPr>
        <w:t>2</w:t>
      </w:r>
      <w:r w:rsidR="00310D83" w:rsidRPr="00F25B40">
        <w:t>)(</w:t>
      </w:r>
      <w:r w:rsidR="00387920" w:rsidRPr="00F25B40">
        <w:t>C</w:t>
      </w:r>
      <w:r w:rsidR="00387920" w:rsidRPr="00F25B40">
        <w:rPr>
          <w:vertAlign w:val="subscript"/>
        </w:rPr>
        <w:t>5</w:t>
      </w:r>
      <w:r w:rsidR="00387920" w:rsidRPr="00F25B40">
        <w:t>H</w:t>
      </w:r>
      <w:r w:rsidR="00585B14" w:rsidRPr="00F25B40">
        <w:rPr>
          <w:vertAlign w:val="subscript"/>
        </w:rPr>
        <w:t>8</w:t>
      </w:r>
      <w:r w:rsidR="00387920" w:rsidRPr="00F25B40">
        <w:t>N</w:t>
      </w:r>
      <w:r w:rsidR="00387920" w:rsidRPr="00F25B40">
        <w:rPr>
          <w:vertAlign w:val="subscript"/>
        </w:rPr>
        <w:t>2</w:t>
      </w:r>
      <w:r w:rsidR="00310D83" w:rsidRPr="00F25B40">
        <w:t>)</w:t>
      </w:r>
      <w:r w:rsidR="00310D83" w:rsidRPr="00F25B40">
        <w:rPr>
          <w:vertAlign w:val="subscript"/>
        </w:rPr>
        <w:t>2</w:t>
      </w:r>
      <w:r w:rsidR="00CA04E0" w:rsidRPr="00F25B40">
        <w:rPr>
          <w:vertAlign w:val="subscript"/>
        </w:rPr>
        <w:t xml:space="preserve"> </w:t>
      </w:r>
      <w:r w:rsidR="00CA04E0" w:rsidRPr="00F25B40">
        <w:t xml:space="preserve">(2) </w:t>
      </w:r>
    </w:p>
    <w:p w14:paraId="443649F7" w14:textId="454CBD1C" w:rsidR="00D41648" w:rsidRPr="00F25B40" w:rsidRDefault="00767434" w:rsidP="00A57067">
      <w:pPr>
        <w:spacing w:after="0" w:line="240" w:lineRule="auto"/>
        <w:jc w:val="both"/>
        <w:rPr>
          <w:rFonts w:ascii="Arial" w:hAnsi="Arial" w:cs="Arial"/>
          <w:strike/>
          <w:sz w:val="20"/>
          <w:szCs w:val="20"/>
          <w:lang w:val="en-US"/>
        </w:rPr>
      </w:pPr>
      <w:r w:rsidRPr="00F25B40">
        <w:rPr>
          <w:rFonts w:ascii="Arial" w:hAnsi="Arial" w:cs="Arial"/>
          <w:sz w:val="20"/>
          <w:szCs w:val="20"/>
          <w:lang w:val="en-GB"/>
        </w:rPr>
        <w:t>(</w:t>
      </w:r>
      <w:r w:rsidR="003E58AC" w:rsidRPr="00F25B40">
        <w:rPr>
          <w:rFonts w:ascii="Arial" w:hAnsi="Arial" w:cs="Arial"/>
          <w:sz w:val="20"/>
          <w:szCs w:val="20"/>
          <w:lang w:val="en-GB"/>
        </w:rPr>
        <w:t>0.3</w:t>
      </w:r>
      <w:r w:rsidRPr="00F25B40">
        <w:rPr>
          <w:rFonts w:ascii="Arial" w:hAnsi="Arial" w:cs="Arial"/>
          <w:sz w:val="20"/>
          <w:szCs w:val="20"/>
          <w:lang w:val="en-GB"/>
        </w:rPr>
        <w:t>12</w:t>
      </w:r>
      <w:r w:rsidR="003E58AC" w:rsidRPr="00F25B40">
        <w:rPr>
          <w:rFonts w:ascii="Arial" w:hAnsi="Arial" w:cs="Arial"/>
          <w:sz w:val="20"/>
          <w:szCs w:val="20"/>
          <w:lang w:val="en-GB"/>
        </w:rPr>
        <w:t xml:space="preserve"> g</w:t>
      </w:r>
      <w:r w:rsidRPr="00F25B40">
        <w:rPr>
          <w:rFonts w:ascii="Arial" w:hAnsi="Arial" w:cs="Arial"/>
          <w:sz w:val="20"/>
          <w:szCs w:val="20"/>
          <w:lang w:val="en-GB"/>
        </w:rPr>
        <w:t xml:space="preserve">, </w:t>
      </w:r>
      <w:r w:rsidR="003E58AC" w:rsidRPr="00F25B40">
        <w:rPr>
          <w:rFonts w:ascii="Arial" w:hAnsi="Arial" w:cs="Arial"/>
          <w:sz w:val="20"/>
          <w:szCs w:val="20"/>
          <w:lang w:val="en-GB"/>
        </w:rPr>
        <w:t>3 mmol) of</w:t>
      </w:r>
      <w:r w:rsidR="008D220C" w:rsidRPr="00F25B40">
        <w:rPr>
          <w:rFonts w:ascii="Arial" w:hAnsi="Arial" w:cs="Arial"/>
          <w:sz w:val="20"/>
          <w:szCs w:val="20"/>
          <w:lang w:val="en-US"/>
        </w:rPr>
        <w:t xml:space="preserve"> HO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C(CH</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H</w:t>
      </w:r>
      <w:r w:rsidR="003E58AC" w:rsidRPr="00F25B40">
        <w:rPr>
          <w:rFonts w:ascii="Arial" w:hAnsi="Arial" w:cs="Arial"/>
          <w:sz w:val="20"/>
          <w:szCs w:val="20"/>
          <w:vertAlign w:val="subscript"/>
          <w:lang w:val="en-US"/>
        </w:rPr>
        <w:t xml:space="preserve"> </w:t>
      </w:r>
      <w:r w:rsidR="003E58AC" w:rsidRPr="00F25B40">
        <w:rPr>
          <w:rFonts w:ascii="Arial" w:hAnsi="Arial" w:cs="Arial"/>
          <w:sz w:val="20"/>
          <w:szCs w:val="20"/>
          <w:lang w:val="en-US"/>
        </w:rPr>
        <w:t>acid and 0.</w:t>
      </w:r>
      <w:r w:rsidR="00804098" w:rsidRPr="00F25B40">
        <w:rPr>
          <w:rFonts w:ascii="Arial" w:hAnsi="Arial" w:cs="Arial"/>
          <w:sz w:val="20"/>
          <w:szCs w:val="20"/>
          <w:lang w:val="en-US"/>
        </w:rPr>
        <w:t>2</w:t>
      </w:r>
      <w:r w:rsidR="003E58AC" w:rsidRPr="00F25B40">
        <w:rPr>
          <w:rFonts w:ascii="Arial" w:hAnsi="Arial" w:cs="Arial"/>
          <w:sz w:val="20"/>
          <w:szCs w:val="20"/>
          <w:lang w:val="en-US"/>
        </w:rPr>
        <w:t xml:space="preserve">88 g (3 mmol) of </w:t>
      </w:r>
      <w:r w:rsidR="003E58AC" w:rsidRPr="00F25B40">
        <w:rPr>
          <w:rFonts w:ascii="Arial" w:hAnsi="Arial" w:cs="Arial"/>
          <w:bCs/>
          <w:sz w:val="20"/>
          <w:szCs w:val="20"/>
          <w:lang w:val="en-US"/>
        </w:rPr>
        <w:t>C</w:t>
      </w:r>
      <w:r w:rsidR="003E58AC" w:rsidRPr="00F25B40">
        <w:rPr>
          <w:rFonts w:ascii="Arial" w:hAnsi="Arial" w:cs="Arial"/>
          <w:bCs/>
          <w:sz w:val="20"/>
          <w:szCs w:val="20"/>
          <w:vertAlign w:val="subscript"/>
          <w:lang w:val="en-US"/>
        </w:rPr>
        <w:t>5</w:t>
      </w:r>
      <w:r w:rsidR="003E58AC" w:rsidRPr="00F25B40">
        <w:rPr>
          <w:rFonts w:ascii="Arial" w:hAnsi="Arial" w:cs="Arial"/>
          <w:bCs/>
          <w:sz w:val="20"/>
          <w:szCs w:val="20"/>
          <w:lang w:val="en-US"/>
        </w:rPr>
        <w:t>H</w:t>
      </w:r>
      <w:r w:rsidR="003E58AC" w:rsidRPr="00F25B40">
        <w:rPr>
          <w:rFonts w:ascii="Arial" w:hAnsi="Arial" w:cs="Arial"/>
          <w:bCs/>
          <w:sz w:val="20"/>
          <w:szCs w:val="20"/>
          <w:vertAlign w:val="subscript"/>
          <w:lang w:val="en-US"/>
        </w:rPr>
        <w:t>9</w:t>
      </w:r>
      <w:r w:rsidR="003E58AC" w:rsidRPr="00F25B40">
        <w:rPr>
          <w:rFonts w:ascii="Arial" w:hAnsi="Arial" w:cs="Arial"/>
          <w:bCs/>
          <w:sz w:val="20"/>
          <w:szCs w:val="20"/>
          <w:lang w:val="en-US"/>
        </w:rPr>
        <w:t>N</w:t>
      </w:r>
      <w:r w:rsidR="003E58AC" w:rsidRPr="00F25B40">
        <w:rPr>
          <w:rFonts w:ascii="Arial" w:hAnsi="Arial" w:cs="Arial"/>
          <w:bCs/>
          <w:sz w:val="20"/>
          <w:szCs w:val="20"/>
          <w:vertAlign w:val="subscript"/>
          <w:lang w:val="en-US"/>
        </w:rPr>
        <w:t xml:space="preserve">2 </w:t>
      </w:r>
      <w:r w:rsidR="002B2112" w:rsidRPr="00F25B40">
        <w:rPr>
          <w:rFonts w:ascii="Arial" w:hAnsi="Arial" w:cs="Arial"/>
          <w:sz w:val="20"/>
          <w:szCs w:val="20"/>
          <w:lang w:val="en-US"/>
        </w:rPr>
        <w:t>we</w:t>
      </w:r>
      <w:r w:rsidR="003E58AC" w:rsidRPr="00F25B40">
        <w:rPr>
          <w:rFonts w:ascii="Arial" w:hAnsi="Arial" w:cs="Arial"/>
          <w:sz w:val="20"/>
          <w:szCs w:val="20"/>
          <w:lang w:val="en-US"/>
        </w:rPr>
        <w:t xml:space="preserve">re dissolved in 30 mL of </w:t>
      </w:r>
      <w:r w:rsidRPr="00F25B40">
        <w:rPr>
          <w:rFonts w:ascii="Arial" w:hAnsi="Arial" w:cs="Arial"/>
          <w:sz w:val="20"/>
          <w:szCs w:val="20"/>
          <w:lang w:val="en-US"/>
        </w:rPr>
        <w:t>water</w:t>
      </w:r>
      <w:r w:rsidR="003E58AC" w:rsidRPr="00F25B40">
        <w:rPr>
          <w:rFonts w:ascii="Arial" w:hAnsi="Arial" w:cs="Arial"/>
          <w:sz w:val="20"/>
          <w:szCs w:val="20"/>
          <w:lang w:val="en-GB"/>
        </w:rPr>
        <w:t>. After a few minutes of stirred up,</w:t>
      </w:r>
      <w:r w:rsidR="003E58AC" w:rsidRPr="00F25B40">
        <w:rPr>
          <w:rFonts w:ascii="Arial" w:hAnsi="Arial" w:cs="Arial"/>
          <w:sz w:val="20"/>
          <w:szCs w:val="20"/>
          <w:lang w:val="en-US"/>
        </w:rPr>
        <w:t xml:space="preserve"> 0.5</w:t>
      </w:r>
      <w:r w:rsidR="00804098" w:rsidRPr="00F25B40">
        <w:rPr>
          <w:rFonts w:ascii="Arial" w:hAnsi="Arial" w:cs="Arial"/>
          <w:sz w:val="20"/>
          <w:szCs w:val="20"/>
          <w:lang w:val="en-US"/>
        </w:rPr>
        <w:t>46</w:t>
      </w:r>
      <w:r w:rsidR="003E58AC" w:rsidRPr="00F25B40">
        <w:rPr>
          <w:rFonts w:ascii="Arial" w:hAnsi="Arial" w:cs="Arial"/>
          <w:sz w:val="20"/>
          <w:szCs w:val="20"/>
          <w:lang w:val="en-US"/>
        </w:rPr>
        <w:t xml:space="preserve"> g (3 mmol) of </w:t>
      </w:r>
      <w:r w:rsidRPr="00F25B40">
        <w:rPr>
          <w:rFonts w:ascii="Arial" w:hAnsi="Arial" w:cs="Arial"/>
          <w:sz w:val="20"/>
          <w:szCs w:val="20"/>
          <w:lang w:val="en-US"/>
        </w:rPr>
        <w:t>Zn</w:t>
      </w:r>
      <w:r w:rsidR="003E58AC" w:rsidRPr="00F25B40">
        <w:rPr>
          <w:rFonts w:ascii="Arial" w:hAnsi="Arial" w:cs="Arial"/>
          <w:sz w:val="20"/>
          <w:szCs w:val="20"/>
          <w:lang w:val="en-US"/>
        </w:rPr>
        <w:t>(CH</w:t>
      </w:r>
      <w:r w:rsidR="003E58AC" w:rsidRPr="00F25B40">
        <w:rPr>
          <w:rFonts w:ascii="Arial" w:hAnsi="Arial" w:cs="Arial"/>
          <w:sz w:val="20"/>
          <w:szCs w:val="20"/>
          <w:vertAlign w:val="subscript"/>
          <w:lang w:val="en-US"/>
        </w:rPr>
        <w:t>3</w:t>
      </w:r>
      <w:r w:rsidR="003E58AC" w:rsidRPr="00F25B40">
        <w:rPr>
          <w:rFonts w:ascii="Arial" w:hAnsi="Arial" w:cs="Arial"/>
          <w:sz w:val="20"/>
          <w:szCs w:val="20"/>
          <w:lang w:val="en-US"/>
        </w:rPr>
        <w:t>COO)</w:t>
      </w:r>
      <w:r w:rsidR="003E58AC" w:rsidRPr="00F25B40">
        <w:rPr>
          <w:rFonts w:ascii="Arial" w:hAnsi="Arial" w:cs="Arial"/>
          <w:sz w:val="20"/>
          <w:szCs w:val="20"/>
          <w:vertAlign w:val="subscript"/>
          <w:lang w:val="en-US"/>
        </w:rPr>
        <w:t>2</w:t>
      </w:r>
      <w:r w:rsidR="003E58AC" w:rsidRPr="00F25B40">
        <w:rPr>
          <w:rFonts w:ascii="Arial" w:hAnsi="Arial" w:cs="Arial"/>
          <w:sz w:val="20"/>
          <w:szCs w:val="20"/>
          <w:lang w:val="en-US"/>
        </w:rPr>
        <w:t xml:space="preserve"> dissolved in 10 m</w:t>
      </w:r>
      <w:r w:rsidR="002B2112" w:rsidRPr="00F25B40">
        <w:rPr>
          <w:rFonts w:ascii="Arial" w:hAnsi="Arial" w:cs="Arial"/>
          <w:sz w:val="20"/>
          <w:szCs w:val="20"/>
          <w:lang w:val="en-US"/>
        </w:rPr>
        <w:t>L</w:t>
      </w:r>
      <w:r w:rsidR="003E58AC" w:rsidRPr="00F25B40">
        <w:rPr>
          <w:rFonts w:ascii="Arial" w:hAnsi="Arial" w:cs="Arial"/>
          <w:sz w:val="20"/>
          <w:szCs w:val="20"/>
          <w:lang w:val="en-US"/>
        </w:rPr>
        <w:t xml:space="preserve"> of ethanol </w:t>
      </w:r>
      <w:r w:rsidR="002B2112" w:rsidRPr="00F25B40">
        <w:rPr>
          <w:rFonts w:ascii="Arial" w:hAnsi="Arial" w:cs="Arial"/>
          <w:sz w:val="20"/>
          <w:szCs w:val="20"/>
          <w:lang w:val="en-US"/>
        </w:rPr>
        <w:t>wa</w:t>
      </w:r>
      <w:r w:rsidR="003E58AC" w:rsidRPr="00F25B40">
        <w:rPr>
          <w:rFonts w:ascii="Arial" w:hAnsi="Arial" w:cs="Arial"/>
          <w:sz w:val="20"/>
          <w:szCs w:val="20"/>
          <w:lang w:val="en-US"/>
        </w:rPr>
        <w:t xml:space="preserve">s added. The colorless solution obtained after two hours stirring </w:t>
      </w:r>
      <w:r w:rsidR="00B918B0" w:rsidRPr="00F25B40">
        <w:rPr>
          <w:rFonts w:ascii="Arial" w:hAnsi="Arial" w:cs="Arial"/>
          <w:sz w:val="20"/>
          <w:szCs w:val="20"/>
          <w:lang w:val="en-US"/>
        </w:rPr>
        <w:t>at</w:t>
      </w:r>
      <w:r w:rsidR="003E58AC" w:rsidRPr="00F25B40">
        <w:rPr>
          <w:rFonts w:ascii="Arial" w:hAnsi="Arial" w:cs="Arial"/>
          <w:sz w:val="20"/>
          <w:szCs w:val="20"/>
          <w:lang w:val="en-US"/>
        </w:rPr>
        <w:t xml:space="preserve"> room temperature, give </w:t>
      </w:r>
      <w:r w:rsidR="00804098" w:rsidRPr="00F25B40">
        <w:rPr>
          <w:rFonts w:ascii="Arial" w:hAnsi="Arial" w:cs="Arial"/>
          <w:sz w:val="20"/>
          <w:szCs w:val="20"/>
          <w:lang w:val="en-US"/>
        </w:rPr>
        <w:t>yellowish</w:t>
      </w:r>
      <w:r w:rsidR="003E58AC" w:rsidRPr="00F25B40">
        <w:rPr>
          <w:rFonts w:ascii="Arial" w:hAnsi="Arial" w:cs="Arial"/>
          <w:sz w:val="20"/>
          <w:szCs w:val="20"/>
          <w:lang w:val="en-US"/>
        </w:rPr>
        <w:t xml:space="preserve"> powder after one week of slow solvent evaporation. This powder is recrystallized in 10 m</w:t>
      </w:r>
      <w:r w:rsidR="00B918B0" w:rsidRPr="00F25B40">
        <w:rPr>
          <w:rFonts w:ascii="Arial" w:hAnsi="Arial" w:cs="Arial"/>
          <w:sz w:val="20"/>
          <w:szCs w:val="20"/>
          <w:lang w:val="en-US"/>
        </w:rPr>
        <w:t>L</w:t>
      </w:r>
      <w:r w:rsidR="003E58AC" w:rsidRPr="00F25B40">
        <w:rPr>
          <w:rFonts w:ascii="Arial" w:hAnsi="Arial" w:cs="Arial"/>
          <w:sz w:val="20"/>
          <w:szCs w:val="20"/>
          <w:lang w:val="en-US"/>
        </w:rPr>
        <w:t xml:space="preserve"> of </w:t>
      </w:r>
      <w:r w:rsidR="0001477E" w:rsidRPr="00F25B40">
        <w:rPr>
          <w:rFonts w:ascii="Arial" w:hAnsi="Arial" w:cs="Arial"/>
          <w:sz w:val="20"/>
          <w:szCs w:val="20"/>
          <w:lang w:val="en-US"/>
        </w:rPr>
        <w:t>acetonitril</w:t>
      </w:r>
      <w:r w:rsidR="00995202" w:rsidRPr="00F25B40">
        <w:rPr>
          <w:rFonts w:ascii="Arial" w:hAnsi="Arial" w:cs="Arial"/>
          <w:sz w:val="20"/>
          <w:szCs w:val="20"/>
          <w:lang w:val="en-US"/>
        </w:rPr>
        <w:t>e</w:t>
      </w:r>
      <w:r w:rsidR="003E58AC" w:rsidRPr="00F25B40">
        <w:rPr>
          <w:rFonts w:ascii="Arial" w:hAnsi="Arial" w:cs="Arial"/>
          <w:sz w:val="20"/>
          <w:szCs w:val="20"/>
          <w:lang w:val="en-US"/>
        </w:rPr>
        <w:t xml:space="preserve"> and submitted to a slow evaporation of </w:t>
      </w:r>
      <w:r w:rsidR="00B918B0" w:rsidRPr="00F25B40">
        <w:rPr>
          <w:rFonts w:ascii="Arial" w:hAnsi="Arial" w:cs="Arial"/>
          <w:sz w:val="20"/>
          <w:szCs w:val="20"/>
          <w:lang w:val="en-US"/>
        </w:rPr>
        <w:t xml:space="preserve">the </w:t>
      </w:r>
      <w:r w:rsidR="003E58AC" w:rsidRPr="00F25B40">
        <w:rPr>
          <w:rFonts w:ascii="Arial" w:hAnsi="Arial" w:cs="Arial"/>
          <w:sz w:val="20"/>
          <w:szCs w:val="20"/>
          <w:lang w:val="en-US"/>
        </w:rPr>
        <w:t>solvent, at room temperature (25 °C)</w:t>
      </w:r>
      <w:r w:rsidR="00B918B0" w:rsidRPr="00F25B40">
        <w:rPr>
          <w:rFonts w:ascii="Arial" w:hAnsi="Arial" w:cs="Arial"/>
          <w:sz w:val="20"/>
          <w:szCs w:val="20"/>
          <w:lang w:val="en-US"/>
        </w:rPr>
        <w:t xml:space="preserve">. </w:t>
      </w:r>
      <w:r w:rsidR="00D7635F" w:rsidRPr="00F25B40">
        <w:rPr>
          <w:rFonts w:ascii="Arial" w:hAnsi="Arial" w:cs="Arial"/>
          <w:sz w:val="20"/>
          <w:szCs w:val="20"/>
          <w:lang w:val="en-US"/>
        </w:rPr>
        <w:t xml:space="preserve">After a week, colorless </w:t>
      </w:r>
      <w:r w:rsidR="008B0B46" w:rsidRPr="00F25B40">
        <w:rPr>
          <w:rFonts w:ascii="Arial" w:hAnsi="Arial" w:cs="Arial"/>
          <w:sz w:val="20"/>
          <w:szCs w:val="20"/>
          <w:lang w:val="en-US"/>
        </w:rPr>
        <w:lastRenderedPageBreak/>
        <w:t xml:space="preserve">suitable </w:t>
      </w:r>
      <w:r w:rsidR="00D7635F" w:rsidRPr="00F25B40">
        <w:rPr>
          <w:rFonts w:ascii="Arial" w:hAnsi="Arial" w:cs="Arial"/>
          <w:sz w:val="20"/>
          <w:szCs w:val="20"/>
          <w:lang w:val="en-US"/>
        </w:rPr>
        <w:t>crystals</w:t>
      </w:r>
      <w:r w:rsidR="003E58AC" w:rsidRPr="00F25B40">
        <w:rPr>
          <w:rFonts w:ascii="Arial" w:hAnsi="Arial" w:cs="Arial"/>
          <w:sz w:val="20"/>
          <w:szCs w:val="20"/>
          <w:lang w:val="en-US"/>
        </w:rPr>
        <w:t xml:space="preserve"> </w:t>
      </w:r>
      <w:r w:rsidR="008B0B46" w:rsidRPr="00F25B40">
        <w:rPr>
          <w:rFonts w:ascii="Arial" w:hAnsi="Arial" w:cs="Arial"/>
          <w:sz w:val="20"/>
          <w:szCs w:val="20"/>
          <w:lang w:val="en-US"/>
        </w:rPr>
        <w:t xml:space="preserve">for X-ray </w:t>
      </w:r>
      <w:r w:rsidR="00F95194" w:rsidRPr="00F25B40">
        <w:rPr>
          <w:rFonts w:ascii="Arial" w:hAnsi="Arial" w:cs="Arial"/>
          <w:sz w:val="20"/>
          <w:szCs w:val="20"/>
          <w:lang w:val="en-US"/>
        </w:rPr>
        <w:t>analysis</w:t>
      </w:r>
      <w:r w:rsidR="008B0B46" w:rsidRPr="00F25B40">
        <w:rPr>
          <w:rFonts w:ascii="Arial" w:hAnsi="Arial" w:cs="Arial"/>
          <w:sz w:val="20"/>
          <w:szCs w:val="20"/>
          <w:lang w:val="en-US"/>
        </w:rPr>
        <w:t xml:space="preserve"> were collected</w:t>
      </w:r>
      <w:r w:rsidR="00F95194" w:rsidRPr="00F25B40">
        <w:rPr>
          <w:rFonts w:ascii="Arial" w:hAnsi="Arial" w:cs="Arial"/>
          <w:sz w:val="20"/>
          <w:szCs w:val="20"/>
          <w:lang w:val="en-US"/>
        </w:rPr>
        <w:t xml:space="preserve">. Yield : </w:t>
      </w:r>
      <w:r w:rsidR="003E58AC" w:rsidRPr="00F25B40">
        <w:rPr>
          <w:rFonts w:ascii="Arial" w:hAnsi="Arial" w:cs="Arial"/>
          <w:sz w:val="20"/>
          <w:szCs w:val="20"/>
          <w:lang w:val="en-GB"/>
        </w:rPr>
        <w:t>37 %</w:t>
      </w:r>
      <w:r w:rsidR="00F95194" w:rsidRPr="00F25B40">
        <w:rPr>
          <w:rFonts w:ascii="Arial" w:hAnsi="Arial" w:cs="Arial"/>
          <w:sz w:val="20"/>
          <w:szCs w:val="20"/>
          <w:lang w:val="en-GB"/>
        </w:rPr>
        <w:t>. FT</w:t>
      </w:r>
      <w:r w:rsidR="006B1F25" w:rsidRPr="00F25B40">
        <w:rPr>
          <w:rFonts w:ascii="Arial" w:hAnsi="Arial" w:cs="Arial"/>
          <w:sz w:val="20"/>
          <w:szCs w:val="20"/>
          <w:lang w:val="en-US"/>
        </w:rPr>
        <w:t xml:space="preserve">IR </w:t>
      </w:r>
      <w:r w:rsidR="006B1F25" w:rsidRPr="00F25B40">
        <w:rPr>
          <w:rFonts w:ascii="Arial" w:hAnsi="Arial" w:cs="Arial"/>
          <w:bCs/>
          <w:iCs/>
          <w:sz w:val="20"/>
          <w:szCs w:val="20"/>
          <w:lang w:val="en-US"/>
        </w:rPr>
        <w:t>(</w:t>
      </w:r>
      <w:r w:rsidR="00F95194" w:rsidRPr="00F25B40">
        <w:rPr>
          <w:rFonts w:ascii="Arial" w:hAnsi="Arial" w:cs="Arial"/>
          <w:bCs/>
          <w:iCs/>
          <w:sz w:val="20"/>
          <w:szCs w:val="20"/>
          <w:lang w:val="en-US"/>
        </w:rPr>
        <w:sym w:font="Symbol" w:char="F06E"/>
      </w:r>
      <w:r w:rsidR="006B1F25" w:rsidRPr="00F25B40">
        <w:rPr>
          <w:rFonts w:ascii="Arial" w:hAnsi="Arial" w:cs="Arial"/>
          <w:bCs/>
          <w:iCs/>
          <w:sz w:val="20"/>
          <w:szCs w:val="20"/>
          <w:lang w:val="en-US"/>
        </w:rPr>
        <w:t>, cm</w:t>
      </w:r>
      <w:r w:rsidR="006B1F25" w:rsidRPr="00F25B40">
        <w:rPr>
          <w:rFonts w:ascii="Arial" w:hAnsi="Arial" w:cs="Arial"/>
          <w:bCs/>
          <w:iCs/>
          <w:sz w:val="20"/>
          <w:szCs w:val="20"/>
          <w:vertAlign w:val="superscript"/>
          <w:lang w:val="en-US"/>
        </w:rPr>
        <w:sym w:font="Symbol" w:char="F02D"/>
      </w:r>
      <w:r w:rsidR="006B1F25" w:rsidRPr="00F25B40">
        <w:rPr>
          <w:rFonts w:ascii="Arial" w:hAnsi="Arial" w:cs="Arial"/>
          <w:bCs/>
          <w:iCs/>
          <w:sz w:val="20"/>
          <w:szCs w:val="20"/>
          <w:vertAlign w:val="superscript"/>
          <w:lang w:val="en-US"/>
        </w:rPr>
        <w:t>1</w:t>
      </w:r>
      <w:r w:rsidR="006B1F25" w:rsidRPr="00F25B40">
        <w:rPr>
          <w:rFonts w:ascii="Arial" w:hAnsi="Arial" w:cs="Arial"/>
          <w:bCs/>
          <w:iCs/>
          <w:sz w:val="20"/>
          <w:szCs w:val="20"/>
          <w:lang w:val="en-US"/>
        </w:rPr>
        <w:t>)</w:t>
      </w:r>
      <w:r w:rsidR="006B1F25" w:rsidRPr="00F25B40">
        <w:rPr>
          <w:rFonts w:ascii="Arial" w:hAnsi="Arial" w:cs="Arial"/>
          <w:sz w:val="20"/>
          <w:szCs w:val="20"/>
          <w:lang w:val="en-US"/>
        </w:rPr>
        <w:t>: 3</w:t>
      </w:r>
      <w:r w:rsidR="00A5157E" w:rsidRPr="00F25B40">
        <w:rPr>
          <w:rFonts w:ascii="Arial" w:hAnsi="Arial" w:cs="Arial"/>
          <w:sz w:val="20"/>
          <w:szCs w:val="20"/>
          <w:lang w:val="en-US"/>
        </w:rPr>
        <w:t>115</w:t>
      </w:r>
      <w:r w:rsidR="006B1F25" w:rsidRPr="00F25B40">
        <w:rPr>
          <w:rFonts w:ascii="Arial" w:hAnsi="Arial" w:cs="Arial"/>
          <w:sz w:val="20"/>
          <w:szCs w:val="20"/>
          <w:lang w:val="en-US"/>
        </w:rPr>
        <w:t>(</w:t>
      </w:r>
      <w:r w:rsidR="00FF47AA" w:rsidRPr="00F25B40">
        <w:rPr>
          <w:rFonts w:ascii="Arial" w:hAnsi="Arial" w:cs="Arial"/>
          <w:sz w:val="20"/>
          <w:szCs w:val="20"/>
          <w:lang w:val="en-US"/>
        </w:rPr>
        <w:t>m</w:t>
      </w:r>
      <w:r w:rsidR="006B1F25" w:rsidRPr="00F25B40">
        <w:rPr>
          <w:rFonts w:ascii="Arial" w:hAnsi="Arial" w:cs="Arial"/>
          <w:sz w:val="20"/>
          <w:szCs w:val="20"/>
          <w:lang w:val="en-US"/>
        </w:rPr>
        <w:t>), 29</w:t>
      </w:r>
      <w:r w:rsidR="00A5157E" w:rsidRPr="00F25B40">
        <w:rPr>
          <w:rFonts w:ascii="Arial" w:hAnsi="Arial" w:cs="Arial"/>
          <w:sz w:val="20"/>
          <w:szCs w:val="20"/>
          <w:lang w:val="en-US"/>
        </w:rPr>
        <w:t>79</w:t>
      </w:r>
      <w:r w:rsidR="006B1F25" w:rsidRPr="00F25B40">
        <w:rPr>
          <w:rFonts w:ascii="Arial" w:hAnsi="Arial" w:cs="Arial"/>
          <w:sz w:val="20"/>
          <w:szCs w:val="20"/>
          <w:lang w:val="en-US"/>
        </w:rPr>
        <w:t xml:space="preserve"> (</w:t>
      </w:r>
      <w:r w:rsidR="00FF47AA" w:rsidRPr="00F25B40">
        <w:rPr>
          <w:rFonts w:ascii="Arial" w:hAnsi="Arial" w:cs="Arial"/>
          <w:sz w:val="20"/>
          <w:szCs w:val="20"/>
          <w:lang w:val="en-US"/>
        </w:rPr>
        <w:t>w</w:t>
      </w:r>
      <w:r w:rsidR="006B1F25" w:rsidRPr="00F25B40">
        <w:rPr>
          <w:rFonts w:ascii="Arial" w:hAnsi="Arial" w:cs="Arial"/>
          <w:sz w:val="20"/>
          <w:szCs w:val="20"/>
          <w:lang w:val="en-US"/>
        </w:rPr>
        <w:t>)</w:t>
      </w:r>
      <w:r w:rsidR="00A5157E" w:rsidRPr="00F25B40">
        <w:rPr>
          <w:rFonts w:ascii="Arial" w:hAnsi="Arial" w:cs="Arial"/>
          <w:sz w:val="20"/>
          <w:szCs w:val="20"/>
          <w:lang w:val="en-US"/>
        </w:rPr>
        <w:t>, 29</w:t>
      </w:r>
      <w:r w:rsidR="00FF47AA" w:rsidRPr="00F25B40">
        <w:rPr>
          <w:rFonts w:ascii="Arial" w:hAnsi="Arial" w:cs="Arial"/>
          <w:sz w:val="20"/>
          <w:szCs w:val="20"/>
          <w:lang w:val="en-US"/>
        </w:rPr>
        <w:t>37 (w)</w:t>
      </w:r>
      <w:r w:rsidR="006B1F25" w:rsidRPr="00F25B40">
        <w:rPr>
          <w:rFonts w:ascii="Arial" w:hAnsi="Arial" w:cs="Arial"/>
          <w:sz w:val="20"/>
          <w:szCs w:val="20"/>
          <w:lang w:val="en-US"/>
        </w:rPr>
        <w:t>,</w:t>
      </w:r>
      <w:r w:rsidR="00FF47AA" w:rsidRPr="00F25B40">
        <w:rPr>
          <w:rFonts w:ascii="Arial" w:hAnsi="Arial" w:cs="Arial"/>
          <w:sz w:val="20"/>
          <w:szCs w:val="20"/>
          <w:lang w:val="en-US"/>
        </w:rPr>
        <w:t xml:space="preserve"> 1605 (s)</w:t>
      </w:r>
      <w:r w:rsidR="006B1F25" w:rsidRPr="00F25B40">
        <w:rPr>
          <w:rFonts w:ascii="Arial" w:hAnsi="Arial" w:cs="Arial"/>
          <w:sz w:val="20"/>
          <w:szCs w:val="20"/>
          <w:lang w:val="en-US"/>
        </w:rPr>
        <w:t xml:space="preserve"> 15</w:t>
      </w:r>
      <w:r w:rsidR="00FF47AA" w:rsidRPr="00F25B40">
        <w:rPr>
          <w:rFonts w:ascii="Arial" w:hAnsi="Arial" w:cs="Arial"/>
          <w:sz w:val="20"/>
          <w:szCs w:val="20"/>
          <w:lang w:val="en-US"/>
        </w:rPr>
        <w:t>35</w:t>
      </w:r>
      <w:r w:rsidR="006B1F25" w:rsidRPr="00F25B40">
        <w:rPr>
          <w:rFonts w:ascii="Arial" w:hAnsi="Arial" w:cs="Arial"/>
          <w:sz w:val="20"/>
          <w:szCs w:val="20"/>
          <w:lang w:val="en-US"/>
        </w:rPr>
        <w:t xml:space="preserve"> (s), 15</w:t>
      </w:r>
      <w:r w:rsidR="00FF47AA" w:rsidRPr="00F25B40">
        <w:rPr>
          <w:rFonts w:ascii="Arial" w:hAnsi="Arial" w:cs="Arial"/>
          <w:sz w:val="20"/>
          <w:szCs w:val="20"/>
          <w:lang w:val="en-US"/>
        </w:rPr>
        <w:t>21</w:t>
      </w:r>
      <w:r w:rsidR="006B1F25" w:rsidRPr="00F25B40">
        <w:rPr>
          <w:rFonts w:ascii="Arial" w:hAnsi="Arial" w:cs="Arial"/>
          <w:sz w:val="20"/>
          <w:szCs w:val="20"/>
          <w:lang w:val="en-US"/>
        </w:rPr>
        <w:t>(s), 1</w:t>
      </w:r>
      <w:r w:rsidR="00FF47AA" w:rsidRPr="00F25B40">
        <w:rPr>
          <w:rFonts w:ascii="Arial" w:hAnsi="Arial" w:cs="Arial"/>
          <w:sz w:val="20"/>
          <w:szCs w:val="20"/>
          <w:lang w:val="en-US"/>
        </w:rPr>
        <w:t>352</w:t>
      </w:r>
      <w:r w:rsidR="006B1F25" w:rsidRPr="00F25B40">
        <w:rPr>
          <w:rFonts w:ascii="Arial" w:hAnsi="Arial" w:cs="Arial"/>
          <w:sz w:val="20"/>
          <w:szCs w:val="20"/>
          <w:lang w:val="en-US"/>
        </w:rPr>
        <w:t xml:space="preserve"> (s), 1374 (s). UV (</w:t>
      </w:r>
      <w:r w:rsidR="00377EBA" w:rsidRPr="00F25B40">
        <w:rPr>
          <w:rFonts w:ascii="Arial" w:hAnsi="Arial" w:cs="Arial"/>
          <w:sz w:val="20"/>
          <w:szCs w:val="20"/>
          <w:lang w:val="en-US"/>
        </w:rPr>
        <w:sym w:font="Symbol" w:char="F06C"/>
      </w:r>
      <w:r w:rsidR="00377EBA" w:rsidRPr="00F25B40">
        <w:rPr>
          <w:rFonts w:ascii="Arial" w:hAnsi="Arial" w:cs="Arial"/>
          <w:sz w:val="20"/>
          <w:szCs w:val="20"/>
          <w:lang w:val="en-US"/>
        </w:rPr>
        <w:t xml:space="preserve">, </w:t>
      </w:r>
      <w:r w:rsidR="006B1F25" w:rsidRPr="00F25B40">
        <w:rPr>
          <w:rFonts w:ascii="Arial" w:hAnsi="Arial" w:cs="Arial"/>
          <w:sz w:val="20"/>
          <w:szCs w:val="20"/>
          <w:lang w:val="en-US"/>
        </w:rPr>
        <w:t xml:space="preserve">nm): 304. </w:t>
      </w:r>
    </w:p>
    <w:p w14:paraId="6F264596" w14:textId="77777777" w:rsidR="00412A13" w:rsidRPr="00F25B40" w:rsidRDefault="00412A13" w:rsidP="00F122B0">
      <w:pPr>
        <w:pStyle w:val="Heading2"/>
      </w:pPr>
      <w:r w:rsidRPr="00F25B40">
        <w:t>X-ray crystallography</w:t>
      </w:r>
    </w:p>
    <w:p w14:paraId="212C2B98" w14:textId="0822DD22" w:rsidR="006F3E84" w:rsidRPr="00F25B40" w:rsidRDefault="005870CB" w:rsidP="00A57067">
      <w:pPr>
        <w:spacing w:line="240" w:lineRule="auto"/>
        <w:jc w:val="both"/>
        <w:rPr>
          <w:rFonts w:ascii="Arial" w:hAnsi="Arial" w:cs="Arial"/>
          <w:bCs/>
          <w:color w:val="000000" w:themeColor="text1"/>
          <w:sz w:val="20"/>
          <w:szCs w:val="20"/>
          <w:lang w:val="en-US"/>
        </w:rPr>
      </w:pPr>
      <w:r w:rsidRPr="00F25B40">
        <w:rPr>
          <w:rFonts w:ascii="Arial" w:hAnsi="Arial" w:cs="Arial"/>
          <w:bCs/>
          <w:color w:val="000000" w:themeColor="text1"/>
          <w:sz w:val="20"/>
          <w:szCs w:val="20"/>
          <w:lang w:val="en-US"/>
        </w:rPr>
        <w:t>Two single prism shaped crystal</w:t>
      </w:r>
      <w:r w:rsidR="00D46D41" w:rsidRPr="00F25B40">
        <w:rPr>
          <w:rFonts w:ascii="Arial" w:hAnsi="Arial" w:cs="Arial"/>
          <w:bCs/>
          <w:color w:val="000000" w:themeColor="text1"/>
          <w:sz w:val="20"/>
          <w:szCs w:val="20"/>
          <w:lang w:val="en-US"/>
        </w:rPr>
        <w:t>s</w:t>
      </w:r>
      <w:r w:rsidRPr="00F25B40">
        <w:rPr>
          <w:rFonts w:ascii="Arial" w:hAnsi="Arial" w:cs="Arial"/>
          <w:bCs/>
          <w:color w:val="000000" w:themeColor="text1"/>
          <w:sz w:val="20"/>
          <w:szCs w:val="20"/>
          <w:lang w:val="en-US"/>
        </w:rPr>
        <w:t xml:space="preserve"> were selected: one blue </w:t>
      </w:r>
      <w:r w:rsidR="00412A13" w:rsidRPr="00F25B40">
        <w:rPr>
          <w:rFonts w:ascii="Arial" w:hAnsi="Arial" w:cs="Arial"/>
          <w:bCs/>
          <w:color w:val="000000" w:themeColor="text1"/>
          <w:sz w:val="20"/>
          <w:szCs w:val="20"/>
          <w:lang w:val="en-US"/>
        </w:rPr>
        <w:t xml:space="preserve">single crystal </w:t>
      </w:r>
      <w:r w:rsidR="00CB188B" w:rsidRPr="00F25B40">
        <w:rPr>
          <w:rFonts w:ascii="Arial" w:hAnsi="Arial" w:cs="Arial"/>
          <w:bCs/>
          <w:color w:val="000000" w:themeColor="text1"/>
          <w:sz w:val="20"/>
          <w:szCs w:val="20"/>
          <w:lang w:val="en-US"/>
        </w:rPr>
        <w:t>of copper</w:t>
      </w:r>
      <w:r w:rsidR="00F812AA" w:rsidRPr="00F25B40">
        <w:rPr>
          <w:rFonts w:ascii="Arial" w:hAnsi="Arial" w:cs="Arial"/>
          <w:bCs/>
          <w:color w:val="000000" w:themeColor="text1"/>
          <w:sz w:val="20"/>
          <w:szCs w:val="20"/>
          <w:lang w:val="en-US"/>
        </w:rPr>
        <w:t xml:space="preserve">(II) </w:t>
      </w:r>
      <w:r w:rsidR="00A17DC9" w:rsidRPr="00F25B40">
        <w:rPr>
          <w:rFonts w:ascii="Arial" w:hAnsi="Arial" w:cs="Arial"/>
          <w:bCs/>
          <w:color w:val="000000" w:themeColor="text1"/>
          <w:sz w:val="20"/>
          <w:szCs w:val="20"/>
          <w:lang w:val="en-US"/>
        </w:rPr>
        <w:t>compl</w:t>
      </w:r>
      <w:r w:rsidR="00F812AA" w:rsidRPr="00F25B40">
        <w:rPr>
          <w:rFonts w:ascii="Arial" w:hAnsi="Arial" w:cs="Arial"/>
          <w:bCs/>
          <w:color w:val="000000" w:themeColor="text1"/>
          <w:sz w:val="20"/>
          <w:szCs w:val="20"/>
          <w:lang w:val="en-US"/>
        </w:rPr>
        <w:t xml:space="preserve">ex </w:t>
      </w:r>
      <w:r w:rsidR="00412A13" w:rsidRPr="00F25B40">
        <w:rPr>
          <w:rFonts w:ascii="Arial" w:hAnsi="Arial" w:cs="Arial"/>
          <w:bCs/>
          <w:color w:val="000000" w:themeColor="text1"/>
          <w:sz w:val="20"/>
          <w:szCs w:val="20"/>
          <w:lang w:val="en-US"/>
        </w:rPr>
        <w:t>(</w:t>
      </w:r>
      <w:r w:rsidRPr="00F25B40">
        <w:rPr>
          <w:rFonts w:ascii="Arial" w:hAnsi="Arial" w:cs="Arial"/>
          <w:bCs/>
          <w:color w:val="000000" w:themeColor="text1"/>
          <w:sz w:val="20"/>
          <w:szCs w:val="20"/>
          <w:lang w:val="en-US"/>
        </w:rPr>
        <w:t>0.</w:t>
      </w:r>
      <w:r w:rsidR="00276400" w:rsidRPr="00F25B40">
        <w:rPr>
          <w:rFonts w:ascii="Arial" w:hAnsi="Arial" w:cs="Arial"/>
          <w:bCs/>
          <w:color w:val="000000" w:themeColor="text1"/>
          <w:sz w:val="20"/>
          <w:szCs w:val="20"/>
          <w:lang w:val="en-US"/>
        </w:rPr>
        <w:t>39</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 </w:t>
      </w:r>
      <w:r w:rsidRPr="00F25B40">
        <w:rPr>
          <w:rFonts w:ascii="Arial" w:hAnsi="Arial" w:cs="Arial"/>
          <w:bCs/>
          <w:color w:val="000000" w:themeColor="text1"/>
          <w:sz w:val="20"/>
          <w:szCs w:val="20"/>
          <w:lang w:val="en-US"/>
        </w:rPr>
        <w:t>0.1</w:t>
      </w:r>
      <w:r w:rsidR="00276400" w:rsidRPr="00F25B40">
        <w:rPr>
          <w:rFonts w:ascii="Arial" w:hAnsi="Arial" w:cs="Arial"/>
          <w:bCs/>
          <w:color w:val="000000" w:themeColor="text1"/>
          <w:sz w:val="20"/>
          <w:szCs w:val="20"/>
          <w:lang w:val="en-US"/>
        </w:rPr>
        <w:t>4</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 </w:t>
      </w:r>
      <w:r w:rsidRPr="00F25B40">
        <w:rPr>
          <w:rFonts w:ascii="Arial" w:hAnsi="Arial" w:cs="Arial"/>
          <w:bCs/>
          <w:color w:val="000000" w:themeColor="text1"/>
          <w:sz w:val="20"/>
          <w:szCs w:val="20"/>
          <w:lang w:val="en-US"/>
        </w:rPr>
        <w:t>0.</w:t>
      </w:r>
      <w:r w:rsidR="00276400" w:rsidRPr="00F25B40">
        <w:rPr>
          <w:rFonts w:ascii="Arial" w:hAnsi="Arial" w:cs="Arial"/>
          <w:bCs/>
          <w:color w:val="000000" w:themeColor="text1"/>
          <w:sz w:val="20"/>
          <w:szCs w:val="20"/>
          <w:lang w:val="en-US"/>
        </w:rPr>
        <w:t>03</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w:t>
      </w:r>
      <w:r w:rsidRPr="00F25B40">
        <w:rPr>
          <w:rFonts w:ascii="Arial" w:hAnsi="Arial" w:cs="Arial"/>
          <w:bCs/>
          <w:color w:val="000000" w:themeColor="text1"/>
          <w:sz w:val="20"/>
          <w:szCs w:val="20"/>
          <w:lang w:val="en-US"/>
        </w:rPr>
        <w:t xml:space="preserve">and </w:t>
      </w:r>
      <w:r w:rsidR="00F812AA" w:rsidRPr="00F25B40">
        <w:rPr>
          <w:rFonts w:ascii="Arial" w:hAnsi="Arial" w:cs="Arial"/>
          <w:bCs/>
          <w:color w:val="000000" w:themeColor="text1"/>
          <w:sz w:val="20"/>
          <w:szCs w:val="20"/>
          <w:lang w:val="en-US"/>
        </w:rPr>
        <w:t xml:space="preserve">one </w:t>
      </w:r>
      <w:r w:rsidRPr="00F25B40">
        <w:rPr>
          <w:rFonts w:ascii="Arial" w:hAnsi="Arial" w:cs="Arial"/>
          <w:bCs/>
          <w:color w:val="000000" w:themeColor="text1"/>
          <w:sz w:val="20"/>
          <w:szCs w:val="20"/>
          <w:lang w:val="en-US"/>
        </w:rPr>
        <w:t>single colorless</w:t>
      </w:r>
      <w:r w:rsidR="00786EF2" w:rsidRPr="00F25B40">
        <w:rPr>
          <w:rFonts w:ascii="Arial" w:hAnsi="Arial" w:cs="Arial"/>
          <w:bCs/>
          <w:color w:val="000000" w:themeColor="text1"/>
          <w:sz w:val="20"/>
          <w:szCs w:val="20"/>
          <w:lang w:val="en-US"/>
        </w:rPr>
        <w:t xml:space="preserve"> crystal </w:t>
      </w:r>
      <w:r w:rsidR="004C6C41" w:rsidRPr="00F25B40">
        <w:rPr>
          <w:rFonts w:ascii="Arial" w:hAnsi="Arial" w:cs="Arial"/>
          <w:bCs/>
          <w:color w:val="000000" w:themeColor="text1"/>
          <w:sz w:val="20"/>
          <w:szCs w:val="20"/>
          <w:lang w:val="en-US"/>
        </w:rPr>
        <w:t>of the zinc</w:t>
      </w:r>
      <w:r w:rsidR="00F812AA" w:rsidRPr="00F25B40">
        <w:rPr>
          <w:rFonts w:ascii="Arial" w:hAnsi="Arial" w:cs="Arial"/>
          <w:bCs/>
          <w:color w:val="000000" w:themeColor="text1"/>
          <w:sz w:val="20"/>
          <w:szCs w:val="20"/>
          <w:lang w:val="en-US"/>
        </w:rPr>
        <w:t>(II)</w:t>
      </w:r>
      <w:r w:rsidR="004C6C41" w:rsidRPr="00F25B40">
        <w:rPr>
          <w:rFonts w:ascii="Arial" w:hAnsi="Arial" w:cs="Arial"/>
          <w:bCs/>
          <w:color w:val="000000" w:themeColor="text1"/>
          <w:sz w:val="20"/>
          <w:szCs w:val="20"/>
          <w:lang w:val="en-US"/>
        </w:rPr>
        <w:t xml:space="preserve"> complex</w:t>
      </w:r>
      <w:r w:rsidR="00A17DC9" w:rsidRPr="00F25B40">
        <w:rPr>
          <w:rFonts w:ascii="Arial" w:hAnsi="Arial" w:cs="Arial"/>
          <w:bCs/>
          <w:color w:val="000000" w:themeColor="text1"/>
          <w:sz w:val="20"/>
          <w:szCs w:val="20"/>
          <w:lang w:val="en-US"/>
        </w:rPr>
        <w:t xml:space="preserve"> </w:t>
      </w:r>
      <w:r w:rsidR="00786EF2" w:rsidRPr="00F25B40">
        <w:rPr>
          <w:rFonts w:ascii="Arial" w:hAnsi="Arial" w:cs="Arial"/>
          <w:bCs/>
          <w:color w:val="000000" w:themeColor="text1"/>
          <w:sz w:val="20"/>
          <w:szCs w:val="20"/>
          <w:lang w:val="en-US"/>
        </w:rPr>
        <w:t>(0.35 mm x 0.14 mm x 0.08</w:t>
      </w:r>
      <w:r w:rsidR="00A17DC9" w:rsidRPr="00F25B40">
        <w:rPr>
          <w:rFonts w:ascii="Arial" w:hAnsi="Arial" w:cs="Arial"/>
          <w:bCs/>
          <w:color w:val="000000" w:themeColor="text1"/>
          <w:sz w:val="20"/>
          <w:szCs w:val="20"/>
          <w:lang w:val="en-US"/>
        </w:rPr>
        <w:t xml:space="preserve"> </w:t>
      </w:r>
      <w:r w:rsidR="00786EF2" w:rsidRPr="00F25B40">
        <w:rPr>
          <w:rFonts w:ascii="Arial" w:hAnsi="Arial" w:cs="Arial"/>
          <w:bCs/>
          <w:color w:val="000000" w:themeColor="text1"/>
          <w:sz w:val="20"/>
          <w:szCs w:val="20"/>
          <w:lang w:val="en-US"/>
        </w:rPr>
        <w:t>mm)</w:t>
      </w:r>
      <w:r w:rsidR="00DE15A2" w:rsidRPr="00F25B40">
        <w:rPr>
          <w:rFonts w:ascii="Arial" w:hAnsi="Arial" w:cs="Arial"/>
          <w:bCs/>
          <w:color w:val="000000" w:themeColor="text1"/>
          <w:sz w:val="20"/>
          <w:szCs w:val="20"/>
          <w:lang w:val="en-US"/>
        </w:rPr>
        <w:t>.</w:t>
      </w:r>
      <w:r w:rsidR="0001477E" w:rsidRPr="00F25B40">
        <w:rPr>
          <w:rFonts w:ascii="Arial" w:hAnsi="Arial" w:cs="Arial"/>
          <w:bCs/>
          <w:color w:val="000000" w:themeColor="text1"/>
          <w:sz w:val="20"/>
          <w:szCs w:val="20"/>
          <w:lang w:val="en-US"/>
        </w:rPr>
        <w:t xml:space="preserve"> </w:t>
      </w:r>
      <w:r w:rsidR="00E72D80" w:rsidRPr="00F25B40">
        <w:rPr>
          <w:rFonts w:ascii="Arial" w:hAnsi="Arial" w:cs="Arial"/>
          <w:color w:val="000000" w:themeColor="text1"/>
          <w:sz w:val="20"/>
          <w:szCs w:val="20"/>
          <w:lang w:val="en-US"/>
        </w:rPr>
        <w:t>Details  of  the  X</w:t>
      </w:r>
      <w:r w:rsidR="00E72D80" w:rsidRPr="00F25B40">
        <w:rPr>
          <w:rFonts w:ascii="Cambria Math" w:hAnsi="Cambria Math" w:cs="Cambria Math"/>
          <w:color w:val="000000" w:themeColor="text1"/>
          <w:sz w:val="20"/>
          <w:szCs w:val="20"/>
          <w:lang w:val="en-US"/>
        </w:rPr>
        <w:t>‐</w:t>
      </w:r>
      <w:r w:rsidR="00E72D80" w:rsidRPr="00F25B40">
        <w:rPr>
          <w:rFonts w:ascii="Arial" w:hAnsi="Arial" w:cs="Arial"/>
          <w:color w:val="000000" w:themeColor="text1"/>
          <w:sz w:val="20"/>
          <w:szCs w:val="20"/>
          <w:lang w:val="en-US"/>
        </w:rPr>
        <w:t xml:space="preserve">rays  crystal  structure solution  and  refinement  are  given  in  Table  1.  </w:t>
      </w:r>
      <w:r w:rsidRPr="00F25B40">
        <w:rPr>
          <w:rFonts w:ascii="Arial" w:hAnsi="Arial" w:cs="Arial"/>
          <w:bCs/>
          <w:color w:val="000000" w:themeColor="text1"/>
          <w:sz w:val="20"/>
          <w:szCs w:val="20"/>
          <w:lang w:val="en-US"/>
        </w:rPr>
        <w:t>The two single crystals are</w:t>
      </w:r>
      <w:r w:rsidR="00412A13" w:rsidRPr="00F25B40">
        <w:rPr>
          <w:rFonts w:ascii="Arial" w:hAnsi="Arial" w:cs="Arial"/>
          <w:bCs/>
          <w:color w:val="000000" w:themeColor="text1"/>
          <w:sz w:val="20"/>
          <w:szCs w:val="20"/>
          <w:lang w:val="en-US"/>
        </w:rPr>
        <w:t xml:space="preserve"> used for data collection using</w:t>
      </w:r>
      <w:r w:rsidR="00412A13" w:rsidRPr="00F25B40">
        <w:rPr>
          <w:rFonts w:ascii="Arial" w:eastAsia="Times New Roman" w:hAnsi="Arial" w:cs="Arial"/>
          <w:bCs/>
          <w:color w:val="000000" w:themeColor="text1"/>
          <w:sz w:val="20"/>
          <w:szCs w:val="20"/>
          <w:lang w:val="en-GB"/>
        </w:rPr>
        <w:t xml:space="preserve"> a </w:t>
      </w:r>
      <w:r w:rsidR="00355BD1" w:rsidRPr="00F25B40">
        <w:rPr>
          <w:rFonts w:ascii="Arial" w:hAnsi="Arial" w:cs="Arial"/>
          <w:bCs/>
          <w:color w:val="000000" w:themeColor="text1"/>
          <w:sz w:val="20"/>
          <w:szCs w:val="20"/>
          <w:lang w:val="en-US"/>
        </w:rPr>
        <w:t>Bruker Instrument Service v8.5.5.6</w:t>
      </w:r>
      <w:r w:rsidR="004E2538" w:rsidRPr="00F25B40">
        <w:rPr>
          <w:rFonts w:ascii="Arial" w:hAnsi="Arial" w:cs="Arial"/>
          <w:bCs/>
          <w:color w:val="000000" w:themeColor="text1"/>
          <w:sz w:val="20"/>
          <w:szCs w:val="20"/>
          <w:lang w:val="en-US"/>
        </w:rPr>
        <w:t xml:space="preserve"> </w:t>
      </w:r>
      <w:r w:rsidR="004E2538" w:rsidRPr="00F25B40">
        <w:rPr>
          <w:rFonts w:ascii="Arial" w:eastAsia="Times New Roman" w:hAnsi="Arial" w:cs="Arial"/>
          <w:bCs/>
          <w:color w:val="000000" w:themeColor="text1"/>
          <w:kern w:val="0"/>
          <w:sz w:val="20"/>
          <w:szCs w:val="20"/>
          <w:lang w:val="en-US" w:eastAsia="fr-FR"/>
          <w14:ligatures w14:val="none"/>
        </w:rPr>
        <w:t>device</w:t>
      </w:r>
      <w:r w:rsidR="0001477E" w:rsidRPr="00F25B40">
        <w:rPr>
          <w:rFonts w:ascii="Arial" w:eastAsia="Times New Roman" w:hAnsi="Arial" w:cs="Arial"/>
          <w:bCs/>
          <w:color w:val="000000" w:themeColor="text1"/>
          <w:kern w:val="0"/>
          <w:sz w:val="20"/>
          <w:szCs w:val="20"/>
          <w:lang w:val="en-US" w:eastAsia="fr-FR"/>
          <w14:ligatures w14:val="none"/>
        </w:rPr>
        <w:t xml:space="preserve"> </w:t>
      </w:r>
      <w:r w:rsidR="004E2538" w:rsidRPr="00F25B40">
        <w:rPr>
          <w:rFonts w:ascii="Arial" w:eastAsia="Times New Roman" w:hAnsi="Arial" w:cs="Arial"/>
          <w:bCs/>
          <w:color w:val="000000" w:themeColor="text1"/>
          <w:kern w:val="0"/>
          <w:sz w:val="20"/>
          <w:szCs w:val="20"/>
          <w:lang w:val="en-US" w:eastAsia="fr-FR"/>
          <w14:ligatures w14:val="none"/>
        </w:rPr>
        <w:t>type Bruker D8 Venture</w:t>
      </w:r>
      <w:r w:rsidR="004E2538" w:rsidRPr="00F25B40">
        <w:rPr>
          <w:rFonts w:ascii="Arial" w:hAnsi="Arial" w:cs="Arial"/>
          <w:bCs/>
          <w:color w:val="000000" w:themeColor="text1"/>
          <w:sz w:val="20"/>
          <w:szCs w:val="20"/>
          <w:lang w:val="en-US"/>
        </w:rPr>
        <w:t xml:space="preserve"> </w:t>
      </w:r>
      <w:r w:rsidR="004E2538" w:rsidRPr="00F25B40">
        <w:rPr>
          <w:rFonts w:ascii="Arial" w:eastAsia="Times New Roman" w:hAnsi="Arial" w:cs="Arial"/>
          <w:bCs/>
          <w:color w:val="000000" w:themeColor="text1"/>
          <w:kern w:val="0"/>
          <w:sz w:val="20"/>
          <w:szCs w:val="20"/>
          <w:lang w:val="en-US" w:eastAsia="fr-FR"/>
          <w14:ligatures w14:val="none"/>
        </w:rPr>
        <w:t>monochromator multilayer mirror</w:t>
      </w:r>
      <w:r w:rsidR="00435ABC" w:rsidRPr="00F25B40">
        <w:rPr>
          <w:rFonts w:ascii="Arial" w:eastAsia="Times New Roman" w:hAnsi="Arial" w:cs="Arial"/>
          <w:bCs/>
          <w:color w:val="000000" w:themeColor="text1"/>
          <w:sz w:val="20"/>
          <w:szCs w:val="20"/>
          <w:lang w:val="en-GB"/>
        </w:rPr>
        <w:t xml:space="preserve"> </w:t>
      </w:r>
      <w:r w:rsidR="004565CA" w:rsidRPr="00F25B40">
        <w:rPr>
          <w:rFonts w:ascii="Arial" w:eastAsia="Times New Roman" w:hAnsi="Arial" w:cs="Arial"/>
          <w:bCs/>
          <w:color w:val="000000" w:themeColor="text1"/>
          <w:sz w:val="20"/>
          <w:szCs w:val="20"/>
          <w:lang w:val="en-GB"/>
        </w:rPr>
        <w:t xml:space="preserve">operating at </w:t>
      </w:r>
      <w:r w:rsidR="004565CA" w:rsidRPr="00F25B40">
        <w:rPr>
          <w:rFonts w:ascii="Arial" w:eastAsia="Times New Roman" w:hAnsi="Arial" w:cs="Arial"/>
          <w:bCs/>
          <w:i/>
          <w:color w:val="000000" w:themeColor="text1"/>
          <w:sz w:val="20"/>
          <w:szCs w:val="20"/>
          <w:lang w:val="en-GB"/>
        </w:rPr>
        <w:t>T</w:t>
      </w:r>
      <w:r w:rsidR="004565CA" w:rsidRPr="00F25B40">
        <w:rPr>
          <w:rFonts w:ascii="Arial" w:eastAsia="Times New Roman" w:hAnsi="Arial" w:cs="Arial"/>
          <w:bCs/>
          <w:color w:val="000000" w:themeColor="text1"/>
          <w:sz w:val="20"/>
          <w:szCs w:val="20"/>
          <w:lang w:val="en-GB"/>
        </w:rPr>
        <w:t xml:space="preserve"> = 100 K (</w:t>
      </w:r>
      <w:proofErr w:type="spellStart"/>
      <w:r w:rsidR="004565CA" w:rsidRPr="00F25B40">
        <w:rPr>
          <w:rFonts w:ascii="Arial" w:eastAsia="Times New Roman" w:hAnsi="Arial" w:cs="Arial"/>
          <w:bCs/>
          <w:color w:val="000000" w:themeColor="text1"/>
          <w:kern w:val="0"/>
          <w:sz w:val="20"/>
          <w:szCs w:val="20"/>
          <w:lang w:val="en-US" w:eastAsia="fr-FR"/>
          <w14:ligatures w14:val="none"/>
        </w:rPr>
        <w:t>CuK</w:t>
      </w:r>
      <w:proofErr w:type="spellEnd"/>
      <w:r w:rsidR="004565CA" w:rsidRPr="00F25B40">
        <w:rPr>
          <w:rFonts w:ascii="Arial" w:eastAsia="Times New Roman" w:hAnsi="Arial" w:cs="Arial"/>
          <w:bCs/>
          <w:color w:val="000000" w:themeColor="text1"/>
          <w:kern w:val="0"/>
          <w:sz w:val="20"/>
          <w:szCs w:val="20"/>
          <w:lang w:val="en-US" w:eastAsia="fr-FR"/>
          <w14:ligatures w14:val="none"/>
        </w:rPr>
        <w:sym w:font="Symbol" w:char="F061"/>
      </w:r>
      <w:r w:rsidR="004565CA" w:rsidRPr="00F25B40">
        <w:rPr>
          <w:rFonts w:ascii="Arial" w:eastAsia="Times New Roman" w:hAnsi="Arial" w:cs="Arial"/>
          <w:bCs/>
          <w:color w:val="000000" w:themeColor="text1"/>
          <w:kern w:val="0"/>
          <w:sz w:val="20"/>
          <w:szCs w:val="20"/>
          <w:lang w:val="en-US" w:eastAsia="fr-FR"/>
          <w14:ligatures w14:val="none"/>
        </w:rPr>
        <w:t>)</w:t>
      </w:r>
      <w:r w:rsidR="004565CA" w:rsidRPr="00F25B40">
        <w:rPr>
          <w:rFonts w:ascii="Arial" w:eastAsia="Times New Roman" w:hAnsi="Arial" w:cs="Arial"/>
          <w:bCs/>
          <w:color w:val="000000" w:themeColor="text1"/>
          <w:sz w:val="20"/>
          <w:szCs w:val="20"/>
          <w:lang w:val="en-GB"/>
        </w:rPr>
        <w:t xml:space="preserve">. </w:t>
      </w:r>
      <w:r w:rsidR="00896C35" w:rsidRPr="00F25B40">
        <w:rPr>
          <w:rFonts w:ascii="Arial" w:hAnsi="Arial" w:cs="Arial"/>
          <w:bCs/>
          <w:color w:val="000000" w:themeColor="text1"/>
          <w:sz w:val="20"/>
          <w:szCs w:val="20"/>
          <w:lang w:val="en-US"/>
        </w:rPr>
        <w:t>The structures were solved</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 xml:space="preserve">by SHELXT </w:t>
      </w:r>
      <w:r w:rsidR="00252D5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{"citationID":"5hzv2XtL","properties":{"formattedCitation":"(Sheldrick, 2015b)","plainCitation":"(Sheldrick, 2015b)","noteIndex":0},"citationItems":[{"id":104,"uris":["http://zotero.org/users/local/JzcqJHT8/items/AND4XTEG"],"itemData":{"id":104,"type":"article-journal","abstract":"The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252D5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(Sheldrick, 2015b)</w:t>
      </w:r>
      <w:r w:rsidR="00252D5A" w:rsidRPr="00F25B40">
        <w:rPr>
          <w:rFonts w:ascii="Arial" w:hAnsi="Arial" w:cs="Arial"/>
          <w:bCs/>
          <w:color w:val="000000" w:themeColor="text1"/>
          <w:sz w:val="20"/>
          <w:szCs w:val="20"/>
          <w:lang w:val="en-US"/>
        </w:rPr>
        <w:fldChar w:fldCharType="end"/>
      </w:r>
      <w:r w:rsidR="00896C35" w:rsidRPr="00F25B40">
        <w:rPr>
          <w:rFonts w:ascii="Arial" w:hAnsi="Arial" w:cs="Arial"/>
          <w:bCs/>
          <w:color w:val="000000" w:themeColor="text1"/>
          <w:sz w:val="20"/>
          <w:szCs w:val="20"/>
          <w:lang w:val="en-US"/>
        </w:rPr>
        <w:t xml:space="preserve"> and then refined by full-matrix least square refinement of |F|</w:t>
      </w:r>
      <w:r w:rsidR="00896C35" w:rsidRPr="00F25B40">
        <w:rPr>
          <w:rFonts w:ascii="Arial" w:hAnsi="Arial" w:cs="Arial"/>
          <w:bCs/>
          <w:color w:val="000000" w:themeColor="text1"/>
          <w:sz w:val="20"/>
          <w:szCs w:val="20"/>
          <w:vertAlign w:val="superscript"/>
          <w:lang w:val="en-US"/>
        </w:rPr>
        <w:t>2</w:t>
      </w:r>
      <w:r w:rsidR="00896C35" w:rsidRPr="00F25B40">
        <w:rPr>
          <w:rFonts w:ascii="Arial" w:hAnsi="Arial" w:cs="Arial"/>
          <w:bCs/>
          <w:color w:val="000000" w:themeColor="text1"/>
          <w:sz w:val="20"/>
          <w:szCs w:val="20"/>
          <w:lang w:val="en-US"/>
        </w:rPr>
        <w:t xml:space="preserve"> using SHELXL </w:t>
      </w:r>
      <w:r w:rsidR="00252D5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{"citationID":"HpwssxPC","properties":{"formattedCitation":"(Sheldrick, 2015a)","plainCitation":"(Sheldrick, 2015a)","noteIndex":0},"citationItems":[{"id":103,"uris":["http://zotero.org/users/local/JzcqJHT8/items/IPGGRWGL"],"itemData":{"id":103,"type":"article-journal","abstract":"The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252D5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(Sheldrick, 2015a)</w:t>
      </w:r>
      <w:r w:rsidR="00252D5A" w:rsidRPr="00F25B40">
        <w:rPr>
          <w:rFonts w:ascii="Arial" w:hAnsi="Arial" w:cs="Arial"/>
          <w:bCs/>
          <w:color w:val="000000" w:themeColor="text1"/>
          <w:sz w:val="20"/>
          <w:szCs w:val="20"/>
          <w:lang w:val="en-US"/>
        </w:rPr>
        <w:fldChar w:fldCharType="end"/>
      </w:r>
      <w:r w:rsidR="00896C35" w:rsidRPr="00F25B40">
        <w:rPr>
          <w:rFonts w:ascii="Arial" w:hAnsi="Arial" w:cs="Arial"/>
          <w:bCs/>
          <w:color w:val="000000" w:themeColor="text1"/>
          <w:sz w:val="20"/>
          <w:szCs w:val="20"/>
          <w:lang w:val="en-US"/>
        </w:rPr>
        <w:t>.</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Non-hydrogen atoms were refined anisotropically. Hydrogen atoms were located from a di</w:t>
      </w:r>
      <w:r w:rsidR="00D06F04" w:rsidRPr="00F25B40">
        <w:rPr>
          <w:rFonts w:ascii="Arial" w:hAnsi="Arial" w:cs="Arial"/>
          <w:bCs/>
          <w:color w:val="000000" w:themeColor="text1"/>
          <w:sz w:val="20"/>
          <w:szCs w:val="20"/>
          <w:lang w:val="en-US"/>
        </w:rPr>
        <w:t>ffe</w:t>
      </w:r>
      <w:r w:rsidR="00896C35" w:rsidRPr="00F25B40">
        <w:rPr>
          <w:rFonts w:ascii="Arial" w:hAnsi="Arial" w:cs="Arial"/>
          <w:bCs/>
          <w:color w:val="000000" w:themeColor="text1"/>
          <w:sz w:val="20"/>
          <w:szCs w:val="20"/>
          <w:lang w:val="en-US"/>
        </w:rPr>
        <w:t>rence</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Fourier map. Hydrogen atoms were refined in the riding mode</w:t>
      </w:r>
      <w:r w:rsidR="007B51AF" w:rsidRPr="00F25B40">
        <w:rPr>
          <w:rFonts w:ascii="Arial" w:hAnsi="Arial" w:cs="Arial"/>
          <w:bCs/>
          <w:color w:val="000000" w:themeColor="text1"/>
          <w:sz w:val="20"/>
          <w:szCs w:val="20"/>
          <w:lang w:val="en-US"/>
        </w:rPr>
        <w:t>l</w:t>
      </w:r>
      <w:r w:rsidR="00896C35" w:rsidRPr="00F25B40">
        <w:rPr>
          <w:rFonts w:ascii="Arial" w:hAnsi="Arial" w:cs="Arial"/>
          <w:bCs/>
          <w:color w:val="000000" w:themeColor="text1"/>
          <w:sz w:val="20"/>
          <w:szCs w:val="20"/>
          <w:lang w:val="en-US"/>
        </w:rPr>
        <w:t xml:space="preserve"> with isotropic temperature factors</w:t>
      </w:r>
      <w:r w:rsidR="00A76067"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 xml:space="preserve">fixed at 1.2Ueq of the parent atoms (1.5Ueq for the </w:t>
      </w:r>
      <w:r w:rsidR="00A13FAC" w:rsidRPr="00F25B40">
        <w:rPr>
          <w:rFonts w:ascii="Arial" w:hAnsi="Arial" w:cs="Arial"/>
          <w:bCs/>
          <w:color w:val="000000" w:themeColor="text1"/>
          <w:sz w:val="20"/>
          <w:szCs w:val="20"/>
          <w:lang w:val="en-US"/>
        </w:rPr>
        <w:t>m</w:t>
      </w:r>
      <w:r w:rsidR="00896C35" w:rsidRPr="00F25B40">
        <w:rPr>
          <w:rFonts w:ascii="Arial" w:hAnsi="Arial" w:cs="Arial"/>
          <w:bCs/>
          <w:color w:val="000000" w:themeColor="text1"/>
          <w:sz w:val="20"/>
          <w:szCs w:val="20"/>
          <w:lang w:val="en-US"/>
        </w:rPr>
        <w:t>ethyl group).</w:t>
      </w:r>
      <w:r w:rsidR="006F3E84" w:rsidRPr="00F25B40">
        <w:rPr>
          <w:rFonts w:ascii="Arial" w:hAnsi="Arial" w:cs="Arial"/>
          <w:bCs/>
          <w:color w:val="000000" w:themeColor="text1"/>
          <w:sz w:val="20"/>
          <w:szCs w:val="20"/>
          <w:lang w:val="en-US"/>
        </w:rPr>
        <w:t> </w:t>
      </w:r>
      <w:r w:rsidR="00252D5A" w:rsidRPr="00F25B40">
        <w:rPr>
          <w:rFonts w:ascii="Arial" w:hAnsi="Arial" w:cs="Arial"/>
          <w:bCs/>
          <w:color w:val="000000" w:themeColor="text1"/>
          <w:sz w:val="20"/>
          <w:szCs w:val="20"/>
          <w:lang w:val="en-US"/>
        </w:rPr>
        <w:t xml:space="preserve"> </w:t>
      </w:r>
      <w:r w:rsidR="008F7411" w:rsidRPr="00F25B40">
        <w:rPr>
          <w:rFonts w:ascii="Arial" w:hAnsi="Arial" w:cs="Arial"/>
          <w:bCs/>
          <w:color w:val="000000" w:themeColor="text1"/>
          <w:sz w:val="20"/>
          <w:szCs w:val="20"/>
          <w:lang w:val="en-US"/>
        </w:rPr>
        <w:t>Molecular graphics were generated using ORTEP</w:t>
      </w:r>
      <w:r w:rsidR="000A163A" w:rsidRPr="00F25B40">
        <w:rPr>
          <w:rFonts w:ascii="Arial" w:hAnsi="Arial" w:cs="Arial"/>
          <w:bCs/>
          <w:color w:val="000000" w:themeColor="text1"/>
          <w:sz w:val="20"/>
          <w:szCs w:val="20"/>
          <w:lang w:val="en-US"/>
        </w:rPr>
        <w:t xml:space="preserve"> </w:t>
      </w:r>
      <w:r w:rsidR="000A163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{"citationID":"HdYReMbf","properties":{"formattedCitation":"(Farrugia, 2012)","plainCitation":"(Farrugia, 2012)","noteIndex":0},"citationItems":[{"id":1178,"uris":["http://zotero.org/users/local/JzcqJHT8/items/EDTM8Q6S"],"itemData":{"id":1178,"type":"article-journal","abstract":"The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0A163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(Farrugia, 2012)</w:t>
      </w:r>
      <w:r w:rsidR="000A163A" w:rsidRPr="00F25B40">
        <w:rPr>
          <w:rFonts w:ascii="Arial" w:hAnsi="Arial" w:cs="Arial"/>
          <w:bCs/>
          <w:color w:val="000000" w:themeColor="text1"/>
          <w:sz w:val="20"/>
          <w:szCs w:val="20"/>
          <w:lang w:val="en-US"/>
        </w:rPr>
        <w:fldChar w:fldCharType="end"/>
      </w:r>
      <w:r w:rsidR="000A163A" w:rsidRPr="00F25B40">
        <w:rPr>
          <w:rFonts w:ascii="Arial" w:hAnsi="Arial" w:cs="Arial"/>
          <w:bCs/>
          <w:color w:val="000000" w:themeColor="text1"/>
          <w:sz w:val="20"/>
          <w:szCs w:val="20"/>
          <w:lang w:val="en-US"/>
        </w:rPr>
        <w:t>.</w:t>
      </w:r>
    </w:p>
    <w:p w14:paraId="4C1212D6" w14:textId="5C89EBE7" w:rsidR="00303F43" w:rsidRPr="00F25B40" w:rsidRDefault="00081375" w:rsidP="005B484B">
      <w:pPr>
        <w:pStyle w:val="25-SciencePG-Table-caption-multiple-lines"/>
        <w:spacing w:before="0" w:after="120" w:line="240" w:lineRule="auto"/>
        <w:rPr>
          <w:rFonts w:ascii="Arial" w:hAnsi="Arial" w:cs="Arial"/>
          <w:b/>
          <w:i w:val="0"/>
          <w:iCs/>
          <w:snapToGrid w:val="0"/>
          <w:color w:val="000000" w:themeColor="text1"/>
          <w:sz w:val="20"/>
          <w:szCs w:val="20"/>
        </w:rPr>
      </w:pPr>
      <w:r w:rsidRPr="00F25B40">
        <w:rPr>
          <w:rFonts w:ascii="Arial" w:hAnsi="Arial" w:cs="Arial"/>
          <w:b/>
          <w:bCs/>
          <w:i w:val="0"/>
          <w:iCs/>
          <w:sz w:val="20"/>
          <w:szCs w:val="20"/>
        </w:rPr>
        <w:t>Table 1.</w:t>
      </w:r>
      <w:r w:rsidRPr="00F25B40">
        <w:rPr>
          <w:rFonts w:ascii="Arial" w:hAnsi="Arial" w:cs="Arial"/>
          <w:b/>
          <w:bCs/>
          <w:sz w:val="20"/>
          <w:szCs w:val="20"/>
        </w:rPr>
        <w:t xml:space="preserve"> </w:t>
      </w:r>
      <w:r w:rsidR="00303F43" w:rsidRPr="00F25B40">
        <w:rPr>
          <w:rFonts w:ascii="Arial" w:hAnsi="Arial" w:cs="Arial"/>
          <w:b/>
          <w:i w:val="0"/>
          <w:iCs/>
          <w:snapToGrid w:val="0"/>
          <w:color w:val="000000" w:themeColor="text1"/>
          <w:sz w:val="20"/>
          <w:szCs w:val="20"/>
        </w:rPr>
        <w:t>Crystallographic data and refinement parameter for the complex</w:t>
      </w:r>
      <w:r w:rsidR="009746C8" w:rsidRPr="00F25B40">
        <w:rPr>
          <w:rFonts w:ascii="Arial" w:hAnsi="Arial" w:cs="Arial"/>
          <w:b/>
          <w:i w:val="0"/>
          <w:iCs/>
          <w:snapToGrid w:val="0"/>
          <w:color w:val="000000" w:themeColor="text1"/>
          <w:sz w:val="20"/>
          <w:szCs w:val="20"/>
        </w:rPr>
        <w:t>es</w:t>
      </w:r>
      <w:r w:rsidR="00303F43" w:rsidRPr="00F25B40">
        <w:rPr>
          <w:rFonts w:ascii="Arial" w:hAnsi="Arial" w:cs="Arial"/>
          <w:b/>
          <w:i w:val="0"/>
          <w:iCs/>
          <w:snapToGrid w:val="0"/>
          <w:color w:val="000000" w:themeColor="text1"/>
          <w:sz w:val="20"/>
          <w:szCs w:val="20"/>
        </w:rPr>
        <w:t xml:space="preserve"> (1)</w:t>
      </w:r>
      <w:r w:rsidR="009746C8" w:rsidRPr="00F25B40">
        <w:rPr>
          <w:rFonts w:ascii="Arial" w:hAnsi="Arial" w:cs="Arial"/>
          <w:b/>
          <w:i w:val="0"/>
          <w:iCs/>
          <w:snapToGrid w:val="0"/>
          <w:color w:val="000000" w:themeColor="text1"/>
          <w:sz w:val="20"/>
          <w:szCs w:val="20"/>
        </w:rPr>
        <w:t xml:space="preserve"> et (2)</w:t>
      </w:r>
      <w:r w:rsidR="00303F43" w:rsidRPr="00F25B40">
        <w:rPr>
          <w:rFonts w:ascii="Arial" w:hAnsi="Arial" w:cs="Arial"/>
          <w:b/>
          <w:i w:val="0"/>
          <w:iCs/>
          <w:snapToGrid w:val="0"/>
          <w:color w:val="000000" w:themeColor="text1"/>
          <w:sz w:val="20"/>
          <w:szCs w:val="20"/>
        </w:rPr>
        <w:t>.</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553"/>
        <w:gridCol w:w="3260"/>
        <w:gridCol w:w="3259"/>
      </w:tblGrid>
      <w:tr w:rsidR="00081375" w:rsidRPr="00F25B40" w14:paraId="24A3D00B" w14:textId="77777777" w:rsidTr="0012715B">
        <w:trPr>
          <w:trHeight w:hRule="exact" w:val="340"/>
        </w:trPr>
        <w:tc>
          <w:tcPr>
            <w:tcW w:w="1407" w:type="pct"/>
            <w:tcBorders>
              <w:top w:val="single" w:sz="12" w:space="0" w:color="auto"/>
            </w:tcBorders>
            <w:shd w:val="clear" w:color="auto" w:fill="FFFFFF" w:themeFill="background1"/>
            <w:hideMark/>
          </w:tcPr>
          <w:p w14:paraId="263CE53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Chemical formula</w:t>
            </w:r>
          </w:p>
        </w:tc>
        <w:tc>
          <w:tcPr>
            <w:tcW w:w="1797" w:type="pct"/>
            <w:tcBorders>
              <w:top w:val="single" w:sz="12" w:space="0" w:color="auto"/>
            </w:tcBorders>
            <w:shd w:val="clear" w:color="auto" w:fill="FFFFFF" w:themeFill="background1"/>
            <w:hideMark/>
          </w:tcPr>
          <w:p w14:paraId="0932E63F" w14:textId="4EF52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w:t>
            </w:r>
            <w:r w:rsidRPr="00F25B40">
              <w:rPr>
                <w:rFonts w:ascii="Arial" w:eastAsia="Times New Roman" w:hAnsi="Arial" w:cs="Arial"/>
                <w:sz w:val="20"/>
                <w:szCs w:val="20"/>
                <w:vertAlign w:val="subscript"/>
                <w:lang w:val="en-US" w:eastAsia="fr-CA"/>
              </w:rPr>
              <w:t>14</w:t>
            </w:r>
            <w:r w:rsidRPr="00F25B40">
              <w:rPr>
                <w:rFonts w:ascii="Arial" w:eastAsia="Times New Roman" w:hAnsi="Arial" w:cs="Arial"/>
                <w:sz w:val="20"/>
                <w:szCs w:val="20"/>
                <w:lang w:val="en-US" w:eastAsia="fr-CA"/>
              </w:rPr>
              <w:t>H</w:t>
            </w:r>
            <w:r w:rsidRPr="00F25B40">
              <w:rPr>
                <w:rFonts w:ascii="Arial" w:eastAsia="Times New Roman" w:hAnsi="Arial" w:cs="Arial"/>
                <w:sz w:val="20"/>
                <w:szCs w:val="20"/>
                <w:vertAlign w:val="subscript"/>
                <w:lang w:val="en-US" w:eastAsia="fr-CA"/>
              </w:rPr>
              <w:t>18</w:t>
            </w:r>
            <w:r w:rsidRPr="00F25B40">
              <w:rPr>
                <w:rFonts w:ascii="Arial" w:eastAsia="Times New Roman" w:hAnsi="Arial" w:cs="Arial"/>
                <w:sz w:val="20"/>
                <w:szCs w:val="20"/>
                <w:lang w:val="en-US" w:eastAsia="fr-CA"/>
              </w:rPr>
              <w:t>CuN</w:t>
            </w:r>
            <w:r w:rsidRPr="00F25B40">
              <w:rPr>
                <w:rFonts w:ascii="Arial" w:eastAsia="Times New Roman" w:hAnsi="Arial" w:cs="Arial"/>
                <w:sz w:val="20"/>
                <w:szCs w:val="20"/>
                <w:vertAlign w:val="subscript"/>
                <w:lang w:val="en-US" w:eastAsia="fr-CA"/>
              </w:rPr>
              <w:t>4</w:t>
            </w:r>
            <w:r w:rsidRPr="00F25B40">
              <w:rPr>
                <w:rFonts w:ascii="Arial" w:eastAsia="Times New Roman" w:hAnsi="Arial" w:cs="Arial"/>
                <w:sz w:val="20"/>
                <w:szCs w:val="20"/>
                <w:lang w:val="en-US" w:eastAsia="fr-CA"/>
              </w:rPr>
              <w:t>O</w:t>
            </w:r>
            <w:r w:rsidRPr="00F25B40">
              <w:rPr>
                <w:rFonts w:ascii="Arial" w:eastAsia="Times New Roman" w:hAnsi="Arial" w:cs="Arial"/>
                <w:sz w:val="20"/>
                <w:szCs w:val="20"/>
                <w:vertAlign w:val="subscript"/>
                <w:lang w:val="en-US" w:eastAsia="fr-CA"/>
              </w:rPr>
              <w:t>4</w:t>
            </w:r>
            <w:r w:rsidR="005F6517" w:rsidRPr="00F25B40">
              <w:rPr>
                <w:rFonts w:ascii="Arial" w:eastAsia="Times New Roman" w:hAnsi="Arial" w:cs="Arial"/>
                <w:sz w:val="20"/>
                <w:szCs w:val="20"/>
                <w:lang w:val="en-US" w:eastAsia="fr-CA"/>
              </w:rPr>
              <w:t xml:space="preserve"> (</w:t>
            </w:r>
            <w:r w:rsidR="005F6517" w:rsidRPr="00F25B40">
              <w:rPr>
                <w:rFonts w:ascii="Arial" w:eastAsia="Times New Roman" w:hAnsi="Arial" w:cs="Arial"/>
                <w:b/>
                <w:bCs/>
                <w:sz w:val="20"/>
                <w:szCs w:val="20"/>
                <w:lang w:val="en-US" w:eastAsia="fr-CA"/>
              </w:rPr>
              <w:t>1</w:t>
            </w:r>
            <w:r w:rsidR="005F6517" w:rsidRPr="00F25B40">
              <w:rPr>
                <w:rFonts w:ascii="Arial" w:eastAsia="Times New Roman" w:hAnsi="Arial" w:cs="Arial"/>
                <w:sz w:val="20"/>
                <w:szCs w:val="20"/>
                <w:lang w:val="en-US" w:eastAsia="fr-CA"/>
              </w:rPr>
              <w:t>)</w:t>
            </w:r>
          </w:p>
        </w:tc>
        <w:tc>
          <w:tcPr>
            <w:tcW w:w="1796" w:type="pct"/>
            <w:tcBorders>
              <w:top w:val="single" w:sz="12" w:space="0" w:color="auto"/>
            </w:tcBorders>
            <w:shd w:val="clear" w:color="auto" w:fill="FFFFFF" w:themeFill="background1"/>
          </w:tcPr>
          <w:p w14:paraId="00B7C240" w14:textId="75175D2D"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w:t>
            </w:r>
            <w:r w:rsidRPr="00F25B40">
              <w:rPr>
                <w:rFonts w:ascii="Arial" w:eastAsia="Times New Roman" w:hAnsi="Arial" w:cs="Arial"/>
                <w:sz w:val="20"/>
                <w:szCs w:val="20"/>
                <w:vertAlign w:val="subscript"/>
                <w:lang w:val="en-US" w:eastAsia="fr-CA"/>
              </w:rPr>
              <w:t>13</w:t>
            </w:r>
            <w:r w:rsidRPr="00F25B40">
              <w:rPr>
                <w:rFonts w:ascii="Arial" w:eastAsia="Times New Roman" w:hAnsi="Arial" w:cs="Arial"/>
                <w:sz w:val="20"/>
                <w:szCs w:val="20"/>
                <w:lang w:val="en-US" w:eastAsia="fr-CA"/>
              </w:rPr>
              <w:t>H</w:t>
            </w:r>
            <w:r w:rsidRPr="00F25B40">
              <w:rPr>
                <w:rFonts w:ascii="Arial" w:eastAsia="Times New Roman" w:hAnsi="Arial" w:cs="Arial"/>
                <w:sz w:val="20"/>
                <w:szCs w:val="20"/>
                <w:vertAlign w:val="subscript"/>
                <w:lang w:val="en-US" w:eastAsia="fr-CA"/>
              </w:rPr>
              <w:t>18</w:t>
            </w:r>
            <w:r w:rsidRPr="00F25B40">
              <w:rPr>
                <w:rFonts w:ascii="Arial" w:eastAsia="Times New Roman" w:hAnsi="Arial" w:cs="Arial"/>
                <w:sz w:val="20"/>
                <w:szCs w:val="20"/>
                <w:lang w:val="en-US" w:eastAsia="fr-CA"/>
              </w:rPr>
              <w:t>ZnN</w:t>
            </w:r>
            <w:r w:rsidRPr="00F25B40">
              <w:rPr>
                <w:rFonts w:ascii="Arial" w:eastAsia="Times New Roman" w:hAnsi="Arial" w:cs="Arial"/>
                <w:sz w:val="20"/>
                <w:szCs w:val="20"/>
                <w:vertAlign w:val="subscript"/>
                <w:lang w:val="en-US" w:eastAsia="fr-CA"/>
              </w:rPr>
              <w:t>4</w:t>
            </w:r>
            <w:r w:rsidRPr="00F25B40">
              <w:rPr>
                <w:rFonts w:ascii="Arial" w:eastAsia="Times New Roman" w:hAnsi="Arial" w:cs="Arial"/>
                <w:sz w:val="20"/>
                <w:szCs w:val="20"/>
                <w:lang w:val="en-US" w:eastAsia="fr-CA"/>
              </w:rPr>
              <w:t>O</w:t>
            </w:r>
            <w:r w:rsidRPr="00F25B40">
              <w:rPr>
                <w:rFonts w:ascii="Arial" w:eastAsia="Times New Roman" w:hAnsi="Arial" w:cs="Arial"/>
                <w:sz w:val="20"/>
                <w:szCs w:val="20"/>
                <w:vertAlign w:val="subscript"/>
                <w:lang w:val="en-US" w:eastAsia="fr-CA"/>
              </w:rPr>
              <w:t>4</w:t>
            </w:r>
            <w:r w:rsidR="005F6517" w:rsidRPr="00F25B40">
              <w:rPr>
                <w:rFonts w:ascii="Arial" w:eastAsia="Times New Roman" w:hAnsi="Arial" w:cs="Arial"/>
                <w:sz w:val="20"/>
                <w:szCs w:val="20"/>
                <w:lang w:val="en-US" w:eastAsia="fr-CA"/>
              </w:rPr>
              <w:t xml:space="preserve"> (</w:t>
            </w:r>
            <w:r w:rsidR="005F6517" w:rsidRPr="00F25B40">
              <w:rPr>
                <w:rFonts w:ascii="Arial" w:eastAsia="Times New Roman" w:hAnsi="Arial" w:cs="Arial"/>
                <w:b/>
                <w:bCs/>
                <w:sz w:val="20"/>
                <w:szCs w:val="20"/>
                <w:lang w:val="en-US" w:eastAsia="fr-CA"/>
              </w:rPr>
              <w:t>2</w:t>
            </w:r>
            <w:r w:rsidR="005F6517" w:rsidRPr="00F25B40">
              <w:rPr>
                <w:rFonts w:ascii="Arial" w:eastAsia="Times New Roman" w:hAnsi="Arial" w:cs="Arial"/>
                <w:sz w:val="20"/>
                <w:szCs w:val="20"/>
                <w:lang w:val="en-US" w:eastAsia="fr-CA"/>
              </w:rPr>
              <w:t>)</w:t>
            </w:r>
          </w:p>
        </w:tc>
      </w:tr>
      <w:tr w:rsidR="00081375" w:rsidRPr="00F25B40" w14:paraId="5A84D7B3" w14:textId="77777777" w:rsidTr="0012715B">
        <w:trPr>
          <w:trHeight w:hRule="exact" w:val="340"/>
        </w:trPr>
        <w:tc>
          <w:tcPr>
            <w:tcW w:w="1407" w:type="pct"/>
            <w:shd w:val="clear" w:color="auto" w:fill="FFFFFF" w:themeFill="background1"/>
            <w:hideMark/>
          </w:tcPr>
          <w:p w14:paraId="3B70F1B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M</w:t>
            </w:r>
            <w:r w:rsidRPr="00F25B40">
              <w:rPr>
                <w:rFonts w:ascii="Arial" w:eastAsia="Times New Roman" w:hAnsi="Arial" w:cs="Arial"/>
                <w:sz w:val="20"/>
                <w:szCs w:val="20"/>
                <w:vertAlign w:val="subscript"/>
                <w:lang w:val="en-US" w:eastAsia="fr-CA"/>
              </w:rPr>
              <w:t>r</w:t>
            </w:r>
            <w:proofErr w:type="spellEnd"/>
          </w:p>
        </w:tc>
        <w:tc>
          <w:tcPr>
            <w:tcW w:w="1797" w:type="pct"/>
            <w:shd w:val="clear" w:color="auto" w:fill="FFFFFF" w:themeFill="background1"/>
            <w:hideMark/>
          </w:tcPr>
          <w:p w14:paraId="76F5D5E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369.86</w:t>
            </w:r>
          </w:p>
        </w:tc>
        <w:tc>
          <w:tcPr>
            <w:tcW w:w="1796" w:type="pct"/>
            <w:shd w:val="clear" w:color="auto" w:fill="FFFFFF" w:themeFill="background1"/>
          </w:tcPr>
          <w:p w14:paraId="501BEDF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359.68</w:t>
            </w:r>
          </w:p>
        </w:tc>
      </w:tr>
      <w:tr w:rsidR="00081375" w:rsidRPr="00F25B40" w14:paraId="267BBDDE" w14:textId="77777777" w:rsidTr="0012715B">
        <w:trPr>
          <w:trHeight w:hRule="exact" w:val="340"/>
        </w:trPr>
        <w:tc>
          <w:tcPr>
            <w:tcW w:w="1407" w:type="pct"/>
            <w:shd w:val="clear" w:color="auto" w:fill="FFFFFF" w:themeFill="background1"/>
            <w:hideMark/>
          </w:tcPr>
          <w:p w14:paraId="3553C5FE" w14:textId="0C98E65D"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Crystal system</w:t>
            </w:r>
          </w:p>
        </w:tc>
        <w:tc>
          <w:tcPr>
            <w:tcW w:w="1797" w:type="pct"/>
            <w:shd w:val="clear" w:color="auto" w:fill="FFFFFF" w:themeFill="background1"/>
            <w:hideMark/>
          </w:tcPr>
          <w:p w14:paraId="69DF848D" w14:textId="2DE1B6F5"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Tetragonal</w:t>
            </w:r>
          </w:p>
        </w:tc>
        <w:tc>
          <w:tcPr>
            <w:tcW w:w="1796" w:type="pct"/>
            <w:shd w:val="clear" w:color="auto" w:fill="FFFFFF" w:themeFill="background1"/>
          </w:tcPr>
          <w:p w14:paraId="3EED08EA" w14:textId="0BB8008C"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Monoclinic</w:t>
            </w:r>
          </w:p>
        </w:tc>
      </w:tr>
      <w:tr w:rsidR="00925373" w:rsidRPr="00F25B40" w14:paraId="58382ACD" w14:textId="77777777" w:rsidTr="0012715B">
        <w:trPr>
          <w:trHeight w:hRule="exact" w:val="340"/>
        </w:trPr>
        <w:tc>
          <w:tcPr>
            <w:tcW w:w="1407" w:type="pct"/>
            <w:shd w:val="clear" w:color="auto" w:fill="FFFFFF" w:themeFill="background1"/>
          </w:tcPr>
          <w:p w14:paraId="3F6420D5" w14:textId="5CD8900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Space group</w:t>
            </w:r>
          </w:p>
        </w:tc>
        <w:tc>
          <w:tcPr>
            <w:tcW w:w="1797" w:type="pct"/>
            <w:shd w:val="clear" w:color="auto" w:fill="FFFFFF" w:themeFill="background1"/>
          </w:tcPr>
          <w:p w14:paraId="7F4C61EB" w14:textId="2C9F5C52"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I</w:t>
            </w:r>
            <w:r w:rsidRPr="00F25B40">
              <w:rPr>
                <w:rFonts w:ascii="Arial" w:eastAsia="Times New Roman" w:hAnsi="Arial" w:cs="Arial"/>
                <w:sz w:val="20"/>
                <w:szCs w:val="20"/>
                <w:lang w:val="en-US" w:eastAsia="fr-CA"/>
              </w:rPr>
              <w:t>4</w:t>
            </w:r>
            <w:r w:rsidRPr="00F25B40">
              <w:rPr>
                <w:rFonts w:ascii="Arial" w:eastAsia="Times New Roman" w:hAnsi="Arial" w:cs="Arial"/>
                <w:sz w:val="20"/>
                <w:szCs w:val="20"/>
                <w:vertAlign w:val="subscript"/>
                <w:lang w:val="en-US" w:eastAsia="fr-CA"/>
              </w:rPr>
              <w:t>1</w:t>
            </w:r>
            <w:r w:rsidRPr="00F25B40">
              <w:rPr>
                <w:rFonts w:ascii="Arial" w:eastAsia="Times New Roman" w:hAnsi="Arial" w:cs="Arial"/>
                <w:i/>
                <w:iCs/>
                <w:sz w:val="20"/>
                <w:szCs w:val="20"/>
                <w:lang w:val="en-US" w:eastAsia="fr-CA"/>
              </w:rPr>
              <w:t>cd</w:t>
            </w:r>
          </w:p>
        </w:tc>
        <w:tc>
          <w:tcPr>
            <w:tcW w:w="1796" w:type="pct"/>
            <w:shd w:val="clear" w:color="auto" w:fill="FFFFFF" w:themeFill="background1"/>
          </w:tcPr>
          <w:p w14:paraId="30556CB5" w14:textId="3B7F12EA"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P</w:t>
            </w:r>
            <w:r w:rsidRPr="00F25B40">
              <w:rPr>
                <w:rFonts w:ascii="Arial" w:eastAsia="Times New Roman" w:hAnsi="Arial" w:cs="Arial"/>
                <w:sz w:val="20"/>
                <w:szCs w:val="20"/>
                <w:lang w:val="en-US" w:eastAsia="fr-CA"/>
              </w:rPr>
              <w:t>2</w:t>
            </w:r>
            <w:r w:rsidRPr="00F25B40">
              <w:rPr>
                <w:rFonts w:ascii="Arial" w:eastAsia="Times New Roman" w:hAnsi="Arial" w:cs="Arial"/>
                <w:sz w:val="20"/>
                <w:szCs w:val="20"/>
                <w:vertAlign w:val="subscript"/>
                <w:lang w:val="en-US" w:eastAsia="fr-CA"/>
              </w:rPr>
              <w:t>1</w:t>
            </w:r>
            <w:r w:rsidRPr="00F25B40">
              <w:rPr>
                <w:rFonts w:ascii="Arial" w:eastAsia="Times New Roman" w:hAnsi="Arial" w:cs="Arial"/>
                <w:sz w:val="20"/>
                <w:szCs w:val="20"/>
                <w:lang w:val="en-US" w:eastAsia="fr-CA"/>
              </w:rPr>
              <w:t>/n</w:t>
            </w:r>
          </w:p>
        </w:tc>
      </w:tr>
      <w:tr w:rsidR="00081375" w:rsidRPr="00F25B40" w14:paraId="3CF81169" w14:textId="77777777" w:rsidTr="0012715B">
        <w:trPr>
          <w:trHeight w:hRule="exact" w:val="340"/>
        </w:trPr>
        <w:tc>
          <w:tcPr>
            <w:tcW w:w="1407" w:type="pct"/>
            <w:shd w:val="clear" w:color="auto" w:fill="FFFFFF" w:themeFill="background1"/>
            <w:hideMark/>
          </w:tcPr>
          <w:p w14:paraId="742FC4B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Temperature (K)</w:t>
            </w:r>
          </w:p>
        </w:tc>
        <w:tc>
          <w:tcPr>
            <w:tcW w:w="1797" w:type="pct"/>
            <w:shd w:val="clear" w:color="auto" w:fill="FFFFFF" w:themeFill="background1"/>
            <w:hideMark/>
          </w:tcPr>
          <w:p w14:paraId="679A7CD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297</w:t>
            </w:r>
          </w:p>
        </w:tc>
        <w:tc>
          <w:tcPr>
            <w:tcW w:w="1796" w:type="pct"/>
            <w:shd w:val="clear" w:color="auto" w:fill="FFFFFF" w:themeFill="background1"/>
          </w:tcPr>
          <w:p w14:paraId="2CB5292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100</w:t>
            </w:r>
          </w:p>
        </w:tc>
      </w:tr>
      <w:tr w:rsidR="00081375" w:rsidRPr="00F25B40" w14:paraId="530D6269" w14:textId="77777777" w:rsidTr="0012715B">
        <w:trPr>
          <w:trHeight w:hRule="exact" w:val="340"/>
        </w:trPr>
        <w:tc>
          <w:tcPr>
            <w:tcW w:w="1407" w:type="pct"/>
            <w:shd w:val="clear" w:color="auto" w:fill="FFFFFF" w:themeFill="background1"/>
            <w:hideMark/>
          </w:tcPr>
          <w:p w14:paraId="13C0BFF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a</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hideMark/>
          </w:tcPr>
          <w:p w14:paraId="6492146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16.01880 (14)</w:t>
            </w:r>
          </w:p>
        </w:tc>
        <w:tc>
          <w:tcPr>
            <w:tcW w:w="1796" w:type="pct"/>
            <w:shd w:val="clear" w:color="auto" w:fill="FFFFFF" w:themeFill="background1"/>
          </w:tcPr>
          <w:p w14:paraId="5325251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7.2539 (2)</w:t>
            </w:r>
          </w:p>
        </w:tc>
      </w:tr>
      <w:tr w:rsidR="00081375" w:rsidRPr="00F25B40" w14:paraId="1478EB28" w14:textId="77777777" w:rsidTr="0012715B">
        <w:trPr>
          <w:trHeight w:hRule="exact" w:val="340"/>
        </w:trPr>
        <w:tc>
          <w:tcPr>
            <w:tcW w:w="1407" w:type="pct"/>
            <w:shd w:val="clear" w:color="auto" w:fill="FFFFFF" w:themeFill="background1"/>
          </w:tcPr>
          <w:p w14:paraId="43853BAC" w14:textId="77777777" w:rsidR="00081375" w:rsidRPr="00F25B40" w:rsidRDefault="00081375"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t>b</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tcPr>
          <w:p w14:paraId="694F140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
        </w:tc>
        <w:tc>
          <w:tcPr>
            <w:tcW w:w="1796" w:type="pct"/>
            <w:shd w:val="clear" w:color="auto" w:fill="FFFFFF" w:themeFill="background1"/>
          </w:tcPr>
          <w:p w14:paraId="19C0CCAE"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25.1372 (7)</w:t>
            </w:r>
          </w:p>
        </w:tc>
      </w:tr>
      <w:tr w:rsidR="00081375" w:rsidRPr="00F25B40" w14:paraId="153F00D3" w14:textId="77777777" w:rsidTr="0012715B">
        <w:trPr>
          <w:trHeight w:hRule="exact" w:val="340"/>
        </w:trPr>
        <w:tc>
          <w:tcPr>
            <w:tcW w:w="1407" w:type="pct"/>
            <w:shd w:val="clear" w:color="auto" w:fill="FFFFFF" w:themeFill="background1"/>
          </w:tcPr>
          <w:p w14:paraId="7DE21CFE" w14:textId="77777777" w:rsidR="00081375" w:rsidRPr="00F25B40" w:rsidRDefault="00081375"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t>c</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tcPr>
          <w:p w14:paraId="667F36B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26.1287 (4)</w:t>
            </w:r>
          </w:p>
        </w:tc>
        <w:tc>
          <w:tcPr>
            <w:tcW w:w="1796" w:type="pct"/>
            <w:shd w:val="clear" w:color="auto" w:fill="FFFFFF" w:themeFill="background1"/>
          </w:tcPr>
          <w:p w14:paraId="3962901A"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9.0422 (3)</w:t>
            </w:r>
          </w:p>
        </w:tc>
      </w:tr>
      <w:tr w:rsidR="00081375" w:rsidRPr="00F25B40" w14:paraId="3E53CA14" w14:textId="77777777" w:rsidTr="0012715B">
        <w:trPr>
          <w:trHeight w:hRule="exact" w:val="340"/>
        </w:trPr>
        <w:tc>
          <w:tcPr>
            <w:tcW w:w="1407" w:type="pct"/>
            <w:shd w:val="clear" w:color="auto" w:fill="FFFFFF" w:themeFill="background1"/>
            <w:hideMark/>
          </w:tcPr>
          <w:p w14:paraId="2D0F6E2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V</w:t>
            </w:r>
            <w:r w:rsidRPr="00F25B40">
              <w:rPr>
                <w:rFonts w:ascii="Arial" w:eastAsia="Times New Roman" w:hAnsi="Arial" w:cs="Arial"/>
                <w:sz w:val="20"/>
                <w:szCs w:val="20"/>
                <w:lang w:val="en-US" w:eastAsia="fr-CA"/>
              </w:rPr>
              <w:t xml:space="preserve"> (Å</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44019D4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6704.67 (16)</w:t>
            </w:r>
          </w:p>
        </w:tc>
        <w:tc>
          <w:tcPr>
            <w:tcW w:w="1796" w:type="pct"/>
            <w:shd w:val="clear" w:color="auto" w:fill="FFFFFF" w:themeFill="background1"/>
          </w:tcPr>
          <w:p w14:paraId="0CFC18E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1530.43 (8)</w:t>
            </w:r>
          </w:p>
        </w:tc>
      </w:tr>
      <w:tr w:rsidR="00271E70" w:rsidRPr="00F25B40" w14:paraId="38B56EEA" w14:textId="77777777" w:rsidTr="0012715B">
        <w:trPr>
          <w:trHeight w:hRule="exact" w:val="340"/>
        </w:trPr>
        <w:tc>
          <w:tcPr>
            <w:tcW w:w="1407" w:type="pct"/>
            <w:shd w:val="clear" w:color="auto" w:fill="FFFFFF" w:themeFill="background1"/>
          </w:tcPr>
          <w:p w14:paraId="35D45BA6" w14:textId="30F0F37A" w:rsidR="00271E70" w:rsidRPr="00F25B40" w:rsidRDefault="00271E70"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sym w:font="Symbol" w:char="F061"/>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2ECCB12B" w14:textId="1130CEF4" w:rsidR="00271E70" w:rsidRPr="00F25B40" w:rsidRDefault="0058710D"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c>
          <w:tcPr>
            <w:tcW w:w="1796" w:type="pct"/>
            <w:shd w:val="clear" w:color="auto" w:fill="FFFFFF" w:themeFill="background1"/>
          </w:tcPr>
          <w:p w14:paraId="7DB58B7E" w14:textId="3D7BC9DE" w:rsidR="00271E70" w:rsidRPr="00F25B40" w:rsidRDefault="00C925FC"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r>
      <w:tr w:rsidR="00271E70" w:rsidRPr="00F25B40" w14:paraId="46D5DBA3" w14:textId="77777777" w:rsidTr="0012715B">
        <w:trPr>
          <w:trHeight w:hRule="exact" w:val="340"/>
        </w:trPr>
        <w:tc>
          <w:tcPr>
            <w:tcW w:w="1407" w:type="pct"/>
            <w:shd w:val="clear" w:color="auto" w:fill="FFFFFF" w:themeFill="background1"/>
          </w:tcPr>
          <w:p w14:paraId="236CD084" w14:textId="430C8D87" w:rsidR="00271E70" w:rsidRPr="00F25B40" w:rsidRDefault="00271E70"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sym w:font="Symbol" w:char="F062"/>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208812B3" w14:textId="77777777" w:rsidR="00271E70" w:rsidRPr="00F25B40" w:rsidRDefault="00271E70" w:rsidP="00A57067">
            <w:pPr>
              <w:spacing w:after="0" w:line="240" w:lineRule="auto"/>
              <w:jc w:val="both"/>
              <w:rPr>
                <w:rFonts w:ascii="Arial" w:eastAsia="Times New Roman" w:hAnsi="Arial" w:cs="Arial"/>
                <w:sz w:val="20"/>
                <w:szCs w:val="20"/>
                <w:lang w:val="en-US" w:eastAsia="fr-CA"/>
              </w:rPr>
            </w:pPr>
          </w:p>
        </w:tc>
        <w:tc>
          <w:tcPr>
            <w:tcW w:w="1796" w:type="pct"/>
            <w:shd w:val="clear" w:color="auto" w:fill="FFFFFF" w:themeFill="background1"/>
          </w:tcPr>
          <w:p w14:paraId="1F422017" w14:textId="6BCF0D41" w:rsidR="00271E70" w:rsidRPr="00F25B40" w:rsidRDefault="00A418F6"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111.8405(</w:t>
            </w:r>
            <w:r w:rsidR="00C925FC" w:rsidRPr="00F25B40">
              <w:rPr>
                <w:rFonts w:ascii="Arial" w:eastAsia="Times New Roman" w:hAnsi="Arial" w:cs="Arial"/>
                <w:sz w:val="20"/>
                <w:szCs w:val="20"/>
                <w:lang w:val="en-US" w:eastAsia="fr-CA"/>
              </w:rPr>
              <w:t>8)</w:t>
            </w:r>
          </w:p>
        </w:tc>
      </w:tr>
      <w:tr w:rsidR="00271E70" w:rsidRPr="00F25B40" w14:paraId="1D6854F9" w14:textId="77777777" w:rsidTr="0012715B">
        <w:trPr>
          <w:trHeight w:hRule="exact" w:val="340"/>
        </w:trPr>
        <w:tc>
          <w:tcPr>
            <w:tcW w:w="1407" w:type="pct"/>
            <w:shd w:val="clear" w:color="auto" w:fill="FFFFFF" w:themeFill="background1"/>
          </w:tcPr>
          <w:p w14:paraId="1557C86B" w14:textId="72689F00" w:rsidR="00271E70" w:rsidRPr="00F25B40" w:rsidRDefault="00271E70"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sym w:font="Symbol" w:char="F067"/>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63B0804B" w14:textId="0933F782" w:rsidR="00271E70" w:rsidRPr="00F25B40" w:rsidRDefault="0058710D"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c>
          <w:tcPr>
            <w:tcW w:w="1796" w:type="pct"/>
            <w:shd w:val="clear" w:color="auto" w:fill="FFFFFF" w:themeFill="background1"/>
          </w:tcPr>
          <w:p w14:paraId="0536ABC5" w14:textId="716940EB" w:rsidR="00271E70" w:rsidRPr="00F25B40" w:rsidRDefault="00C925FC"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r>
      <w:tr w:rsidR="00081375" w:rsidRPr="00F25B40" w14:paraId="48F0BA5A" w14:textId="77777777" w:rsidTr="0012715B">
        <w:trPr>
          <w:trHeight w:hRule="exact" w:val="340"/>
        </w:trPr>
        <w:tc>
          <w:tcPr>
            <w:tcW w:w="1407" w:type="pct"/>
            <w:shd w:val="clear" w:color="auto" w:fill="FFFFFF" w:themeFill="background1"/>
            <w:hideMark/>
          </w:tcPr>
          <w:p w14:paraId="2F7C46A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Z</w:t>
            </w:r>
          </w:p>
        </w:tc>
        <w:tc>
          <w:tcPr>
            <w:tcW w:w="1797" w:type="pct"/>
            <w:shd w:val="clear" w:color="auto" w:fill="FFFFFF" w:themeFill="background1"/>
            <w:hideMark/>
          </w:tcPr>
          <w:p w14:paraId="4DAEF890"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w:t>
            </w:r>
          </w:p>
        </w:tc>
        <w:tc>
          <w:tcPr>
            <w:tcW w:w="1796" w:type="pct"/>
            <w:shd w:val="clear" w:color="auto" w:fill="FFFFFF" w:themeFill="background1"/>
          </w:tcPr>
          <w:p w14:paraId="4C82973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4</w:t>
            </w:r>
          </w:p>
        </w:tc>
      </w:tr>
      <w:tr w:rsidR="00925373" w:rsidRPr="00F25B40" w14:paraId="5D6D1C71" w14:textId="77777777" w:rsidTr="0012715B">
        <w:trPr>
          <w:trHeight w:hRule="exact" w:val="340"/>
        </w:trPr>
        <w:tc>
          <w:tcPr>
            <w:tcW w:w="1407" w:type="pct"/>
            <w:shd w:val="clear" w:color="auto" w:fill="FFFFFF" w:themeFill="background1"/>
          </w:tcPr>
          <w:p w14:paraId="04911595" w14:textId="72D9F6C1" w:rsidR="00925373" w:rsidRPr="00F25B40" w:rsidRDefault="00925373"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D</w:t>
            </w:r>
            <w:r w:rsidRPr="00F25B40">
              <w:rPr>
                <w:rFonts w:ascii="Arial" w:eastAsia="Times New Roman" w:hAnsi="Arial" w:cs="Arial"/>
                <w:sz w:val="20"/>
                <w:szCs w:val="20"/>
                <w:vertAlign w:val="subscript"/>
                <w:lang w:val="en-US" w:eastAsia="fr-CA"/>
              </w:rPr>
              <w:t>calc</w:t>
            </w:r>
            <w:proofErr w:type="spellEnd"/>
            <w:r w:rsidRPr="00F25B40">
              <w:rPr>
                <w:rFonts w:ascii="Arial" w:eastAsia="Times New Roman" w:hAnsi="Arial" w:cs="Arial"/>
                <w:sz w:val="20"/>
                <w:szCs w:val="20"/>
                <w:lang w:val="en-US" w:eastAsia="fr-CA"/>
              </w:rPr>
              <w:t xml:space="preserve"> (g cm</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shd w:val="clear" w:color="auto" w:fill="FFFFFF" w:themeFill="background1"/>
          </w:tcPr>
          <w:p w14:paraId="4CF59E6A" w14:textId="31C3D5A4"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1.466</w:t>
            </w:r>
          </w:p>
        </w:tc>
        <w:tc>
          <w:tcPr>
            <w:tcW w:w="1796" w:type="pct"/>
            <w:shd w:val="clear" w:color="auto" w:fill="FFFFFF" w:themeFill="background1"/>
          </w:tcPr>
          <w:p w14:paraId="05CB2593" w14:textId="14B6B8AC"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1.561</w:t>
            </w:r>
          </w:p>
        </w:tc>
      </w:tr>
      <w:tr w:rsidR="00081375" w:rsidRPr="00F25B40" w14:paraId="1D4C61C8" w14:textId="77777777" w:rsidTr="0012715B">
        <w:trPr>
          <w:trHeight w:hRule="exact" w:val="340"/>
        </w:trPr>
        <w:tc>
          <w:tcPr>
            <w:tcW w:w="1407" w:type="pct"/>
            <w:shd w:val="clear" w:color="auto" w:fill="FFFFFF" w:themeFill="background1"/>
            <w:hideMark/>
          </w:tcPr>
          <w:p w14:paraId="5629FB9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Radiation type</w:t>
            </w:r>
          </w:p>
        </w:tc>
        <w:tc>
          <w:tcPr>
            <w:tcW w:w="1797" w:type="pct"/>
            <w:shd w:val="clear" w:color="auto" w:fill="FFFFFF" w:themeFill="background1"/>
            <w:hideMark/>
          </w:tcPr>
          <w:p w14:paraId="23A4C098"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Cu </w:t>
            </w:r>
            <w:r w:rsidRPr="00F25B40">
              <w:rPr>
                <w:rFonts w:ascii="Arial" w:eastAsia="Times New Roman" w:hAnsi="Arial" w:cs="Arial"/>
                <w:i/>
                <w:iCs/>
                <w:sz w:val="20"/>
                <w:szCs w:val="20"/>
                <w:lang w:val="en-US" w:eastAsia="fr-CA"/>
              </w:rPr>
              <w:t>K</w:t>
            </w:r>
            <w:r w:rsidRPr="00F25B40">
              <w:rPr>
                <w:rFonts w:ascii="Arial" w:eastAsia="Times New Roman" w:hAnsi="Arial" w:cs="Arial"/>
                <w:sz w:val="20"/>
                <w:szCs w:val="20"/>
                <w:lang w:val="en-US" w:eastAsia="fr-CA"/>
              </w:rPr>
              <w:t>α</w:t>
            </w:r>
          </w:p>
        </w:tc>
        <w:tc>
          <w:tcPr>
            <w:tcW w:w="1796" w:type="pct"/>
            <w:shd w:val="clear" w:color="auto" w:fill="FFFFFF" w:themeFill="background1"/>
          </w:tcPr>
          <w:p w14:paraId="027D55A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Cu </w:t>
            </w:r>
            <w:r w:rsidRPr="00F25B40">
              <w:rPr>
                <w:rFonts w:ascii="Arial" w:eastAsia="Times New Roman" w:hAnsi="Arial" w:cs="Arial"/>
                <w:i/>
                <w:iCs/>
                <w:sz w:val="20"/>
                <w:szCs w:val="20"/>
                <w:lang w:val="en-US" w:eastAsia="fr-CA"/>
              </w:rPr>
              <w:t>K</w:t>
            </w:r>
            <w:r w:rsidRPr="00F25B40">
              <w:rPr>
                <w:rFonts w:ascii="Arial" w:eastAsia="Times New Roman" w:hAnsi="Arial" w:cs="Arial"/>
                <w:sz w:val="20"/>
                <w:szCs w:val="20"/>
                <w:lang w:val="en-US" w:eastAsia="fr-CA"/>
              </w:rPr>
              <w:t>α</w:t>
            </w:r>
          </w:p>
        </w:tc>
      </w:tr>
      <w:tr w:rsidR="00081375" w:rsidRPr="00F25B40" w14:paraId="47A1168C" w14:textId="77777777" w:rsidTr="0012715B">
        <w:trPr>
          <w:trHeight w:hRule="exact" w:val="340"/>
        </w:trPr>
        <w:tc>
          <w:tcPr>
            <w:tcW w:w="1407" w:type="pct"/>
            <w:shd w:val="clear" w:color="auto" w:fill="FFFFFF" w:themeFill="background1"/>
            <w:hideMark/>
          </w:tcPr>
          <w:p w14:paraId="164FF54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µ (mm</w:t>
            </w:r>
            <w:r w:rsidRPr="00F25B40">
              <w:rPr>
                <w:rFonts w:ascii="Arial" w:eastAsia="Times New Roman" w:hAnsi="Arial" w:cs="Arial"/>
                <w:sz w:val="20"/>
                <w:szCs w:val="20"/>
                <w:vertAlign w:val="superscript"/>
                <w:lang w:val="en-US" w:eastAsia="fr-CA"/>
              </w:rPr>
              <w:t>−1</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1481511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2.06</w:t>
            </w:r>
          </w:p>
        </w:tc>
        <w:tc>
          <w:tcPr>
            <w:tcW w:w="1796" w:type="pct"/>
            <w:shd w:val="clear" w:color="auto" w:fill="FFFFFF" w:themeFill="background1"/>
          </w:tcPr>
          <w:p w14:paraId="40102D2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2.45</w:t>
            </w:r>
          </w:p>
        </w:tc>
      </w:tr>
      <w:tr w:rsidR="00081375" w:rsidRPr="00F25B40" w14:paraId="743DA827" w14:textId="77777777" w:rsidTr="0012715B">
        <w:trPr>
          <w:trHeight w:hRule="exact" w:val="340"/>
        </w:trPr>
        <w:tc>
          <w:tcPr>
            <w:tcW w:w="1407" w:type="pct"/>
            <w:shd w:val="clear" w:color="auto" w:fill="FFFFFF" w:themeFill="background1"/>
            <w:hideMark/>
          </w:tcPr>
          <w:p w14:paraId="09EAC97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Crystal size (mm)</w:t>
            </w:r>
          </w:p>
        </w:tc>
        <w:tc>
          <w:tcPr>
            <w:tcW w:w="1797" w:type="pct"/>
            <w:shd w:val="clear" w:color="auto" w:fill="FFFFFF" w:themeFill="background1"/>
            <w:hideMark/>
          </w:tcPr>
          <w:p w14:paraId="0F405E9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0.23 × 0.17 × 0.15</w:t>
            </w:r>
          </w:p>
        </w:tc>
        <w:tc>
          <w:tcPr>
            <w:tcW w:w="1796" w:type="pct"/>
            <w:shd w:val="clear" w:color="auto" w:fill="FFFFFF" w:themeFill="background1"/>
          </w:tcPr>
          <w:p w14:paraId="337A41DE"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0.35 × 0.14 × 0.08</w:t>
            </w:r>
          </w:p>
        </w:tc>
      </w:tr>
      <w:tr w:rsidR="00081375" w:rsidRPr="00F25B40" w14:paraId="2B4AD11B" w14:textId="77777777" w:rsidTr="0012715B">
        <w:trPr>
          <w:trHeight w:hRule="exact" w:val="340"/>
        </w:trPr>
        <w:tc>
          <w:tcPr>
            <w:tcW w:w="1407" w:type="pct"/>
            <w:shd w:val="clear" w:color="auto" w:fill="FFFFFF" w:themeFill="background1"/>
            <w:hideMark/>
          </w:tcPr>
          <w:p w14:paraId="735F4FC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T</w:t>
            </w:r>
            <w:r w:rsidRPr="00F25B40">
              <w:rPr>
                <w:rFonts w:ascii="Arial" w:eastAsia="Times New Roman" w:hAnsi="Arial" w:cs="Arial"/>
                <w:sz w:val="20"/>
                <w:szCs w:val="20"/>
                <w:vertAlign w:val="subscript"/>
                <w:lang w:val="en-US" w:eastAsia="fr-CA"/>
              </w:rPr>
              <w:t>min</w:t>
            </w:r>
            <w:proofErr w:type="spellEnd"/>
            <w:r w:rsidRPr="00F25B40">
              <w:rPr>
                <w:rFonts w:ascii="Arial" w:eastAsia="Times New Roman" w:hAnsi="Arial" w:cs="Arial"/>
                <w:sz w:val="20"/>
                <w:szCs w:val="20"/>
                <w:lang w:val="en-US" w:eastAsia="fr-CA"/>
              </w:rPr>
              <w:t xml:space="preserve">, </w:t>
            </w:r>
            <w:proofErr w:type="spellStart"/>
            <w:r w:rsidRPr="00F25B40">
              <w:rPr>
                <w:rFonts w:ascii="Arial" w:eastAsia="Times New Roman" w:hAnsi="Arial" w:cs="Arial"/>
                <w:i/>
                <w:iCs/>
                <w:sz w:val="20"/>
                <w:szCs w:val="20"/>
                <w:lang w:val="en-US" w:eastAsia="fr-CA"/>
              </w:rPr>
              <w:t>T</w:t>
            </w:r>
            <w:r w:rsidRPr="00F25B40">
              <w:rPr>
                <w:rFonts w:ascii="Arial" w:eastAsia="Times New Roman" w:hAnsi="Arial" w:cs="Arial"/>
                <w:sz w:val="20"/>
                <w:szCs w:val="20"/>
                <w:vertAlign w:val="subscript"/>
                <w:lang w:val="en-US" w:eastAsia="fr-CA"/>
              </w:rPr>
              <w:t>max</w:t>
            </w:r>
            <w:proofErr w:type="spellEnd"/>
          </w:p>
        </w:tc>
        <w:tc>
          <w:tcPr>
            <w:tcW w:w="1797" w:type="pct"/>
            <w:shd w:val="clear" w:color="auto" w:fill="FFFFFF" w:themeFill="background1"/>
            <w:hideMark/>
          </w:tcPr>
          <w:p w14:paraId="2A838FCF"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0.648, 0.747</w:t>
            </w:r>
          </w:p>
        </w:tc>
        <w:tc>
          <w:tcPr>
            <w:tcW w:w="1796" w:type="pct"/>
            <w:shd w:val="clear" w:color="auto" w:fill="FFFFFF" w:themeFill="background1"/>
          </w:tcPr>
          <w:p w14:paraId="1430B2DF"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0.481, 0.821</w:t>
            </w:r>
          </w:p>
        </w:tc>
      </w:tr>
      <w:tr w:rsidR="00081375" w:rsidRPr="00F25B40" w14:paraId="0F6D0730" w14:textId="77777777" w:rsidTr="0012715B">
        <w:trPr>
          <w:trHeight w:hRule="exact" w:val="340"/>
        </w:trPr>
        <w:tc>
          <w:tcPr>
            <w:tcW w:w="1407" w:type="pct"/>
            <w:shd w:val="clear" w:color="auto" w:fill="FFFFFF" w:themeFill="background1"/>
            <w:hideMark/>
          </w:tcPr>
          <w:p w14:paraId="7044C635" w14:textId="40B1BD7B" w:rsidR="00081375"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of measured</w:t>
            </w:r>
            <w:r w:rsidRPr="00F25B40">
              <w:rPr>
                <w:rFonts w:ascii="Arial" w:eastAsia="Times New Roman" w:hAnsi="Arial" w:cs="Arial"/>
                <w:sz w:val="20"/>
                <w:szCs w:val="20"/>
                <w:lang w:val="en-US" w:eastAsia="fr-CA"/>
              </w:rPr>
              <w:t xml:space="preserve"> </w:t>
            </w:r>
            <w:proofErr w:type="spellStart"/>
            <w:r w:rsidR="00081375" w:rsidRPr="00F25B40">
              <w:rPr>
                <w:rFonts w:ascii="Arial" w:eastAsia="Times New Roman" w:hAnsi="Arial" w:cs="Arial"/>
                <w:sz w:val="20"/>
                <w:szCs w:val="20"/>
                <w:lang w:val="en-US" w:eastAsia="fr-CA"/>
              </w:rPr>
              <w:t>measuredindependent</w:t>
            </w:r>
            <w:proofErr w:type="spellEnd"/>
            <w:r w:rsidR="00081375" w:rsidRPr="00F25B40">
              <w:rPr>
                <w:rFonts w:ascii="Arial" w:eastAsia="Times New Roman" w:hAnsi="Arial" w:cs="Arial"/>
                <w:sz w:val="20"/>
                <w:szCs w:val="20"/>
                <w:lang w:val="en-US" w:eastAsia="fr-CA"/>
              </w:rPr>
              <w:t xml:space="preserve"> and</w:t>
            </w:r>
            <w:r w:rsidR="00081375" w:rsidRPr="00F25B40">
              <w:rPr>
                <w:rFonts w:ascii="Arial" w:eastAsia="Times New Roman" w:hAnsi="Arial" w:cs="Arial"/>
                <w:sz w:val="20"/>
                <w:szCs w:val="20"/>
                <w:lang w:val="en-US" w:eastAsia="fr-CA"/>
              </w:rPr>
              <w:br/>
              <w:t>observed [</w:t>
            </w:r>
            <w:hyperlink r:id="rId10" w:history="1">
              <w:r w:rsidR="00081375" w:rsidRPr="00F25B40">
                <w:rPr>
                  <w:rStyle w:val="Hyperlink"/>
                  <w:rFonts w:ascii="Arial" w:eastAsia="Times New Roman" w:hAnsi="Arial" w:cs="Arial"/>
                  <w:i/>
                  <w:iCs/>
                  <w:color w:val="auto"/>
                  <w:sz w:val="20"/>
                  <w:szCs w:val="20"/>
                  <w:lang w:val="en-US" w:eastAsia="fr-CA"/>
                </w:rPr>
                <w:t>I</w:t>
              </w:r>
            </w:hyperlink>
            <w:r w:rsidR="00081375" w:rsidRPr="00F25B40">
              <w:rPr>
                <w:rFonts w:ascii="Arial" w:eastAsia="Times New Roman" w:hAnsi="Arial" w:cs="Arial"/>
                <w:sz w:val="20"/>
                <w:szCs w:val="20"/>
                <w:lang w:val="en-US" w:eastAsia="fr-CA"/>
              </w:rPr>
              <w:t xml:space="preserve"> &gt; 2</w:t>
            </w:r>
            <w:hyperlink r:id="rId11" w:history="1">
              <w:r w:rsidR="00081375" w:rsidRPr="00F25B40">
                <w:rPr>
                  <w:rStyle w:val="Hyperlink"/>
                  <w:rFonts w:ascii="Arial" w:eastAsia="Times New Roman" w:hAnsi="Arial" w:cs="Arial"/>
                  <w:color w:val="auto"/>
                  <w:sz w:val="20"/>
                  <w:szCs w:val="20"/>
                  <w:lang w:val="en-US" w:eastAsia="fr-CA"/>
                </w:rPr>
                <w:t>σ</w:t>
              </w:r>
            </w:hyperlink>
            <w:hyperlink r:id="rId12" w:history="1">
              <w:r w:rsidR="00081375" w:rsidRPr="00F25B40">
                <w:rPr>
                  <w:rStyle w:val="Hyperlink"/>
                  <w:rFonts w:ascii="Arial" w:eastAsia="Times New Roman" w:hAnsi="Arial" w:cs="Arial"/>
                  <w:color w:val="auto"/>
                  <w:sz w:val="20"/>
                  <w:szCs w:val="20"/>
                  <w:lang w:val="en-US" w:eastAsia="fr-CA"/>
                </w:rPr>
                <w:t>(</w:t>
              </w:r>
            </w:hyperlink>
            <w:hyperlink r:id="rId13" w:history="1">
              <w:r w:rsidR="00081375" w:rsidRPr="00F25B40">
                <w:rPr>
                  <w:rStyle w:val="Hyperlink"/>
                  <w:rFonts w:ascii="Arial" w:eastAsia="Times New Roman" w:hAnsi="Arial" w:cs="Arial"/>
                  <w:i/>
                  <w:iCs/>
                  <w:color w:val="auto"/>
                  <w:sz w:val="20"/>
                  <w:szCs w:val="20"/>
                  <w:lang w:val="en-US" w:eastAsia="fr-CA"/>
                </w:rPr>
                <w:t>I</w:t>
              </w:r>
            </w:hyperlink>
            <w:hyperlink r:id="rId14" w:history="1">
              <w:r w:rsidR="00081375" w:rsidRPr="00F25B40">
                <w:rPr>
                  <w:rStyle w:val="Hyperlink"/>
                  <w:rFonts w:ascii="Arial" w:eastAsia="Times New Roman" w:hAnsi="Arial" w:cs="Arial"/>
                  <w:color w:val="auto"/>
                  <w:sz w:val="20"/>
                  <w:szCs w:val="20"/>
                  <w:lang w:val="en-US" w:eastAsia="fr-CA"/>
                </w:rPr>
                <w:t>)</w:t>
              </w:r>
            </w:hyperlink>
            <w:r w:rsidR="00081375" w:rsidRPr="00F25B40">
              <w:rPr>
                <w:rFonts w:ascii="Arial" w:eastAsia="Times New Roman" w:hAnsi="Arial" w:cs="Arial"/>
                <w:sz w:val="20"/>
                <w:szCs w:val="20"/>
                <w:lang w:val="en-US" w:eastAsia="fr-CA"/>
              </w:rPr>
              <w:t>] reflections</w:t>
            </w:r>
          </w:p>
        </w:tc>
        <w:tc>
          <w:tcPr>
            <w:tcW w:w="1797" w:type="pct"/>
            <w:shd w:val="clear" w:color="auto" w:fill="FFFFFF" w:themeFill="background1"/>
            <w:hideMark/>
          </w:tcPr>
          <w:p w14:paraId="1974D173" w14:textId="153FF9DE"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71496</w:t>
            </w:r>
          </w:p>
        </w:tc>
        <w:tc>
          <w:tcPr>
            <w:tcW w:w="1796" w:type="pct"/>
            <w:shd w:val="clear" w:color="auto" w:fill="FFFFFF" w:themeFill="background1"/>
          </w:tcPr>
          <w:p w14:paraId="3193D55C" w14:textId="36444CF4"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26457</w:t>
            </w:r>
          </w:p>
        </w:tc>
      </w:tr>
      <w:tr w:rsidR="00925373" w:rsidRPr="00F25B40" w14:paraId="7147EAD5" w14:textId="77777777" w:rsidTr="0012715B">
        <w:trPr>
          <w:trHeight w:hRule="exact" w:val="340"/>
        </w:trPr>
        <w:tc>
          <w:tcPr>
            <w:tcW w:w="1407" w:type="pct"/>
            <w:shd w:val="clear" w:color="auto" w:fill="FFFFFF" w:themeFill="background1"/>
          </w:tcPr>
          <w:p w14:paraId="0B8292F8" w14:textId="25757870"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of independent</w:t>
            </w:r>
          </w:p>
        </w:tc>
        <w:tc>
          <w:tcPr>
            <w:tcW w:w="1797" w:type="pct"/>
            <w:shd w:val="clear" w:color="auto" w:fill="FFFFFF" w:themeFill="background1"/>
          </w:tcPr>
          <w:p w14:paraId="2B4CE759" w14:textId="7ED2343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3621</w:t>
            </w:r>
          </w:p>
        </w:tc>
        <w:tc>
          <w:tcPr>
            <w:tcW w:w="1796" w:type="pct"/>
            <w:shd w:val="clear" w:color="auto" w:fill="FFFFFF" w:themeFill="background1"/>
          </w:tcPr>
          <w:p w14:paraId="4053FE19" w14:textId="09713D90"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3267</w:t>
            </w:r>
          </w:p>
        </w:tc>
      </w:tr>
      <w:tr w:rsidR="00925373" w:rsidRPr="00F25B40" w14:paraId="0263CBD1" w14:textId="77777777" w:rsidTr="0012715B">
        <w:trPr>
          <w:trHeight w:hRule="exact" w:val="340"/>
        </w:trPr>
        <w:tc>
          <w:tcPr>
            <w:tcW w:w="1407" w:type="pct"/>
            <w:shd w:val="clear" w:color="auto" w:fill="FFFFFF" w:themeFill="background1"/>
          </w:tcPr>
          <w:p w14:paraId="06614ECE" w14:textId="647FAFF2"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observed [</w:t>
            </w:r>
            <w:hyperlink r:id="rId15" w:history="1">
              <w:r w:rsidRPr="00F25B40">
                <w:rPr>
                  <w:rStyle w:val="Hyperlink"/>
                  <w:rFonts w:ascii="Arial" w:hAnsi="Arial" w:cs="Arial"/>
                  <w:i/>
                  <w:iCs/>
                  <w:color w:val="000000" w:themeColor="text1"/>
                  <w:sz w:val="20"/>
                  <w:szCs w:val="20"/>
                  <w:lang w:val="en-US"/>
                </w:rPr>
                <w:t>I</w:t>
              </w:r>
            </w:hyperlink>
            <w:r w:rsidRPr="00F25B40">
              <w:rPr>
                <w:rFonts w:ascii="Arial" w:hAnsi="Arial" w:cs="Arial"/>
                <w:color w:val="000000" w:themeColor="text1"/>
                <w:sz w:val="20"/>
                <w:szCs w:val="20"/>
                <w:lang w:val="en-US"/>
              </w:rPr>
              <w:t xml:space="preserve"> &gt; 2σ(</w:t>
            </w:r>
            <w:r w:rsidRPr="00F25B40">
              <w:rPr>
                <w:rFonts w:ascii="Arial" w:hAnsi="Arial" w:cs="Arial"/>
                <w:i/>
                <w:iCs/>
                <w:color w:val="000000" w:themeColor="text1"/>
                <w:sz w:val="20"/>
                <w:szCs w:val="20"/>
                <w:lang w:val="en-US"/>
              </w:rPr>
              <w:t>I</w:t>
            </w:r>
            <w:r w:rsidRPr="00F25B40">
              <w:rPr>
                <w:rFonts w:ascii="Arial" w:hAnsi="Arial" w:cs="Arial"/>
                <w:color w:val="000000" w:themeColor="text1"/>
                <w:sz w:val="20"/>
                <w:szCs w:val="20"/>
                <w:lang w:val="en-US"/>
              </w:rPr>
              <w:t>)] reflections</w:t>
            </w:r>
          </w:p>
        </w:tc>
        <w:tc>
          <w:tcPr>
            <w:tcW w:w="1797" w:type="pct"/>
            <w:shd w:val="clear" w:color="auto" w:fill="FFFFFF" w:themeFill="background1"/>
          </w:tcPr>
          <w:p w14:paraId="5E18EDB4" w14:textId="403D12D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3603</w:t>
            </w:r>
          </w:p>
        </w:tc>
        <w:tc>
          <w:tcPr>
            <w:tcW w:w="1796" w:type="pct"/>
            <w:shd w:val="clear" w:color="auto" w:fill="FFFFFF" w:themeFill="background1"/>
          </w:tcPr>
          <w:p w14:paraId="7D640D6B" w14:textId="26422E7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3256</w:t>
            </w:r>
          </w:p>
        </w:tc>
      </w:tr>
      <w:tr w:rsidR="00081375" w:rsidRPr="00F25B40" w14:paraId="096C8DCB" w14:textId="77777777" w:rsidTr="0012715B">
        <w:trPr>
          <w:trHeight w:hRule="exact" w:val="340"/>
        </w:trPr>
        <w:tc>
          <w:tcPr>
            <w:tcW w:w="1407" w:type="pct"/>
            <w:shd w:val="clear" w:color="auto" w:fill="FFFFFF" w:themeFill="background1"/>
            <w:hideMark/>
          </w:tcPr>
          <w:p w14:paraId="64B96AF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R</w:t>
            </w:r>
            <w:r w:rsidRPr="00F25B40">
              <w:rPr>
                <w:rFonts w:ascii="Arial" w:eastAsia="Times New Roman" w:hAnsi="Arial" w:cs="Arial"/>
                <w:sz w:val="20"/>
                <w:szCs w:val="20"/>
                <w:vertAlign w:val="subscript"/>
                <w:lang w:val="en-US" w:eastAsia="fr-CA"/>
              </w:rPr>
              <w:t>int</w:t>
            </w:r>
            <w:proofErr w:type="spellEnd"/>
          </w:p>
        </w:tc>
        <w:tc>
          <w:tcPr>
            <w:tcW w:w="1797" w:type="pct"/>
            <w:shd w:val="clear" w:color="auto" w:fill="FFFFFF" w:themeFill="background1"/>
            <w:hideMark/>
          </w:tcPr>
          <w:p w14:paraId="38497E3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0.034</w:t>
            </w:r>
          </w:p>
        </w:tc>
        <w:tc>
          <w:tcPr>
            <w:tcW w:w="1796" w:type="pct"/>
            <w:shd w:val="clear" w:color="auto" w:fill="FFFFFF" w:themeFill="background1"/>
          </w:tcPr>
          <w:p w14:paraId="767BE0D0"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0.030</w:t>
            </w:r>
          </w:p>
        </w:tc>
      </w:tr>
      <w:tr w:rsidR="00081375" w:rsidRPr="00F25B40" w14:paraId="723D9D14" w14:textId="77777777" w:rsidTr="0012715B">
        <w:trPr>
          <w:trHeight w:hRule="exact" w:val="340"/>
        </w:trPr>
        <w:tc>
          <w:tcPr>
            <w:tcW w:w="1407" w:type="pct"/>
            <w:shd w:val="clear" w:color="auto" w:fill="FFFFFF" w:themeFill="background1"/>
            <w:hideMark/>
          </w:tcPr>
          <w:p w14:paraId="24884C89" w14:textId="30EF1EE2"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R</w:t>
            </w:r>
            <w:r w:rsidRPr="00F25B40">
              <w:rPr>
                <w:rFonts w:ascii="Arial" w:eastAsia="Times New Roman" w:hAnsi="Arial" w:cs="Arial"/>
                <w:sz w:val="20"/>
                <w:szCs w:val="20"/>
                <w:lang w:val="en-US" w:eastAsia="fr-CA"/>
              </w:rPr>
              <w:t>[</w:t>
            </w:r>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 xml:space="preserve"> &gt; 2σ(</w:t>
            </w:r>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1BECE88E" w14:textId="29156C70"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0.024</w:t>
            </w:r>
          </w:p>
        </w:tc>
        <w:tc>
          <w:tcPr>
            <w:tcW w:w="1796" w:type="pct"/>
            <w:shd w:val="clear" w:color="auto" w:fill="FFFFFF" w:themeFill="background1"/>
          </w:tcPr>
          <w:p w14:paraId="6AA25FAF" w14:textId="30F54845"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0.029</w:t>
            </w:r>
          </w:p>
        </w:tc>
      </w:tr>
      <w:tr w:rsidR="00925373" w:rsidRPr="00F25B40" w14:paraId="1E91412B" w14:textId="77777777" w:rsidTr="0012715B">
        <w:trPr>
          <w:trHeight w:hRule="exact" w:val="340"/>
        </w:trPr>
        <w:tc>
          <w:tcPr>
            <w:tcW w:w="1407" w:type="pct"/>
            <w:shd w:val="clear" w:color="auto" w:fill="FFFFFF" w:themeFill="background1"/>
          </w:tcPr>
          <w:p w14:paraId="030CF252" w14:textId="4D070EFF" w:rsidR="00925373" w:rsidRPr="00F25B40" w:rsidRDefault="00925373"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wR</w:t>
            </w:r>
            <w:proofErr w:type="spellEnd"/>
            <w:r w:rsidRPr="00F25B40">
              <w:rPr>
                <w:rFonts w:ascii="Arial" w:eastAsia="Times New Roman" w:hAnsi="Arial" w:cs="Arial"/>
                <w:sz w:val="20"/>
                <w:szCs w:val="20"/>
                <w:lang w:val="en-US" w:eastAsia="fr-CA"/>
              </w:rPr>
              <w:t>(</w:t>
            </w:r>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w:t>
            </w:r>
          </w:p>
        </w:tc>
        <w:tc>
          <w:tcPr>
            <w:tcW w:w="1797" w:type="pct"/>
            <w:shd w:val="clear" w:color="auto" w:fill="FFFFFF" w:themeFill="background1"/>
          </w:tcPr>
          <w:p w14:paraId="22B8F5BA" w14:textId="00763E9E"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0.065</w:t>
            </w:r>
          </w:p>
        </w:tc>
        <w:tc>
          <w:tcPr>
            <w:tcW w:w="1796" w:type="pct"/>
            <w:shd w:val="clear" w:color="auto" w:fill="FFFFFF" w:themeFill="background1"/>
          </w:tcPr>
          <w:p w14:paraId="2CB7B46B" w14:textId="4CE23B2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0.075 </w:t>
            </w:r>
          </w:p>
        </w:tc>
      </w:tr>
      <w:tr w:rsidR="00925373" w:rsidRPr="00F25B40" w14:paraId="5FA401FA" w14:textId="77777777" w:rsidTr="0012715B">
        <w:trPr>
          <w:trHeight w:hRule="exact" w:val="340"/>
        </w:trPr>
        <w:tc>
          <w:tcPr>
            <w:tcW w:w="1407" w:type="pct"/>
            <w:shd w:val="clear" w:color="auto" w:fill="FFFFFF" w:themeFill="background1"/>
          </w:tcPr>
          <w:p w14:paraId="457DCF5C" w14:textId="5428059B"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lastRenderedPageBreak/>
              <w:t>GOF</w:t>
            </w:r>
          </w:p>
        </w:tc>
        <w:tc>
          <w:tcPr>
            <w:tcW w:w="1797" w:type="pct"/>
            <w:shd w:val="clear" w:color="auto" w:fill="FFFFFF" w:themeFill="background1"/>
          </w:tcPr>
          <w:p w14:paraId="0688D3DE" w14:textId="5B6436AF"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1.09</w:t>
            </w:r>
          </w:p>
        </w:tc>
        <w:tc>
          <w:tcPr>
            <w:tcW w:w="1796" w:type="pct"/>
            <w:shd w:val="clear" w:color="auto" w:fill="FFFFFF" w:themeFill="background1"/>
          </w:tcPr>
          <w:p w14:paraId="4A349E26" w14:textId="760C131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1.15</w:t>
            </w:r>
          </w:p>
        </w:tc>
      </w:tr>
      <w:tr w:rsidR="00081375" w:rsidRPr="00F25B40" w14:paraId="5A920AF8" w14:textId="77777777" w:rsidTr="0012715B">
        <w:trPr>
          <w:trHeight w:hRule="exact" w:val="340"/>
        </w:trPr>
        <w:tc>
          <w:tcPr>
            <w:tcW w:w="1407" w:type="pct"/>
            <w:shd w:val="clear" w:color="auto" w:fill="FFFFFF" w:themeFill="background1"/>
            <w:hideMark/>
          </w:tcPr>
          <w:p w14:paraId="40C006A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reflections</w:t>
            </w:r>
          </w:p>
        </w:tc>
        <w:tc>
          <w:tcPr>
            <w:tcW w:w="1797" w:type="pct"/>
            <w:shd w:val="clear" w:color="auto" w:fill="FFFFFF" w:themeFill="background1"/>
            <w:hideMark/>
          </w:tcPr>
          <w:p w14:paraId="21CCB872"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3621</w:t>
            </w:r>
          </w:p>
        </w:tc>
        <w:tc>
          <w:tcPr>
            <w:tcW w:w="1796" w:type="pct"/>
            <w:shd w:val="clear" w:color="auto" w:fill="FFFFFF" w:themeFill="background1"/>
          </w:tcPr>
          <w:p w14:paraId="45CCBD9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3267</w:t>
            </w:r>
          </w:p>
        </w:tc>
      </w:tr>
      <w:tr w:rsidR="00081375" w:rsidRPr="00F25B40" w14:paraId="51EA7140" w14:textId="77777777" w:rsidTr="0012715B">
        <w:trPr>
          <w:trHeight w:hRule="exact" w:val="340"/>
        </w:trPr>
        <w:tc>
          <w:tcPr>
            <w:tcW w:w="1407" w:type="pct"/>
            <w:shd w:val="clear" w:color="auto" w:fill="FFFFFF" w:themeFill="background1"/>
            <w:hideMark/>
          </w:tcPr>
          <w:p w14:paraId="2FBBA00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parameters</w:t>
            </w:r>
          </w:p>
        </w:tc>
        <w:tc>
          <w:tcPr>
            <w:tcW w:w="1797" w:type="pct"/>
            <w:shd w:val="clear" w:color="auto" w:fill="FFFFFF" w:themeFill="background1"/>
            <w:hideMark/>
          </w:tcPr>
          <w:p w14:paraId="4BF67DB6" w14:textId="79F32772"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211</w:t>
            </w:r>
          </w:p>
        </w:tc>
        <w:tc>
          <w:tcPr>
            <w:tcW w:w="1796" w:type="pct"/>
            <w:shd w:val="clear" w:color="auto" w:fill="FFFFFF" w:themeFill="background1"/>
          </w:tcPr>
          <w:p w14:paraId="4A419B2A"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201</w:t>
            </w:r>
          </w:p>
        </w:tc>
      </w:tr>
      <w:tr w:rsidR="00081375" w:rsidRPr="00F25B40" w14:paraId="41332E3C" w14:textId="77777777" w:rsidTr="0012715B">
        <w:trPr>
          <w:trHeight w:hRule="exact" w:val="340"/>
        </w:trPr>
        <w:tc>
          <w:tcPr>
            <w:tcW w:w="1407" w:type="pct"/>
            <w:shd w:val="clear" w:color="auto" w:fill="FFFFFF" w:themeFill="background1"/>
            <w:hideMark/>
          </w:tcPr>
          <w:p w14:paraId="2A0779A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restraints</w:t>
            </w:r>
          </w:p>
        </w:tc>
        <w:tc>
          <w:tcPr>
            <w:tcW w:w="1797" w:type="pct"/>
            <w:shd w:val="clear" w:color="auto" w:fill="FFFFFF" w:themeFill="background1"/>
            <w:hideMark/>
          </w:tcPr>
          <w:p w14:paraId="7BD371A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w:t>
            </w:r>
          </w:p>
        </w:tc>
        <w:tc>
          <w:tcPr>
            <w:tcW w:w="1796" w:type="pct"/>
            <w:shd w:val="clear" w:color="auto" w:fill="FFFFFF" w:themeFill="background1"/>
          </w:tcPr>
          <w:p w14:paraId="79BC206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w:t>
            </w:r>
          </w:p>
        </w:tc>
      </w:tr>
      <w:tr w:rsidR="00081375" w:rsidRPr="00F25B40" w14:paraId="1AE7C2D9" w14:textId="77777777" w:rsidTr="0012715B">
        <w:trPr>
          <w:trHeight w:hRule="exact" w:val="340"/>
        </w:trPr>
        <w:tc>
          <w:tcPr>
            <w:tcW w:w="1407" w:type="pct"/>
            <w:tcBorders>
              <w:bottom w:val="single" w:sz="12" w:space="0" w:color="auto"/>
            </w:tcBorders>
            <w:shd w:val="clear" w:color="auto" w:fill="FFFFFF" w:themeFill="background1"/>
            <w:hideMark/>
          </w:tcPr>
          <w:p w14:paraId="63819D8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sz w:val="20"/>
                <w:szCs w:val="20"/>
                <w:lang w:val="en-US" w:eastAsia="fr-CA"/>
              </w:rPr>
              <w:t>Δρ</w:t>
            </w:r>
            <w:r w:rsidRPr="00F25B40">
              <w:rPr>
                <w:rFonts w:ascii="Arial" w:eastAsia="Times New Roman" w:hAnsi="Arial" w:cs="Arial"/>
                <w:sz w:val="20"/>
                <w:szCs w:val="20"/>
                <w:vertAlign w:val="subscript"/>
                <w:lang w:val="en-US" w:eastAsia="fr-CA"/>
              </w:rPr>
              <w:t>max</w:t>
            </w:r>
            <w:proofErr w:type="spellEnd"/>
            <w:r w:rsidRPr="00F25B40">
              <w:rPr>
                <w:rFonts w:ascii="Arial" w:eastAsia="Times New Roman" w:hAnsi="Arial" w:cs="Arial"/>
                <w:sz w:val="20"/>
                <w:szCs w:val="20"/>
                <w:lang w:val="en-US" w:eastAsia="fr-CA"/>
              </w:rPr>
              <w:t xml:space="preserve">, </w:t>
            </w:r>
            <w:proofErr w:type="spellStart"/>
            <w:r w:rsidRPr="00F25B40">
              <w:rPr>
                <w:rFonts w:ascii="Arial" w:eastAsia="Times New Roman" w:hAnsi="Arial" w:cs="Arial"/>
                <w:sz w:val="20"/>
                <w:szCs w:val="20"/>
                <w:lang w:val="en-US" w:eastAsia="fr-CA"/>
              </w:rPr>
              <w:t>Δρ</w:t>
            </w:r>
            <w:r w:rsidRPr="00F25B40">
              <w:rPr>
                <w:rFonts w:ascii="Arial" w:eastAsia="Times New Roman" w:hAnsi="Arial" w:cs="Arial"/>
                <w:sz w:val="20"/>
                <w:szCs w:val="20"/>
                <w:vertAlign w:val="subscript"/>
                <w:lang w:val="en-US" w:eastAsia="fr-CA"/>
              </w:rPr>
              <w:t>min</w:t>
            </w:r>
            <w:proofErr w:type="spellEnd"/>
            <w:r w:rsidRPr="00F25B40">
              <w:rPr>
                <w:rFonts w:ascii="Arial" w:eastAsia="Times New Roman" w:hAnsi="Arial" w:cs="Arial"/>
                <w:sz w:val="20"/>
                <w:szCs w:val="20"/>
                <w:lang w:val="en-US" w:eastAsia="fr-CA"/>
              </w:rPr>
              <w:t xml:space="preserve"> (e Å</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tcBorders>
              <w:bottom w:val="single" w:sz="12" w:space="0" w:color="auto"/>
            </w:tcBorders>
            <w:shd w:val="clear" w:color="auto" w:fill="FFFFFF" w:themeFill="background1"/>
            <w:hideMark/>
          </w:tcPr>
          <w:p w14:paraId="7E84DC7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0.24, -0.21</w:t>
            </w:r>
          </w:p>
        </w:tc>
        <w:tc>
          <w:tcPr>
            <w:tcW w:w="1796" w:type="pct"/>
            <w:tcBorders>
              <w:bottom w:val="single" w:sz="12" w:space="0" w:color="auto"/>
            </w:tcBorders>
            <w:shd w:val="clear" w:color="auto" w:fill="FFFFFF" w:themeFill="background1"/>
          </w:tcPr>
          <w:p w14:paraId="4A0AC9A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0.31, -0.50</w:t>
            </w:r>
          </w:p>
        </w:tc>
      </w:tr>
    </w:tbl>
    <w:p w14:paraId="482ABFDF" w14:textId="77777777" w:rsidR="00081375" w:rsidRPr="00F25B40" w:rsidRDefault="00081375" w:rsidP="00A57067">
      <w:pPr>
        <w:spacing w:line="240" w:lineRule="auto"/>
        <w:jc w:val="both"/>
        <w:rPr>
          <w:rFonts w:ascii="Arial" w:hAnsi="Arial" w:cs="Arial"/>
          <w:b/>
          <w:bCs/>
          <w:sz w:val="20"/>
          <w:szCs w:val="20"/>
          <w:lang w:val="en-US"/>
        </w:rPr>
      </w:pPr>
    </w:p>
    <w:p w14:paraId="3EBEF23C" w14:textId="77777777" w:rsidR="00DE15A2" w:rsidRPr="00F25B40" w:rsidRDefault="00CF63BE" w:rsidP="00343124">
      <w:pPr>
        <w:pStyle w:val="Heading1"/>
      </w:pPr>
      <w:r w:rsidRPr="00F25B40">
        <w:t>Results and discussion</w:t>
      </w:r>
    </w:p>
    <w:p w14:paraId="342F517A" w14:textId="5FBEE027" w:rsidR="006D1787" w:rsidRPr="00F122B0" w:rsidRDefault="006D1787" w:rsidP="00F122B0">
      <w:pPr>
        <w:pStyle w:val="Heading3"/>
      </w:pPr>
      <w:r w:rsidRPr="00F122B0">
        <w:t>Elemental analysis and Atomic Absorption Spectroscopy</w:t>
      </w:r>
    </w:p>
    <w:p w14:paraId="2EBFA39E" w14:textId="6440AF9C" w:rsidR="003872EB" w:rsidRPr="00F25B40" w:rsidRDefault="006D1787" w:rsidP="00A57067">
      <w:pPr>
        <w:spacing w:line="240" w:lineRule="auto"/>
        <w:jc w:val="both"/>
        <w:rPr>
          <w:rFonts w:ascii="Arial" w:hAnsi="Arial" w:cs="Arial"/>
          <w:sz w:val="20"/>
          <w:szCs w:val="20"/>
          <w:lang w:val="en-US"/>
        </w:rPr>
      </w:pPr>
      <w:r w:rsidRPr="00F25B40">
        <w:rPr>
          <w:rFonts w:ascii="Arial" w:hAnsi="Arial" w:cs="Arial"/>
          <w:sz w:val="20"/>
          <w:szCs w:val="20"/>
          <w:lang w:val="en-US"/>
        </w:rPr>
        <w:t xml:space="preserve">For the synthesized </w:t>
      </w:r>
      <w:r w:rsidR="002B3825" w:rsidRPr="00F25B40">
        <w:rPr>
          <w:rFonts w:ascii="Arial" w:hAnsi="Arial" w:cs="Arial"/>
          <w:bCs/>
          <w:sz w:val="20"/>
          <w:szCs w:val="20"/>
          <w:lang w:val="en-US"/>
        </w:rPr>
        <w:t>Cu(O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C(CH=CH)CO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w:t>
      </w:r>
      <w:r w:rsidR="002B3825" w:rsidRPr="00F25B40">
        <w:rPr>
          <w:rFonts w:ascii="Arial" w:hAnsi="Arial" w:cs="Arial"/>
          <w:bCs/>
          <w:sz w:val="20"/>
          <w:szCs w:val="20"/>
          <w:vertAlign w:val="subscript"/>
          <w:lang w:val="en-US"/>
        </w:rPr>
        <w:t>5</w:t>
      </w:r>
      <w:r w:rsidR="002B3825" w:rsidRPr="00F25B40">
        <w:rPr>
          <w:rFonts w:ascii="Arial" w:hAnsi="Arial" w:cs="Arial"/>
          <w:bCs/>
          <w:sz w:val="20"/>
          <w:szCs w:val="20"/>
          <w:lang w:val="en-US"/>
        </w:rPr>
        <w:t>H</w:t>
      </w:r>
      <w:r w:rsidR="002B3825" w:rsidRPr="00F25B40">
        <w:rPr>
          <w:rFonts w:ascii="Arial" w:hAnsi="Arial" w:cs="Arial"/>
          <w:bCs/>
          <w:sz w:val="20"/>
          <w:szCs w:val="20"/>
          <w:vertAlign w:val="subscript"/>
          <w:lang w:val="en-US"/>
        </w:rPr>
        <w:t>8</w:t>
      </w:r>
      <w:r w:rsidR="002B3825" w:rsidRPr="00F25B40">
        <w:rPr>
          <w:rFonts w:ascii="Arial" w:hAnsi="Arial" w:cs="Arial"/>
          <w:bCs/>
          <w:sz w:val="20"/>
          <w:szCs w:val="20"/>
          <w:lang w:val="en-US"/>
        </w:rPr>
        <w:t>N</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 xml:space="preserve"> (</w:t>
      </w:r>
      <w:r w:rsidR="002B3825" w:rsidRPr="00F25B40">
        <w:rPr>
          <w:rFonts w:ascii="Arial" w:hAnsi="Arial" w:cs="Arial"/>
          <w:b/>
          <w:sz w:val="20"/>
          <w:szCs w:val="20"/>
          <w:lang w:val="en-US"/>
        </w:rPr>
        <w:t>1</w:t>
      </w:r>
      <w:r w:rsidR="002B3825" w:rsidRPr="00F25B40">
        <w:rPr>
          <w:rFonts w:ascii="Arial" w:hAnsi="Arial" w:cs="Arial"/>
          <w:bCs/>
          <w:sz w:val="20"/>
          <w:szCs w:val="20"/>
          <w:lang w:val="en-US"/>
        </w:rPr>
        <w:t>)</w:t>
      </w:r>
      <w:r w:rsidR="00E6772D" w:rsidRPr="00F25B40">
        <w:rPr>
          <w:rFonts w:ascii="Arial" w:hAnsi="Arial" w:cs="Arial"/>
          <w:bCs/>
          <w:sz w:val="20"/>
          <w:szCs w:val="20"/>
          <w:lang w:val="en-US"/>
        </w:rPr>
        <w:t xml:space="preserve"> </w:t>
      </w:r>
      <w:r w:rsidR="002B3825" w:rsidRPr="00F25B40">
        <w:rPr>
          <w:rFonts w:ascii="Arial" w:hAnsi="Arial" w:cs="Arial"/>
          <w:bCs/>
          <w:sz w:val="20"/>
          <w:szCs w:val="20"/>
          <w:lang w:val="en-US"/>
        </w:rPr>
        <w:t>and Zn(O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C(CH</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w:t>
      </w:r>
      <w:r w:rsidR="002B3825" w:rsidRPr="00F25B40">
        <w:rPr>
          <w:rFonts w:ascii="Arial" w:hAnsi="Arial" w:cs="Arial"/>
          <w:bCs/>
          <w:sz w:val="20"/>
          <w:szCs w:val="20"/>
          <w:vertAlign w:val="subscript"/>
          <w:lang w:val="en-US"/>
        </w:rPr>
        <w:t>5</w:t>
      </w:r>
      <w:r w:rsidR="002B3825" w:rsidRPr="00F25B40">
        <w:rPr>
          <w:rFonts w:ascii="Arial" w:hAnsi="Arial" w:cs="Arial"/>
          <w:bCs/>
          <w:sz w:val="20"/>
          <w:szCs w:val="20"/>
          <w:lang w:val="en-US"/>
        </w:rPr>
        <w:t>H</w:t>
      </w:r>
      <w:r w:rsidR="002B3825" w:rsidRPr="00F25B40">
        <w:rPr>
          <w:rFonts w:ascii="Arial" w:hAnsi="Arial" w:cs="Arial"/>
          <w:bCs/>
          <w:sz w:val="20"/>
          <w:szCs w:val="20"/>
          <w:vertAlign w:val="subscript"/>
          <w:lang w:val="en-US"/>
        </w:rPr>
        <w:t>8</w:t>
      </w:r>
      <w:r w:rsidR="002B3825" w:rsidRPr="00F25B40">
        <w:rPr>
          <w:rFonts w:ascii="Arial" w:hAnsi="Arial" w:cs="Arial"/>
          <w:bCs/>
          <w:sz w:val="20"/>
          <w:szCs w:val="20"/>
          <w:lang w:val="en-US"/>
        </w:rPr>
        <w:t>N</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w:t>
      </w:r>
      <w:r w:rsidR="002B3825" w:rsidRPr="00F25B40">
        <w:rPr>
          <w:rFonts w:ascii="Arial" w:hAnsi="Arial" w:cs="Arial"/>
          <w:bCs/>
          <w:sz w:val="20"/>
          <w:szCs w:val="20"/>
          <w:vertAlign w:val="subscript"/>
          <w:lang w:val="en-US"/>
        </w:rPr>
        <w:t xml:space="preserve">2 </w:t>
      </w:r>
      <w:r w:rsidR="002B3825" w:rsidRPr="00F25B40">
        <w:rPr>
          <w:rFonts w:ascii="Arial" w:hAnsi="Arial" w:cs="Arial"/>
          <w:sz w:val="20"/>
          <w:szCs w:val="20"/>
          <w:lang w:val="en-US"/>
        </w:rPr>
        <w:t>(</w:t>
      </w:r>
      <w:r w:rsidR="002B3825" w:rsidRPr="00F25B40">
        <w:rPr>
          <w:rFonts w:ascii="Arial" w:hAnsi="Arial" w:cs="Arial"/>
          <w:b/>
          <w:bCs/>
          <w:sz w:val="20"/>
          <w:szCs w:val="20"/>
          <w:lang w:val="en-US"/>
        </w:rPr>
        <w:t>2</w:t>
      </w:r>
      <w:r w:rsidR="002B3825" w:rsidRPr="00F25B40">
        <w:rPr>
          <w:rFonts w:ascii="Arial" w:hAnsi="Arial" w:cs="Arial"/>
          <w:sz w:val="20"/>
          <w:szCs w:val="20"/>
          <w:lang w:val="en-US"/>
        </w:rPr>
        <w:t>)</w:t>
      </w:r>
      <w:r w:rsidR="002B3825" w:rsidRPr="00F25B40">
        <w:rPr>
          <w:rFonts w:ascii="Arial" w:hAnsi="Arial" w:cs="Arial"/>
          <w:b/>
          <w:bCs/>
          <w:sz w:val="20"/>
          <w:szCs w:val="20"/>
          <w:lang w:val="en-US"/>
        </w:rPr>
        <w:t xml:space="preserve"> </w:t>
      </w:r>
      <w:r w:rsidRPr="00F25B40">
        <w:rPr>
          <w:rFonts w:ascii="Arial" w:hAnsi="Arial" w:cs="Arial"/>
          <w:sz w:val="20"/>
          <w:szCs w:val="20"/>
          <w:lang w:val="en-US"/>
        </w:rPr>
        <w:t>complexes</w:t>
      </w:r>
      <w:r w:rsidR="002B3825" w:rsidRPr="00F25B40">
        <w:rPr>
          <w:rFonts w:ascii="Arial" w:hAnsi="Arial" w:cs="Arial"/>
          <w:sz w:val="20"/>
          <w:szCs w:val="20"/>
          <w:lang w:val="en-US"/>
        </w:rPr>
        <w:t>,</w:t>
      </w:r>
      <w:r w:rsidRPr="00F25B40">
        <w:rPr>
          <w:rFonts w:ascii="Arial" w:hAnsi="Arial" w:cs="Arial"/>
          <w:sz w:val="20"/>
          <w:szCs w:val="20"/>
          <w:lang w:val="en-US"/>
        </w:rPr>
        <w:t xml:space="preserve"> the elemental analysis results </w:t>
      </w:r>
      <w:r w:rsidR="00BE0D96" w:rsidRPr="00F25B40">
        <w:rPr>
          <w:rFonts w:ascii="Arial" w:hAnsi="Arial" w:cs="Arial"/>
          <w:sz w:val="20"/>
          <w:szCs w:val="20"/>
          <w:lang w:val="en-US"/>
        </w:rPr>
        <w:t>confirm the 1:1:2 ratios M/diacid/</w:t>
      </w:r>
      <w:r w:rsidR="00BE0D96" w:rsidRPr="00F25B40">
        <w:rPr>
          <w:rFonts w:ascii="Arial" w:hAnsi="Arial" w:cs="Arial"/>
          <w:sz w:val="20"/>
          <w:szCs w:val="20"/>
          <w:lang w:val="en-GB"/>
        </w:rPr>
        <w:t>1-ethyl-1</w:t>
      </w:r>
      <w:r w:rsidR="00BE0D96" w:rsidRPr="00F25B40">
        <w:rPr>
          <w:rFonts w:ascii="Arial" w:hAnsi="Arial" w:cs="Arial"/>
          <w:i/>
          <w:iCs/>
          <w:sz w:val="20"/>
          <w:szCs w:val="20"/>
          <w:lang w:val="en-GB"/>
        </w:rPr>
        <w:t>H</w:t>
      </w:r>
      <w:r w:rsidR="00BE0D96" w:rsidRPr="00F25B40">
        <w:rPr>
          <w:rFonts w:ascii="Arial" w:hAnsi="Arial" w:cs="Arial"/>
          <w:sz w:val="20"/>
          <w:szCs w:val="20"/>
          <w:lang w:val="en-GB"/>
        </w:rPr>
        <w:t>-imidazol</w:t>
      </w:r>
      <w:r w:rsidR="00BE0D96" w:rsidRPr="00F25B40">
        <w:rPr>
          <w:rFonts w:ascii="Arial" w:hAnsi="Arial" w:cs="Arial"/>
          <w:sz w:val="20"/>
          <w:szCs w:val="20"/>
          <w:lang w:val="en-US"/>
        </w:rPr>
        <w:t xml:space="preserve"> (M = Cu (II) and diacid = malonic acid ; M = Zn (II) and diacid = maleic acid). The metal contain</w:t>
      </w:r>
      <w:r w:rsidR="00E2173E" w:rsidRPr="00F25B40">
        <w:rPr>
          <w:rFonts w:ascii="Arial" w:hAnsi="Arial" w:cs="Arial"/>
          <w:sz w:val="20"/>
          <w:szCs w:val="20"/>
          <w:lang w:val="en-US"/>
        </w:rPr>
        <w:t>s</w:t>
      </w:r>
      <w:r w:rsidR="00BE0D96" w:rsidRPr="00F25B40">
        <w:rPr>
          <w:rFonts w:ascii="Arial" w:hAnsi="Arial" w:cs="Arial"/>
          <w:sz w:val="20"/>
          <w:szCs w:val="20"/>
          <w:lang w:val="en-US"/>
        </w:rPr>
        <w:t xml:space="preserve"> of complexes 1 and 2 are obtained from </w:t>
      </w:r>
      <w:r w:rsidR="004C7F4F" w:rsidRPr="00F25B40">
        <w:rPr>
          <w:rFonts w:ascii="Arial" w:hAnsi="Arial" w:cs="Arial"/>
          <w:sz w:val="20"/>
          <w:szCs w:val="20"/>
          <w:lang w:val="en-US"/>
        </w:rPr>
        <w:t>Atomic Absorption Spectroscopy results</w:t>
      </w:r>
      <w:r w:rsidR="00F64093" w:rsidRPr="00F25B40">
        <w:rPr>
          <w:rFonts w:ascii="Arial" w:hAnsi="Arial" w:cs="Arial"/>
          <w:sz w:val="20"/>
          <w:szCs w:val="20"/>
          <w:lang w:val="en-US"/>
        </w:rPr>
        <w:t>. The results of data collection for these two technics</w:t>
      </w:r>
      <w:r w:rsidR="004C7F4F" w:rsidRPr="00F25B40">
        <w:rPr>
          <w:rFonts w:ascii="Arial" w:hAnsi="Arial" w:cs="Arial"/>
          <w:sz w:val="20"/>
          <w:szCs w:val="20"/>
          <w:lang w:val="en-US"/>
        </w:rPr>
        <w:t xml:space="preserve"> are summ</w:t>
      </w:r>
      <w:r w:rsidR="00267A7F" w:rsidRPr="00F25B40">
        <w:rPr>
          <w:rFonts w:ascii="Arial" w:hAnsi="Arial" w:cs="Arial"/>
          <w:sz w:val="20"/>
          <w:szCs w:val="20"/>
          <w:lang w:val="en-US"/>
        </w:rPr>
        <w:t xml:space="preserve">arized in Table </w:t>
      </w:r>
      <w:r w:rsidR="00085955" w:rsidRPr="00F25B40">
        <w:rPr>
          <w:rFonts w:ascii="Arial" w:hAnsi="Arial" w:cs="Arial"/>
          <w:sz w:val="20"/>
          <w:szCs w:val="20"/>
          <w:lang w:val="en-US"/>
        </w:rPr>
        <w:t>2</w:t>
      </w:r>
      <w:r w:rsidR="00267A7F" w:rsidRPr="00F25B40">
        <w:rPr>
          <w:rFonts w:ascii="Arial" w:hAnsi="Arial" w:cs="Arial"/>
          <w:sz w:val="20"/>
          <w:szCs w:val="20"/>
          <w:lang w:val="en-US"/>
        </w:rPr>
        <w:t xml:space="preserve">. </w:t>
      </w:r>
    </w:p>
    <w:p w14:paraId="7E442504" w14:textId="7B599F94" w:rsidR="00DE72F0" w:rsidRPr="00F25B40" w:rsidRDefault="006D1787" w:rsidP="00A74A23">
      <w:pPr>
        <w:spacing w:after="120" w:line="240" w:lineRule="auto"/>
        <w:jc w:val="both"/>
        <w:rPr>
          <w:rFonts w:ascii="Arial" w:hAnsi="Arial" w:cs="Arial"/>
          <w:b/>
          <w:bCs/>
          <w:sz w:val="20"/>
          <w:szCs w:val="20"/>
          <w:lang w:val="en-US"/>
        </w:rPr>
      </w:pPr>
      <w:r w:rsidRPr="00F25B40">
        <w:rPr>
          <w:rFonts w:ascii="Arial" w:hAnsi="Arial" w:cs="Arial"/>
          <w:b/>
          <w:bCs/>
          <w:sz w:val="20"/>
          <w:szCs w:val="20"/>
          <w:lang w:val="en-US"/>
        </w:rPr>
        <w:t xml:space="preserve">Table </w:t>
      </w:r>
      <w:r w:rsidR="00085955" w:rsidRPr="00F25B40">
        <w:rPr>
          <w:rFonts w:ascii="Arial" w:hAnsi="Arial" w:cs="Arial"/>
          <w:b/>
          <w:bCs/>
          <w:sz w:val="20"/>
          <w:szCs w:val="20"/>
          <w:lang w:val="en-US"/>
        </w:rPr>
        <w:t>2</w:t>
      </w:r>
      <w:r w:rsidRPr="00F25B40">
        <w:rPr>
          <w:rFonts w:ascii="Arial" w:hAnsi="Arial" w:cs="Arial"/>
          <w:b/>
          <w:bCs/>
          <w:sz w:val="20"/>
          <w:szCs w:val="20"/>
          <w:lang w:val="en-US"/>
        </w:rPr>
        <w:t xml:space="preserve">. Elemental analysis results </w:t>
      </w:r>
      <w:r w:rsidR="0001548A" w:rsidRPr="00F25B40">
        <w:rPr>
          <w:rFonts w:ascii="Arial" w:hAnsi="Arial" w:cs="Arial"/>
          <w:b/>
          <w:bCs/>
          <w:sz w:val="20"/>
          <w:szCs w:val="20"/>
          <w:lang w:val="en-US"/>
        </w:rPr>
        <w:t xml:space="preserve">(C, H, N) and Atomic Absorption </w:t>
      </w:r>
      <w:r w:rsidR="00F41897" w:rsidRPr="00F25B40">
        <w:rPr>
          <w:rFonts w:ascii="Arial" w:hAnsi="Arial" w:cs="Arial"/>
          <w:b/>
          <w:bCs/>
          <w:sz w:val="20"/>
          <w:szCs w:val="20"/>
          <w:lang w:val="en-US"/>
        </w:rPr>
        <w:t xml:space="preserve">Spectroscopy results (Cu, Zn) of </w:t>
      </w:r>
      <w:r w:rsidRPr="00F25B40">
        <w:rPr>
          <w:rFonts w:ascii="Arial" w:hAnsi="Arial" w:cs="Arial"/>
          <w:b/>
          <w:bCs/>
          <w:sz w:val="20"/>
          <w:szCs w:val="20"/>
          <w:lang w:val="en-US"/>
        </w:rPr>
        <w:t>the synthesized complexes</w:t>
      </w:r>
      <w:r w:rsidR="00CB2626">
        <w:rPr>
          <w:rFonts w:ascii="Arial" w:hAnsi="Arial" w:cs="Arial"/>
          <w:b/>
          <w:bCs/>
          <w:sz w:val="20"/>
          <w:szCs w:val="20"/>
          <w:lang w:val="en-US"/>
        </w:rPr>
        <w:t>.</w:t>
      </w:r>
    </w:p>
    <w:tbl>
      <w:tblPr>
        <w:tblStyle w:val="TableGrid"/>
        <w:tblW w:w="0" w:type="auto"/>
        <w:tblLook w:val="04A0" w:firstRow="1" w:lastRow="0" w:firstColumn="1" w:lastColumn="0" w:noHBand="0" w:noVBand="1"/>
      </w:tblPr>
      <w:tblGrid>
        <w:gridCol w:w="1062"/>
        <w:gridCol w:w="1000"/>
        <w:gridCol w:w="1000"/>
        <w:gridCol w:w="999"/>
        <w:gridCol w:w="1001"/>
        <w:gridCol w:w="999"/>
        <w:gridCol w:w="1001"/>
        <w:gridCol w:w="999"/>
        <w:gridCol w:w="1001"/>
      </w:tblGrid>
      <w:tr w:rsidR="00DE72F0" w:rsidRPr="00F25B40" w14:paraId="2226EAD6" w14:textId="77777777" w:rsidTr="00C30F34">
        <w:tc>
          <w:tcPr>
            <w:tcW w:w="1062" w:type="dxa"/>
            <w:vMerge w:val="restart"/>
            <w:tcBorders>
              <w:top w:val="single" w:sz="12" w:space="0" w:color="auto"/>
              <w:left w:val="nil"/>
              <w:bottom w:val="single" w:sz="12" w:space="0" w:color="auto"/>
              <w:right w:val="nil"/>
            </w:tcBorders>
            <w:vAlign w:val="center"/>
          </w:tcPr>
          <w:p w14:paraId="174D0D5B"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Complex</w:t>
            </w:r>
          </w:p>
        </w:tc>
        <w:tc>
          <w:tcPr>
            <w:tcW w:w="2000" w:type="dxa"/>
            <w:gridSpan w:val="2"/>
            <w:tcBorders>
              <w:top w:val="single" w:sz="12" w:space="0" w:color="auto"/>
              <w:left w:val="nil"/>
              <w:bottom w:val="single" w:sz="12" w:space="0" w:color="auto"/>
              <w:right w:val="nil"/>
            </w:tcBorders>
            <w:vAlign w:val="center"/>
          </w:tcPr>
          <w:p w14:paraId="02061C20"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C</w:t>
            </w:r>
          </w:p>
        </w:tc>
        <w:tc>
          <w:tcPr>
            <w:tcW w:w="2000" w:type="dxa"/>
            <w:gridSpan w:val="2"/>
            <w:tcBorders>
              <w:top w:val="single" w:sz="12" w:space="0" w:color="auto"/>
              <w:left w:val="nil"/>
              <w:bottom w:val="single" w:sz="12" w:space="0" w:color="auto"/>
              <w:right w:val="nil"/>
            </w:tcBorders>
            <w:vAlign w:val="center"/>
          </w:tcPr>
          <w:p w14:paraId="3F71B6B7"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H</w:t>
            </w:r>
          </w:p>
        </w:tc>
        <w:tc>
          <w:tcPr>
            <w:tcW w:w="2000" w:type="dxa"/>
            <w:gridSpan w:val="2"/>
            <w:tcBorders>
              <w:top w:val="single" w:sz="12" w:space="0" w:color="auto"/>
              <w:left w:val="nil"/>
              <w:bottom w:val="single" w:sz="12" w:space="0" w:color="auto"/>
              <w:right w:val="nil"/>
            </w:tcBorders>
            <w:vAlign w:val="center"/>
          </w:tcPr>
          <w:p w14:paraId="087B6214"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N</w:t>
            </w:r>
          </w:p>
        </w:tc>
        <w:tc>
          <w:tcPr>
            <w:tcW w:w="2000" w:type="dxa"/>
            <w:gridSpan w:val="2"/>
            <w:tcBorders>
              <w:top w:val="single" w:sz="12" w:space="0" w:color="auto"/>
              <w:left w:val="nil"/>
              <w:bottom w:val="single" w:sz="12" w:space="0" w:color="auto"/>
              <w:right w:val="nil"/>
            </w:tcBorders>
            <w:vAlign w:val="center"/>
          </w:tcPr>
          <w:p w14:paraId="006E4A59"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Metal</w:t>
            </w:r>
          </w:p>
        </w:tc>
      </w:tr>
      <w:tr w:rsidR="00DE72F0" w:rsidRPr="00F25B40" w14:paraId="04E7EE2B" w14:textId="77777777" w:rsidTr="00C30F34">
        <w:tc>
          <w:tcPr>
            <w:tcW w:w="1062" w:type="dxa"/>
            <w:vMerge/>
            <w:tcBorders>
              <w:top w:val="nil"/>
              <w:left w:val="nil"/>
              <w:bottom w:val="single" w:sz="12" w:space="0" w:color="auto"/>
              <w:right w:val="nil"/>
            </w:tcBorders>
            <w:vAlign w:val="center"/>
          </w:tcPr>
          <w:p w14:paraId="4A0BD78E" w14:textId="77777777" w:rsidR="00DE72F0" w:rsidRPr="00F25B40" w:rsidRDefault="00DE72F0" w:rsidP="00A57067">
            <w:pPr>
              <w:spacing w:after="0" w:line="240" w:lineRule="auto"/>
              <w:jc w:val="both"/>
              <w:rPr>
                <w:rFonts w:ascii="Arial" w:hAnsi="Arial" w:cs="Arial"/>
                <w:b/>
                <w:bCs/>
                <w:sz w:val="20"/>
                <w:szCs w:val="20"/>
                <w:lang w:val="en-US"/>
              </w:rPr>
            </w:pPr>
          </w:p>
        </w:tc>
        <w:tc>
          <w:tcPr>
            <w:tcW w:w="1000" w:type="dxa"/>
            <w:tcBorders>
              <w:top w:val="single" w:sz="12" w:space="0" w:color="auto"/>
              <w:left w:val="nil"/>
              <w:bottom w:val="single" w:sz="12" w:space="0" w:color="auto"/>
              <w:right w:val="nil"/>
            </w:tcBorders>
            <w:vAlign w:val="center"/>
          </w:tcPr>
          <w:p w14:paraId="43593053"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0" w:type="dxa"/>
            <w:tcBorders>
              <w:top w:val="single" w:sz="12" w:space="0" w:color="auto"/>
              <w:left w:val="nil"/>
              <w:bottom w:val="single" w:sz="12" w:space="0" w:color="auto"/>
              <w:right w:val="nil"/>
            </w:tcBorders>
            <w:vAlign w:val="center"/>
          </w:tcPr>
          <w:p w14:paraId="4F9FB81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3D673A2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3C2FC40A"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0F80787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4E9B50D7"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3779247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3D79CE3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r>
      <w:tr w:rsidR="00DE72F0" w:rsidRPr="00F25B40" w14:paraId="5789334A" w14:textId="77777777" w:rsidTr="00C30F34">
        <w:tc>
          <w:tcPr>
            <w:tcW w:w="1062" w:type="dxa"/>
            <w:tcBorders>
              <w:top w:val="single" w:sz="12" w:space="0" w:color="auto"/>
              <w:left w:val="nil"/>
              <w:bottom w:val="nil"/>
              <w:right w:val="nil"/>
            </w:tcBorders>
            <w:vAlign w:val="center"/>
          </w:tcPr>
          <w:p w14:paraId="50A89C38"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1</w:t>
            </w:r>
          </w:p>
        </w:tc>
        <w:tc>
          <w:tcPr>
            <w:tcW w:w="1000" w:type="dxa"/>
            <w:tcBorders>
              <w:top w:val="single" w:sz="12" w:space="0" w:color="auto"/>
              <w:left w:val="nil"/>
              <w:bottom w:val="nil"/>
              <w:right w:val="nil"/>
            </w:tcBorders>
            <w:vAlign w:val="center"/>
          </w:tcPr>
          <w:p w14:paraId="6F7DFDD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45.46</w:t>
            </w:r>
          </w:p>
        </w:tc>
        <w:tc>
          <w:tcPr>
            <w:tcW w:w="1000" w:type="dxa"/>
            <w:tcBorders>
              <w:top w:val="single" w:sz="12" w:space="0" w:color="auto"/>
              <w:left w:val="nil"/>
              <w:bottom w:val="nil"/>
              <w:right w:val="nil"/>
            </w:tcBorders>
            <w:vAlign w:val="center"/>
          </w:tcPr>
          <w:p w14:paraId="4F7EFCDD"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45.43</w:t>
            </w:r>
          </w:p>
        </w:tc>
        <w:tc>
          <w:tcPr>
            <w:tcW w:w="999" w:type="dxa"/>
            <w:tcBorders>
              <w:top w:val="single" w:sz="12" w:space="0" w:color="auto"/>
              <w:left w:val="nil"/>
              <w:bottom w:val="nil"/>
              <w:right w:val="nil"/>
            </w:tcBorders>
            <w:vAlign w:val="center"/>
          </w:tcPr>
          <w:p w14:paraId="55B77E21"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4.91</w:t>
            </w:r>
          </w:p>
        </w:tc>
        <w:tc>
          <w:tcPr>
            <w:tcW w:w="1001" w:type="dxa"/>
            <w:tcBorders>
              <w:top w:val="single" w:sz="12" w:space="0" w:color="auto"/>
              <w:left w:val="nil"/>
              <w:bottom w:val="nil"/>
              <w:right w:val="nil"/>
            </w:tcBorders>
            <w:vAlign w:val="center"/>
          </w:tcPr>
          <w:p w14:paraId="7B6E9BA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4.85</w:t>
            </w:r>
          </w:p>
        </w:tc>
        <w:tc>
          <w:tcPr>
            <w:tcW w:w="999" w:type="dxa"/>
            <w:tcBorders>
              <w:top w:val="single" w:sz="12" w:space="0" w:color="auto"/>
              <w:left w:val="nil"/>
              <w:bottom w:val="nil"/>
              <w:right w:val="nil"/>
            </w:tcBorders>
            <w:vAlign w:val="center"/>
          </w:tcPr>
          <w:p w14:paraId="5D55D2B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15.15</w:t>
            </w:r>
          </w:p>
        </w:tc>
        <w:tc>
          <w:tcPr>
            <w:tcW w:w="1001" w:type="dxa"/>
            <w:tcBorders>
              <w:top w:val="single" w:sz="12" w:space="0" w:color="auto"/>
              <w:left w:val="nil"/>
              <w:bottom w:val="nil"/>
              <w:right w:val="nil"/>
            </w:tcBorders>
            <w:vAlign w:val="center"/>
          </w:tcPr>
          <w:p w14:paraId="4082C01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15.12</w:t>
            </w:r>
          </w:p>
        </w:tc>
        <w:tc>
          <w:tcPr>
            <w:tcW w:w="999" w:type="dxa"/>
            <w:tcBorders>
              <w:top w:val="single" w:sz="12" w:space="0" w:color="auto"/>
              <w:left w:val="nil"/>
              <w:bottom w:val="nil"/>
              <w:right w:val="nil"/>
            </w:tcBorders>
            <w:vAlign w:val="center"/>
          </w:tcPr>
          <w:p w14:paraId="730F9F2C"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17.18</w:t>
            </w:r>
          </w:p>
        </w:tc>
        <w:tc>
          <w:tcPr>
            <w:tcW w:w="1001" w:type="dxa"/>
            <w:tcBorders>
              <w:top w:val="single" w:sz="12" w:space="0" w:color="auto"/>
              <w:left w:val="nil"/>
              <w:bottom w:val="nil"/>
              <w:right w:val="nil"/>
            </w:tcBorders>
            <w:vAlign w:val="center"/>
          </w:tcPr>
          <w:p w14:paraId="395A4801"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17.13</w:t>
            </w:r>
          </w:p>
        </w:tc>
      </w:tr>
      <w:tr w:rsidR="00DE72F0" w:rsidRPr="00F25B40" w14:paraId="680E9581" w14:textId="77777777" w:rsidTr="00C30F34">
        <w:tc>
          <w:tcPr>
            <w:tcW w:w="1062" w:type="dxa"/>
            <w:tcBorders>
              <w:top w:val="nil"/>
              <w:left w:val="nil"/>
              <w:bottom w:val="single" w:sz="12" w:space="0" w:color="auto"/>
              <w:right w:val="nil"/>
            </w:tcBorders>
            <w:vAlign w:val="center"/>
          </w:tcPr>
          <w:p w14:paraId="4581916C"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2</w:t>
            </w:r>
          </w:p>
        </w:tc>
        <w:tc>
          <w:tcPr>
            <w:tcW w:w="1000" w:type="dxa"/>
            <w:tcBorders>
              <w:top w:val="nil"/>
              <w:left w:val="nil"/>
              <w:bottom w:val="single" w:sz="12" w:space="0" w:color="auto"/>
              <w:right w:val="nil"/>
            </w:tcBorders>
            <w:vAlign w:val="center"/>
          </w:tcPr>
          <w:p w14:paraId="16B4B986"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43.41</w:t>
            </w:r>
          </w:p>
        </w:tc>
        <w:tc>
          <w:tcPr>
            <w:tcW w:w="1000" w:type="dxa"/>
            <w:tcBorders>
              <w:top w:val="nil"/>
              <w:left w:val="nil"/>
              <w:bottom w:val="single" w:sz="12" w:space="0" w:color="auto"/>
              <w:right w:val="nil"/>
            </w:tcBorders>
            <w:vAlign w:val="center"/>
          </w:tcPr>
          <w:p w14:paraId="2E3E02A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43.39</w:t>
            </w:r>
          </w:p>
        </w:tc>
        <w:tc>
          <w:tcPr>
            <w:tcW w:w="999" w:type="dxa"/>
            <w:tcBorders>
              <w:top w:val="nil"/>
              <w:left w:val="nil"/>
              <w:bottom w:val="single" w:sz="12" w:space="0" w:color="auto"/>
              <w:right w:val="nil"/>
            </w:tcBorders>
            <w:vAlign w:val="center"/>
          </w:tcPr>
          <w:p w14:paraId="1BF78FC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5.04</w:t>
            </w:r>
          </w:p>
        </w:tc>
        <w:tc>
          <w:tcPr>
            <w:tcW w:w="1001" w:type="dxa"/>
            <w:tcBorders>
              <w:top w:val="nil"/>
              <w:left w:val="nil"/>
              <w:bottom w:val="single" w:sz="12" w:space="0" w:color="auto"/>
              <w:right w:val="nil"/>
            </w:tcBorders>
            <w:vAlign w:val="center"/>
          </w:tcPr>
          <w:p w14:paraId="03530B4D"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4.99</w:t>
            </w:r>
          </w:p>
        </w:tc>
        <w:tc>
          <w:tcPr>
            <w:tcW w:w="999" w:type="dxa"/>
            <w:tcBorders>
              <w:top w:val="nil"/>
              <w:left w:val="nil"/>
              <w:bottom w:val="single" w:sz="12" w:space="0" w:color="auto"/>
              <w:right w:val="nil"/>
            </w:tcBorders>
            <w:vAlign w:val="center"/>
          </w:tcPr>
          <w:p w14:paraId="23E54C2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15.58</w:t>
            </w:r>
          </w:p>
        </w:tc>
        <w:tc>
          <w:tcPr>
            <w:tcW w:w="1001" w:type="dxa"/>
            <w:tcBorders>
              <w:top w:val="nil"/>
              <w:left w:val="nil"/>
              <w:bottom w:val="single" w:sz="12" w:space="0" w:color="auto"/>
              <w:right w:val="nil"/>
            </w:tcBorders>
            <w:vAlign w:val="center"/>
          </w:tcPr>
          <w:p w14:paraId="2EA87E4B"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15.52</w:t>
            </w:r>
          </w:p>
        </w:tc>
        <w:tc>
          <w:tcPr>
            <w:tcW w:w="999" w:type="dxa"/>
            <w:tcBorders>
              <w:top w:val="nil"/>
              <w:left w:val="nil"/>
              <w:bottom w:val="single" w:sz="12" w:space="0" w:color="auto"/>
              <w:right w:val="nil"/>
            </w:tcBorders>
            <w:vAlign w:val="center"/>
          </w:tcPr>
          <w:p w14:paraId="1101DE36"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18.18</w:t>
            </w:r>
          </w:p>
        </w:tc>
        <w:tc>
          <w:tcPr>
            <w:tcW w:w="1001" w:type="dxa"/>
            <w:tcBorders>
              <w:top w:val="nil"/>
              <w:left w:val="nil"/>
              <w:bottom w:val="single" w:sz="12" w:space="0" w:color="auto"/>
              <w:right w:val="nil"/>
            </w:tcBorders>
            <w:vAlign w:val="center"/>
          </w:tcPr>
          <w:p w14:paraId="0FB684BA"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18.13</w:t>
            </w:r>
          </w:p>
        </w:tc>
      </w:tr>
    </w:tbl>
    <w:p w14:paraId="0C4ACC0E" w14:textId="77777777" w:rsidR="00C30F34" w:rsidRPr="00F25B40" w:rsidRDefault="00C30F34" w:rsidP="00A57067">
      <w:pPr>
        <w:spacing w:after="0" w:line="240" w:lineRule="auto"/>
        <w:jc w:val="both"/>
        <w:rPr>
          <w:rFonts w:ascii="Arial" w:hAnsi="Arial" w:cs="Arial"/>
          <w:b/>
          <w:bCs/>
          <w:sz w:val="20"/>
          <w:szCs w:val="20"/>
          <w:lang w:val="en-US"/>
        </w:rPr>
      </w:pPr>
    </w:p>
    <w:p w14:paraId="664E4159" w14:textId="63714AAD" w:rsidR="00260D7D" w:rsidRPr="00F25B40" w:rsidRDefault="00260D7D" w:rsidP="00F122B0">
      <w:pPr>
        <w:pStyle w:val="Heading3"/>
      </w:pPr>
      <w:r w:rsidRPr="00F25B40">
        <w:t>Spectroscopic study of complexes 1 and 2</w:t>
      </w:r>
    </w:p>
    <w:p w14:paraId="37FA2B4F" w14:textId="009AAD60" w:rsidR="00231E7E" w:rsidRPr="00A74A23" w:rsidRDefault="003171C8" w:rsidP="00A57067">
      <w:pPr>
        <w:spacing w:line="240" w:lineRule="auto"/>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w:t>
      </w:r>
      <w:r w:rsidR="007849CB" w:rsidRPr="00A74A23">
        <w:rPr>
          <w:rFonts w:ascii="Arial" w:hAnsi="Arial" w:cs="Arial"/>
          <w:bCs/>
          <w:color w:val="000000" w:themeColor="text1"/>
          <w:sz w:val="20"/>
          <w:szCs w:val="20"/>
          <w:lang w:val="en-US"/>
        </w:rPr>
        <w:t>The F</w:t>
      </w:r>
      <w:r w:rsidR="002630F9" w:rsidRPr="00A74A23">
        <w:rPr>
          <w:rFonts w:ascii="Arial" w:hAnsi="Arial" w:cs="Arial"/>
          <w:bCs/>
          <w:color w:val="000000" w:themeColor="text1"/>
          <w:sz w:val="20"/>
          <w:szCs w:val="20"/>
          <w:lang w:val="en-US"/>
        </w:rPr>
        <w:t>TIR spectr</w:t>
      </w:r>
      <w:r w:rsidR="00F85809" w:rsidRPr="00A74A23">
        <w:rPr>
          <w:rFonts w:ascii="Arial" w:hAnsi="Arial" w:cs="Arial"/>
          <w:bCs/>
          <w:color w:val="000000" w:themeColor="text1"/>
          <w:sz w:val="20"/>
          <w:szCs w:val="20"/>
          <w:lang w:val="en-US"/>
        </w:rPr>
        <w:t>a</w:t>
      </w:r>
      <w:r w:rsidR="002630F9" w:rsidRPr="00A74A23">
        <w:rPr>
          <w:rFonts w:ascii="Arial" w:hAnsi="Arial" w:cs="Arial"/>
          <w:bCs/>
          <w:color w:val="000000" w:themeColor="text1"/>
          <w:sz w:val="20"/>
          <w:szCs w:val="20"/>
          <w:lang w:val="en-US"/>
        </w:rPr>
        <w:t xml:space="preserve"> of the complexes are used to study the coordination modes of the carboxylates moieties in the </w:t>
      </w:r>
      <w:r w:rsidR="00B04CF6" w:rsidRPr="00A74A23">
        <w:rPr>
          <w:rFonts w:ascii="Arial" w:hAnsi="Arial" w:cs="Arial"/>
          <w:bCs/>
          <w:color w:val="000000" w:themeColor="text1"/>
          <w:sz w:val="20"/>
          <w:szCs w:val="20"/>
          <w:lang w:val="en-US"/>
        </w:rPr>
        <w:t>copper (</w:t>
      </w:r>
      <w:r w:rsidR="00B04CF6" w:rsidRPr="00A74A23">
        <w:rPr>
          <w:rFonts w:ascii="Arial" w:hAnsi="Arial" w:cs="Arial"/>
          <w:b/>
          <w:color w:val="000000" w:themeColor="text1"/>
          <w:sz w:val="20"/>
          <w:szCs w:val="20"/>
          <w:lang w:val="en-US"/>
        </w:rPr>
        <w:t>1</w:t>
      </w:r>
      <w:r w:rsidR="00B04CF6" w:rsidRPr="00A74A23">
        <w:rPr>
          <w:rFonts w:ascii="Arial" w:hAnsi="Arial" w:cs="Arial"/>
          <w:bCs/>
          <w:color w:val="000000" w:themeColor="text1"/>
          <w:sz w:val="20"/>
          <w:szCs w:val="20"/>
          <w:lang w:val="en-US"/>
        </w:rPr>
        <w:t>) and zinc (</w:t>
      </w:r>
      <w:r w:rsidR="00B04CF6" w:rsidRPr="00A74A23">
        <w:rPr>
          <w:rFonts w:ascii="Arial" w:hAnsi="Arial" w:cs="Arial"/>
          <w:b/>
          <w:color w:val="000000" w:themeColor="text1"/>
          <w:sz w:val="20"/>
          <w:szCs w:val="20"/>
          <w:lang w:val="en-US"/>
        </w:rPr>
        <w:t>2</w:t>
      </w:r>
      <w:r w:rsidR="00B04CF6" w:rsidRPr="00A74A23">
        <w:rPr>
          <w:rFonts w:ascii="Arial" w:hAnsi="Arial" w:cs="Arial"/>
          <w:bCs/>
          <w:color w:val="000000" w:themeColor="text1"/>
          <w:sz w:val="20"/>
          <w:szCs w:val="20"/>
          <w:lang w:val="en-US"/>
        </w:rPr>
        <w:t>)</w:t>
      </w:r>
      <w:r w:rsidR="002630F9" w:rsidRPr="00A74A23">
        <w:rPr>
          <w:rFonts w:ascii="Arial" w:hAnsi="Arial" w:cs="Arial"/>
          <w:bCs/>
          <w:color w:val="000000" w:themeColor="text1"/>
          <w:sz w:val="20"/>
          <w:szCs w:val="20"/>
          <w:lang w:val="en-US"/>
        </w:rPr>
        <w:t xml:space="preserve"> complexes</w:t>
      </w:r>
      <w:r w:rsidR="00B04CF6" w:rsidRPr="00A74A23">
        <w:rPr>
          <w:rFonts w:ascii="Arial" w:hAnsi="Arial" w:cs="Arial"/>
          <w:bCs/>
          <w:color w:val="000000" w:themeColor="text1"/>
          <w:sz w:val="20"/>
          <w:szCs w:val="20"/>
          <w:lang w:val="en-US"/>
        </w:rPr>
        <w:t>.</w:t>
      </w:r>
      <w:r w:rsidR="002630F9"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t>The stretching vibrations centered at about 1598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and 1560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for complex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xml:space="preserve"> are assigned, respectively, to the asymmetric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 xml:space="preserve"> and the symmetric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 xml:space="preserve"> vibrations mode of the carboxylate groups. The FTIR spectrum of complex </w:t>
      </w:r>
      <w:r w:rsidR="00714A3F" w:rsidRPr="00A74A23">
        <w:rPr>
          <w:rFonts w:ascii="Arial" w:hAnsi="Arial" w:cs="Arial"/>
          <w:b/>
          <w:color w:val="000000" w:themeColor="text1"/>
          <w:sz w:val="20"/>
          <w:szCs w:val="20"/>
          <w:lang w:val="en-US"/>
        </w:rPr>
        <w:t>2</w:t>
      </w:r>
      <w:r w:rsidR="00714A3F" w:rsidRPr="00A74A23">
        <w:rPr>
          <w:rFonts w:ascii="Arial" w:hAnsi="Arial" w:cs="Arial"/>
          <w:bCs/>
          <w:color w:val="000000" w:themeColor="text1"/>
          <w:sz w:val="20"/>
          <w:szCs w:val="20"/>
          <w:lang w:val="en-US"/>
        </w:rPr>
        <w:t xml:space="preserve"> shows two bands at 1605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 and 1388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w:t>
      </w:r>
      <w:r w:rsidR="00FF0607" w:rsidRPr="00A74A23">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w:t>
      </w:r>
      <w:r w:rsidR="00FF0607"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 xml:space="preserve"> is a criterion to distinguish the possible coordination modes of the carboxylate moiety according to Deacon and Philips</w:t>
      </w:r>
      <w:r>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 </w:t>
      </w:r>
      <w:r w:rsidR="00632358"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{"citationID":"lazcZkbm","properties":{"formattedCitation":"(Deacon &amp; Phillips, 1980)","plainCitation":"(Deacon &amp; Phillips, 1980)","noteIndex":0},"citationItems":[{"id":645,"uris":["http://zotero.org/users/local/JzcqJHT8/items/DPMKTYQ9"],"itemData":{"id":645,"type":"article-journal","container-title":"Coordination Chemistry Reviews","DOI":"https://doi.org/10.1016/S0010-8545(00)80455-5","ISSN":"0010-8545","issue":"3","page":"227-250","title":"Relationships between the carbon-oxygen stretching frequencies of carboxylato complexes and the type of carboxylate coordination","volume":"33","author":[{"family":"Deacon","given":"G. B."},{"family":"Phillips","given":"R. J."}],"issued":{"date-parts":[["1980"]]}}}],"schema":"https://github.com/citation-style-language/schema/raw/master/csl-citation.json"} </w:instrText>
      </w:r>
      <w:r w:rsidR="00632358"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(Deacon &amp; Phillips, 1980)</w:t>
      </w:r>
      <w:r w:rsidR="00632358" w:rsidRPr="00A74A23">
        <w:rPr>
          <w:rFonts w:ascii="Arial" w:hAnsi="Arial" w:cs="Arial"/>
          <w:bCs/>
          <w:color w:val="000000" w:themeColor="text1"/>
          <w:sz w:val="20"/>
          <w:szCs w:val="20"/>
          <w:lang w:val="en-US"/>
        </w:rPr>
        <w:fldChar w:fldCharType="end"/>
      </w:r>
      <w:r w:rsidR="00714A3F"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when the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(164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of ionic acetate was taken as reference. Increasing of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is indicative of monodentate bonding carboxylate group, while decreasing of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is indicative of bidentate chelating carboxylate group. For bidentate bridging mode of carboxylate group,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remains similar to free anion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value. The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values of 38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and 217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are indicative of bidentate chelating carboxylate in complex </w:t>
      </w:r>
      <w:r w:rsidR="00714A3F" w:rsidRPr="00A74A23">
        <w:rPr>
          <w:rFonts w:ascii="Arial" w:hAnsi="Arial" w:cs="Arial"/>
          <w:b/>
          <w:color w:val="000000" w:themeColor="text1"/>
          <w:sz w:val="20"/>
          <w:szCs w:val="20"/>
          <w:lang w:val="en-US"/>
        </w:rPr>
        <w:t>1</w:t>
      </w:r>
      <w:r w:rsidR="00714A3F" w:rsidRPr="00A74A23">
        <w:rPr>
          <w:rFonts w:ascii="Arial" w:hAnsi="Arial" w:cs="Arial"/>
          <w:bCs/>
          <w:color w:val="000000" w:themeColor="text1"/>
          <w:sz w:val="20"/>
          <w:szCs w:val="20"/>
          <w:lang w:val="en-US"/>
        </w:rPr>
        <w:t xml:space="preserve"> and monodentate bonding carboxylate in complex </w:t>
      </w:r>
      <w:r w:rsidR="00714A3F" w:rsidRPr="00A74A23">
        <w:rPr>
          <w:rFonts w:ascii="Arial" w:hAnsi="Arial" w:cs="Arial"/>
          <w:b/>
          <w:color w:val="000000" w:themeColor="text1"/>
          <w:sz w:val="20"/>
          <w:szCs w:val="20"/>
          <w:lang w:val="en-US"/>
        </w:rPr>
        <w:t>2</w:t>
      </w:r>
      <w:r w:rsidR="00714A3F" w:rsidRPr="00A74A23">
        <w:rPr>
          <w:rFonts w:ascii="Arial" w:hAnsi="Arial" w:cs="Arial"/>
          <w:bCs/>
          <w:color w:val="000000" w:themeColor="text1"/>
          <w:sz w:val="20"/>
          <w:szCs w:val="20"/>
          <w:lang w:val="en-US"/>
        </w:rPr>
        <w:t>.  Some peaks belonging to aromatic imidazole ring stretching vibrations are also observed at about 1470–1350 cm</w:t>
      </w:r>
      <w:r w:rsidR="00714A3F" w:rsidRPr="00A74A23">
        <w:rPr>
          <w:rFonts w:ascii="Arial" w:hAnsi="Arial" w:cs="Arial"/>
          <w:bCs/>
          <w:color w:val="000000" w:themeColor="text1"/>
          <w:sz w:val="20"/>
          <w:szCs w:val="20"/>
          <w:vertAlign w:val="superscript"/>
          <w:lang w:val="en-US"/>
        </w:rPr>
        <w:t>-1</w:t>
      </w:r>
      <w:r>
        <w:rPr>
          <w:rFonts w:ascii="Arial" w:hAnsi="Arial" w:cs="Arial"/>
          <w:bCs/>
          <w:color w:val="000000" w:themeColor="text1"/>
          <w:sz w:val="20"/>
          <w:szCs w:val="20"/>
          <w:vertAlign w:val="superscript"/>
          <w:lang w:val="en-US"/>
        </w:rPr>
        <w:t>”</w:t>
      </w:r>
      <w:r w:rsidR="00714A3F" w:rsidRPr="00A74A23">
        <w:rPr>
          <w:rFonts w:ascii="Arial" w:hAnsi="Arial" w:cs="Arial"/>
          <w:bCs/>
          <w:color w:val="000000" w:themeColor="text1"/>
          <w:sz w:val="20"/>
          <w:szCs w:val="20"/>
          <w:vertAlign w:val="superscript"/>
          <w:lang w:val="en-US"/>
        </w:rPr>
        <w:t xml:space="preserve"> </w:t>
      </w:r>
      <w:r w:rsidR="00F47D43" w:rsidRPr="00A74A23">
        <w:rPr>
          <w:rFonts w:ascii="Arial" w:hAnsi="Arial" w:cs="Arial"/>
          <w:bCs/>
          <w:color w:val="000000" w:themeColor="text1"/>
          <w:sz w:val="20"/>
          <w:szCs w:val="20"/>
          <w:vertAlign w:val="superscript"/>
          <w:lang w:val="en-US"/>
        </w:rPr>
        <w:fldChar w:fldCharType="begin"/>
      </w:r>
      <w:r w:rsidR="002E71C7" w:rsidRPr="00A74A23">
        <w:rPr>
          <w:rFonts w:ascii="Arial" w:hAnsi="Arial" w:cs="Arial"/>
          <w:bCs/>
          <w:color w:val="000000" w:themeColor="text1"/>
          <w:sz w:val="20"/>
          <w:szCs w:val="20"/>
          <w:vertAlign w:val="superscript"/>
          <w:lang w:val="en-US"/>
        </w:rPr>
        <w:instrText xml:space="preserve"> ADDIN ZOTERO_ITEM CSL_CITATION {"citationID":"RltSdxy2","properties":{"formattedCitation":"(Risoluti et al., 2016)","plainCitation":"(Risoluti et al., 2016)","noteIndex":0},"citationItems":[{"id":3684,"uris":["http://zotero.org/users/local/JzcqJHT8/items/SZEW7894"],"itemData":{"id":3684,"type":"article-journal","abstract":"Imidazole derivative ligands are recognized as useful models for biomimetic complexes. Among the inorganic–organic hybrid complexes, those with derivatives of imidazole heterocyclic N-donor ligands are interesting for their framework. In previous studies of complexes with imidazole derivative ligands, our group reported two main thermally induced decomposition behaviors supporting two different systematic decomposition trends. In this work, one of these characteristic decomposition mechanisms was again found. The final goal of these serial studies is the possibility to provide, by the experimental evidences, a prediction model of thermal stability and decomposition typical behavior by comparing the structural characteristics of a precipitated complex. 2-(2′-Pyridyl)imidazole complexes with transition metal ions of general formula M(PyrIm)2(H2O)2 (where M=Cu, Zn, Cd, Mn or Co) were synthesized, characterized and studied by thermoanalytical techniques coupled to mass spectrometry, to suggest their decomposition mechanism by Evolved Gas Analysis (EGA–MS). Complexes also showed the interesting possibility to be precipitated with two methanol molecules in the structure and to replace methanol molecules with water molecules under controlled conditions.","container-title":"Journal of Analytical and Applied Pyrolysis","DOI":"https://doi.org/10.1016/j.jaap.2015.11.018","ISSN":"0165-2370","page":"82-87","title":"Study of [2-(2′-pyridyl)imidazole] complexes to confirm two main characteristic thermoanalytical behaviors of transition metal complexes based on imidazole derivatives","volume":"117","author":[{"family":"Risoluti","given":"R."},{"family":"Piazzese","given":"D."},{"family":"Napoli","given":"A."},{"family":"Materazzi","given":"S."}],"issued":{"date-parts":[["2016"]]}}}],"schema":"https://github.com/citation-style-language/schema/raw/master/csl-citation.json"} </w:instrText>
      </w:r>
      <w:r w:rsidR="00F47D43" w:rsidRPr="00A74A23">
        <w:rPr>
          <w:rFonts w:ascii="Arial" w:hAnsi="Arial" w:cs="Arial"/>
          <w:bCs/>
          <w:color w:val="000000" w:themeColor="text1"/>
          <w:sz w:val="20"/>
          <w:szCs w:val="20"/>
          <w:vertAlign w:val="superscript"/>
          <w:lang w:val="en-US"/>
        </w:rPr>
        <w:fldChar w:fldCharType="separate"/>
      </w:r>
      <w:r w:rsidR="002E71C7" w:rsidRPr="00A74A23">
        <w:rPr>
          <w:rFonts w:ascii="Arial" w:hAnsi="Arial" w:cs="Arial"/>
          <w:color w:val="000000" w:themeColor="text1"/>
          <w:sz w:val="20"/>
          <w:lang w:val="en-US"/>
        </w:rPr>
        <w:t>(</w:t>
      </w:r>
      <w:proofErr w:type="spellStart"/>
      <w:r w:rsidR="002E71C7" w:rsidRPr="00A74A23">
        <w:rPr>
          <w:rFonts w:ascii="Arial" w:hAnsi="Arial" w:cs="Arial"/>
          <w:color w:val="000000" w:themeColor="text1"/>
          <w:sz w:val="20"/>
          <w:lang w:val="en-US"/>
        </w:rPr>
        <w:t>Risoluti</w:t>
      </w:r>
      <w:proofErr w:type="spellEnd"/>
      <w:r w:rsidR="002E71C7" w:rsidRPr="00A74A23">
        <w:rPr>
          <w:rFonts w:ascii="Arial" w:hAnsi="Arial" w:cs="Arial"/>
          <w:color w:val="000000" w:themeColor="text1"/>
          <w:sz w:val="20"/>
          <w:lang w:val="en-US"/>
        </w:rPr>
        <w:t xml:space="preserve"> et al., 2016)</w:t>
      </w:r>
      <w:r w:rsidR="00F47D43" w:rsidRPr="00A74A23">
        <w:rPr>
          <w:rFonts w:ascii="Arial" w:hAnsi="Arial" w:cs="Arial"/>
          <w:bCs/>
          <w:color w:val="000000" w:themeColor="text1"/>
          <w:sz w:val="20"/>
          <w:szCs w:val="20"/>
          <w:vertAlign w:val="superscript"/>
          <w:lang w:val="en-US"/>
        </w:rPr>
        <w:fldChar w:fldCharType="end"/>
      </w:r>
      <w:r w:rsidR="00714A3F"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At </w:t>
      </w:r>
      <w:r w:rsidR="00714A3F" w:rsidRPr="00A74A23">
        <w:rPr>
          <w:rFonts w:ascii="Arial" w:hAnsi="Arial" w:cs="Arial"/>
          <w:bCs/>
          <w:i/>
          <w:iCs/>
          <w:color w:val="000000" w:themeColor="text1"/>
          <w:sz w:val="20"/>
          <w:szCs w:val="20"/>
          <w:lang w:val="en-US"/>
        </w:rPr>
        <w:t>ca</w:t>
      </w:r>
      <w:r w:rsidR="00714A3F" w:rsidRPr="00A74A23">
        <w:rPr>
          <w:rFonts w:ascii="Arial" w:hAnsi="Arial" w:cs="Arial"/>
          <w:bCs/>
          <w:color w:val="000000" w:themeColor="text1"/>
          <w:sz w:val="20"/>
          <w:szCs w:val="20"/>
          <w:lang w:val="en-US"/>
        </w:rPr>
        <w:t>.1240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there are peaks corresponding to C–O stretching vibrations. Vibrations pointed at 1531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and 1535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2</w:t>
      </w:r>
      <w:r w:rsidR="00714A3F" w:rsidRPr="00A74A23">
        <w:rPr>
          <w:rFonts w:ascii="Arial" w:hAnsi="Arial" w:cs="Arial"/>
          <w:bCs/>
          <w:color w:val="000000" w:themeColor="text1"/>
          <w:sz w:val="20"/>
          <w:szCs w:val="20"/>
          <w:lang w:val="en-US"/>
        </w:rPr>
        <w:t xml:space="preserve">) can be assigned to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C=N</w:t>
      </w:r>
      <w:r w:rsidR="00714A3F" w:rsidRPr="00A74A23">
        <w:rPr>
          <w:rFonts w:ascii="Arial" w:hAnsi="Arial" w:cs="Arial"/>
          <w:bCs/>
          <w:color w:val="000000" w:themeColor="text1"/>
          <w:sz w:val="20"/>
          <w:szCs w:val="20"/>
          <w:lang w:val="en-US"/>
        </w:rPr>
        <w:t xml:space="preserve"> of the imidazole ring</w:t>
      </w:r>
      <w:r>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 </w:t>
      </w:r>
      <w:r w:rsidR="006E5EC0"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{"citationID":"2NibEWTz","properties":{"formattedCitation":"(Yazicilar et al., 2009)","plainCitation":"(Yazicilar et al., 2009)","noteIndex":0},"citationItems":[{"id":3685,"uris":["http://zotero.org/users/local/JzcqJHT8/items/N9I7JPQY"],"itemData":{"id":3685,"type":"article-journal","abstract":"Four novel transition metal benzenesulfonate (BS) complexes of imidazole (im) with a general formula [M(imH)(3)(H2O)(3)]center dot(BS)(2) [M=Mn(II) (1), Ni(II) (2), Co(II) (3)] and [Cu(BS)(imH)(3)]center dot(BS) (4) have been synthesized and characterized by physicochemical and spectroscopic methods. The complexes 2 and 3 have also been characterized by single X-ray diffraction technique. The BS anion in complexes 1-3 acts as a counter anion, while in complex 4, it acts as both ligand and counter anion. The Ni and Co complexes are isomorphous, crystallizing in the monoclinic crystal system with C2/c space group. Each metal(II) atom in 2 and 3 is octahedrally coordinated by three imidazole and three aqua ligands, adopting a mer-coordination mode with Ni(II) or Co(II) centers. In both 2 and 3, the H2C atom has bifurcated donor (O3 and O5) atoms, forming a bifurcated hydrogen bond. This hydrogen bond links the complex cation and BS anion, forming one-dimensional hydrogen-bonded supramolecular chains. The complexes exhibit different decomposition characteristics. Magnetic susceptibility measurement shows that complex 3 has orbital interactions.","container-title":"TRANSITION METAL CHEMISTRY","DOI":"10.1007/s11243-009-9246-4","ISSN":"0340-4285","issue":"6","language":"eng","source":"avesis.omu.edu.tr","title":"Synthesis, characterization, spectroscopic, and thermal studies of imidazole complexes of metal benzenesulfonates. Crystal structure of [M(imH)(3)(H2O)(3)]center dot(BS)(2) [M=Ni(II) and Co(II)]","URL":"https://avesis.omu.edu.tr/yayin/cfd17e17-f58b-4b7d-bf2b-8b7519c19610/synthesis-characterization-spectroscopic-and-thermal-studies-of-imidazole-complexes-of-metal-benzenesulfonates-crystal-structure-of-mimh3h2o3center-dotbs2-m-niii-and-coii","volume":"34","author":[{"family":"Yazicilar","given":"Turan"},{"family":"Gurkan","given":"Evrim"},{"family":"Ucar","given":"Ibrahim"},{"family":"Kazak","given":"Canan"}],"accessed":{"date-parts":[["2025",8,5]]},"issued":{"date-parts":[["2009"]]}}}],"schema":"https://github.com/citation-style-language/schema/raw/master/csl-citation.json"} </w:instrText>
      </w:r>
      <w:r w:rsidR="006E5EC0"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w:t>
      </w:r>
      <w:proofErr w:type="spellStart"/>
      <w:r w:rsidR="002E71C7" w:rsidRPr="00A74A23">
        <w:rPr>
          <w:rFonts w:ascii="Arial" w:hAnsi="Arial" w:cs="Arial"/>
          <w:color w:val="000000" w:themeColor="text1"/>
          <w:sz w:val="20"/>
          <w:lang w:val="en-US"/>
        </w:rPr>
        <w:t>Yazicilar</w:t>
      </w:r>
      <w:proofErr w:type="spellEnd"/>
      <w:r w:rsidR="002E71C7" w:rsidRPr="00A74A23">
        <w:rPr>
          <w:rFonts w:ascii="Arial" w:hAnsi="Arial" w:cs="Arial"/>
          <w:color w:val="000000" w:themeColor="text1"/>
          <w:sz w:val="20"/>
          <w:lang w:val="en-US"/>
        </w:rPr>
        <w:t xml:space="preserve"> et al., 2009)</w:t>
      </w:r>
      <w:r w:rsidR="006E5EC0" w:rsidRPr="00A74A23">
        <w:rPr>
          <w:rFonts w:ascii="Arial" w:hAnsi="Arial" w:cs="Arial"/>
          <w:bCs/>
          <w:color w:val="000000" w:themeColor="text1"/>
          <w:sz w:val="20"/>
          <w:szCs w:val="20"/>
          <w:lang w:val="en-US"/>
        </w:rPr>
        <w:fldChar w:fldCharType="end"/>
      </w:r>
      <w:r w:rsidR="00714A3F"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Additional bands due to the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C-H</w:t>
      </w:r>
      <w:r w:rsidR="00714A3F" w:rsidRPr="00A74A23">
        <w:rPr>
          <w:rFonts w:ascii="Arial" w:hAnsi="Arial" w:cs="Arial"/>
          <w:bCs/>
          <w:color w:val="000000" w:themeColor="text1"/>
          <w:sz w:val="20"/>
          <w:szCs w:val="20"/>
          <w:lang w:val="en-US"/>
        </w:rPr>
        <w:t xml:space="preserve"> are pointed at 2986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and 2980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2</w:t>
      </w:r>
      <w:r w:rsidR="00714A3F" w:rsidRPr="00A74A23">
        <w:rPr>
          <w:rFonts w:ascii="Arial" w:hAnsi="Arial" w:cs="Arial"/>
          <w:bCs/>
          <w:color w:val="000000" w:themeColor="text1"/>
          <w:sz w:val="20"/>
          <w:szCs w:val="20"/>
          <w:lang w:val="en-US"/>
        </w:rPr>
        <w:t>).</w:t>
      </w:r>
      <w:r w:rsidR="006446B4" w:rsidRPr="00A74A23">
        <w:rPr>
          <w:rFonts w:ascii="Arial" w:hAnsi="Arial" w:cs="Arial"/>
          <w:bCs/>
          <w:color w:val="000000" w:themeColor="text1"/>
          <w:sz w:val="20"/>
          <w:szCs w:val="20"/>
          <w:lang w:val="en-US"/>
        </w:rPr>
        <w:t xml:space="preserve"> </w:t>
      </w:r>
      <w:r w:rsidR="00F7610B" w:rsidRPr="00A74A23">
        <w:rPr>
          <w:rFonts w:ascii="Arial" w:hAnsi="Arial" w:cs="Arial"/>
          <w:bCs/>
          <w:color w:val="000000" w:themeColor="text1"/>
          <w:sz w:val="20"/>
          <w:szCs w:val="20"/>
          <w:lang w:val="en-US"/>
        </w:rPr>
        <w:t>The electronic spectrum</w:t>
      </w:r>
      <w:r w:rsidR="00696012" w:rsidRPr="00A74A23">
        <w:rPr>
          <w:rFonts w:ascii="Arial" w:hAnsi="Arial" w:cs="Arial"/>
          <w:bCs/>
          <w:color w:val="000000" w:themeColor="text1"/>
          <w:sz w:val="20"/>
          <w:szCs w:val="20"/>
          <w:lang w:val="en-US"/>
        </w:rPr>
        <w:t xml:space="preserve"> of the two complexes show a band at 3</w:t>
      </w:r>
      <w:r w:rsidR="00890CF0" w:rsidRPr="00A74A23">
        <w:rPr>
          <w:rFonts w:ascii="Arial" w:hAnsi="Arial" w:cs="Arial"/>
          <w:bCs/>
          <w:color w:val="000000" w:themeColor="text1"/>
          <w:sz w:val="20"/>
          <w:szCs w:val="20"/>
          <w:lang w:val="en-US"/>
        </w:rPr>
        <w:t>04</w:t>
      </w:r>
      <w:r w:rsidR="00696012" w:rsidRPr="00A74A23">
        <w:rPr>
          <w:rFonts w:ascii="Arial" w:hAnsi="Arial" w:cs="Arial"/>
          <w:bCs/>
          <w:color w:val="000000" w:themeColor="text1"/>
          <w:sz w:val="20"/>
          <w:szCs w:val="20"/>
          <w:lang w:val="en-US"/>
        </w:rPr>
        <w:t xml:space="preserve"> nm which can be attributed to the </w:t>
      </w:r>
      <w:r w:rsidR="0048109A" w:rsidRPr="00A74A23">
        <w:rPr>
          <w:rFonts w:ascii="Arial" w:hAnsi="Arial" w:cs="Arial"/>
          <w:bCs/>
          <w:color w:val="000000" w:themeColor="text1"/>
          <w:sz w:val="20"/>
          <w:szCs w:val="20"/>
          <w:lang w:val="en-US"/>
        </w:rPr>
        <w:sym w:font="Symbol" w:char="F070"/>
      </w:r>
      <w:r w:rsidR="004912D1" w:rsidRPr="00A74A23">
        <w:rPr>
          <w:rFonts w:ascii="Arial" w:hAnsi="Arial" w:cs="Arial"/>
          <w:bCs/>
          <w:color w:val="000000" w:themeColor="text1"/>
          <w:sz w:val="20"/>
          <w:szCs w:val="20"/>
          <w:lang w:val="en-US"/>
        </w:rPr>
        <w:sym w:font="Symbol" w:char="F0AE"/>
      </w:r>
      <w:r w:rsidR="004912D1" w:rsidRPr="00A74A23">
        <w:rPr>
          <w:rFonts w:ascii="Arial" w:hAnsi="Arial" w:cs="Arial"/>
          <w:bCs/>
          <w:color w:val="000000" w:themeColor="text1"/>
          <w:sz w:val="20"/>
          <w:szCs w:val="20"/>
          <w:lang w:val="en-US"/>
        </w:rPr>
        <w:sym w:font="Symbol" w:char="F070"/>
      </w:r>
      <w:r w:rsidR="004912D1" w:rsidRPr="00A74A23">
        <w:rPr>
          <w:rFonts w:ascii="Arial" w:hAnsi="Arial" w:cs="Arial"/>
          <w:bCs/>
          <w:color w:val="000000" w:themeColor="text1"/>
          <w:sz w:val="20"/>
          <w:szCs w:val="20"/>
          <w:lang w:val="en-US"/>
        </w:rPr>
        <w:t>*</w:t>
      </w:r>
      <w:r w:rsidR="00921258" w:rsidRPr="00A74A23">
        <w:rPr>
          <w:rFonts w:ascii="Arial" w:hAnsi="Arial" w:cs="Arial"/>
          <w:bCs/>
          <w:color w:val="000000" w:themeColor="text1"/>
          <w:sz w:val="20"/>
          <w:szCs w:val="20"/>
          <w:lang w:val="en-US"/>
        </w:rPr>
        <w:t xml:space="preserve"> </w:t>
      </w:r>
      <w:r w:rsidR="00E1620D" w:rsidRPr="00A74A23">
        <w:rPr>
          <w:rFonts w:ascii="Arial" w:hAnsi="Arial" w:cs="Arial"/>
          <w:bCs/>
          <w:color w:val="000000" w:themeColor="text1"/>
          <w:sz w:val="20"/>
          <w:szCs w:val="20"/>
          <w:lang w:val="en-US"/>
        </w:rPr>
        <w:t xml:space="preserve">transitions in the </w:t>
      </w:r>
      <w:r w:rsidR="00D45E34" w:rsidRPr="00A74A23">
        <w:rPr>
          <w:rFonts w:ascii="Arial" w:hAnsi="Arial" w:cs="Arial"/>
          <w:bCs/>
          <w:color w:val="000000" w:themeColor="text1"/>
          <w:sz w:val="20"/>
          <w:szCs w:val="20"/>
          <w:lang w:val="en-US"/>
        </w:rPr>
        <w:t>imidazole ring</w:t>
      </w:r>
      <w:r w:rsidR="00E1620D" w:rsidRPr="00A74A23">
        <w:rPr>
          <w:rFonts w:ascii="Arial" w:hAnsi="Arial" w:cs="Arial"/>
          <w:bCs/>
          <w:color w:val="000000" w:themeColor="text1"/>
          <w:sz w:val="20"/>
          <w:szCs w:val="20"/>
          <w:lang w:val="en-US"/>
        </w:rPr>
        <w:t>s</w:t>
      </w:r>
      <w:r>
        <w:rPr>
          <w:rFonts w:ascii="Arial" w:hAnsi="Arial" w:cs="Arial"/>
          <w:bCs/>
          <w:color w:val="000000" w:themeColor="text1"/>
          <w:sz w:val="20"/>
          <w:szCs w:val="20"/>
          <w:lang w:val="en-US"/>
        </w:rPr>
        <w:t>”</w:t>
      </w:r>
      <w:r w:rsidR="00890CF0" w:rsidRPr="00A74A23">
        <w:rPr>
          <w:rFonts w:ascii="Arial" w:hAnsi="Arial" w:cs="Arial"/>
          <w:bCs/>
          <w:color w:val="000000" w:themeColor="text1"/>
          <w:sz w:val="20"/>
          <w:szCs w:val="20"/>
          <w:lang w:val="en-US"/>
        </w:rPr>
        <w:t xml:space="preserve"> </w:t>
      </w:r>
      <w:r w:rsidR="006446B4"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{"citationID":"wKluIKtT","properties":{"formattedCitation":"(H.-B. Zhang et al., 2020)","plainCitation":"(H.-B. Zhang et al., 2020)","noteIndex":0},"citationItems":[{"id":3687,"uris":["http://zotero.org/users/local/JzcqJHT8/items/B2HPPCRM"],"itemData":{"id":3687,"type":"article-journal","abstract":"Two 2-D and 3-D supramolecular complexes [Zn(L)2](NO3)2·2CH3OH (1) and [Cd(L)2(NO3)2] (2) (L = 2-(4-imidazolyl)-4-methyl-1,2-quinazoline-N3-oxide) were synthesized and characterized by IR, UV–Vis, fluorescence spectroscopy and elemental analysis. X–ray crystallography reveals that 1 and 2 have 2:1 ligand-to-metal ratio. Zn(II) complex 1 had slightly distorted octahedral geometry with two non-coordinated nitrate anions and assembled into fishnet-like 2-D and even M-shape 3-D skeleton, while six-coordinated Cd(II) complex 2 had a distorted octahedral geometry included two coordinated nitrate anions and formed an infinite 2-D layered skeleton, and even a wavy 3-D supramolecular network. Furthermore, antimicrobial activities of all compounds were also investigated. Density Functional Theory (DFT) calculations were carried out to ascertain the optimum geometry structures of both complexes and the calculated HOMO and LUMO energies were presented. The electronic transitions and spectral character of complexes were discussed by TD-DFT calculations. Non-covalent interactions among both complexes were quantified using Hirshfeld surface analysis.","container-title":"Inorganica Chimica Acta","DOI":"https://doi.org/10.1016/j.ica.2020.119610","ISSN":"0020-1693","page":"119610","title":"Zinc(II) and Cadmium(II) complexes containing imidazole ring: Structural, spectroscopic, antibacterial, DFT calculations and Hirshfeld surface analysis","volume":"507","author":[{"family":"Zhang","given":"Hong-Bin"},{"family":"Zhang","given":"Xiao-Fang"},{"family":"Chai","given":"Lan-Qin"},{"family":"Tang","given":"Li-Jian"},{"family":"Zhang","given":"Hong-Song"}],"issued":{"date-parts":[["2020"]]}}}],"schema":"https://github.com/citation-style-language/schema/raw/master/csl-citation.json"} </w:instrText>
      </w:r>
      <w:r w:rsidR="006446B4"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(H.-B. Zhang et al., 2020)</w:t>
      </w:r>
      <w:r w:rsidR="006446B4" w:rsidRPr="00A74A23">
        <w:rPr>
          <w:rFonts w:ascii="Arial" w:hAnsi="Arial" w:cs="Arial"/>
          <w:bCs/>
          <w:color w:val="000000" w:themeColor="text1"/>
          <w:sz w:val="20"/>
          <w:szCs w:val="20"/>
          <w:lang w:val="en-US"/>
        </w:rPr>
        <w:fldChar w:fldCharType="end"/>
      </w:r>
      <w:r w:rsidR="003E7E73" w:rsidRPr="00A74A23">
        <w:rPr>
          <w:rFonts w:ascii="Arial" w:hAnsi="Arial" w:cs="Arial"/>
          <w:bCs/>
          <w:color w:val="000000" w:themeColor="text1"/>
          <w:sz w:val="20"/>
          <w:szCs w:val="20"/>
          <w:lang w:val="en-US"/>
        </w:rPr>
        <w:t>.</w:t>
      </w:r>
      <w:r w:rsidR="00921258"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921258" w:rsidRPr="00A74A23">
        <w:rPr>
          <w:rFonts w:ascii="Arial" w:hAnsi="Arial" w:cs="Arial"/>
          <w:bCs/>
          <w:color w:val="000000" w:themeColor="text1"/>
          <w:sz w:val="20"/>
          <w:szCs w:val="20"/>
          <w:lang w:val="en-US"/>
        </w:rPr>
        <w:t xml:space="preserve">No MLCT were observed in the </w:t>
      </w:r>
      <w:r w:rsidR="00B768B5" w:rsidRPr="00A74A23">
        <w:rPr>
          <w:rFonts w:ascii="Arial" w:hAnsi="Arial" w:cs="Arial"/>
          <w:bCs/>
          <w:color w:val="000000" w:themeColor="text1"/>
          <w:sz w:val="20"/>
          <w:szCs w:val="20"/>
          <w:lang w:val="en-US"/>
        </w:rPr>
        <w:t xml:space="preserve">UV </w:t>
      </w:r>
      <w:r w:rsidR="00921258" w:rsidRPr="00A74A23">
        <w:rPr>
          <w:rFonts w:ascii="Arial" w:hAnsi="Arial" w:cs="Arial"/>
          <w:bCs/>
          <w:color w:val="000000" w:themeColor="text1"/>
          <w:sz w:val="20"/>
          <w:szCs w:val="20"/>
          <w:lang w:val="en-US"/>
        </w:rPr>
        <w:t>s</w:t>
      </w:r>
      <w:r w:rsidR="00B768B5" w:rsidRPr="00A74A23">
        <w:rPr>
          <w:rFonts w:ascii="Arial" w:hAnsi="Arial" w:cs="Arial"/>
          <w:bCs/>
          <w:color w:val="000000" w:themeColor="text1"/>
          <w:sz w:val="20"/>
          <w:szCs w:val="20"/>
          <w:lang w:val="en-US"/>
        </w:rPr>
        <w:t>pectrum in complex 1.</w:t>
      </w:r>
      <w:r w:rsidR="006446B4"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lang w:val="en-US"/>
        </w:rPr>
        <w:t>The UV-visible spectrum of Cu complex (</w:t>
      </w:r>
      <w:r w:rsidR="00DB324E" w:rsidRPr="00A74A23">
        <w:rPr>
          <w:rFonts w:ascii="Arial" w:hAnsi="Arial" w:cs="Arial"/>
          <w:b/>
          <w:bCs/>
          <w:color w:val="000000" w:themeColor="text1"/>
          <w:sz w:val="20"/>
          <w:szCs w:val="20"/>
          <w:lang w:val="en-US"/>
        </w:rPr>
        <w:t>1</w:t>
      </w:r>
      <w:r w:rsidR="00526B4D" w:rsidRPr="00A74A23">
        <w:rPr>
          <w:rFonts w:ascii="Arial" w:hAnsi="Arial" w:cs="Arial"/>
          <w:bCs/>
          <w:color w:val="000000" w:themeColor="text1"/>
          <w:sz w:val="20"/>
          <w:szCs w:val="20"/>
          <w:lang w:val="en-US"/>
        </w:rPr>
        <w:t xml:space="preserve">) showed a broad band </w:t>
      </w:r>
      <w:r w:rsidR="00711C21" w:rsidRPr="00A74A23">
        <w:rPr>
          <w:rFonts w:ascii="Arial" w:hAnsi="Arial" w:cs="Arial"/>
          <w:bCs/>
          <w:color w:val="000000" w:themeColor="text1"/>
          <w:sz w:val="20"/>
          <w:szCs w:val="20"/>
          <w:lang w:val="en-US"/>
        </w:rPr>
        <w:t>centered at 658</w:t>
      </w:r>
      <w:r w:rsidR="00526B4D" w:rsidRPr="00A74A23">
        <w:rPr>
          <w:rFonts w:ascii="Arial" w:hAnsi="Arial" w:cs="Arial"/>
          <w:bCs/>
          <w:color w:val="000000" w:themeColor="text1"/>
          <w:sz w:val="20"/>
          <w:szCs w:val="20"/>
          <w:lang w:val="en-US"/>
        </w:rPr>
        <w:t xml:space="preserve"> nm which envelops the three </w:t>
      </w:r>
      <w:r w:rsidR="00FA17A3" w:rsidRPr="00A74A23">
        <w:rPr>
          <w:rFonts w:ascii="Arial" w:hAnsi="Arial" w:cs="Arial"/>
          <w:bCs/>
          <w:color w:val="000000" w:themeColor="text1"/>
          <w:sz w:val="20"/>
          <w:szCs w:val="20"/>
          <w:lang w:val="en-US"/>
        </w:rPr>
        <w:t>allowed</w:t>
      </w:r>
      <w:r w:rsidR="008B4F1D"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lang w:val="en-US"/>
        </w:rPr>
        <w:t xml:space="preserve">transitions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A</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2g</w:t>
      </w:r>
      <w:r w:rsidR="00526B4D" w:rsidRPr="00A74A23">
        <w:rPr>
          <w:rFonts w:ascii="Arial" w:hAnsi="Arial" w:cs="Arial"/>
          <w:bCs/>
          <w:color w:val="000000" w:themeColor="text1"/>
          <w:sz w:val="20"/>
          <w:szCs w:val="20"/>
          <w:lang w:val="en-US"/>
        </w:rPr>
        <w:t xml:space="preserve"> and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E</w:t>
      </w:r>
      <w:r w:rsidR="00526B4D" w:rsidRPr="00A74A23">
        <w:rPr>
          <w:rFonts w:ascii="Arial" w:hAnsi="Arial" w:cs="Arial"/>
          <w:bCs/>
          <w:color w:val="000000" w:themeColor="text1"/>
          <w:sz w:val="20"/>
          <w:szCs w:val="20"/>
          <w:vertAlign w:val="subscript"/>
          <w:lang w:val="en-US"/>
        </w:rPr>
        <w:t>g</w:t>
      </w:r>
      <w:r w:rsidR="0024667C" w:rsidRPr="00A74A23">
        <w:rPr>
          <w:rFonts w:ascii="Arial" w:hAnsi="Arial" w:cs="Arial"/>
          <w:bCs/>
          <w:color w:val="000000" w:themeColor="text1"/>
          <w:sz w:val="20"/>
          <w:szCs w:val="20"/>
          <w:lang w:val="en-US"/>
        </w:rPr>
        <w:t xml:space="preserve"> in six-coordinated copper(II) complex</w:t>
      </w:r>
      <w:r>
        <w:rPr>
          <w:rFonts w:ascii="Arial" w:hAnsi="Arial" w:cs="Arial"/>
          <w:bCs/>
          <w:color w:val="000000" w:themeColor="text1"/>
          <w:sz w:val="20"/>
          <w:szCs w:val="20"/>
          <w:lang w:val="en-US"/>
        </w:rPr>
        <w:t>”</w:t>
      </w:r>
      <w:r w:rsidR="0024667C" w:rsidRPr="00A74A23">
        <w:rPr>
          <w:rFonts w:ascii="Arial" w:hAnsi="Arial" w:cs="Arial"/>
          <w:bCs/>
          <w:color w:val="000000" w:themeColor="text1"/>
          <w:sz w:val="20"/>
          <w:szCs w:val="20"/>
          <w:lang w:val="en-US"/>
        </w:rPr>
        <w:t xml:space="preserve"> </w:t>
      </w:r>
      <w:r w:rsidR="00D76E18"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{"citationID":"1wp4FtN7","properties":{"formattedCitation":"(Kotek et al., 2003)","plainCitation":"(Kotek et al., 2003)","noteIndex":0},"citationItems":[{"id":3688,"uris":["http://zotero.org/users/local/JzcqJHT8/items/328VSIGB"],"itemData":{"id":3688,"type":"article-journal","abstract":"Abstract In an aqueous solution at room temperature, 1,4,8,11-tetraazacyclotetradecane-1,8-bis(methylphosphonic acid) (H4L1) and CuII form a pentacoordinated (pc) complex, pc-[Cu(L1)]2−, exhibiting conformation I of the cyclam ring. At high temperature, the complex isomerises to a hexacoordinated isomer, trans-O,O-[Cu(L1)]2−, with a trans-III conformation of the cyclam ring. In pc-[Cu(L1)]2−, four ring nitrogen atoms and one phosphonate oxygen atom are arranged around CuII in a structure that is half-way between a trigonal bipyramid and a tetragonal pyramid, with one phosphonic acid group uncoordinated. In the trans-O,O-[Cu(L1)]2− isomer, the nitrogen atoms form a plane and the phosphonic acid groups are in a mutually trans configuration. A structurally very similar ligand, 4-methyl-1,4,8,11-tetraazacyclotetradecane-1,8-bis(methylphosphonic acid) (H4L2), forms an analogous pentacoordinated complex, pc-[Cu(L2)]2−, at room temperature. However, the complex does not isomerise to the octahedral complex analogous to trans-O,O-[Cu(L1)]2−. Because of the high thermodynamic stability of pc-[Cu(L1)]2−, (log β=25.40(4), 25 °C, I=0.1 mol dm−3 KNO3) and the formation of protonated species, CuII is fully complexed in acidic solution (−log [H+]≈3). Acid-assisted decomplexation of both of the isomers of [Cu(H2L1)] takes place only after protonation of both uncoordinated oxygen atoms of each phosphonate moiety and at least one nitrogen atom of the cycle. The exceptional kinetic inertness of both isomers is illustrated by their half-lives τ1/2=19.7 min for pc-[Cu(H2L1)] and τ1/2 about seven months for trans-O,O-[Cu(H2L1)] for decomplexation in 5 M HClO4 at 25 °C. The mechanism of formation of pc-[Cu(L1)]2− is similar to those observed for other macrocyclic complexes. For classification of the cyclam ring conformation in complexes, see B. Bosnich, K. Poon, M. Tobe, Inorg. Chem. 1965, 4, 1102.","container-title":"Chemistry – A European Journal","DOI":"https://doi.org/10.1002/chem.200390017","issue":"1","note":"_eprint: https://chemistry-europe.onlinelibrary.wiley.com/doi/pdf/10.1002/chem.200390017","page":"233-248","title":"High Thermodynamic Stability and Extraordinary Kinetic Inertness of Copper(II) Complexes with 1,4,8,11-Tetraazacyclotetradecane-1,8-bis(methylphosphonic acid): Example of a Rare Isomerism between Kinetically Inert Penta- and Hexacoordinated Copper(II) Complexes","volume":"9","author":[{"family":"Kotek","given":"Jan"},{"family":"Lubal","given":"Přemysl"},{"family":"Hermann","given":"Petr"},{"family":"Císařová","given":"Ivana"},{"family":"Lukeš","given":"Ivan"},{"family":"Godula","given":"Tomáš"},{"family":"Svobodová","given":"Ivona"},{"family":"Táborský","given":"Petr"},{"family":"Havel","given":"Josef"}],"issued":{"date-parts":[["2003"]]}}}],"schema":"https://github.com/citation-style-language/schema/raw/master/csl-citation.json"} </w:instrText>
      </w:r>
      <w:r w:rsidR="00D76E18"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w:t>
      </w:r>
      <w:proofErr w:type="spellStart"/>
      <w:r w:rsidR="002E71C7" w:rsidRPr="00A74A23">
        <w:rPr>
          <w:rFonts w:ascii="Arial" w:hAnsi="Arial" w:cs="Arial"/>
          <w:color w:val="000000" w:themeColor="text1"/>
          <w:sz w:val="20"/>
          <w:lang w:val="en-US"/>
        </w:rPr>
        <w:t>Kotek</w:t>
      </w:r>
      <w:proofErr w:type="spellEnd"/>
      <w:r w:rsidR="002E71C7" w:rsidRPr="00A74A23">
        <w:rPr>
          <w:rFonts w:ascii="Arial" w:hAnsi="Arial" w:cs="Arial"/>
          <w:color w:val="000000" w:themeColor="text1"/>
          <w:sz w:val="20"/>
          <w:lang w:val="en-US"/>
        </w:rPr>
        <w:t xml:space="preserve"> et al., 2003)</w:t>
      </w:r>
      <w:r w:rsidR="00D76E18"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lang w:val="en-US"/>
        </w:rPr>
        <w:t xml:space="preserve">The broadness of the band is </w:t>
      </w:r>
      <w:r w:rsidR="009F7B60" w:rsidRPr="00A74A23">
        <w:rPr>
          <w:rFonts w:ascii="Arial" w:hAnsi="Arial" w:cs="Arial"/>
          <w:bCs/>
          <w:color w:val="000000" w:themeColor="text1"/>
          <w:sz w:val="20"/>
          <w:szCs w:val="20"/>
          <w:lang w:val="en-US"/>
        </w:rPr>
        <w:t>probably</w:t>
      </w:r>
      <w:r w:rsidR="00526B4D" w:rsidRPr="00A74A23">
        <w:rPr>
          <w:rFonts w:ascii="Arial" w:hAnsi="Arial" w:cs="Arial"/>
          <w:bCs/>
          <w:color w:val="000000" w:themeColor="text1"/>
          <w:sz w:val="20"/>
          <w:szCs w:val="20"/>
          <w:lang w:val="en-US"/>
        </w:rPr>
        <w:t xml:space="preserve"> due to the Jahn-Teller effect</w:t>
      </w:r>
      <w:r>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lang w:val="en-US"/>
        </w:rPr>
        <w:t xml:space="preserve"> </w:t>
      </w:r>
      <w:r w:rsidR="00B4129B"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{"citationID":"9jwcGiTX","properties":{"formattedCitation":"(Conradie, 2019)","plainCitation":"(Conradie, 2019)","noteIndex":0},"citationItems":[{"id":3689,"uris":["http://zotero.org/users/local/JzcqJHT8/items/VHMPUVCR"],"itemData":{"id":3689,"type":"article-journal","abstract":"The Jahn-Teller effect, which is the geometrical effect on a molecule due to the energy lowering of spatially degenerate electronic ground states, is not determined, as is often perceived, by the shape of the highest occupied molecular orbital (HOMO), or the shape of a singly occupied molecular orbital (SOMO), but is determined rather by the difference in concentration of electron density (before distortion) between the metal and the two ligands on the z-axis, and concentration of electron density between the metal and the four ligands lying in the xy-plane. A higher concentration of electron density between the metal and the two ligands on the z-axis, than between the metal and the four ligands on the xy-plane, will lead to elongation (z-out) Jahn-Teller distortion. Accordingly, high spin, S = 2, d4 octahedral metal-complexes with a dz2 HOMO, as well as S = ½, d9 octahedral metal-complexes with a dx2-y2 HOMO, both exhibit elongation (z-out) Jahn-Teller distortion.","container-title":"Inorganica Chimica Acta","DOI":"https://doi.org/10.1016/j.ica.2018.10.040","ISSN":"0020-1693","page":"193-199","title":"Jahn-Teller effect in high spin d4 and d9 octahedral metal-complexes","volume":"486","author":[{"family":"Conradie","given":"Jeanet"}],"issued":{"date-parts":[["2019"]]}}}],"schema":"https://github.com/citation-style-language/schema/raw/master/csl-citation.json"} </w:instrText>
      </w:r>
      <w:r w:rsidR="00B4129B"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(Conradie, 2019)</w:t>
      </w:r>
      <w:r w:rsidR="00B4129B"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 xml:space="preserve">. </w:t>
      </w:r>
      <w:r>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lang w:val="en-US"/>
        </w:rPr>
        <w:t xml:space="preserve">These observations suggest that the copper(II) is situated in a distorted </w:t>
      </w:r>
      <w:r w:rsidR="004E6BC7" w:rsidRPr="00A74A23">
        <w:rPr>
          <w:rFonts w:ascii="Arial" w:hAnsi="Arial" w:cs="Arial"/>
          <w:bCs/>
          <w:color w:val="000000" w:themeColor="text1"/>
          <w:sz w:val="20"/>
          <w:szCs w:val="20"/>
          <w:lang w:val="en-US"/>
        </w:rPr>
        <w:t>square pyramidal</w:t>
      </w:r>
      <w:r w:rsidR="00526B4D" w:rsidRPr="00A74A23">
        <w:rPr>
          <w:rFonts w:ascii="Arial" w:hAnsi="Arial" w:cs="Arial"/>
          <w:bCs/>
          <w:color w:val="000000" w:themeColor="text1"/>
          <w:sz w:val="20"/>
          <w:szCs w:val="20"/>
          <w:lang w:val="en-US"/>
        </w:rPr>
        <w:t xml:space="preserve"> environment</w:t>
      </w:r>
      <w:r>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lang w:val="en-US"/>
        </w:rPr>
        <w:t xml:space="preserve"> </w:t>
      </w:r>
      <w:r w:rsidR="00853F5F"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{"citationID":"0PF7PD2H","properties":{"formattedCitation":"(H. Liu et al., 2007)","plainCitation":"(H. Liu et al., 2007)","noteIndex":0},"citationItems":[{"id":3690,"uris":["http://zotero.org/users/local/JzcqJHT8/items/UNJ977X8"],"itemData":{"id":3690,"type":"article-journal","container-title":"Journal of Coordination Chemistry","DOI":"10.1080/00958970701302404","issue":"24","note":"publisher: Taylor &amp; Francis\n_eprint: https://doi.org/10.1080/00958970701302404","page":"2671–2678","title":"Self-assembly of copper(II) complexes with substituted aroylhydrazones and monodentate N-heterocycles: synthesis, structure and properties","volume":"60","author":[{"family":"Liu","given":"Huiyan"},{"family":"Wang","given":"Haiying"},{"family":"Gao","given":"Feng"},{"family":"Niu","given":"Dezhong"},{"family":"Lu","given":"Zaisheng"}],"issued":{"date-parts":[["2007"]]}}}],"schema":"https://github.com/citation-style-language/schema/raw/master/csl-citation.json"} </w:instrText>
      </w:r>
      <w:r w:rsidR="00853F5F"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(H. Liu et al., 2007)</w:t>
      </w:r>
      <w:r w:rsidR="00853F5F"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w:t>
      </w:r>
    </w:p>
    <w:p w14:paraId="05332847" w14:textId="1E5274AA" w:rsidR="00E16B88" w:rsidRPr="00A74A23" w:rsidRDefault="000B088D" w:rsidP="006A2B69">
      <w:pPr>
        <w:pStyle w:val="Heading3"/>
      </w:pPr>
      <w:r w:rsidRPr="00A74A23">
        <w:t>T</w:t>
      </w:r>
      <w:r w:rsidR="00A913CA" w:rsidRPr="00A74A23">
        <w:t>hermal study of complexes 1 and 2</w:t>
      </w:r>
    </w:p>
    <w:p w14:paraId="75EE45F4" w14:textId="4D2BE8B3" w:rsidR="000B088D" w:rsidRPr="00A74A23" w:rsidRDefault="004E6BC7" w:rsidP="00A57067">
      <w:pPr>
        <w:spacing w:after="0" w:line="240" w:lineRule="auto"/>
        <w:jc w:val="both"/>
        <w:rPr>
          <w:rFonts w:ascii="Arial" w:hAnsi="Arial" w:cs="Arial"/>
          <w:color w:val="000000" w:themeColor="text1"/>
          <w:sz w:val="20"/>
          <w:szCs w:val="20"/>
          <w:lang w:val="en-US"/>
        </w:rPr>
      </w:pPr>
      <w:r w:rsidRPr="00A74A23">
        <w:rPr>
          <w:rFonts w:ascii="Arial" w:hAnsi="Arial" w:cs="Arial"/>
          <w:color w:val="000000" w:themeColor="text1"/>
          <w:sz w:val="20"/>
          <w:szCs w:val="20"/>
          <w:lang w:val="en-US"/>
        </w:rPr>
        <w:t>Complex</w:t>
      </w:r>
      <w:r w:rsidR="00CB4F06" w:rsidRPr="00A74A23">
        <w:rPr>
          <w:rFonts w:ascii="Arial" w:hAnsi="Arial" w:cs="Arial"/>
          <w:color w:val="000000" w:themeColor="text1"/>
          <w:sz w:val="20"/>
          <w:szCs w:val="20"/>
          <w:lang w:val="en-US"/>
        </w:rPr>
        <w:t xml:space="preserve"> </w:t>
      </w:r>
      <w:r w:rsidRPr="00A74A23">
        <w:rPr>
          <w:rFonts w:ascii="Arial" w:hAnsi="Arial" w:cs="Arial"/>
          <w:b/>
          <w:bCs/>
          <w:color w:val="000000" w:themeColor="text1"/>
          <w:sz w:val="20"/>
          <w:szCs w:val="20"/>
          <w:lang w:val="en-US"/>
        </w:rPr>
        <w:t>1</w:t>
      </w:r>
      <w:r w:rsidRPr="00A74A23">
        <w:rPr>
          <w:rFonts w:ascii="Arial" w:hAnsi="Arial" w:cs="Arial"/>
          <w:color w:val="000000" w:themeColor="text1"/>
          <w:sz w:val="20"/>
          <w:szCs w:val="20"/>
          <w:lang w:val="en-US"/>
        </w:rPr>
        <w:t xml:space="preserve"> </w:t>
      </w:r>
      <w:r w:rsidR="00CB4F06" w:rsidRPr="00A74A23">
        <w:rPr>
          <w:rFonts w:ascii="Arial" w:hAnsi="Arial" w:cs="Arial"/>
          <w:color w:val="000000" w:themeColor="text1"/>
          <w:sz w:val="20"/>
          <w:szCs w:val="20"/>
          <w:lang w:val="en-US"/>
        </w:rPr>
        <w:t xml:space="preserve">is thermally stable up to 138°C. Above this temperature, it begins to decompose rapidly. The unique mass loss of the </w:t>
      </w:r>
      <w:r w:rsidR="008155BC" w:rsidRPr="00A74A23">
        <w:rPr>
          <w:rFonts w:ascii="Arial" w:hAnsi="Arial" w:cs="Arial"/>
          <w:color w:val="000000" w:themeColor="text1"/>
          <w:sz w:val="20"/>
          <w:szCs w:val="20"/>
          <w:lang w:val="en-US"/>
        </w:rPr>
        <w:t>Cu(O</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C(CH)</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CO</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)(C</w:t>
      </w:r>
      <w:r w:rsidR="008155BC" w:rsidRPr="00A74A23">
        <w:rPr>
          <w:rFonts w:ascii="Arial" w:hAnsi="Arial" w:cs="Arial"/>
          <w:color w:val="000000" w:themeColor="text1"/>
          <w:position w:val="-4"/>
          <w:sz w:val="20"/>
          <w:szCs w:val="20"/>
          <w:vertAlign w:val="subscript"/>
          <w:lang w:val="en-US"/>
        </w:rPr>
        <w:t>5</w:t>
      </w:r>
      <w:r w:rsidR="008155BC" w:rsidRPr="00A74A23">
        <w:rPr>
          <w:rFonts w:ascii="Arial" w:hAnsi="Arial" w:cs="Arial"/>
          <w:color w:val="000000" w:themeColor="text1"/>
          <w:sz w:val="20"/>
          <w:szCs w:val="20"/>
          <w:lang w:val="en-US"/>
        </w:rPr>
        <w:t>H</w:t>
      </w:r>
      <w:r w:rsidR="00EE7567" w:rsidRPr="00A74A23">
        <w:rPr>
          <w:rFonts w:ascii="Arial" w:hAnsi="Arial" w:cs="Arial"/>
          <w:color w:val="000000" w:themeColor="text1"/>
          <w:position w:val="-4"/>
          <w:sz w:val="20"/>
          <w:szCs w:val="20"/>
          <w:vertAlign w:val="subscript"/>
          <w:lang w:val="en-US"/>
        </w:rPr>
        <w:t>8</w:t>
      </w:r>
      <w:r w:rsidR="008155BC" w:rsidRPr="00A74A23">
        <w:rPr>
          <w:rFonts w:ascii="Arial" w:hAnsi="Arial" w:cs="Arial"/>
          <w:color w:val="000000" w:themeColor="text1"/>
          <w:sz w:val="20"/>
          <w:szCs w:val="20"/>
          <w:lang w:val="en-US"/>
        </w:rPr>
        <w:t>N</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b/>
          <w:bCs/>
          <w:color w:val="000000" w:themeColor="text1"/>
          <w:sz w:val="20"/>
          <w:szCs w:val="20"/>
          <w:vertAlign w:val="subscript"/>
          <w:lang w:val="en-US"/>
        </w:rPr>
        <w:t xml:space="preserve"> </w:t>
      </w:r>
      <w:r w:rsidR="00CB4F06" w:rsidRPr="00A74A23">
        <w:rPr>
          <w:rFonts w:ascii="Arial" w:hAnsi="Arial" w:cs="Arial"/>
          <w:color w:val="000000" w:themeColor="text1"/>
          <w:sz w:val="20"/>
          <w:szCs w:val="20"/>
          <w:lang w:val="en-US"/>
        </w:rPr>
        <w:t>complex (</w:t>
      </w:r>
      <w:r w:rsidR="00CB4F06" w:rsidRPr="00A74A23">
        <w:rPr>
          <w:rFonts w:ascii="Arial" w:hAnsi="Arial" w:cs="Arial"/>
          <w:b/>
          <w:bCs/>
          <w:color w:val="000000" w:themeColor="text1"/>
          <w:sz w:val="20"/>
          <w:szCs w:val="20"/>
          <w:lang w:val="en-US"/>
        </w:rPr>
        <w:t>1</w:t>
      </w:r>
      <w:r w:rsidR="00CB4F06" w:rsidRPr="00A74A23">
        <w:rPr>
          <w:rFonts w:ascii="Arial" w:hAnsi="Arial" w:cs="Arial"/>
          <w:color w:val="000000" w:themeColor="text1"/>
          <w:sz w:val="20"/>
          <w:szCs w:val="20"/>
          <w:lang w:val="en-US"/>
        </w:rPr>
        <w:t xml:space="preserve">) is observed in the temperature range of 138 to 438°C, with a significant exothermic effect at 420°C. This mass loss corresponds to the release of two molecules of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00CB4F06" w:rsidRPr="00A74A23">
        <w:rPr>
          <w:rFonts w:ascii="Arial" w:hAnsi="Arial" w:cs="Arial"/>
          <w:color w:val="000000" w:themeColor="text1"/>
          <w:sz w:val="20"/>
          <w:szCs w:val="20"/>
          <w:lang w:val="en-US"/>
        </w:rPr>
        <w:t xml:space="preserve">and one unit of 4-oxobut-2-enoate (78.42/78.49%, experimental/theoretical). The black color of the final product indicates the presence of </w:t>
      </w:r>
      <w:proofErr w:type="spellStart"/>
      <w:r w:rsidR="00CB4F06" w:rsidRPr="00A74A23">
        <w:rPr>
          <w:rFonts w:ascii="Arial" w:hAnsi="Arial" w:cs="Arial"/>
          <w:color w:val="000000" w:themeColor="text1"/>
          <w:sz w:val="20"/>
          <w:szCs w:val="20"/>
          <w:lang w:val="en-US"/>
        </w:rPr>
        <w:t>CuO</w:t>
      </w:r>
      <w:proofErr w:type="spellEnd"/>
      <w:r w:rsidR="00CB4F06" w:rsidRPr="00A74A23">
        <w:rPr>
          <w:rFonts w:ascii="Arial" w:hAnsi="Arial" w:cs="Arial"/>
          <w:color w:val="000000" w:themeColor="text1"/>
          <w:sz w:val="20"/>
          <w:szCs w:val="20"/>
          <w:lang w:val="en-US"/>
        </w:rPr>
        <w:t xml:space="preserve"> (21.58/21.51%, experimental/theoretical).</w:t>
      </w:r>
    </w:p>
    <w:p w14:paraId="0FDDB6D4" w14:textId="69816894" w:rsidR="00B86A60" w:rsidRPr="00A74A23" w:rsidRDefault="00B86A60" w:rsidP="00A57067">
      <w:pPr>
        <w:spacing w:after="0" w:line="240" w:lineRule="auto"/>
        <w:jc w:val="both"/>
        <w:rPr>
          <w:rFonts w:ascii="Arial" w:hAnsi="Arial" w:cs="Arial"/>
          <w:i/>
          <w:iCs/>
          <w:color w:val="000000" w:themeColor="text1"/>
          <w:sz w:val="20"/>
          <w:szCs w:val="20"/>
          <w:lang w:val="en-US"/>
        </w:rPr>
      </w:pPr>
      <w:r w:rsidRPr="00A74A23">
        <w:rPr>
          <w:rFonts w:ascii="Arial" w:hAnsi="Arial" w:cs="Arial"/>
          <w:color w:val="000000" w:themeColor="text1"/>
          <w:sz w:val="20"/>
          <w:szCs w:val="20"/>
          <w:lang w:val="en-US"/>
        </w:rPr>
        <w:lastRenderedPageBreak/>
        <w:t>The diagram of Thermogravimetry analysis of ZnO</w:t>
      </w:r>
      <w:r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C(CH</w:t>
      </w:r>
      <w:r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)CO</w:t>
      </w:r>
      <w:r w:rsidRPr="00A74A23">
        <w:rPr>
          <w:rFonts w:ascii="Arial" w:hAnsi="Arial" w:cs="Arial"/>
          <w:color w:val="000000" w:themeColor="text1"/>
          <w:sz w:val="20"/>
          <w:szCs w:val="20"/>
          <w:vertAlign w:val="subscript"/>
          <w:lang w:val="en-US"/>
        </w:rPr>
        <w:t>2</w:t>
      </w:r>
      <w:r w:rsidR="002C4300" w:rsidRPr="00A74A23">
        <w:rPr>
          <w:rFonts w:ascii="Arial" w:hAnsi="Arial" w:cs="Arial"/>
          <w:color w:val="000000" w:themeColor="text1"/>
          <w:sz w:val="20"/>
          <w:szCs w:val="20"/>
          <w:lang w:val="en-US"/>
        </w:rPr>
        <w:t>)(C</w:t>
      </w:r>
      <w:r w:rsidR="002C4300" w:rsidRPr="00A74A23">
        <w:rPr>
          <w:rFonts w:ascii="Arial" w:hAnsi="Arial" w:cs="Arial"/>
          <w:color w:val="000000" w:themeColor="text1"/>
          <w:sz w:val="20"/>
          <w:szCs w:val="20"/>
          <w:vertAlign w:val="subscript"/>
          <w:lang w:val="en-US"/>
        </w:rPr>
        <w:t>5</w:t>
      </w:r>
      <w:r w:rsidR="002C4300" w:rsidRPr="00A74A23">
        <w:rPr>
          <w:rFonts w:ascii="Arial" w:hAnsi="Arial" w:cs="Arial"/>
          <w:color w:val="000000" w:themeColor="text1"/>
          <w:sz w:val="20"/>
          <w:szCs w:val="20"/>
          <w:lang w:val="en-US"/>
        </w:rPr>
        <w:t>H</w:t>
      </w:r>
      <w:r w:rsidR="00EE7567" w:rsidRPr="00A74A23">
        <w:rPr>
          <w:rFonts w:ascii="Arial" w:hAnsi="Arial" w:cs="Arial"/>
          <w:color w:val="000000" w:themeColor="text1"/>
          <w:sz w:val="20"/>
          <w:szCs w:val="20"/>
          <w:vertAlign w:val="subscript"/>
          <w:lang w:val="en-US"/>
        </w:rPr>
        <w:t>8</w:t>
      </w:r>
      <w:r w:rsidR="002C4300" w:rsidRPr="00A74A23">
        <w:rPr>
          <w:rFonts w:ascii="Arial" w:hAnsi="Arial" w:cs="Arial"/>
          <w:color w:val="000000" w:themeColor="text1"/>
          <w:sz w:val="20"/>
          <w:szCs w:val="20"/>
          <w:lang w:val="en-US"/>
        </w:rPr>
        <w:t>N</w:t>
      </w:r>
      <w:r w:rsidR="002C4300" w:rsidRPr="00A74A23">
        <w:rPr>
          <w:rFonts w:ascii="Arial" w:hAnsi="Arial" w:cs="Arial"/>
          <w:color w:val="000000" w:themeColor="text1"/>
          <w:sz w:val="20"/>
          <w:szCs w:val="20"/>
          <w:vertAlign w:val="subscript"/>
          <w:lang w:val="en-US"/>
        </w:rPr>
        <w:t>2</w:t>
      </w:r>
      <w:r w:rsidR="002C4300" w:rsidRPr="00A74A23">
        <w:rPr>
          <w:rFonts w:ascii="Arial" w:hAnsi="Arial" w:cs="Arial"/>
          <w:color w:val="000000" w:themeColor="text1"/>
          <w:sz w:val="20"/>
          <w:szCs w:val="20"/>
          <w:lang w:val="en-US"/>
        </w:rPr>
        <w:t>)</w:t>
      </w:r>
      <w:r w:rsidR="002C4300"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 xml:space="preserve"> </w:t>
      </w:r>
      <w:r w:rsidR="006924E7" w:rsidRPr="00A74A23">
        <w:rPr>
          <w:rFonts w:ascii="Arial" w:hAnsi="Arial" w:cs="Arial"/>
          <w:color w:val="000000" w:themeColor="text1"/>
          <w:sz w:val="20"/>
          <w:szCs w:val="20"/>
          <w:lang w:val="en-US"/>
        </w:rPr>
        <w:t>complex (</w:t>
      </w:r>
      <w:r w:rsidR="006924E7" w:rsidRPr="00A74A23">
        <w:rPr>
          <w:rFonts w:ascii="Arial" w:hAnsi="Arial" w:cs="Arial"/>
          <w:b/>
          <w:bCs/>
          <w:color w:val="000000" w:themeColor="text1"/>
          <w:sz w:val="20"/>
          <w:szCs w:val="20"/>
          <w:lang w:val="en-US"/>
        </w:rPr>
        <w:t>2</w:t>
      </w:r>
      <w:r w:rsidR="006924E7" w:rsidRPr="00A74A23">
        <w:rPr>
          <w:rFonts w:ascii="Arial" w:hAnsi="Arial" w:cs="Arial"/>
          <w:color w:val="000000" w:themeColor="text1"/>
          <w:sz w:val="20"/>
          <w:szCs w:val="20"/>
          <w:lang w:val="en-US"/>
        </w:rPr>
        <w:t xml:space="preserve">) </w:t>
      </w:r>
      <w:r w:rsidRPr="00A74A23">
        <w:rPr>
          <w:rFonts w:ascii="Arial" w:hAnsi="Arial" w:cs="Arial"/>
          <w:color w:val="000000" w:themeColor="text1"/>
          <w:sz w:val="20"/>
          <w:szCs w:val="20"/>
          <w:lang w:val="en-US"/>
        </w:rPr>
        <w:t>present t</w:t>
      </w:r>
      <w:r w:rsidR="00BE02D3" w:rsidRPr="00A74A23">
        <w:rPr>
          <w:rFonts w:ascii="Arial" w:hAnsi="Arial" w:cs="Arial"/>
          <w:color w:val="000000" w:themeColor="text1"/>
          <w:sz w:val="20"/>
          <w:szCs w:val="20"/>
          <w:lang w:val="en-US"/>
        </w:rPr>
        <w:t>hree part</w:t>
      </w:r>
      <w:r w:rsidR="006924E7" w:rsidRPr="00A74A23">
        <w:rPr>
          <w:rFonts w:ascii="Arial" w:hAnsi="Arial" w:cs="Arial"/>
          <w:color w:val="000000" w:themeColor="text1"/>
          <w:sz w:val="20"/>
          <w:szCs w:val="20"/>
          <w:lang w:val="en-US"/>
        </w:rPr>
        <w:t>s</w:t>
      </w:r>
      <w:r w:rsidR="00BE02D3" w:rsidRPr="00A74A23">
        <w:rPr>
          <w:rFonts w:ascii="Arial" w:hAnsi="Arial" w:cs="Arial"/>
          <w:color w:val="000000" w:themeColor="text1"/>
          <w:sz w:val="20"/>
          <w:szCs w:val="20"/>
          <w:lang w:val="en-US"/>
        </w:rPr>
        <w:t xml:space="preserve">. </w:t>
      </w:r>
      <w:r w:rsidR="00D83AF3" w:rsidRPr="00A74A23">
        <w:rPr>
          <w:rFonts w:ascii="Arial" w:hAnsi="Arial" w:cs="Arial"/>
          <w:color w:val="000000" w:themeColor="text1"/>
          <w:sz w:val="20"/>
          <w:szCs w:val="20"/>
          <w:lang w:val="en-US"/>
        </w:rPr>
        <w:t>The first sta</w:t>
      </w:r>
      <w:r w:rsidR="009C753C" w:rsidRPr="00A74A23">
        <w:rPr>
          <w:rFonts w:ascii="Arial" w:hAnsi="Arial" w:cs="Arial"/>
          <w:color w:val="000000" w:themeColor="text1"/>
          <w:sz w:val="20"/>
          <w:szCs w:val="20"/>
          <w:lang w:val="en-US"/>
        </w:rPr>
        <w:t xml:space="preserve">ge corresponds to the thermal stability of the complex </w:t>
      </w:r>
      <w:r w:rsidR="00467124" w:rsidRPr="00A74A23">
        <w:rPr>
          <w:rFonts w:ascii="Arial" w:hAnsi="Arial" w:cs="Arial"/>
          <w:color w:val="000000" w:themeColor="text1"/>
          <w:sz w:val="20"/>
          <w:szCs w:val="20"/>
          <w:lang w:val="en-US"/>
        </w:rPr>
        <w:t xml:space="preserve">up to 118°C. </w:t>
      </w:r>
      <w:r w:rsidR="00BE02D3" w:rsidRPr="00A74A23">
        <w:rPr>
          <w:rFonts w:ascii="Arial" w:hAnsi="Arial" w:cs="Arial"/>
          <w:color w:val="000000" w:themeColor="text1"/>
          <w:sz w:val="20"/>
          <w:szCs w:val="20"/>
          <w:lang w:val="en-US"/>
        </w:rPr>
        <w:t xml:space="preserve">The </w:t>
      </w:r>
      <w:r w:rsidR="00467124" w:rsidRPr="00A74A23">
        <w:rPr>
          <w:rFonts w:ascii="Arial" w:hAnsi="Arial" w:cs="Arial"/>
          <w:color w:val="000000" w:themeColor="text1"/>
          <w:sz w:val="20"/>
          <w:szCs w:val="20"/>
          <w:lang w:val="en-US"/>
        </w:rPr>
        <w:t>second stage corresponds to rapid mass loss</w:t>
      </w:r>
      <w:r w:rsidR="00DE6EA8" w:rsidRPr="00A74A23">
        <w:rPr>
          <w:rFonts w:ascii="Arial" w:hAnsi="Arial" w:cs="Arial"/>
          <w:color w:val="000000" w:themeColor="text1"/>
          <w:sz w:val="20"/>
          <w:szCs w:val="20"/>
          <w:lang w:val="en-US"/>
        </w:rPr>
        <w:t xml:space="preserve"> between 118 and 415°C</w:t>
      </w:r>
      <w:r w:rsidR="00011774" w:rsidRPr="00A74A23">
        <w:rPr>
          <w:rFonts w:ascii="Arial" w:hAnsi="Arial" w:cs="Arial"/>
          <w:color w:val="000000" w:themeColor="text1"/>
          <w:sz w:val="20"/>
          <w:szCs w:val="20"/>
          <w:lang w:val="en-US"/>
        </w:rPr>
        <w:t xml:space="preserve">, with a significant exothermic effect at </w:t>
      </w:r>
      <w:r w:rsidR="00045524" w:rsidRPr="00A74A23">
        <w:rPr>
          <w:rFonts w:ascii="Arial" w:hAnsi="Arial" w:cs="Arial"/>
          <w:color w:val="000000" w:themeColor="text1"/>
          <w:sz w:val="20"/>
          <w:szCs w:val="20"/>
          <w:lang w:val="en-US"/>
        </w:rPr>
        <w:t>376</w:t>
      </w:r>
      <w:r w:rsidR="00011774" w:rsidRPr="00A74A23">
        <w:rPr>
          <w:rFonts w:ascii="Arial" w:hAnsi="Arial" w:cs="Arial"/>
          <w:color w:val="000000" w:themeColor="text1"/>
          <w:sz w:val="20"/>
          <w:szCs w:val="20"/>
          <w:lang w:val="en-US"/>
        </w:rPr>
        <w:t>°C</w:t>
      </w:r>
      <w:r w:rsidR="00DE6EA8" w:rsidRPr="00A74A23">
        <w:rPr>
          <w:rFonts w:ascii="Arial" w:hAnsi="Arial" w:cs="Arial"/>
          <w:color w:val="000000" w:themeColor="text1"/>
          <w:sz w:val="20"/>
          <w:szCs w:val="20"/>
          <w:lang w:val="en-US"/>
        </w:rPr>
        <w:t xml:space="preserve">. </w:t>
      </w:r>
      <w:r w:rsidR="004D76C9" w:rsidRPr="00A74A23">
        <w:rPr>
          <w:rFonts w:ascii="Arial" w:hAnsi="Arial" w:cs="Arial"/>
          <w:color w:val="000000" w:themeColor="text1"/>
          <w:sz w:val="20"/>
          <w:szCs w:val="20"/>
          <w:lang w:val="en-US"/>
        </w:rPr>
        <w:t xml:space="preserve">The mass loss corresponds to </w:t>
      </w:r>
      <w:r w:rsidR="00045524" w:rsidRPr="00A74A23">
        <w:rPr>
          <w:rFonts w:ascii="Arial" w:hAnsi="Arial" w:cs="Arial"/>
          <w:color w:val="000000" w:themeColor="text1"/>
          <w:sz w:val="20"/>
          <w:szCs w:val="20"/>
          <w:lang w:val="en-US"/>
        </w:rPr>
        <w:t xml:space="preserve">the </w:t>
      </w:r>
      <w:r w:rsidR="004D76C9" w:rsidRPr="00A74A23">
        <w:rPr>
          <w:rFonts w:ascii="Arial" w:hAnsi="Arial" w:cs="Arial"/>
          <w:color w:val="000000" w:themeColor="text1"/>
          <w:sz w:val="20"/>
          <w:szCs w:val="20"/>
          <w:lang w:val="en-US"/>
        </w:rPr>
        <w:t>release of two molecule</w:t>
      </w:r>
      <w:r w:rsidR="00045524" w:rsidRPr="00A74A23">
        <w:rPr>
          <w:rFonts w:ascii="Arial" w:hAnsi="Arial" w:cs="Arial"/>
          <w:color w:val="000000" w:themeColor="text1"/>
          <w:sz w:val="20"/>
          <w:szCs w:val="20"/>
          <w:lang w:val="en-US"/>
        </w:rPr>
        <w:t>s</w:t>
      </w:r>
      <w:r w:rsidR="004D76C9" w:rsidRPr="00A74A23">
        <w:rPr>
          <w:rFonts w:ascii="Arial" w:hAnsi="Arial" w:cs="Arial"/>
          <w:color w:val="000000" w:themeColor="text1"/>
          <w:sz w:val="20"/>
          <w:szCs w:val="20"/>
          <w:lang w:val="en-US"/>
        </w:rPr>
        <w:t xml:space="preserve"> </w:t>
      </w:r>
      <w:r w:rsidR="00024D3F" w:rsidRPr="00A74A23">
        <w:rPr>
          <w:rFonts w:ascii="Arial" w:hAnsi="Arial" w:cs="Arial"/>
          <w:color w:val="000000" w:themeColor="text1"/>
          <w:sz w:val="20"/>
          <w:szCs w:val="20"/>
          <w:lang w:val="en-US"/>
        </w:rPr>
        <w:t xml:space="preserve">of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00024D3F" w:rsidRPr="00A74A23">
        <w:rPr>
          <w:rFonts w:ascii="Arial" w:hAnsi="Arial" w:cs="Arial"/>
          <w:color w:val="000000" w:themeColor="text1"/>
          <w:sz w:val="20"/>
          <w:szCs w:val="20"/>
          <w:lang w:val="en-US"/>
        </w:rPr>
        <w:t xml:space="preserve">and one unit of </w:t>
      </w:r>
      <w:r w:rsidR="00FE5A1F" w:rsidRPr="00A74A23">
        <w:rPr>
          <w:rFonts w:ascii="Arial" w:hAnsi="Arial" w:cs="Arial"/>
          <w:color w:val="000000" w:themeColor="text1"/>
          <w:sz w:val="20"/>
          <w:szCs w:val="20"/>
          <w:lang w:val="en-US"/>
        </w:rPr>
        <w:t xml:space="preserve">3-oxopropanoate </w:t>
      </w:r>
      <w:r w:rsidR="00024D3F" w:rsidRPr="00A74A23">
        <w:rPr>
          <w:rFonts w:ascii="Arial" w:hAnsi="Arial" w:cs="Arial"/>
          <w:color w:val="000000" w:themeColor="text1"/>
          <w:sz w:val="20"/>
          <w:szCs w:val="20"/>
          <w:lang w:val="en-US"/>
        </w:rPr>
        <w:t>(7</w:t>
      </w:r>
      <w:r w:rsidR="00C42EF7" w:rsidRPr="00A74A23">
        <w:rPr>
          <w:rFonts w:ascii="Arial" w:hAnsi="Arial" w:cs="Arial"/>
          <w:color w:val="000000" w:themeColor="text1"/>
          <w:sz w:val="20"/>
          <w:szCs w:val="20"/>
          <w:lang w:val="en-US"/>
        </w:rPr>
        <w:t>7</w:t>
      </w:r>
      <w:r w:rsidR="00024D3F" w:rsidRPr="00A74A23">
        <w:rPr>
          <w:rFonts w:ascii="Arial" w:hAnsi="Arial" w:cs="Arial"/>
          <w:color w:val="000000" w:themeColor="text1"/>
          <w:sz w:val="20"/>
          <w:szCs w:val="20"/>
          <w:lang w:val="en-US"/>
        </w:rPr>
        <w:t>.42/</w:t>
      </w:r>
      <w:r w:rsidR="00462F3F" w:rsidRPr="00A74A23">
        <w:rPr>
          <w:rFonts w:ascii="Arial" w:hAnsi="Arial" w:cs="Arial"/>
          <w:color w:val="000000" w:themeColor="text1"/>
          <w:sz w:val="20"/>
          <w:szCs w:val="20"/>
          <w:lang w:val="en-US"/>
        </w:rPr>
        <w:t>77.38</w:t>
      </w:r>
      <w:r w:rsidR="00024D3F" w:rsidRPr="00A74A23">
        <w:rPr>
          <w:rFonts w:ascii="Arial" w:hAnsi="Arial" w:cs="Arial"/>
          <w:color w:val="000000" w:themeColor="text1"/>
          <w:sz w:val="20"/>
          <w:szCs w:val="20"/>
          <w:lang w:val="en-US"/>
        </w:rPr>
        <w:t>%, experimental/theoretical)</w:t>
      </w:r>
      <w:r w:rsidR="00E062DA" w:rsidRPr="00A74A23">
        <w:rPr>
          <w:rFonts w:ascii="Arial" w:hAnsi="Arial" w:cs="Arial"/>
          <w:color w:val="000000" w:themeColor="text1"/>
          <w:sz w:val="20"/>
          <w:szCs w:val="20"/>
          <w:lang w:val="en-US"/>
        </w:rPr>
        <w:t xml:space="preserve"> as observed for the Cu complex</w:t>
      </w:r>
      <w:r w:rsidR="00024D3F" w:rsidRPr="00A74A23">
        <w:rPr>
          <w:rFonts w:ascii="Arial" w:hAnsi="Arial" w:cs="Arial"/>
          <w:color w:val="000000" w:themeColor="text1"/>
          <w:sz w:val="20"/>
          <w:szCs w:val="20"/>
          <w:lang w:val="en-US"/>
        </w:rPr>
        <w:t>.</w:t>
      </w:r>
      <w:r w:rsidR="007A60BE" w:rsidRPr="00A74A23">
        <w:rPr>
          <w:rFonts w:ascii="Arial" w:hAnsi="Arial" w:cs="Arial"/>
          <w:color w:val="000000" w:themeColor="text1"/>
          <w:sz w:val="20"/>
          <w:szCs w:val="20"/>
          <w:lang w:val="en-US"/>
        </w:rPr>
        <w:t xml:space="preserve"> The third stage </w:t>
      </w:r>
      <w:r w:rsidR="001A26D9" w:rsidRPr="00A74A23">
        <w:rPr>
          <w:rFonts w:ascii="Arial" w:hAnsi="Arial" w:cs="Arial"/>
          <w:color w:val="000000" w:themeColor="text1"/>
          <w:sz w:val="20"/>
          <w:szCs w:val="20"/>
          <w:lang w:val="en-US"/>
        </w:rPr>
        <w:t xml:space="preserve">occurs after 418°C in which no </w:t>
      </w:r>
      <w:r w:rsidR="00271F6D" w:rsidRPr="00A74A23">
        <w:rPr>
          <w:rFonts w:ascii="Arial" w:hAnsi="Arial" w:cs="Arial"/>
          <w:color w:val="000000" w:themeColor="text1"/>
          <w:sz w:val="20"/>
          <w:szCs w:val="20"/>
          <w:lang w:val="en-US"/>
        </w:rPr>
        <w:t>mass loss is observed</w:t>
      </w:r>
      <w:r w:rsidR="002B7D1E" w:rsidRPr="00A74A23">
        <w:rPr>
          <w:rFonts w:ascii="Arial" w:hAnsi="Arial" w:cs="Arial"/>
          <w:color w:val="000000" w:themeColor="text1"/>
          <w:sz w:val="20"/>
          <w:szCs w:val="20"/>
          <w:lang w:val="en-US"/>
        </w:rPr>
        <w:t>.</w:t>
      </w:r>
      <w:r w:rsidR="00271F6D" w:rsidRPr="00A74A23">
        <w:rPr>
          <w:rFonts w:ascii="Arial" w:hAnsi="Arial" w:cs="Arial"/>
          <w:color w:val="000000" w:themeColor="text1"/>
          <w:sz w:val="20"/>
          <w:szCs w:val="20"/>
          <w:lang w:val="en-US"/>
        </w:rPr>
        <w:t xml:space="preserve"> </w:t>
      </w:r>
      <w:r w:rsidR="00EF1897" w:rsidRPr="00A74A23">
        <w:rPr>
          <w:rFonts w:ascii="Arial" w:hAnsi="Arial" w:cs="Arial"/>
          <w:color w:val="000000" w:themeColor="text1"/>
          <w:sz w:val="20"/>
          <w:szCs w:val="20"/>
          <w:lang w:val="en-US"/>
        </w:rPr>
        <w:t>Th</w:t>
      </w:r>
      <w:r w:rsidR="00773216" w:rsidRPr="00A74A23">
        <w:rPr>
          <w:rFonts w:ascii="Arial" w:hAnsi="Arial" w:cs="Arial"/>
          <w:color w:val="000000" w:themeColor="text1"/>
          <w:sz w:val="20"/>
          <w:szCs w:val="20"/>
          <w:lang w:val="en-US"/>
        </w:rPr>
        <w:t>e</w:t>
      </w:r>
      <w:r w:rsidR="00EF1897" w:rsidRPr="00A74A23">
        <w:rPr>
          <w:rFonts w:ascii="Arial" w:hAnsi="Arial" w:cs="Arial"/>
          <w:color w:val="000000" w:themeColor="text1"/>
          <w:sz w:val="20"/>
          <w:szCs w:val="20"/>
          <w:lang w:val="en-US"/>
        </w:rPr>
        <w:t xml:space="preserve"> </w:t>
      </w:r>
      <w:r w:rsidR="00302CA5" w:rsidRPr="00A74A23">
        <w:rPr>
          <w:rFonts w:ascii="Arial" w:hAnsi="Arial" w:cs="Arial"/>
          <w:color w:val="000000" w:themeColor="text1"/>
          <w:sz w:val="20"/>
          <w:szCs w:val="20"/>
          <w:lang w:val="en-US"/>
        </w:rPr>
        <w:t xml:space="preserve">grey </w:t>
      </w:r>
      <w:r w:rsidR="00EF1897" w:rsidRPr="00A74A23">
        <w:rPr>
          <w:rFonts w:ascii="Arial" w:hAnsi="Arial" w:cs="Arial"/>
          <w:color w:val="000000" w:themeColor="text1"/>
          <w:sz w:val="20"/>
          <w:szCs w:val="20"/>
          <w:lang w:val="en-US"/>
        </w:rPr>
        <w:t xml:space="preserve">residue represented </w:t>
      </w:r>
      <w:proofErr w:type="spellStart"/>
      <w:r w:rsidR="00302CA5" w:rsidRPr="00A74A23">
        <w:rPr>
          <w:rFonts w:ascii="Arial" w:hAnsi="Arial" w:cs="Arial"/>
          <w:color w:val="000000" w:themeColor="text1"/>
          <w:sz w:val="20"/>
          <w:szCs w:val="20"/>
          <w:lang w:val="en-US"/>
        </w:rPr>
        <w:t>ZnO</w:t>
      </w:r>
      <w:proofErr w:type="spellEnd"/>
      <w:r w:rsidR="00302CA5" w:rsidRPr="00A74A23">
        <w:rPr>
          <w:rFonts w:ascii="Arial" w:hAnsi="Arial" w:cs="Arial"/>
          <w:color w:val="000000" w:themeColor="text1"/>
          <w:sz w:val="20"/>
          <w:szCs w:val="20"/>
          <w:lang w:val="en-US"/>
        </w:rPr>
        <w:t xml:space="preserve"> (</w:t>
      </w:r>
      <w:r w:rsidR="00C42EF7" w:rsidRPr="00A74A23">
        <w:rPr>
          <w:rFonts w:ascii="Arial" w:hAnsi="Arial" w:cs="Arial"/>
          <w:color w:val="000000" w:themeColor="text1"/>
          <w:sz w:val="20"/>
          <w:szCs w:val="20"/>
          <w:lang w:val="en-US"/>
        </w:rPr>
        <w:t>22.58</w:t>
      </w:r>
      <w:r w:rsidR="00302CA5" w:rsidRPr="00A74A23">
        <w:rPr>
          <w:rFonts w:ascii="Arial" w:hAnsi="Arial" w:cs="Arial"/>
          <w:color w:val="000000" w:themeColor="text1"/>
          <w:sz w:val="20"/>
          <w:szCs w:val="20"/>
          <w:lang w:val="en-US"/>
        </w:rPr>
        <w:t>/</w:t>
      </w:r>
      <w:r w:rsidR="00462F3F" w:rsidRPr="00A74A23">
        <w:rPr>
          <w:rFonts w:ascii="Arial" w:hAnsi="Arial" w:cs="Arial"/>
          <w:color w:val="000000" w:themeColor="text1"/>
          <w:sz w:val="20"/>
          <w:szCs w:val="20"/>
          <w:lang w:val="en-US"/>
        </w:rPr>
        <w:t>22.62</w:t>
      </w:r>
      <w:r w:rsidR="00302CA5" w:rsidRPr="00A74A23">
        <w:rPr>
          <w:rFonts w:ascii="Arial" w:hAnsi="Arial" w:cs="Arial"/>
          <w:color w:val="000000" w:themeColor="text1"/>
          <w:sz w:val="20"/>
          <w:szCs w:val="20"/>
          <w:lang w:val="en-US"/>
        </w:rPr>
        <w:t>%, experimental/theoretical).</w:t>
      </w:r>
      <w:r w:rsidR="006B1C66" w:rsidRPr="00A74A23">
        <w:rPr>
          <w:rFonts w:ascii="Arial" w:hAnsi="Arial" w:cs="Arial"/>
          <w:color w:val="000000" w:themeColor="text1"/>
          <w:sz w:val="20"/>
          <w:szCs w:val="20"/>
          <w:lang w:val="en-US"/>
        </w:rPr>
        <w:t xml:space="preserve"> </w:t>
      </w:r>
    </w:p>
    <w:p w14:paraId="2490D3A0" w14:textId="263A290D" w:rsidR="0064750F" w:rsidRPr="00A74A23" w:rsidRDefault="004D4DC3" w:rsidP="00F122B0">
      <w:pPr>
        <w:pStyle w:val="Heading3"/>
        <w:rPr>
          <w:sz w:val="20"/>
          <w:szCs w:val="20"/>
        </w:rPr>
      </w:pPr>
      <w:bookmarkStart w:id="0" w:name="_Hlk207459652"/>
      <w:r w:rsidRPr="00A74A23">
        <w:t xml:space="preserve">Structure Description of the </w:t>
      </w:r>
      <w:bookmarkEnd w:id="0"/>
      <w:r w:rsidR="0064750F" w:rsidRPr="00A74A23">
        <w:rPr>
          <w:sz w:val="20"/>
          <w:szCs w:val="20"/>
        </w:rPr>
        <w:t>complex 1</w:t>
      </w:r>
    </w:p>
    <w:p w14:paraId="5849867D" w14:textId="50769F66" w:rsidR="00081375" w:rsidRPr="00F25B40" w:rsidRDefault="003171C8" w:rsidP="00A57067">
      <w:pPr>
        <w:spacing w:line="240" w:lineRule="auto"/>
        <w:jc w:val="both"/>
        <w:rPr>
          <w:rFonts w:ascii="Arial" w:hAnsi="Arial" w:cs="Arial"/>
          <w:sz w:val="20"/>
          <w:szCs w:val="20"/>
          <w:lang w:val="en-US"/>
        </w:rPr>
      </w:pPr>
      <w:r>
        <w:rPr>
          <w:rFonts w:ascii="Arial" w:hAnsi="Arial" w:cs="Arial"/>
          <w:color w:val="000000" w:themeColor="text1"/>
          <w:sz w:val="20"/>
          <w:szCs w:val="20"/>
          <w:lang w:val="en-US"/>
        </w:rPr>
        <w:t>“</w:t>
      </w:r>
      <w:r w:rsidR="00081375" w:rsidRPr="00A74A23">
        <w:rPr>
          <w:rFonts w:ascii="Arial" w:hAnsi="Arial" w:cs="Arial"/>
          <w:color w:val="000000" w:themeColor="text1"/>
          <w:sz w:val="20"/>
          <w:szCs w:val="20"/>
          <w:lang w:val="en-US"/>
        </w:rPr>
        <w:t xml:space="preserve">In the crystal structure of the coordination polymer, </w:t>
      </w:r>
      <w:r w:rsidR="00081375" w:rsidRPr="00A74A23">
        <w:rPr>
          <w:rFonts w:ascii="Arial" w:hAnsi="Arial" w:cs="Arial"/>
          <w:b/>
          <w:bCs/>
          <w:color w:val="000000" w:themeColor="text1"/>
          <w:sz w:val="20"/>
          <w:szCs w:val="20"/>
          <w:lang w:val="en-US"/>
        </w:rPr>
        <w:t>[Cu(C</w:t>
      </w:r>
      <w:r w:rsidR="00081375" w:rsidRPr="00A74A23">
        <w:rPr>
          <w:rFonts w:ascii="Arial" w:hAnsi="Arial" w:cs="Arial"/>
          <w:b/>
          <w:bCs/>
          <w:color w:val="000000" w:themeColor="text1"/>
          <w:position w:val="-6"/>
          <w:sz w:val="20"/>
          <w:szCs w:val="20"/>
          <w:vertAlign w:val="subscript"/>
          <w:lang w:val="en-US"/>
        </w:rPr>
        <w:t>14</w:t>
      </w:r>
      <w:r w:rsidR="00081375" w:rsidRPr="00A74A23">
        <w:rPr>
          <w:rFonts w:ascii="Arial" w:hAnsi="Arial" w:cs="Arial"/>
          <w:b/>
          <w:bCs/>
          <w:color w:val="000000" w:themeColor="text1"/>
          <w:sz w:val="20"/>
          <w:szCs w:val="20"/>
          <w:lang w:val="en-US"/>
        </w:rPr>
        <w:t>H</w:t>
      </w:r>
      <w:r w:rsidR="00081375" w:rsidRPr="00A74A23">
        <w:rPr>
          <w:rFonts w:ascii="Arial" w:hAnsi="Arial" w:cs="Arial"/>
          <w:b/>
          <w:bCs/>
          <w:color w:val="000000" w:themeColor="text1"/>
          <w:position w:val="-6"/>
          <w:sz w:val="20"/>
          <w:szCs w:val="20"/>
          <w:vertAlign w:val="subscript"/>
          <w:lang w:val="en-US"/>
        </w:rPr>
        <w:t>18</w:t>
      </w:r>
      <w:r w:rsidR="00081375" w:rsidRPr="00A74A23">
        <w:rPr>
          <w:rFonts w:ascii="Arial" w:hAnsi="Arial" w:cs="Arial"/>
          <w:b/>
          <w:bCs/>
          <w:color w:val="000000" w:themeColor="text1"/>
          <w:sz w:val="20"/>
          <w:szCs w:val="20"/>
          <w:lang w:val="en-US"/>
        </w:rPr>
        <w:t>N</w:t>
      </w:r>
      <w:r w:rsidR="00081375" w:rsidRPr="00A74A23">
        <w:rPr>
          <w:rFonts w:ascii="Arial" w:hAnsi="Arial" w:cs="Arial"/>
          <w:b/>
          <w:bCs/>
          <w:color w:val="000000" w:themeColor="text1"/>
          <w:position w:val="-6"/>
          <w:sz w:val="20"/>
          <w:szCs w:val="20"/>
          <w:vertAlign w:val="subscript"/>
          <w:lang w:val="en-US"/>
        </w:rPr>
        <w:t>4</w:t>
      </w:r>
      <w:r w:rsidR="00081375" w:rsidRPr="00A74A23">
        <w:rPr>
          <w:rFonts w:ascii="Arial" w:hAnsi="Arial" w:cs="Arial"/>
          <w:b/>
          <w:bCs/>
          <w:color w:val="000000" w:themeColor="text1"/>
          <w:sz w:val="20"/>
          <w:szCs w:val="20"/>
          <w:lang w:val="en-US"/>
        </w:rPr>
        <w:t>O</w:t>
      </w:r>
      <w:r w:rsidR="00081375" w:rsidRPr="00A74A23">
        <w:rPr>
          <w:rFonts w:ascii="Arial" w:hAnsi="Arial" w:cs="Arial"/>
          <w:b/>
          <w:bCs/>
          <w:color w:val="000000" w:themeColor="text1"/>
          <w:position w:val="-6"/>
          <w:sz w:val="20"/>
          <w:szCs w:val="20"/>
          <w:vertAlign w:val="subscript"/>
          <w:lang w:val="en-US"/>
        </w:rPr>
        <w:t>4</w:t>
      </w:r>
      <w:proofErr w:type="gramStart"/>
      <w:r w:rsidR="00081375" w:rsidRPr="00A74A23">
        <w:rPr>
          <w:rFonts w:ascii="Arial" w:hAnsi="Arial" w:cs="Arial"/>
          <w:b/>
          <w:bCs/>
          <w:color w:val="000000" w:themeColor="text1"/>
          <w:sz w:val="20"/>
          <w:szCs w:val="20"/>
          <w:lang w:val="en-US"/>
        </w:rPr>
        <w:t>)]</w:t>
      </w:r>
      <w:r w:rsidR="00081375" w:rsidRPr="00A74A23">
        <w:rPr>
          <w:rFonts w:ascii="Arial" w:hAnsi="Arial" w:cs="Arial"/>
          <w:b/>
          <w:bCs/>
          <w:color w:val="000000" w:themeColor="text1"/>
          <w:position w:val="-6"/>
          <w:sz w:val="20"/>
          <w:szCs w:val="20"/>
          <w:vertAlign w:val="subscript"/>
          <w:lang w:val="en-US"/>
        </w:rPr>
        <w:t>n</w:t>
      </w:r>
      <w:proofErr w:type="gramEnd"/>
      <w:r w:rsidR="006337FB" w:rsidRPr="00A74A23">
        <w:rPr>
          <w:rFonts w:ascii="Arial" w:hAnsi="Arial" w:cs="Arial"/>
          <w:color w:val="000000" w:themeColor="text1"/>
          <w:sz w:val="20"/>
          <w:szCs w:val="20"/>
          <w:lang w:val="en-US"/>
        </w:rPr>
        <w:t xml:space="preserve"> </w:t>
      </w:r>
      <w:r w:rsidR="00081375" w:rsidRPr="00A74A23">
        <w:rPr>
          <w:rFonts w:ascii="Arial" w:hAnsi="Arial" w:cs="Arial"/>
          <w:color w:val="000000" w:themeColor="text1"/>
          <w:sz w:val="20"/>
          <w:szCs w:val="20"/>
          <w:lang w:val="en-US"/>
        </w:rPr>
        <w:t>(</w:t>
      </w:r>
      <w:r w:rsidR="00081375" w:rsidRPr="00A74A23">
        <w:rPr>
          <w:rFonts w:ascii="Arial" w:hAnsi="Arial" w:cs="Arial"/>
          <w:b/>
          <w:bCs/>
          <w:color w:val="000000" w:themeColor="text1"/>
          <w:sz w:val="20"/>
          <w:szCs w:val="20"/>
          <w:lang w:val="en-US"/>
        </w:rPr>
        <w:t>1</w:t>
      </w:r>
      <w:r w:rsidR="00081375" w:rsidRPr="00A74A23">
        <w:rPr>
          <w:rFonts w:ascii="Arial" w:hAnsi="Arial" w:cs="Arial"/>
          <w:color w:val="000000" w:themeColor="text1"/>
          <w:sz w:val="20"/>
          <w:szCs w:val="20"/>
          <w:lang w:val="en-US"/>
        </w:rPr>
        <w:t>), the repeat unit of which is shown in (Fig</w:t>
      </w:r>
      <w:r w:rsidR="00DB6696" w:rsidRPr="00A74A23">
        <w:rPr>
          <w:rFonts w:ascii="Arial" w:hAnsi="Arial" w:cs="Arial"/>
          <w:color w:val="000000" w:themeColor="text1"/>
          <w:sz w:val="20"/>
          <w:szCs w:val="20"/>
          <w:lang w:val="en-US"/>
        </w:rPr>
        <w:t>ure</w:t>
      </w:r>
      <w:r w:rsidR="00081375" w:rsidRPr="00A74A23">
        <w:rPr>
          <w:rFonts w:ascii="Arial" w:hAnsi="Arial" w:cs="Arial"/>
          <w:color w:val="000000" w:themeColor="text1"/>
          <w:sz w:val="20"/>
          <w:szCs w:val="20"/>
          <w:lang w:val="en-US"/>
        </w:rPr>
        <w:t xml:space="preserve"> 1), the Cu(II) center is pentacoordinated by two nitrogen atoms from two molecules of 1-ethyl-1</w:t>
      </w:r>
      <w:r w:rsidR="00081375" w:rsidRPr="00A74A23">
        <w:rPr>
          <w:rFonts w:ascii="Arial" w:hAnsi="Arial" w:cs="Arial"/>
          <w:i/>
          <w:iCs/>
          <w:color w:val="000000" w:themeColor="text1"/>
          <w:sz w:val="20"/>
          <w:szCs w:val="20"/>
          <w:lang w:val="en-US"/>
        </w:rPr>
        <w:t>H</w:t>
      </w:r>
      <w:r w:rsidR="00081375" w:rsidRPr="00A74A23">
        <w:rPr>
          <w:rFonts w:ascii="Arial" w:hAnsi="Arial" w:cs="Arial"/>
          <w:color w:val="000000" w:themeColor="text1"/>
          <w:sz w:val="20"/>
          <w:szCs w:val="20"/>
          <w:lang w:val="en-US"/>
        </w:rPr>
        <w:t xml:space="preserve">-imidazole and one oxygen atom in </w:t>
      </w:r>
      <w:r w:rsidR="00081375" w:rsidRPr="00A74A23">
        <w:rPr>
          <w:rFonts w:ascii="Arial" w:hAnsi="Arial" w:cs="Arial"/>
          <w:i/>
          <w:iCs/>
          <w:color w:val="000000" w:themeColor="text1"/>
          <w:sz w:val="20"/>
          <w:szCs w:val="20"/>
          <w:lang w:val="en-US"/>
        </w:rPr>
        <w:sym w:font="Symbol" w:char="F068"/>
      </w:r>
      <w:r w:rsidR="00081375" w:rsidRPr="00A74A23">
        <w:rPr>
          <w:rFonts w:ascii="Arial" w:hAnsi="Arial" w:cs="Arial"/>
          <w:color w:val="000000" w:themeColor="text1"/>
          <w:sz w:val="20"/>
          <w:szCs w:val="20"/>
          <w:vertAlign w:val="superscript"/>
          <w:lang w:val="en-US"/>
        </w:rPr>
        <w:t>1</w:t>
      </w:r>
      <w:r w:rsidR="00081375" w:rsidRPr="00A74A23">
        <w:rPr>
          <w:rFonts w:ascii="Arial" w:hAnsi="Arial" w:cs="Arial"/>
          <w:color w:val="000000" w:themeColor="text1"/>
          <w:sz w:val="20"/>
          <w:szCs w:val="20"/>
          <w:lang w:val="en-US"/>
        </w:rPr>
        <w:t xml:space="preserve">-mode from a di-maleate unit, and by two oxygen atoms in </w:t>
      </w:r>
      <w:r w:rsidR="00081375" w:rsidRPr="00A74A23">
        <w:rPr>
          <w:rFonts w:ascii="Arial" w:hAnsi="Arial" w:cs="Arial"/>
          <w:i/>
          <w:iCs/>
          <w:color w:val="000000" w:themeColor="text1"/>
          <w:sz w:val="20"/>
          <w:szCs w:val="20"/>
          <w:lang w:val="en-US"/>
        </w:rPr>
        <w:sym w:font="Symbol" w:char="F068"/>
      </w:r>
      <w:r w:rsidR="002A60C9" w:rsidRPr="00A74A23">
        <w:rPr>
          <w:rFonts w:ascii="Arial" w:hAnsi="Arial" w:cs="Arial"/>
          <w:color w:val="000000" w:themeColor="text1"/>
          <w:sz w:val="20"/>
          <w:szCs w:val="20"/>
          <w:vertAlign w:val="superscript"/>
          <w:lang w:val="en-US"/>
        </w:rPr>
        <w:t>2</w:t>
      </w:r>
      <w:r w:rsidR="00081375" w:rsidRPr="00A74A23">
        <w:rPr>
          <w:rFonts w:ascii="Arial" w:hAnsi="Arial" w:cs="Arial"/>
          <w:color w:val="000000" w:themeColor="text1"/>
          <w:sz w:val="20"/>
          <w:szCs w:val="20"/>
          <w:lang w:val="en-US"/>
        </w:rPr>
        <w:t xml:space="preserve">-mode from </w:t>
      </w:r>
      <w:proofErr w:type="spellStart"/>
      <w:r w:rsidR="002A60C9" w:rsidRPr="00A74A23">
        <w:rPr>
          <w:rFonts w:ascii="Arial" w:hAnsi="Arial" w:cs="Arial"/>
          <w:color w:val="000000" w:themeColor="text1"/>
          <w:sz w:val="20"/>
          <w:szCs w:val="20"/>
          <w:lang w:val="en-US"/>
        </w:rPr>
        <w:t>a</w:t>
      </w:r>
      <w:proofErr w:type="spellEnd"/>
      <w:r w:rsidR="00081375" w:rsidRPr="00A74A23">
        <w:rPr>
          <w:rFonts w:ascii="Arial" w:hAnsi="Arial" w:cs="Arial"/>
          <w:color w:val="000000" w:themeColor="text1"/>
          <w:sz w:val="20"/>
          <w:szCs w:val="20"/>
          <w:lang w:val="en-US"/>
        </w:rPr>
        <w:t xml:space="preserve"> arm of a di-maleate unit of an adjacent complex molecule. This latter contact bridges the Cu(II) cations to form a one-dimensional coordination polymer along the crystallographic </w:t>
      </w:r>
      <w:r w:rsidR="00081375" w:rsidRPr="00A74A23">
        <w:rPr>
          <w:rFonts w:ascii="Arial" w:hAnsi="Arial" w:cs="Arial"/>
          <w:i/>
          <w:iCs/>
          <w:color w:val="000000" w:themeColor="text1"/>
          <w:sz w:val="20"/>
          <w:szCs w:val="20"/>
          <w:lang w:val="en-US"/>
        </w:rPr>
        <w:t>b</w:t>
      </w:r>
      <w:r w:rsidR="00081375" w:rsidRPr="00A74A23">
        <w:rPr>
          <w:rFonts w:ascii="Arial" w:hAnsi="Arial" w:cs="Arial"/>
          <w:color w:val="000000" w:themeColor="text1"/>
          <w:sz w:val="20"/>
          <w:szCs w:val="20"/>
          <w:lang w:val="en-US"/>
        </w:rPr>
        <w:t xml:space="preserve"> axis (Fig</w:t>
      </w:r>
      <w:r w:rsidR="006337FB" w:rsidRPr="00A74A23">
        <w:rPr>
          <w:rFonts w:ascii="Arial" w:hAnsi="Arial" w:cs="Arial"/>
          <w:color w:val="000000" w:themeColor="text1"/>
          <w:sz w:val="20"/>
          <w:szCs w:val="20"/>
          <w:lang w:val="en-US"/>
        </w:rPr>
        <w:t>ure 2</w:t>
      </w:r>
      <w:r w:rsidR="00081375" w:rsidRPr="00A74A23">
        <w:rPr>
          <w:rFonts w:ascii="Arial" w:hAnsi="Arial" w:cs="Arial"/>
          <w:color w:val="000000" w:themeColor="text1"/>
          <w:sz w:val="20"/>
          <w:szCs w:val="20"/>
          <w:lang w:val="en-US"/>
        </w:rPr>
        <w:t xml:space="preserve">). The coordination environment can be best described as strongly distorted square pyramidal. The basal plane around the Cu(II) ion is formed by two N atoms from the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00081375" w:rsidRPr="00A74A23">
        <w:rPr>
          <w:rFonts w:ascii="Arial" w:hAnsi="Arial" w:cs="Arial"/>
          <w:color w:val="000000" w:themeColor="text1"/>
          <w:sz w:val="20"/>
          <w:szCs w:val="20"/>
          <w:lang w:val="en-US"/>
        </w:rPr>
        <w:t>molecules with a Cu1—N2 distance of 1.981(2) Å, and a Cu1—N4 distance of 1.969(2) Å, two oxygen atoms : one from a maleate unit (O1) and the second from a maleate unit of an adjacent complex molecule (O3</w:t>
      </w:r>
      <w:r w:rsidR="00081375" w:rsidRPr="00A74A23">
        <w:rPr>
          <w:rFonts w:ascii="Arial" w:hAnsi="Arial" w:cs="Arial"/>
          <w:color w:val="000000" w:themeColor="text1"/>
          <w:sz w:val="20"/>
          <w:szCs w:val="20"/>
          <w:vertAlign w:val="superscript"/>
          <w:lang w:val="en-US"/>
        </w:rPr>
        <w:t>i</w:t>
      </w:r>
      <w:r w:rsidR="00081375" w:rsidRPr="00A74A23">
        <w:rPr>
          <w:rFonts w:ascii="Arial" w:hAnsi="Arial" w:cs="Arial"/>
          <w:color w:val="000000" w:themeColor="text1"/>
          <w:sz w:val="20"/>
          <w:szCs w:val="20"/>
          <w:lang w:val="en-US"/>
        </w:rPr>
        <w:t xml:space="preserve">), with a Cu—O distances of 1.9429(16) Å and 2.0336(16), respectively (Table </w:t>
      </w:r>
      <w:r w:rsidR="00421F33" w:rsidRPr="00A74A23">
        <w:rPr>
          <w:rFonts w:ascii="Arial" w:hAnsi="Arial" w:cs="Arial"/>
          <w:color w:val="000000" w:themeColor="text1"/>
          <w:sz w:val="20"/>
          <w:szCs w:val="20"/>
          <w:lang w:val="en-US"/>
        </w:rPr>
        <w:t>3</w:t>
      </w:r>
      <w:r w:rsidR="00081375" w:rsidRPr="00A74A23">
        <w:rPr>
          <w:rFonts w:ascii="Arial" w:hAnsi="Arial" w:cs="Arial"/>
          <w:color w:val="000000" w:themeColor="text1"/>
          <w:sz w:val="20"/>
          <w:szCs w:val="20"/>
          <w:lang w:val="en-US"/>
        </w:rPr>
        <w:t>). These bond lengths are similar to the values found in similar complexes</w:t>
      </w:r>
      <w:r>
        <w:rPr>
          <w:rFonts w:ascii="Arial" w:hAnsi="Arial" w:cs="Arial"/>
          <w:color w:val="000000" w:themeColor="text1"/>
          <w:sz w:val="20"/>
          <w:szCs w:val="20"/>
          <w:lang w:val="en-US"/>
        </w:rPr>
        <w:t>”</w:t>
      </w:r>
      <w:r w:rsidR="00081375" w:rsidRPr="00A74A23">
        <w:rPr>
          <w:rFonts w:ascii="Arial" w:hAnsi="Arial" w:cs="Arial"/>
          <w:color w:val="000000" w:themeColor="text1"/>
          <w:sz w:val="20"/>
          <w:szCs w:val="20"/>
          <w:lang w:val="en-US"/>
        </w:rPr>
        <w:t xml:space="preserve"> </w:t>
      </w:r>
      <w:r w:rsidR="002655EA" w:rsidRPr="00A74A23">
        <w:rPr>
          <w:rFonts w:ascii="Arial" w:hAnsi="Arial" w:cs="Arial"/>
          <w:color w:val="000000" w:themeColor="text1"/>
          <w:sz w:val="20"/>
          <w:szCs w:val="20"/>
          <w:lang w:val="en-US"/>
        </w:rPr>
        <w:fldChar w:fldCharType="begin"/>
      </w:r>
      <w:r w:rsidR="002E71C7" w:rsidRPr="00A74A23">
        <w:rPr>
          <w:rFonts w:ascii="Arial" w:hAnsi="Arial" w:cs="Arial"/>
          <w:color w:val="000000" w:themeColor="text1"/>
          <w:sz w:val="20"/>
          <w:szCs w:val="20"/>
          <w:lang w:val="en-US"/>
        </w:rPr>
        <w:instrText xml:space="preserve"> ADDIN ZOTERO_ITEM CSL_CITATION {"citationID":"tN3q1SxA","properties":{"formattedCitation":"(Lazarou, Boudalis, et al., 2009)","plainCitation":"(Lazarou, Boudalis, et al., 2009)","noteIndex":0},"citationItems":[{"id":3698,"uris":["http://zotero.org/users/local/JzcqJHT8/items/TVHQ373F"],"itemData":{"id":3698,"type":"article-journal","abstract":"Abstract A systematic investigation of the 1:2:1:2 Cu(NO3)·2.5H2O/H2L/bpy/LiOH·H2O (H2L = maleamic acid) reaction system in MeCN/H2O was carried out. The compounds [Cu2(HL)2(bpy)2(H2O)2](NO3)2 (1), [Cu2(HL)2(bpy)2(H2O)2](NO3)2·2H2O (1·2H2O), [Cu2Li2(L′)2(bpy)2(H2O)6][Cu2(HL)2(bpy)2(H2O)2](NO3)4 (2), [Cu4(L′)2(NO3)2(bpy)4(H2O)2](NO3)2·2H2O (3·2H2O) and [Cu(L′)(bpy)]n·2nH2O (4·2nH2O) were isolated, depending on the crystallization method employed. Complexes 2, 3·2H2O and 4·2nH2O contain the maleate(–2) anion (L′2–), which was formed in situ through metal-ion-assisted hydrolysis of the primary amide group of H2L. Efforts to prepare complex 3 from the direct use of maleic acid (H2L′) afforded compounds 4·2nH2O, [Cu4(L′)2(NO3)2(bpy)4(H2O)2](NO3)2·2[Li(NO3)(H2O)3]·4H2O (5·4H2O) and [Cu(NO3)(bpy)(H2O)3](NO3) (6) from the 1:1:1:2 Cu(NO3)·2.5H2O/H2L′/bpy/LiOH·H2O reaction system in MeCN/H2O. The maleamate(–1) ligand presents the less common η1:μ2 coordination mode in the cations of 1, 1·2H2O and 2. The maleate(–2) ligand exhibits the η1:η1:η1:η1:μ3 coordination mode in the [CuII4] cations of 3·2H2O and 5·4H2O and in the [CuII2LiI2] heterometallic cation of 2. The crystal structures of the complexes are stabilized by various H-bonding patterns. Characteristic IR bands of the complexes are discussed in terms of the known structures and the coordination modes of the ligands. Magnetic susceptibility measurements for 3·2H2O reveal weak ferromagnetic interactions along the periphery of the Cu4 rhombus (J = 3.3 cm–1, –2JijSiSj Hamiltonian formalism), which stabilizes an S = 2 ground state. (© Wiley-VCH Verlag GmbH &amp; Co. KGaA, 69451 Weinheim, Germany, 2009)","container-title":"European Journal of Inorganic Chemistry","DOI":"https://doi.org/10.1002/ejic.200900485","issue":"29-30","note":"_eprint: https://chemistry-europe.onlinelibrary.wiley.com/doi/pdf/10.1002/ejic.200900485","page":"4554-4563","title":"Maleamate(–1) and Maleate(–2) Copper(II)–2,2′-Bipyridine Complexes: Synthesis, Reactivity and Structural and Physical Studies","volume":"2009","author":[{"family":"Lazarou","given":"Katerina N."},{"family":"Boudalis","given":"Athanassios K."},{"family":"Perlepes","given":"Spyros P."},{"family":"Terzis","given":"Aris"},{"family":"Raptopoulou","given":"Catherine P."}],"issued":{"date-parts":[["2009"]]}}}],"schema":"https://github.com/citation-style-language/schema/raw/master/csl-citation.json"} </w:instrText>
      </w:r>
      <w:r w:rsidR="002655EA" w:rsidRPr="00A74A23">
        <w:rPr>
          <w:rFonts w:ascii="Arial" w:hAnsi="Arial" w:cs="Arial"/>
          <w:color w:val="000000" w:themeColor="text1"/>
          <w:sz w:val="20"/>
          <w:szCs w:val="20"/>
          <w:lang w:val="en-US"/>
        </w:rPr>
        <w:fldChar w:fldCharType="separate"/>
      </w:r>
      <w:r w:rsidR="002E71C7" w:rsidRPr="00A74A23">
        <w:rPr>
          <w:rFonts w:ascii="Arial" w:hAnsi="Arial" w:cs="Arial"/>
          <w:color w:val="000000" w:themeColor="text1"/>
          <w:sz w:val="20"/>
          <w:lang w:val="en-US"/>
        </w:rPr>
        <w:t>(</w:t>
      </w:r>
      <w:proofErr w:type="spellStart"/>
      <w:r w:rsidR="002E71C7" w:rsidRPr="00A74A23">
        <w:rPr>
          <w:rFonts w:ascii="Arial" w:hAnsi="Arial" w:cs="Arial"/>
          <w:color w:val="000000" w:themeColor="text1"/>
          <w:sz w:val="20"/>
          <w:lang w:val="en-US"/>
        </w:rPr>
        <w:t>Lazarou</w:t>
      </w:r>
      <w:proofErr w:type="spellEnd"/>
      <w:r w:rsidR="002E71C7" w:rsidRPr="00A74A23">
        <w:rPr>
          <w:rFonts w:ascii="Arial" w:hAnsi="Arial" w:cs="Arial"/>
          <w:color w:val="000000" w:themeColor="text1"/>
          <w:sz w:val="20"/>
          <w:lang w:val="en-US"/>
        </w:rPr>
        <w:t xml:space="preserve">, </w:t>
      </w:r>
      <w:proofErr w:type="spellStart"/>
      <w:r w:rsidR="002E71C7" w:rsidRPr="00A74A23">
        <w:rPr>
          <w:rFonts w:ascii="Arial" w:hAnsi="Arial" w:cs="Arial"/>
          <w:color w:val="000000" w:themeColor="text1"/>
          <w:sz w:val="20"/>
          <w:lang w:val="en-US"/>
        </w:rPr>
        <w:t>Boudalis</w:t>
      </w:r>
      <w:proofErr w:type="spellEnd"/>
      <w:r w:rsidR="002E71C7" w:rsidRPr="00A74A23">
        <w:rPr>
          <w:rFonts w:ascii="Arial" w:hAnsi="Arial" w:cs="Arial"/>
          <w:color w:val="000000" w:themeColor="text1"/>
          <w:sz w:val="20"/>
          <w:lang w:val="en-US"/>
        </w:rPr>
        <w:t>, et al., 2009)</w:t>
      </w:r>
      <w:r w:rsidR="002655EA" w:rsidRPr="00A74A23">
        <w:rPr>
          <w:rFonts w:ascii="Arial" w:hAnsi="Arial" w:cs="Arial"/>
          <w:color w:val="000000" w:themeColor="text1"/>
          <w:sz w:val="20"/>
          <w:szCs w:val="20"/>
          <w:lang w:val="en-US"/>
        </w:rPr>
        <w:fldChar w:fldCharType="end"/>
      </w:r>
      <w:r w:rsidR="00081375" w:rsidRPr="00A74A23">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w:t>
      </w:r>
      <w:r w:rsidR="00081375" w:rsidRPr="00A74A23">
        <w:rPr>
          <w:rFonts w:ascii="Arial" w:hAnsi="Arial" w:cs="Arial"/>
          <w:color w:val="000000" w:themeColor="text1"/>
          <w:sz w:val="20"/>
          <w:szCs w:val="20"/>
          <w:lang w:val="en-US"/>
        </w:rPr>
        <w:t xml:space="preserve">The apical </w:t>
      </w:r>
      <w:r w:rsidR="00081375" w:rsidRPr="00F25B40">
        <w:rPr>
          <w:rFonts w:ascii="Arial" w:hAnsi="Arial" w:cs="Arial"/>
          <w:sz w:val="20"/>
          <w:szCs w:val="20"/>
          <w:lang w:val="en-US"/>
        </w:rPr>
        <w:t xml:space="preserve">position of the distorted square pyramid is occupied by one oxygen atom from </w:t>
      </w:r>
      <w:r w:rsidR="008D7FFE" w:rsidRPr="00F25B40">
        <w:rPr>
          <w:rFonts w:ascii="Arial" w:hAnsi="Arial" w:cs="Arial"/>
          <w:sz w:val="20"/>
          <w:szCs w:val="20"/>
          <w:lang w:val="en-US"/>
        </w:rPr>
        <w:t>the</w:t>
      </w:r>
      <w:r w:rsidR="00081375" w:rsidRPr="00F25B40">
        <w:rPr>
          <w:rFonts w:ascii="Arial" w:hAnsi="Arial" w:cs="Arial"/>
          <w:sz w:val="20"/>
          <w:szCs w:val="20"/>
          <w:lang w:val="en-US"/>
        </w:rPr>
        <w:t xml:space="preserve"> neighboring </w:t>
      </w:r>
      <w:r w:rsidR="008D7FFE" w:rsidRPr="00F25B40">
        <w:rPr>
          <w:rFonts w:ascii="Arial" w:hAnsi="Arial" w:cs="Arial"/>
          <w:sz w:val="20"/>
          <w:szCs w:val="20"/>
          <w:lang w:val="en-US"/>
        </w:rPr>
        <w:t xml:space="preserve">maleate </w:t>
      </w:r>
      <w:r w:rsidR="00081375" w:rsidRPr="00F25B40">
        <w:rPr>
          <w:rFonts w:ascii="Arial" w:hAnsi="Arial" w:cs="Arial"/>
          <w:sz w:val="20"/>
          <w:szCs w:val="20"/>
          <w:lang w:val="en-US"/>
        </w:rPr>
        <w:t>unit with a Cu1—O4</w:t>
      </w:r>
      <w:r w:rsidR="00081375" w:rsidRPr="00F25B40">
        <w:rPr>
          <w:rFonts w:ascii="Arial" w:hAnsi="Arial" w:cs="Arial"/>
          <w:sz w:val="20"/>
          <w:szCs w:val="20"/>
          <w:vertAlign w:val="superscript"/>
          <w:lang w:val="en-US"/>
        </w:rPr>
        <w:t>i</w:t>
      </w:r>
      <w:r w:rsidR="00081375" w:rsidRPr="00F25B40">
        <w:rPr>
          <w:rFonts w:ascii="Arial" w:hAnsi="Arial" w:cs="Arial"/>
          <w:sz w:val="20"/>
          <w:szCs w:val="20"/>
          <w:lang w:val="en-US"/>
        </w:rPr>
        <w:t xml:space="preserve"> distance of 2.471(2) Å. This high distance value of Cu1—O4</w:t>
      </w:r>
      <w:r w:rsidR="00081375" w:rsidRPr="00F25B40">
        <w:rPr>
          <w:rFonts w:ascii="Arial" w:hAnsi="Arial" w:cs="Arial"/>
          <w:sz w:val="20"/>
          <w:szCs w:val="20"/>
          <w:vertAlign w:val="superscript"/>
          <w:lang w:val="en-US"/>
        </w:rPr>
        <w:t>i</w:t>
      </w:r>
      <w:r w:rsidR="00081375" w:rsidRPr="00F25B40">
        <w:rPr>
          <w:rFonts w:ascii="Arial" w:hAnsi="Arial" w:cs="Arial"/>
          <w:sz w:val="20"/>
          <w:szCs w:val="20"/>
          <w:lang w:val="en-US"/>
        </w:rPr>
        <w:t xml:space="preserve"> is due to the Jahn Teller effect</w:t>
      </w:r>
      <w:r>
        <w:rPr>
          <w:rFonts w:ascii="Arial" w:hAnsi="Arial" w:cs="Arial"/>
          <w:sz w:val="20"/>
          <w:szCs w:val="20"/>
          <w:lang w:val="en-US"/>
        </w:rPr>
        <w:t>”</w:t>
      </w:r>
      <w:r w:rsidR="00081375" w:rsidRPr="00F25B40">
        <w:rPr>
          <w:rFonts w:ascii="Arial" w:hAnsi="Arial" w:cs="Arial"/>
          <w:sz w:val="20"/>
          <w:szCs w:val="20"/>
          <w:lang w:val="en-US"/>
        </w:rPr>
        <w:t xml:space="preserve"> </w:t>
      </w:r>
      <w:r w:rsidR="00622529"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{"citationID":"whQJ6YMX","properties":{"formattedCitation":"(Lazarou, Raptopoulou, et al., 2009)","plainCitation":"(Lazarou, Raptopoulou, et al., 2009)","noteIndex":0},"citationItems":[{"id":3699,"uris":["http://zotero.org/users/local/JzcqJHT8/items/6LZSZRUB"],"itemData":{"id":3699,"type":"article-journal","abstract":"The synthetic investigation of the CuII/maleamate(−1) ion (HL−)/N,N′,N′′-chelate general reaction system has allowed access to compounds [Cu2(HL)2(bppy)2](ClO4)2·H2O (1·H2O), [Cu(HL)(bppy)(ClO4)] (2) and [Cu(HL)(terpy)(H2O)](ClO4) (4) (bppy=2,6-bis(pyrazol-1-yl)pyridine, terpy=2,2′;6′,2′′-terpyridine). In the absence of externally added hydroxides, compound [Cu2(L′)2(bppy)2](ClO4)2 (3) was obtained from MeOH solutions; L′− is the monomethyl maleate(−1) ligand which is formed in situ via the CuII-assisted HL−→L′− transformation. In the case of tptz-containing (tptz=2,4,6-tris(2-pyridyl)-1,3,5-triazine) reaction systems, the CuII-assisted hydrolysis of tptz to pyridine-2-carboxamide (L1) afforded complex [Cu(L1)2(NO3)2] (5). The crystal structures of 1–5 are stabilized by intermolecular hydrogen bonding and π–π stacking interactions. Characteristic IR bands of the complexes are discussed in terms of the known structures and the coordination modes of the ligands.","container-title":"Polyhedron","DOI":"https://doi.org/10.1016/j.poly.2009.04.016","ISSN":"0277-5387","issue":"15","page":"3185-3192","title":"Complexes derived from the general copper(II)/maleamic acid/N,N′,N′′-chelate reaction systems: Synthetic, reactivity, structural and spectroscopic studies","volume":"28","author":[{"family":"Lazarou","given":"Katerina N."},{"family":"Raptopoulou","given":"Catherine P."},{"family":"Perlepes","given":"Spyros P."},{"family":"Psycharis","given":"Vassilis"}],"issued":{"date-parts":[["2009"]]}}}],"schema":"https://github.com/citation-style-language/schema/raw/master/csl-citation.json"} </w:instrText>
      </w:r>
      <w:r w:rsidR="00622529" w:rsidRPr="00F25B40">
        <w:rPr>
          <w:rFonts w:ascii="Arial" w:hAnsi="Arial" w:cs="Arial"/>
          <w:sz w:val="20"/>
          <w:szCs w:val="20"/>
          <w:lang w:val="en-US"/>
        </w:rPr>
        <w:fldChar w:fldCharType="separate"/>
      </w:r>
      <w:r w:rsidR="002E71C7" w:rsidRPr="00F25B40">
        <w:rPr>
          <w:rFonts w:ascii="Arial" w:hAnsi="Arial" w:cs="Arial"/>
          <w:sz w:val="20"/>
          <w:lang w:val="en-US"/>
        </w:rPr>
        <w:t>(</w:t>
      </w:r>
      <w:proofErr w:type="spellStart"/>
      <w:r w:rsidR="002E71C7" w:rsidRPr="00F25B40">
        <w:rPr>
          <w:rFonts w:ascii="Arial" w:hAnsi="Arial" w:cs="Arial"/>
          <w:sz w:val="20"/>
          <w:lang w:val="en-US"/>
        </w:rPr>
        <w:t>Lazarou</w:t>
      </w:r>
      <w:proofErr w:type="spellEnd"/>
      <w:r w:rsidR="002E71C7" w:rsidRPr="00F25B40">
        <w:rPr>
          <w:rFonts w:ascii="Arial" w:hAnsi="Arial" w:cs="Arial"/>
          <w:sz w:val="20"/>
          <w:lang w:val="en-US"/>
        </w:rPr>
        <w:t xml:space="preserve">, </w:t>
      </w:r>
      <w:proofErr w:type="spellStart"/>
      <w:r w:rsidR="002E71C7" w:rsidRPr="00F25B40">
        <w:rPr>
          <w:rFonts w:ascii="Arial" w:hAnsi="Arial" w:cs="Arial"/>
          <w:sz w:val="20"/>
          <w:lang w:val="en-US"/>
        </w:rPr>
        <w:t>Raptopoulou</w:t>
      </w:r>
      <w:proofErr w:type="spellEnd"/>
      <w:r w:rsidR="002E71C7" w:rsidRPr="00F25B40">
        <w:rPr>
          <w:rFonts w:ascii="Arial" w:hAnsi="Arial" w:cs="Arial"/>
          <w:sz w:val="20"/>
          <w:lang w:val="en-US"/>
        </w:rPr>
        <w:t>, et al., 2009)</w:t>
      </w:r>
      <w:r w:rsidR="00622529"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w:t>
      </w:r>
      <w:r>
        <w:rPr>
          <w:rFonts w:ascii="Arial" w:hAnsi="Arial" w:cs="Arial"/>
          <w:sz w:val="20"/>
          <w:szCs w:val="20"/>
          <w:lang w:val="en-US"/>
        </w:rPr>
        <w:t>“</w:t>
      </w:r>
      <w:r w:rsidR="00081375" w:rsidRPr="00F25B40">
        <w:rPr>
          <w:rFonts w:ascii="Arial" w:hAnsi="Arial" w:cs="Arial"/>
          <w:sz w:val="20"/>
          <w:szCs w:val="20"/>
          <w:lang w:val="en-US"/>
        </w:rPr>
        <w:t>This distance is longest than those found in similar compound</w:t>
      </w:r>
      <w:r>
        <w:rPr>
          <w:rFonts w:ascii="Arial" w:hAnsi="Arial" w:cs="Arial"/>
          <w:sz w:val="20"/>
          <w:szCs w:val="20"/>
          <w:lang w:val="en-US"/>
        </w:rPr>
        <w:t>”</w:t>
      </w:r>
      <w:r w:rsidR="00081375" w:rsidRPr="00F25B40">
        <w:rPr>
          <w:rFonts w:ascii="Arial" w:hAnsi="Arial" w:cs="Arial"/>
          <w:sz w:val="20"/>
          <w:szCs w:val="20"/>
          <w:lang w:val="en-US"/>
        </w:rPr>
        <w:t xml:space="preserve"> </w:t>
      </w:r>
      <w:r w:rsidR="00380C0C"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{"citationID":"VWiVtXjj","properties":{"formattedCitation":"(TANG et al., 2009)","plainCitation":"(TANG et al., 2009)","noteIndex":0},"citationItems":[{"id":3697,"uris":["http://zotero.org/users/local/JzcqJHT8/items/URG5ULUA"],"itemData":{"id":3697,"type":"article-journal","abstract":"Abstract By changing auxiliary ligands, two new Cu(II) complexes, [Cu(mal)(tap)(H2O)]n (1) and [Cu2(mal)2(bpym)2(H2O)2]·2H2O (2) (mal=maleate, tap=1,4,5,8-tetraazaphenanthrene, bpym=2,2′-bipyrimidine), have been synthesized and structurally characterized by X-ray single-crystal diffraction. Complex 1 shows a 1D arch-shaped coordination polymer chain, further, the dimensionality is extended to a 3D supramolecular architecture through hydrogen-bonding and aromatic π-π stacking interactions. Complex 2 features a 2-fold interpenetrated 3D→3D supramolecular architecture with 6-connected α-Po (46) topology. According to the crystal structures, the full geometry optimizations of complexes 1 and 2 were carried out by using hybrid DFT methods at B3LYP/6-31G(d) level. Meantime, the DFT-BS approach was applied to study the magnetic coupling behavior for the two complexes, and the result reveals that the calculated exchange coupling constants J were in good agreement with the experimental data. Both 1 and 2 showed almost the same antiferromagnetic behavior.","container-title":"Chinese Journal of Chemistry","DOI":"https://doi.org/10.1002/cjoc.200990044","issue":"2","note":"_eprint: https://onlinelibrary.wiley.com/doi/pdf/10.1002/cjoc.200990044","page":"273-280","title":"Two Novel 3D Hydrogen-bonded Architectures Constructed from Maleic Acid and N-donor Ligands: Structures, Magnetic Properties and Theoretical Studies","volume":"27","author":[{"family":"TANG","given":"Long"},{"family":"FU","given":"Feng"},{"family":"WANG","given":"Wenliang"},{"family":"LI","given":"Dongsheng"},{"family":"WU","given":"Yapan"},{"family":"GAO","given":"Xiaoming"},{"family":"YANG","given":"Xiaogang"}],"issued":{"date-parts":[["2009"]]}}}],"schema":"https://github.com/citation-style-language/schema/raw/master/csl-citation.json"} </w:instrText>
      </w:r>
      <w:r w:rsidR="00380C0C" w:rsidRPr="00F25B40">
        <w:rPr>
          <w:rFonts w:ascii="Arial" w:hAnsi="Arial" w:cs="Arial"/>
          <w:sz w:val="20"/>
          <w:szCs w:val="20"/>
          <w:lang w:val="en-US"/>
        </w:rPr>
        <w:fldChar w:fldCharType="separate"/>
      </w:r>
      <w:r w:rsidR="002E71C7" w:rsidRPr="00F25B40">
        <w:rPr>
          <w:rFonts w:ascii="Arial" w:hAnsi="Arial" w:cs="Arial"/>
          <w:sz w:val="20"/>
          <w:lang w:val="en-US"/>
        </w:rPr>
        <w:t>(TANG et al., 2009)</w:t>
      </w:r>
      <w:r w:rsidR="00380C0C"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The </w:t>
      </w:r>
      <w:r w:rsidR="00081375" w:rsidRPr="00F25B40">
        <w:rPr>
          <w:rFonts w:ascii="Arial" w:hAnsi="Arial" w:cs="Arial"/>
          <w:i/>
          <w:iCs/>
          <w:sz w:val="20"/>
          <w:szCs w:val="20"/>
          <w:lang w:val="en-US"/>
        </w:rPr>
        <w:t>transoid</w:t>
      </w:r>
      <w:r w:rsidR="00081375" w:rsidRPr="00F25B40">
        <w:rPr>
          <w:rFonts w:ascii="Arial" w:hAnsi="Arial" w:cs="Arial"/>
          <w:sz w:val="20"/>
          <w:szCs w:val="20"/>
          <w:lang w:val="en-US"/>
        </w:rPr>
        <w:t xml:space="preserve"> angles in the basal plane O1—Cu1—O3</w:t>
      </w:r>
      <w:r w:rsidR="00081375" w:rsidRPr="00F25B40">
        <w:rPr>
          <w:rFonts w:ascii="Arial" w:hAnsi="Arial" w:cs="Arial"/>
          <w:sz w:val="20"/>
          <w:szCs w:val="20"/>
          <w:vertAlign w:val="superscript"/>
          <w:lang w:val="en-US"/>
        </w:rPr>
        <w:t>i</w:t>
      </w:r>
      <w:r w:rsidR="00081375" w:rsidRPr="00F25B40">
        <w:rPr>
          <w:rFonts w:ascii="Arial" w:hAnsi="Arial" w:cs="Arial"/>
          <w:sz w:val="20"/>
          <w:szCs w:val="20"/>
          <w:lang w:val="en-US"/>
        </w:rPr>
        <w:t xml:space="preserve"> and N4—Cu1—N2 deviate severely from linearity with values of 155.05(7)° and 148.34(10)° (Table 2). These two largest angles around the </w:t>
      </w:r>
      <w:proofErr w:type="spellStart"/>
      <w:r w:rsidR="00081375" w:rsidRPr="00F25B40">
        <w:rPr>
          <w:rFonts w:ascii="Arial" w:hAnsi="Arial" w:cs="Arial"/>
          <w:sz w:val="20"/>
          <w:szCs w:val="20"/>
          <w:lang w:val="en-US"/>
        </w:rPr>
        <w:t>Cu</w:t>
      </w:r>
      <w:r w:rsidR="00081375" w:rsidRPr="00F25B40">
        <w:rPr>
          <w:rFonts w:ascii="Arial" w:hAnsi="Arial" w:cs="Arial"/>
          <w:sz w:val="20"/>
          <w:szCs w:val="20"/>
          <w:vertAlign w:val="superscript"/>
          <w:lang w:val="en-US"/>
        </w:rPr>
        <w:t>II</w:t>
      </w:r>
      <w:proofErr w:type="spellEnd"/>
      <w:r w:rsidR="00081375" w:rsidRPr="00F25B40">
        <w:rPr>
          <w:rFonts w:ascii="Arial" w:hAnsi="Arial" w:cs="Arial"/>
          <w:sz w:val="20"/>
          <w:szCs w:val="20"/>
          <w:lang w:val="en-US"/>
        </w:rPr>
        <w:t xml:space="preserve"> ion give a </w:t>
      </w:r>
      <w:r w:rsidR="00516148" w:rsidRPr="00F25B40">
        <w:rPr>
          <w:rFonts w:ascii="Arial" w:hAnsi="Arial" w:cs="Arial"/>
          <w:i/>
          <w:iCs/>
          <w:sz w:val="20"/>
          <w:szCs w:val="20"/>
          <w:lang w:val="en-US"/>
        </w:rPr>
        <w:sym w:font="Symbol" w:char="F074"/>
      </w:r>
      <w:r w:rsidR="00081375" w:rsidRPr="00F25B40">
        <w:rPr>
          <w:rFonts w:ascii="Arial" w:hAnsi="Arial" w:cs="Arial"/>
          <w:sz w:val="20"/>
          <w:szCs w:val="20"/>
          <w:lang w:val="en-US"/>
        </w:rPr>
        <w:t xml:space="preserve"> parameter of 0.1118 which is indicative of a distorted square pyramidal environment around the Cu(II) ion </w:t>
      </w:r>
      <w:r w:rsidR="0031146A"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{"citationID":"iO5XIZhZ","properties":{"formattedCitation":"(Addison et al., 1984)","plainCitation":"(Addison et al., 1984)","noteIndex":0},"citationItems":[{"id":229,"uris":["http://zotero.org/users/local/JzcqJHT8/items/JLN7AZGL"],"itemData":{"id":229,"type":"article-journal","abstract":"The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C."}],"issued":{"date-parts":[["1984"]]}}}],"schema":"https://github.com/citation-style-language/schema/raw/master/csl-citation.json"} </w:instrText>
      </w:r>
      <w:r w:rsidR="0031146A" w:rsidRPr="00F25B40">
        <w:rPr>
          <w:rFonts w:ascii="Arial" w:hAnsi="Arial" w:cs="Arial"/>
          <w:sz w:val="20"/>
          <w:szCs w:val="20"/>
          <w:lang w:val="en-US"/>
        </w:rPr>
        <w:fldChar w:fldCharType="separate"/>
      </w:r>
      <w:r w:rsidR="002E71C7" w:rsidRPr="00F25B40">
        <w:rPr>
          <w:rFonts w:ascii="Arial" w:hAnsi="Arial" w:cs="Arial"/>
          <w:sz w:val="20"/>
          <w:lang w:val="en-US"/>
        </w:rPr>
        <w:t>(Addison et al., 1984)</w:t>
      </w:r>
      <w:r w:rsidR="0031146A"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The two imidazole rings in the complex are twisted with dihedral angle of 49.40(1)°. The crystal structure of </w:t>
      </w:r>
      <w:r w:rsidR="00081375" w:rsidRPr="00F25B40">
        <w:rPr>
          <w:rFonts w:ascii="Arial" w:hAnsi="Arial" w:cs="Arial"/>
          <w:b/>
          <w:bCs/>
          <w:sz w:val="20"/>
          <w:szCs w:val="20"/>
          <w:lang w:val="en-US"/>
        </w:rPr>
        <w:t>1</w:t>
      </w:r>
      <w:r w:rsidR="00081375" w:rsidRPr="00F25B40">
        <w:rPr>
          <w:rFonts w:ascii="Arial" w:hAnsi="Arial" w:cs="Arial"/>
          <w:sz w:val="20"/>
          <w:szCs w:val="20"/>
          <w:lang w:val="en-US"/>
        </w:rPr>
        <w:t xml:space="preserve"> is determined by a coordination synthon in which each </w:t>
      </w:r>
      <w:r w:rsidR="00CF4106" w:rsidRPr="00F25B40">
        <w:rPr>
          <w:rFonts w:ascii="Arial" w:hAnsi="Arial" w:cs="Arial"/>
          <w:sz w:val="20"/>
          <w:szCs w:val="20"/>
          <w:lang w:val="en-US"/>
        </w:rPr>
        <w:t>male</w:t>
      </w:r>
      <w:r w:rsidR="00081375" w:rsidRPr="00F25B40">
        <w:rPr>
          <w:rFonts w:ascii="Arial" w:hAnsi="Arial" w:cs="Arial"/>
          <w:sz w:val="20"/>
          <w:szCs w:val="20"/>
          <w:lang w:val="en-US"/>
        </w:rPr>
        <w:t xml:space="preserve">ate ligand is coordinated to two metal centers, giving rise to infinite one-dimensional polymer chains along the </w:t>
      </w:r>
      <w:r w:rsidR="00081375" w:rsidRPr="00F25B40">
        <w:rPr>
          <w:rFonts w:ascii="Arial" w:hAnsi="Arial" w:cs="Arial"/>
          <w:i/>
          <w:iCs/>
          <w:sz w:val="20"/>
          <w:szCs w:val="20"/>
          <w:lang w:val="en-US"/>
        </w:rPr>
        <w:t>b</w:t>
      </w:r>
      <w:r w:rsidR="00081375" w:rsidRPr="00F25B40">
        <w:rPr>
          <w:rFonts w:ascii="Arial" w:hAnsi="Arial" w:cs="Arial"/>
          <w:sz w:val="20"/>
          <w:szCs w:val="20"/>
          <w:lang w:val="en-US"/>
        </w:rPr>
        <w:t xml:space="preserve"> </w:t>
      </w:r>
      <w:r w:rsidR="00081375" w:rsidRPr="00A74A23">
        <w:rPr>
          <w:rFonts w:ascii="Arial" w:hAnsi="Arial" w:cs="Arial"/>
          <w:sz w:val="20"/>
          <w:szCs w:val="20"/>
          <w:lang w:val="en-US"/>
        </w:rPr>
        <w:t>axis (Fig</w:t>
      </w:r>
      <w:r w:rsidR="009A1323" w:rsidRPr="00A74A23">
        <w:rPr>
          <w:rFonts w:ascii="Arial" w:hAnsi="Arial" w:cs="Arial"/>
          <w:sz w:val="20"/>
          <w:szCs w:val="20"/>
          <w:lang w:val="en-US"/>
        </w:rPr>
        <w:t>ure</w:t>
      </w:r>
      <w:r w:rsidR="00081375" w:rsidRPr="00A74A23">
        <w:rPr>
          <w:rFonts w:ascii="Arial" w:hAnsi="Arial" w:cs="Arial"/>
          <w:sz w:val="20"/>
          <w:szCs w:val="20"/>
          <w:lang w:val="en-US"/>
        </w:rPr>
        <w:t xml:space="preserve"> 2). Adjacent chains are linked together by intermolecular hydrogen bonds C</w:t>
      </w:r>
      <w:r w:rsidR="00081375" w:rsidRPr="00A74A23">
        <w:rPr>
          <w:rFonts w:ascii="Arial" w:eastAsia="Times New Roman" w:hAnsi="Arial" w:cs="Arial"/>
          <w:sz w:val="20"/>
          <w:szCs w:val="20"/>
          <w:lang w:val="en-US" w:eastAsia="fr-CA"/>
        </w:rPr>
        <w:t>—</w:t>
      </w:r>
      <w:r w:rsidR="00081375" w:rsidRPr="00A74A23">
        <w:rPr>
          <w:rFonts w:ascii="Arial" w:hAnsi="Arial" w:cs="Arial"/>
          <w:sz w:val="20"/>
          <w:szCs w:val="20"/>
          <w:lang w:val="en-US"/>
        </w:rPr>
        <w:t xml:space="preserve">H···O (Table </w:t>
      </w:r>
      <w:r w:rsidR="00421F33" w:rsidRPr="00A74A23">
        <w:rPr>
          <w:rFonts w:ascii="Arial" w:hAnsi="Arial" w:cs="Arial"/>
          <w:sz w:val="20"/>
          <w:szCs w:val="20"/>
          <w:lang w:val="en-US"/>
        </w:rPr>
        <w:t>4</w:t>
      </w:r>
      <w:r w:rsidR="00081375" w:rsidRPr="00A74A23">
        <w:rPr>
          <w:rFonts w:ascii="Arial" w:hAnsi="Arial" w:cs="Arial"/>
          <w:sz w:val="20"/>
          <w:szCs w:val="20"/>
          <w:lang w:val="en-US"/>
        </w:rPr>
        <w:t>), leading to a 3D network structure (Fig</w:t>
      </w:r>
      <w:r w:rsidR="009A1323" w:rsidRPr="00A74A23">
        <w:rPr>
          <w:rFonts w:ascii="Arial" w:hAnsi="Arial" w:cs="Arial"/>
          <w:sz w:val="20"/>
          <w:szCs w:val="20"/>
          <w:lang w:val="en-US"/>
        </w:rPr>
        <w:t>ure</w:t>
      </w:r>
      <w:r w:rsidR="00081375" w:rsidRPr="00A74A23">
        <w:rPr>
          <w:rFonts w:ascii="Arial" w:hAnsi="Arial" w:cs="Arial"/>
          <w:sz w:val="20"/>
          <w:szCs w:val="20"/>
          <w:lang w:val="en-US"/>
        </w:rPr>
        <w:t xml:space="preserve"> 3).</w:t>
      </w:r>
    </w:p>
    <w:p w14:paraId="6445FFA9" w14:textId="2706BA65" w:rsidR="00516148" w:rsidRPr="00F25B40" w:rsidRDefault="00516148" w:rsidP="00EB50C7">
      <w:pPr>
        <w:spacing w:after="120" w:line="240" w:lineRule="auto"/>
        <w:jc w:val="both"/>
        <w:rPr>
          <w:rFonts w:ascii="Arial" w:hAnsi="Arial" w:cs="Arial"/>
          <w:b/>
          <w:bCs/>
          <w:sz w:val="20"/>
          <w:szCs w:val="20"/>
          <w:lang w:val="en-US"/>
        </w:rPr>
      </w:pPr>
      <w:r w:rsidRPr="00F25B40">
        <w:rPr>
          <w:rFonts w:ascii="Arial" w:hAnsi="Arial" w:cs="Arial"/>
          <w:b/>
          <w:bCs/>
          <w:sz w:val="20"/>
          <w:szCs w:val="20"/>
          <w:lang w:val="en-US"/>
        </w:rPr>
        <w:t xml:space="preserve">Table </w:t>
      </w:r>
      <w:r w:rsidR="00CF4106" w:rsidRPr="00F25B40">
        <w:rPr>
          <w:rFonts w:ascii="Arial" w:hAnsi="Arial" w:cs="Arial"/>
          <w:b/>
          <w:bCs/>
          <w:sz w:val="20"/>
          <w:szCs w:val="20"/>
          <w:lang w:val="en-US"/>
        </w:rPr>
        <w:t>3</w:t>
      </w:r>
      <w:r w:rsidRPr="00F25B40">
        <w:rPr>
          <w:rFonts w:ascii="Arial" w:hAnsi="Arial" w:cs="Arial"/>
          <w:b/>
          <w:bCs/>
          <w:sz w:val="20"/>
          <w:szCs w:val="20"/>
          <w:lang w:val="en-US"/>
        </w:rPr>
        <w:t>. Selected geometric parameters (Å, °)</w:t>
      </w:r>
      <w:r w:rsidR="00CB2626">
        <w:rPr>
          <w:rFonts w:ascii="Arial" w:hAnsi="Arial" w:cs="Arial"/>
          <w:b/>
          <w:bCs/>
          <w:sz w:val="20"/>
          <w:szCs w:val="20"/>
          <w:lang w:val="en-US"/>
        </w:rPr>
        <w:t>.</w:t>
      </w:r>
      <w:r w:rsidRPr="00F25B40">
        <w:rPr>
          <w:rFonts w:ascii="Arial" w:hAnsi="Arial" w:cs="Arial"/>
          <w:b/>
          <w:bCs/>
          <w:sz w:val="20"/>
          <w:szCs w:val="20"/>
          <w:lang w:val="en-US"/>
        </w:rPr>
        <w:t xml:space="preserve"> </w:t>
      </w:r>
    </w:p>
    <w:p w14:paraId="6C6DEA9B" w14:textId="77777777" w:rsidR="00516148" w:rsidRPr="00F25B40" w:rsidRDefault="00516148" w:rsidP="00A57067">
      <w:pPr>
        <w:spacing w:line="240" w:lineRule="auto"/>
        <w:jc w:val="both"/>
        <w:rPr>
          <w:rFonts w:ascii="Arial" w:hAnsi="Arial" w:cs="Arial"/>
          <w:b/>
          <w:bCs/>
          <w:vanish/>
          <w:sz w:val="20"/>
          <w:szCs w:val="20"/>
          <w:lang w:val="en-US"/>
        </w:rPr>
      </w:pPr>
    </w:p>
    <w:tbl>
      <w:tblPr>
        <w:tblW w:w="3362" w:type="pct"/>
        <w:tblInd w:w="-5"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707"/>
        <w:gridCol w:w="1416"/>
        <w:gridCol w:w="1702"/>
        <w:gridCol w:w="1275"/>
      </w:tblGrid>
      <w:tr w:rsidR="00516148" w:rsidRPr="00F25B40" w14:paraId="3BEE6C06" w14:textId="77777777" w:rsidTr="00FF7B10">
        <w:trPr>
          <w:trHeight w:val="227"/>
        </w:trPr>
        <w:tc>
          <w:tcPr>
            <w:tcW w:w="1399" w:type="pct"/>
            <w:tcBorders>
              <w:top w:val="single" w:sz="12" w:space="0" w:color="auto"/>
            </w:tcBorders>
            <w:shd w:val="clear" w:color="auto" w:fill="FFFFFF" w:themeFill="background1"/>
            <w:vAlign w:val="center"/>
            <w:hideMark/>
          </w:tcPr>
          <w:p w14:paraId="4FCE31F2"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w:t>
            </w:r>
          </w:p>
        </w:tc>
        <w:tc>
          <w:tcPr>
            <w:tcW w:w="1161" w:type="pct"/>
            <w:tcBorders>
              <w:top w:val="single" w:sz="12" w:space="0" w:color="auto"/>
            </w:tcBorders>
            <w:shd w:val="clear" w:color="auto" w:fill="FFFFFF" w:themeFill="background1"/>
            <w:vAlign w:val="center"/>
            <w:hideMark/>
          </w:tcPr>
          <w:p w14:paraId="345EF1A6"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1.969 (2)</w:t>
            </w:r>
          </w:p>
        </w:tc>
        <w:tc>
          <w:tcPr>
            <w:tcW w:w="1395" w:type="pct"/>
            <w:tcBorders>
              <w:top w:val="single" w:sz="12" w:space="0" w:color="auto"/>
            </w:tcBorders>
            <w:shd w:val="clear" w:color="auto" w:fill="FFFFFF" w:themeFill="background1"/>
            <w:vAlign w:val="center"/>
            <w:hideMark/>
          </w:tcPr>
          <w:p w14:paraId="396933E3"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Cu1—N2</w:t>
            </w:r>
          </w:p>
        </w:tc>
        <w:tc>
          <w:tcPr>
            <w:tcW w:w="1045" w:type="pct"/>
            <w:tcBorders>
              <w:top w:val="single" w:sz="12" w:space="0" w:color="auto"/>
            </w:tcBorders>
            <w:shd w:val="clear" w:color="auto" w:fill="FFFFFF" w:themeFill="background1"/>
            <w:vAlign w:val="center"/>
            <w:hideMark/>
          </w:tcPr>
          <w:p w14:paraId="13F8695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1.981 (2)</w:t>
            </w:r>
          </w:p>
        </w:tc>
      </w:tr>
      <w:tr w:rsidR="00516148" w:rsidRPr="00F25B40" w14:paraId="314AD534" w14:textId="77777777" w:rsidTr="00FF7B10">
        <w:trPr>
          <w:trHeight w:val="227"/>
        </w:trPr>
        <w:tc>
          <w:tcPr>
            <w:tcW w:w="1399" w:type="pct"/>
            <w:shd w:val="clear" w:color="auto" w:fill="FFFFFF" w:themeFill="background1"/>
            <w:vAlign w:val="center"/>
            <w:hideMark/>
          </w:tcPr>
          <w:p w14:paraId="44B30336"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Cu1—O1</w:t>
            </w:r>
          </w:p>
        </w:tc>
        <w:tc>
          <w:tcPr>
            <w:tcW w:w="1161" w:type="pct"/>
            <w:shd w:val="clear" w:color="auto" w:fill="FFFFFF" w:themeFill="background1"/>
            <w:vAlign w:val="center"/>
            <w:hideMark/>
          </w:tcPr>
          <w:p w14:paraId="228F1113"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1.9429 (16)</w:t>
            </w:r>
          </w:p>
        </w:tc>
        <w:tc>
          <w:tcPr>
            <w:tcW w:w="1395" w:type="pct"/>
            <w:shd w:val="clear" w:color="auto" w:fill="FFFFFF" w:themeFill="background1"/>
            <w:vAlign w:val="center"/>
            <w:hideMark/>
          </w:tcPr>
          <w:p w14:paraId="658ED34D"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334D232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2.0336 (16)</w:t>
            </w:r>
          </w:p>
        </w:tc>
      </w:tr>
      <w:tr w:rsidR="00516148" w:rsidRPr="00F25B40" w14:paraId="668A08C1" w14:textId="77777777" w:rsidTr="00FF7B10">
        <w:trPr>
          <w:trHeight w:val="227"/>
        </w:trPr>
        <w:tc>
          <w:tcPr>
            <w:tcW w:w="1399" w:type="pct"/>
            <w:shd w:val="clear" w:color="auto" w:fill="FFFFFF" w:themeFill="background1"/>
            <w:vAlign w:val="center"/>
          </w:tcPr>
          <w:p w14:paraId="1EE208A7"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p>
        </w:tc>
        <w:tc>
          <w:tcPr>
            <w:tcW w:w="1161" w:type="pct"/>
            <w:shd w:val="clear" w:color="auto" w:fill="FFFFFF" w:themeFill="background1"/>
            <w:vAlign w:val="center"/>
          </w:tcPr>
          <w:p w14:paraId="6072C38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2.471 (2)</w:t>
            </w:r>
          </w:p>
        </w:tc>
        <w:tc>
          <w:tcPr>
            <w:tcW w:w="1395" w:type="pct"/>
            <w:shd w:val="clear" w:color="auto" w:fill="FFFFFF" w:themeFill="background1"/>
            <w:vAlign w:val="center"/>
          </w:tcPr>
          <w:p w14:paraId="2DC53D6F" w14:textId="77777777" w:rsidR="00516148" w:rsidRPr="00F25B40" w:rsidRDefault="00516148" w:rsidP="00A57067">
            <w:pPr>
              <w:spacing w:after="0" w:line="240" w:lineRule="auto"/>
              <w:jc w:val="both"/>
              <w:rPr>
                <w:rFonts w:ascii="Arial" w:hAnsi="Arial" w:cs="Arial"/>
                <w:sz w:val="20"/>
                <w:szCs w:val="20"/>
                <w:lang w:val="en-US"/>
              </w:rPr>
            </w:pPr>
          </w:p>
        </w:tc>
        <w:tc>
          <w:tcPr>
            <w:tcW w:w="1045" w:type="pct"/>
            <w:shd w:val="clear" w:color="auto" w:fill="FFFFFF" w:themeFill="background1"/>
            <w:vAlign w:val="center"/>
          </w:tcPr>
          <w:p w14:paraId="02D2A82A" w14:textId="77777777" w:rsidR="00516148" w:rsidRPr="00F25B40" w:rsidRDefault="00516148" w:rsidP="00A57067">
            <w:pPr>
              <w:spacing w:after="0" w:line="240" w:lineRule="auto"/>
              <w:jc w:val="both"/>
              <w:rPr>
                <w:rFonts w:ascii="Arial" w:hAnsi="Arial" w:cs="Arial"/>
                <w:sz w:val="20"/>
                <w:szCs w:val="20"/>
                <w:lang w:val="en-US"/>
              </w:rPr>
            </w:pPr>
          </w:p>
        </w:tc>
      </w:tr>
      <w:tr w:rsidR="00516148" w:rsidRPr="00F25B40" w14:paraId="0F2B7DC7" w14:textId="77777777" w:rsidTr="00FF7B10">
        <w:trPr>
          <w:trHeight w:val="227"/>
        </w:trPr>
        <w:tc>
          <w:tcPr>
            <w:tcW w:w="1399" w:type="pct"/>
            <w:shd w:val="clear" w:color="auto" w:fill="FFFFFF" w:themeFill="background1"/>
            <w:vAlign w:val="center"/>
          </w:tcPr>
          <w:p w14:paraId="587EC87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—Cu1—N4</w:t>
            </w:r>
          </w:p>
        </w:tc>
        <w:tc>
          <w:tcPr>
            <w:tcW w:w="1161" w:type="pct"/>
            <w:shd w:val="clear" w:color="auto" w:fill="FFFFFF" w:themeFill="background1"/>
            <w:vAlign w:val="center"/>
          </w:tcPr>
          <w:p w14:paraId="12DDE48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102.82 (8)</w:t>
            </w:r>
          </w:p>
        </w:tc>
        <w:tc>
          <w:tcPr>
            <w:tcW w:w="1395" w:type="pct"/>
            <w:shd w:val="clear" w:color="auto" w:fill="FFFFFF" w:themeFill="background1"/>
            <w:vAlign w:val="center"/>
          </w:tcPr>
          <w:p w14:paraId="65952B0B"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—Cu1—O3</w:t>
            </w:r>
            <w:r w:rsidRPr="00F25B40">
              <w:rPr>
                <w:rFonts w:ascii="Arial" w:hAnsi="Arial" w:cs="Arial"/>
                <w:sz w:val="20"/>
                <w:szCs w:val="20"/>
                <w:vertAlign w:val="superscript"/>
                <w:lang w:val="en-US"/>
              </w:rPr>
              <w:t>i</w:t>
            </w:r>
          </w:p>
        </w:tc>
        <w:tc>
          <w:tcPr>
            <w:tcW w:w="1045" w:type="pct"/>
            <w:shd w:val="clear" w:color="auto" w:fill="FFFFFF" w:themeFill="background1"/>
            <w:vAlign w:val="center"/>
          </w:tcPr>
          <w:p w14:paraId="26A12595"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57.46(7)</w:t>
            </w:r>
          </w:p>
        </w:tc>
      </w:tr>
      <w:tr w:rsidR="00516148" w:rsidRPr="00F25B40" w14:paraId="2D16790C" w14:textId="77777777" w:rsidTr="00FF7B10">
        <w:trPr>
          <w:trHeight w:val="227"/>
        </w:trPr>
        <w:tc>
          <w:tcPr>
            <w:tcW w:w="1399" w:type="pct"/>
            <w:shd w:val="clear" w:color="auto" w:fill="FFFFFF" w:themeFill="background1"/>
            <w:vAlign w:val="center"/>
          </w:tcPr>
          <w:p w14:paraId="1284FB0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—Cu1—N2</w:t>
            </w:r>
          </w:p>
        </w:tc>
        <w:tc>
          <w:tcPr>
            <w:tcW w:w="1161" w:type="pct"/>
            <w:shd w:val="clear" w:color="auto" w:fill="FFFFFF" w:themeFill="background1"/>
            <w:vAlign w:val="center"/>
          </w:tcPr>
          <w:p w14:paraId="12A03808"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105.47 (8)</w:t>
            </w:r>
          </w:p>
        </w:tc>
        <w:tc>
          <w:tcPr>
            <w:tcW w:w="1395" w:type="pct"/>
            <w:shd w:val="clear" w:color="auto" w:fill="FFFFFF" w:themeFill="background1"/>
            <w:vAlign w:val="center"/>
          </w:tcPr>
          <w:p w14:paraId="27924C9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—Cu1—O1</w:t>
            </w:r>
          </w:p>
        </w:tc>
        <w:tc>
          <w:tcPr>
            <w:tcW w:w="1045" w:type="pct"/>
            <w:shd w:val="clear" w:color="auto" w:fill="FFFFFF" w:themeFill="background1"/>
            <w:vAlign w:val="center"/>
          </w:tcPr>
          <w:p w14:paraId="32922EB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97.67 (7)</w:t>
            </w:r>
          </w:p>
        </w:tc>
      </w:tr>
      <w:tr w:rsidR="00516148" w:rsidRPr="00F25B40" w14:paraId="52D1E0D5" w14:textId="77777777" w:rsidTr="00FF7B10">
        <w:trPr>
          <w:trHeight w:val="227"/>
        </w:trPr>
        <w:tc>
          <w:tcPr>
            <w:tcW w:w="1399" w:type="pct"/>
            <w:shd w:val="clear" w:color="auto" w:fill="FFFFFF" w:themeFill="background1"/>
            <w:vAlign w:val="center"/>
            <w:hideMark/>
          </w:tcPr>
          <w:p w14:paraId="522E8A0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O1—Cu1—N4</w:t>
            </w:r>
          </w:p>
        </w:tc>
        <w:tc>
          <w:tcPr>
            <w:tcW w:w="1161" w:type="pct"/>
            <w:shd w:val="clear" w:color="auto" w:fill="FFFFFF" w:themeFill="background1"/>
            <w:vAlign w:val="center"/>
            <w:hideMark/>
          </w:tcPr>
          <w:p w14:paraId="5E7282D0"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95.83 (8)</w:t>
            </w:r>
          </w:p>
        </w:tc>
        <w:tc>
          <w:tcPr>
            <w:tcW w:w="1395" w:type="pct"/>
            <w:shd w:val="clear" w:color="auto" w:fill="FFFFFF" w:themeFill="background1"/>
            <w:vAlign w:val="center"/>
            <w:hideMark/>
          </w:tcPr>
          <w:p w14:paraId="6A1155F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361B5D2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155.05 (7)</w:t>
            </w:r>
          </w:p>
        </w:tc>
      </w:tr>
      <w:tr w:rsidR="00516148" w:rsidRPr="00F25B40" w14:paraId="53D97BB5" w14:textId="77777777" w:rsidTr="00FF7B10">
        <w:trPr>
          <w:trHeight w:val="227"/>
        </w:trPr>
        <w:tc>
          <w:tcPr>
            <w:tcW w:w="1399" w:type="pct"/>
            <w:shd w:val="clear" w:color="auto" w:fill="FFFFFF" w:themeFill="background1"/>
            <w:vAlign w:val="center"/>
            <w:hideMark/>
          </w:tcPr>
          <w:p w14:paraId="58AB3DA5"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O1—Cu1—N2</w:t>
            </w:r>
          </w:p>
        </w:tc>
        <w:tc>
          <w:tcPr>
            <w:tcW w:w="1161" w:type="pct"/>
            <w:shd w:val="clear" w:color="auto" w:fill="FFFFFF" w:themeFill="background1"/>
            <w:vAlign w:val="center"/>
            <w:hideMark/>
          </w:tcPr>
          <w:p w14:paraId="3C68BCDB"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94.20 (8)</w:t>
            </w:r>
          </w:p>
        </w:tc>
        <w:tc>
          <w:tcPr>
            <w:tcW w:w="1395" w:type="pct"/>
            <w:shd w:val="clear" w:color="auto" w:fill="FFFFFF" w:themeFill="background1"/>
            <w:vAlign w:val="center"/>
            <w:hideMark/>
          </w:tcPr>
          <w:p w14:paraId="1921F63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46EED7CC"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92.27 (8)</w:t>
            </w:r>
          </w:p>
        </w:tc>
      </w:tr>
      <w:tr w:rsidR="00516148" w:rsidRPr="00F25B40" w14:paraId="3D172401" w14:textId="77777777" w:rsidTr="00FF7B10">
        <w:trPr>
          <w:trHeight w:val="227"/>
        </w:trPr>
        <w:tc>
          <w:tcPr>
            <w:tcW w:w="1399" w:type="pct"/>
            <w:tcBorders>
              <w:bottom w:val="single" w:sz="12" w:space="0" w:color="auto"/>
            </w:tcBorders>
            <w:shd w:val="clear" w:color="auto" w:fill="FFFFFF" w:themeFill="background1"/>
            <w:vAlign w:val="center"/>
            <w:hideMark/>
          </w:tcPr>
          <w:p w14:paraId="596BBD59"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N4—Cu1—N2</w:t>
            </w:r>
          </w:p>
        </w:tc>
        <w:tc>
          <w:tcPr>
            <w:tcW w:w="1161" w:type="pct"/>
            <w:tcBorders>
              <w:bottom w:val="single" w:sz="12" w:space="0" w:color="auto"/>
            </w:tcBorders>
            <w:shd w:val="clear" w:color="auto" w:fill="FFFFFF" w:themeFill="background1"/>
            <w:vAlign w:val="center"/>
            <w:hideMark/>
          </w:tcPr>
          <w:p w14:paraId="154BDD12"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148.34 (10)</w:t>
            </w:r>
          </w:p>
        </w:tc>
        <w:tc>
          <w:tcPr>
            <w:tcW w:w="1395" w:type="pct"/>
            <w:tcBorders>
              <w:bottom w:val="single" w:sz="12" w:space="0" w:color="auto"/>
            </w:tcBorders>
            <w:shd w:val="clear" w:color="auto" w:fill="FFFFFF" w:themeFill="background1"/>
            <w:vAlign w:val="center"/>
            <w:hideMark/>
          </w:tcPr>
          <w:p w14:paraId="1A6CB7E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N2—Cu1—O3</w:t>
            </w:r>
            <w:r w:rsidRPr="00F25B40">
              <w:rPr>
                <w:rFonts w:ascii="Arial" w:hAnsi="Arial" w:cs="Arial"/>
                <w:sz w:val="20"/>
                <w:szCs w:val="20"/>
                <w:vertAlign w:val="superscript"/>
                <w:lang w:val="en-US"/>
              </w:rPr>
              <w:t>i</w:t>
            </w:r>
          </w:p>
        </w:tc>
        <w:tc>
          <w:tcPr>
            <w:tcW w:w="1045" w:type="pct"/>
            <w:tcBorders>
              <w:bottom w:val="single" w:sz="12" w:space="0" w:color="auto"/>
            </w:tcBorders>
            <w:shd w:val="clear" w:color="auto" w:fill="FFFFFF" w:themeFill="background1"/>
            <w:vAlign w:val="center"/>
            <w:hideMark/>
          </w:tcPr>
          <w:p w14:paraId="57D90EBC"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91.12 (7)</w:t>
            </w:r>
          </w:p>
        </w:tc>
      </w:tr>
    </w:tbl>
    <w:p w14:paraId="3BCD0ECF" w14:textId="77777777" w:rsidR="00516148" w:rsidRPr="00F25B40" w:rsidRDefault="00516148" w:rsidP="00A57067">
      <w:pPr>
        <w:spacing w:line="240" w:lineRule="auto"/>
        <w:jc w:val="both"/>
        <w:rPr>
          <w:rFonts w:ascii="Arial" w:hAnsi="Arial" w:cs="Arial"/>
          <w:sz w:val="20"/>
          <w:szCs w:val="20"/>
          <w:lang w:val="en-US"/>
        </w:rPr>
      </w:pPr>
      <w:r w:rsidRPr="00F25B40">
        <w:rPr>
          <w:rFonts w:ascii="Arial" w:hAnsi="Arial" w:cs="Arial"/>
          <w:sz w:val="20"/>
          <w:szCs w:val="20"/>
          <w:lang w:val="en-US"/>
        </w:rPr>
        <w:t>Symmetry code: (</w:t>
      </w:r>
      <w:proofErr w:type="spellStart"/>
      <w:r w:rsidRPr="00F25B40">
        <w:rPr>
          <w:rFonts w:ascii="Arial" w:hAnsi="Arial" w:cs="Arial"/>
          <w:sz w:val="20"/>
          <w:szCs w:val="20"/>
          <w:lang w:val="en-US"/>
        </w:rPr>
        <w:t>i</w:t>
      </w:r>
      <w:proofErr w:type="spellEnd"/>
      <w:r w:rsidRPr="00F25B40">
        <w:rPr>
          <w:rFonts w:ascii="Arial" w:hAnsi="Arial" w:cs="Arial"/>
          <w:sz w:val="20"/>
          <w:szCs w:val="20"/>
          <w:lang w:val="en-US"/>
        </w:rPr>
        <w:t>) y−1/2, −x+1, z−1/4.</w:t>
      </w:r>
    </w:p>
    <w:p w14:paraId="44C20593" w14:textId="4829817E" w:rsidR="00516148" w:rsidRPr="00EB50C7" w:rsidRDefault="00516148" w:rsidP="00A57067">
      <w:pPr>
        <w:spacing w:after="120" w:line="240" w:lineRule="auto"/>
        <w:jc w:val="both"/>
        <w:rPr>
          <w:rFonts w:ascii="Arial" w:eastAsia="Times New Roman" w:hAnsi="Arial" w:cs="Arial"/>
          <w:b/>
          <w:bCs/>
          <w:iCs/>
          <w:sz w:val="20"/>
          <w:szCs w:val="20"/>
          <w:shd w:val="clear" w:color="auto" w:fill="E6E6E6"/>
          <w:lang w:val="en-US" w:eastAsia="fr-CA"/>
        </w:rPr>
      </w:pPr>
      <w:r w:rsidRPr="00EB50C7">
        <w:rPr>
          <w:rFonts w:ascii="Arial" w:eastAsia="Times New Roman" w:hAnsi="Arial" w:cs="Arial"/>
          <w:b/>
          <w:bCs/>
          <w:iCs/>
          <w:color w:val="000000"/>
          <w:sz w:val="20"/>
          <w:szCs w:val="20"/>
          <w:lang w:val="en-US" w:eastAsia="fr-CA"/>
        </w:rPr>
        <w:t xml:space="preserve">Table </w:t>
      </w:r>
      <w:r w:rsidR="00CF4106" w:rsidRPr="00EB50C7">
        <w:rPr>
          <w:rFonts w:ascii="Arial" w:eastAsia="Times New Roman" w:hAnsi="Arial" w:cs="Arial"/>
          <w:b/>
          <w:bCs/>
          <w:iCs/>
          <w:color w:val="000000"/>
          <w:sz w:val="20"/>
          <w:szCs w:val="20"/>
          <w:lang w:val="en-US" w:eastAsia="fr-CA"/>
        </w:rPr>
        <w:t>4</w:t>
      </w:r>
      <w:r w:rsidRPr="00EB50C7">
        <w:rPr>
          <w:rFonts w:ascii="Arial" w:eastAsia="Times New Roman" w:hAnsi="Arial" w:cs="Arial"/>
          <w:b/>
          <w:bCs/>
          <w:iCs/>
          <w:color w:val="000000"/>
          <w:sz w:val="20"/>
          <w:szCs w:val="20"/>
          <w:lang w:val="en-US" w:eastAsia="fr-CA"/>
        </w:rPr>
        <w:t>: Hydrogen-bond geometry (Å, °)</w:t>
      </w:r>
      <w:r w:rsidR="00CB2626">
        <w:rPr>
          <w:rFonts w:ascii="Arial" w:eastAsia="Times New Roman" w:hAnsi="Arial" w:cs="Arial"/>
          <w:b/>
          <w:bCs/>
          <w:iCs/>
          <w:color w:val="000000"/>
          <w:sz w:val="20"/>
          <w:szCs w:val="20"/>
          <w:lang w:val="en-US" w:eastAsia="fr-CA"/>
        </w:rPr>
        <w:t>.</w:t>
      </w:r>
    </w:p>
    <w:tbl>
      <w:tblPr>
        <w:tblW w:w="3516"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128"/>
        <w:gridCol w:w="1068"/>
        <w:gridCol w:w="769"/>
        <w:gridCol w:w="1317"/>
        <w:gridCol w:w="1097"/>
      </w:tblGrid>
      <w:tr w:rsidR="00516148" w:rsidRPr="00F25B40" w14:paraId="0B03B7B0" w14:textId="77777777" w:rsidTr="003F3534">
        <w:trPr>
          <w:trHeight w:hRule="exact" w:val="340"/>
        </w:trPr>
        <w:tc>
          <w:tcPr>
            <w:tcW w:w="1668" w:type="pct"/>
            <w:tcBorders>
              <w:top w:val="single" w:sz="12" w:space="0" w:color="auto"/>
              <w:bottom w:val="single" w:sz="12" w:space="0" w:color="auto"/>
            </w:tcBorders>
            <w:shd w:val="clear" w:color="auto" w:fill="FFFFFF" w:themeFill="background1"/>
            <w:vAlign w:val="center"/>
            <w:hideMark/>
          </w:tcPr>
          <w:p w14:paraId="625CB204"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837" w:type="pct"/>
            <w:tcBorders>
              <w:top w:val="single" w:sz="12" w:space="0" w:color="auto"/>
              <w:bottom w:val="single" w:sz="12" w:space="0" w:color="auto"/>
            </w:tcBorders>
            <w:shd w:val="clear" w:color="auto" w:fill="FFFFFF" w:themeFill="background1"/>
            <w:vAlign w:val="center"/>
            <w:hideMark/>
          </w:tcPr>
          <w:p w14:paraId="19262696"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p>
        </w:tc>
        <w:tc>
          <w:tcPr>
            <w:tcW w:w="603" w:type="pct"/>
            <w:tcBorders>
              <w:top w:val="single" w:sz="12" w:space="0" w:color="auto"/>
              <w:bottom w:val="single" w:sz="12" w:space="0" w:color="auto"/>
            </w:tcBorders>
            <w:shd w:val="clear" w:color="auto" w:fill="FFFFFF" w:themeFill="background1"/>
            <w:vAlign w:val="center"/>
            <w:hideMark/>
          </w:tcPr>
          <w:p w14:paraId="67A307E1"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1032" w:type="pct"/>
            <w:tcBorders>
              <w:top w:val="single" w:sz="12" w:space="0" w:color="auto"/>
              <w:bottom w:val="single" w:sz="12" w:space="0" w:color="auto"/>
            </w:tcBorders>
            <w:shd w:val="clear" w:color="auto" w:fill="FFFFFF" w:themeFill="background1"/>
            <w:vAlign w:val="center"/>
            <w:hideMark/>
          </w:tcPr>
          <w:p w14:paraId="74723633"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w:t>
            </w:r>
            <w:r w:rsidRPr="00F25B40">
              <w:rPr>
                <w:rFonts w:ascii="Arial" w:eastAsia="Times New Roman" w:hAnsi="Arial" w:cs="Arial"/>
                <w:b/>
                <w:i/>
                <w:iCs/>
                <w:sz w:val="20"/>
                <w:szCs w:val="20"/>
                <w:lang w:val="en-US" w:eastAsia="fr-CA"/>
              </w:rPr>
              <w:t>A</w:t>
            </w:r>
          </w:p>
        </w:tc>
        <w:tc>
          <w:tcPr>
            <w:tcW w:w="860" w:type="pct"/>
            <w:tcBorders>
              <w:top w:val="single" w:sz="12" w:space="0" w:color="auto"/>
              <w:bottom w:val="single" w:sz="12" w:space="0" w:color="auto"/>
            </w:tcBorders>
            <w:shd w:val="clear" w:color="auto" w:fill="FFFFFF" w:themeFill="background1"/>
            <w:vAlign w:val="center"/>
            <w:hideMark/>
          </w:tcPr>
          <w:p w14:paraId="5C963F3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r>
      <w:tr w:rsidR="00516148" w:rsidRPr="00F25B40" w14:paraId="597A9C82" w14:textId="77777777" w:rsidTr="003F3534">
        <w:trPr>
          <w:trHeight w:hRule="exact" w:val="340"/>
        </w:trPr>
        <w:tc>
          <w:tcPr>
            <w:tcW w:w="1668" w:type="pct"/>
            <w:shd w:val="clear" w:color="auto" w:fill="FFFFFF" w:themeFill="background1"/>
          </w:tcPr>
          <w:p w14:paraId="28AA8FD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C6—H6B···O4</w:t>
            </w:r>
            <w:r w:rsidRPr="00F25B40">
              <w:rPr>
                <w:rFonts w:ascii="Arial" w:eastAsia="Times New Roman" w:hAnsi="Arial" w:cs="Arial"/>
                <w:sz w:val="20"/>
                <w:szCs w:val="20"/>
                <w:vertAlign w:val="superscript"/>
                <w:lang w:val="en-US" w:eastAsia="fr-CA"/>
              </w:rPr>
              <w:t>i</w:t>
            </w:r>
          </w:p>
        </w:tc>
        <w:tc>
          <w:tcPr>
            <w:tcW w:w="837" w:type="pct"/>
            <w:shd w:val="clear" w:color="auto" w:fill="FFFFFF" w:themeFill="background1"/>
          </w:tcPr>
          <w:p w14:paraId="325CE7B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0.960</w:t>
            </w:r>
          </w:p>
        </w:tc>
        <w:tc>
          <w:tcPr>
            <w:tcW w:w="603" w:type="pct"/>
            <w:shd w:val="clear" w:color="auto" w:fill="FFFFFF" w:themeFill="background1"/>
          </w:tcPr>
          <w:p w14:paraId="31327C0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2.426</w:t>
            </w:r>
          </w:p>
        </w:tc>
        <w:tc>
          <w:tcPr>
            <w:tcW w:w="1032" w:type="pct"/>
            <w:shd w:val="clear" w:color="auto" w:fill="FFFFFF" w:themeFill="background1"/>
          </w:tcPr>
          <w:p w14:paraId="78CCC78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3.351 (13)</w:t>
            </w:r>
          </w:p>
        </w:tc>
        <w:tc>
          <w:tcPr>
            <w:tcW w:w="860" w:type="pct"/>
            <w:shd w:val="clear" w:color="auto" w:fill="FFFFFF" w:themeFill="background1"/>
          </w:tcPr>
          <w:p w14:paraId="630F353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161.68</w:t>
            </w:r>
          </w:p>
        </w:tc>
      </w:tr>
      <w:tr w:rsidR="00516148" w:rsidRPr="00F25B40" w14:paraId="7C1BF001" w14:textId="77777777" w:rsidTr="003F3534">
        <w:trPr>
          <w:trHeight w:hRule="exact" w:val="340"/>
        </w:trPr>
        <w:tc>
          <w:tcPr>
            <w:tcW w:w="1668" w:type="pct"/>
            <w:shd w:val="clear" w:color="auto" w:fill="FFFFFF" w:themeFill="background1"/>
          </w:tcPr>
          <w:p w14:paraId="4FD3134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C7 —H7B···O1</w:t>
            </w:r>
            <w:r w:rsidRPr="00F25B40">
              <w:rPr>
                <w:rFonts w:ascii="Arial" w:eastAsia="Times New Roman" w:hAnsi="Arial" w:cs="Arial"/>
                <w:sz w:val="20"/>
                <w:szCs w:val="20"/>
                <w:vertAlign w:val="superscript"/>
                <w:lang w:val="en-US" w:eastAsia="fr-CA"/>
              </w:rPr>
              <w:t>ii</w:t>
            </w:r>
          </w:p>
        </w:tc>
        <w:tc>
          <w:tcPr>
            <w:tcW w:w="837" w:type="pct"/>
            <w:shd w:val="clear" w:color="auto" w:fill="FFFFFF" w:themeFill="background1"/>
          </w:tcPr>
          <w:p w14:paraId="6F973B6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0.970</w:t>
            </w:r>
          </w:p>
        </w:tc>
        <w:tc>
          <w:tcPr>
            <w:tcW w:w="603" w:type="pct"/>
            <w:shd w:val="clear" w:color="auto" w:fill="FFFFFF" w:themeFill="background1"/>
          </w:tcPr>
          <w:p w14:paraId="17CF73A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2.474</w:t>
            </w:r>
          </w:p>
        </w:tc>
        <w:tc>
          <w:tcPr>
            <w:tcW w:w="1032" w:type="pct"/>
            <w:shd w:val="clear" w:color="auto" w:fill="FFFFFF" w:themeFill="background1"/>
          </w:tcPr>
          <w:p w14:paraId="0C94AA3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3.426(2)</w:t>
            </w:r>
          </w:p>
        </w:tc>
        <w:tc>
          <w:tcPr>
            <w:tcW w:w="860" w:type="pct"/>
            <w:shd w:val="clear" w:color="auto" w:fill="FFFFFF" w:themeFill="background1"/>
          </w:tcPr>
          <w:p w14:paraId="3E52733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166.99</w:t>
            </w:r>
          </w:p>
        </w:tc>
      </w:tr>
      <w:tr w:rsidR="00516148" w:rsidRPr="00F25B40" w14:paraId="2C201DE8" w14:textId="77777777" w:rsidTr="003F3534">
        <w:trPr>
          <w:trHeight w:hRule="exact" w:val="340"/>
        </w:trPr>
        <w:tc>
          <w:tcPr>
            <w:tcW w:w="1668" w:type="pct"/>
            <w:shd w:val="clear" w:color="auto" w:fill="FFFFFF" w:themeFill="background1"/>
          </w:tcPr>
          <w:p w14:paraId="56D3587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C9—H9···O2</w:t>
            </w:r>
          </w:p>
        </w:tc>
        <w:tc>
          <w:tcPr>
            <w:tcW w:w="837" w:type="pct"/>
            <w:shd w:val="clear" w:color="auto" w:fill="FFFFFF" w:themeFill="background1"/>
          </w:tcPr>
          <w:p w14:paraId="04F4A71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shd w:val="clear" w:color="auto" w:fill="FFFFFF" w:themeFill="background1"/>
          </w:tcPr>
          <w:p w14:paraId="38BBE8F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2.456</w:t>
            </w:r>
          </w:p>
        </w:tc>
        <w:tc>
          <w:tcPr>
            <w:tcW w:w="1032" w:type="pct"/>
            <w:shd w:val="clear" w:color="auto" w:fill="FFFFFF" w:themeFill="background1"/>
          </w:tcPr>
          <w:p w14:paraId="1BE6098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3.160</w:t>
            </w:r>
          </w:p>
        </w:tc>
        <w:tc>
          <w:tcPr>
            <w:tcW w:w="860" w:type="pct"/>
            <w:shd w:val="clear" w:color="auto" w:fill="FFFFFF" w:themeFill="background1"/>
          </w:tcPr>
          <w:p w14:paraId="63075A4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132.46</w:t>
            </w:r>
          </w:p>
        </w:tc>
      </w:tr>
      <w:tr w:rsidR="00516148" w:rsidRPr="00F25B40" w14:paraId="0E7F3A65" w14:textId="77777777" w:rsidTr="003F3534">
        <w:trPr>
          <w:trHeight w:hRule="exact" w:val="340"/>
        </w:trPr>
        <w:tc>
          <w:tcPr>
            <w:tcW w:w="1668" w:type="pct"/>
            <w:shd w:val="clear" w:color="auto" w:fill="FFFFFF" w:themeFill="background1"/>
          </w:tcPr>
          <w:p w14:paraId="6728104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C10—H10···O2</w:t>
            </w:r>
            <w:r w:rsidRPr="00F25B40">
              <w:rPr>
                <w:rFonts w:ascii="Arial" w:eastAsia="Times New Roman" w:hAnsi="Arial" w:cs="Arial"/>
                <w:sz w:val="20"/>
                <w:szCs w:val="20"/>
                <w:vertAlign w:val="superscript"/>
                <w:lang w:val="en-US" w:eastAsia="fr-CA"/>
              </w:rPr>
              <w:t>iii</w:t>
            </w:r>
          </w:p>
        </w:tc>
        <w:tc>
          <w:tcPr>
            <w:tcW w:w="837" w:type="pct"/>
            <w:shd w:val="clear" w:color="auto" w:fill="FFFFFF" w:themeFill="background1"/>
          </w:tcPr>
          <w:p w14:paraId="0704E96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shd w:val="clear" w:color="auto" w:fill="FFFFFF" w:themeFill="background1"/>
          </w:tcPr>
          <w:p w14:paraId="6279FE8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2.125</w:t>
            </w:r>
          </w:p>
        </w:tc>
        <w:tc>
          <w:tcPr>
            <w:tcW w:w="1032" w:type="pct"/>
            <w:shd w:val="clear" w:color="auto" w:fill="FFFFFF" w:themeFill="background1"/>
          </w:tcPr>
          <w:p w14:paraId="7D27A95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3.036(2)</w:t>
            </w:r>
          </w:p>
        </w:tc>
        <w:tc>
          <w:tcPr>
            <w:tcW w:w="860" w:type="pct"/>
            <w:shd w:val="clear" w:color="auto" w:fill="FFFFFF" w:themeFill="background1"/>
          </w:tcPr>
          <w:p w14:paraId="7599207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166.01</w:t>
            </w:r>
          </w:p>
        </w:tc>
      </w:tr>
      <w:tr w:rsidR="00516148" w:rsidRPr="00F25B40" w14:paraId="08E17949" w14:textId="77777777" w:rsidTr="003F3534">
        <w:trPr>
          <w:trHeight w:hRule="exact" w:val="340"/>
        </w:trPr>
        <w:tc>
          <w:tcPr>
            <w:tcW w:w="1668" w:type="pct"/>
            <w:shd w:val="clear" w:color="auto" w:fill="FFFFFF" w:themeFill="background1"/>
          </w:tcPr>
          <w:p w14:paraId="41EFDAF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lastRenderedPageBreak/>
              <w:t>C2—H2A···O4</w:t>
            </w:r>
            <w:r w:rsidRPr="00F25B40">
              <w:rPr>
                <w:rFonts w:ascii="Arial" w:eastAsia="Times New Roman" w:hAnsi="Arial" w:cs="Arial"/>
                <w:sz w:val="20"/>
                <w:szCs w:val="20"/>
                <w:vertAlign w:val="superscript"/>
                <w:lang w:val="en-US" w:eastAsia="fr-CA"/>
              </w:rPr>
              <w:t>iv</w:t>
            </w:r>
          </w:p>
        </w:tc>
        <w:tc>
          <w:tcPr>
            <w:tcW w:w="837" w:type="pct"/>
            <w:shd w:val="clear" w:color="auto" w:fill="FFFFFF" w:themeFill="background1"/>
          </w:tcPr>
          <w:p w14:paraId="29B0A20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0.970</w:t>
            </w:r>
          </w:p>
        </w:tc>
        <w:tc>
          <w:tcPr>
            <w:tcW w:w="603" w:type="pct"/>
            <w:shd w:val="clear" w:color="auto" w:fill="FFFFFF" w:themeFill="background1"/>
          </w:tcPr>
          <w:p w14:paraId="7845C8E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2.384</w:t>
            </w:r>
          </w:p>
        </w:tc>
        <w:tc>
          <w:tcPr>
            <w:tcW w:w="1032" w:type="pct"/>
            <w:shd w:val="clear" w:color="auto" w:fill="FFFFFF" w:themeFill="background1"/>
          </w:tcPr>
          <w:p w14:paraId="283838C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3.319(13)</w:t>
            </w:r>
          </w:p>
        </w:tc>
        <w:tc>
          <w:tcPr>
            <w:tcW w:w="860" w:type="pct"/>
            <w:shd w:val="clear" w:color="auto" w:fill="FFFFFF" w:themeFill="background1"/>
          </w:tcPr>
          <w:p w14:paraId="0FE615D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161.90</w:t>
            </w:r>
          </w:p>
        </w:tc>
      </w:tr>
      <w:tr w:rsidR="00516148" w:rsidRPr="00F25B40" w14:paraId="0E77BA79" w14:textId="77777777" w:rsidTr="003F3534">
        <w:trPr>
          <w:trHeight w:hRule="exact" w:val="340"/>
        </w:trPr>
        <w:tc>
          <w:tcPr>
            <w:tcW w:w="1668" w:type="pct"/>
            <w:tcBorders>
              <w:bottom w:val="single" w:sz="12" w:space="0" w:color="auto"/>
            </w:tcBorders>
            <w:shd w:val="clear" w:color="auto" w:fill="FFFFFF" w:themeFill="background1"/>
          </w:tcPr>
          <w:p w14:paraId="4CF6894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C3—H3···O2</w:t>
            </w:r>
            <w:r w:rsidRPr="00F25B40">
              <w:rPr>
                <w:rFonts w:ascii="Arial" w:eastAsia="Times New Roman" w:hAnsi="Arial" w:cs="Arial"/>
                <w:sz w:val="20"/>
                <w:szCs w:val="20"/>
                <w:vertAlign w:val="superscript"/>
                <w:lang w:val="en-US" w:eastAsia="fr-CA"/>
              </w:rPr>
              <w:t xml:space="preserve">iv </w:t>
            </w:r>
            <w:r w:rsidRPr="00F25B40">
              <w:rPr>
                <w:rFonts w:ascii="Arial" w:eastAsia="Times New Roman" w:hAnsi="Arial" w:cs="Arial"/>
                <w:sz w:val="20"/>
                <w:szCs w:val="20"/>
                <w:lang w:val="en-US" w:eastAsia="fr-CA"/>
              </w:rPr>
              <w:t xml:space="preserve">   </w:t>
            </w:r>
          </w:p>
        </w:tc>
        <w:tc>
          <w:tcPr>
            <w:tcW w:w="837" w:type="pct"/>
            <w:tcBorders>
              <w:bottom w:val="single" w:sz="12" w:space="0" w:color="auto"/>
            </w:tcBorders>
            <w:shd w:val="clear" w:color="auto" w:fill="FFFFFF" w:themeFill="background1"/>
          </w:tcPr>
          <w:p w14:paraId="28FC9B7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tcBorders>
              <w:bottom w:val="single" w:sz="12" w:space="0" w:color="auto"/>
            </w:tcBorders>
            <w:shd w:val="clear" w:color="auto" w:fill="FFFFFF" w:themeFill="background1"/>
          </w:tcPr>
          <w:p w14:paraId="7DE5130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2.531</w:t>
            </w:r>
          </w:p>
        </w:tc>
        <w:tc>
          <w:tcPr>
            <w:tcW w:w="1032" w:type="pct"/>
            <w:tcBorders>
              <w:bottom w:val="single" w:sz="12" w:space="0" w:color="auto"/>
            </w:tcBorders>
            <w:shd w:val="clear" w:color="auto" w:fill="FFFFFF" w:themeFill="background1"/>
          </w:tcPr>
          <w:p w14:paraId="5818A60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3.310(17)</w:t>
            </w:r>
          </w:p>
        </w:tc>
        <w:tc>
          <w:tcPr>
            <w:tcW w:w="860" w:type="pct"/>
            <w:tcBorders>
              <w:bottom w:val="single" w:sz="12" w:space="0" w:color="auto"/>
            </w:tcBorders>
            <w:shd w:val="clear" w:color="auto" w:fill="FFFFFF" w:themeFill="background1"/>
          </w:tcPr>
          <w:p w14:paraId="44A5248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141.38</w:t>
            </w:r>
          </w:p>
        </w:tc>
      </w:tr>
    </w:tbl>
    <w:p w14:paraId="22395C7F" w14:textId="77777777" w:rsidR="00516148" w:rsidRPr="00F25B40" w:rsidRDefault="00516148" w:rsidP="00A57067">
      <w:pPr>
        <w:spacing w:line="240" w:lineRule="auto"/>
        <w:jc w:val="both"/>
        <w:rPr>
          <w:rFonts w:ascii="Arial" w:eastAsia="Times New Roman" w:hAnsi="Arial" w:cs="Arial"/>
          <w:vanish/>
          <w:sz w:val="20"/>
          <w:szCs w:val="20"/>
          <w:lang w:val="fr-CA" w:eastAsia="fr-CA"/>
        </w:rPr>
      </w:pPr>
      <w:r w:rsidRPr="00F25B40">
        <w:rPr>
          <w:rFonts w:ascii="Arial" w:eastAsia="Times New Roman" w:hAnsi="Arial" w:cs="Arial"/>
          <w:sz w:val="20"/>
          <w:szCs w:val="20"/>
          <w:lang w:val="fr-CA" w:eastAsia="fr-CA"/>
        </w:rPr>
        <w:t xml:space="preserve">(i) </w:t>
      </w:r>
      <w:r w:rsidRPr="00F25B40">
        <w:rPr>
          <w:rFonts w:ascii="Arial" w:hAnsi="Arial" w:cs="Arial"/>
          <w:sz w:val="20"/>
          <w:szCs w:val="20"/>
          <w:lang w:val="fr-CA"/>
        </w:rPr>
        <w:t>x, -y+2, z-1/2; (ii) -y+1, -x+3/2, z-1/4; (iii) y-1/2, -x+1, z-1/4; (iv) -x+1/2, y-1/2, z</w:t>
      </w:r>
    </w:p>
    <w:p w14:paraId="0D9E31E2" w14:textId="77777777" w:rsidR="00516148" w:rsidRPr="00F25B40" w:rsidRDefault="00516148" w:rsidP="00A57067">
      <w:pPr>
        <w:spacing w:line="240" w:lineRule="auto"/>
        <w:jc w:val="both"/>
        <w:rPr>
          <w:rFonts w:ascii="Arial" w:eastAsia="Times New Roman" w:hAnsi="Arial" w:cs="Arial"/>
          <w:b/>
          <w:bCs/>
          <w:iCs/>
          <w:color w:val="000000"/>
          <w:sz w:val="20"/>
          <w:szCs w:val="20"/>
          <w:lang w:val="fr-CA" w:eastAsia="fr-CA"/>
        </w:rPr>
      </w:pPr>
    </w:p>
    <w:p w14:paraId="1E03B62B" w14:textId="6CEBFA00" w:rsidR="00516148" w:rsidRPr="00F25B40" w:rsidRDefault="00054594" w:rsidP="006A2B69">
      <w:pPr>
        <w:spacing w:after="0" w:line="240" w:lineRule="auto"/>
        <w:jc w:val="center"/>
        <w:rPr>
          <w:rFonts w:ascii="Arial" w:eastAsia="Times New Roman" w:hAnsi="Arial" w:cs="Arial"/>
          <w:b/>
          <w:bCs/>
          <w:sz w:val="20"/>
          <w:szCs w:val="20"/>
          <w:lang w:val="fr-CA" w:eastAsia="fr-CA"/>
        </w:rPr>
      </w:pPr>
      <w:r w:rsidRPr="00F25B40">
        <w:rPr>
          <w:rFonts w:ascii="Arial" w:eastAsia="Times New Roman" w:hAnsi="Arial" w:cs="Arial"/>
          <w:b/>
          <w:bCs/>
          <w:noProof/>
          <w:sz w:val="20"/>
          <w:szCs w:val="20"/>
          <w:lang w:val="fr-FR" w:eastAsia="fr-FR"/>
        </w:rPr>
        <w:drawing>
          <wp:inline distT="0" distB="0" distL="0" distR="0" wp14:anchorId="33E2CAF0" wp14:editId="7897D0C2">
            <wp:extent cx="3675123" cy="2808000"/>
            <wp:effectExtent l="0" t="0" r="1905" b="0"/>
            <wp:docPr id="1953222713" name="Image 2" descr="Une image contenant cart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22713" name="Image 2" descr="Une image contenant carte, texte&#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l="23106" t="1136" r="41432" b="52960"/>
                    <a:stretch>
                      <a:fillRect/>
                    </a:stretch>
                  </pic:blipFill>
                  <pic:spPr bwMode="auto">
                    <a:xfrm>
                      <a:off x="0" y="0"/>
                      <a:ext cx="3675123" cy="2808000"/>
                    </a:xfrm>
                    <a:prstGeom prst="rect">
                      <a:avLst/>
                    </a:prstGeom>
                    <a:ln>
                      <a:noFill/>
                    </a:ln>
                    <a:extLst>
                      <a:ext uri="{53640926-AAD7-44D8-BBD7-CCE9431645EC}">
                        <a14:shadowObscured xmlns:a14="http://schemas.microsoft.com/office/drawing/2010/main"/>
                      </a:ext>
                    </a:extLst>
                  </pic:spPr>
                </pic:pic>
              </a:graphicData>
            </a:graphic>
          </wp:inline>
        </w:drawing>
      </w:r>
    </w:p>
    <w:p w14:paraId="07DACB0C" w14:textId="4C5404A8" w:rsidR="00516148" w:rsidRDefault="00516148" w:rsidP="00A74A23">
      <w:pPr>
        <w:spacing w:after="120" w:line="240" w:lineRule="auto"/>
        <w:jc w:val="both"/>
        <w:rPr>
          <w:rFonts w:ascii="Arial" w:hAnsi="Arial" w:cs="Arial"/>
          <w:b/>
          <w:bCs/>
          <w:sz w:val="20"/>
          <w:szCs w:val="20"/>
          <w:lang w:val="en-US"/>
        </w:rPr>
      </w:pPr>
      <w:r w:rsidRPr="00A74A23">
        <w:rPr>
          <w:rFonts w:ascii="Arial" w:eastAsia="Times New Roman" w:hAnsi="Arial" w:cs="Arial"/>
          <w:b/>
          <w:bCs/>
          <w:sz w:val="20"/>
          <w:szCs w:val="20"/>
          <w:lang w:val="en-US" w:eastAsia="fr-CA"/>
        </w:rPr>
        <w:t xml:space="preserve">Figure 1. An ORTEP view of the repeat unit of the coordination polymer </w:t>
      </w:r>
      <w:r w:rsidR="00593E88" w:rsidRPr="00A74A23">
        <w:rPr>
          <w:rFonts w:ascii="Arial" w:eastAsia="Times New Roman" w:hAnsi="Arial" w:cs="Arial"/>
          <w:b/>
          <w:bCs/>
          <w:sz w:val="20"/>
          <w:szCs w:val="20"/>
          <w:lang w:val="en-US" w:eastAsia="fr-CA"/>
        </w:rPr>
        <w:t>1</w:t>
      </w:r>
      <w:r w:rsidRPr="00A74A23">
        <w:rPr>
          <w:rFonts w:ascii="Arial" w:eastAsia="Times New Roman" w:hAnsi="Arial" w:cs="Arial"/>
          <w:b/>
          <w:bCs/>
          <w:sz w:val="20"/>
          <w:szCs w:val="20"/>
          <w:lang w:val="en-US" w:eastAsia="fr-CA"/>
        </w:rPr>
        <w:t xml:space="preserve">, showing the atom-numbering scheme. Displacement ellipsoids are drawn at the 50% probability level. Symmetry codes: </w:t>
      </w:r>
      <w:r w:rsidR="003640FE" w:rsidRPr="00A74A23">
        <w:rPr>
          <w:rFonts w:ascii="Arial" w:hAnsi="Arial" w:cs="Arial"/>
          <w:b/>
          <w:bCs/>
          <w:sz w:val="20"/>
          <w:szCs w:val="20"/>
          <w:lang w:val="en-US"/>
        </w:rPr>
        <w:t>(</w:t>
      </w:r>
      <w:proofErr w:type="spellStart"/>
      <w:r w:rsidR="003640FE" w:rsidRPr="00A74A23">
        <w:rPr>
          <w:rFonts w:ascii="Arial" w:hAnsi="Arial" w:cs="Arial"/>
          <w:b/>
          <w:bCs/>
          <w:sz w:val="20"/>
          <w:szCs w:val="20"/>
          <w:lang w:val="en-US"/>
        </w:rPr>
        <w:t>i</w:t>
      </w:r>
      <w:proofErr w:type="spellEnd"/>
      <w:r w:rsidR="003640FE" w:rsidRPr="00A74A23">
        <w:rPr>
          <w:rFonts w:ascii="Arial" w:hAnsi="Arial" w:cs="Arial"/>
          <w:b/>
          <w:bCs/>
          <w:sz w:val="20"/>
          <w:szCs w:val="20"/>
          <w:lang w:val="en-US"/>
        </w:rPr>
        <w:t>) y−1/2, −x+1, z−1/4</w:t>
      </w:r>
      <w:r w:rsidR="004F3203" w:rsidRPr="00A74A23">
        <w:rPr>
          <w:rFonts w:ascii="Arial" w:hAnsi="Arial" w:cs="Arial"/>
          <w:b/>
          <w:bCs/>
          <w:sz w:val="20"/>
          <w:szCs w:val="20"/>
          <w:lang w:val="en-US"/>
        </w:rPr>
        <w:t>.</w:t>
      </w:r>
    </w:p>
    <w:p w14:paraId="76B8EC07" w14:textId="77777777" w:rsidR="007B1DC8" w:rsidRPr="00A74A23" w:rsidRDefault="007B1DC8" w:rsidP="00A74A23">
      <w:pPr>
        <w:spacing w:after="120" w:line="240" w:lineRule="auto"/>
        <w:jc w:val="both"/>
        <w:rPr>
          <w:rFonts w:ascii="Arial" w:hAnsi="Arial" w:cs="Arial"/>
          <w:b/>
          <w:bCs/>
          <w:sz w:val="20"/>
          <w:szCs w:val="20"/>
          <w:lang w:val="en-US"/>
        </w:rPr>
      </w:pPr>
    </w:p>
    <w:p w14:paraId="0CD09A11" w14:textId="164A3C0D" w:rsidR="004F3203" w:rsidRPr="00F25B40" w:rsidRDefault="00935E1C"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drawing>
          <wp:inline distT="0" distB="0" distL="0" distR="0" wp14:anchorId="38EE72B9" wp14:editId="3BD6DC27">
            <wp:extent cx="5421556" cy="2880000"/>
            <wp:effectExtent l="0" t="0" r="8255" b="0"/>
            <wp:docPr id="930568931" name="Image 1" descr="Une image contenant mo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8931" name="Image 1" descr="Une image contenant motif&#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386" t="5559" r="59004" b="57894"/>
                    <a:stretch>
                      <a:fillRect/>
                    </a:stretch>
                  </pic:blipFill>
                  <pic:spPr bwMode="auto">
                    <a:xfrm>
                      <a:off x="0" y="0"/>
                      <a:ext cx="5421556" cy="2880000"/>
                    </a:xfrm>
                    <a:prstGeom prst="rect">
                      <a:avLst/>
                    </a:prstGeom>
                    <a:ln>
                      <a:noFill/>
                    </a:ln>
                    <a:extLst>
                      <a:ext uri="{53640926-AAD7-44D8-BBD7-CCE9431645EC}">
                        <a14:shadowObscured xmlns:a14="http://schemas.microsoft.com/office/drawing/2010/main"/>
                      </a:ext>
                    </a:extLst>
                  </pic:spPr>
                </pic:pic>
              </a:graphicData>
            </a:graphic>
          </wp:inline>
        </w:drawing>
      </w:r>
    </w:p>
    <w:p w14:paraId="4C2B2BA5" w14:textId="31CAC6B7" w:rsidR="00F83A4E" w:rsidRPr="00A74A23" w:rsidRDefault="00F83A4E"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2. The polymer expansion of complex 1, showing an infinite chain propagating along the </w:t>
      </w:r>
      <w:r w:rsidRPr="00A74A23">
        <w:rPr>
          <w:rFonts w:ascii="Arial" w:eastAsia="Times New Roman" w:hAnsi="Arial" w:cs="Arial"/>
          <w:b/>
          <w:bCs/>
          <w:i/>
          <w:iCs/>
          <w:sz w:val="20"/>
          <w:szCs w:val="20"/>
          <w:lang w:val="en-US" w:eastAsia="fr-CA"/>
        </w:rPr>
        <w:t>b</w:t>
      </w:r>
      <w:r w:rsidRPr="00A74A23">
        <w:rPr>
          <w:rFonts w:ascii="Arial" w:eastAsia="Times New Roman" w:hAnsi="Arial" w:cs="Arial"/>
          <w:b/>
          <w:bCs/>
          <w:sz w:val="20"/>
          <w:szCs w:val="20"/>
          <w:lang w:val="en-US" w:eastAsia="fr-CA"/>
        </w:rPr>
        <w:t>-axis direction.</w:t>
      </w:r>
    </w:p>
    <w:p w14:paraId="57124FF9" w14:textId="4148C968" w:rsidR="00F83A4E" w:rsidRPr="00F25B40" w:rsidRDefault="00174AFE"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lastRenderedPageBreak/>
        <w:drawing>
          <wp:inline distT="0" distB="0" distL="0" distR="0" wp14:anchorId="2063778B" wp14:editId="195406B8">
            <wp:extent cx="5391760" cy="3855817"/>
            <wp:effectExtent l="0" t="0" r="0" b="0"/>
            <wp:docPr id="159631806" name="Image 2"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1806" name="Image 2" descr="Une image contenant carte&#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3189" t="4700" r="3191" b="4361"/>
                    <a:stretch>
                      <a:fillRect/>
                    </a:stretch>
                  </pic:blipFill>
                  <pic:spPr bwMode="auto">
                    <a:xfrm>
                      <a:off x="0" y="0"/>
                      <a:ext cx="5393189" cy="3856839"/>
                    </a:xfrm>
                    <a:prstGeom prst="rect">
                      <a:avLst/>
                    </a:prstGeom>
                    <a:ln>
                      <a:noFill/>
                    </a:ln>
                    <a:extLst>
                      <a:ext uri="{53640926-AAD7-44D8-BBD7-CCE9431645EC}">
                        <a14:shadowObscured xmlns:a14="http://schemas.microsoft.com/office/drawing/2010/main"/>
                      </a:ext>
                    </a:extLst>
                  </pic:spPr>
                </pic:pic>
              </a:graphicData>
            </a:graphic>
          </wp:inline>
        </w:drawing>
      </w:r>
    </w:p>
    <w:p w14:paraId="40158BBB" w14:textId="75894F25" w:rsidR="00F83A4E" w:rsidRPr="00A74A23" w:rsidRDefault="00F83A4E" w:rsidP="00A74A23">
      <w:pPr>
        <w:spacing w:after="120" w:line="240" w:lineRule="auto"/>
        <w:jc w:val="both"/>
        <w:rPr>
          <w:rFonts w:ascii="Arial" w:eastAsia="Times New Roman" w:hAnsi="Arial" w:cs="Arial"/>
          <w:b/>
          <w:bCs/>
          <w:color w:val="000000" w:themeColor="text1"/>
          <w:sz w:val="20"/>
          <w:szCs w:val="20"/>
          <w:lang w:val="en-US" w:eastAsia="fr-CA"/>
        </w:rPr>
      </w:pPr>
      <w:r w:rsidRPr="00A74A23">
        <w:rPr>
          <w:rFonts w:ascii="Arial" w:eastAsia="Times New Roman" w:hAnsi="Arial" w:cs="Arial"/>
          <w:b/>
          <w:bCs/>
          <w:sz w:val="20"/>
          <w:szCs w:val="20"/>
          <w:lang w:val="en-US" w:eastAsia="fr-CA"/>
        </w:rPr>
        <w:t>Figure 3. A view of the crystal packing of complex 1.</w:t>
      </w:r>
      <w:r w:rsidR="007B1323" w:rsidRPr="00A74A23">
        <w:rPr>
          <w:rFonts w:ascii="Arial" w:eastAsia="Times New Roman" w:hAnsi="Arial" w:cs="Arial"/>
          <w:b/>
          <w:bCs/>
          <w:sz w:val="20"/>
          <w:szCs w:val="20"/>
          <w:lang w:val="en-US" w:eastAsia="fr-CA"/>
        </w:rPr>
        <w:t xml:space="preserve"> </w:t>
      </w:r>
      <w:r w:rsidR="007B1323" w:rsidRPr="00A74A23">
        <w:rPr>
          <w:rFonts w:ascii="Arial" w:eastAsia="Times New Roman" w:hAnsi="Arial" w:cs="Arial"/>
          <w:b/>
          <w:bCs/>
          <w:color w:val="000000" w:themeColor="text1"/>
          <w:sz w:val="20"/>
          <w:szCs w:val="20"/>
          <w:lang w:val="en-US" w:eastAsia="fr-CA"/>
        </w:rPr>
        <w:t>Hydrogen bonds are drawn as dashed lines</w:t>
      </w:r>
      <w:r w:rsidR="00237457" w:rsidRPr="00A74A23">
        <w:rPr>
          <w:rFonts w:ascii="Arial" w:eastAsia="Times New Roman" w:hAnsi="Arial" w:cs="Arial"/>
          <w:b/>
          <w:bCs/>
          <w:color w:val="000000" w:themeColor="text1"/>
          <w:sz w:val="20"/>
          <w:szCs w:val="20"/>
          <w:lang w:val="en-US" w:eastAsia="fr-CA"/>
        </w:rPr>
        <w:t>.</w:t>
      </w:r>
    </w:p>
    <w:p w14:paraId="5E441A45" w14:textId="10D4B7B6" w:rsidR="00081375" w:rsidRPr="00F25B40" w:rsidRDefault="00831A89" w:rsidP="00F122B0">
      <w:pPr>
        <w:pStyle w:val="Heading3"/>
        <w:rPr>
          <w:sz w:val="20"/>
          <w:szCs w:val="20"/>
        </w:rPr>
      </w:pPr>
      <w:r w:rsidRPr="00F25B40">
        <w:t xml:space="preserve">Structure Description of the </w:t>
      </w:r>
      <w:r w:rsidR="00081375" w:rsidRPr="00F25B40">
        <w:rPr>
          <w:sz w:val="20"/>
          <w:szCs w:val="20"/>
        </w:rPr>
        <w:t>complex 2</w:t>
      </w:r>
    </w:p>
    <w:p w14:paraId="6A8A4867" w14:textId="405722A3" w:rsidR="00081375" w:rsidRPr="00F25B40" w:rsidRDefault="003171C8" w:rsidP="00A57067">
      <w:pPr>
        <w:spacing w:line="240" w:lineRule="auto"/>
        <w:jc w:val="both"/>
        <w:rPr>
          <w:rFonts w:ascii="Arial" w:eastAsia="Times New Roman" w:hAnsi="Arial" w:cs="Arial"/>
          <w:b/>
          <w:bCs/>
          <w:sz w:val="20"/>
          <w:szCs w:val="20"/>
          <w:lang w:val="en-US" w:eastAsia="fr-CA"/>
        </w:rPr>
      </w:pPr>
      <w:r>
        <w:rPr>
          <w:rFonts w:ascii="Arial" w:hAnsi="Arial" w:cs="Arial"/>
          <w:sz w:val="20"/>
          <w:szCs w:val="20"/>
          <w:lang w:val="en-US"/>
        </w:rPr>
        <w:t>“</w:t>
      </w:r>
      <w:r w:rsidR="00081375" w:rsidRPr="00F25B40">
        <w:rPr>
          <w:rFonts w:ascii="Arial" w:hAnsi="Arial" w:cs="Arial"/>
          <w:sz w:val="20"/>
          <w:szCs w:val="20"/>
          <w:lang w:val="en-US"/>
        </w:rPr>
        <w:t xml:space="preserve">Compound </w:t>
      </w:r>
      <w:r w:rsidR="00081375" w:rsidRPr="00F25B40">
        <w:rPr>
          <w:rFonts w:ascii="Arial" w:hAnsi="Arial" w:cs="Arial"/>
          <w:b/>
          <w:bCs/>
          <w:sz w:val="20"/>
          <w:szCs w:val="20"/>
          <w:lang w:val="en-US"/>
        </w:rPr>
        <w:t>2</w:t>
      </w:r>
      <w:r w:rsidR="00081375" w:rsidRPr="00F25B40">
        <w:rPr>
          <w:rFonts w:ascii="Arial" w:hAnsi="Arial" w:cs="Arial"/>
          <w:sz w:val="20"/>
          <w:szCs w:val="20"/>
          <w:lang w:val="en-US"/>
        </w:rPr>
        <w:t xml:space="preserve"> crystallizes in the monoclinic system with a space group P2</w:t>
      </w:r>
      <w:r w:rsidR="00081375" w:rsidRPr="00F25B40">
        <w:rPr>
          <w:rFonts w:ascii="Arial" w:hAnsi="Arial" w:cs="Arial"/>
          <w:sz w:val="20"/>
          <w:szCs w:val="20"/>
          <w:vertAlign w:val="subscript"/>
          <w:lang w:val="en-US"/>
        </w:rPr>
        <w:t>1</w:t>
      </w:r>
      <w:r w:rsidR="00081375" w:rsidRPr="00F25B40">
        <w:rPr>
          <w:rFonts w:ascii="Arial" w:hAnsi="Arial" w:cs="Arial"/>
          <w:sz w:val="20"/>
          <w:szCs w:val="20"/>
          <w:lang w:val="en-US"/>
        </w:rPr>
        <w:t xml:space="preserve">/c. The selected bond lengths and angles are summarized in Table </w:t>
      </w:r>
      <w:r w:rsidR="00421F33" w:rsidRPr="00F25B40">
        <w:rPr>
          <w:rFonts w:ascii="Arial" w:hAnsi="Arial" w:cs="Arial"/>
          <w:sz w:val="20"/>
          <w:szCs w:val="20"/>
          <w:lang w:val="en-US"/>
        </w:rPr>
        <w:t>5</w:t>
      </w:r>
      <w:r w:rsidR="00081375" w:rsidRPr="00F25B40">
        <w:rPr>
          <w:rFonts w:ascii="Arial" w:hAnsi="Arial" w:cs="Arial"/>
          <w:sz w:val="20"/>
          <w:szCs w:val="20"/>
          <w:lang w:val="en-US"/>
        </w:rPr>
        <w:t xml:space="preserve">. The </w:t>
      </w:r>
      <w:r w:rsidR="00081375" w:rsidRPr="00F25B40">
        <w:rPr>
          <w:rFonts w:ascii="Arial" w:hAnsi="Arial" w:cs="Arial"/>
          <w:i/>
          <w:iCs/>
          <w:sz w:val="20"/>
          <w:szCs w:val="20"/>
          <w:lang w:val="en-US"/>
        </w:rPr>
        <w:t>ORTEP</w:t>
      </w:r>
      <w:r w:rsidR="00081375" w:rsidRPr="00F25B40">
        <w:rPr>
          <w:rFonts w:ascii="Arial" w:hAnsi="Arial" w:cs="Arial"/>
          <w:sz w:val="20"/>
          <w:szCs w:val="20"/>
          <w:lang w:val="en-US"/>
        </w:rPr>
        <w:t xml:space="preserve"> diagram is illustrated in </w:t>
      </w:r>
      <w:r w:rsidR="000B36B8" w:rsidRPr="00F25B40">
        <w:rPr>
          <w:rFonts w:ascii="Arial" w:hAnsi="Arial" w:cs="Arial"/>
          <w:sz w:val="20"/>
          <w:szCs w:val="20"/>
          <w:lang w:val="en-US"/>
        </w:rPr>
        <w:t>F</w:t>
      </w:r>
      <w:r w:rsidR="00081375" w:rsidRPr="00F25B40">
        <w:rPr>
          <w:rFonts w:ascii="Arial" w:hAnsi="Arial" w:cs="Arial"/>
          <w:sz w:val="20"/>
          <w:szCs w:val="20"/>
          <w:lang w:val="en-US"/>
        </w:rPr>
        <w:t>igure 4.  The asymmetric unit contains one Zn(II) ion, one succinate unit, and two 1-ethyl-1</w:t>
      </w:r>
      <w:r w:rsidR="00081375" w:rsidRPr="00F25B40">
        <w:rPr>
          <w:rFonts w:ascii="Arial" w:hAnsi="Arial" w:cs="Arial"/>
          <w:i/>
          <w:iCs/>
          <w:sz w:val="20"/>
          <w:szCs w:val="20"/>
          <w:lang w:val="en-US"/>
        </w:rPr>
        <w:t>H</w:t>
      </w:r>
      <w:r w:rsidR="00081375" w:rsidRPr="00F25B40">
        <w:rPr>
          <w:rFonts w:ascii="Arial" w:hAnsi="Arial" w:cs="Arial"/>
          <w:sz w:val="20"/>
          <w:szCs w:val="20"/>
          <w:lang w:val="en-US"/>
        </w:rPr>
        <w:t>-imidazole. The Zn(II) ion is tetracoordinated by two nitrogen atoms from two molecules of 1-ethyl-1</w:t>
      </w:r>
      <w:r w:rsidR="00081375" w:rsidRPr="00F25B40">
        <w:rPr>
          <w:rFonts w:ascii="Arial" w:hAnsi="Arial" w:cs="Arial"/>
          <w:i/>
          <w:iCs/>
          <w:sz w:val="20"/>
          <w:szCs w:val="20"/>
          <w:lang w:val="en-US"/>
        </w:rPr>
        <w:t>H</w:t>
      </w:r>
      <w:r w:rsidR="00081375" w:rsidRPr="00F25B40">
        <w:rPr>
          <w:rFonts w:ascii="Arial" w:hAnsi="Arial" w:cs="Arial"/>
          <w:sz w:val="20"/>
          <w:szCs w:val="20"/>
          <w:lang w:val="en-US"/>
        </w:rPr>
        <w:t>-imidazole, one oxygen atom from a malonate unit and one oxygen atom from a malonate unit of a neighboring complex molecule. The Zn ion is situated in a N</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O</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 xml:space="preserve"> site. The geometry around the tetracoordinated Zn1 is determined using the distortion index or the tetragonality parameter</w:t>
      </w:r>
      <w:r>
        <w:rPr>
          <w:rFonts w:ascii="Arial" w:hAnsi="Arial" w:cs="Arial"/>
          <w:sz w:val="20"/>
          <w:szCs w:val="20"/>
          <w:lang w:val="en-US"/>
        </w:rPr>
        <w:t>”</w:t>
      </w:r>
      <w:r w:rsidR="00081375" w:rsidRPr="00F25B40">
        <w:rPr>
          <w:rFonts w:ascii="Arial" w:hAnsi="Arial" w:cs="Arial"/>
          <w:sz w:val="20"/>
          <w:szCs w:val="20"/>
          <w:lang w:val="en-US"/>
        </w:rPr>
        <w:t xml:space="preserve"> </w:t>
      </w:r>
      <w:r w:rsidR="006B52D3"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{"citationID":"tE3g7a2Z","properties":{"formattedCitation":"(Yang et al., 2007)","plainCitation":"(Yang et al., 2007)","noteIndex":0},"citationItems":[{"id":3691,"uris":["http://zotero.org/users/local/JzcqJHT8/items/ZPQP7UNY"],"itemData":{"id":3691,"type":"article-journal","abstract":"Four Cu(i) complexes were synthesized with a family of pyridylmethylamide ligands, HLR [HLR = N-(2-pyridylmethyl)acetamide, R = null; 2,2-dimethyl-N-(2-pyridylmethyl)propionamide, R = Me3; 2,2,2-triphenyl-N-(2-pyridylmethyl)acetamide, R = Ph3)]. Complexes 1–3 were synthesized from the respective ligand and [Cu(CH3CN)4]PF6 in a 2 : 1 molar ratio: [Cu(HL)2]PF6 (1), [Cu2(HLMe3)4](PF6)2 (2), [Cu(HLPh3)2]PF6 (3). Complex 4, [Cu(HL)(CH3CN)(PPh3)]PF6, was synthesized from the reaction of HL with [Cu(CH3CN)4]PF6 and PPh3 in a 1 : 1 : 1 molar ratio. X-Ray crystal structures reveal that complexes 1, 3 and 4 are mononuclear Cu(i) species, while complex 2 is a Cu(i) dimer. The copper ions are four-coordinate with geometries ranging from distorted tetrahedral to seesaw in 1, 2, and 4. Complexes 1 and 2 are very air sensitive and they display similar electrochemical properties. The coordination geometry of complex 3 is nearly linear, two-coordinate. Complex 3 is exceptionally stable with respect to oxidation in the air, and its cyclic voltammetry shows no oxidation wave in the range of 0–1.5 V. The unusual inertness of complex 3 towards oxidation is attributed to the protection from bulky triphenyl substituent of the HLPh3 ligand. A new geometric parameter for four-coordinate compounds, τ4, is proposed as an improved, simple metric for quantitatively evaluating the geometry of four-coordinate complexes and compounds.","container-title":"Dalton Trans.","DOI":"10.1039/B617136B","issue":"9","note":"publisher: The Royal Society of Chemistry","page":"955-964","title":"Structural variation in copper(i) complexes with pyridylmethylamide ligands: structural analysis with a new four-coordinate geometry index, τ4","author":[{"family":"Yang","given":"Lei"},{"family":"Powell","given":"Douglas R."},{"family":"Houser","given":"Robert P."}],"issued":{"date-parts":[["2007"]]}}}],"schema":"https://github.com/citation-style-language/schema/raw/master/csl-citation.json"} </w:instrText>
      </w:r>
      <w:r w:rsidR="006B52D3" w:rsidRPr="00F25B40">
        <w:rPr>
          <w:rFonts w:ascii="Arial" w:hAnsi="Arial" w:cs="Arial"/>
          <w:sz w:val="20"/>
          <w:szCs w:val="20"/>
          <w:lang w:val="en-US"/>
        </w:rPr>
        <w:fldChar w:fldCharType="separate"/>
      </w:r>
      <w:r w:rsidR="002E71C7" w:rsidRPr="00F25B40">
        <w:rPr>
          <w:rFonts w:ascii="Arial" w:hAnsi="Arial" w:cs="Arial"/>
          <w:sz w:val="20"/>
          <w:lang w:val="en-US"/>
        </w:rPr>
        <w:t>(Yang et al., 2007)</w:t>
      </w:r>
      <w:r w:rsidR="006B52D3"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which is stated as follows </w:t>
      </w:r>
      <w:r w:rsidR="00081375" w:rsidRPr="00F25B40">
        <w:rPr>
          <w:rFonts w:ascii="Arial" w:hAnsi="Arial" w:cs="Arial"/>
          <w:i/>
          <w:iCs/>
          <w:sz w:val="20"/>
          <w:szCs w:val="20"/>
          <w:lang w:val="en-US"/>
        </w:rPr>
        <w:sym w:font="Symbol" w:char="F074"/>
      </w:r>
      <w:r w:rsidR="00081375" w:rsidRPr="00F25B40">
        <w:rPr>
          <w:rFonts w:ascii="Arial" w:hAnsi="Arial" w:cs="Arial"/>
          <w:sz w:val="20"/>
          <w:szCs w:val="20"/>
          <w:vertAlign w:val="subscript"/>
          <w:lang w:val="en-US"/>
        </w:rPr>
        <w:t>4</w:t>
      </w:r>
      <w:r w:rsidR="00081375" w:rsidRPr="00F25B40">
        <w:rPr>
          <w:rFonts w:ascii="Arial" w:hAnsi="Arial" w:cs="Arial"/>
          <w:sz w:val="20"/>
          <w:szCs w:val="20"/>
          <w:lang w:val="en-US"/>
        </w:rPr>
        <w:t xml:space="preserve"> = (360 - </w:t>
      </w:r>
      <w:r w:rsidR="00516148" w:rsidRPr="00F25B40">
        <w:rPr>
          <w:rFonts w:ascii="Arial" w:hAnsi="Arial" w:cs="Arial"/>
          <w:sz w:val="20"/>
          <w:szCs w:val="20"/>
          <w:lang w:val="en-US"/>
        </w:rPr>
        <w:sym w:font="Symbol" w:char="F061"/>
      </w:r>
      <w:r w:rsidR="00516148" w:rsidRPr="00F25B40">
        <w:rPr>
          <w:rFonts w:ascii="Arial" w:hAnsi="Arial" w:cs="Arial"/>
          <w:sz w:val="20"/>
          <w:szCs w:val="20"/>
          <w:lang w:val="en-US"/>
        </w:rPr>
        <w:t xml:space="preserve"> - </w:t>
      </w:r>
      <w:r w:rsidR="00516148" w:rsidRPr="00F25B40">
        <w:rPr>
          <w:rFonts w:ascii="Arial" w:hAnsi="Arial" w:cs="Arial"/>
          <w:sz w:val="20"/>
          <w:szCs w:val="20"/>
          <w:lang w:val="en-US"/>
        </w:rPr>
        <w:sym w:font="Symbol" w:char="F062"/>
      </w:r>
      <w:r w:rsidR="00081375" w:rsidRPr="00F25B40">
        <w:rPr>
          <w:rFonts w:ascii="Arial" w:hAnsi="Arial" w:cs="Arial"/>
          <w:sz w:val="20"/>
          <w:szCs w:val="20"/>
          <w:lang w:val="en-US"/>
        </w:rPr>
        <w:t>) / 141 (</w:t>
      </w:r>
      <w:r w:rsidR="00516148" w:rsidRPr="00F25B40">
        <w:rPr>
          <w:rFonts w:ascii="Arial" w:hAnsi="Arial" w:cs="Arial"/>
          <w:sz w:val="20"/>
          <w:szCs w:val="20"/>
          <w:lang w:val="en-US"/>
        </w:rPr>
        <w:sym w:font="Symbol" w:char="F061"/>
      </w:r>
      <w:r w:rsidR="00081375" w:rsidRPr="00F25B40">
        <w:rPr>
          <w:rFonts w:ascii="Arial" w:hAnsi="Arial" w:cs="Arial"/>
          <w:sz w:val="20"/>
          <w:szCs w:val="20"/>
          <w:lang w:val="en-US"/>
        </w:rPr>
        <w:t xml:space="preserve"> and </w:t>
      </w:r>
      <w:r w:rsidR="00516148" w:rsidRPr="00F25B40">
        <w:rPr>
          <w:rFonts w:ascii="Arial" w:hAnsi="Arial" w:cs="Arial"/>
          <w:sz w:val="20"/>
          <w:szCs w:val="20"/>
          <w:lang w:val="en-US"/>
        </w:rPr>
        <w:sym w:font="Symbol" w:char="F062"/>
      </w:r>
      <w:r w:rsidR="00081375" w:rsidRPr="00F25B40">
        <w:rPr>
          <w:rFonts w:ascii="Arial" w:hAnsi="Arial" w:cs="Arial"/>
          <w:sz w:val="20"/>
          <w:szCs w:val="20"/>
          <w:lang w:val="en-US"/>
        </w:rPr>
        <w:t xml:space="preserve"> are the two largest angles around the central atom). </w:t>
      </w:r>
      <w:r w:rsidR="00081375" w:rsidRPr="00F25B40">
        <w:rPr>
          <w:rFonts w:ascii="Arial" w:hAnsi="Arial" w:cs="Arial"/>
          <w:i/>
          <w:iCs/>
          <w:sz w:val="20"/>
          <w:szCs w:val="20"/>
          <w:lang w:val="en-US"/>
        </w:rPr>
        <w:sym w:font="Symbol" w:char="F074"/>
      </w:r>
      <w:r w:rsidR="00081375" w:rsidRPr="00F25B40">
        <w:rPr>
          <w:rFonts w:ascii="Arial" w:hAnsi="Arial" w:cs="Arial"/>
          <w:sz w:val="20"/>
          <w:szCs w:val="20"/>
          <w:vertAlign w:val="subscript"/>
          <w:lang w:val="en-US"/>
        </w:rPr>
        <w:t>4</w:t>
      </w:r>
      <w:r w:rsidR="00081375" w:rsidRPr="00F25B40">
        <w:rPr>
          <w:rFonts w:ascii="Arial" w:hAnsi="Arial" w:cs="Arial"/>
          <w:sz w:val="20"/>
          <w:szCs w:val="20"/>
          <w:lang w:val="en-US"/>
        </w:rPr>
        <w:t xml:space="preserve"> = 0 designates a perfect square planar geometry and </w:t>
      </w:r>
      <w:r w:rsidR="00081375" w:rsidRPr="00F25B40">
        <w:rPr>
          <w:rFonts w:ascii="Arial" w:hAnsi="Arial" w:cs="Arial"/>
          <w:i/>
          <w:iCs/>
          <w:sz w:val="20"/>
          <w:szCs w:val="20"/>
          <w:lang w:val="en-US"/>
        </w:rPr>
        <w:sym w:font="Symbol" w:char="F074"/>
      </w:r>
      <w:r w:rsidR="00081375" w:rsidRPr="00F25B40">
        <w:rPr>
          <w:rFonts w:ascii="Arial" w:hAnsi="Arial" w:cs="Arial"/>
          <w:sz w:val="20"/>
          <w:szCs w:val="20"/>
          <w:vertAlign w:val="subscript"/>
          <w:lang w:val="en-US"/>
        </w:rPr>
        <w:t>4</w:t>
      </w:r>
      <w:r w:rsidR="00081375" w:rsidRPr="00F25B40">
        <w:rPr>
          <w:rFonts w:ascii="Arial" w:hAnsi="Arial" w:cs="Arial"/>
          <w:sz w:val="20"/>
          <w:szCs w:val="20"/>
          <w:lang w:val="en-US"/>
        </w:rPr>
        <w:t xml:space="preserve"> = 1 gives a perfect tetrahedron. </w:t>
      </w:r>
      <w:r>
        <w:rPr>
          <w:rFonts w:ascii="Arial" w:hAnsi="Arial" w:cs="Arial"/>
          <w:sz w:val="20"/>
          <w:szCs w:val="20"/>
          <w:lang w:val="en-US"/>
        </w:rPr>
        <w:t>“</w:t>
      </w:r>
      <w:bookmarkStart w:id="1" w:name="_GoBack"/>
      <w:bookmarkEnd w:id="1"/>
      <w:r w:rsidR="00081375" w:rsidRPr="00F25B40">
        <w:rPr>
          <w:rFonts w:ascii="Arial" w:hAnsi="Arial" w:cs="Arial"/>
          <w:sz w:val="20"/>
          <w:szCs w:val="20"/>
          <w:lang w:val="en-US"/>
        </w:rPr>
        <w:t xml:space="preserve">The value of </w:t>
      </w:r>
      <w:r w:rsidR="00081375" w:rsidRPr="00F25B40">
        <w:rPr>
          <w:rFonts w:ascii="Arial" w:hAnsi="Arial" w:cs="Arial"/>
          <w:i/>
          <w:iCs/>
          <w:sz w:val="20"/>
          <w:szCs w:val="20"/>
          <w:lang w:val="en-US"/>
        </w:rPr>
        <w:sym w:font="Symbol" w:char="F074"/>
      </w:r>
      <w:r w:rsidR="00081375" w:rsidRPr="00F25B40">
        <w:rPr>
          <w:rFonts w:ascii="Arial" w:hAnsi="Arial" w:cs="Arial"/>
          <w:sz w:val="20"/>
          <w:szCs w:val="20"/>
          <w:vertAlign w:val="subscript"/>
          <w:lang w:val="en-US"/>
        </w:rPr>
        <w:t>4</w:t>
      </w:r>
      <w:r w:rsidR="00081375" w:rsidRPr="00F25B40">
        <w:rPr>
          <w:rFonts w:ascii="Arial" w:hAnsi="Arial" w:cs="Arial"/>
          <w:sz w:val="20"/>
          <w:szCs w:val="20"/>
          <w:lang w:val="en-US"/>
        </w:rPr>
        <w:t xml:space="preserve"> = 0.9055 is indicative of a distorted tetrahedral geometry around Zn1 (</w:t>
      </w:r>
      <w:r w:rsidR="00081375" w:rsidRPr="00F25B40">
        <w:rPr>
          <w:rFonts w:ascii="Arial" w:hAnsi="Arial" w:cs="Arial"/>
          <w:color w:val="000000" w:themeColor="text1"/>
          <w:sz w:val="20"/>
          <w:szCs w:val="20"/>
          <w:lang w:val="en-US"/>
        </w:rPr>
        <w:t>Figure</w:t>
      </w:r>
      <w:r w:rsidR="004A3421" w:rsidRPr="00F25B40">
        <w:rPr>
          <w:rFonts w:ascii="Arial" w:hAnsi="Arial" w:cs="Arial"/>
          <w:color w:val="000000" w:themeColor="text1"/>
          <w:sz w:val="20"/>
          <w:szCs w:val="20"/>
          <w:lang w:val="en-US"/>
        </w:rPr>
        <w:t xml:space="preserve"> 4</w:t>
      </w:r>
      <w:r w:rsidR="00081375" w:rsidRPr="00F25B40">
        <w:rPr>
          <w:rFonts w:ascii="Arial" w:hAnsi="Arial" w:cs="Arial"/>
          <w:sz w:val="20"/>
          <w:szCs w:val="20"/>
          <w:lang w:val="en-US"/>
        </w:rPr>
        <w:t>). In fact, the bond angle values of 108.34(5)° [</w:t>
      </w:r>
      <w:r w:rsidR="00081375" w:rsidRPr="00F25B40">
        <w:rPr>
          <w:rFonts w:ascii="Arial" w:eastAsia="Times New Roman" w:hAnsi="Arial" w:cs="Arial"/>
          <w:sz w:val="20"/>
          <w:szCs w:val="20"/>
          <w:lang w:val="en-US" w:eastAsia="fr-CA"/>
        </w:rPr>
        <w:t>O1—Zn1—O3</w:t>
      </w:r>
      <w:r w:rsidR="00081375" w:rsidRPr="00F25B40">
        <w:rPr>
          <w:rFonts w:ascii="Arial" w:eastAsia="Times New Roman" w:hAnsi="Arial" w:cs="Arial"/>
          <w:sz w:val="20"/>
          <w:szCs w:val="20"/>
          <w:vertAlign w:val="superscript"/>
          <w:lang w:val="en-US" w:eastAsia="fr-CA"/>
        </w:rPr>
        <w:t>i</w:t>
      </w:r>
      <w:r w:rsidR="00081375" w:rsidRPr="00F25B40">
        <w:rPr>
          <w:rFonts w:ascii="Arial" w:hAnsi="Arial" w:cs="Arial"/>
          <w:sz w:val="20"/>
          <w:szCs w:val="20"/>
          <w:lang w:val="en-US"/>
        </w:rPr>
        <w:t>], 102.67(5)° [</w:t>
      </w:r>
      <w:r w:rsidR="00081375" w:rsidRPr="00F25B40">
        <w:rPr>
          <w:rFonts w:ascii="Arial" w:eastAsia="Times New Roman" w:hAnsi="Arial" w:cs="Arial"/>
          <w:sz w:val="20"/>
          <w:szCs w:val="20"/>
          <w:lang w:val="en-US" w:eastAsia="fr-CA"/>
        </w:rPr>
        <w:t>O1—Zn1—N1</w:t>
      </w:r>
      <w:r w:rsidR="00081375" w:rsidRPr="00F25B40">
        <w:rPr>
          <w:rFonts w:ascii="Arial" w:hAnsi="Arial" w:cs="Arial"/>
          <w:sz w:val="20"/>
          <w:szCs w:val="20"/>
          <w:lang w:val="en-US"/>
        </w:rPr>
        <w:t>], 120.06(5)° [</w:t>
      </w:r>
      <w:r w:rsidR="00081375" w:rsidRPr="00F25B40">
        <w:rPr>
          <w:rFonts w:ascii="Arial" w:eastAsia="Times New Roman" w:hAnsi="Arial" w:cs="Arial"/>
          <w:sz w:val="20"/>
          <w:szCs w:val="20"/>
          <w:lang w:val="en-US" w:eastAsia="fr-CA"/>
        </w:rPr>
        <w:t>O1—Zn1—N3</w:t>
      </w:r>
      <w:r w:rsidR="00081375" w:rsidRPr="00F25B40">
        <w:rPr>
          <w:rFonts w:ascii="Arial" w:hAnsi="Arial" w:cs="Arial"/>
          <w:sz w:val="20"/>
          <w:szCs w:val="20"/>
          <w:lang w:val="en-US"/>
        </w:rPr>
        <w:t>], 104.21(5)° [</w:t>
      </w:r>
      <w:r w:rsidR="00081375" w:rsidRPr="00F25B40">
        <w:rPr>
          <w:rFonts w:ascii="Arial" w:eastAsia="Times New Roman" w:hAnsi="Arial" w:cs="Arial"/>
          <w:sz w:val="20"/>
          <w:szCs w:val="20"/>
          <w:lang w:val="en-US" w:eastAsia="fr-CA"/>
        </w:rPr>
        <w:t>O3</w:t>
      </w:r>
      <w:r w:rsidR="00081375" w:rsidRPr="00F25B40">
        <w:rPr>
          <w:rFonts w:ascii="Arial" w:eastAsia="Times New Roman" w:hAnsi="Arial" w:cs="Arial"/>
          <w:sz w:val="20"/>
          <w:szCs w:val="20"/>
          <w:vertAlign w:val="superscript"/>
          <w:lang w:val="en-US" w:eastAsia="fr-CA"/>
        </w:rPr>
        <w:t>i</w:t>
      </w:r>
      <w:r w:rsidR="00081375" w:rsidRPr="00F25B40">
        <w:rPr>
          <w:rFonts w:ascii="Arial" w:eastAsia="Times New Roman" w:hAnsi="Arial" w:cs="Arial"/>
          <w:sz w:val="20"/>
          <w:szCs w:val="20"/>
          <w:lang w:val="en-US" w:eastAsia="fr-CA"/>
        </w:rPr>
        <w:t>—Zn1—N1</w:t>
      </w:r>
      <w:r w:rsidR="00081375" w:rsidRPr="00F25B40">
        <w:rPr>
          <w:rFonts w:ascii="Arial" w:hAnsi="Arial" w:cs="Arial"/>
          <w:sz w:val="20"/>
          <w:szCs w:val="20"/>
          <w:lang w:val="en-US"/>
        </w:rPr>
        <w:t>], 108.12(5)° [</w:t>
      </w:r>
      <w:r w:rsidR="00081375" w:rsidRPr="00F25B40">
        <w:rPr>
          <w:rFonts w:ascii="Arial" w:eastAsia="Times New Roman" w:hAnsi="Arial" w:cs="Arial"/>
          <w:sz w:val="20"/>
          <w:szCs w:val="20"/>
          <w:lang w:val="en-US" w:eastAsia="fr-CA"/>
        </w:rPr>
        <w:t>O3</w:t>
      </w:r>
      <w:r w:rsidR="00081375" w:rsidRPr="00F25B40">
        <w:rPr>
          <w:rFonts w:ascii="Arial" w:eastAsia="Times New Roman" w:hAnsi="Arial" w:cs="Arial"/>
          <w:sz w:val="20"/>
          <w:szCs w:val="20"/>
          <w:vertAlign w:val="superscript"/>
          <w:lang w:val="en-US" w:eastAsia="fr-CA"/>
        </w:rPr>
        <w:t>i</w:t>
      </w:r>
      <w:r w:rsidR="00081375" w:rsidRPr="00F25B40">
        <w:rPr>
          <w:rFonts w:ascii="Arial" w:eastAsia="Times New Roman" w:hAnsi="Arial" w:cs="Arial"/>
          <w:sz w:val="20"/>
          <w:szCs w:val="20"/>
          <w:lang w:val="en-US" w:eastAsia="fr-CA"/>
        </w:rPr>
        <w:t>—Zn1—N3</w:t>
      </w:r>
      <w:r w:rsidR="00081375" w:rsidRPr="00F25B40">
        <w:rPr>
          <w:rFonts w:ascii="Arial" w:hAnsi="Arial" w:cs="Arial"/>
          <w:sz w:val="20"/>
          <w:szCs w:val="20"/>
          <w:lang w:val="en-US"/>
        </w:rPr>
        <w:t>]  , 112.27(6)° [</w:t>
      </w:r>
      <w:r w:rsidR="00081375" w:rsidRPr="00F25B40">
        <w:rPr>
          <w:rFonts w:ascii="Arial" w:eastAsia="Times New Roman" w:hAnsi="Arial" w:cs="Arial"/>
          <w:sz w:val="20"/>
          <w:szCs w:val="20"/>
          <w:lang w:val="en-US" w:eastAsia="fr-CA"/>
        </w:rPr>
        <w:t>N3—Zn1—N1</w:t>
      </w:r>
      <w:r w:rsidR="00081375" w:rsidRPr="00F25B40">
        <w:rPr>
          <w:rFonts w:ascii="Arial" w:hAnsi="Arial" w:cs="Arial"/>
          <w:sz w:val="20"/>
          <w:szCs w:val="20"/>
          <w:lang w:val="en-US"/>
        </w:rPr>
        <w:t xml:space="preserve">]  are severely deviated from the ideal value of 109.28° for a perfect tetrahedral geometry. The bond lengths of Zn1—O1 = 1.9446(11) </w:t>
      </w:r>
      <w:r w:rsidR="00081375" w:rsidRPr="00F25B40">
        <w:rPr>
          <w:rFonts w:ascii="Cambria Math" w:hAnsi="Cambria Math" w:cs="Cambria Math"/>
          <w:sz w:val="20"/>
          <w:szCs w:val="20"/>
          <w:lang w:val="en-US"/>
        </w:rPr>
        <w:t>Å</w:t>
      </w:r>
      <w:r w:rsidR="00081375" w:rsidRPr="00F25B40">
        <w:rPr>
          <w:rFonts w:ascii="Arial" w:hAnsi="Arial" w:cs="Arial"/>
          <w:sz w:val="20"/>
          <w:szCs w:val="20"/>
          <w:lang w:val="en-US"/>
        </w:rPr>
        <w:t>, Zn1—O3</w:t>
      </w:r>
      <w:r w:rsidR="00081375" w:rsidRPr="00F25B40">
        <w:rPr>
          <w:rFonts w:ascii="Arial" w:hAnsi="Arial" w:cs="Arial"/>
          <w:sz w:val="20"/>
          <w:szCs w:val="20"/>
          <w:vertAlign w:val="superscript"/>
          <w:lang w:val="en-US"/>
        </w:rPr>
        <w:t>i</w:t>
      </w:r>
      <w:r w:rsidR="00081375" w:rsidRPr="00F25B40">
        <w:rPr>
          <w:rFonts w:ascii="Arial" w:hAnsi="Arial" w:cs="Arial"/>
          <w:sz w:val="20"/>
          <w:szCs w:val="20"/>
          <w:lang w:val="en-US"/>
        </w:rPr>
        <w:t xml:space="preserve"> = </w:t>
      </w:r>
      <w:r w:rsidR="00081375" w:rsidRPr="00F25B40">
        <w:rPr>
          <w:rFonts w:ascii="Arial" w:eastAsia="Times New Roman" w:hAnsi="Arial" w:cs="Arial"/>
          <w:sz w:val="20"/>
          <w:szCs w:val="20"/>
          <w:lang w:val="en-US" w:eastAsia="fr-CA"/>
        </w:rPr>
        <w:t>1.9602 (11)</w:t>
      </w:r>
      <w:r w:rsidR="00081375" w:rsidRPr="00F25B40">
        <w:rPr>
          <w:rFonts w:ascii="Arial" w:hAnsi="Arial" w:cs="Arial"/>
          <w:sz w:val="20"/>
          <w:szCs w:val="20"/>
          <w:lang w:val="en-US"/>
        </w:rPr>
        <w:t xml:space="preserve"> </w:t>
      </w:r>
      <w:r w:rsidR="00081375" w:rsidRPr="00F25B40">
        <w:rPr>
          <w:rFonts w:ascii="Cambria Math" w:hAnsi="Cambria Math" w:cs="Cambria Math"/>
          <w:sz w:val="20"/>
          <w:szCs w:val="20"/>
          <w:lang w:val="en-US"/>
        </w:rPr>
        <w:t>Å</w:t>
      </w:r>
      <w:r w:rsidR="00081375" w:rsidRPr="00F25B40">
        <w:rPr>
          <w:rFonts w:ascii="Arial" w:hAnsi="Arial" w:cs="Arial"/>
          <w:sz w:val="20"/>
          <w:szCs w:val="20"/>
          <w:lang w:val="en-US"/>
        </w:rPr>
        <w:t xml:space="preserve"> are shorter than the values reported for similar complex [[Zn(</w:t>
      </w:r>
      <w:r w:rsidR="00081375" w:rsidRPr="00F25B40">
        <w:rPr>
          <w:rFonts w:ascii="Arial" w:hAnsi="Arial" w:cs="Arial"/>
          <w:i/>
          <w:iCs/>
          <w:sz w:val="20"/>
          <w:szCs w:val="20"/>
          <w:lang w:val="en-US"/>
        </w:rPr>
        <w:sym w:font="Symbol" w:char="F06D"/>
      </w:r>
      <w:r w:rsidR="00081375" w:rsidRPr="00F25B40">
        <w:rPr>
          <w:rFonts w:ascii="Arial" w:hAnsi="Arial" w:cs="Arial"/>
          <w:sz w:val="20"/>
          <w:szCs w:val="20"/>
          <w:lang w:val="en-US"/>
        </w:rPr>
        <w:t>-</w:t>
      </w:r>
      <w:proofErr w:type="spellStart"/>
      <w:r w:rsidR="00081375" w:rsidRPr="00F25B40">
        <w:rPr>
          <w:rFonts w:ascii="Arial" w:hAnsi="Arial" w:cs="Arial"/>
          <w:sz w:val="20"/>
          <w:szCs w:val="20"/>
          <w:lang w:val="en-US"/>
        </w:rPr>
        <w:t>suc</w:t>
      </w:r>
      <w:proofErr w:type="spellEnd"/>
      <w:r w:rsidR="00081375" w:rsidRPr="00F25B40">
        <w:rPr>
          <w:rFonts w:ascii="Arial" w:hAnsi="Arial" w:cs="Arial"/>
          <w:sz w:val="20"/>
          <w:szCs w:val="20"/>
          <w:lang w:val="en-US"/>
        </w:rPr>
        <w:t>)(H</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O)</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w:t>
      </w:r>
      <w:proofErr w:type="spellStart"/>
      <w:r w:rsidR="00081375" w:rsidRPr="00F25B40">
        <w:rPr>
          <w:rFonts w:ascii="Arial" w:hAnsi="Arial" w:cs="Arial"/>
          <w:sz w:val="20"/>
          <w:szCs w:val="20"/>
          <w:lang w:val="en-US"/>
        </w:rPr>
        <w:t>nia</w:t>
      </w:r>
      <w:proofErr w:type="spellEnd"/>
      <w:r w:rsidR="00081375" w:rsidRPr="00F25B40">
        <w:rPr>
          <w:rFonts w:ascii="Arial" w:hAnsi="Arial" w:cs="Arial"/>
          <w:sz w:val="20"/>
          <w:szCs w:val="20"/>
          <w:lang w:val="en-US"/>
        </w:rPr>
        <w:t>)</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w:t>
      </w:r>
      <w:r w:rsidR="00081375" w:rsidRPr="00F25B40">
        <w:rPr>
          <w:rFonts w:ascii="Arial" w:hAnsi="Arial" w:cs="Arial"/>
          <w:position w:val="6"/>
          <w:sz w:val="20"/>
          <w:szCs w:val="20"/>
          <w:lang w:val="en-US"/>
        </w:rPr>
        <w:t>.</w:t>
      </w:r>
      <w:r w:rsidR="00081375" w:rsidRPr="00F25B40">
        <w:rPr>
          <w:rFonts w:ascii="Arial" w:hAnsi="Arial" w:cs="Arial"/>
          <w:sz w:val="20"/>
          <w:szCs w:val="20"/>
          <w:lang w:val="en-US"/>
        </w:rPr>
        <w:t>2H</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O]</w:t>
      </w:r>
      <w:r w:rsidR="00081375" w:rsidRPr="00F25B40">
        <w:rPr>
          <w:rFonts w:ascii="Arial" w:hAnsi="Arial" w:cs="Arial"/>
          <w:sz w:val="20"/>
          <w:szCs w:val="20"/>
          <w:vertAlign w:val="subscript"/>
          <w:lang w:val="en-US"/>
        </w:rPr>
        <w:t>n</w:t>
      </w:r>
      <w:r w:rsidR="00081375" w:rsidRPr="00F25B40">
        <w:rPr>
          <w:rFonts w:ascii="Arial" w:hAnsi="Arial" w:cs="Arial"/>
          <w:sz w:val="20"/>
          <w:szCs w:val="20"/>
          <w:lang w:val="en-US"/>
        </w:rPr>
        <w:t xml:space="preserve"> (</w:t>
      </w:r>
      <w:proofErr w:type="spellStart"/>
      <w:r w:rsidR="00081375" w:rsidRPr="00F25B40">
        <w:rPr>
          <w:rFonts w:ascii="Arial" w:hAnsi="Arial" w:cs="Arial"/>
          <w:sz w:val="20"/>
          <w:szCs w:val="20"/>
          <w:lang w:val="en-US"/>
        </w:rPr>
        <w:t>suc</w:t>
      </w:r>
      <w:proofErr w:type="spellEnd"/>
      <w:r w:rsidR="00081375" w:rsidRPr="00F25B40">
        <w:rPr>
          <w:rFonts w:ascii="Arial" w:hAnsi="Arial" w:cs="Arial"/>
          <w:sz w:val="20"/>
          <w:szCs w:val="20"/>
          <w:lang w:val="en-US"/>
        </w:rPr>
        <w:t xml:space="preserve"> = succinate and </w:t>
      </w:r>
      <w:proofErr w:type="spellStart"/>
      <w:r w:rsidR="00081375" w:rsidRPr="00F25B40">
        <w:rPr>
          <w:rFonts w:ascii="Arial" w:hAnsi="Arial" w:cs="Arial"/>
          <w:sz w:val="20"/>
          <w:szCs w:val="20"/>
          <w:lang w:val="en-US"/>
        </w:rPr>
        <w:t>nia</w:t>
      </w:r>
      <w:proofErr w:type="spellEnd"/>
      <w:r w:rsidR="00081375" w:rsidRPr="00F25B40">
        <w:rPr>
          <w:rFonts w:ascii="Arial" w:hAnsi="Arial" w:cs="Arial"/>
          <w:sz w:val="20"/>
          <w:szCs w:val="20"/>
          <w:lang w:val="en-US"/>
        </w:rPr>
        <w:t xml:space="preserve"> = nicotinamide)</w:t>
      </w:r>
      <w:r>
        <w:rPr>
          <w:rFonts w:ascii="Arial" w:hAnsi="Arial" w:cs="Arial"/>
          <w:sz w:val="20"/>
          <w:szCs w:val="20"/>
          <w:lang w:val="en-US"/>
        </w:rPr>
        <w:t>”</w:t>
      </w:r>
      <w:r w:rsidR="00081375" w:rsidRPr="00F25B40">
        <w:rPr>
          <w:rFonts w:ascii="Arial" w:hAnsi="Arial" w:cs="Arial"/>
          <w:sz w:val="20"/>
          <w:szCs w:val="20"/>
          <w:lang w:val="en-US"/>
        </w:rPr>
        <w:t xml:space="preserve"> </w:t>
      </w:r>
      <w:r w:rsidR="00703E71"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{"citationID":"gdja7vmj","properties":{"formattedCitation":"(Demir et al., 2009)","plainCitation":"(Demir et al., 2009)","noteIndex":0},"citationItems":[{"id":3692,"uris":["http://zotero.org/users/local/JzcqJHT8/items/XUJ8GGPZ"],"itemData":{"id":3692,"type":"article-journal","abstract":"Cobalt(II) and zinc(II) succinato (suc) coordination polymers with nicotinamide (nia), {[Co(μ-suc)(H2O)2(nia)2] · 2H2O}n(1) and {[Zn(μ-suc)(H2O)2(nia)2] · 2H2O}n(2) have been synthesized and characterized by elemental analyses, magnetic moments, IR and TG-DTA. Single-crystal X-ray analyses of 1 and 2 reveal that these complexes are isostructural and crystallize in triclinic space group $$ P\\bar{1}.$$Complexes 1 and 2 are 1-D coordination polymers, in which the metal(II) ions exhibit an octahedral geometry with two suc, two nia and two aqua ligands. The nia ligand is N-bonded, while the suc ligand bridges the metal centers through the carboxylate groups. The 1D chains are further assembled to form 3D networks by strong N–H···O and OW–H···O hydrogen bonds. IR spectra confirm the coordination modes of both suc and nia ligands, while TG-DTA data are in agreement with the crystal structures. Fluorescent analysis in the solid state shows that all complexes display intraligand (π–π*) emissions of nia.","container-title":"Journal of Inorganic and Organometallic Polymers and Materials","DOI":"10.1007/s10904-009-9273-9","ISSN":"1574-1451","issue":"3","journalAbbreviation":"Journal of Inorganic and Organometallic Polymers and Materials","page":"342-347","title":"One-Dimensional Cobalt(II) and Zinc(II) Succinato Coordination Polymers with Nicotinamide: Synthesis, Structural, Spectroscopic, Fluorescent and Thermal Properties","volume":"19","author":[{"family":"Demir","given":"Selcuk"},{"family":"Yilmaz","given":"Veysel T."},{"family":"Yilmaz","given":"Fatih"},{"family":"Buyukgungor","given":"Orhan"}],"issued":{"date-parts":[["2009",9,1]]}}}],"schema":"https://github.com/citation-style-language/schema/raw/master/csl-citation.json"} </w:instrText>
      </w:r>
      <w:r w:rsidR="00703E71" w:rsidRPr="00F25B40">
        <w:rPr>
          <w:rFonts w:ascii="Arial" w:hAnsi="Arial" w:cs="Arial"/>
          <w:sz w:val="20"/>
          <w:szCs w:val="20"/>
          <w:lang w:val="en-US"/>
        </w:rPr>
        <w:fldChar w:fldCharType="separate"/>
      </w:r>
      <w:r w:rsidR="002E71C7" w:rsidRPr="00F25B40">
        <w:rPr>
          <w:rFonts w:ascii="Arial" w:hAnsi="Arial" w:cs="Arial"/>
          <w:sz w:val="20"/>
          <w:lang w:val="en-US"/>
        </w:rPr>
        <w:t>(Demir et al., 2009)</w:t>
      </w:r>
      <w:r w:rsidR="00703E71"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w:t>
      </w:r>
      <w:r>
        <w:rPr>
          <w:rFonts w:ascii="Arial" w:hAnsi="Arial" w:cs="Arial"/>
          <w:sz w:val="20"/>
          <w:szCs w:val="20"/>
          <w:lang w:val="en-US"/>
        </w:rPr>
        <w:t>“</w:t>
      </w:r>
      <w:r w:rsidR="00081375" w:rsidRPr="00F25B40">
        <w:rPr>
          <w:rFonts w:ascii="Arial" w:hAnsi="Arial" w:cs="Arial"/>
          <w:sz w:val="20"/>
          <w:szCs w:val="20"/>
          <w:lang w:val="en-US"/>
        </w:rPr>
        <w:t xml:space="preserve">The distances Zn1—N1 = </w:t>
      </w:r>
      <w:r w:rsidR="00081375" w:rsidRPr="00F25B40">
        <w:rPr>
          <w:rFonts w:ascii="Arial" w:eastAsia="Times New Roman" w:hAnsi="Arial" w:cs="Arial"/>
          <w:sz w:val="20"/>
          <w:szCs w:val="20"/>
          <w:lang w:val="en-US" w:eastAsia="fr-CA"/>
        </w:rPr>
        <w:t>2.0146(13)</w:t>
      </w:r>
      <w:r w:rsidR="00081375" w:rsidRPr="00F25B40">
        <w:rPr>
          <w:rFonts w:ascii="Arial" w:hAnsi="Arial" w:cs="Arial"/>
          <w:sz w:val="20"/>
          <w:szCs w:val="20"/>
          <w:lang w:val="en-US"/>
        </w:rPr>
        <w:t xml:space="preserve"> </w:t>
      </w:r>
      <w:r w:rsidR="00081375" w:rsidRPr="00F25B40">
        <w:rPr>
          <w:rFonts w:ascii="Cambria Math" w:hAnsi="Cambria Math" w:cs="Cambria Math"/>
          <w:sz w:val="20"/>
          <w:szCs w:val="20"/>
          <w:lang w:val="en-US"/>
        </w:rPr>
        <w:t>Å</w:t>
      </w:r>
      <w:r w:rsidR="00081375" w:rsidRPr="00F25B40">
        <w:rPr>
          <w:rFonts w:ascii="Arial" w:hAnsi="Arial" w:cs="Arial"/>
          <w:sz w:val="20"/>
          <w:szCs w:val="20"/>
          <w:lang w:val="en-US"/>
        </w:rPr>
        <w:t xml:space="preserve"> and Zn1—N3 = </w:t>
      </w:r>
      <w:r w:rsidR="00081375" w:rsidRPr="00F25B40">
        <w:rPr>
          <w:rFonts w:ascii="Arial" w:eastAsia="Times New Roman" w:hAnsi="Arial" w:cs="Arial"/>
          <w:sz w:val="20"/>
          <w:szCs w:val="20"/>
          <w:lang w:val="en-US" w:eastAsia="fr-CA"/>
        </w:rPr>
        <w:t xml:space="preserve">1.9990(14) </w:t>
      </w:r>
      <w:r w:rsidR="00081375" w:rsidRPr="00F25B40">
        <w:rPr>
          <w:rFonts w:ascii="Cambria Math" w:hAnsi="Cambria Math" w:cs="Cambria Math"/>
          <w:sz w:val="20"/>
          <w:szCs w:val="20"/>
          <w:lang w:val="en-US"/>
        </w:rPr>
        <w:t>Å</w:t>
      </w:r>
      <w:r w:rsidR="00081375" w:rsidRPr="00F25B40">
        <w:rPr>
          <w:rFonts w:ascii="Arial" w:hAnsi="Arial" w:cs="Arial"/>
          <w:sz w:val="20"/>
          <w:szCs w:val="20"/>
          <w:lang w:val="en-US"/>
        </w:rPr>
        <w:t xml:space="preserve"> are comparable to values reported for the complex [Zn(</w:t>
      </w:r>
      <w:proofErr w:type="spellStart"/>
      <w:r w:rsidR="00081375" w:rsidRPr="00F25B40">
        <w:rPr>
          <w:rFonts w:ascii="Arial" w:hAnsi="Arial" w:cs="Arial"/>
          <w:sz w:val="20"/>
          <w:szCs w:val="20"/>
          <w:lang w:val="en-US"/>
        </w:rPr>
        <w:t>im</w:t>
      </w:r>
      <w:proofErr w:type="spellEnd"/>
      <w:r w:rsidR="00081375" w:rsidRPr="00F25B40">
        <w:rPr>
          <w:rFonts w:ascii="Arial" w:hAnsi="Arial" w:cs="Arial"/>
          <w:sz w:val="20"/>
          <w:szCs w:val="20"/>
          <w:lang w:val="en-US"/>
        </w:rPr>
        <w:t>)</w:t>
      </w:r>
      <w:r w:rsidR="00081375" w:rsidRPr="00F25B40">
        <w:rPr>
          <w:rFonts w:ascii="Arial" w:hAnsi="Arial" w:cs="Arial"/>
          <w:sz w:val="20"/>
          <w:szCs w:val="20"/>
          <w:vertAlign w:val="subscript"/>
          <w:lang w:val="en-US"/>
        </w:rPr>
        <w:t>2</w:t>
      </w:r>
      <w:r w:rsidR="00081375" w:rsidRPr="00F25B40">
        <w:rPr>
          <w:rFonts w:ascii="Arial" w:hAnsi="Arial" w:cs="Arial"/>
          <w:sz w:val="20"/>
          <w:szCs w:val="20"/>
          <w:lang w:val="en-US"/>
        </w:rPr>
        <w:t>(</w:t>
      </w:r>
      <w:proofErr w:type="spellStart"/>
      <w:r w:rsidR="00081375" w:rsidRPr="00F25B40">
        <w:rPr>
          <w:rFonts w:ascii="Arial" w:hAnsi="Arial" w:cs="Arial"/>
          <w:sz w:val="20"/>
          <w:szCs w:val="20"/>
          <w:lang w:val="en-US"/>
        </w:rPr>
        <w:t>suc</w:t>
      </w:r>
      <w:proofErr w:type="spellEnd"/>
      <w:r w:rsidR="00081375" w:rsidRPr="00F25B40">
        <w:rPr>
          <w:rFonts w:ascii="Arial" w:hAnsi="Arial" w:cs="Arial"/>
          <w:sz w:val="20"/>
          <w:szCs w:val="20"/>
          <w:lang w:val="en-US"/>
        </w:rPr>
        <w:t>)]</w:t>
      </w:r>
      <w:r w:rsidR="00081375" w:rsidRPr="00F25B40">
        <w:rPr>
          <w:rFonts w:ascii="Arial" w:hAnsi="Arial" w:cs="Arial"/>
          <w:sz w:val="20"/>
          <w:szCs w:val="20"/>
          <w:vertAlign w:val="subscript"/>
          <w:lang w:val="en-US"/>
        </w:rPr>
        <w:t>n</w:t>
      </w:r>
      <w:r w:rsidR="00081375" w:rsidRPr="00F25B40">
        <w:rPr>
          <w:rFonts w:ascii="Arial" w:hAnsi="Arial" w:cs="Arial"/>
          <w:sz w:val="20"/>
          <w:szCs w:val="20"/>
          <w:lang w:val="en-US"/>
        </w:rPr>
        <w:t xml:space="preserve"> (</w:t>
      </w:r>
      <w:proofErr w:type="spellStart"/>
      <w:r w:rsidR="00081375" w:rsidRPr="00F25B40">
        <w:rPr>
          <w:rFonts w:ascii="Arial" w:hAnsi="Arial" w:cs="Arial"/>
          <w:sz w:val="20"/>
          <w:szCs w:val="20"/>
          <w:lang w:val="en-US"/>
        </w:rPr>
        <w:t>suc</w:t>
      </w:r>
      <w:proofErr w:type="spellEnd"/>
      <w:r w:rsidR="00081375" w:rsidRPr="00F25B40">
        <w:rPr>
          <w:rFonts w:ascii="Arial" w:hAnsi="Arial" w:cs="Arial"/>
          <w:sz w:val="20"/>
          <w:szCs w:val="20"/>
          <w:lang w:val="en-US"/>
        </w:rPr>
        <w:t xml:space="preserve"> = succinate and </w:t>
      </w:r>
      <w:proofErr w:type="spellStart"/>
      <w:r w:rsidR="00081375" w:rsidRPr="00F25B40">
        <w:rPr>
          <w:rFonts w:ascii="Arial" w:hAnsi="Arial" w:cs="Arial"/>
          <w:sz w:val="20"/>
          <w:szCs w:val="20"/>
          <w:lang w:val="en-US"/>
        </w:rPr>
        <w:t>im</w:t>
      </w:r>
      <w:proofErr w:type="spellEnd"/>
      <w:r w:rsidR="00081375" w:rsidRPr="00F25B40">
        <w:rPr>
          <w:rFonts w:ascii="Arial" w:hAnsi="Arial" w:cs="Arial"/>
          <w:sz w:val="20"/>
          <w:szCs w:val="20"/>
          <w:lang w:val="en-US"/>
        </w:rPr>
        <w:t xml:space="preserve"> = imidazole</w:t>
      </w:r>
      <w:r>
        <w:rPr>
          <w:rFonts w:ascii="Arial" w:hAnsi="Arial" w:cs="Arial"/>
          <w:sz w:val="20"/>
          <w:szCs w:val="20"/>
          <w:lang w:val="en-US"/>
        </w:rPr>
        <w:t>”</w:t>
      </w:r>
      <w:r w:rsidR="00081375" w:rsidRPr="00F25B40">
        <w:rPr>
          <w:rFonts w:ascii="Arial" w:hAnsi="Arial" w:cs="Arial"/>
          <w:sz w:val="20"/>
          <w:szCs w:val="20"/>
          <w:lang w:val="en-US"/>
        </w:rPr>
        <w:t xml:space="preserve"> </w:t>
      </w:r>
      <w:r w:rsidR="00095260"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{"citationID":"noVDmKi7","properties":{"formattedCitation":"(Demir et al., 2012)","plainCitation":"(Demir et al., 2012)","noteIndex":0},"citationItems":[{"id":3693,"uris":["http://zotero.org/users/local/JzcqJHT8/items/INDU9ZYX"],"itemData":{"id":3693,"type":"article-journal","abstract":"The complexes [Co(C4H4O4)]n (1) and [Zn(im)2(C4H4O4)]n(2) (C4H4O4 = succinate dianion, suc; im = imidazole) have been synthesized solvothermally and characterized by elemental analysis, IR, TG–DTA, and single-crystal X-ray diffraction techniques. Complex 1 is the first anhydrous member of the cobalt succinate family and has high thermal stability under a static air atmosphere, up to 425 °C, and complex 2 is a 1D coordination polymer. In addition, a new synthesis method and some properties of the known [Co(HCOO)2·2H2O]n (3) complex are reported. After in situ synthesis of 3 via decomposition of DMF at 140 °C, it was found that complex 3 can adsorb some solvents repeatedly and is selective for H2O.","container-title":"Transition Metal Chemistry","DOI":"10.1007/s11243-012-9581-8","ISSN":"1572-901X","issue":"3","journalAbbreviation":"Transition Metal Chemistry","page":"257-263","title":"Solvothermal synthesis and characterization of coordination polymers of cobalt(II) and zinc(II) with succinic acid","volume":"37","author":[{"family":"Demir","given":"Selçuk"},{"family":"Kantar","given":"Günay Kaya"},{"family":"Topcu","given":"Yıldıray"},{"family":"Li","given":"Qiaowei"}],"issued":{"date-parts":[["2012",4,1]]}}}],"schema":"https://github.com/citation-style-language/schema/raw/master/csl-citation.json"} </w:instrText>
      </w:r>
      <w:r w:rsidR="00095260" w:rsidRPr="00F25B40">
        <w:rPr>
          <w:rFonts w:ascii="Arial" w:hAnsi="Arial" w:cs="Arial"/>
          <w:sz w:val="20"/>
          <w:szCs w:val="20"/>
          <w:lang w:val="en-US"/>
        </w:rPr>
        <w:fldChar w:fldCharType="separate"/>
      </w:r>
      <w:r w:rsidR="002E71C7" w:rsidRPr="00F25B40">
        <w:rPr>
          <w:rFonts w:ascii="Arial" w:hAnsi="Arial" w:cs="Arial"/>
          <w:sz w:val="20"/>
          <w:lang w:val="en-US"/>
        </w:rPr>
        <w:t>(Demir et al., 2012)</w:t>
      </w:r>
      <w:r w:rsidR="00095260" w:rsidRPr="00F25B40">
        <w:rPr>
          <w:rFonts w:ascii="Arial" w:hAnsi="Arial" w:cs="Arial"/>
          <w:sz w:val="20"/>
          <w:szCs w:val="20"/>
          <w:lang w:val="en-US"/>
        </w:rPr>
        <w:fldChar w:fldCharType="end"/>
      </w:r>
      <w:r w:rsidR="00081375" w:rsidRPr="00F25B40">
        <w:rPr>
          <w:rFonts w:ascii="Arial" w:hAnsi="Arial" w:cs="Arial"/>
          <w:sz w:val="20"/>
          <w:szCs w:val="20"/>
          <w:lang w:val="en-US"/>
        </w:rPr>
        <w:t xml:space="preserve">. The two imidazole rings in the complex are twisted with dihedral angle of 71.57(8)°. The crystal structure of </w:t>
      </w:r>
      <w:r w:rsidR="00081375" w:rsidRPr="00F25B40">
        <w:rPr>
          <w:rFonts w:ascii="Arial" w:hAnsi="Arial" w:cs="Arial"/>
          <w:b/>
          <w:bCs/>
          <w:sz w:val="20"/>
          <w:szCs w:val="20"/>
          <w:lang w:val="en-US"/>
        </w:rPr>
        <w:t>2</w:t>
      </w:r>
      <w:r w:rsidR="00081375" w:rsidRPr="00F25B40">
        <w:rPr>
          <w:rFonts w:ascii="Arial" w:hAnsi="Arial" w:cs="Arial"/>
          <w:sz w:val="20"/>
          <w:szCs w:val="20"/>
          <w:lang w:val="en-US"/>
        </w:rPr>
        <w:t xml:space="preserve"> is determined by a coordination synthon in which each succinate ligand is coordinated to two metal centers, giving rise to infinite one-dimensional polymer chains along the </w:t>
      </w:r>
      <w:r w:rsidR="00081375" w:rsidRPr="00F25B40">
        <w:rPr>
          <w:rFonts w:ascii="Arial" w:hAnsi="Arial" w:cs="Arial"/>
          <w:i/>
          <w:iCs/>
          <w:sz w:val="20"/>
          <w:szCs w:val="20"/>
          <w:lang w:val="en-US"/>
        </w:rPr>
        <w:t>b</w:t>
      </w:r>
      <w:r w:rsidR="00081375" w:rsidRPr="00F25B40">
        <w:rPr>
          <w:rFonts w:ascii="Arial" w:hAnsi="Arial" w:cs="Arial"/>
          <w:sz w:val="20"/>
          <w:szCs w:val="20"/>
          <w:lang w:val="en-US"/>
        </w:rPr>
        <w:t xml:space="preserve"> axis </w:t>
      </w:r>
      <w:r w:rsidR="00081375" w:rsidRPr="00A74A23">
        <w:rPr>
          <w:rFonts w:ascii="Arial" w:hAnsi="Arial" w:cs="Arial"/>
          <w:sz w:val="20"/>
          <w:szCs w:val="20"/>
          <w:lang w:val="en-US"/>
        </w:rPr>
        <w:t>(Fig</w:t>
      </w:r>
      <w:r w:rsidR="004A3421" w:rsidRPr="00A74A23">
        <w:rPr>
          <w:rFonts w:ascii="Arial" w:hAnsi="Arial" w:cs="Arial"/>
          <w:sz w:val="20"/>
          <w:szCs w:val="20"/>
          <w:lang w:val="en-US"/>
        </w:rPr>
        <w:t>ure</w:t>
      </w:r>
      <w:r w:rsidR="00081375" w:rsidRPr="00A74A23">
        <w:rPr>
          <w:rFonts w:ascii="Arial" w:hAnsi="Arial" w:cs="Arial"/>
          <w:sz w:val="20"/>
          <w:szCs w:val="20"/>
          <w:lang w:val="en-US"/>
        </w:rPr>
        <w:t xml:space="preserve"> 5). Adjacent chains are linked together by numerous intermolecular hydrogen bonds C</w:t>
      </w:r>
      <w:r w:rsidR="00081375" w:rsidRPr="00A74A23">
        <w:rPr>
          <w:rFonts w:ascii="Arial" w:eastAsia="Times New Roman" w:hAnsi="Arial" w:cs="Arial"/>
          <w:sz w:val="20"/>
          <w:szCs w:val="20"/>
          <w:lang w:val="en-US" w:eastAsia="fr-CA"/>
        </w:rPr>
        <w:t>—</w:t>
      </w:r>
      <w:r w:rsidR="00081375" w:rsidRPr="00A74A23">
        <w:rPr>
          <w:rFonts w:ascii="Arial" w:hAnsi="Arial" w:cs="Arial"/>
          <w:sz w:val="20"/>
          <w:szCs w:val="20"/>
          <w:lang w:val="en-US"/>
        </w:rPr>
        <w:t xml:space="preserve">H···O (Table </w:t>
      </w:r>
      <w:r w:rsidR="00933686" w:rsidRPr="00A74A23">
        <w:rPr>
          <w:rFonts w:ascii="Arial" w:hAnsi="Arial" w:cs="Arial"/>
          <w:sz w:val="20"/>
          <w:szCs w:val="20"/>
          <w:lang w:val="en-US"/>
        </w:rPr>
        <w:t>6</w:t>
      </w:r>
      <w:r w:rsidR="00081375" w:rsidRPr="00A74A23">
        <w:rPr>
          <w:rFonts w:ascii="Arial" w:hAnsi="Arial" w:cs="Arial"/>
          <w:sz w:val="20"/>
          <w:szCs w:val="20"/>
          <w:lang w:val="en-US"/>
        </w:rPr>
        <w:t>), leading to a 3D network structure (Fig</w:t>
      </w:r>
      <w:r w:rsidR="004A3421" w:rsidRPr="00A74A23">
        <w:rPr>
          <w:rFonts w:ascii="Arial" w:hAnsi="Arial" w:cs="Arial"/>
          <w:sz w:val="20"/>
          <w:szCs w:val="20"/>
          <w:lang w:val="en-US"/>
        </w:rPr>
        <w:t>ure</w:t>
      </w:r>
      <w:r w:rsidR="00081375" w:rsidRPr="00A74A23">
        <w:rPr>
          <w:rFonts w:ascii="Arial" w:hAnsi="Arial" w:cs="Arial"/>
          <w:sz w:val="20"/>
          <w:szCs w:val="20"/>
          <w:lang w:val="en-US"/>
        </w:rPr>
        <w:t xml:space="preserve"> 6).</w:t>
      </w:r>
    </w:p>
    <w:p w14:paraId="10904444" w14:textId="1631DFD8" w:rsidR="00454450" w:rsidRPr="00F25B40" w:rsidRDefault="00454450"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lastRenderedPageBreak/>
        <w:drawing>
          <wp:inline distT="0" distB="0" distL="0" distR="0" wp14:anchorId="126527C1" wp14:editId="5A19D46F">
            <wp:extent cx="3350409" cy="2376000"/>
            <wp:effectExtent l="0" t="0" r="2540" b="5715"/>
            <wp:docPr id="806422149" name="Image 3"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2149" name="Image 3" descr="Une image contenant carte&#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l="25833" t="2426" r="39841" b="56306"/>
                    <a:stretch>
                      <a:fillRect/>
                    </a:stretch>
                  </pic:blipFill>
                  <pic:spPr bwMode="auto">
                    <a:xfrm>
                      <a:off x="0" y="0"/>
                      <a:ext cx="3350409" cy="2376000"/>
                    </a:xfrm>
                    <a:prstGeom prst="rect">
                      <a:avLst/>
                    </a:prstGeom>
                    <a:ln>
                      <a:noFill/>
                    </a:ln>
                    <a:extLst>
                      <a:ext uri="{53640926-AAD7-44D8-BBD7-CCE9431645EC}">
                        <a14:shadowObscured xmlns:a14="http://schemas.microsoft.com/office/drawing/2010/main"/>
                      </a:ext>
                    </a:extLst>
                  </pic:spPr>
                </pic:pic>
              </a:graphicData>
            </a:graphic>
          </wp:inline>
        </w:drawing>
      </w:r>
    </w:p>
    <w:p w14:paraId="5F048B0E" w14:textId="644D9D16" w:rsidR="00593E88" w:rsidRPr="00A74A23" w:rsidRDefault="00593E88"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4. An ORTEP view of the repeat unit of the coordination polymer 2, showing the atom-numbering scheme. Displacement ellipsoids are drawn at the 50% probability level. Symmetry codes: </w:t>
      </w:r>
      <w:r w:rsidRPr="00A74A23">
        <w:rPr>
          <w:rFonts w:ascii="Arial" w:hAnsi="Arial" w:cs="Arial"/>
          <w:b/>
          <w:bCs/>
          <w:sz w:val="20"/>
          <w:szCs w:val="20"/>
          <w:lang w:val="en-US"/>
        </w:rPr>
        <w:t>(</w:t>
      </w:r>
      <w:proofErr w:type="spellStart"/>
      <w:r w:rsidRPr="00A74A23">
        <w:rPr>
          <w:rFonts w:ascii="Arial" w:hAnsi="Arial" w:cs="Arial"/>
          <w:b/>
          <w:bCs/>
          <w:sz w:val="20"/>
          <w:szCs w:val="20"/>
          <w:lang w:val="en-US"/>
        </w:rPr>
        <w:t>i</w:t>
      </w:r>
      <w:proofErr w:type="spellEnd"/>
      <w:r w:rsidRPr="00A74A23">
        <w:rPr>
          <w:rFonts w:ascii="Arial" w:hAnsi="Arial" w:cs="Arial"/>
          <w:b/>
          <w:bCs/>
          <w:sz w:val="20"/>
          <w:szCs w:val="20"/>
          <w:lang w:val="en-US"/>
        </w:rPr>
        <w:t>) y−1/2, x+1, y, z.</w:t>
      </w:r>
    </w:p>
    <w:p w14:paraId="3B4C55E9" w14:textId="68412C35" w:rsidR="00534468" w:rsidRPr="00F25B40" w:rsidRDefault="00534468" w:rsidP="006A2B69">
      <w:pPr>
        <w:spacing w:line="240" w:lineRule="auto"/>
        <w:jc w:val="center"/>
        <w:rPr>
          <w:rFonts w:ascii="Arial" w:eastAsia="Times New Roman" w:hAnsi="Arial" w:cs="Arial"/>
          <w:b/>
          <w:bCs/>
          <w:iCs/>
          <w:color w:val="000000"/>
          <w:sz w:val="20"/>
          <w:szCs w:val="20"/>
          <w:lang w:val="en-US" w:eastAsia="fr-CA"/>
        </w:rPr>
      </w:pPr>
      <w:r w:rsidRPr="00F25B40">
        <w:rPr>
          <w:rFonts w:ascii="Arial" w:eastAsia="Times New Roman" w:hAnsi="Arial" w:cs="Arial"/>
          <w:b/>
          <w:bCs/>
          <w:iCs/>
          <w:noProof/>
          <w:color w:val="000000"/>
          <w:sz w:val="20"/>
          <w:szCs w:val="20"/>
          <w:lang w:val="fr-FR" w:eastAsia="fr-FR"/>
        </w:rPr>
        <w:drawing>
          <wp:inline distT="0" distB="0" distL="0" distR="0" wp14:anchorId="2749D794" wp14:editId="38895021">
            <wp:extent cx="2221901" cy="2376000"/>
            <wp:effectExtent l="0" t="0" r="6985" b="5715"/>
            <wp:docPr id="1034964555" name="Image 3" descr="Une image contenant croquis,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64555" name="Image 3" descr="Une image contenant croquis, dessin&#10;&#10;Le contenu généré par l’IA peut être incorrect."/>
                    <pic:cNvPicPr/>
                  </pic:nvPicPr>
                  <pic:blipFill rotWithShape="1">
                    <a:blip r:embed="rId20" cstate="print">
                      <a:extLst>
                        <a:ext uri="{28A0092B-C50C-407E-A947-70E740481C1C}">
                          <a14:useLocalDpi xmlns:a14="http://schemas.microsoft.com/office/drawing/2010/main" val="0"/>
                        </a:ext>
                      </a:extLst>
                    </a:blip>
                    <a:srcRect l="8411" t="1379" r="66792" b="53699"/>
                    <a:stretch>
                      <a:fillRect/>
                    </a:stretch>
                  </pic:blipFill>
                  <pic:spPr bwMode="auto">
                    <a:xfrm>
                      <a:off x="0" y="0"/>
                      <a:ext cx="2221901" cy="2376000"/>
                    </a:xfrm>
                    <a:prstGeom prst="rect">
                      <a:avLst/>
                    </a:prstGeom>
                    <a:ln>
                      <a:noFill/>
                    </a:ln>
                    <a:extLst>
                      <a:ext uri="{53640926-AAD7-44D8-BBD7-CCE9431645EC}">
                        <a14:shadowObscured xmlns:a14="http://schemas.microsoft.com/office/drawing/2010/main"/>
                      </a:ext>
                    </a:extLst>
                  </pic:spPr>
                </pic:pic>
              </a:graphicData>
            </a:graphic>
          </wp:inline>
        </w:drawing>
      </w:r>
    </w:p>
    <w:p w14:paraId="66F1E48B" w14:textId="1D7030B8" w:rsidR="00F83A4E" w:rsidRPr="00A74A23" w:rsidRDefault="00F83A4E"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w:t>
      </w:r>
      <w:r w:rsidR="00933686" w:rsidRPr="00A74A23">
        <w:rPr>
          <w:rFonts w:ascii="Arial" w:eastAsia="Times New Roman" w:hAnsi="Arial" w:cs="Arial"/>
          <w:b/>
          <w:bCs/>
          <w:sz w:val="20"/>
          <w:szCs w:val="20"/>
          <w:lang w:val="en-US" w:eastAsia="fr-CA"/>
        </w:rPr>
        <w:t>5</w:t>
      </w:r>
      <w:r w:rsidRPr="00A74A23">
        <w:rPr>
          <w:rFonts w:ascii="Arial" w:eastAsia="Times New Roman" w:hAnsi="Arial" w:cs="Arial"/>
          <w:b/>
          <w:bCs/>
          <w:sz w:val="20"/>
          <w:szCs w:val="20"/>
          <w:lang w:val="en-US" w:eastAsia="fr-CA"/>
        </w:rPr>
        <w:t xml:space="preserve">. The polymer expansion of complex 2, showing an infinite chain propagating along the </w:t>
      </w:r>
      <w:r w:rsidRPr="00A74A23">
        <w:rPr>
          <w:rFonts w:ascii="Arial" w:eastAsia="Times New Roman" w:hAnsi="Arial" w:cs="Arial"/>
          <w:b/>
          <w:bCs/>
          <w:i/>
          <w:iCs/>
          <w:sz w:val="20"/>
          <w:szCs w:val="20"/>
          <w:lang w:val="en-US" w:eastAsia="fr-CA"/>
        </w:rPr>
        <w:t>b</w:t>
      </w:r>
      <w:r w:rsidRPr="00A74A23">
        <w:rPr>
          <w:rFonts w:ascii="Arial" w:eastAsia="Times New Roman" w:hAnsi="Arial" w:cs="Arial"/>
          <w:b/>
          <w:bCs/>
          <w:sz w:val="20"/>
          <w:szCs w:val="20"/>
          <w:lang w:val="en-US" w:eastAsia="fr-CA"/>
        </w:rPr>
        <w:t>-axis direction.</w:t>
      </w:r>
    </w:p>
    <w:p w14:paraId="68D99B95" w14:textId="515B69C2" w:rsidR="00F83A4E" w:rsidRPr="00F25B40" w:rsidRDefault="000B5DC3"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drawing>
          <wp:inline distT="0" distB="0" distL="0" distR="0" wp14:anchorId="3AF50E8B" wp14:editId="0356EB30">
            <wp:extent cx="2682537" cy="2376000"/>
            <wp:effectExtent l="0" t="0" r="3810" b="5715"/>
            <wp:docPr id="2016694120" name="Image 5" descr="Une image contenant diagramme, ligne, dessi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94120" name="Image 5" descr="Une image contenant diagramme, ligne, dessin, carte&#10;&#10;Le contenu généré par l’IA peut être incorrect."/>
                    <pic:cNvPicPr/>
                  </pic:nvPicPr>
                  <pic:blipFill rotWithShape="1">
                    <a:blip r:embed="rId21" cstate="print">
                      <a:extLst>
                        <a:ext uri="{28A0092B-C50C-407E-A947-70E740481C1C}">
                          <a14:useLocalDpi xmlns:a14="http://schemas.microsoft.com/office/drawing/2010/main" val="0"/>
                        </a:ext>
                      </a:extLst>
                    </a:blip>
                    <a:srcRect l="3121" t="3339" r="3063" b="3720"/>
                    <a:stretch>
                      <a:fillRect/>
                    </a:stretch>
                  </pic:blipFill>
                  <pic:spPr bwMode="auto">
                    <a:xfrm>
                      <a:off x="0" y="0"/>
                      <a:ext cx="2682537" cy="2376000"/>
                    </a:xfrm>
                    <a:prstGeom prst="rect">
                      <a:avLst/>
                    </a:prstGeom>
                    <a:ln>
                      <a:noFill/>
                    </a:ln>
                    <a:extLst>
                      <a:ext uri="{53640926-AAD7-44D8-BBD7-CCE9431645EC}">
                        <a14:shadowObscured xmlns:a14="http://schemas.microsoft.com/office/drawing/2010/main"/>
                      </a:ext>
                    </a:extLst>
                  </pic:spPr>
                </pic:pic>
              </a:graphicData>
            </a:graphic>
          </wp:inline>
        </w:drawing>
      </w:r>
    </w:p>
    <w:p w14:paraId="7F32A354" w14:textId="35228843" w:rsidR="00F83A4E" w:rsidRPr="00A74A23" w:rsidRDefault="00F83A4E" w:rsidP="00A57067">
      <w:pPr>
        <w:spacing w:line="240" w:lineRule="auto"/>
        <w:jc w:val="both"/>
        <w:rPr>
          <w:rFonts w:ascii="Arial" w:eastAsia="Times New Roman" w:hAnsi="Arial" w:cs="Arial"/>
          <w:b/>
          <w:bCs/>
          <w:color w:val="000000" w:themeColor="text1"/>
          <w:sz w:val="20"/>
          <w:szCs w:val="20"/>
          <w:lang w:val="en-US" w:eastAsia="fr-CA"/>
        </w:rPr>
      </w:pPr>
      <w:r w:rsidRPr="00A74A23">
        <w:rPr>
          <w:rFonts w:ascii="Arial" w:eastAsia="Times New Roman" w:hAnsi="Arial" w:cs="Arial"/>
          <w:b/>
          <w:bCs/>
          <w:sz w:val="20"/>
          <w:szCs w:val="20"/>
          <w:lang w:val="en-US" w:eastAsia="fr-CA"/>
        </w:rPr>
        <w:t xml:space="preserve">Figure </w:t>
      </w:r>
      <w:r w:rsidR="00933686" w:rsidRPr="00A74A23">
        <w:rPr>
          <w:rFonts w:ascii="Arial" w:eastAsia="Times New Roman" w:hAnsi="Arial" w:cs="Arial"/>
          <w:b/>
          <w:bCs/>
          <w:sz w:val="20"/>
          <w:szCs w:val="20"/>
          <w:lang w:val="en-US" w:eastAsia="fr-CA"/>
        </w:rPr>
        <w:t>6</w:t>
      </w:r>
      <w:r w:rsidRPr="00A74A23">
        <w:rPr>
          <w:rFonts w:ascii="Arial" w:eastAsia="Times New Roman" w:hAnsi="Arial" w:cs="Arial"/>
          <w:b/>
          <w:bCs/>
          <w:sz w:val="20"/>
          <w:szCs w:val="20"/>
          <w:lang w:val="en-US" w:eastAsia="fr-CA"/>
        </w:rPr>
        <w:t>. A view of the crystal packing of complex 2</w:t>
      </w:r>
      <w:r w:rsidRPr="00A74A23">
        <w:rPr>
          <w:rFonts w:ascii="Arial" w:eastAsia="Times New Roman" w:hAnsi="Arial" w:cs="Arial"/>
          <w:b/>
          <w:bCs/>
          <w:color w:val="000000" w:themeColor="text1"/>
          <w:sz w:val="20"/>
          <w:szCs w:val="20"/>
          <w:lang w:val="en-US" w:eastAsia="fr-CA"/>
        </w:rPr>
        <w:t>.</w:t>
      </w:r>
      <w:r w:rsidR="007B1323" w:rsidRPr="00A74A23">
        <w:rPr>
          <w:rFonts w:ascii="Arial" w:eastAsia="Times New Roman" w:hAnsi="Arial" w:cs="Arial"/>
          <w:b/>
          <w:bCs/>
          <w:color w:val="000000" w:themeColor="text1"/>
          <w:sz w:val="20"/>
          <w:szCs w:val="20"/>
          <w:lang w:val="en-US" w:eastAsia="fr-CA"/>
        </w:rPr>
        <w:t xml:space="preserve"> Hydrogen bonds are drawn as dashed lines.</w:t>
      </w:r>
    </w:p>
    <w:p w14:paraId="63B6629C" w14:textId="77777777" w:rsidR="00F83A4E" w:rsidRPr="00F25B40" w:rsidRDefault="00F83A4E" w:rsidP="00A57067">
      <w:pPr>
        <w:spacing w:line="240" w:lineRule="auto"/>
        <w:jc w:val="both"/>
        <w:rPr>
          <w:rFonts w:ascii="Arial" w:eastAsia="Times New Roman" w:hAnsi="Arial" w:cs="Arial"/>
          <w:b/>
          <w:bCs/>
          <w:iCs/>
          <w:color w:val="000000"/>
          <w:sz w:val="20"/>
          <w:szCs w:val="20"/>
          <w:lang w:val="en-US" w:eastAsia="fr-CA"/>
        </w:rPr>
      </w:pPr>
    </w:p>
    <w:p w14:paraId="57D9DBC9" w14:textId="361B98F0" w:rsidR="00516148" w:rsidRPr="00EB50C7" w:rsidRDefault="00516148" w:rsidP="00A57067">
      <w:pPr>
        <w:spacing w:after="120" w:line="240" w:lineRule="auto"/>
        <w:jc w:val="both"/>
        <w:rPr>
          <w:rFonts w:ascii="Arial" w:hAnsi="Arial" w:cs="Arial"/>
          <w:b/>
          <w:bCs/>
          <w:sz w:val="20"/>
          <w:szCs w:val="20"/>
          <w:lang w:val="en-US"/>
        </w:rPr>
      </w:pPr>
      <w:r w:rsidRPr="00EB50C7">
        <w:rPr>
          <w:rFonts w:ascii="Arial" w:eastAsia="Times New Roman" w:hAnsi="Arial" w:cs="Arial"/>
          <w:b/>
          <w:bCs/>
          <w:sz w:val="20"/>
          <w:szCs w:val="20"/>
          <w:lang w:val="en-US" w:eastAsia="fr-CA"/>
        </w:rPr>
        <w:lastRenderedPageBreak/>
        <w:t xml:space="preserve">Table </w:t>
      </w:r>
      <w:r w:rsidR="00DA5727">
        <w:rPr>
          <w:rFonts w:ascii="Arial" w:eastAsia="Times New Roman" w:hAnsi="Arial" w:cs="Arial"/>
          <w:b/>
          <w:bCs/>
          <w:sz w:val="20"/>
          <w:szCs w:val="20"/>
          <w:lang w:val="en-US" w:eastAsia="fr-CA"/>
        </w:rPr>
        <w:t>5</w:t>
      </w:r>
      <w:r w:rsidRPr="00EB50C7">
        <w:rPr>
          <w:rFonts w:ascii="Arial" w:eastAsia="Times New Roman" w:hAnsi="Arial" w:cs="Arial"/>
          <w:b/>
          <w:bCs/>
          <w:sz w:val="20"/>
          <w:szCs w:val="20"/>
          <w:lang w:val="en-US" w:eastAsia="fr-CA"/>
        </w:rPr>
        <w:t>: Selected geometric parameters (Å, °)</w:t>
      </w:r>
      <w:r w:rsidR="00F71E4D">
        <w:rPr>
          <w:rFonts w:ascii="Arial" w:eastAsia="Times New Roman" w:hAnsi="Arial" w:cs="Arial"/>
          <w:b/>
          <w:bCs/>
          <w:sz w:val="20"/>
          <w:szCs w:val="20"/>
          <w:lang w:val="en-US" w:eastAsia="fr-CA"/>
        </w:rPr>
        <w:t>.</w:t>
      </w:r>
      <w:r w:rsidRPr="00EB50C7">
        <w:rPr>
          <w:rFonts w:ascii="Arial" w:eastAsia="Times New Roman" w:hAnsi="Arial" w:cs="Arial"/>
          <w:b/>
          <w:bCs/>
          <w:sz w:val="20"/>
          <w:szCs w:val="20"/>
          <w:lang w:val="en-US" w:eastAsia="fr-CA"/>
        </w:rPr>
        <w:t xml:space="preserve"> </w:t>
      </w:r>
    </w:p>
    <w:tbl>
      <w:tblPr>
        <w:tblW w:w="3172"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589"/>
        <w:gridCol w:w="1389"/>
        <w:gridCol w:w="1488"/>
        <w:gridCol w:w="1289"/>
      </w:tblGrid>
      <w:tr w:rsidR="00516148" w:rsidRPr="00F25B40" w14:paraId="34FBBACD" w14:textId="77777777" w:rsidTr="00516148">
        <w:trPr>
          <w:trHeight w:hRule="exact" w:val="340"/>
        </w:trPr>
        <w:tc>
          <w:tcPr>
            <w:tcW w:w="1380" w:type="pct"/>
            <w:tcBorders>
              <w:top w:val="single" w:sz="12" w:space="0" w:color="auto"/>
            </w:tcBorders>
            <w:shd w:val="clear" w:color="auto" w:fill="FFFFFF" w:themeFill="background1"/>
            <w:vAlign w:val="center"/>
            <w:hideMark/>
          </w:tcPr>
          <w:p w14:paraId="5BD1A59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Zn1—O1</w:t>
            </w:r>
          </w:p>
        </w:tc>
        <w:tc>
          <w:tcPr>
            <w:tcW w:w="1207" w:type="pct"/>
            <w:tcBorders>
              <w:top w:val="single" w:sz="12" w:space="0" w:color="auto"/>
            </w:tcBorders>
            <w:shd w:val="clear" w:color="auto" w:fill="FFFFFF" w:themeFill="background1"/>
            <w:vAlign w:val="center"/>
            <w:hideMark/>
          </w:tcPr>
          <w:p w14:paraId="14CB014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1.9446 (11)</w:t>
            </w:r>
          </w:p>
        </w:tc>
        <w:tc>
          <w:tcPr>
            <w:tcW w:w="1293" w:type="pct"/>
            <w:tcBorders>
              <w:top w:val="single" w:sz="12" w:space="0" w:color="auto"/>
            </w:tcBorders>
            <w:shd w:val="clear" w:color="auto" w:fill="FFFFFF" w:themeFill="background1"/>
            <w:vAlign w:val="center"/>
            <w:hideMark/>
          </w:tcPr>
          <w:p w14:paraId="4AFBDB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Zn1—N3</w:t>
            </w:r>
          </w:p>
        </w:tc>
        <w:tc>
          <w:tcPr>
            <w:tcW w:w="1120" w:type="pct"/>
            <w:tcBorders>
              <w:top w:val="single" w:sz="12" w:space="0" w:color="auto"/>
            </w:tcBorders>
            <w:shd w:val="clear" w:color="auto" w:fill="FFFFFF" w:themeFill="background1"/>
            <w:vAlign w:val="center"/>
            <w:hideMark/>
          </w:tcPr>
          <w:p w14:paraId="3B15236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1.9990 (14)</w:t>
            </w:r>
          </w:p>
        </w:tc>
      </w:tr>
      <w:tr w:rsidR="00516148" w:rsidRPr="00F25B40" w14:paraId="3F6863D6" w14:textId="77777777" w:rsidTr="00516148">
        <w:trPr>
          <w:trHeight w:hRule="exact" w:val="340"/>
        </w:trPr>
        <w:tc>
          <w:tcPr>
            <w:tcW w:w="1380" w:type="pct"/>
            <w:shd w:val="clear" w:color="auto" w:fill="FFFFFF" w:themeFill="background1"/>
            <w:vAlign w:val="center"/>
            <w:hideMark/>
          </w:tcPr>
          <w:p w14:paraId="383A0D8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Zn1—O3</w:t>
            </w:r>
            <w:r w:rsidRPr="00F25B40">
              <w:rPr>
                <w:rFonts w:ascii="Arial" w:eastAsia="Times New Roman" w:hAnsi="Arial" w:cs="Arial"/>
                <w:sz w:val="20"/>
                <w:szCs w:val="20"/>
                <w:vertAlign w:val="superscript"/>
                <w:lang w:val="en-US" w:eastAsia="fr-CA"/>
              </w:rPr>
              <w:t>i</w:t>
            </w:r>
          </w:p>
        </w:tc>
        <w:tc>
          <w:tcPr>
            <w:tcW w:w="1207" w:type="pct"/>
            <w:shd w:val="clear" w:color="auto" w:fill="FFFFFF" w:themeFill="background1"/>
            <w:vAlign w:val="center"/>
            <w:hideMark/>
          </w:tcPr>
          <w:p w14:paraId="26260A0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1.9602 (11)</w:t>
            </w:r>
          </w:p>
        </w:tc>
        <w:tc>
          <w:tcPr>
            <w:tcW w:w="1293" w:type="pct"/>
            <w:shd w:val="clear" w:color="auto" w:fill="FFFFFF" w:themeFill="background1"/>
            <w:vAlign w:val="center"/>
            <w:hideMark/>
          </w:tcPr>
          <w:p w14:paraId="1C5C60E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Zn1—N1</w:t>
            </w:r>
          </w:p>
        </w:tc>
        <w:tc>
          <w:tcPr>
            <w:tcW w:w="1120" w:type="pct"/>
            <w:shd w:val="clear" w:color="auto" w:fill="FFFFFF" w:themeFill="background1"/>
            <w:vAlign w:val="center"/>
            <w:hideMark/>
          </w:tcPr>
          <w:p w14:paraId="1EFF338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2.0146 (13)</w:t>
            </w:r>
          </w:p>
        </w:tc>
      </w:tr>
      <w:tr w:rsidR="00516148" w:rsidRPr="00F25B40" w14:paraId="2E7EBF37" w14:textId="77777777" w:rsidTr="00516148">
        <w:trPr>
          <w:trHeight w:hRule="exact" w:val="340"/>
        </w:trPr>
        <w:tc>
          <w:tcPr>
            <w:tcW w:w="1380" w:type="pct"/>
            <w:shd w:val="clear" w:color="auto" w:fill="FFFFFF" w:themeFill="background1"/>
            <w:vAlign w:val="center"/>
            <w:hideMark/>
          </w:tcPr>
          <w:p w14:paraId="22CADF8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O1—Zn1—O3</w:t>
            </w:r>
            <w:r w:rsidRPr="00F25B40">
              <w:rPr>
                <w:rFonts w:ascii="Arial" w:eastAsia="Times New Roman" w:hAnsi="Arial" w:cs="Arial"/>
                <w:sz w:val="20"/>
                <w:szCs w:val="20"/>
                <w:vertAlign w:val="superscript"/>
                <w:lang w:val="en-US" w:eastAsia="fr-CA"/>
              </w:rPr>
              <w:t>i</w:t>
            </w:r>
          </w:p>
        </w:tc>
        <w:tc>
          <w:tcPr>
            <w:tcW w:w="1207" w:type="pct"/>
            <w:shd w:val="clear" w:color="auto" w:fill="FFFFFF" w:themeFill="background1"/>
            <w:vAlign w:val="center"/>
            <w:hideMark/>
          </w:tcPr>
          <w:p w14:paraId="5BED651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108.34 (5)</w:t>
            </w:r>
          </w:p>
        </w:tc>
        <w:tc>
          <w:tcPr>
            <w:tcW w:w="1293" w:type="pct"/>
            <w:shd w:val="clear" w:color="auto" w:fill="FFFFFF" w:themeFill="background1"/>
            <w:vAlign w:val="center"/>
            <w:hideMark/>
          </w:tcPr>
          <w:p w14:paraId="3D4C7F5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O1—Zn1—N1</w:t>
            </w:r>
          </w:p>
        </w:tc>
        <w:tc>
          <w:tcPr>
            <w:tcW w:w="1120" w:type="pct"/>
            <w:shd w:val="clear" w:color="auto" w:fill="FFFFFF" w:themeFill="background1"/>
            <w:vAlign w:val="center"/>
            <w:hideMark/>
          </w:tcPr>
          <w:p w14:paraId="3ABE38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102.67 (5)</w:t>
            </w:r>
          </w:p>
        </w:tc>
      </w:tr>
      <w:tr w:rsidR="00516148" w:rsidRPr="00F25B40" w14:paraId="3CAAB017" w14:textId="77777777" w:rsidTr="00516148">
        <w:trPr>
          <w:trHeight w:hRule="exact" w:val="340"/>
        </w:trPr>
        <w:tc>
          <w:tcPr>
            <w:tcW w:w="1380" w:type="pct"/>
            <w:shd w:val="clear" w:color="auto" w:fill="FFFFFF" w:themeFill="background1"/>
            <w:vAlign w:val="center"/>
            <w:hideMark/>
          </w:tcPr>
          <w:p w14:paraId="4F7A6DC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O1—Zn1—N3</w:t>
            </w:r>
          </w:p>
        </w:tc>
        <w:tc>
          <w:tcPr>
            <w:tcW w:w="1207" w:type="pct"/>
            <w:shd w:val="clear" w:color="auto" w:fill="FFFFFF" w:themeFill="background1"/>
            <w:vAlign w:val="center"/>
            <w:hideMark/>
          </w:tcPr>
          <w:p w14:paraId="26D2727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120.06 (5)</w:t>
            </w:r>
          </w:p>
        </w:tc>
        <w:tc>
          <w:tcPr>
            <w:tcW w:w="1293" w:type="pct"/>
            <w:shd w:val="clear" w:color="auto" w:fill="FFFFFF" w:themeFill="background1"/>
            <w:vAlign w:val="center"/>
            <w:hideMark/>
          </w:tcPr>
          <w:p w14:paraId="727E0CC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—Zn1—N1</w:t>
            </w:r>
          </w:p>
        </w:tc>
        <w:tc>
          <w:tcPr>
            <w:tcW w:w="1120" w:type="pct"/>
            <w:shd w:val="clear" w:color="auto" w:fill="FFFFFF" w:themeFill="background1"/>
            <w:vAlign w:val="center"/>
            <w:hideMark/>
          </w:tcPr>
          <w:p w14:paraId="68BD2E6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104.21 (5)</w:t>
            </w:r>
          </w:p>
        </w:tc>
      </w:tr>
      <w:tr w:rsidR="00516148" w:rsidRPr="00F25B40" w14:paraId="7C0CF232" w14:textId="77777777" w:rsidTr="00516148">
        <w:trPr>
          <w:trHeight w:hRule="exact" w:val="340"/>
        </w:trPr>
        <w:tc>
          <w:tcPr>
            <w:tcW w:w="1380" w:type="pct"/>
            <w:tcBorders>
              <w:bottom w:val="single" w:sz="12" w:space="0" w:color="auto"/>
            </w:tcBorders>
            <w:shd w:val="clear" w:color="auto" w:fill="FFFFFF" w:themeFill="background1"/>
            <w:vAlign w:val="center"/>
            <w:hideMark/>
          </w:tcPr>
          <w:p w14:paraId="7B32277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—Zn1—N3</w:t>
            </w:r>
          </w:p>
        </w:tc>
        <w:tc>
          <w:tcPr>
            <w:tcW w:w="1207" w:type="pct"/>
            <w:tcBorders>
              <w:bottom w:val="single" w:sz="12" w:space="0" w:color="auto"/>
            </w:tcBorders>
            <w:shd w:val="clear" w:color="auto" w:fill="FFFFFF" w:themeFill="background1"/>
            <w:vAlign w:val="center"/>
            <w:hideMark/>
          </w:tcPr>
          <w:p w14:paraId="4E1FDFA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108.12 (5)</w:t>
            </w:r>
          </w:p>
        </w:tc>
        <w:tc>
          <w:tcPr>
            <w:tcW w:w="1293" w:type="pct"/>
            <w:tcBorders>
              <w:bottom w:val="single" w:sz="12" w:space="0" w:color="auto"/>
            </w:tcBorders>
            <w:shd w:val="clear" w:color="auto" w:fill="FFFFFF" w:themeFill="background1"/>
            <w:vAlign w:val="center"/>
            <w:hideMark/>
          </w:tcPr>
          <w:p w14:paraId="37D4267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N3—Zn1—N1</w:t>
            </w:r>
          </w:p>
        </w:tc>
        <w:tc>
          <w:tcPr>
            <w:tcW w:w="1120" w:type="pct"/>
            <w:tcBorders>
              <w:bottom w:val="single" w:sz="12" w:space="0" w:color="auto"/>
            </w:tcBorders>
            <w:shd w:val="clear" w:color="auto" w:fill="FFFFFF" w:themeFill="background1"/>
            <w:vAlign w:val="center"/>
            <w:hideMark/>
          </w:tcPr>
          <w:p w14:paraId="60D5904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112.27 (6)</w:t>
            </w:r>
          </w:p>
        </w:tc>
      </w:tr>
    </w:tbl>
    <w:p w14:paraId="17B4526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Symmetry code: (</w:t>
      </w:r>
      <w:proofErr w:type="spellStart"/>
      <w:r w:rsidRPr="00F25B40">
        <w:rPr>
          <w:rFonts w:ascii="Arial" w:eastAsia="Times New Roman" w:hAnsi="Arial" w:cs="Arial"/>
          <w:sz w:val="20"/>
          <w:szCs w:val="20"/>
          <w:lang w:val="en-US" w:eastAsia="fr-CA"/>
        </w:rPr>
        <w:t>i</w:t>
      </w:r>
      <w:proofErr w:type="spellEnd"/>
      <w:r w:rsidRPr="00F25B40">
        <w:rPr>
          <w:rFonts w:ascii="Arial" w:eastAsia="Times New Roman" w:hAnsi="Arial" w:cs="Arial"/>
          <w:sz w:val="20"/>
          <w:szCs w:val="20"/>
          <w:lang w:val="en-US" w:eastAsia="fr-CA"/>
        </w:rPr>
        <w:t>) x+1, y, z.</w:t>
      </w:r>
    </w:p>
    <w:p w14:paraId="7BCA75DC" w14:textId="7DE8C0C1" w:rsidR="00516148" w:rsidRPr="00EB50C7" w:rsidRDefault="00516148" w:rsidP="00A75A90">
      <w:pPr>
        <w:spacing w:before="360" w:after="120" w:line="240" w:lineRule="auto"/>
        <w:jc w:val="both"/>
        <w:rPr>
          <w:rFonts w:ascii="Arial" w:eastAsia="Times New Roman" w:hAnsi="Arial" w:cs="Arial"/>
          <w:b/>
          <w:bCs/>
          <w:iCs/>
          <w:sz w:val="20"/>
          <w:szCs w:val="20"/>
          <w:shd w:val="clear" w:color="auto" w:fill="E6E6E6"/>
          <w:lang w:val="en-US" w:eastAsia="fr-CA"/>
        </w:rPr>
      </w:pPr>
      <w:r w:rsidRPr="00EB50C7">
        <w:rPr>
          <w:rFonts w:ascii="Arial" w:eastAsia="Times New Roman" w:hAnsi="Arial" w:cs="Arial"/>
          <w:b/>
          <w:bCs/>
          <w:iCs/>
          <w:color w:val="000000"/>
          <w:sz w:val="20"/>
          <w:szCs w:val="20"/>
          <w:lang w:val="en-US" w:eastAsia="fr-CA"/>
        </w:rPr>
        <w:t xml:space="preserve">Table </w:t>
      </w:r>
      <w:r w:rsidR="00DA5727">
        <w:rPr>
          <w:rFonts w:ascii="Arial" w:eastAsia="Times New Roman" w:hAnsi="Arial" w:cs="Arial"/>
          <w:b/>
          <w:bCs/>
          <w:iCs/>
          <w:color w:val="000000"/>
          <w:sz w:val="20"/>
          <w:szCs w:val="20"/>
          <w:lang w:val="en-US" w:eastAsia="fr-CA"/>
        </w:rPr>
        <w:t>6</w:t>
      </w:r>
      <w:r w:rsidRPr="00EB50C7">
        <w:rPr>
          <w:rFonts w:ascii="Arial" w:eastAsia="Times New Roman" w:hAnsi="Arial" w:cs="Arial"/>
          <w:b/>
          <w:bCs/>
          <w:iCs/>
          <w:color w:val="000000"/>
          <w:sz w:val="20"/>
          <w:szCs w:val="20"/>
          <w:lang w:val="en-US" w:eastAsia="fr-CA"/>
        </w:rPr>
        <w:t>: Hydrogen-bond geometry (Å, °)</w:t>
      </w:r>
      <w:r w:rsidR="00F71E4D">
        <w:rPr>
          <w:rFonts w:ascii="Arial" w:eastAsia="Times New Roman" w:hAnsi="Arial" w:cs="Arial"/>
          <w:b/>
          <w:bCs/>
          <w:iCs/>
          <w:color w:val="000000"/>
          <w:sz w:val="20"/>
          <w:szCs w:val="20"/>
          <w:lang w:val="en-US" w:eastAsia="fr-CA"/>
        </w:rPr>
        <w:t>.</w:t>
      </w:r>
    </w:p>
    <w:tbl>
      <w:tblPr>
        <w:tblW w:w="3203"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843"/>
        <w:gridCol w:w="993"/>
        <w:gridCol w:w="893"/>
        <w:gridCol w:w="892"/>
        <w:gridCol w:w="1191"/>
      </w:tblGrid>
      <w:tr w:rsidR="00516148" w:rsidRPr="00F25B40" w14:paraId="4F6C03B2" w14:textId="77777777" w:rsidTr="00933D5A">
        <w:trPr>
          <w:trHeight w:hRule="exact" w:val="340"/>
        </w:trPr>
        <w:tc>
          <w:tcPr>
            <w:tcW w:w="1586" w:type="pct"/>
            <w:tcBorders>
              <w:top w:val="single" w:sz="12" w:space="0" w:color="auto"/>
              <w:bottom w:val="single" w:sz="12" w:space="0" w:color="auto"/>
            </w:tcBorders>
            <w:shd w:val="clear" w:color="auto" w:fill="FFFFFF" w:themeFill="background1"/>
            <w:vAlign w:val="center"/>
            <w:hideMark/>
          </w:tcPr>
          <w:p w14:paraId="2118727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854" w:type="pct"/>
            <w:tcBorders>
              <w:top w:val="single" w:sz="12" w:space="0" w:color="auto"/>
              <w:bottom w:val="single" w:sz="12" w:space="0" w:color="auto"/>
            </w:tcBorders>
            <w:shd w:val="clear" w:color="auto" w:fill="FFFFFF" w:themeFill="background1"/>
            <w:vAlign w:val="center"/>
            <w:hideMark/>
          </w:tcPr>
          <w:p w14:paraId="41EBBDF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p>
        </w:tc>
        <w:tc>
          <w:tcPr>
            <w:tcW w:w="768" w:type="pct"/>
            <w:tcBorders>
              <w:top w:val="single" w:sz="12" w:space="0" w:color="auto"/>
              <w:bottom w:val="single" w:sz="12" w:space="0" w:color="auto"/>
            </w:tcBorders>
            <w:shd w:val="clear" w:color="auto" w:fill="FFFFFF" w:themeFill="background1"/>
            <w:vAlign w:val="center"/>
            <w:hideMark/>
          </w:tcPr>
          <w:p w14:paraId="0BE3367A"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767" w:type="pct"/>
            <w:tcBorders>
              <w:top w:val="single" w:sz="12" w:space="0" w:color="auto"/>
              <w:bottom w:val="single" w:sz="12" w:space="0" w:color="auto"/>
            </w:tcBorders>
            <w:shd w:val="clear" w:color="auto" w:fill="FFFFFF" w:themeFill="background1"/>
            <w:vAlign w:val="center"/>
            <w:hideMark/>
          </w:tcPr>
          <w:p w14:paraId="26AD8AF6"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w:t>
            </w:r>
            <w:r w:rsidRPr="00F25B40">
              <w:rPr>
                <w:rFonts w:ascii="Arial" w:eastAsia="Times New Roman" w:hAnsi="Arial" w:cs="Arial"/>
                <w:b/>
                <w:i/>
                <w:iCs/>
                <w:sz w:val="20"/>
                <w:szCs w:val="20"/>
                <w:lang w:val="en-US" w:eastAsia="fr-CA"/>
              </w:rPr>
              <w:t>A</w:t>
            </w:r>
          </w:p>
        </w:tc>
        <w:tc>
          <w:tcPr>
            <w:tcW w:w="1025" w:type="pct"/>
            <w:tcBorders>
              <w:top w:val="single" w:sz="12" w:space="0" w:color="auto"/>
              <w:bottom w:val="single" w:sz="12" w:space="0" w:color="auto"/>
            </w:tcBorders>
            <w:shd w:val="clear" w:color="auto" w:fill="FFFFFF" w:themeFill="background1"/>
            <w:vAlign w:val="center"/>
            <w:hideMark/>
          </w:tcPr>
          <w:p w14:paraId="6AB8D263"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r>
      <w:tr w:rsidR="00516148" w:rsidRPr="00F25B40" w14:paraId="125B31F5" w14:textId="77777777" w:rsidTr="00933D5A">
        <w:trPr>
          <w:trHeight w:hRule="exact" w:val="340"/>
        </w:trPr>
        <w:tc>
          <w:tcPr>
            <w:tcW w:w="1586" w:type="pct"/>
            <w:shd w:val="clear" w:color="auto" w:fill="FFFFFF" w:themeFill="background1"/>
          </w:tcPr>
          <w:p w14:paraId="7DD6946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C2—H2···O3</w:t>
            </w:r>
            <w:r w:rsidRPr="00F25B40">
              <w:rPr>
                <w:rFonts w:ascii="Arial" w:eastAsia="Times New Roman" w:hAnsi="Arial" w:cs="Arial"/>
                <w:sz w:val="20"/>
                <w:szCs w:val="20"/>
                <w:vertAlign w:val="superscript"/>
                <w:lang w:val="en-US" w:eastAsia="fr-CA"/>
              </w:rPr>
              <w:t>i</w:t>
            </w:r>
          </w:p>
        </w:tc>
        <w:tc>
          <w:tcPr>
            <w:tcW w:w="854" w:type="pct"/>
            <w:shd w:val="clear" w:color="auto" w:fill="FFFFFF" w:themeFill="background1"/>
          </w:tcPr>
          <w:p w14:paraId="2C095F2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7E95677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2.543</w:t>
            </w:r>
          </w:p>
        </w:tc>
        <w:tc>
          <w:tcPr>
            <w:tcW w:w="767" w:type="pct"/>
            <w:shd w:val="clear" w:color="auto" w:fill="FFFFFF" w:themeFill="background1"/>
          </w:tcPr>
          <w:p w14:paraId="44AF0E7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3.374</w:t>
            </w:r>
          </w:p>
        </w:tc>
        <w:tc>
          <w:tcPr>
            <w:tcW w:w="1025" w:type="pct"/>
            <w:shd w:val="clear" w:color="auto" w:fill="FFFFFF" w:themeFill="background1"/>
          </w:tcPr>
          <w:p w14:paraId="0ACA6A4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146.21</w:t>
            </w:r>
          </w:p>
        </w:tc>
      </w:tr>
      <w:tr w:rsidR="00516148" w:rsidRPr="00F25B40" w14:paraId="5C31F6D2" w14:textId="77777777" w:rsidTr="00933D5A">
        <w:trPr>
          <w:trHeight w:hRule="exact" w:val="340"/>
        </w:trPr>
        <w:tc>
          <w:tcPr>
            <w:tcW w:w="1586" w:type="pct"/>
            <w:shd w:val="clear" w:color="auto" w:fill="FFFFFF" w:themeFill="background1"/>
          </w:tcPr>
          <w:p w14:paraId="4F983E8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C3—H3···O1</w:t>
            </w:r>
            <w:r w:rsidRPr="00F25B40">
              <w:rPr>
                <w:rFonts w:ascii="Arial" w:eastAsia="Times New Roman" w:hAnsi="Arial" w:cs="Arial"/>
                <w:sz w:val="20"/>
                <w:szCs w:val="20"/>
                <w:vertAlign w:val="superscript"/>
                <w:lang w:val="en-US" w:eastAsia="fr-CA"/>
              </w:rPr>
              <w:t>ii</w:t>
            </w:r>
          </w:p>
        </w:tc>
        <w:tc>
          <w:tcPr>
            <w:tcW w:w="854" w:type="pct"/>
            <w:shd w:val="clear" w:color="auto" w:fill="FFFFFF" w:themeFill="background1"/>
          </w:tcPr>
          <w:p w14:paraId="1EA36F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7EEDCD2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2.510</w:t>
            </w:r>
          </w:p>
        </w:tc>
        <w:tc>
          <w:tcPr>
            <w:tcW w:w="767" w:type="pct"/>
            <w:shd w:val="clear" w:color="auto" w:fill="FFFFFF" w:themeFill="background1"/>
          </w:tcPr>
          <w:p w14:paraId="03E4DC1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3.290</w:t>
            </w:r>
          </w:p>
        </w:tc>
        <w:tc>
          <w:tcPr>
            <w:tcW w:w="1025" w:type="pct"/>
            <w:shd w:val="clear" w:color="auto" w:fill="FFFFFF" w:themeFill="background1"/>
          </w:tcPr>
          <w:p w14:paraId="7DDB2BF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139.36</w:t>
            </w:r>
          </w:p>
        </w:tc>
      </w:tr>
      <w:tr w:rsidR="00516148" w:rsidRPr="00F25B40" w14:paraId="1EEE849D" w14:textId="77777777" w:rsidTr="00933D5A">
        <w:trPr>
          <w:trHeight w:hRule="exact" w:val="340"/>
        </w:trPr>
        <w:tc>
          <w:tcPr>
            <w:tcW w:w="1586" w:type="pct"/>
            <w:shd w:val="clear" w:color="auto" w:fill="FFFFFF" w:themeFill="background1"/>
          </w:tcPr>
          <w:p w14:paraId="03D6C5B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C4—H4A···O2</w:t>
            </w:r>
            <w:r w:rsidRPr="00F25B40">
              <w:rPr>
                <w:rFonts w:ascii="Arial" w:eastAsia="Times New Roman" w:hAnsi="Arial" w:cs="Arial"/>
                <w:sz w:val="20"/>
                <w:szCs w:val="20"/>
                <w:vertAlign w:val="superscript"/>
                <w:lang w:val="en-US" w:eastAsia="fr-CA"/>
              </w:rPr>
              <w:t>i</w:t>
            </w:r>
          </w:p>
        </w:tc>
        <w:tc>
          <w:tcPr>
            <w:tcW w:w="854" w:type="pct"/>
            <w:shd w:val="clear" w:color="auto" w:fill="FFFFFF" w:themeFill="background1"/>
          </w:tcPr>
          <w:p w14:paraId="616B8E6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7643544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2.420</w:t>
            </w:r>
          </w:p>
        </w:tc>
        <w:tc>
          <w:tcPr>
            <w:tcW w:w="767" w:type="pct"/>
            <w:shd w:val="clear" w:color="auto" w:fill="FFFFFF" w:themeFill="background1"/>
          </w:tcPr>
          <w:p w14:paraId="1005AEA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3.404</w:t>
            </w:r>
          </w:p>
        </w:tc>
        <w:tc>
          <w:tcPr>
            <w:tcW w:w="1025" w:type="pct"/>
            <w:shd w:val="clear" w:color="auto" w:fill="FFFFFF" w:themeFill="background1"/>
          </w:tcPr>
          <w:p w14:paraId="4509AAE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172.24</w:t>
            </w:r>
          </w:p>
        </w:tc>
      </w:tr>
      <w:tr w:rsidR="00516148" w:rsidRPr="00F25B40" w14:paraId="27C8267F" w14:textId="77777777" w:rsidTr="00933D5A">
        <w:trPr>
          <w:trHeight w:hRule="exact" w:val="340"/>
        </w:trPr>
        <w:tc>
          <w:tcPr>
            <w:tcW w:w="1586" w:type="pct"/>
            <w:shd w:val="clear" w:color="auto" w:fill="FFFFFF" w:themeFill="background1"/>
          </w:tcPr>
          <w:p w14:paraId="3F6237F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C4—H4B···O4</w:t>
            </w:r>
            <w:r w:rsidRPr="00F25B40">
              <w:rPr>
                <w:rFonts w:ascii="Arial" w:eastAsia="Times New Roman" w:hAnsi="Arial" w:cs="Arial"/>
                <w:sz w:val="20"/>
                <w:szCs w:val="20"/>
                <w:vertAlign w:val="superscript"/>
                <w:lang w:val="en-US" w:eastAsia="fr-CA"/>
              </w:rPr>
              <w:t>iii</w:t>
            </w:r>
          </w:p>
        </w:tc>
        <w:tc>
          <w:tcPr>
            <w:tcW w:w="854" w:type="pct"/>
            <w:shd w:val="clear" w:color="auto" w:fill="FFFFFF" w:themeFill="background1"/>
          </w:tcPr>
          <w:p w14:paraId="360958F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1FA6E6F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2.652</w:t>
            </w:r>
          </w:p>
        </w:tc>
        <w:tc>
          <w:tcPr>
            <w:tcW w:w="767" w:type="pct"/>
            <w:shd w:val="clear" w:color="auto" w:fill="FFFFFF" w:themeFill="background1"/>
          </w:tcPr>
          <w:p w14:paraId="60F6F5B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3.409</w:t>
            </w:r>
          </w:p>
        </w:tc>
        <w:tc>
          <w:tcPr>
            <w:tcW w:w="1025" w:type="pct"/>
            <w:shd w:val="clear" w:color="auto" w:fill="FFFFFF" w:themeFill="background1"/>
          </w:tcPr>
          <w:p w14:paraId="7D3CFD2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170.54</w:t>
            </w:r>
          </w:p>
        </w:tc>
      </w:tr>
      <w:tr w:rsidR="00516148" w:rsidRPr="00F25B40" w14:paraId="0D5A9B43" w14:textId="77777777" w:rsidTr="00933D5A">
        <w:trPr>
          <w:trHeight w:hRule="exact" w:val="340"/>
        </w:trPr>
        <w:tc>
          <w:tcPr>
            <w:tcW w:w="1586" w:type="pct"/>
            <w:shd w:val="clear" w:color="auto" w:fill="FFFFFF" w:themeFill="background1"/>
          </w:tcPr>
          <w:p w14:paraId="4479968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C5—H5B···O1</w:t>
            </w:r>
            <w:r w:rsidRPr="00F25B40">
              <w:rPr>
                <w:rFonts w:ascii="Arial" w:eastAsia="Times New Roman" w:hAnsi="Arial" w:cs="Arial"/>
                <w:sz w:val="20"/>
                <w:szCs w:val="20"/>
                <w:vertAlign w:val="superscript"/>
                <w:lang w:val="en-US" w:eastAsia="fr-CA"/>
              </w:rPr>
              <w:t>ii</w:t>
            </w:r>
          </w:p>
        </w:tc>
        <w:tc>
          <w:tcPr>
            <w:tcW w:w="854" w:type="pct"/>
            <w:shd w:val="clear" w:color="auto" w:fill="FFFFFF" w:themeFill="background1"/>
          </w:tcPr>
          <w:p w14:paraId="078F877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0.980</w:t>
            </w:r>
          </w:p>
        </w:tc>
        <w:tc>
          <w:tcPr>
            <w:tcW w:w="768" w:type="pct"/>
            <w:shd w:val="clear" w:color="auto" w:fill="FFFFFF" w:themeFill="background1"/>
          </w:tcPr>
          <w:p w14:paraId="284CA75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2.613</w:t>
            </w:r>
          </w:p>
        </w:tc>
        <w:tc>
          <w:tcPr>
            <w:tcW w:w="767" w:type="pct"/>
            <w:shd w:val="clear" w:color="auto" w:fill="FFFFFF" w:themeFill="background1"/>
          </w:tcPr>
          <w:p w14:paraId="1FBC768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3.583</w:t>
            </w:r>
          </w:p>
        </w:tc>
        <w:tc>
          <w:tcPr>
            <w:tcW w:w="1025" w:type="pct"/>
            <w:shd w:val="clear" w:color="auto" w:fill="FFFFFF" w:themeFill="background1"/>
          </w:tcPr>
          <w:p w14:paraId="1C1C865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170.54</w:t>
            </w:r>
          </w:p>
        </w:tc>
      </w:tr>
      <w:tr w:rsidR="00516148" w:rsidRPr="00F25B40" w14:paraId="73B030AF" w14:textId="77777777" w:rsidTr="00933D5A">
        <w:trPr>
          <w:trHeight w:hRule="exact" w:val="340"/>
        </w:trPr>
        <w:tc>
          <w:tcPr>
            <w:tcW w:w="1586" w:type="pct"/>
            <w:shd w:val="clear" w:color="auto" w:fill="FFFFFF" w:themeFill="background1"/>
          </w:tcPr>
          <w:p w14:paraId="6803232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C7—H7···O4</w:t>
            </w:r>
            <w:r w:rsidRPr="00F25B40">
              <w:rPr>
                <w:rFonts w:ascii="Arial" w:eastAsia="Times New Roman" w:hAnsi="Arial" w:cs="Arial"/>
                <w:sz w:val="20"/>
                <w:szCs w:val="20"/>
                <w:vertAlign w:val="superscript"/>
                <w:lang w:val="en-US" w:eastAsia="fr-CA"/>
              </w:rPr>
              <w:t>iv</w:t>
            </w:r>
          </w:p>
        </w:tc>
        <w:tc>
          <w:tcPr>
            <w:tcW w:w="854" w:type="pct"/>
            <w:shd w:val="clear" w:color="auto" w:fill="FFFFFF" w:themeFill="background1"/>
          </w:tcPr>
          <w:p w14:paraId="5B68190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43962D6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2.419</w:t>
            </w:r>
          </w:p>
        </w:tc>
        <w:tc>
          <w:tcPr>
            <w:tcW w:w="767" w:type="pct"/>
            <w:shd w:val="clear" w:color="auto" w:fill="FFFFFF" w:themeFill="background1"/>
          </w:tcPr>
          <w:p w14:paraId="7358201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3.235</w:t>
            </w:r>
          </w:p>
        </w:tc>
        <w:tc>
          <w:tcPr>
            <w:tcW w:w="1025" w:type="pct"/>
            <w:shd w:val="clear" w:color="auto" w:fill="FFFFFF" w:themeFill="background1"/>
          </w:tcPr>
          <w:p w14:paraId="16D4904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143.76</w:t>
            </w:r>
          </w:p>
        </w:tc>
      </w:tr>
      <w:tr w:rsidR="00516148" w:rsidRPr="00F25B40" w14:paraId="58D6818E" w14:textId="77777777" w:rsidTr="00933D5A">
        <w:trPr>
          <w:trHeight w:hRule="exact" w:val="340"/>
        </w:trPr>
        <w:tc>
          <w:tcPr>
            <w:tcW w:w="1586" w:type="pct"/>
            <w:shd w:val="clear" w:color="auto" w:fill="FFFFFF" w:themeFill="background1"/>
          </w:tcPr>
          <w:p w14:paraId="4948A68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C8—H8···O2</w:t>
            </w:r>
            <w:r w:rsidRPr="00F25B40">
              <w:rPr>
                <w:rFonts w:ascii="Arial" w:eastAsia="Times New Roman" w:hAnsi="Arial" w:cs="Arial"/>
                <w:sz w:val="20"/>
                <w:szCs w:val="20"/>
                <w:vertAlign w:val="superscript"/>
                <w:lang w:val="en-US" w:eastAsia="fr-CA"/>
              </w:rPr>
              <w:t>v</w:t>
            </w:r>
          </w:p>
        </w:tc>
        <w:tc>
          <w:tcPr>
            <w:tcW w:w="854" w:type="pct"/>
            <w:shd w:val="clear" w:color="auto" w:fill="FFFFFF" w:themeFill="background1"/>
          </w:tcPr>
          <w:p w14:paraId="032A6E8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0DDEFBD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2.543</w:t>
            </w:r>
          </w:p>
        </w:tc>
        <w:tc>
          <w:tcPr>
            <w:tcW w:w="767" w:type="pct"/>
            <w:shd w:val="clear" w:color="auto" w:fill="FFFFFF" w:themeFill="background1"/>
          </w:tcPr>
          <w:p w14:paraId="3E6F8BC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3.466</w:t>
            </w:r>
          </w:p>
        </w:tc>
        <w:tc>
          <w:tcPr>
            <w:tcW w:w="1025" w:type="pct"/>
            <w:shd w:val="clear" w:color="auto" w:fill="FFFFFF" w:themeFill="background1"/>
          </w:tcPr>
          <w:p w14:paraId="5851E54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64.00</w:t>
            </w:r>
          </w:p>
        </w:tc>
      </w:tr>
      <w:tr w:rsidR="00516148" w:rsidRPr="00F25B40" w14:paraId="31EBA8DD" w14:textId="77777777" w:rsidTr="00933D5A">
        <w:trPr>
          <w:trHeight w:hRule="exact" w:val="340"/>
        </w:trPr>
        <w:tc>
          <w:tcPr>
            <w:tcW w:w="1586" w:type="pct"/>
            <w:shd w:val="clear" w:color="auto" w:fill="FFFFFF" w:themeFill="background1"/>
          </w:tcPr>
          <w:p w14:paraId="3835027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C9—H9B···O4</w:t>
            </w:r>
            <w:r w:rsidRPr="00F25B40">
              <w:rPr>
                <w:rFonts w:ascii="Arial" w:eastAsia="Times New Roman" w:hAnsi="Arial" w:cs="Arial"/>
                <w:sz w:val="20"/>
                <w:szCs w:val="20"/>
                <w:vertAlign w:val="superscript"/>
                <w:lang w:val="en-US" w:eastAsia="fr-CA"/>
              </w:rPr>
              <w:t>iv</w:t>
            </w:r>
          </w:p>
        </w:tc>
        <w:tc>
          <w:tcPr>
            <w:tcW w:w="854" w:type="pct"/>
            <w:shd w:val="clear" w:color="auto" w:fill="FFFFFF" w:themeFill="background1"/>
          </w:tcPr>
          <w:p w14:paraId="64ACA64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4E741F8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2.660</w:t>
            </w:r>
          </w:p>
        </w:tc>
        <w:tc>
          <w:tcPr>
            <w:tcW w:w="767" w:type="pct"/>
            <w:shd w:val="clear" w:color="auto" w:fill="FFFFFF" w:themeFill="background1"/>
          </w:tcPr>
          <w:p w14:paraId="57EB46A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3.540</w:t>
            </w:r>
          </w:p>
        </w:tc>
        <w:tc>
          <w:tcPr>
            <w:tcW w:w="1025" w:type="pct"/>
            <w:shd w:val="clear" w:color="auto" w:fill="FFFFFF" w:themeFill="background1"/>
          </w:tcPr>
          <w:p w14:paraId="78034E9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148.18</w:t>
            </w:r>
          </w:p>
        </w:tc>
      </w:tr>
      <w:tr w:rsidR="00516148" w:rsidRPr="00F25B40" w14:paraId="2AA5873D" w14:textId="77777777" w:rsidTr="00933D5A">
        <w:trPr>
          <w:trHeight w:hRule="exact" w:val="340"/>
        </w:trPr>
        <w:tc>
          <w:tcPr>
            <w:tcW w:w="1586" w:type="pct"/>
            <w:tcBorders>
              <w:bottom w:val="single" w:sz="12" w:space="0" w:color="auto"/>
            </w:tcBorders>
            <w:shd w:val="clear" w:color="auto" w:fill="FFFFFF" w:themeFill="background1"/>
          </w:tcPr>
          <w:p w14:paraId="38B9F93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C12—H12A···O3</w:t>
            </w:r>
            <w:r w:rsidRPr="00F25B40">
              <w:rPr>
                <w:rFonts w:ascii="Arial" w:eastAsia="Times New Roman" w:hAnsi="Arial" w:cs="Arial"/>
                <w:sz w:val="20"/>
                <w:szCs w:val="20"/>
                <w:vertAlign w:val="superscript"/>
                <w:lang w:val="en-US" w:eastAsia="fr-CA"/>
              </w:rPr>
              <w:t>iii</w:t>
            </w:r>
          </w:p>
        </w:tc>
        <w:tc>
          <w:tcPr>
            <w:tcW w:w="854" w:type="pct"/>
            <w:tcBorders>
              <w:bottom w:val="single" w:sz="12" w:space="0" w:color="auto"/>
            </w:tcBorders>
            <w:shd w:val="clear" w:color="auto" w:fill="FFFFFF" w:themeFill="background1"/>
          </w:tcPr>
          <w:p w14:paraId="519B293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tcBorders>
              <w:bottom w:val="single" w:sz="12" w:space="0" w:color="auto"/>
            </w:tcBorders>
            <w:shd w:val="clear" w:color="auto" w:fill="FFFFFF" w:themeFill="background1"/>
          </w:tcPr>
          <w:p w14:paraId="4888380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2.474</w:t>
            </w:r>
          </w:p>
        </w:tc>
        <w:tc>
          <w:tcPr>
            <w:tcW w:w="767" w:type="pct"/>
            <w:tcBorders>
              <w:bottom w:val="single" w:sz="12" w:space="0" w:color="auto"/>
            </w:tcBorders>
            <w:shd w:val="clear" w:color="auto" w:fill="FFFFFF" w:themeFill="background1"/>
          </w:tcPr>
          <w:p w14:paraId="2CDB699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3.451</w:t>
            </w:r>
          </w:p>
        </w:tc>
        <w:tc>
          <w:tcPr>
            <w:tcW w:w="1025" w:type="pct"/>
            <w:tcBorders>
              <w:bottom w:val="single" w:sz="12" w:space="0" w:color="auto"/>
            </w:tcBorders>
            <w:shd w:val="clear" w:color="auto" w:fill="FFFFFF" w:themeFill="background1"/>
          </w:tcPr>
          <w:p w14:paraId="786DE2D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169.34</w:t>
            </w:r>
          </w:p>
        </w:tc>
      </w:tr>
    </w:tbl>
    <w:p w14:paraId="2B41FD50" w14:textId="77777777" w:rsidR="00516148" w:rsidRPr="00F25B40" w:rsidRDefault="00516148" w:rsidP="009F1A18">
      <w:pPr>
        <w:spacing w:after="0" w:line="240" w:lineRule="auto"/>
        <w:jc w:val="both"/>
        <w:rPr>
          <w:rFonts w:ascii="Arial" w:hAnsi="Arial" w:cs="Arial"/>
          <w:sz w:val="20"/>
          <w:szCs w:val="20"/>
          <w:lang w:val="fr-CA"/>
        </w:rPr>
      </w:pPr>
      <w:r w:rsidRPr="00F25B40">
        <w:rPr>
          <w:rFonts w:ascii="Arial" w:eastAsia="Times New Roman" w:hAnsi="Arial" w:cs="Arial"/>
          <w:sz w:val="20"/>
          <w:szCs w:val="20"/>
          <w:lang w:val="fr-CA" w:eastAsia="fr-CA"/>
        </w:rPr>
        <w:t xml:space="preserve">(i) </w:t>
      </w:r>
      <w:r w:rsidRPr="00F25B40">
        <w:rPr>
          <w:rFonts w:ascii="Arial" w:hAnsi="Arial" w:cs="Arial"/>
          <w:sz w:val="20"/>
          <w:szCs w:val="20"/>
          <w:lang w:val="fr-CA"/>
        </w:rPr>
        <w:t xml:space="preserve">-x, -y+1, -z; (ii) -x+1, -y+1, -z+1; (iii) -x, -y+1, -z+1; (iv) x+1/2, -y+3/2, z-1/2; (v) x+1, y, z </w:t>
      </w:r>
    </w:p>
    <w:p w14:paraId="05F8CA7B" w14:textId="77777777" w:rsidR="00F26BD8" w:rsidRPr="00F25B40" w:rsidRDefault="00F26BD8" w:rsidP="009F1A18">
      <w:pPr>
        <w:spacing w:after="0" w:line="240" w:lineRule="auto"/>
        <w:jc w:val="both"/>
        <w:rPr>
          <w:rFonts w:ascii="Arial" w:hAnsi="Arial" w:cs="Arial"/>
          <w:b/>
          <w:bCs/>
          <w:sz w:val="20"/>
          <w:szCs w:val="20"/>
        </w:rPr>
      </w:pPr>
    </w:p>
    <w:p w14:paraId="5CE4E8E2" w14:textId="34DEFC3B" w:rsidR="002B12F8" w:rsidRPr="00F25B40" w:rsidRDefault="002B12F8" w:rsidP="00343124">
      <w:pPr>
        <w:pStyle w:val="Heading1"/>
      </w:pPr>
      <w:r w:rsidRPr="00F25B40">
        <w:t>Conclusion</w:t>
      </w:r>
    </w:p>
    <w:p w14:paraId="51FC90FD" w14:textId="06F1968B" w:rsidR="002B12F8" w:rsidRPr="00F25B40" w:rsidRDefault="00231090" w:rsidP="009F1A18">
      <w:pPr>
        <w:tabs>
          <w:tab w:val="left" w:pos="1096"/>
        </w:tabs>
        <w:spacing w:line="240" w:lineRule="auto"/>
        <w:jc w:val="both"/>
        <w:rPr>
          <w:rFonts w:ascii="Arial" w:hAnsi="Arial" w:cs="Arial"/>
          <w:b/>
          <w:bCs/>
          <w:sz w:val="20"/>
          <w:szCs w:val="20"/>
          <w:lang w:val="en-US"/>
        </w:rPr>
      </w:pPr>
      <w:r w:rsidRPr="00F25B40">
        <w:rPr>
          <w:rFonts w:ascii="Arial" w:eastAsia="Times New Roman" w:hAnsi="Arial" w:cs="Arial"/>
          <w:color w:val="000000" w:themeColor="text1"/>
          <w:sz w:val="20"/>
          <w:szCs w:val="20"/>
          <w:lang w:val="en-US"/>
        </w:rPr>
        <w:t>In the present work, we report the synthesis and characterization</w:t>
      </w:r>
      <w:r w:rsidR="007163BB" w:rsidRPr="00F25B40">
        <w:rPr>
          <w:rFonts w:ascii="Arial" w:eastAsia="Times New Roman" w:hAnsi="Arial" w:cs="Arial"/>
          <w:color w:val="000000" w:themeColor="text1"/>
          <w:sz w:val="20"/>
          <w:szCs w:val="20"/>
          <w:lang w:val="en-US"/>
        </w:rPr>
        <w:t xml:space="preserve"> of</w:t>
      </w:r>
      <w:r w:rsidRPr="00F25B40">
        <w:rPr>
          <w:rFonts w:ascii="Arial" w:eastAsia="Times New Roman" w:hAnsi="Arial" w:cs="Arial"/>
          <w:color w:val="000000" w:themeColor="text1"/>
          <w:sz w:val="20"/>
          <w:szCs w:val="20"/>
          <w:lang w:val="en-US"/>
        </w:rPr>
        <w:t xml:space="preserve"> two new polymeric complexes of copper(II) and zinc (II) prepared</w:t>
      </w:r>
      <w:r w:rsidR="0068651B" w:rsidRPr="00F25B40">
        <w:rPr>
          <w:rFonts w:ascii="Arial" w:eastAsia="Times New Roman" w:hAnsi="Arial" w:cs="Arial"/>
          <w:color w:val="000000" w:themeColor="text1"/>
          <w:sz w:val="20"/>
          <w:szCs w:val="20"/>
          <w:lang w:val="en-US"/>
        </w:rPr>
        <w:t xml:space="preserve">, respectively, </w:t>
      </w:r>
      <w:r w:rsidRPr="00F25B40">
        <w:rPr>
          <w:rFonts w:ascii="Arial" w:eastAsia="Times New Roman" w:hAnsi="Arial" w:cs="Arial"/>
          <w:color w:val="000000" w:themeColor="text1"/>
          <w:sz w:val="20"/>
          <w:szCs w:val="20"/>
          <w:lang w:val="en-US"/>
        </w:rPr>
        <w:t xml:space="preserve">from </w:t>
      </w:r>
      <w:r w:rsidR="0068651B" w:rsidRPr="00F25B40">
        <w:rPr>
          <w:rFonts w:ascii="Arial" w:eastAsia="Times New Roman" w:hAnsi="Arial" w:cs="Arial"/>
          <w:color w:val="000000" w:themeColor="text1"/>
          <w:sz w:val="20"/>
          <w:szCs w:val="20"/>
          <w:lang w:val="en-US"/>
        </w:rPr>
        <w:t xml:space="preserve">maleic </w:t>
      </w:r>
      <w:r w:rsidR="00297677" w:rsidRPr="00F25B40">
        <w:rPr>
          <w:rFonts w:ascii="Arial" w:eastAsia="Times New Roman" w:hAnsi="Arial" w:cs="Arial"/>
          <w:color w:val="000000" w:themeColor="text1"/>
          <w:sz w:val="20"/>
          <w:szCs w:val="20"/>
          <w:lang w:val="en-US"/>
        </w:rPr>
        <w:t>acid a</w:t>
      </w:r>
      <w:r w:rsidR="0068651B" w:rsidRPr="00F25B40">
        <w:rPr>
          <w:rFonts w:ascii="Arial" w:eastAsia="Times New Roman" w:hAnsi="Arial" w:cs="Arial"/>
          <w:color w:val="000000" w:themeColor="text1"/>
          <w:sz w:val="20"/>
          <w:szCs w:val="20"/>
          <w:lang w:val="en-US"/>
        </w:rPr>
        <w:t xml:space="preserve">nd </w:t>
      </w:r>
      <w:r w:rsidRPr="00F25B40">
        <w:rPr>
          <w:rFonts w:ascii="Arial" w:eastAsia="Times New Roman" w:hAnsi="Arial" w:cs="Arial"/>
          <w:color w:val="000000" w:themeColor="text1"/>
          <w:sz w:val="20"/>
          <w:szCs w:val="20"/>
          <w:lang w:val="en-US"/>
        </w:rPr>
        <w:t>succinic acid</w:t>
      </w:r>
      <w:r w:rsidR="006C75E0" w:rsidRPr="00F25B40">
        <w:rPr>
          <w:rFonts w:ascii="Arial" w:eastAsia="Times New Roman" w:hAnsi="Arial" w:cs="Arial"/>
          <w:color w:val="000000" w:themeColor="text1"/>
          <w:sz w:val="20"/>
          <w:szCs w:val="20"/>
          <w:lang w:val="en-US"/>
        </w:rPr>
        <w:t xml:space="preserve"> used as ligand</w:t>
      </w:r>
      <w:r w:rsidR="00297677" w:rsidRPr="00F25B40">
        <w:rPr>
          <w:rFonts w:ascii="Arial" w:eastAsia="Times New Roman" w:hAnsi="Arial" w:cs="Arial"/>
          <w:color w:val="000000" w:themeColor="text1"/>
          <w:sz w:val="20"/>
          <w:szCs w:val="20"/>
          <w:lang w:val="en-US"/>
        </w:rPr>
        <w:t>. In both reaction</w:t>
      </w:r>
      <w:r w:rsidR="00267D73" w:rsidRPr="00F25B40">
        <w:rPr>
          <w:rFonts w:ascii="Arial" w:eastAsia="Times New Roman" w:hAnsi="Arial" w:cs="Arial"/>
          <w:color w:val="000000" w:themeColor="text1"/>
          <w:sz w:val="20"/>
          <w:szCs w:val="20"/>
          <w:lang w:val="en-US"/>
        </w:rPr>
        <w:t xml:space="preserve">, </w:t>
      </w:r>
      <w:r w:rsidR="00836557" w:rsidRPr="00F25B40">
        <w:rPr>
          <w:rFonts w:ascii="Arial" w:hAnsi="Arial" w:cs="Arial"/>
          <w:sz w:val="20"/>
          <w:szCs w:val="20"/>
          <w:lang w:val="en-US"/>
        </w:rPr>
        <w:t>1-ethyl-1</w:t>
      </w:r>
      <w:r w:rsidR="00836557" w:rsidRPr="00F25B40">
        <w:rPr>
          <w:rFonts w:ascii="Arial" w:hAnsi="Arial" w:cs="Arial"/>
          <w:i/>
          <w:iCs/>
          <w:sz w:val="20"/>
          <w:szCs w:val="20"/>
          <w:lang w:val="en-US"/>
        </w:rPr>
        <w:t>H</w:t>
      </w:r>
      <w:r w:rsidR="00836557" w:rsidRPr="00F25B40">
        <w:rPr>
          <w:rFonts w:ascii="Arial" w:hAnsi="Arial" w:cs="Arial"/>
          <w:sz w:val="20"/>
          <w:szCs w:val="20"/>
          <w:lang w:val="en-US"/>
        </w:rPr>
        <w:t>-imidazole</w:t>
      </w:r>
      <w:r w:rsidR="00226C8A" w:rsidRPr="00F25B40">
        <w:rPr>
          <w:rFonts w:ascii="Arial" w:hAnsi="Arial" w:cs="Arial"/>
          <w:sz w:val="20"/>
          <w:szCs w:val="20"/>
          <w:lang w:val="en-US"/>
        </w:rPr>
        <w:t xml:space="preserve"> was used as co-ligand</w:t>
      </w:r>
      <w:r w:rsidRPr="00F25B40">
        <w:rPr>
          <w:rFonts w:ascii="Arial" w:eastAsia="Times New Roman" w:hAnsi="Arial" w:cs="Arial"/>
          <w:color w:val="000000" w:themeColor="text1"/>
          <w:sz w:val="20"/>
          <w:szCs w:val="20"/>
          <w:lang w:val="en-US"/>
        </w:rPr>
        <w:t xml:space="preserve">. </w:t>
      </w:r>
      <w:r w:rsidR="007163BB" w:rsidRPr="00F25B40">
        <w:rPr>
          <w:rFonts w:ascii="Arial" w:eastAsia="Times New Roman" w:hAnsi="Arial" w:cs="Arial"/>
          <w:color w:val="000000" w:themeColor="text1"/>
          <w:sz w:val="20"/>
          <w:szCs w:val="20"/>
          <w:lang w:val="en-US"/>
        </w:rPr>
        <w:t xml:space="preserve">Complexes </w:t>
      </w:r>
      <w:r w:rsidR="001E7F71" w:rsidRPr="00F25B40">
        <w:rPr>
          <w:rFonts w:ascii="Arial" w:eastAsia="Times New Roman" w:hAnsi="Arial" w:cs="Arial"/>
          <w:color w:val="000000" w:themeColor="text1"/>
          <w:sz w:val="20"/>
          <w:szCs w:val="20"/>
          <w:lang w:val="en-US"/>
        </w:rPr>
        <w:t>of ratio 1:1:2 (M</w:t>
      </w:r>
      <w:r w:rsidR="006C75E0" w:rsidRPr="00F25B40">
        <w:rPr>
          <w:rFonts w:ascii="Arial" w:eastAsia="Times New Roman" w:hAnsi="Arial" w:cs="Arial"/>
          <w:color w:val="000000" w:themeColor="text1"/>
          <w:sz w:val="20"/>
          <w:szCs w:val="20"/>
          <w:lang w:val="en-US"/>
        </w:rPr>
        <w:t>etal</w:t>
      </w:r>
      <w:r w:rsidR="001E7F71" w:rsidRPr="00F25B40">
        <w:rPr>
          <w:rFonts w:ascii="Arial" w:eastAsia="Times New Roman" w:hAnsi="Arial" w:cs="Arial"/>
          <w:color w:val="000000" w:themeColor="text1"/>
          <w:sz w:val="20"/>
          <w:szCs w:val="20"/>
          <w:lang w:val="en-US"/>
        </w:rPr>
        <w:t>/Diacid/</w:t>
      </w:r>
      <w:r w:rsidR="001E7F71" w:rsidRPr="00F25B40">
        <w:rPr>
          <w:rFonts w:ascii="Arial" w:hAnsi="Arial" w:cs="Arial"/>
          <w:sz w:val="20"/>
          <w:szCs w:val="20"/>
          <w:lang w:val="en-US"/>
        </w:rPr>
        <w:t>1-ethyl-1</w:t>
      </w:r>
      <w:r w:rsidR="001E7F71" w:rsidRPr="00F25B40">
        <w:rPr>
          <w:rFonts w:ascii="Arial" w:hAnsi="Arial" w:cs="Arial"/>
          <w:i/>
          <w:iCs/>
          <w:sz w:val="20"/>
          <w:szCs w:val="20"/>
          <w:lang w:val="en-US"/>
        </w:rPr>
        <w:t>H</w:t>
      </w:r>
      <w:r w:rsidR="001E7F71" w:rsidRPr="00F25B40">
        <w:rPr>
          <w:rFonts w:ascii="Arial" w:hAnsi="Arial" w:cs="Arial"/>
          <w:sz w:val="20"/>
          <w:szCs w:val="20"/>
          <w:lang w:val="en-US"/>
        </w:rPr>
        <w:t>-imidazole</w:t>
      </w:r>
      <w:r w:rsidR="001E7F71" w:rsidRPr="00F25B40">
        <w:rPr>
          <w:rFonts w:ascii="Arial" w:eastAsia="Times New Roman" w:hAnsi="Arial" w:cs="Arial"/>
          <w:color w:val="000000" w:themeColor="text1"/>
          <w:sz w:val="20"/>
          <w:szCs w:val="20"/>
          <w:lang w:val="en-US"/>
        </w:rPr>
        <w:t xml:space="preserve"> </w:t>
      </w:r>
      <w:r w:rsidR="006C75E0" w:rsidRPr="00F25B40">
        <w:rPr>
          <w:rFonts w:ascii="Arial" w:eastAsia="Times New Roman" w:hAnsi="Arial" w:cs="Arial"/>
          <w:color w:val="000000" w:themeColor="text1"/>
          <w:sz w:val="20"/>
          <w:szCs w:val="20"/>
          <w:lang w:val="en-US"/>
        </w:rPr>
        <w:t xml:space="preserve"> were recovered. </w:t>
      </w:r>
      <w:r w:rsidRPr="00F25B40">
        <w:rPr>
          <w:rFonts w:ascii="Arial" w:eastAsia="Times New Roman" w:hAnsi="Arial" w:cs="Arial"/>
          <w:color w:val="000000" w:themeColor="text1"/>
          <w:sz w:val="20"/>
          <w:szCs w:val="20"/>
          <w:lang w:val="en-US"/>
        </w:rPr>
        <w:t xml:space="preserve">The structure of the </w:t>
      </w:r>
      <w:r w:rsidR="006C75E0" w:rsidRPr="00F25B40">
        <w:rPr>
          <w:rFonts w:ascii="Arial" w:eastAsia="Times New Roman" w:hAnsi="Arial" w:cs="Arial"/>
          <w:color w:val="000000" w:themeColor="text1"/>
          <w:sz w:val="20"/>
          <w:szCs w:val="20"/>
          <w:lang w:val="en-US"/>
        </w:rPr>
        <w:t>complexes are</w:t>
      </w:r>
      <w:r w:rsidRPr="00F25B40">
        <w:rPr>
          <w:rFonts w:ascii="Arial" w:eastAsia="Times New Roman" w:hAnsi="Arial" w:cs="Arial"/>
          <w:color w:val="000000" w:themeColor="text1"/>
          <w:sz w:val="20"/>
          <w:szCs w:val="20"/>
          <w:lang w:val="en-US"/>
        </w:rPr>
        <w:t xml:space="preserve"> elucidated by infrared </w:t>
      </w:r>
      <w:r w:rsidR="000C2B98" w:rsidRPr="00F25B40">
        <w:rPr>
          <w:rFonts w:ascii="Arial" w:eastAsia="Times New Roman" w:hAnsi="Arial" w:cs="Arial"/>
          <w:color w:val="000000" w:themeColor="text1"/>
          <w:sz w:val="20"/>
          <w:szCs w:val="20"/>
          <w:lang w:val="en-US"/>
        </w:rPr>
        <w:t xml:space="preserve">and UV-visible </w:t>
      </w:r>
      <w:r w:rsidRPr="00F25B40">
        <w:rPr>
          <w:rFonts w:ascii="Arial" w:eastAsia="Times New Roman" w:hAnsi="Arial" w:cs="Arial"/>
          <w:color w:val="000000" w:themeColor="text1"/>
          <w:sz w:val="20"/>
          <w:szCs w:val="20"/>
          <w:lang w:val="en-US"/>
        </w:rPr>
        <w:t>spectroscop</w:t>
      </w:r>
      <w:r w:rsidR="000C2B98" w:rsidRPr="00F25B40">
        <w:rPr>
          <w:rFonts w:ascii="Arial" w:eastAsia="Times New Roman" w:hAnsi="Arial" w:cs="Arial"/>
          <w:color w:val="000000" w:themeColor="text1"/>
          <w:sz w:val="20"/>
          <w:szCs w:val="20"/>
          <w:lang w:val="en-US"/>
        </w:rPr>
        <w:t>ies</w:t>
      </w:r>
      <w:r w:rsidR="006C75E0" w:rsidRPr="00F25B40">
        <w:rPr>
          <w:rFonts w:ascii="Arial" w:eastAsia="Times New Roman" w:hAnsi="Arial" w:cs="Arial"/>
          <w:color w:val="000000" w:themeColor="text1"/>
          <w:sz w:val="20"/>
          <w:szCs w:val="20"/>
          <w:lang w:val="en-US"/>
        </w:rPr>
        <w:t xml:space="preserve">, thermal </w:t>
      </w:r>
      <w:r w:rsidR="000C2B98" w:rsidRPr="00F25B40">
        <w:rPr>
          <w:rFonts w:ascii="Arial" w:eastAsia="Times New Roman" w:hAnsi="Arial" w:cs="Arial"/>
          <w:color w:val="000000" w:themeColor="text1"/>
          <w:sz w:val="20"/>
          <w:szCs w:val="20"/>
          <w:lang w:val="en-US"/>
        </w:rPr>
        <w:t>study</w:t>
      </w:r>
      <w:r w:rsidRPr="00F25B40">
        <w:rPr>
          <w:rFonts w:ascii="Arial" w:eastAsia="Times New Roman" w:hAnsi="Arial" w:cs="Arial"/>
          <w:color w:val="000000" w:themeColor="text1"/>
          <w:sz w:val="20"/>
          <w:szCs w:val="20"/>
          <w:lang w:val="en-US"/>
        </w:rPr>
        <w:t xml:space="preserve"> and X-ray crystallographic analyze. In the copper(II) complex the metal center is </w:t>
      </w:r>
      <w:r w:rsidR="005007DA" w:rsidRPr="00F25B40">
        <w:rPr>
          <w:rFonts w:ascii="Arial" w:eastAsia="Times New Roman" w:hAnsi="Arial" w:cs="Arial"/>
          <w:color w:val="000000" w:themeColor="text1"/>
          <w:sz w:val="20"/>
          <w:szCs w:val="20"/>
          <w:lang w:val="en-US"/>
        </w:rPr>
        <w:t>pent</w:t>
      </w:r>
      <w:r w:rsidRPr="00F25B40">
        <w:rPr>
          <w:rFonts w:ascii="Arial" w:eastAsia="Times New Roman" w:hAnsi="Arial" w:cs="Arial"/>
          <w:color w:val="000000" w:themeColor="text1"/>
          <w:sz w:val="20"/>
          <w:szCs w:val="20"/>
          <w:lang w:val="en-US"/>
        </w:rPr>
        <w:t>acoordinated and the metal ion is situated in N</w:t>
      </w:r>
      <w:r w:rsidRPr="00F25B40">
        <w:rPr>
          <w:rFonts w:ascii="Arial" w:eastAsia="Times New Roman" w:hAnsi="Arial" w:cs="Arial"/>
          <w:color w:val="000000" w:themeColor="text1"/>
          <w:sz w:val="20"/>
          <w:szCs w:val="20"/>
          <w:vertAlign w:val="subscript"/>
          <w:lang w:val="en-US"/>
        </w:rPr>
        <w:t>2</w:t>
      </w:r>
      <w:r w:rsidRPr="00F25B40">
        <w:rPr>
          <w:rFonts w:ascii="Arial" w:eastAsia="Times New Roman" w:hAnsi="Arial" w:cs="Arial"/>
          <w:color w:val="000000" w:themeColor="text1"/>
          <w:sz w:val="20"/>
          <w:szCs w:val="20"/>
          <w:lang w:val="en-US"/>
        </w:rPr>
        <w:t>O</w:t>
      </w:r>
      <w:r w:rsidR="005007DA" w:rsidRPr="00F25B40">
        <w:rPr>
          <w:rFonts w:ascii="Arial" w:eastAsia="Times New Roman" w:hAnsi="Arial" w:cs="Arial"/>
          <w:color w:val="000000" w:themeColor="text1"/>
          <w:sz w:val="20"/>
          <w:szCs w:val="20"/>
          <w:vertAlign w:val="subscript"/>
          <w:lang w:val="en-US"/>
        </w:rPr>
        <w:t>3</w:t>
      </w:r>
      <w:r w:rsidRPr="00F25B40">
        <w:rPr>
          <w:rFonts w:ascii="Arial" w:eastAsia="Times New Roman" w:hAnsi="Arial" w:cs="Arial"/>
          <w:color w:val="000000" w:themeColor="text1"/>
          <w:sz w:val="20"/>
          <w:szCs w:val="20"/>
          <w:lang w:val="en-US"/>
        </w:rPr>
        <w:t xml:space="preserve"> inner. The environment around the Cu(II) ion is best described as </w:t>
      </w:r>
      <w:r w:rsidR="00A12D75" w:rsidRPr="00F25B40">
        <w:rPr>
          <w:rFonts w:ascii="Arial" w:eastAsia="Times New Roman" w:hAnsi="Arial" w:cs="Arial"/>
          <w:color w:val="000000" w:themeColor="text1"/>
          <w:sz w:val="20"/>
          <w:szCs w:val="20"/>
          <w:lang w:val="en-US"/>
        </w:rPr>
        <w:t xml:space="preserve">a </w:t>
      </w:r>
      <w:r w:rsidR="00A12D75" w:rsidRPr="00F25B40">
        <w:rPr>
          <w:rFonts w:ascii="Arial" w:hAnsi="Arial" w:cs="Arial"/>
          <w:sz w:val="20"/>
          <w:szCs w:val="20"/>
          <w:lang w:val="en-US"/>
        </w:rPr>
        <w:t>distorted square pyramidal environment</w:t>
      </w:r>
      <w:r w:rsidRPr="00F25B40">
        <w:rPr>
          <w:rFonts w:ascii="Arial" w:eastAsia="Times New Roman" w:hAnsi="Arial" w:cs="Arial"/>
          <w:color w:val="000000" w:themeColor="text1"/>
          <w:sz w:val="20"/>
          <w:szCs w:val="20"/>
          <w:lang w:val="en-US"/>
        </w:rPr>
        <w:t xml:space="preserve">. The coordination complex is a polymeric structure, in which each bridging </w:t>
      </w:r>
      <w:r w:rsidR="000C6369" w:rsidRPr="00F25B40">
        <w:rPr>
          <w:rFonts w:ascii="Arial" w:eastAsia="Times New Roman" w:hAnsi="Arial" w:cs="Arial"/>
          <w:color w:val="000000" w:themeColor="text1"/>
          <w:sz w:val="20"/>
          <w:szCs w:val="20"/>
          <w:lang w:val="en-US"/>
        </w:rPr>
        <w:t>maleat</w:t>
      </w:r>
      <w:r w:rsidRPr="00F25B40">
        <w:rPr>
          <w:rFonts w:ascii="Arial" w:eastAsia="Times New Roman" w:hAnsi="Arial" w:cs="Arial"/>
          <w:color w:val="000000" w:themeColor="text1"/>
          <w:sz w:val="20"/>
          <w:szCs w:val="20"/>
          <w:lang w:val="en-US"/>
        </w:rPr>
        <w:t xml:space="preserve">e ion </w:t>
      </w:r>
      <w:r w:rsidRPr="00A75A90">
        <w:rPr>
          <w:rFonts w:ascii="Arial" w:eastAsia="Times New Roman" w:hAnsi="Arial" w:cs="Arial"/>
          <w:color w:val="000000" w:themeColor="text1"/>
          <w:sz w:val="20"/>
          <w:szCs w:val="20"/>
          <w:lang w:val="en-US"/>
        </w:rPr>
        <w:t xml:space="preserve">acts in </w:t>
      </w:r>
      <w:r w:rsidR="008263DB" w:rsidRPr="00A75A90">
        <w:rPr>
          <w:rFonts w:ascii="Arial" w:eastAsia="Times New Roman" w:hAnsi="Arial" w:cs="Arial"/>
          <w:i/>
          <w:iCs/>
          <w:color w:val="000000" w:themeColor="text1"/>
          <w:sz w:val="20"/>
          <w:szCs w:val="20"/>
          <w:lang w:val="en-US"/>
        </w:rPr>
        <w:sym w:font="Symbol" w:char="F068"/>
      </w:r>
      <w:r w:rsidR="003265DA" w:rsidRPr="00A75A90">
        <w:rPr>
          <w:rFonts w:ascii="Arial" w:hAnsi="Arial" w:cs="Arial"/>
          <w:color w:val="000000" w:themeColor="text1"/>
          <w:sz w:val="20"/>
          <w:szCs w:val="18"/>
          <w:vertAlign w:val="superscript"/>
          <w:lang w:val="en-US"/>
        </w:rPr>
        <w:t>1</w:t>
      </w:r>
      <w:r w:rsidR="003265DA" w:rsidRPr="00A75A90">
        <w:rPr>
          <w:rFonts w:ascii="Arial" w:hAnsi="Arial" w:cs="Arial"/>
          <w:color w:val="000000" w:themeColor="text1"/>
          <w:sz w:val="20"/>
          <w:szCs w:val="18"/>
          <w:lang w:val="en-US"/>
        </w:rPr>
        <w:t>:</w:t>
      </w:r>
      <w:r w:rsidR="008263DB" w:rsidRPr="00A75A90">
        <w:rPr>
          <w:rFonts w:ascii="Arial" w:eastAsia="Times New Roman" w:hAnsi="Arial" w:cs="Arial"/>
          <w:i/>
          <w:iCs/>
          <w:color w:val="000000" w:themeColor="text1"/>
          <w:sz w:val="20"/>
          <w:szCs w:val="20"/>
          <w:lang w:val="en-US"/>
        </w:rPr>
        <w:sym w:font="Symbol" w:char="F068"/>
      </w:r>
      <w:r w:rsidR="003265DA" w:rsidRPr="00A75A90">
        <w:rPr>
          <w:rFonts w:ascii="Arial" w:hAnsi="Arial" w:cs="Arial"/>
          <w:color w:val="000000" w:themeColor="text1"/>
          <w:sz w:val="20"/>
          <w:szCs w:val="18"/>
          <w:vertAlign w:val="superscript"/>
          <w:lang w:val="en-US"/>
        </w:rPr>
        <w:t>2</w:t>
      </w:r>
      <w:r w:rsidRPr="00A75A90">
        <w:rPr>
          <w:rFonts w:ascii="Arial" w:hAnsi="Arial" w:cs="Arial"/>
          <w:color w:val="000000" w:themeColor="text1"/>
          <w:sz w:val="20"/>
          <w:szCs w:val="18"/>
          <w:lang w:val="en-US"/>
        </w:rPr>
        <w:t>:</w:t>
      </w:r>
      <w:r w:rsidR="008263DB" w:rsidRPr="00A75A90">
        <w:rPr>
          <w:rFonts w:ascii="Arial" w:eastAsia="Symbol" w:hAnsi="Arial" w:cs="Arial"/>
          <w:i/>
          <w:iCs/>
          <w:color w:val="000000" w:themeColor="text1"/>
          <w:sz w:val="20"/>
          <w:szCs w:val="18"/>
          <w:lang w:val="en-US"/>
        </w:rPr>
        <w:sym w:font="Symbol" w:char="F06D"/>
      </w:r>
      <w:r w:rsidRPr="00A75A90">
        <w:rPr>
          <w:rFonts w:ascii="Arial" w:hAnsi="Arial" w:cs="Arial"/>
          <w:color w:val="000000" w:themeColor="text1"/>
          <w:sz w:val="20"/>
          <w:szCs w:val="18"/>
          <w:vertAlign w:val="subscript"/>
          <w:lang w:val="en-US"/>
        </w:rPr>
        <w:t>2</w:t>
      </w:r>
      <w:r w:rsidRPr="00A75A90">
        <w:rPr>
          <w:rFonts w:ascii="Arial" w:hAnsi="Arial" w:cs="Arial"/>
          <w:color w:val="000000" w:themeColor="text1"/>
          <w:sz w:val="20"/>
          <w:szCs w:val="18"/>
          <w:lang w:val="en-US"/>
        </w:rPr>
        <w:t>-</w:t>
      </w:r>
      <w:r w:rsidRPr="00A75A90">
        <w:rPr>
          <w:rFonts w:ascii="Arial" w:eastAsia="Times New Roman" w:hAnsi="Arial" w:cs="Arial"/>
          <w:color w:val="000000" w:themeColor="text1"/>
          <w:sz w:val="20"/>
          <w:szCs w:val="20"/>
          <w:lang w:val="en-US"/>
        </w:rPr>
        <w:t xml:space="preserve">mode. </w:t>
      </w:r>
      <w:r w:rsidR="000C6369" w:rsidRPr="00A75A90">
        <w:rPr>
          <w:rFonts w:ascii="Arial" w:eastAsia="Times New Roman" w:hAnsi="Arial" w:cs="Arial"/>
          <w:color w:val="000000" w:themeColor="text1"/>
          <w:sz w:val="20"/>
          <w:szCs w:val="20"/>
          <w:lang w:val="en-US"/>
        </w:rPr>
        <w:t xml:space="preserve">In the </w:t>
      </w:r>
      <w:r w:rsidR="002F48DC" w:rsidRPr="00A75A90">
        <w:rPr>
          <w:rFonts w:ascii="Arial" w:eastAsia="Times New Roman" w:hAnsi="Arial" w:cs="Arial"/>
          <w:color w:val="000000" w:themeColor="text1"/>
          <w:sz w:val="20"/>
          <w:szCs w:val="20"/>
          <w:lang w:val="en-US"/>
        </w:rPr>
        <w:t>zinc</w:t>
      </w:r>
      <w:r w:rsidR="000C6369" w:rsidRPr="00A75A90">
        <w:rPr>
          <w:rFonts w:ascii="Arial" w:eastAsia="Times New Roman" w:hAnsi="Arial" w:cs="Arial"/>
          <w:color w:val="000000" w:themeColor="text1"/>
          <w:sz w:val="20"/>
          <w:szCs w:val="20"/>
          <w:lang w:val="en-US"/>
        </w:rPr>
        <w:t>(II) complex the metal center is tetracoordinated and the metal ion is situated in N</w:t>
      </w:r>
      <w:r w:rsidR="000C6369" w:rsidRPr="00A75A90">
        <w:rPr>
          <w:rFonts w:ascii="Arial" w:eastAsia="Times New Roman" w:hAnsi="Arial" w:cs="Arial"/>
          <w:color w:val="000000" w:themeColor="text1"/>
          <w:sz w:val="20"/>
          <w:szCs w:val="20"/>
          <w:vertAlign w:val="subscript"/>
          <w:lang w:val="en-US"/>
        </w:rPr>
        <w:t>2</w:t>
      </w:r>
      <w:r w:rsidR="000C6369" w:rsidRPr="00A75A90">
        <w:rPr>
          <w:rFonts w:ascii="Arial" w:eastAsia="Times New Roman" w:hAnsi="Arial" w:cs="Arial"/>
          <w:color w:val="000000" w:themeColor="text1"/>
          <w:sz w:val="20"/>
          <w:szCs w:val="20"/>
          <w:lang w:val="en-US"/>
        </w:rPr>
        <w:t>O</w:t>
      </w:r>
      <w:r w:rsidR="000C6369" w:rsidRPr="00A75A90">
        <w:rPr>
          <w:rFonts w:ascii="Arial" w:eastAsia="Times New Roman" w:hAnsi="Arial" w:cs="Arial"/>
          <w:color w:val="000000" w:themeColor="text1"/>
          <w:sz w:val="20"/>
          <w:szCs w:val="20"/>
          <w:vertAlign w:val="subscript"/>
          <w:lang w:val="en-US"/>
        </w:rPr>
        <w:t>2</w:t>
      </w:r>
      <w:r w:rsidR="000C6369" w:rsidRPr="00A75A90">
        <w:rPr>
          <w:rFonts w:ascii="Arial" w:eastAsia="Times New Roman" w:hAnsi="Arial" w:cs="Arial"/>
          <w:color w:val="000000" w:themeColor="text1"/>
          <w:sz w:val="20"/>
          <w:szCs w:val="20"/>
          <w:lang w:val="en-US"/>
        </w:rPr>
        <w:t xml:space="preserve"> inner. The environment around the Cu(II) ion is best described as a </w:t>
      </w:r>
      <w:r w:rsidR="002F48DC" w:rsidRPr="00A75A90">
        <w:rPr>
          <w:rFonts w:ascii="Arial" w:hAnsi="Arial" w:cs="Arial"/>
          <w:sz w:val="20"/>
          <w:szCs w:val="20"/>
          <w:lang w:val="en-US"/>
        </w:rPr>
        <w:t xml:space="preserve">distorted tetrahedral geometry </w:t>
      </w:r>
      <w:r w:rsidR="000C6369" w:rsidRPr="00A75A90">
        <w:rPr>
          <w:rFonts w:ascii="Arial" w:hAnsi="Arial" w:cs="Arial"/>
          <w:sz w:val="20"/>
          <w:szCs w:val="20"/>
          <w:lang w:val="en-US"/>
        </w:rPr>
        <w:t>environment</w:t>
      </w:r>
      <w:r w:rsidR="000C6369" w:rsidRPr="00A75A90">
        <w:rPr>
          <w:rFonts w:ascii="Arial" w:eastAsia="Times New Roman" w:hAnsi="Arial" w:cs="Arial"/>
          <w:color w:val="000000" w:themeColor="text1"/>
          <w:sz w:val="20"/>
          <w:szCs w:val="20"/>
          <w:lang w:val="en-US"/>
        </w:rPr>
        <w:t xml:space="preserve">. The coordination complex is a polymeric structure, in which each bridging </w:t>
      </w:r>
      <w:r w:rsidR="007B4062" w:rsidRPr="00A75A90">
        <w:rPr>
          <w:rFonts w:ascii="Arial" w:eastAsia="Times New Roman" w:hAnsi="Arial" w:cs="Arial"/>
          <w:color w:val="000000" w:themeColor="text1"/>
          <w:sz w:val="20"/>
          <w:szCs w:val="20"/>
          <w:lang w:val="en-US"/>
        </w:rPr>
        <w:t>succinate</w:t>
      </w:r>
      <w:r w:rsidR="000C6369" w:rsidRPr="00A75A90">
        <w:rPr>
          <w:rFonts w:ascii="Arial" w:eastAsia="Times New Roman" w:hAnsi="Arial" w:cs="Arial"/>
          <w:color w:val="000000" w:themeColor="text1"/>
          <w:sz w:val="20"/>
          <w:szCs w:val="20"/>
          <w:lang w:val="en-US"/>
        </w:rPr>
        <w:t xml:space="preserve"> ion acts in </w:t>
      </w:r>
      <w:r w:rsidR="008263DB" w:rsidRPr="00A75A90">
        <w:rPr>
          <w:rFonts w:ascii="Arial" w:eastAsia="Times New Roman" w:hAnsi="Arial" w:cs="Arial"/>
          <w:i/>
          <w:iCs/>
          <w:color w:val="000000" w:themeColor="text1"/>
          <w:sz w:val="20"/>
          <w:szCs w:val="20"/>
          <w:lang w:val="en-US"/>
        </w:rPr>
        <w:sym w:font="Symbol" w:char="F068"/>
      </w:r>
      <w:r w:rsidR="007E2A94" w:rsidRPr="00A75A90">
        <w:rPr>
          <w:rFonts w:ascii="Arial" w:hAnsi="Arial" w:cs="Arial"/>
          <w:color w:val="000000" w:themeColor="text1"/>
          <w:sz w:val="20"/>
          <w:szCs w:val="18"/>
          <w:vertAlign w:val="superscript"/>
          <w:lang w:val="en-US"/>
        </w:rPr>
        <w:t>1</w:t>
      </w:r>
      <w:r w:rsidR="007E2A94" w:rsidRPr="00A75A90">
        <w:rPr>
          <w:rFonts w:ascii="Arial" w:hAnsi="Arial" w:cs="Arial"/>
          <w:color w:val="000000" w:themeColor="text1"/>
          <w:sz w:val="20"/>
          <w:szCs w:val="18"/>
          <w:lang w:val="en-US"/>
        </w:rPr>
        <w:t>:</w:t>
      </w:r>
      <w:r w:rsidR="008263DB" w:rsidRPr="00A75A90">
        <w:rPr>
          <w:rFonts w:ascii="Arial" w:eastAsia="Times New Roman" w:hAnsi="Arial" w:cs="Arial"/>
          <w:i/>
          <w:iCs/>
          <w:color w:val="000000" w:themeColor="text1"/>
          <w:sz w:val="20"/>
          <w:szCs w:val="20"/>
          <w:lang w:val="en-US"/>
        </w:rPr>
        <w:sym w:font="Symbol" w:char="F068"/>
      </w:r>
      <w:r w:rsidR="000C6369" w:rsidRPr="00A75A90">
        <w:rPr>
          <w:rFonts w:ascii="Arial" w:hAnsi="Arial" w:cs="Arial"/>
          <w:color w:val="000000" w:themeColor="text1"/>
          <w:sz w:val="20"/>
          <w:szCs w:val="18"/>
          <w:vertAlign w:val="superscript"/>
          <w:lang w:val="en-US"/>
        </w:rPr>
        <w:t>1</w:t>
      </w:r>
      <w:r w:rsidR="000C6369" w:rsidRPr="00A75A90">
        <w:rPr>
          <w:rFonts w:ascii="Arial" w:hAnsi="Arial" w:cs="Arial"/>
          <w:color w:val="000000" w:themeColor="text1"/>
          <w:sz w:val="20"/>
          <w:szCs w:val="18"/>
          <w:lang w:val="en-US"/>
        </w:rPr>
        <w:t>:</w:t>
      </w:r>
      <w:r w:rsidR="008263DB" w:rsidRPr="00A75A90">
        <w:rPr>
          <w:rFonts w:ascii="Arial" w:eastAsia="Symbol" w:hAnsi="Arial" w:cs="Arial"/>
          <w:i/>
          <w:iCs/>
          <w:color w:val="000000" w:themeColor="text1"/>
          <w:sz w:val="20"/>
          <w:szCs w:val="18"/>
          <w:lang w:val="en-US"/>
        </w:rPr>
        <w:sym w:font="Symbol" w:char="F06D"/>
      </w:r>
      <w:r w:rsidR="000C6369" w:rsidRPr="00A75A90">
        <w:rPr>
          <w:rFonts w:ascii="Arial" w:hAnsi="Arial" w:cs="Arial"/>
          <w:color w:val="000000" w:themeColor="text1"/>
          <w:sz w:val="20"/>
          <w:szCs w:val="18"/>
          <w:vertAlign w:val="subscript"/>
          <w:lang w:val="en-US"/>
        </w:rPr>
        <w:t>2</w:t>
      </w:r>
      <w:r w:rsidR="000C6369" w:rsidRPr="00A75A90">
        <w:rPr>
          <w:rFonts w:ascii="Arial" w:hAnsi="Arial" w:cs="Arial"/>
          <w:color w:val="000000" w:themeColor="text1"/>
          <w:sz w:val="20"/>
          <w:szCs w:val="18"/>
          <w:lang w:val="en-US"/>
        </w:rPr>
        <w:t>-</w:t>
      </w:r>
      <w:r w:rsidR="000C6369" w:rsidRPr="00A75A90">
        <w:rPr>
          <w:rFonts w:ascii="Arial" w:eastAsia="Times New Roman" w:hAnsi="Arial" w:cs="Arial"/>
          <w:color w:val="000000" w:themeColor="text1"/>
          <w:sz w:val="20"/>
          <w:szCs w:val="20"/>
          <w:lang w:val="en-US"/>
        </w:rPr>
        <w:t>mode.</w:t>
      </w:r>
    </w:p>
    <w:p w14:paraId="42A55FC8" w14:textId="77777777" w:rsidR="00516148" w:rsidRPr="00343124" w:rsidRDefault="00516148" w:rsidP="00343124">
      <w:pPr>
        <w:pStyle w:val="Heading1"/>
      </w:pPr>
      <w:r w:rsidRPr="00343124">
        <w:t>Supporting information</w:t>
      </w:r>
    </w:p>
    <w:p w14:paraId="5D58466F" w14:textId="0FAB8162" w:rsidR="00516148" w:rsidRDefault="00516148" w:rsidP="009F1A18">
      <w:pPr>
        <w:autoSpaceDE w:val="0"/>
        <w:autoSpaceDN w:val="0"/>
        <w:adjustRightInd w:val="0"/>
        <w:spacing w:after="0" w:line="240" w:lineRule="auto"/>
        <w:jc w:val="both"/>
        <w:rPr>
          <w:rFonts w:ascii="Arial" w:hAnsi="Arial" w:cs="Arial"/>
          <w:color w:val="000000" w:themeColor="text1"/>
          <w:sz w:val="20"/>
          <w:szCs w:val="20"/>
          <w:lang w:val="en-US"/>
        </w:rPr>
      </w:pPr>
      <w:r w:rsidRPr="00F25B40">
        <w:rPr>
          <w:rFonts w:ascii="Arial" w:eastAsia="TimesNewRoman" w:hAnsi="Arial" w:cs="Arial"/>
          <w:color w:val="000000" w:themeColor="text1"/>
          <w:sz w:val="20"/>
          <w:szCs w:val="20"/>
          <w:lang w:val="en-US"/>
        </w:rPr>
        <w:t>CCDC-</w:t>
      </w:r>
      <w:r w:rsidRPr="00F25B40">
        <w:rPr>
          <w:rFonts w:ascii="Arial" w:hAnsi="Arial" w:cs="Arial"/>
          <w:color w:val="000000" w:themeColor="text1"/>
          <w:sz w:val="16"/>
          <w:szCs w:val="16"/>
          <w:shd w:val="clear" w:color="auto" w:fill="FFFFFF"/>
          <w:lang w:val="en-US"/>
        </w:rPr>
        <w:t> </w:t>
      </w:r>
      <w:r w:rsidRPr="00F25B40">
        <w:rPr>
          <w:rFonts w:ascii="Arial" w:hAnsi="Arial" w:cs="Arial"/>
          <w:sz w:val="20"/>
          <w:szCs w:val="20"/>
          <w:lang w:val="en-US"/>
        </w:rPr>
        <w:t>2430216</w:t>
      </w:r>
      <w:r w:rsidRPr="00F25B40">
        <w:rPr>
          <w:rFonts w:ascii="Arial" w:hAnsi="Arial" w:cs="Arial"/>
          <w:sz w:val="20"/>
          <w:szCs w:val="20"/>
          <w:lang w:val="en-GB"/>
        </w:rPr>
        <w:t xml:space="preserve"> and </w:t>
      </w:r>
      <w:r w:rsidRPr="00F25B40">
        <w:rPr>
          <w:rFonts w:ascii="Arial" w:hAnsi="Arial" w:cs="Arial"/>
          <w:sz w:val="20"/>
          <w:szCs w:val="20"/>
          <w:lang w:val="en-US"/>
        </w:rPr>
        <w:t xml:space="preserve">2432731 </w:t>
      </w:r>
      <w:r w:rsidRPr="00F25B40">
        <w:rPr>
          <w:rFonts w:ascii="Arial" w:eastAsia="TimesNewRoman" w:hAnsi="Arial" w:cs="Arial"/>
          <w:color w:val="000000" w:themeColor="text1"/>
          <w:sz w:val="20"/>
          <w:szCs w:val="20"/>
          <w:lang w:val="en-US"/>
        </w:rPr>
        <w:t>contain the supplementary crystallographic data for the copper (II) complex</w:t>
      </w:r>
      <w:r w:rsidRPr="00F25B40">
        <w:rPr>
          <w:rFonts w:ascii="Arial" w:hAnsi="Arial" w:cs="Arial"/>
          <w:sz w:val="20"/>
          <w:szCs w:val="20"/>
          <w:lang w:val="en-GB"/>
        </w:rPr>
        <w:t>(</w:t>
      </w:r>
      <w:r w:rsidRPr="00F25B40">
        <w:rPr>
          <w:rFonts w:ascii="Arial" w:hAnsi="Arial" w:cs="Arial"/>
          <w:b/>
          <w:sz w:val="20"/>
          <w:szCs w:val="20"/>
          <w:lang w:val="en-GB"/>
        </w:rPr>
        <w:t>1</w:t>
      </w:r>
      <w:r w:rsidRPr="00F25B40">
        <w:rPr>
          <w:rFonts w:ascii="Arial" w:hAnsi="Arial" w:cs="Arial"/>
          <w:sz w:val="20"/>
          <w:szCs w:val="20"/>
          <w:lang w:val="en-GB"/>
        </w:rPr>
        <w:t xml:space="preserve">) and the zinc(II) complex </w:t>
      </w:r>
      <w:r w:rsidRPr="00F25B40">
        <w:rPr>
          <w:rFonts w:ascii="Arial" w:hAnsi="Arial" w:cs="Arial"/>
          <w:sz w:val="20"/>
          <w:szCs w:val="20"/>
          <w:lang w:val="en-US"/>
        </w:rPr>
        <w:t>(</w:t>
      </w:r>
      <w:r w:rsidRPr="00F25B40">
        <w:rPr>
          <w:rFonts w:ascii="Arial" w:hAnsi="Arial" w:cs="Arial"/>
          <w:b/>
          <w:bCs/>
          <w:sz w:val="20"/>
          <w:szCs w:val="20"/>
          <w:lang w:val="en-US"/>
        </w:rPr>
        <w:t>2</w:t>
      </w:r>
      <w:r w:rsidRPr="00F25B40">
        <w:rPr>
          <w:rFonts w:ascii="Arial" w:hAnsi="Arial" w:cs="Arial"/>
          <w:sz w:val="20"/>
          <w:szCs w:val="20"/>
          <w:lang w:val="en-US"/>
        </w:rPr>
        <w:t>)</w:t>
      </w:r>
      <w:r w:rsidRPr="00F25B40">
        <w:rPr>
          <w:rFonts w:ascii="Arial" w:eastAsia="TimesNewRoman" w:hAnsi="Arial" w:cs="Arial"/>
          <w:color w:val="000000" w:themeColor="text1"/>
          <w:sz w:val="20"/>
          <w:szCs w:val="20"/>
          <w:lang w:val="en-US"/>
        </w:rPr>
        <w:t xml:space="preserve">. </w:t>
      </w:r>
      <w:r w:rsidRPr="00F25B40">
        <w:rPr>
          <w:rFonts w:ascii="Arial" w:hAnsi="Arial" w:cs="Arial"/>
          <w:color w:val="000000" w:themeColor="text1"/>
          <w:sz w:val="20"/>
          <w:szCs w:val="20"/>
          <w:lang w:val="en-US"/>
        </w:rPr>
        <w:t>These data can be obtained free of charge via Available https://www.ccdc.cam.ac.uk/ structures/, or by contacting The Cambridge Crystallographic Data Centre, 12 Union Road, Cambridge CB2 1EZ, UK</w:t>
      </w:r>
      <w:r w:rsidR="00F44532">
        <w:rPr>
          <w:rFonts w:ascii="Arial" w:hAnsi="Arial" w:cs="Arial"/>
          <w:color w:val="000000" w:themeColor="text1"/>
          <w:sz w:val="20"/>
          <w:szCs w:val="20"/>
          <w:lang w:val="en-US"/>
        </w:rPr>
        <w:t>.</w:t>
      </w:r>
    </w:p>
    <w:p w14:paraId="418F54E8" w14:textId="32B92CFC" w:rsidR="00E34571" w:rsidRDefault="00E34571" w:rsidP="009F1A18">
      <w:pPr>
        <w:autoSpaceDE w:val="0"/>
        <w:autoSpaceDN w:val="0"/>
        <w:adjustRightInd w:val="0"/>
        <w:spacing w:after="0" w:line="240" w:lineRule="auto"/>
        <w:jc w:val="both"/>
        <w:rPr>
          <w:rFonts w:ascii="Arial" w:eastAsia="TimesNewRoman" w:hAnsi="Arial" w:cs="Arial"/>
          <w:color w:val="000000" w:themeColor="text1"/>
          <w:sz w:val="20"/>
          <w:szCs w:val="20"/>
          <w:lang w:val="en-US"/>
        </w:rPr>
      </w:pPr>
    </w:p>
    <w:p w14:paraId="04FF9E2F" w14:textId="59CD3523" w:rsidR="00E34571" w:rsidRDefault="00E34571" w:rsidP="009F1A18">
      <w:pPr>
        <w:autoSpaceDE w:val="0"/>
        <w:autoSpaceDN w:val="0"/>
        <w:adjustRightInd w:val="0"/>
        <w:spacing w:after="0" w:line="240" w:lineRule="auto"/>
        <w:jc w:val="both"/>
        <w:rPr>
          <w:rFonts w:ascii="Arial" w:eastAsia="TimesNewRoman" w:hAnsi="Arial" w:cs="Arial"/>
          <w:color w:val="000000" w:themeColor="text1"/>
          <w:sz w:val="20"/>
          <w:szCs w:val="20"/>
          <w:lang w:val="en-US"/>
        </w:rPr>
      </w:pPr>
    </w:p>
    <w:p w14:paraId="307C63AC" w14:textId="624B332E" w:rsidR="00E34571" w:rsidRDefault="00E34571" w:rsidP="009F1A18">
      <w:pPr>
        <w:autoSpaceDE w:val="0"/>
        <w:autoSpaceDN w:val="0"/>
        <w:adjustRightInd w:val="0"/>
        <w:spacing w:after="0" w:line="240" w:lineRule="auto"/>
        <w:jc w:val="both"/>
        <w:rPr>
          <w:rFonts w:ascii="Arial" w:eastAsia="TimesNewRoman" w:hAnsi="Arial" w:cs="Arial"/>
          <w:color w:val="000000" w:themeColor="text1"/>
          <w:sz w:val="20"/>
          <w:szCs w:val="20"/>
          <w:lang w:val="en-US"/>
        </w:rPr>
      </w:pPr>
    </w:p>
    <w:p w14:paraId="6E8B583C" w14:textId="77777777" w:rsidR="00E34571" w:rsidRPr="004B1546" w:rsidRDefault="00E34571" w:rsidP="00E34571">
      <w:pPr>
        <w:rPr>
          <w:highlight w:val="yellow"/>
          <w:lang w:val="en-US"/>
        </w:rPr>
      </w:pPr>
      <w:bookmarkStart w:id="2" w:name="_Hlk190852809"/>
      <w:bookmarkStart w:id="3" w:name="_Hlk207791737"/>
      <w:r w:rsidRPr="004B1546">
        <w:rPr>
          <w:highlight w:val="yellow"/>
          <w:lang w:val="en-US"/>
        </w:rPr>
        <w:t>Disclaimer (Artificial intelligence)</w:t>
      </w:r>
    </w:p>
    <w:p w14:paraId="72C4F758" w14:textId="77777777" w:rsidR="00E34571" w:rsidRPr="00DF65DB" w:rsidRDefault="00E34571" w:rsidP="00E34571">
      <w:pPr>
        <w:rPr>
          <w:highlight w:val="green"/>
          <w:lang w:val="en-US"/>
        </w:rPr>
      </w:pPr>
      <w:r w:rsidRPr="00DF65DB">
        <w:rPr>
          <w:highlight w:val="green"/>
          <w:lang w:val="en-US"/>
        </w:rPr>
        <w:t xml:space="preserve">Option 1: </w:t>
      </w:r>
    </w:p>
    <w:p w14:paraId="0951ED6C" w14:textId="77777777" w:rsidR="00E34571" w:rsidRPr="00DF65DB" w:rsidRDefault="00E34571" w:rsidP="00E34571">
      <w:pPr>
        <w:rPr>
          <w:highlight w:val="green"/>
          <w:lang w:val="en-US"/>
        </w:rPr>
      </w:pPr>
      <w:r w:rsidRPr="00DF65DB">
        <w:rPr>
          <w:highlight w:val="green"/>
          <w:lang w:val="en-US"/>
        </w:rPr>
        <w:lastRenderedPageBreak/>
        <w:t xml:space="preserve">Author(s) hereby declare that NO generative AI technologies such as Large Language Models (ChatGPT, COPILOT, etc.) and text-to-image generators have been used during the writing or editing of this manuscript. </w:t>
      </w:r>
    </w:p>
    <w:bookmarkEnd w:id="2"/>
    <w:p w14:paraId="4E260FDD" w14:textId="77777777" w:rsidR="00E34571" w:rsidRPr="004B1546" w:rsidRDefault="00E34571" w:rsidP="00E34571">
      <w:pPr>
        <w:rPr>
          <w:lang w:val="en-US"/>
        </w:rPr>
      </w:pPr>
    </w:p>
    <w:bookmarkEnd w:id="3"/>
    <w:p w14:paraId="253B65F5" w14:textId="77777777" w:rsidR="00E34571" w:rsidRPr="004B1546" w:rsidRDefault="00E34571" w:rsidP="00E34571">
      <w:pPr>
        <w:rPr>
          <w:lang w:val="en-US"/>
        </w:rPr>
      </w:pPr>
    </w:p>
    <w:p w14:paraId="79F74ED6" w14:textId="77777777" w:rsidR="00E34571" w:rsidRPr="00F25B40" w:rsidRDefault="00E34571" w:rsidP="009F1A18">
      <w:pPr>
        <w:autoSpaceDE w:val="0"/>
        <w:autoSpaceDN w:val="0"/>
        <w:adjustRightInd w:val="0"/>
        <w:spacing w:after="0" w:line="240" w:lineRule="auto"/>
        <w:jc w:val="both"/>
        <w:rPr>
          <w:rFonts w:ascii="Arial" w:eastAsia="TimesNewRoman" w:hAnsi="Arial" w:cs="Arial"/>
          <w:color w:val="000000" w:themeColor="text1"/>
          <w:sz w:val="20"/>
          <w:szCs w:val="20"/>
          <w:lang w:val="en-US"/>
        </w:rPr>
      </w:pPr>
    </w:p>
    <w:p w14:paraId="2905221F" w14:textId="77777777" w:rsidR="00343124" w:rsidRDefault="00343124" w:rsidP="00A57067">
      <w:pPr>
        <w:spacing w:after="0" w:line="240" w:lineRule="auto"/>
        <w:ind w:left="567" w:hanging="567"/>
        <w:jc w:val="both"/>
        <w:rPr>
          <w:rFonts w:ascii="Arial" w:hAnsi="Arial" w:cs="Arial"/>
          <w:b/>
          <w:bCs/>
          <w:sz w:val="20"/>
          <w:szCs w:val="20"/>
          <w:lang w:val="en-US"/>
        </w:rPr>
      </w:pPr>
      <w:bookmarkStart w:id="4" w:name="_Hlk207530237"/>
    </w:p>
    <w:p w14:paraId="02C92307" w14:textId="68D0B037" w:rsidR="00BF3E3E" w:rsidRPr="00F25B40" w:rsidRDefault="00BF3E3E" w:rsidP="00343124">
      <w:pPr>
        <w:spacing w:after="240" w:line="240" w:lineRule="auto"/>
        <w:ind w:left="567" w:hanging="567"/>
        <w:jc w:val="both"/>
        <w:rPr>
          <w:rFonts w:ascii="Arial" w:hAnsi="Arial" w:cs="Arial"/>
          <w:b/>
          <w:bCs/>
          <w:sz w:val="20"/>
          <w:szCs w:val="20"/>
          <w:lang w:val="en-US"/>
        </w:rPr>
      </w:pPr>
      <w:r w:rsidRPr="00F25B40">
        <w:rPr>
          <w:rFonts w:ascii="Arial" w:hAnsi="Arial" w:cs="Arial"/>
          <w:b/>
          <w:bCs/>
          <w:sz w:val="20"/>
          <w:szCs w:val="20"/>
          <w:lang w:val="en-US"/>
        </w:rPr>
        <w:t>References</w:t>
      </w:r>
    </w:p>
    <w:p w14:paraId="795187E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szCs w:val="20"/>
          <w:lang w:val="en-US"/>
        </w:rPr>
        <w:fldChar w:fldCharType="begin"/>
      </w:r>
      <w:r w:rsidRPr="00F25B40">
        <w:rPr>
          <w:rFonts w:ascii="Arial" w:hAnsi="Arial" w:cs="Arial"/>
          <w:sz w:val="20"/>
          <w:szCs w:val="20"/>
          <w:lang w:val="en-US"/>
        </w:rPr>
        <w:instrText xml:space="preserve"> ADDIN ZOTERO_BIBL {"uncited":[],"omitted":[],"custom":[]} CSL_BIBLIOGRAPHY </w:instrText>
      </w:r>
      <w:r w:rsidRPr="00F25B40">
        <w:rPr>
          <w:rFonts w:ascii="Arial" w:hAnsi="Arial" w:cs="Arial"/>
          <w:sz w:val="20"/>
          <w:szCs w:val="20"/>
          <w:lang w:val="en-US"/>
        </w:rPr>
        <w:fldChar w:fldCharType="separate"/>
      </w:r>
      <w:r w:rsidRPr="00F25B40">
        <w:rPr>
          <w:rFonts w:ascii="Arial" w:hAnsi="Arial" w:cs="Arial"/>
          <w:sz w:val="20"/>
          <w:lang w:val="en-US"/>
        </w:rPr>
        <w:t>Addison, A W., Rao T. N., Reedijk J., van Rijn J., &amp; Verschoor G. C. (1984). Synthesis, structure, and spectroscopic properties of copper(II) compounds containing nitrogen–sulphur donor ligands; the crystal and molecular structure of aqua[1,7-bis(</w:t>
      </w:r>
      <w:r w:rsidRPr="00F25B40">
        <w:rPr>
          <w:rFonts w:ascii="Arial" w:hAnsi="Arial" w:cs="Arial"/>
          <w:i/>
          <w:iCs/>
          <w:sz w:val="20"/>
          <w:lang w:val="en-US"/>
        </w:rPr>
        <w:t>N</w:t>
      </w:r>
      <w:r w:rsidRPr="00F25B40">
        <w:rPr>
          <w:rFonts w:ascii="Arial" w:hAnsi="Arial" w:cs="Arial"/>
          <w:sz w:val="20"/>
          <w:lang w:val="en-US"/>
        </w:rPr>
        <w:t xml:space="preserve">-methylbenzimidazol-2′-yl)-2,6-dithiaheptane]copper(II) perchlorate. </w:t>
      </w:r>
      <w:r w:rsidRPr="00F25B40">
        <w:rPr>
          <w:rFonts w:ascii="Arial" w:hAnsi="Arial" w:cs="Arial"/>
          <w:i/>
          <w:iCs/>
          <w:sz w:val="20"/>
          <w:lang w:val="en-US"/>
        </w:rPr>
        <w:t>Journal of the Chemical Society, Dalton Transactions,</w:t>
      </w:r>
      <w:r w:rsidRPr="00F25B40">
        <w:rPr>
          <w:rFonts w:ascii="Arial" w:hAnsi="Arial" w:cs="Arial"/>
          <w:sz w:val="20"/>
          <w:lang w:val="en-US"/>
        </w:rPr>
        <w:t xml:space="preserve"> (7), 1349</w:t>
      </w:r>
      <w:r w:rsidRPr="00F25B40">
        <w:rPr>
          <w:rFonts w:ascii="Cambria Math" w:hAnsi="Cambria Math" w:cs="Cambria Math"/>
          <w:sz w:val="20"/>
          <w:lang w:val="en-US"/>
        </w:rPr>
        <w:t>‑</w:t>
      </w:r>
      <w:r w:rsidRPr="00F25B40">
        <w:rPr>
          <w:rFonts w:ascii="Arial" w:hAnsi="Arial" w:cs="Arial"/>
          <w:sz w:val="20"/>
          <w:lang w:val="en-US"/>
        </w:rPr>
        <w:t xml:space="preserve">1356. </w:t>
      </w:r>
    </w:p>
    <w:p w14:paraId="47D68F64"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https://doi.org/10.1039/DT9840001349</w:t>
      </w:r>
    </w:p>
    <w:p w14:paraId="0D47D93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Alshehri, N. S., Sharfalddin, A. A., Domyati, D., Basaleh, A. S., &amp; Hussien, M. A. (2022). Experiment versus theory of copper (II) complexes based imidazole derivatives as anti-cancer agents. </w:t>
      </w:r>
      <w:r w:rsidRPr="00F25B40">
        <w:rPr>
          <w:rFonts w:ascii="Arial" w:hAnsi="Arial" w:cs="Arial"/>
          <w:i/>
          <w:iCs/>
          <w:sz w:val="20"/>
          <w:lang w:val="en-US"/>
        </w:rPr>
        <w:t>Journal of the Indian Chemical Society,</w:t>
      </w:r>
      <w:r w:rsidRPr="00F25B40">
        <w:rPr>
          <w:rFonts w:ascii="Arial" w:hAnsi="Arial" w:cs="Arial"/>
          <w:sz w:val="20"/>
          <w:lang w:val="en-US"/>
        </w:rPr>
        <w:t xml:space="preserve"> 99(10), 100692. </w:t>
      </w:r>
    </w:p>
    <w:p w14:paraId="18646C9F"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https://doi.org/10.1016/j.jics.2022.100692</w:t>
      </w:r>
    </w:p>
    <w:p w14:paraId="5FA7C33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Atria, A. M., Cortés-Cortés, P., Garland, M. T., Baggio, R., Morales, K., Soto, M., &amp; Corsini, G.</w:t>
      </w:r>
      <w:r w:rsidRPr="00F25B40">
        <w:rPr>
          <w:rFonts w:ascii="Arial" w:hAnsi="Arial" w:cs="Arial"/>
          <w:sz w:val="20"/>
          <w:lang w:val="fr-CA"/>
        </w:rPr>
        <w:t xml:space="preserve"> (2011). </w:t>
      </w:r>
      <w:r w:rsidRPr="00F25B40">
        <w:rPr>
          <w:rFonts w:ascii="Arial" w:hAnsi="Arial" w:cs="Arial"/>
          <w:sz w:val="20"/>
          <w:lang w:val="en-US"/>
        </w:rPr>
        <w:t xml:space="preserve">X-ray studies and antibacterial activity in copper and cobalt complexes with imidazole derivative ligands. </w:t>
      </w:r>
      <w:r w:rsidRPr="00F25B40">
        <w:rPr>
          <w:rFonts w:ascii="Arial" w:hAnsi="Arial" w:cs="Arial"/>
          <w:i/>
          <w:iCs/>
          <w:sz w:val="20"/>
          <w:lang w:val="en-US"/>
        </w:rPr>
        <w:t>Journal of the Chilean Chemical Society,</w:t>
      </w:r>
      <w:r w:rsidRPr="00F25B40">
        <w:rPr>
          <w:rFonts w:ascii="Arial" w:hAnsi="Arial" w:cs="Arial"/>
          <w:sz w:val="20"/>
          <w:lang w:val="en-US"/>
        </w:rPr>
        <w:t xml:space="preserve"> 56(3), 786</w:t>
      </w:r>
      <w:r w:rsidRPr="00F25B40">
        <w:rPr>
          <w:rFonts w:ascii="Cambria Math" w:hAnsi="Cambria Math" w:cs="Cambria Math"/>
          <w:sz w:val="20"/>
          <w:lang w:val="en-US"/>
        </w:rPr>
        <w:t>‑</w:t>
      </w:r>
      <w:r w:rsidRPr="00F25B40">
        <w:rPr>
          <w:rFonts w:ascii="Arial" w:hAnsi="Arial" w:cs="Arial"/>
          <w:sz w:val="20"/>
          <w:lang w:val="en-US"/>
        </w:rPr>
        <w:t xml:space="preserve">792. </w:t>
      </w:r>
    </w:p>
    <w:p w14:paraId="41F9CCD5"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https://doi.org/10.4067/S0717-97072011000300015</w:t>
      </w:r>
    </w:p>
    <w:p w14:paraId="2733E0C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Banfi, E., Scialino, G., Zampieri, D., Mamolo, M. G., Vio, L., Ferrone, M., Fermeglia, M., Paneni, M. S., &amp; Pricl, S.</w:t>
      </w:r>
      <w:r w:rsidRPr="00F25B40">
        <w:rPr>
          <w:rFonts w:ascii="Arial" w:hAnsi="Arial" w:cs="Arial"/>
          <w:sz w:val="20"/>
          <w:lang w:val="fr-CA"/>
        </w:rPr>
        <w:t xml:space="preserve"> (2006). </w:t>
      </w:r>
      <w:r w:rsidRPr="00F25B40">
        <w:rPr>
          <w:rFonts w:ascii="Arial" w:hAnsi="Arial" w:cs="Arial"/>
          <w:sz w:val="20"/>
          <w:lang w:val="en-US"/>
        </w:rPr>
        <w:t xml:space="preserve">Antifungal and antimycobacterial activity of new imidazole and triazole derivatives. A combined experimental and computational approach. </w:t>
      </w:r>
      <w:r w:rsidRPr="00F25B40">
        <w:rPr>
          <w:rFonts w:ascii="Arial" w:hAnsi="Arial" w:cs="Arial"/>
          <w:i/>
          <w:iCs/>
          <w:sz w:val="20"/>
          <w:lang w:val="en-US"/>
        </w:rPr>
        <w:t>Journal of Antimicrobial Chemotherapy,</w:t>
      </w:r>
      <w:r w:rsidRPr="00F25B40">
        <w:rPr>
          <w:rFonts w:ascii="Arial" w:hAnsi="Arial" w:cs="Arial"/>
          <w:sz w:val="20"/>
          <w:lang w:val="en-US"/>
        </w:rPr>
        <w:t xml:space="preserve"> 58(1), 76</w:t>
      </w:r>
      <w:r w:rsidRPr="00F25B40">
        <w:rPr>
          <w:rFonts w:ascii="Cambria Math" w:hAnsi="Cambria Math" w:cs="Cambria Math"/>
          <w:sz w:val="20"/>
          <w:lang w:val="en-US"/>
        </w:rPr>
        <w:t>‑</w:t>
      </w:r>
      <w:r w:rsidRPr="00F25B40">
        <w:rPr>
          <w:rFonts w:ascii="Arial" w:hAnsi="Arial" w:cs="Arial"/>
          <w:sz w:val="20"/>
          <w:lang w:val="en-US"/>
        </w:rPr>
        <w:t xml:space="preserve">84. </w:t>
      </w:r>
    </w:p>
    <w:p w14:paraId="0C42B3C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https://doi.org/10.1093/jac/dkl182</w:t>
      </w:r>
    </w:p>
    <w:p w14:paraId="75F83E7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Batool, S. S., Harrison, W. T. A., Syed, Q., &amp; Haider, M. S. (2018). Syntheses and crystal structures of mixed-ligand copper(II)–imidazole–carboxylate complexes. </w:t>
      </w:r>
      <w:r w:rsidRPr="00F25B40">
        <w:rPr>
          <w:rFonts w:ascii="Arial" w:hAnsi="Arial" w:cs="Arial"/>
          <w:i/>
          <w:iCs/>
          <w:sz w:val="20"/>
          <w:lang w:val="en-US"/>
        </w:rPr>
        <w:t>Journal of Coordination Chemistry,</w:t>
      </w:r>
      <w:r w:rsidRPr="00F25B40">
        <w:rPr>
          <w:rFonts w:ascii="Arial" w:hAnsi="Arial" w:cs="Arial"/>
          <w:sz w:val="20"/>
          <w:lang w:val="en-US"/>
        </w:rPr>
        <w:t xml:space="preserve"> 71(9), 1380</w:t>
      </w:r>
      <w:r w:rsidRPr="00F25B40">
        <w:rPr>
          <w:rFonts w:ascii="Cambria Math" w:hAnsi="Cambria Math" w:cs="Cambria Math"/>
          <w:sz w:val="20"/>
          <w:lang w:val="en-US"/>
        </w:rPr>
        <w:t>‑</w:t>
      </w:r>
      <w:r w:rsidRPr="00F25B40">
        <w:rPr>
          <w:rFonts w:ascii="Arial" w:hAnsi="Arial" w:cs="Arial"/>
          <w:sz w:val="20"/>
          <w:lang w:val="en-US"/>
        </w:rPr>
        <w:t xml:space="preserve">1391. </w:t>
      </w:r>
    </w:p>
    <w:p w14:paraId="4F82807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https://doi.org/10.1080/00958972.2018.1460471</w:t>
      </w:r>
    </w:p>
    <w:p w14:paraId="5C87A95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Brezovan, M., Kuchtanin, V., Moncol, J., Pavlik, J., Dlháň, Ľ., &amp; Segľa, P. (2020). Four novel cobalt(II) succinate coordination polymers with N-heterocyclic ligands: crystal structures, spectral properties, magnetism and computational study. </w:t>
      </w:r>
      <w:r w:rsidRPr="00F25B40">
        <w:rPr>
          <w:rFonts w:ascii="Arial" w:hAnsi="Arial" w:cs="Arial"/>
          <w:i/>
          <w:iCs/>
          <w:sz w:val="20"/>
          <w:lang w:val="en-US"/>
        </w:rPr>
        <w:t>Chemical Papers,</w:t>
      </w:r>
      <w:r w:rsidRPr="00F25B40">
        <w:rPr>
          <w:rFonts w:ascii="Arial" w:hAnsi="Arial" w:cs="Arial"/>
          <w:sz w:val="20"/>
          <w:lang w:val="en-US"/>
        </w:rPr>
        <w:t xml:space="preserve"> 74(11), 3741</w:t>
      </w:r>
      <w:r w:rsidRPr="00F25B40">
        <w:rPr>
          <w:rFonts w:ascii="Cambria Math" w:hAnsi="Cambria Math" w:cs="Cambria Math"/>
          <w:sz w:val="20"/>
          <w:lang w:val="en-US"/>
        </w:rPr>
        <w:t>‑</w:t>
      </w:r>
      <w:r w:rsidRPr="00F25B40">
        <w:rPr>
          <w:rFonts w:ascii="Arial" w:hAnsi="Arial" w:cs="Arial"/>
          <w:sz w:val="20"/>
          <w:lang w:val="en-US"/>
        </w:rPr>
        <w:t xml:space="preserve">3753. </w:t>
      </w:r>
    </w:p>
    <w:p w14:paraId="5B78C42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https://doi.org/10.1007/s11696-020-01206-1</w:t>
      </w:r>
    </w:p>
    <w:p w14:paraId="4309D992"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Chen, S.-S., Bai, Z.-S., Fan, J., Lv, G.-C., Su, Z., Chen, M.-S., &amp; Sun, W.-Y. (2010). Synthesis and characterization of metal complexes with a mixed 4-imidazole-containing ligand and a variety of multi-carboxylic acids. </w:t>
      </w:r>
      <w:r w:rsidRPr="00F25B40">
        <w:rPr>
          <w:rFonts w:ascii="Arial" w:hAnsi="Arial" w:cs="Arial"/>
          <w:i/>
          <w:iCs/>
          <w:sz w:val="20"/>
          <w:lang w:val="en-US"/>
        </w:rPr>
        <w:t>CrystEngComm,</w:t>
      </w:r>
      <w:r w:rsidRPr="00F25B40">
        <w:rPr>
          <w:rFonts w:ascii="Arial" w:hAnsi="Arial" w:cs="Arial"/>
          <w:sz w:val="20"/>
          <w:lang w:val="en-US"/>
        </w:rPr>
        <w:t xml:space="preserve"> 12(10), 3091</w:t>
      </w:r>
      <w:r w:rsidRPr="00F25B40">
        <w:rPr>
          <w:rFonts w:ascii="Cambria Math" w:hAnsi="Cambria Math" w:cs="Cambria Math"/>
          <w:sz w:val="20"/>
          <w:lang w:val="en-US"/>
        </w:rPr>
        <w:t>‑</w:t>
      </w:r>
      <w:r w:rsidRPr="00F25B40">
        <w:rPr>
          <w:rFonts w:ascii="Arial" w:hAnsi="Arial" w:cs="Arial"/>
          <w:sz w:val="20"/>
          <w:lang w:val="en-US"/>
        </w:rPr>
        <w:t xml:space="preserve">3104. </w:t>
      </w:r>
    </w:p>
    <w:p w14:paraId="6BEC81D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https://doi.org/10.1039/C000373E</w:t>
      </w:r>
    </w:p>
    <w:p w14:paraId="6B3EF49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Conradie, J. (2019). Jahn-Teller effect in high spin d</w:t>
      </w:r>
      <w:r w:rsidRPr="00F25B40">
        <w:rPr>
          <w:rFonts w:ascii="Arial" w:hAnsi="Arial" w:cs="Arial"/>
          <w:sz w:val="20"/>
          <w:vertAlign w:val="superscript"/>
          <w:lang w:val="en-US"/>
        </w:rPr>
        <w:t>4</w:t>
      </w:r>
      <w:r w:rsidRPr="00F25B40">
        <w:rPr>
          <w:rFonts w:ascii="Arial" w:hAnsi="Arial" w:cs="Arial"/>
          <w:sz w:val="20"/>
          <w:lang w:val="en-US"/>
        </w:rPr>
        <w:t xml:space="preserve"> and d</w:t>
      </w:r>
      <w:r w:rsidRPr="00F25B40">
        <w:rPr>
          <w:rFonts w:ascii="Arial" w:hAnsi="Arial" w:cs="Arial"/>
          <w:sz w:val="20"/>
          <w:vertAlign w:val="superscript"/>
          <w:lang w:val="en-US"/>
        </w:rPr>
        <w:t>9</w:t>
      </w:r>
      <w:r w:rsidRPr="00F25B40">
        <w:rPr>
          <w:rFonts w:ascii="Arial" w:hAnsi="Arial" w:cs="Arial"/>
          <w:sz w:val="20"/>
          <w:lang w:val="en-US"/>
        </w:rPr>
        <w:t xml:space="preserve"> octahedral metal-complexes. </w:t>
      </w:r>
      <w:r w:rsidRPr="00F25B40">
        <w:rPr>
          <w:rFonts w:ascii="Arial" w:hAnsi="Arial" w:cs="Arial"/>
          <w:i/>
          <w:iCs/>
          <w:sz w:val="20"/>
          <w:lang w:val="en-US"/>
        </w:rPr>
        <w:t>Inorganica Chimica Acta,</w:t>
      </w:r>
      <w:r w:rsidRPr="00F25B40">
        <w:rPr>
          <w:rFonts w:ascii="Arial" w:hAnsi="Arial" w:cs="Arial"/>
          <w:sz w:val="20"/>
          <w:lang w:val="en-US"/>
        </w:rPr>
        <w:t xml:space="preserve"> 486, 193</w:t>
      </w:r>
      <w:r w:rsidRPr="00F25B40">
        <w:rPr>
          <w:rFonts w:ascii="Cambria Math" w:hAnsi="Cambria Math" w:cs="Cambria Math"/>
          <w:sz w:val="20"/>
          <w:lang w:val="en-US"/>
        </w:rPr>
        <w:t>‑</w:t>
      </w:r>
      <w:r w:rsidRPr="00F25B40">
        <w:rPr>
          <w:rFonts w:ascii="Arial" w:hAnsi="Arial" w:cs="Arial"/>
          <w:sz w:val="20"/>
          <w:lang w:val="en-US"/>
        </w:rPr>
        <w:t xml:space="preserve">99. </w:t>
      </w:r>
    </w:p>
    <w:p w14:paraId="693A480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https://doi.org/10.1016/j.ica.2018.10.040</w:t>
      </w:r>
    </w:p>
    <w:p w14:paraId="7BEB1D0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Czylkowska, A., Rogalewicz, B., Raducka, A., Błaszczyk, N., Maniecki, T., Wieczorek, K., &amp; Mierczyński, P.  (2020). Synthesis, Spectroscopic, Thermal and Catalytic Properties of Four New Metal (II) Complexes with Selected N- and O-Donor Ligands. </w:t>
      </w:r>
      <w:r w:rsidRPr="00F25B40">
        <w:rPr>
          <w:rFonts w:ascii="Arial" w:hAnsi="Arial" w:cs="Arial"/>
          <w:i/>
          <w:iCs/>
          <w:sz w:val="20"/>
          <w:lang w:val="en-US"/>
        </w:rPr>
        <w:t>Materials,</w:t>
      </w:r>
      <w:r w:rsidRPr="00F25B40">
        <w:rPr>
          <w:rFonts w:ascii="Arial" w:hAnsi="Arial" w:cs="Arial"/>
          <w:sz w:val="20"/>
          <w:lang w:val="en-US"/>
        </w:rPr>
        <w:t xml:space="preserve"> 13(14), 3217. </w:t>
      </w:r>
    </w:p>
    <w:p w14:paraId="05C5442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https://doi.org/10.3390/ma13143217</w:t>
      </w:r>
    </w:p>
    <w:p w14:paraId="7BD43F0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Darensbourg, D. J., Holtcamp, M. W., Longridge, E. M., Klausmeyer, K. K., &amp; Reibenspies, J. H. (1994). Structural characterization of bidentate carboxylate derivatives of copper(I) bistriphenylphosphine. </w:t>
      </w:r>
      <w:r w:rsidRPr="00F25B40">
        <w:rPr>
          <w:rFonts w:ascii="Arial" w:hAnsi="Arial" w:cs="Arial"/>
          <w:i/>
          <w:iCs/>
          <w:sz w:val="20"/>
          <w:lang w:val="en-US"/>
        </w:rPr>
        <w:t>Inorganica Chimica Acta,</w:t>
      </w:r>
      <w:r w:rsidRPr="00F25B40">
        <w:rPr>
          <w:rFonts w:ascii="Arial" w:hAnsi="Arial" w:cs="Arial"/>
          <w:sz w:val="20"/>
          <w:lang w:val="en-US"/>
        </w:rPr>
        <w:t xml:space="preserve"> 227(2), 223</w:t>
      </w:r>
      <w:r w:rsidRPr="00F25B40">
        <w:rPr>
          <w:rFonts w:ascii="Cambria Math" w:hAnsi="Cambria Math" w:cs="Cambria Math"/>
          <w:sz w:val="20"/>
          <w:lang w:val="en-US"/>
        </w:rPr>
        <w:t>‑</w:t>
      </w:r>
      <w:r w:rsidRPr="00F25B40">
        <w:rPr>
          <w:rFonts w:ascii="Arial" w:hAnsi="Arial" w:cs="Arial"/>
          <w:sz w:val="20"/>
          <w:lang w:val="en-US"/>
        </w:rPr>
        <w:t xml:space="preserve">32. </w:t>
      </w:r>
    </w:p>
    <w:p w14:paraId="18836FA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https://doi.org/10.1016/0020-1693(94)04214-4</w:t>
      </w:r>
    </w:p>
    <w:p w14:paraId="055F0774"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Deacon, G. B., &amp; Phillips, R. J. (1980). Relationships between the carbon-oxygen stretching frequencies of carboxylato complexes and the type of carboxylate coordination. </w:t>
      </w:r>
      <w:r w:rsidRPr="00F25B40">
        <w:rPr>
          <w:rFonts w:ascii="Arial" w:hAnsi="Arial" w:cs="Arial"/>
          <w:i/>
          <w:iCs/>
          <w:sz w:val="20"/>
          <w:lang w:val="en-US"/>
        </w:rPr>
        <w:t>Coordination Chemistry Reviews,</w:t>
      </w:r>
      <w:r w:rsidRPr="00F25B40">
        <w:rPr>
          <w:rFonts w:ascii="Arial" w:hAnsi="Arial" w:cs="Arial"/>
          <w:sz w:val="20"/>
          <w:lang w:val="en-US"/>
        </w:rPr>
        <w:t xml:space="preserve"> 33(3), 227</w:t>
      </w:r>
      <w:r w:rsidRPr="00F25B40">
        <w:rPr>
          <w:rFonts w:ascii="Cambria Math" w:hAnsi="Cambria Math" w:cs="Cambria Math"/>
          <w:sz w:val="20"/>
          <w:lang w:val="en-US"/>
        </w:rPr>
        <w:t>‑</w:t>
      </w:r>
      <w:r w:rsidRPr="00F25B40">
        <w:rPr>
          <w:rFonts w:ascii="Arial" w:hAnsi="Arial" w:cs="Arial"/>
          <w:sz w:val="20"/>
          <w:lang w:val="en-US"/>
        </w:rPr>
        <w:t xml:space="preserve">50. </w:t>
      </w:r>
    </w:p>
    <w:p w14:paraId="29AD9FF2"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https://doi.org/10.1016/S0010-8545(00)80455-5</w:t>
      </w:r>
    </w:p>
    <w:p w14:paraId="04DDC03D"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lastRenderedPageBreak/>
        <w:t xml:space="preserve">Demir, S., Kantar, G. K., Topcu, Y., &amp; Li, Q. (2012). Solvothermal synthesis and characterization of coordination polymers of cobalt(II) and zinc(II) with succinic acid. </w:t>
      </w:r>
      <w:r w:rsidRPr="00F25B40">
        <w:rPr>
          <w:rFonts w:ascii="Arial" w:hAnsi="Arial" w:cs="Arial"/>
          <w:i/>
          <w:iCs/>
          <w:sz w:val="20"/>
          <w:lang w:val="en-US"/>
        </w:rPr>
        <w:t>Transition Metal Chemistry,</w:t>
      </w:r>
      <w:r w:rsidRPr="00F25B40">
        <w:rPr>
          <w:rFonts w:ascii="Arial" w:hAnsi="Arial" w:cs="Arial"/>
          <w:sz w:val="20"/>
          <w:lang w:val="en-US"/>
        </w:rPr>
        <w:t xml:space="preserve"> 37(3), 257</w:t>
      </w:r>
      <w:r w:rsidRPr="00F25B40">
        <w:rPr>
          <w:rFonts w:ascii="Cambria Math" w:hAnsi="Cambria Math" w:cs="Cambria Math"/>
          <w:sz w:val="20"/>
          <w:lang w:val="en-US"/>
        </w:rPr>
        <w:t>‑</w:t>
      </w:r>
      <w:r w:rsidRPr="00F25B40">
        <w:rPr>
          <w:rFonts w:ascii="Arial" w:hAnsi="Arial" w:cs="Arial"/>
          <w:sz w:val="20"/>
          <w:lang w:val="en-US"/>
        </w:rPr>
        <w:t xml:space="preserve">63. </w:t>
      </w:r>
    </w:p>
    <w:p w14:paraId="4A2495E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https://doi.org/10.1007/s11243-012-9581-8</w:t>
      </w:r>
    </w:p>
    <w:p w14:paraId="7897FCD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Demir, S., Yilmaz, V. T., Yilmaz, F., &amp; Buyukgungor, O. (2009). One-Dimensional Cobalt(II) and Zinc(II) Succinato Coordination Polymers with Nicotinamide: Synthesis, Structural, Spectroscopic, Fluorescent and Thermal Properties. </w:t>
      </w:r>
      <w:r w:rsidRPr="00F25B40">
        <w:rPr>
          <w:rFonts w:ascii="Arial" w:hAnsi="Arial" w:cs="Arial"/>
          <w:i/>
          <w:iCs/>
          <w:sz w:val="20"/>
          <w:lang w:val="en-US"/>
        </w:rPr>
        <w:t>Journal of Inorganic and Organometallic Polymers and Materials,</w:t>
      </w:r>
      <w:r w:rsidRPr="00F25B40">
        <w:rPr>
          <w:rFonts w:ascii="Arial" w:hAnsi="Arial" w:cs="Arial"/>
          <w:sz w:val="20"/>
          <w:lang w:val="en-US"/>
        </w:rPr>
        <w:t xml:space="preserve"> 19(3), 342</w:t>
      </w:r>
      <w:r w:rsidRPr="00F25B40">
        <w:rPr>
          <w:rFonts w:ascii="Cambria Math" w:hAnsi="Cambria Math" w:cs="Cambria Math"/>
          <w:sz w:val="20"/>
          <w:lang w:val="en-US"/>
        </w:rPr>
        <w:t>‑</w:t>
      </w:r>
      <w:r w:rsidRPr="00F25B40">
        <w:rPr>
          <w:rFonts w:ascii="Arial" w:hAnsi="Arial" w:cs="Arial"/>
          <w:sz w:val="20"/>
          <w:lang w:val="en-US"/>
        </w:rPr>
        <w:t xml:space="preserve">47. </w:t>
      </w:r>
    </w:p>
    <w:p w14:paraId="79CC6F5E"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https://doi.org/10.1007/s10904-009-9273-9</w:t>
      </w:r>
    </w:p>
    <w:p w14:paraId="32D9554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Dey, S. K., Shit, S., Mitra, S., Thompson, L. K., &amp; Malik, K. M. A. (2007). An antiferromagnetically coupled trinuclear Cu(II) complex containing </w:t>
      </w:r>
      <w:r w:rsidRPr="00F25B40">
        <w:rPr>
          <w:rFonts w:ascii="Arial" w:hAnsi="Arial" w:cs="Arial"/>
          <w:sz w:val="20"/>
        </w:rPr>
        <w:t>μ</w:t>
      </w:r>
      <w:r w:rsidRPr="00F25B40">
        <w:rPr>
          <w:rFonts w:ascii="Arial" w:hAnsi="Arial" w:cs="Arial"/>
          <w:sz w:val="20"/>
          <w:lang w:val="en-US"/>
        </w:rPr>
        <w:t xml:space="preserve">(O,O′), </w:t>
      </w:r>
      <w:r w:rsidRPr="00F25B40">
        <w:rPr>
          <w:rFonts w:ascii="Arial" w:hAnsi="Arial" w:cs="Arial"/>
          <w:sz w:val="20"/>
        </w:rPr>
        <w:t>μ</w:t>
      </w:r>
      <w:r w:rsidRPr="00F25B40">
        <w:rPr>
          <w:rFonts w:ascii="Arial" w:hAnsi="Arial" w:cs="Arial"/>
          <w:sz w:val="20"/>
          <w:lang w:val="en-US"/>
        </w:rPr>
        <w:t xml:space="preserve">(O) carboxylates and </w:t>
      </w:r>
      <w:r w:rsidRPr="00F25B40">
        <w:rPr>
          <w:rFonts w:ascii="Arial" w:hAnsi="Arial" w:cs="Arial"/>
          <w:sz w:val="20"/>
        </w:rPr>
        <w:t>μ</w:t>
      </w:r>
      <w:r w:rsidRPr="00F25B40">
        <w:rPr>
          <w:rFonts w:ascii="Arial" w:hAnsi="Arial" w:cs="Arial"/>
          <w:sz w:val="20"/>
          <w:lang w:val="en-US"/>
        </w:rPr>
        <w:t xml:space="preserve">(O) phenoxide bridges. </w:t>
      </w:r>
      <w:r w:rsidRPr="00F25B40">
        <w:rPr>
          <w:rFonts w:ascii="Arial" w:hAnsi="Arial" w:cs="Arial"/>
          <w:i/>
          <w:iCs/>
          <w:sz w:val="20"/>
          <w:lang w:val="en-US"/>
        </w:rPr>
        <w:t>Inorganica Chimica Acta,</w:t>
      </w:r>
      <w:r w:rsidRPr="00F25B40">
        <w:rPr>
          <w:rFonts w:ascii="Arial" w:hAnsi="Arial" w:cs="Arial"/>
          <w:sz w:val="20"/>
          <w:lang w:val="en-US"/>
        </w:rPr>
        <w:t xml:space="preserve"> 360(6), 1915</w:t>
      </w:r>
      <w:r w:rsidRPr="00F25B40">
        <w:rPr>
          <w:rFonts w:ascii="Cambria Math" w:hAnsi="Cambria Math" w:cs="Cambria Math"/>
          <w:sz w:val="20"/>
          <w:lang w:val="en-US"/>
        </w:rPr>
        <w:t>‑</w:t>
      </w:r>
      <w:r w:rsidRPr="00F25B40">
        <w:rPr>
          <w:rFonts w:ascii="Arial" w:hAnsi="Arial" w:cs="Arial"/>
          <w:sz w:val="20"/>
          <w:lang w:val="en-US"/>
        </w:rPr>
        <w:t xml:space="preserve">20. </w:t>
      </w:r>
    </w:p>
    <w:p w14:paraId="56A9161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https://doi.org/10.1016/j.ica.2006.09.030</w:t>
      </w:r>
    </w:p>
    <w:p w14:paraId="2FC1BBB6"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Efimenko, I. A., Podobedov, R. E., Churakov, A. V., Kuz’mina, L. G., Garbuzova, I. A., Lokshin, B. V., Maksimov, A. L., &amp; Flid, V. R. (2011). Binary palladium carboxylates with electron-donating and electron-withdrawing substituents in the carboxylate ligand: Synthesis and structural studies. The crystal structures of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-CH</w:t>
      </w:r>
      <w:r w:rsidRPr="00F25B40">
        <w:rPr>
          <w:rFonts w:ascii="Arial" w:hAnsi="Arial" w:cs="Arial"/>
          <w:sz w:val="20"/>
          <w:vertAlign w:val="subscript"/>
          <w:lang w:val="en-US"/>
        </w:rPr>
        <w:t>2</w:t>
      </w:r>
      <w:r w:rsidRPr="00F25B40">
        <w:rPr>
          <w:rFonts w:ascii="Arial" w:hAnsi="Arial" w:cs="Arial"/>
          <w:sz w:val="20"/>
          <w:lang w:val="en-US"/>
        </w:rPr>
        <w:t>ClCO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·CH</w:t>
      </w:r>
      <w:r w:rsidRPr="00F25B40">
        <w:rPr>
          <w:rFonts w:ascii="Arial" w:hAnsi="Arial" w:cs="Arial"/>
          <w:sz w:val="20"/>
          <w:vertAlign w:val="subscript"/>
          <w:lang w:val="en-US"/>
        </w:rPr>
        <w:t>2</w:t>
      </w:r>
      <w:r w:rsidRPr="00F25B40">
        <w:rPr>
          <w:rFonts w:ascii="Arial" w:hAnsi="Arial" w:cs="Arial"/>
          <w:sz w:val="20"/>
          <w:lang w:val="en-US"/>
        </w:rPr>
        <w:t>Cl</w:t>
      </w:r>
      <w:r w:rsidRPr="00F25B40">
        <w:rPr>
          <w:rFonts w:ascii="Arial" w:hAnsi="Arial" w:cs="Arial"/>
          <w:sz w:val="20"/>
          <w:vertAlign w:val="subscript"/>
          <w:lang w:val="en-US"/>
        </w:rPr>
        <w:t>2</w:t>
      </w:r>
      <w:r w:rsidRPr="00F25B40">
        <w:rPr>
          <w:rFonts w:ascii="Arial" w:hAnsi="Arial" w:cs="Arial"/>
          <w:sz w:val="20"/>
          <w:lang w:val="en-US"/>
        </w:rPr>
        <w:t>,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w:t>
      </w:r>
      <w:r w:rsidRPr="00F25B40">
        <w:rPr>
          <w:rFonts w:ascii="Arial" w:hAnsi="Arial" w:cs="Arial"/>
          <w:sz w:val="20"/>
          <w:vertAlign w:val="subscript"/>
          <w:lang w:val="en-US"/>
        </w:rPr>
        <w:t>6</w:t>
      </w:r>
      <w:r w:rsidRPr="00F25B40">
        <w:rPr>
          <w:rFonts w:ascii="Arial" w:hAnsi="Arial" w:cs="Arial"/>
          <w:sz w:val="20"/>
          <w:lang w:val="en-US"/>
        </w:rPr>
        <w:t>H</w:t>
      </w:r>
      <w:r w:rsidRPr="00F25B40">
        <w:rPr>
          <w:rFonts w:ascii="Arial" w:hAnsi="Arial" w:cs="Arial"/>
          <w:sz w:val="20"/>
          <w:vertAlign w:val="subscript"/>
          <w:lang w:val="en-US"/>
        </w:rPr>
        <w:t>11</w:t>
      </w:r>
      <w:r w:rsidRPr="00F25B40">
        <w:rPr>
          <w:rFonts w:ascii="Arial" w:hAnsi="Arial" w:cs="Arial"/>
          <w:sz w:val="20"/>
          <w:lang w:val="en-US"/>
        </w:rPr>
        <w:t>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 and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-CMe</w:t>
      </w:r>
      <w:r w:rsidRPr="00F25B40">
        <w:rPr>
          <w:rFonts w:ascii="Arial" w:hAnsi="Arial" w:cs="Arial"/>
          <w:sz w:val="20"/>
          <w:vertAlign w:val="subscript"/>
          <w:lang w:val="en-US"/>
        </w:rPr>
        <w:t>3</w:t>
      </w:r>
      <w:r w:rsidRPr="00F25B40">
        <w:rPr>
          <w:rFonts w:ascii="Arial" w:hAnsi="Arial" w:cs="Arial"/>
          <w:sz w:val="20"/>
          <w:lang w:val="en-US"/>
        </w:rPr>
        <w:t>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 xml:space="preserve">. </w:t>
      </w:r>
      <w:r w:rsidRPr="00F25B40">
        <w:rPr>
          <w:rFonts w:ascii="Arial" w:hAnsi="Arial" w:cs="Arial"/>
          <w:i/>
          <w:iCs/>
          <w:sz w:val="20"/>
          <w:lang w:val="en-US"/>
        </w:rPr>
        <w:t>Russian Journal of Coordination Chemistry,</w:t>
      </w:r>
      <w:r w:rsidRPr="00F25B40">
        <w:rPr>
          <w:rFonts w:ascii="Arial" w:hAnsi="Arial" w:cs="Arial"/>
          <w:sz w:val="20"/>
          <w:lang w:val="en-US"/>
        </w:rPr>
        <w:t xml:space="preserve"> 37(8), 625</w:t>
      </w:r>
      <w:r w:rsidRPr="00F25B40">
        <w:rPr>
          <w:rFonts w:ascii="Cambria Math" w:hAnsi="Cambria Math" w:cs="Cambria Math"/>
          <w:sz w:val="20"/>
          <w:lang w:val="en-US"/>
        </w:rPr>
        <w:t>‑</w:t>
      </w:r>
      <w:r w:rsidRPr="00F25B40">
        <w:rPr>
          <w:rFonts w:ascii="Arial" w:hAnsi="Arial" w:cs="Arial"/>
          <w:sz w:val="20"/>
          <w:lang w:val="en-US"/>
        </w:rPr>
        <w:t xml:space="preserve">34. </w:t>
      </w:r>
    </w:p>
    <w:p w14:paraId="364B0DE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https://doi.org/10.1134/S1070328411080021</w:t>
      </w:r>
    </w:p>
    <w:p w14:paraId="7861607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Farrugia, L. J. (2012). WinGX and ORTEP for Windows: an update. </w:t>
      </w:r>
      <w:r w:rsidRPr="00F25B40">
        <w:rPr>
          <w:rFonts w:ascii="Arial" w:hAnsi="Arial" w:cs="Arial"/>
          <w:i/>
          <w:iCs/>
          <w:sz w:val="20"/>
          <w:lang w:val="en-US"/>
        </w:rPr>
        <w:t>Journal of Applied Crystallography,</w:t>
      </w:r>
      <w:r w:rsidRPr="00F25B40">
        <w:rPr>
          <w:rFonts w:ascii="Arial" w:hAnsi="Arial" w:cs="Arial"/>
          <w:sz w:val="20"/>
          <w:lang w:val="en-US"/>
        </w:rPr>
        <w:t xml:space="preserve"> 45(4), 849</w:t>
      </w:r>
      <w:r w:rsidRPr="00F25B40">
        <w:rPr>
          <w:rFonts w:ascii="Cambria Math" w:hAnsi="Cambria Math" w:cs="Cambria Math"/>
          <w:sz w:val="20"/>
          <w:lang w:val="en-US"/>
        </w:rPr>
        <w:t>‑</w:t>
      </w:r>
      <w:r w:rsidRPr="00F25B40">
        <w:rPr>
          <w:rFonts w:ascii="Arial" w:hAnsi="Arial" w:cs="Arial"/>
          <w:sz w:val="20"/>
          <w:lang w:val="en-US"/>
        </w:rPr>
        <w:t xml:space="preserve">54. </w:t>
      </w:r>
    </w:p>
    <w:p w14:paraId="4ABF61C4"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https://doi.org/10.1107/S0021889812029111</w:t>
      </w:r>
    </w:p>
    <w:p w14:paraId="2B168BA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Fudulu, A., Olar, R., Maxim, C., Scăeţeanu, G. V., Bleotu, C., Matei, L., Chifiriuc, M. C., &amp; Badea, M. (2021). New Cobalt (II) Complexes with Imidazole Derivatives: Antimicrobial Efficiency against Planktonic and Adherent Microbes and In Vitro Cytotoxicity Features. </w:t>
      </w:r>
      <w:r w:rsidRPr="00F25B40">
        <w:rPr>
          <w:rFonts w:ascii="Arial" w:hAnsi="Arial" w:cs="Arial"/>
          <w:i/>
          <w:iCs/>
          <w:sz w:val="20"/>
          <w:lang w:val="en-US"/>
        </w:rPr>
        <w:t>Molecules,</w:t>
      </w:r>
      <w:r w:rsidRPr="00F25B40">
        <w:rPr>
          <w:rFonts w:ascii="Arial" w:hAnsi="Arial" w:cs="Arial"/>
          <w:sz w:val="20"/>
          <w:lang w:val="en-US"/>
        </w:rPr>
        <w:t xml:space="preserve"> 26(1), 55. </w:t>
      </w:r>
    </w:p>
    <w:p w14:paraId="1AF7306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https://doi.org/10.3390/molecules26010055</w:t>
      </w:r>
    </w:p>
    <w:p w14:paraId="18097B06"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Gałczyńska, K., Ciepluch, K., Madej, Ł., Kurdziel, K., Maciejewska, B., Drulis-Kawa, Z., Węgierek-Ciuk, A., Lankoff, A., &amp; Arabski, M. (2019). Selective cytotoxicity and antifungal properties of copper(II) and cobalt(II) complexes with imidazole-4-acetate anion or 1-allylimidazole. </w:t>
      </w:r>
      <w:r w:rsidRPr="00F25B40">
        <w:rPr>
          <w:rFonts w:ascii="Arial" w:hAnsi="Arial" w:cs="Arial"/>
          <w:i/>
          <w:iCs/>
          <w:sz w:val="20"/>
          <w:lang w:val="en-US"/>
        </w:rPr>
        <w:t>Scientific Reports,</w:t>
      </w:r>
      <w:r w:rsidRPr="00F25B40">
        <w:rPr>
          <w:rFonts w:ascii="Arial" w:hAnsi="Arial" w:cs="Arial"/>
          <w:sz w:val="20"/>
          <w:lang w:val="en-US"/>
        </w:rPr>
        <w:t xml:space="preserve"> 9(1), 9777. </w:t>
      </w:r>
    </w:p>
    <w:p w14:paraId="3EC15C36" w14:textId="77777777" w:rsidR="00BF3E3E"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https://doi.org/10.1038/s41598-019-46224-6</w:t>
      </w:r>
    </w:p>
    <w:p w14:paraId="6F6B508F" w14:textId="77777777" w:rsidR="00C958CC" w:rsidRPr="00CD1F66" w:rsidRDefault="00C958CC" w:rsidP="00126A9E">
      <w:pPr>
        <w:pStyle w:val="Bibliography"/>
        <w:spacing w:line="240" w:lineRule="auto"/>
        <w:ind w:left="567" w:hanging="567"/>
        <w:rPr>
          <w:rFonts w:ascii="Arial" w:hAnsi="Arial" w:cs="Arial"/>
          <w:sz w:val="20"/>
          <w:szCs w:val="18"/>
          <w:highlight w:val="green"/>
          <w:lang w:val="en-US"/>
        </w:rPr>
      </w:pPr>
      <w:r w:rsidRPr="00CD1F66">
        <w:rPr>
          <w:rFonts w:ascii="Arial" w:hAnsi="Arial" w:cs="Arial"/>
          <w:sz w:val="20"/>
          <w:szCs w:val="18"/>
          <w:highlight w:val="green"/>
          <w:lang w:val="en-US"/>
        </w:rPr>
        <w:t xml:space="preserve">He, J., Wang, Y., Su, C., Hu, Y., Hu, W., Hu, L., &amp; Wang, H. (2024). Synthesis and anti-tumor activities of three newly designed organotin(IV) carboxylates complexes. </w:t>
      </w:r>
      <w:r w:rsidRPr="00CD1F66">
        <w:rPr>
          <w:rFonts w:ascii="Arial" w:hAnsi="Arial" w:cs="Arial"/>
          <w:i/>
          <w:iCs/>
          <w:sz w:val="20"/>
          <w:szCs w:val="18"/>
          <w:highlight w:val="green"/>
          <w:lang w:val="en-US"/>
        </w:rPr>
        <w:t>Journal of Inorganic Biochemistry</w:t>
      </w:r>
      <w:r w:rsidRPr="00CD1F66">
        <w:rPr>
          <w:rFonts w:ascii="Arial" w:hAnsi="Arial" w:cs="Arial"/>
          <w:sz w:val="20"/>
          <w:szCs w:val="18"/>
          <w:highlight w:val="green"/>
          <w:lang w:val="en-US"/>
        </w:rPr>
        <w:t xml:space="preserve">, </w:t>
      </w:r>
      <w:r w:rsidRPr="00CD1F66">
        <w:rPr>
          <w:rFonts w:ascii="Arial" w:hAnsi="Arial" w:cs="Arial"/>
          <w:i/>
          <w:iCs/>
          <w:sz w:val="20"/>
          <w:szCs w:val="18"/>
          <w:highlight w:val="green"/>
          <w:lang w:val="en-US"/>
        </w:rPr>
        <w:t>258</w:t>
      </w:r>
      <w:r w:rsidRPr="00CD1F66">
        <w:rPr>
          <w:rFonts w:ascii="Arial" w:hAnsi="Arial" w:cs="Arial"/>
          <w:sz w:val="20"/>
          <w:szCs w:val="18"/>
          <w:highlight w:val="green"/>
          <w:lang w:val="en-US"/>
        </w:rPr>
        <w:t xml:space="preserve">, 112609. </w:t>
      </w:r>
    </w:p>
    <w:p w14:paraId="539F0B23" w14:textId="748D6512" w:rsidR="00C958CC" w:rsidRPr="00CD1F66" w:rsidRDefault="00C958CC" w:rsidP="00C958CC">
      <w:pPr>
        <w:pStyle w:val="Bibliography"/>
        <w:spacing w:line="240" w:lineRule="auto"/>
        <w:ind w:hanging="153"/>
        <w:rPr>
          <w:rFonts w:ascii="Arial" w:hAnsi="Arial" w:cs="Arial"/>
          <w:sz w:val="20"/>
          <w:szCs w:val="18"/>
          <w:lang w:val="en-US"/>
        </w:rPr>
      </w:pPr>
      <w:r w:rsidRPr="00CD1F66">
        <w:rPr>
          <w:rFonts w:ascii="Arial" w:hAnsi="Arial" w:cs="Arial"/>
          <w:sz w:val="20"/>
          <w:szCs w:val="18"/>
          <w:highlight w:val="green"/>
          <w:lang w:val="en-US"/>
        </w:rPr>
        <w:t>https://doi.org/10.1016/j.jinorgbio.2024.112609</w:t>
      </w:r>
    </w:p>
    <w:p w14:paraId="1AFB64F4"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Khan, M. S., Hayat, M. U., Khanam, M., Saeed, H., Owais, M., Khalid, M., Shahid, M., &amp; Ahmad, M. (2021). Role of biologically important imidazole moiety on the antimicrobial and anticancer activity of Fe(III) and Mn(II) complexes. </w:t>
      </w:r>
      <w:r w:rsidRPr="00F25B40">
        <w:rPr>
          <w:rFonts w:ascii="Arial" w:hAnsi="Arial" w:cs="Arial"/>
          <w:i/>
          <w:iCs/>
          <w:sz w:val="20"/>
          <w:lang w:val="en-US"/>
        </w:rPr>
        <w:t>Journal of Biomolecular Structure and Dynamics,</w:t>
      </w:r>
      <w:r w:rsidRPr="00F25B40">
        <w:rPr>
          <w:rFonts w:ascii="Arial" w:hAnsi="Arial" w:cs="Arial"/>
          <w:sz w:val="20"/>
          <w:lang w:val="en-US"/>
        </w:rPr>
        <w:t xml:space="preserve"> 39(11), 4037</w:t>
      </w:r>
      <w:r w:rsidRPr="00F25B40">
        <w:rPr>
          <w:rFonts w:ascii="Cambria Math" w:hAnsi="Cambria Math" w:cs="Cambria Math"/>
          <w:sz w:val="20"/>
          <w:lang w:val="en-US"/>
        </w:rPr>
        <w:t>‑</w:t>
      </w:r>
      <w:r w:rsidRPr="00F25B40">
        <w:rPr>
          <w:rFonts w:ascii="Arial" w:hAnsi="Arial" w:cs="Arial"/>
          <w:sz w:val="20"/>
          <w:lang w:val="en-US"/>
        </w:rPr>
        <w:t xml:space="preserve">50. </w:t>
      </w:r>
    </w:p>
    <w:p w14:paraId="395C963E"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https://doi.org/10.1080/07391102.2020.1776156</w:t>
      </w:r>
    </w:p>
    <w:p w14:paraId="2FFCABCE"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 xml:space="preserve">Kotek, J., Lubal, P., Hermann, P., Císařová, I., Lukeš, I., Godula, T., Svobodová, I., Táborský, P., &amp; Havel, J. (2003). High Thermodynamic Stability and Extraordinary Kinetic Inertness of Copper(II) Complexes with 1,4,8,11-Tetraazacyclotetradecane-1,8-bis(methylphosphonic acid): Example of a rare isomerism between kinetically inert penta- and hexacoordinated copper(II) complexes. </w:t>
      </w:r>
      <w:r w:rsidRPr="00F25B40">
        <w:rPr>
          <w:rFonts w:ascii="Arial" w:hAnsi="Arial" w:cs="Arial"/>
          <w:i/>
          <w:iCs/>
          <w:sz w:val="20"/>
          <w:lang w:val="fr-CA"/>
        </w:rPr>
        <w:t>Chemistry – A European Journal,</w:t>
      </w:r>
      <w:r w:rsidRPr="00F25B40">
        <w:rPr>
          <w:rFonts w:ascii="Arial" w:hAnsi="Arial" w:cs="Arial"/>
          <w:sz w:val="20"/>
          <w:lang w:val="fr-CA"/>
        </w:rPr>
        <w:t xml:space="preserve"> 9(1), 233</w:t>
      </w:r>
      <w:r w:rsidRPr="00F25B40">
        <w:rPr>
          <w:rFonts w:ascii="Cambria Math" w:hAnsi="Cambria Math" w:cs="Cambria Math"/>
          <w:sz w:val="20"/>
          <w:lang w:val="fr-CA"/>
        </w:rPr>
        <w:t>‑</w:t>
      </w:r>
      <w:r w:rsidRPr="00F25B40">
        <w:rPr>
          <w:rFonts w:ascii="Arial" w:hAnsi="Arial" w:cs="Arial"/>
          <w:sz w:val="20"/>
          <w:lang w:val="fr-CA"/>
        </w:rPr>
        <w:t xml:space="preserve">48. </w:t>
      </w:r>
    </w:p>
    <w:p w14:paraId="0B57CB2A"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https://doi.org/10.1002/chem.200390017</w:t>
      </w:r>
    </w:p>
    <w:p w14:paraId="4219CF1E"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Lazarou, K. N., Boudalis, A. K., Perlepes, S. P., Terzis, A., &amp; Raptopoulou, C. P.</w:t>
      </w:r>
      <w:r w:rsidRPr="00F25B40">
        <w:rPr>
          <w:rFonts w:ascii="Arial" w:hAnsi="Arial" w:cs="Arial"/>
          <w:sz w:val="20"/>
          <w:lang w:val="fr-CA"/>
        </w:rPr>
        <w:t xml:space="preserve"> (2009). </w:t>
      </w:r>
      <w:r w:rsidRPr="00F25B40">
        <w:rPr>
          <w:rFonts w:ascii="Arial" w:hAnsi="Arial" w:cs="Arial"/>
          <w:sz w:val="20"/>
          <w:lang w:val="en-US"/>
        </w:rPr>
        <w:t xml:space="preserve">Maleamate(–1) and Maleate(–2) Copper(II)–2,2′-Bipyridine Complexes: Synthesis, Reactivity and structural and physical studies. </w:t>
      </w:r>
      <w:r w:rsidRPr="00F25B40">
        <w:rPr>
          <w:rFonts w:ascii="Arial" w:hAnsi="Arial" w:cs="Arial"/>
          <w:i/>
          <w:iCs/>
          <w:sz w:val="20"/>
          <w:lang w:val="en-US"/>
        </w:rPr>
        <w:t>European Journal of Inorganic Chemistry,</w:t>
      </w:r>
      <w:r w:rsidRPr="00F25B40">
        <w:rPr>
          <w:rFonts w:ascii="Arial" w:hAnsi="Arial" w:cs="Arial"/>
          <w:sz w:val="20"/>
          <w:lang w:val="en-US"/>
        </w:rPr>
        <w:t xml:space="preserve"> 2009(29</w:t>
      </w:r>
      <w:r w:rsidRPr="00F25B40">
        <w:rPr>
          <w:rFonts w:ascii="Cambria Math" w:hAnsi="Cambria Math" w:cs="Cambria Math"/>
          <w:sz w:val="20"/>
          <w:lang w:val="en-US"/>
        </w:rPr>
        <w:t>‑</w:t>
      </w:r>
      <w:r w:rsidRPr="00F25B40">
        <w:rPr>
          <w:rFonts w:ascii="Arial" w:hAnsi="Arial" w:cs="Arial"/>
          <w:sz w:val="20"/>
          <w:lang w:val="en-US"/>
        </w:rPr>
        <w:t>30), 4554</w:t>
      </w:r>
      <w:r w:rsidRPr="00F25B40">
        <w:rPr>
          <w:rFonts w:ascii="Cambria Math" w:hAnsi="Cambria Math" w:cs="Cambria Math"/>
          <w:sz w:val="20"/>
          <w:lang w:val="en-US"/>
        </w:rPr>
        <w:t>‑</w:t>
      </w:r>
      <w:r w:rsidRPr="00F25B40">
        <w:rPr>
          <w:rFonts w:ascii="Arial" w:hAnsi="Arial" w:cs="Arial"/>
          <w:sz w:val="20"/>
          <w:lang w:val="en-US"/>
        </w:rPr>
        <w:t>63.</w:t>
      </w:r>
    </w:p>
    <w:p w14:paraId="732B88F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https://doi.org/10.1002/ejic.200900485</w:t>
      </w:r>
    </w:p>
    <w:p w14:paraId="6832481D"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Lazarou, K. N., Raptopoulou, C. P., Perlepes, S. P., &amp; Psycharis, V. (2009). Complexes derived from the general copper(II)/maleamic acid/</w:t>
      </w:r>
      <w:r w:rsidRPr="00F25B40">
        <w:rPr>
          <w:rFonts w:ascii="Arial" w:hAnsi="Arial" w:cs="Arial"/>
          <w:i/>
          <w:iCs/>
          <w:sz w:val="20"/>
          <w:lang w:val="en-US"/>
        </w:rPr>
        <w:t>N</w:t>
      </w:r>
      <w:r w:rsidRPr="00F25B40">
        <w:rPr>
          <w:rFonts w:ascii="Arial" w:hAnsi="Arial" w:cs="Arial"/>
          <w:sz w:val="20"/>
          <w:lang w:val="en-US"/>
        </w:rPr>
        <w:t>,</w:t>
      </w:r>
      <w:r w:rsidRPr="00F25B40">
        <w:rPr>
          <w:rFonts w:ascii="Arial" w:hAnsi="Arial" w:cs="Arial"/>
          <w:i/>
          <w:iCs/>
          <w:sz w:val="20"/>
          <w:lang w:val="en-US"/>
        </w:rPr>
        <w:t>N</w:t>
      </w:r>
      <w:r w:rsidRPr="00F25B40">
        <w:rPr>
          <w:rFonts w:ascii="Arial" w:hAnsi="Arial" w:cs="Arial"/>
          <w:sz w:val="20"/>
          <w:lang w:val="en-US"/>
        </w:rPr>
        <w:t>′,</w:t>
      </w:r>
      <w:r w:rsidRPr="00F25B40">
        <w:rPr>
          <w:rFonts w:ascii="Arial" w:hAnsi="Arial" w:cs="Arial"/>
          <w:i/>
          <w:iCs/>
          <w:sz w:val="20"/>
          <w:lang w:val="en-US"/>
        </w:rPr>
        <w:t>N</w:t>
      </w:r>
      <w:r w:rsidRPr="00F25B40">
        <w:rPr>
          <w:rFonts w:ascii="Arial" w:hAnsi="Arial" w:cs="Arial"/>
          <w:sz w:val="20"/>
          <w:lang w:val="en-US"/>
        </w:rPr>
        <w:t xml:space="preserve">′′-chelate reaction systems: Synthetic, reactivity, structural and spectroscopic studies. </w:t>
      </w:r>
      <w:r w:rsidRPr="00F25B40">
        <w:rPr>
          <w:rFonts w:ascii="Arial" w:hAnsi="Arial" w:cs="Arial"/>
          <w:i/>
          <w:iCs/>
          <w:sz w:val="20"/>
          <w:lang w:val="fr-CA"/>
        </w:rPr>
        <w:t>Polyhedron,</w:t>
      </w:r>
      <w:r w:rsidRPr="00F25B40">
        <w:rPr>
          <w:rFonts w:ascii="Arial" w:hAnsi="Arial" w:cs="Arial"/>
          <w:sz w:val="20"/>
          <w:lang w:val="fr-CA"/>
        </w:rPr>
        <w:t xml:space="preserve"> 28(15), 3185</w:t>
      </w:r>
      <w:r w:rsidRPr="00F25B40">
        <w:rPr>
          <w:rFonts w:ascii="Cambria Math" w:hAnsi="Cambria Math" w:cs="Cambria Math"/>
          <w:sz w:val="20"/>
          <w:lang w:val="fr-CA"/>
        </w:rPr>
        <w:t>‑</w:t>
      </w:r>
      <w:r w:rsidRPr="00F25B40">
        <w:rPr>
          <w:rFonts w:ascii="Arial" w:hAnsi="Arial" w:cs="Arial"/>
          <w:sz w:val="20"/>
          <w:lang w:val="fr-CA"/>
        </w:rPr>
        <w:t xml:space="preserve">92. </w:t>
      </w:r>
    </w:p>
    <w:p w14:paraId="6C057F63"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https://doi.org/10.1016/j.poly.2009.04.016</w:t>
      </w:r>
    </w:p>
    <w:p w14:paraId="29F4E6A9"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Liu, G.-C., Lu, X., Li, X.-W., Wang, X.-L., Xu, N., Li, Y., Lin, H.-Y., &amp; Chen, Y.-Q.</w:t>
      </w:r>
      <w:r w:rsidRPr="00F25B40">
        <w:rPr>
          <w:rFonts w:ascii="Arial" w:hAnsi="Arial" w:cs="Arial"/>
          <w:sz w:val="20"/>
          <w:lang w:val="fr-CA"/>
        </w:rPr>
        <w:t xml:space="preserve"> (2019). </w:t>
      </w:r>
      <w:r w:rsidRPr="00F25B40">
        <w:rPr>
          <w:rFonts w:ascii="Arial" w:hAnsi="Arial" w:cs="Arial"/>
          <w:sz w:val="20"/>
          <w:lang w:val="en-US"/>
        </w:rPr>
        <w:t xml:space="preserve">Metal/Carboxylate-Induced Versatile Structures of Nine 0D → 3D Complexes with Different Fluorescent and Electrochemical Behaviors. </w:t>
      </w:r>
      <w:r w:rsidRPr="00F25B40">
        <w:rPr>
          <w:rFonts w:ascii="Arial" w:hAnsi="Arial" w:cs="Arial"/>
          <w:i/>
          <w:iCs/>
          <w:sz w:val="20"/>
          <w:lang w:val="en-US"/>
        </w:rPr>
        <w:t>ACS Omega,</w:t>
      </w:r>
      <w:r w:rsidRPr="00F25B40">
        <w:rPr>
          <w:rFonts w:ascii="Arial" w:hAnsi="Arial" w:cs="Arial"/>
          <w:sz w:val="20"/>
          <w:lang w:val="en-US"/>
        </w:rPr>
        <w:t xml:space="preserve"> 4(17), 17366</w:t>
      </w:r>
      <w:r w:rsidRPr="00F25B40">
        <w:rPr>
          <w:rFonts w:ascii="Cambria Math" w:hAnsi="Cambria Math" w:cs="Cambria Math"/>
          <w:sz w:val="20"/>
          <w:lang w:val="en-US"/>
        </w:rPr>
        <w:t>‑</w:t>
      </w:r>
      <w:r w:rsidRPr="00F25B40">
        <w:rPr>
          <w:rFonts w:ascii="Arial" w:hAnsi="Arial" w:cs="Arial"/>
          <w:sz w:val="20"/>
          <w:lang w:val="en-US"/>
        </w:rPr>
        <w:t xml:space="preserve">78. </w:t>
      </w:r>
    </w:p>
    <w:p w14:paraId="3341B83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https://doi.org/10.1021/acsomega.9b02124</w:t>
      </w:r>
    </w:p>
    <w:p w14:paraId="7B45C3A3" w14:textId="77777777" w:rsidR="00BF3E3E" w:rsidRPr="00F25B40" w:rsidRDefault="00BF3E3E" w:rsidP="00A57067">
      <w:pPr>
        <w:pStyle w:val="Bibliography"/>
        <w:spacing w:line="240" w:lineRule="auto"/>
        <w:ind w:left="567" w:hanging="567"/>
        <w:rPr>
          <w:rFonts w:ascii="Arial" w:hAnsi="Arial" w:cs="Arial"/>
          <w:sz w:val="20"/>
          <w:lang w:val="en-US"/>
        </w:rPr>
      </w:pPr>
      <w:bookmarkStart w:id="5" w:name="_Hlk207534269"/>
      <w:r w:rsidRPr="00F25B40">
        <w:rPr>
          <w:rFonts w:ascii="Arial" w:hAnsi="Arial" w:cs="Arial"/>
          <w:sz w:val="20"/>
          <w:lang w:val="en-US"/>
        </w:rPr>
        <w:lastRenderedPageBreak/>
        <w:t>Liu, H., Wang, H., Gao, F., Niu, D., &amp; Lu, Z.</w:t>
      </w:r>
      <w:bookmarkEnd w:id="5"/>
      <w:r w:rsidRPr="00F25B40">
        <w:rPr>
          <w:rFonts w:ascii="Arial" w:hAnsi="Arial" w:cs="Arial"/>
          <w:sz w:val="20"/>
          <w:lang w:val="en-US"/>
        </w:rPr>
        <w:t xml:space="preserve"> (2024). Tuning the structures of three complexes with (4,4) topologies based on imidazole-containing ligand via auxiliary dicarboxylates. </w:t>
      </w:r>
      <w:r w:rsidRPr="00F25B40">
        <w:rPr>
          <w:rFonts w:ascii="Arial" w:hAnsi="Arial" w:cs="Arial"/>
          <w:i/>
          <w:iCs/>
          <w:sz w:val="20"/>
          <w:lang w:val="en-US"/>
        </w:rPr>
        <w:t>Journal of Molecular Structure,</w:t>
      </w:r>
      <w:r w:rsidRPr="00F25B40">
        <w:rPr>
          <w:rFonts w:ascii="Arial" w:hAnsi="Arial" w:cs="Arial"/>
          <w:sz w:val="20"/>
          <w:lang w:val="en-US"/>
        </w:rPr>
        <w:t xml:space="preserve"> 1317, 139114. </w:t>
      </w:r>
    </w:p>
    <w:p w14:paraId="3E6F4F5B"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https://doi.org/10.1016/j.molstruc.2024.139114</w:t>
      </w:r>
    </w:p>
    <w:p w14:paraId="4F443BB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Liu, H., Zhang, Y.-T., Luo, L., &amp; Chen, K. (2007). Self-assembly of copper(II) complexes with substituted aroylhydrazones and monodentate N-heterocycles: synthesis, structure and properties. </w:t>
      </w:r>
      <w:r w:rsidRPr="00F25B40">
        <w:rPr>
          <w:rFonts w:ascii="Arial" w:hAnsi="Arial" w:cs="Arial"/>
          <w:i/>
          <w:iCs/>
          <w:sz w:val="20"/>
          <w:lang w:val="en-US"/>
        </w:rPr>
        <w:t>Journal of Coordination Chemistry,</w:t>
      </w:r>
      <w:r w:rsidRPr="00F25B40">
        <w:rPr>
          <w:rFonts w:ascii="Arial" w:hAnsi="Arial" w:cs="Arial"/>
          <w:sz w:val="20"/>
          <w:lang w:val="en-US"/>
        </w:rPr>
        <w:t xml:space="preserve"> 60(24), 2671</w:t>
      </w:r>
      <w:r w:rsidRPr="00F25B40">
        <w:rPr>
          <w:rFonts w:ascii="Cambria Math" w:hAnsi="Cambria Math" w:cs="Cambria Math"/>
          <w:sz w:val="20"/>
          <w:lang w:val="en-US"/>
        </w:rPr>
        <w:t>‑</w:t>
      </w:r>
      <w:r w:rsidRPr="00F25B40">
        <w:rPr>
          <w:rFonts w:ascii="Arial" w:hAnsi="Arial" w:cs="Arial"/>
          <w:sz w:val="20"/>
          <w:lang w:val="en-US"/>
        </w:rPr>
        <w:t xml:space="preserve">78. </w:t>
      </w:r>
    </w:p>
    <w:p w14:paraId="07B487CC" w14:textId="77777777" w:rsidR="00BF3E3E"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https://doi.org/10.1080/00958970701302404</w:t>
      </w:r>
    </w:p>
    <w:p w14:paraId="66623608" w14:textId="77777777" w:rsidR="00126A9E" w:rsidRDefault="00CD1F66" w:rsidP="00126A9E">
      <w:pPr>
        <w:pStyle w:val="Bibliography"/>
        <w:spacing w:line="240" w:lineRule="auto"/>
        <w:ind w:left="567" w:hanging="567"/>
        <w:rPr>
          <w:rFonts w:ascii="Arial" w:hAnsi="Arial" w:cs="Arial"/>
          <w:sz w:val="20"/>
          <w:szCs w:val="18"/>
          <w:highlight w:val="green"/>
          <w:lang w:val="en-US"/>
        </w:rPr>
      </w:pPr>
      <w:r w:rsidRPr="001F55AE">
        <w:rPr>
          <w:rFonts w:ascii="Arial" w:hAnsi="Arial" w:cs="Arial"/>
          <w:sz w:val="20"/>
          <w:szCs w:val="18"/>
          <w:highlight w:val="green"/>
          <w:lang w:val="en-US"/>
        </w:rPr>
        <w:t xml:space="preserve">Liu, L., Wang, H.-J., Qu, L.-B., Li, C.-X., Li, Y., &amp; Cui, C.-X. (2024). </w:t>
      </w:r>
      <w:r w:rsidRPr="00CD1F66">
        <w:rPr>
          <w:rFonts w:ascii="Arial" w:hAnsi="Arial" w:cs="Arial"/>
          <w:sz w:val="20"/>
          <w:szCs w:val="18"/>
          <w:highlight w:val="green"/>
          <w:lang w:val="en-US"/>
        </w:rPr>
        <w:t xml:space="preserve">Cd(II) coordination complexes built from semirigid bis(dimethylbenzimidazole) ligand and different carboxylates : Fluorescent sensor and recognition mechanism for p-nitrophenol, erythromycin and 2,6-dichloro-4-nitroaniline. </w:t>
      </w:r>
      <w:r w:rsidRPr="00CD1F66">
        <w:rPr>
          <w:rFonts w:ascii="Arial" w:hAnsi="Arial" w:cs="Arial"/>
          <w:i/>
          <w:iCs/>
          <w:sz w:val="20"/>
          <w:szCs w:val="18"/>
          <w:highlight w:val="green"/>
          <w:lang w:val="en-US"/>
        </w:rPr>
        <w:t>Journal of Molecular Structure</w:t>
      </w:r>
      <w:r w:rsidRPr="00CD1F66">
        <w:rPr>
          <w:rFonts w:ascii="Arial" w:hAnsi="Arial" w:cs="Arial"/>
          <w:sz w:val="20"/>
          <w:szCs w:val="18"/>
          <w:highlight w:val="green"/>
          <w:lang w:val="en-US"/>
        </w:rPr>
        <w:t xml:space="preserve">, </w:t>
      </w:r>
      <w:r w:rsidRPr="00CD1F66">
        <w:rPr>
          <w:rFonts w:ascii="Arial" w:hAnsi="Arial" w:cs="Arial"/>
          <w:i/>
          <w:iCs/>
          <w:sz w:val="20"/>
          <w:szCs w:val="18"/>
          <w:highlight w:val="green"/>
          <w:lang w:val="en-US"/>
        </w:rPr>
        <w:t>1310</w:t>
      </w:r>
      <w:r w:rsidRPr="00CD1F66">
        <w:rPr>
          <w:rFonts w:ascii="Arial" w:hAnsi="Arial" w:cs="Arial"/>
          <w:sz w:val="20"/>
          <w:szCs w:val="18"/>
          <w:highlight w:val="green"/>
          <w:lang w:val="en-US"/>
        </w:rPr>
        <w:t xml:space="preserve">, 138278. </w:t>
      </w:r>
    </w:p>
    <w:p w14:paraId="159699DC" w14:textId="01CE676B" w:rsidR="00CD1F66" w:rsidRPr="00CD1F66" w:rsidRDefault="00CD1F66" w:rsidP="00126A9E">
      <w:pPr>
        <w:pStyle w:val="Bibliography"/>
        <w:spacing w:line="240" w:lineRule="auto"/>
        <w:ind w:hanging="153"/>
        <w:rPr>
          <w:rFonts w:ascii="Arial" w:hAnsi="Arial" w:cs="Arial"/>
          <w:sz w:val="20"/>
          <w:szCs w:val="18"/>
          <w:lang w:val="en-US"/>
        </w:rPr>
      </w:pPr>
      <w:r w:rsidRPr="00CD1F66">
        <w:rPr>
          <w:rFonts w:ascii="Arial" w:hAnsi="Arial" w:cs="Arial"/>
          <w:sz w:val="20"/>
          <w:szCs w:val="18"/>
          <w:highlight w:val="green"/>
          <w:lang w:val="en-US"/>
        </w:rPr>
        <w:t>https://doi.org/10.1016/j.molstruc.2024.138278</w:t>
      </w:r>
    </w:p>
    <w:p w14:paraId="33CA513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Mukred, R. A., &amp; Aly, A. A. M. (2025). Facile synthesis of three new nanosized supramolecular imidazole-carboxylato Cu(II) coordination polymers of promising biological activity. </w:t>
      </w:r>
      <w:r w:rsidRPr="00F25B40">
        <w:rPr>
          <w:rFonts w:ascii="Arial" w:hAnsi="Arial" w:cs="Arial"/>
          <w:i/>
          <w:iCs/>
          <w:sz w:val="20"/>
          <w:lang w:val="en-US"/>
        </w:rPr>
        <w:t>Journal of the Iranian Chemical Society,</w:t>
      </w:r>
      <w:r w:rsidRPr="00F25B40">
        <w:rPr>
          <w:rFonts w:ascii="Arial" w:hAnsi="Arial" w:cs="Arial"/>
          <w:sz w:val="20"/>
          <w:lang w:val="en-US"/>
        </w:rPr>
        <w:t xml:space="preserve"> 22(1), 35</w:t>
      </w:r>
      <w:r w:rsidRPr="00F25B40">
        <w:rPr>
          <w:rFonts w:ascii="Cambria Math" w:hAnsi="Cambria Math" w:cs="Cambria Math"/>
          <w:sz w:val="20"/>
          <w:lang w:val="en-US"/>
        </w:rPr>
        <w:t>‑</w:t>
      </w:r>
      <w:r w:rsidRPr="00F25B40">
        <w:rPr>
          <w:rFonts w:ascii="Arial" w:hAnsi="Arial" w:cs="Arial"/>
          <w:sz w:val="20"/>
          <w:lang w:val="en-US"/>
        </w:rPr>
        <w:t xml:space="preserve">48. </w:t>
      </w:r>
    </w:p>
    <w:p w14:paraId="73995B20" w14:textId="77777777" w:rsidR="00BF3E3E"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https://doi.org/10.1007/s13738-024-03109-4</w:t>
      </w:r>
    </w:p>
    <w:p w14:paraId="175BC098" w14:textId="77777777" w:rsidR="004D5640" w:rsidRPr="00BC1E7D" w:rsidRDefault="004D5640" w:rsidP="004D5640">
      <w:pPr>
        <w:pStyle w:val="Bibliography"/>
        <w:spacing w:line="240" w:lineRule="auto"/>
        <w:ind w:left="567" w:hanging="567"/>
        <w:rPr>
          <w:rFonts w:ascii="Arial" w:hAnsi="Arial" w:cs="Arial"/>
          <w:sz w:val="20"/>
          <w:szCs w:val="18"/>
          <w:lang w:val="en-US"/>
        </w:rPr>
      </w:pPr>
      <w:r w:rsidRPr="00323B0B">
        <w:rPr>
          <w:rFonts w:ascii="Arial" w:hAnsi="Arial" w:cs="Arial"/>
          <w:sz w:val="20"/>
          <w:szCs w:val="18"/>
          <w:highlight w:val="green"/>
          <w:lang w:val="en-US"/>
        </w:rPr>
        <w:t xml:space="preserve">Nikitin, E., Fedorov, S., Gracheva, Y., Lyssenko, K., Semykin, A., Oprunenko, Y., Sobolev, N., Mazur, D., Dubova, L., Shevtsova, E., &amp; Milaeva, E. (2025). Organotin carboxylates with bulky substituents. Synthesis, structure, cytotoxicity and antioxidant activity. </w:t>
      </w:r>
      <w:r w:rsidRPr="00BC1E7D">
        <w:rPr>
          <w:rFonts w:ascii="Arial" w:hAnsi="Arial" w:cs="Arial"/>
          <w:i/>
          <w:iCs/>
          <w:sz w:val="20"/>
          <w:szCs w:val="18"/>
          <w:highlight w:val="green"/>
          <w:lang w:val="en-US"/>
        </w:rPr>
        <w:t>Inorganica Chimica Acta</w:t>
      </w:r>
      <w:r w:rsidRPr="00BC1E7D">
        <w:rPr>
          <w:rFonts w:ascii="Arial" w:hAnsi="Arial" w:cs="Arial"/>
          <w:sz w:val="20"/>
          <w:szCs w:val="18"/>
          <w:highlight w:val="green"/>
          <w:lang w:val="en-US"/>
        </w:rPr>
        <w:t xml:space="preserve">, </w:t>
      </w:r>
      <w:r w:rsidRPr="00BC1E7D">
        <w:rPr>
          <w:rFonts w:ascii="Arial" w:hAnsi="Arial" w:cs="Arial"/>
          <w:i/>
          <w:iCs/>
          <w:sz w:val="20"/>
          <w:szCs w:val="18"/>
          <w:highlight w:val="green"/>
          <w:lang w:val="en-US"/>
        </w:rPr>
        <w:t>574</w:t>
      </w:r>
      <w:r w:rsidRPr="00BC1E7D">
        <w:rPr>
          <w:rFonts w:ascii="Arial" w:hAnsi="Arial" w:cs="Arial"/>
          <w:sz w:val="20"/>
          <w:szCs w:val="18"/>
          <w:highlight w:val="green"/>
          <w:lang w:val="en-US"/>
        </w:rPr>
        <w:t>, 122388. https://doi.org/10.1016/j.ica.2024.122388</w:t>
      </w:r>
    </w:p>
    <w:p w14:paraId="5D49DFC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Obaleye, J. A., Ajibola, A. A., Bernardus, V. B., &amp; Hosten, E. C. (2020). Synthesis, X-ray crystallography, spectroscopic and in vitro antimicrobial studies of a new Cu(II) complex of trichloroacetic acid and imidazole. </w:t>
      </w:r>
      <w:r w:rsidRPr="00F25B40">
        <w:rPr>
          <w:rFonts w:ascii="Arial" w:hAnsi="Arial" w:cs="Arial"/>
          <w:i/>
          <w:iCs/>
          <w:sz w:val="20"/>
          <w:lang w:val="en-US"/>
        </w:rPr>
        <w:t>Journal of Molecular Structure,</w:t>
      </w:r>
      <w:r w:rsidRPr="00F25B40">
        <w:rPr>
          <w:rFonts w:ascii="Arial" w:hAnsi="Arial" w:cs="Arial"/>
          <w:sz w:val="20"/>
          <w:lang w:val="en-US"/>
        </w:rPr>
        <w:t xml:space="preserve"> 1203, 127435. </w:t>
      </w:r>
    </w:p>
    <w:p w14:paraId="761A8039"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https://doi.org/10.1016/j.molstruc.2019.127435</w:t>
      </w:r>
    </w:p>
    <w:p w14:paraId="71B60DFB"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Park, H. J., Chae, E. A., Seo, H. W., Jang, J.-H., Chung, W. J., Lee, J. Y., Hwang, D.-H., &amp; Yoon, U. C. (2020). New blue phosphorescent heteroleptic Ir(III) complexes with imidazole- and </w:t>
      </w:r>
      <w:r w:rsidRPr="00F25B40">
        <w:rPr>
          <w:rFonts w:ascii="Arial" w:hAnsi="Arial" w:cs="Arial"/>
          <w:i/>
          <w:iCs/>
          <w:sz w:val="20"/>
          <w:lang w:val="en-US"/>
        </w:rPr>
        <w:t>N</w:t>
      </w:r>
      <w:r w:rsidRPr="00F25B40">
        <w:rPr>
          <w:rFonts w:ascii="Arial" w:hAnsi="Arial" w:cs="Arial"/>
          <w:sz w:val="20"/>
          <w:lang w:val="en-US"/>
        </w:rPr>
        <w:t xml:space="preserve">-methylimidazole carboxylates as ancillary ligands. </w:t>
      </w:r>
      <w:r w:rsidRPr="00F25B40">
        <w:rPr>
          <w:rFonts w:ascii="Arial" w:hAnsi="Arial" w:cs="Arial"/>
          <w:i/>
          <w:iCs/>
          <w:sz w:val="20"/>
          <w:lang w:val="en-US"/>
        </w:rPr>
        <w:t>Journal of Material Chemistry C,</w:t>
      </w:r>
      <w:r w:rsidRPr="00F25B40">
        <w:rPr>
          <w:rFonts w:ascii="Arial" w:hAnsi="Arial" w:cs="Arial"/>
          <w:sz w:val="20"/>
          <w:lang w:val="en-US"/>
        </w:rPr>
        <w:t xml:space="preserve"> 8(39), 13843</w:t>
      </w:r>
      <w:r w:rsidRPr="00F25B40">
        <w:rPr>
          <w:rFonts w:ascii="Cambria Math" w:hAnsi="Cambria Math" w:cs="Cambria Math"/>
          <w:sz w:val="20"/>
          <w:lang w:val="en-US"/>
        </w:rPr>
        <w:t>‑</w:t>
      </w:r>
      <w:r w:rsidRPr="00F25B40">
        <w:rPr>
          <w:rFonts w:ascii="Arial" w:hAnsi="Arial" w:cs="Arial"/>
          <w:sz w:val="20"/>
          <w:lang w:val="en-US"/>
        </w:rPr>
        <w:t xml:space="preserve">51. </w:t>
      </w:r>
    </w:p>
    <w:p w14:paraId="70433903"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https://doi.org/10.1039/D0TC03773G</w:t>
      </w:r>
    </w:p>
    <w:p w14:paraId="5DEF1868"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Rao, C. N. R., Natarajan, S., &amp; Vaidhyanathan, R. (2004). Metal carboxylates with open architectures. </w:t>
      </w:r>
      <w:r w:rsidRPr="00F25B40">
        <w:rPr>
          <w:rFonts w:ascii="Arial" w:hAnsi="Arial" w:cs="Arial"/>
          <w:i/>
          <w:iCs/>
          <w:sz w:val="20"/>
          <w:lang w:val="en-US"/>
        </w:rPr>
        <w:t>Angewandte Chemie International Edition,</w:t>
      </w:r>
      <w:r w:rsidRPr="00F25B40">
        <w:rPr>
          <w:rFonts w:ascii="Arial" w:hAnsi="Arial" w:cs="Arial"/>
          <w:sz w:val="20"/>
          <w:lang w:val="en-US"/>
        </w:rPr>
        <w:t xml:space="preserve"> 43(12), 1466</w:t>
      </w:r>
      <w:r w:rsidRPr="00F25B40">
        <w:rPr>
          <w:rFonts w:ascii="Cambria Math" w:hAnsi="Cambria Math" w:cs="Cambria Math"/>
          <w:sz w:val="20"/>
          <w:lang w:val="en-US"/>
        </w:rPr>
        <w:t>‑</w:t>
      </w:r>
      <w:r w:rsidRPr="00F25B40">
        <w:rPr>
          <w:rFonts w:ascii="Arial" w:hAnsi="Arial" w:cs="Arial"/>
          <w:sz w:val="20"/>
          <w:lang w:val="en-US"/>
        </w:rPr>
        <w:t xml:space="preserve">96. </w:t>
      </w:r>
    </w:p>
    <w:p w14:paraId="38883269"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https://doi.org/10.1002/anie.200300588</w:t>
      </w:r>
    </w:p>
    <w:p w14:paraId="5C02BDC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Risoluti, R., Piazzese, D., Napoli, A., &amp; Materazzi, S. (2016). Study of [2-(2′-pyridyl)imidazole] complexes to confirm two main characteristic thermoanalytical behaviors of transition metal complexes based on imidazole derivatives. </w:t>
      </w:r>
      <w:r w:rsidRPr="00F25B40">
        <w:rPr>
          <w:rFonts w:ascii="Arial" w:hAnsi="Arial" w:cs="Arial"/>
          <w:i/>
          <w:iCs/>
          <w:sz w:val="20"/>
          <w:lang w:val="en-US"/>
        </w:rPr>
        <w:t>Journal of Analytical and Applied Pyrolysis,</w:t>
      </w:r>
      <w:r w:rsidRPr="00F25B40">
        <w:rPr>
          <w:rFonts w:ascii="Arial" w:hAnsi="Arial" w:cs="Arial"/>
          <w:sz w:val="20"/>
          <w:lang w:val="en-US"/>
        </w:rPr>
        <w:t xml:space="preserve"> 117, 82</w:t>
      </w:r>
      <w:r w:rsidRPr="00F25B40">
        <w:rPr>
          <w:rFonts w:ascii="Cambria Math" w:hAnsi="Cambria Math" w:cs="Cambria Math"/>
          <w:sz w:val="20"/>
          <w:lang w:val="en-US"/>
        </w:rPr>
        <w:t>‑</w:t>
      </w:r>
      <w:r w:rsidRPr="00F25B40">
        <w:rPr>
          <w:rFonts w:ascii="Arial" w:hAnsi="Arial" w:cs="Arial"/>
          <w:sz w:val="20"/>
          <w:lang w:val="en-US"/>
        </w:rPr>
        <w:t xml:space="preserve">87. </w:t>
      </w:r>
    </w:p>
    <w:p w14:paraId="70389BF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https://doi.org/10.1016/j.jaap.2015.11.018</w:t>
      </w:r>
    </w:p>
    <w:p w14:paraId="46C456E7" w14:textId="77777777" w:rsidR="00BF3E3E" w:rsidRPr="00F25B40" w:rsidRDefault="00BF3E3E" w:rsidP="00A57067">
      <w:pPr>
        <w:pStyle w:val="Bibliography"/>
        <w:spacing w:line="240" w:lineRule="auto"/>
        <w:ind w:left="567" w:hanging="567"/>
        <w:rPr>
          <w:rFonts w:ascii="Arial" w:hAnsi="Arial" w:cs="Arial"/>
          <w:sz w:val="20"/>
        </w:rPr>
      </w:pPr>
      <w:r w:rsidRPr="00F25B40">
        <w:rPr>
          <w:rFonts w:ascii="Arial" w:hAnsi="Arial" w:cs="Arial"/>
          <w:sz w:val="20"/>
        </w:rPr>
        <w:t>Sardaru, M.-C., Marangoci, N. L., Shova, S., &amp; Bejan, D.</w:t>
      </w:r>
      <w:r w:rsidRPr="00F25B40">
        <w:rPr>
          <w:rFonts w:ascii="Arial" w:hAnsi="Arial" w:cs="Arial"/>
          <w:sz w:val="20"/>
          <w:lang w:val="fr-CA"/>
        </w:rPr>
        <w:t xml:space="preserve"> (2021). Novel lanthanide (III) complexes derived from an imidazole–biphenyl–carboxylate ligand: synthesis, structure and luminescence properties. </w:t>
      </w:r>
      <w:r w:rsidRPr="00F25B40">
        <w:rPr>
          <w:rFonts w:ascii="Arial" w:hAnsi="Arial" w:cs="Arial"/>
          <w:i/>
          <w:iCs/>
          <w:sz w:val="20"/>
        </w:rPr>
        <w:t>Molecules,</w:t>
      </w:r>
      <w:r w:rsidRPr="00F25B40">
        <w:rPr>
          <w:rFonts w:ascii="Arial" w:hAnsi="Arial" w:cs="Arial"/>
          <w:sz w:val="20"/>
        </w:rPr>
        <w:t xml:space="preserve"> 26(22), 6942. </w:t>
      </w:r>
    </w:p>
    <w:p w14:paraId="7546C5A4"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https://doi.org/10.3390/molecules26226942</w:t>
      </w:r>
    </w:p>
    <w:p w14:paraId="371909BB"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 xml:space="preserve">Sheldrick, G. M. (2015a). Crystal structure refinement with SHELXL. </w:t>
      </w:r>
      <w:r w:rsidRPr="00F25B40">
        <w:rPr>
          <w:rFonts w:ascii="Arial" w:hAnsi="Arial" w:cs="Arial"/>
          <w:i/>
          <w:iCs/>
          <w:sz w:val="20"/>
          <w:lang w:val="fr-CA"/>
        </w:rPr>
        <w:t>Acta Crystallographica Section,</w:t>
      </w:r>
      <w:r w:rsidRPr="00F25B40">
        <w:rPr>
          <w:rFonts w:ascii="Arial" w:hAnsi="Arial" w:cs="Arial"/>
          <w:sz w:val="20"/>
          <w:lang w:val="fr-CA"/>
        </w:rPr>
        <w:t xml:space="preserve"> </w:t>
      </w:r>
      <w:r w:rsidRPr="00F25B40">
        <w:rPr>
          <w:rFonts w:ascii="Arial" w:hAnsi="Arial" w:cs="Arial"/>
          <w:i/>
          <w:iCs/>
          <w:sz w:val="20"/>
          <w:lang w:val="fr-CA"/>
        </w:rPr>
        <w:t>C</w:t>
      </w:r>
      <w:r w:rsidRPr="00F25B40">
        <w:rPr>
          <w:rFonts w:ascii="Arial" w:hAnsi="Arial" w:cs="Arial"/>
          <w:sz w:val="20"/>
          <w:lang w:val="fr-CA"/>
        </w:rPr>
        <w:t>71(1), 3</w:t>
      </w:r>
      <w:r w:rsidRPr="00F25B40">
        <w:rPr>
          <w:rFonts w:ascii="Cambria Math" w:hAnsi="Cambria Math" w:cs="Cambria Math"/>
          <w:sz w:val="20"/>
          <w:lang w:val="fr-CA"/>
        </w:rPr>
        <w:t>‑</w:t>
      </w:r>
      <w:r w:rsidRPr="00F25B40">
        <w:rPr>
          <w:rFonts w:ascii="Arial" w:hAnsi="Arial" w:cs="Arial"/>
          <w:sz w:val="20"/>
          <w:lang w:val="fr-CA"/>
        </w:rPr>
        <w:t xml:space="preserve">8. </w:t>
      </w:r>
    </w:p>
    <w:p w14:paraId="56972D2A"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https://doi.org/10.1107/S2053229614024218</w:t>
      </w:r>
    </w:p>
    <w:p w14:paraId="00AC831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fr-CA"/>
        </w:rPr>
        <w:t xml:space="preserve">Sheldrick, G. M. (2015b). </w:t>
      </w:r>
      <w:r w:rsidRPr="00F25B40">
        <w:rPr>
          <w:rFonts w:ascii="Arial" w:hAnsi="Arial" w:cs="Arial"/>
          <w:sz w:val="20"/>
          <w:lang w:val="en-US"/>
        </w:rPr>
        <w:t xml:space="preserve">SHELXT–Integrated space-group and crystal-structure determination. </w:t>
      </w:r>
      <w:r w:rsidRPr="00F25B40">
        <w:rPr>
          <w:rFonts w:ascii="Arial" w:hAnsi="Arial" w:cs="Arial"/>
          <w:i/>
          <w:iCs/>
          <w:sz w:val="20"/>
          <w:lang w:val="en-US"/>
        </w:rPr>
        <w:t>Acta Crystallographica Section, A</w:t>
      </w:r>
      <w:r w:rsidRPr="00F25B40">
        <w:rPr>
          <w:rFonts w:ascii="Arial" w:hAnsi="Arial" w:cs="Arial"/>
          <w:sz w:val="20"/>
          <w:lang w:val="en-US"/>
        </w:rPr>
        <w:t>71(1), 3</w:t>
      </w:r>
      <w:r w:rsidRPr="00F25B40">
        <w:rPr>
          <w:rFonts w:ascii="Cambria Math" w:hAnsi="Cambria Math" w:cs="Cambria Math"/>
          <w:sz w:val="20"/>
          <w:lang w:val="en-US"/>
        </w:rPr>
        <w:t>‑</w:t>
      </w:r>
      <w:r w:rsidRPr="00F25B40">
        <w:rPr>
          <w:rFonts w:ascii="Arial" w:hAnsi="Arial" w:cs="Arial"/>
          <w:sz w:val="20"/>
          <w:lang w:val="en-US"/>
        </w:rPr>
        <w:t xml:space="preserve">8. </w:t>
      </w:r>
    </w:p>
    <w:p w14:paraId="752EEE1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https://doi.org/10.1107/S2053273314026370</w:t>
      </w:r>
    </w:p>
    <w:p w14:paraId="2470BA2E"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Singh, D., &amp; Jubaraj B. B. (2012). Metal(II) Complexes derived from conformation flexible cyclic imide tethered carboxylic acids: syntheses, supramolecular structures, and molecular properties. </w:t>
      </w:r>
      <w:r w:rsidRPr="00F25B40">
        <w:rPr>
          <w:rFonts w:ascii="Arial" w:hAnsi="Arial" w:cs="Arial"/>
          <w:i/>
          <w:iCs/>
          <w:sz w:val="20"/>
          <w:lang w:val="en-US"/>
        </w:rPr>
        <w:t>Crystal Growth &amp; Design,</w:t>
      </w:r>
      <w:r w:rsidRPr="00F25B40">
        <w:rPr>
          <w:rFonts w:ascii="Arial" w:hAnsi="Arial" w:cs="Arial"/>
          <w:sz w:val="20"/>
          <w:lang w:val="en-US"/>
        </w:rPr>
        <w:t xml:space="preserve"> 12(4), 2109</w:t>
      </w:r>
      <w:r w:rsidRPr="00F25B40">
        <w:rPr>
          <w:rFonts w:ascii="Cambria Math" w:hAnsi="Cambria Math" w:cs="Cambria Math"/>
          <w:sz w:val="20"/>
          <w:lang w:val="en-US"/>
        </w:rPr>
        <w:t>‑</w:t>
      </w:r>
      <w:r w:rsidRPr="00F25B40">
        <w:rPr>
          <w:rFonts w:ascii="Arial" w:hAnsi="Arial" w:cs="Arial"/>
          <w:sz w:val="20"/>
          <w:lang w:val="en-US"/>
        </w:rPr>
        <w:t xml:space="preserve">2121. </w:t>
      </w:r>
    </w:p>
    <w:p w14:paraId="13A3433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https://doi.org/10.1021/cg300113f</w:t>
      </w:r>
    </w:p>
    <w:p w14:paraId="795659E9" w14:textId="77777777" w:rsidR="00BF3E3E" w:rsidRPr="00F25B40" w:rsidRDefault="00BF3E3E" w:rsidP="00A57067">
      <w:pPr>
        <w:pStyle w:val="Bibliography"/>
        <w:spacing w:line="240" w:lineRule="auto"/>
        <w:ind w:left="567" w:hanging="567"/>
        <w:rPr>
          <w:rFonts w:ascii="Arial" w:hAnsi="Arial" w:cs="Arial"/>
          <w:sz w:val="20"/>
          <w:lang w:val="en-US"/>
        </w:rPr>
      </w:pPr>
      <w:r w:rsidRPr="00491634">
        <w:rPr>
          <w:rFonts w:ascii="Arial" w:hAnsi="Arial" w:cs="Arial"/>
          <w:sz w:val="20"/>
          <w:lang w:val="en-US"/>
        </w:rPr>
        <w:t xml:space="preserve">Su, F., Lu, L., Feng, S., Zhu, M., Gao, Z., &amp; Dong, Y. (2015). </w:t>
      </w:r>
      <w:r w:rsidRPr="00F25B40">
        <w:rPr>
          <w:rFonts w:ascii="Arial" w:hAnsi="Arial" w:cs="Arial"/>
          <w:sz w:val="20"/>
          <w:lang w:val="en-US"/>
        </w:rPr>
        <w:t xml:space="preserve">Synthesis, structures and magnetic properties in 3d-electron-rich isostructural complexes based on chains with sole syn–anti carboxylate bridges. </w:t>
      </w:r>
      <w:r w:rsidRPr="00F25B40">
        <w:rPr>
          <w:rFonts w:ascii="Arial" w:hAnsi="Arial" w:cs="Arial"/>
          <w:i/>
          <w:iCs/>
          <w:sz w:val="20"/>
          <w:lang w:val="en-US"/>
        </w:rPr>
        <w:t>Dalton Transactions,</w:t>
      </w:r>
      <w:r w:rsidRPr="00F25B40">
        <w:rPr>
          <w:rFonts w:ascii="Arial" w:hAnsi="Arial" w:cs="Arial"/>
          <w:sz w:val="20"/>
          <w:lang w:val="en-US"/>
        </w:rPr>
        <w:t xml:space="preserve"> 44(16), 7213</w:t>
      </w:r>
      <w:r w:rsidRPr="00F25B40">
        <w:rPr>
          <w:rFonts w:ascii="Cambria Math" w:hAnsi="Cambria Math" w:cs="Cambria Math"/>
          <w:sz w:val="20"/>
          <w:lang w:val="en-US"/>
        </w:rPr>
        <w:t>‑</w:t>
      </w:r>
      <w:r w:rsidRPr="00F25B40">
        <w:rPr>
          <w:rFonts w:ascii="Arial" w:hAnsi="Arial" w:cs="Arial"/>
          <w:sz w:val="20"/>
          <w:lang w:val="en-US"/>
        </w:rPr>
        <w:t xml:space="preserve">7222. </w:t>
      </w:r>
    </w:p>
    <w:p w14:paraId="00C4440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https://doi.org/10.1039/C5DT00412H</w:t>
      </w:r>
    </w:p>
    <w:p w14:paraId="0473325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Tang, L., Fu, F., Wang, W., Li, D., Wu, Y., Gao, X., &amp; Yang, X. (2009). Two Novel 3D Hydrogen-bonded Architectures constructed from maleic acid and N-donor ligands: structures, magnetic properties and theoretical studies. </w:t>
      </w:r>
      <w:r w:rsidRPr="00F25B40">
        <w:rPr>
          <w:rFonts w:ascii="Arial" w:hAnsi="Arial" w:cs="Arial"/>
          <w:i/>
          <w:iCs/>
          <w:sz w:val="20"/>
          <w:lang w:val="en-US"/>
        </w:rPr>
        <w:t>Chinese Journal of Chemistry,</w:t>
      </w:r>
      <w:r w:rsidRPr="00F25B40">
        <w:rPr>
          <w:rFonts w:ascii="Arial" w:hAnsi="Arial" w:cs="Arial"/>
          <w:sz w:val="20"/>
          <w:lang w:val="en-US"/>
        </w:rPr>
        <w:t xml:space="preserve"> 27(2), 273</w:t>
      </w:r>
      <w:r w:rsidRPr="00F25B40">
        <w:rPr>
          <w:rFonts w:ascii="Cambria Math" w:hAnsi="Cambria Math" w:cs="Cambria Math"/>
          <w:sz w:val="20"/>
          <w:lang w:val="en-US"/>
        </w:rPr>
        <w:t>‑</w:t>
      </w:r>
      <w:r w:rsidRPr="00F25B40">
        <w:rPr>
          <w:rFonts w:ascii="Arial" w:hAnsi="Arial" w:cs="Arial"/>
          <w:sz w:val="20"/>
          <w:lang w:val="en-US"/>
        </w:rPr>
        <w:t xml:space="preserve">280. </w:t>
      </w:r>
    </w:p>
    <w:p w14:paraId="525EED00"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https://doi.org/10.1002/cjoc.200990044</w:t>
      </w:r>
    </w:p>
    <w:p w14:paraId="1EB7039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lastRenderedPageBreak/>
        <w:t xml:space="preserve">Vasile Scaeteanu, G., Badea, M., &amp; Olar, R. (2024). Coordinative compounds based on unsaturated carboxylate with versatile biological applications. </w:t>
      </w:r>
      <w:r w:rsidRPr="00F25B40">
        <w:rPr>
          <w:rFonts w:ascii="Arial" w:hAnsi="Arial" w:cs="Arial"/>
          <w:i/>
          <w:iCs/>
          <w:sz w:val="20"/>
          <w:lang w:val="en-US"/>
        </w:rPr>
        <w:t>Molecules</w:t>
      </w:r>
      <w:r w:rsidRPr="00F25B40">
        <w:rPr>
          <w:rFonts w:ascii="Arial" w:hAnsi="Arial" w:cs="Arial"/>
          <w:sz w:val="20"/>
          <w:lang w:val="en-US"/>
        </w:rPr>
        <w:t xml:space="preserve"> 29(10), 2321. </w:t>
      </w:r>
    </w:p>
    <w:p w14:paraId="6E1138E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https://doi.org/10.3390/molecules29102321</w:t>
      </w:r>
    </w:p>
    <w:p w14:paraId="25C0E49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Yang, L., Powell, D. R., &amp; Houser, R. P. (2007). Structural variation in copper(I) complexes with pyridylmethylamide ligands: structural analysis with a new four-coordinate geometry index, </w:t>
      </w:r>
      <w:r w:rsidRPr="00F25B40">
        <w:rPr>
          <w:rFonts w:ascii="Arial" w:hAnsi="Arial" w:cs="Arial"/>
          <w:i/>
          <w:iCs/>
          <w:sz w:val="20"/>
        </w:rPr>
        <w:t>τ</w:t>
      </w:r>
      <w:r w:rsidRPr="00F25B40">
        <w:rPr>
          <w:rFonts w:ascii="Arial" w:hAnsi="Arial" w:cs="Arial"/>
          <w:sz w:val="20"/>
          <w:vertAlign w:val="subscript"/>
          <w:lang w:val="en-US"/>
        </w:rPr>
        <w:t>4</w:t>
      </w:r>
      <w:r w:rsidRPr="00F25B40">
        <w:rPr>
          <w:rFonts w:ascii="Arial" w:hAnsi="Arial" w:cs="Arial"/>
          <w:sz w:val="20"/>
          <w:lang w:val="en-US"/>
        </w:rPr>
        <w:t xml:space="preserve">. </w:t>
      </w:r>
      <w:r w:rsidRPr="00F25B40">
        <w:rPr>
          <w:rFonts w:ascii="Arial" w:hAnsi="Arial" w:cs="Arial"/>
          <w:i/>
          <w:iCs/>
          <w:sz w:val="20"/>
          <w:lang w:val="en-US"/>
        </w:rPr>
        <w:t>Dalton Transactions,</w:t>
      </w:r>
      <w:r w:rsidRPr="00F25B40">
        <w:rPr>
          <w:rFonts w:ascii="Arial" w:hAnsi="Arial" w:cs="Arial"/>
          <w:sz w:val="20"/>
          <w:lang w:val="en-US"/>
        </w:rPr>
        <w:t xml:space="preserve"> (9), 955</w:t>
      </w:r>
      <w:r w:rsidRPr="00F25B40">
        <w:rPr>
          <w:rFonts w:ascii="Cambria Math" w:hAnsi="Cambria Math" w:cs="Cambria Math"/>
          <w:sz w:val="20"/>
          <w:lang w:val="en-US"/>
        </w:rPr>
        <w:t>‑</w:t>
      </w:r>
      <w:r w:rsidRPr="00F25B40">
        <w:rPr>
          <w:rFonts w:ascii="Arial" w:hAnsi="Arial" w:cs="Arial"/>
          <w:sz w:val="20"/>
          <w:lang w:val="en-US"/>
        </w:rPr>
        <w:t xml:space="preserve">964. </w:t>
      </w:r>
    </w:p>
    <w:p w14:paraId="740E3345"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https://doi.org/10.1039/B617136B</w:t>
      </w:r>
    </w:p>
    <w:p w14:paraId="5FD1C3AB"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Yazicilar, T., Gurkan, E., Ucar, I., &amp; Kazak, C. (2009). Synthesis, characterization, spectroscopic, and thermal studies of imidazole complexes of metal benzenesulfonates. Crystal structure of [M(imH)</w:t>
      </w:r>
      <w:r w:rsidRPr="00F25B40">
        <w:rPr>
          <w:rFonts w:ascii="Arial" w:hAnsi="Arial" w:cs="Arial"/>
          <w:sz w:val="20"/>
          <w:vertAlign w:val="subscript"/>
          <w:lang w:val="en-US"/>
        </w:rPr>
        <w:t>3</w:t>
      </w:r>
      <w:r w:rsidRPr="00F25B40">
        <w:rPr>
          <w:rFonts w:ascii="Arial" w:hAnsi="Arial" w:cs="Arial"/>
          <w:sz w:val="20"/>
          <w:lang w:val="en-US"/>
        </w:rPr>
        <w:t>(H</w:t>
      </w:r>
      <w:r w:rsidRPr="00F25B40">
        <w:rPr>
          <w:rFonts w:ascii="Arial" w:hAnsi="Arial" w:cs="Arial"/>
          <w:sz w:val="20"/>
          <w:vertAlign w:val="subscript"/>
          <w:lang w:val="en-US"/>
        </w:rPr>
        <w:t>2</w:t>
      </w:r>
      <w:r w:rsidRPr="00F25B40">
        <w:rPr>
          <w:rFonts w:ascii="Arial" w:hAnsi="Arial" w:cs="Arial"/>
          <w:sz w:val="20"/>
          <w:lang w:val="en-US"/>
        </w:rPr>
        <w:t>O)</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position w:val="4"/>
          <w:sz w:val="20"/>
          <w:lang w:val="en-US"/>
        </w:rPr>
        <w:t>.</w:t>
      </w:r>
      <w:r w:rsidRPr="00F25B40">
        <w:rPr>
          <w:rFonts w:ascii="Arial" w:hAnsi="Arial" w:cs="Arial"/>
          <w:sz w:val="20"/>
          <w:lang w:val="en-US"/>
        </w:rPr>
        <w:t>(BS)</w:t>
      </w:r>
      <w:r w:rsidRPr="00F25B40">
        <w:rPr>
          <w:rFonts w:ascii="Arial" w:hAnsi="Arial" w:cs="Arial"/>
          <w:sz w:val="20"/>
          <w:vertAlign w:val="subscript"/>
          <w:lang w:val="en-US"/>
        </w:rPr>
        <w:t>2</w:t>
      </w:r>
      <w:r w:rsidRPr="00F25B40">
        <w:rPr>
          <w:rFonts w:ascii="Arial" w:hAnsi="Arial" w:cs="Arial"/>
          <w:sz w:val="20"/>
          <w:lang w:val="en-US"/>
        </w:rPr>
        <w:t xml:space="preserve"> [M=Ni(II) and Co(II)]. </w:t>
      </w:r>
      <w:r w:rsidRPr="00F25B40">
        <w:rPr>
          <w:rFonts w:ascii="Arial" w:hAnsi="Arial" w:cs="Arial"/>
          <w:i/>
          <w:iCs/>
          <w:sz w:val="20"/>
          <w:lang w:val="en-US"/>
        </w:rPr>
        <w:t>Transition Metal Chemistry,</w:t>
      </w:r>
      <w:r w:rsidRPr="00F25B40">
        <w:rPr>
          <w:rFonts w:ascii="Arial" w:hAnsi="Arial" w:cs="Arial"/>
          <w:sz w:val="20"/>
          <w:lang w:val="en-US"/>
        </w:rPr>
        <w:t xml:space="preserve"> 34(6), 669-676. </w:t>
      </w:r>
    </w:p>
    <w:p w14:paraId="0D4C5CA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https://doi.org/10.1007/s11243-009-9246-4</w:t>
      </w:r>
    </w:p>
    <w:p w14:paraId="458B2ADD"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H.-B., Zhang, X.-F., Chai, L.-Q., Tang, L.-J., &amp; Zhang, H.-S. (2020). Zinc(II) and Cadmium(II) complexes containing imidazole ring: structural, spectroscopic, antibacterial, DFT calculations and Hirshfeld surface analysis. </w:t>
      </w:r>
      <w:r w:rsidRPr="00F25B40">
        <w:rPr>
          <w:rFonts w:ascii="Arial" w:hAnsi="Arial" w:cs="Arial"/>
          <w:i/>
          <w:iCs/>
          <w:sz w:val="20"/>
          <w:lang w:val="en-US"/>
        </w:rPr>
        <w:t>Inorganica Chimica Acta,</w:t>
      </w:r>
      <w:r w:rsidRPr="00F25B40">
        <w:rPr>
          <w:rFonts w:ascii="Arial" w:hAnsi="Arial" w:cs="Arial"/>
          <w:sz w:val="20"/>
          <w:lang w:val="en-US"/>
        </w:rPr>
        <w:t xml:space="preserve"> 507, 119610. </w:t>
      </w:r>
    </w:p>
    <w:p w14:paraId="06F842F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https://doi.org/10.1016/j.ica.2020.119610</w:t>
      </w:r>
    </w:p>
    <w:p w14:paraId="7D2DE008"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L., Li, Z.-J., Lin, Q.-P., Qin, Y.-Y., Zhang, J., Yin, P.-X., Cheng, J.-K., &amp; Yao, Y.-G. (2009). Synthesis, Structure, and luminescent properties of hybrid inorganic−organic framework materials formed by lead aromatic carboxylates: inorganic connectivity variation from 0D to 3D. </w:t>
      </w:r>
      <w:r w:rsidRPr="00F25B40">
        <w:rPr>
          <w:rFonts w:ascii="Arial" w:hAnsi="Arial" w:cs="Arial"/>
          <w:i/>
          <w:iCs/>
          <w:sz w:val="20"/>
          <w:lang w:val="en-US"/>
        </w:rPr>
        <w:t>Inorganic Chemistry,</w:t>
      </w:r>
      <w:r w:rsidRPr="00F25B40">
        <w:rPr>
          <w:rFonts w:ascii="Arial" w:hAnsi="Arial" w:cs="Arial"/>
          <w:sz w:val="20"/>
          <w:lang w:val="en-US"/>
        </w:rPr>
        <w:t xml:space="preserve"> 48(14), 6517</w:t>
      </w:r>
      <w:r w:rsidRPr="00F25B40">
        <w:rPr>
          <w:rFonts w:ascii="Cambria Math" w:hAnsi="Cambria Math" w:cs="Cambria Math"/>
          <w:sz w:val="20"/>
          <w:lang w:val="en-US"/>
        </w:rPr>
        <w:t>‑</w:t>
      </w:r>
      <w:r w:rsidRPr="00F25B40">
        <w:rPr>
          <w:rFonts w:ascii="Arial" w:hAnsi="Arial" w:cs="Arial"/>
          <w:sz w:val="20"/>
          <w:lang w:val="en-US"/>
        </w:rPr>
        <w:t xml:space="preserve">25. </w:t>
      </w:r>
    </w:p>
    <w:p w14:paraId="63F89F1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https://doi.org/10.1021/ic900425r</w:t>
      </w:r>
    </w:p>
    <w:p w14:paraId="53FC563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T., &amp; Croué, J.-P. (2014). Catalytic ozonation not relying on hydroxyl radical oxidation: A selective and competitive reaction process related to metal–carboxylate complexes. </w:t>
      </w:r>
      <w:r w:rsidRPr="00F25B40">
        <w:rPr>
          <w:rFonts w:ascii="Arial" w:hAnsi="Arial" w:cs="Arial"/>
          <w:i/>
          <w:iCs/>
          <w:sz w:val="20"/>
          <w:lang w:val="en-US"/>
        </w:rPr>
        <w:t>Applied Catalysis B: Environmental,</w:t>
      </w:r>
      <w:r w:rsidRPr="00F25B40">
        <w:rPr>
          <w:rFonts w:ascii="Arial" w:hAnsi="Arial" w:cs="Arial"/>
          <w:sz w:val="20"/>
          <w:lang w:val="en-US"/>
        </w:rPr>
        <w:t xml:space="preserve"> 144, 831</w:t>
      </w:r>
      <w:r w:rsidRPr="00F25B40">
        <w:rPr>
          <w:rFonts w:ascii="Cambria Math" w:hAnsi="Cambria Math" w:cs="Cambria Math"/>
          <w:sz w:val="20"/>
          <w:lang w:val="en-US"/>
        </w:rPr>
        <w:t>‑</w:t>
      </w:r>
      <w:r w:rsidRPr="00F25B40">
        <w:rPr>
          <w:rFonts w:ascii="Arial" w:hAnsi="Arial" w:cs="Arial"/>
          <w:sz w:val="20"/>
          <w:lang w:val="en-US"/>
        </w:rPr>
        <w:t xml:space="preserve">839. </w:t>
      </w:r>
    </w:p>
    <w:p w14:paraId="1284C83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https://doi.org/10.1016/j.apcatb.2013.08.023</w:t>
      </w:r>
    </w:p>
    <w:p w14:paraId="0B02857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Zhou, Y.-H., Xu, Y., Xue, Z.-Q., Shi, J.-Q., Su, Y., Sun, M.-L., Wang, S.-H., Wang, L.-L., Wang, Q.-Q., &amp; Wei, Y.-J. (2020). Syntheses, crystal structures and properties of four metal coordination complexes constructed from aromatic carboxylate and benzimidazole-based ligands. </w:t>
      </w:r>
      <w:r w:rsidRPr="00F25B40">
        <w:rPr>
          <w:rFonts w:ascii="Arial" w:hAnsi="Arial" w:cs="Arial"/>
          <w:i/>
          <w:iCs/>
          <w:sz w:val="20"/>
          <w:lang w:val="en-US"/>
        </w:rPr>
        <w:t>Transition Metal Chemistry</w:t>
      </w:r>
      <w:r w:rsidRPr="00F25B40">
        <w:rPr>
          <w:rFonts w:ascii="Arial" w:hAnsi="Arial" w:cs="Arial"/>
          <w:sz w:val="20"/>
          <w:lang w:val="en-US"/>
        </w:rPr>
        <w:t xml:space="preserve"> 45(5), 353</w:t>
      </w:r>
      <w:r w:rsidRPr="00F25B40">
        <w:rPr>
          <w:rFonts w:ascii="Cambria Math" w:hAnsi="Cambria Math" w:cs="Cambria Math"/>
          <w:sz w:val="20"/>
          <w:lang w:val="en-US"/>
        </w:rPr>
        <w:t>‑</w:t>
      </w:r>
      <w:r w:rsidRPr="00F25B40">
        <w:rPr>
          <w:rFonts w:ascii="Arial" w:hAnsi="Arial" w:cs="Arial"/>
          <w:sz w:val="20"/>
          <w:lang w:val="en-US"/>
        </w:rPr>
        <w:t>62.</w:t>
      </w:r>
    </w:p>
    <w:p w14:paraId="7AC797C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https://doi.org/10.1007/s11243-020-00387-8</w:t>
      </w:r>
    </w:p>
    <w:p w14:paraId="4C5764DE" w14:textId="170EB1B6" w:rsidR="00B14E68" w:rsidRPr="00F25B40" w:rsidRDefault="00BF3E3E" w:rsidP="00A57067">
      <w:pPr>
        <w:spacing w:after="0" w:line="240" w:lineRule="auto"/>
        <w:jc w:val="both"/>
        <w:rPr>
          <w:rFonts w:ascii="Arial" w:hAnsi="Arial" w:cs="Arial"/>
          <w:sz w:val="20"/>
          <w:szCs w:val="20"/>
        </w:rPr>
      </w:pPr>
      <w:r w:rsidRPr="00F25B40">
        <w:rPr>
          <w:rFonts w:ascii="Arial" w:hAnsi="Arial" w:cs="Arial"/>
          <w:sz w:val="20"/>
          <w:szCs w:val="20"/>
          <w:lang w:val="en-US"/>
        </w:rPr>
        <w:fldChar w:fldCharType="end"/>
      </w:r>
      <w:bookmarkEnd w:id="4"/>
    </w:p>
    <w:p w14:paraId="67213CA1" w14:textId="77777777" w:rsidR="00B14E68" w:rsidRPr="00F25B40" w:rsidRDefault="00B14E68" w:rsidP="00A57067">
      <w:pPr>
        <w:spacing w:line="240" w:lineRule="auto"/>
        <w:jc w:val="both"/>
        <w:rPr>
          <w:rFonts w:ascii="Arial" w:hAnsi="Arial" w:cs="Arial"/>
          <w:sz w:val="20"/>
          <w:szCs w:val="20"/>
          <w:lang w:val="fr-SN"/>
        </w:rPr>
      </w:pPr>
    </w:p>
    <w:sectPr w:rsidR="00B14E68" w:rsidRPr="00F25B40">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419F0" w14:textId="77777777" w:rsidR="009C40BD" w:rsidRDefault="009C40BD" w:rsidP="00636E13">
      <w:pPr>
        <w:spacing w:after="0" w:line="240" w:lineRule="auto"/>
      </w:pPr>
      <w:r>
        <w:separator/>
      </w:r>
    </w:p>
  </w:endnote>
  <w:endnote w:type="continuationSeparator" w:id="0">
    <w:p w14:paraId="2D3CECEC" w14:textId="77777777" w:rsidR="009C40BD" w:rsidRDefault="009C40BD" w:rsidP="0063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33FA" w14:textId="77777777" w:rsidR="00F44532" w:rsidRDefault="00F44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5A4B9" w14:textId="77777777" w:rsidR="00F44532" w:rsidRDefault="00F44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F7FF" w14:textId="77777777" w:rsidR="00F44532" w:rsidRDefault="00F44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11337" w14:textId="77777777" w:rsidR="009C40BD" w:rsidRDefault="009C40BD" w:rsidP="00636E13">
      <w:pPr>
        <w:spacing w:after="0" w:line="240" w:lineRule="auto"/>
      </w:pPr>
      <w:r>
        <w:separator/>
      </w:r>
    </w:p>
  </w:footnote>
  <w:footnote w:type="continuationSeparator" w:id="0">
    <w:p w14:paraId="4537D776" w14:textId="77777777" w:rsidR="009C40BD" w:rsidRDefault="009C40BD" w:rsidP="00636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C0C" w14:textId="7B15A6F8" w:rsidR="00F44532" w:rsidRDefault="009C40BD">
    <w:pPr>
      <w:pStyle w:val="Header"/>
    </w:pPr>
    <w:r>
      <w:rPr>
        <w:noProof/>
      </w:rPr>
      <w:pict w14:anchorId="7B40A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BFCA" w14:textId="25165D55" w:rsidR="00F44532" w:rsidRDefault="009C40BD">
    <w:pPr>
      <w:pStyle w:val="Header"/>
    </w:pPr>
    <w:r>
      <w:rPr>
        <w:noProof/>
      </w:rPr>
      <w:pict w14:anchorId="10B5A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4EC6" w14:textId="0480D77F" w:rsidR="00F44532" w:rsidRDefault="009C40BD">
    <w:pPr>
      <w:pStyle w:val="Header"/>
    </w:pPr>
    <w:r>
      <w:rPr>
        <w:noProof/>
      </w:rPr>
      <w:pict w14:anchorId="4D104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F54CB"/>
    <w:multiLevelType w:val="multilevel"/>
    <w:tmpl w:val="5428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80594"/>
    <w:multiLevelType w:val="hybridMultilevel"/>
    <w:tmpl w:val="24B6AE16"/>
    <w:lvl w:ilvl="0" w:tplc="022A68BC">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10279"/>
    <w:multiLevelType w:val="hybridMultilevel"/>
    <w:tmpl w:val="2B96737E"/>
    <w:lvl w:ilvl="0" w:tplc="273EF54C">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 w15:restartNumberingAfterBreak="0">
    <w:nsid w:val="17460545"/>
    <w:multiLevelType w:val="hybridMultilevel"/>
    <w:tmpl w:val="4C3874F6"/>
    <w:lvl w:ilvl="0" w:tplc="AB8EEB88">
      <w:start w:val="1"/>
      <w:numFmt w:val="decimal"/>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 w15:restartNumberingAfterBreak="0">
    <w:nsid w:val="1CD672D3"/>
    <w:multiLevelType w:val="hybridMultilevel"/>
    <w:tmpl w:val="F2983868"/>
    <w:lvl w:ilvl="0" w:tplc="D3B69FD4">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8727E"/>
    <w:multiLevelType w:val="hybridMultilevel"/>
    <w:tmpl w:val="1FFEB954"/>
    <w:lvl w:ilvl="0" w:tplc="70F84F62">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65C4E"/>
    <w:multiLevelType w:val="multilevel"/>
    <w:tmpl w:val="C0B44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E70540"/>
    <w:multiLevelType w:val="hybridMultilevel"/>
    <w:tmpl w:val="8A72C758"/>
    <w:lvl w:ilvl="0" w:tplc="91724F24">
      <w:start w:val="1"/>
      <w:numFmt w:val="decimal"/>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8" w15:restartNumberingAfterBreak="0">
    <w:nsid w:val="38543EA0"/>
    <w:multiLevelType w:val="multilevel"/>
    <w:tmpl w:val="8FE8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A12FC"/>
    <w:multiLevelType w:val="hybridMultilevel"/>
    <w:tmpl w:val="D99859A4"/>
    <w:lvl w:ilvl="0" w:tplc="44ACED76">
      <w:start w:val="1"/>
      <w:numFmt w:val="lowerRoman"/>
      <w:lvlText w:val="(%1)"/>
      <w:lvlJc w:val="left"/>
      <w:pPr>
        <w:ind w:left="1080" w:hanging="72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8C5F7E"/>
    <w:multiLevelType w:val="multilevel"/>
    <w:tmpl w:val="4EB4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333FF7"/>
    <w:multiLevelType w:val="hybridMultilevel"/>
    <w:tmpl w:val="F3C0BAAE"/>
    <w:lvl w:ilvl="0" w:tplc="4E744136">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3B2A52"/>
    <w:multiLevelType w:val="hybridMultilevel"/>
    <w:tmpl w:val="497C82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523ADF"/>
    <w:multiLevelType w:val="hybridMultilevel"/>
    <w:tmpl w:val="3FE0FA4E"/>
    <w:lvl w:ilvl="0" w:tplc="381CDE9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B3749"/>
    <w:multiLevelType w:val="multilevel"/>
    <w:tmpl w:val="33D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D48AB"/>
    <w:multiLevelType w:val="multilevel"/>
    <w:tmpl w:val="062A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9476E"/>
    <w:multiLevelType w:val="multilevel"/>
    <w:tmpl w:val="0228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85C2D"/>
    <w:multiLevelType w:val="multilevel"/>
    <w:tmpl w:val="D390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43CB8"/>
    <w:multiLevelType w:val="hybridMultilevel"/>
    <w:tmpl w:val="94A2A0F0"/>
    <w:lvl w:ilvl="0" w:tplc="394A4D36">
      <w:start w:val="1"/>
      <w:numFmt w:val="decimal"/>
      <w:lvlText w:val="(%1)"/>
      <w:lvlJc w:val="left"/>
      <w:pPr>
        <w:ind w:left="2640" w:hanging="360"/>
      </w:pPr>
      <w:rPr>
        <w:rFonts w:hint="default"/>
        <w:b/>
        <w:u w:val="single"/>
      </w:rPr>
    </w:lvl>
    <w:lvl w:ilvl="1" w:tplc="040C0019" w:tentative="1">
      <w:start w:val="1"/>
      <w:numFmt w:val="lowerLetter"/>
      <w:lvlText w:val="%2."/>
      <w:lvlJc w:val="left"/>
      <w:pPr>
        <w:ind w:left="3360" w:hanging="360"/>
      </w:pPr>
    </w:lvl>
    <w:lvl w:ilvl="2" w:tplc="040C001B" w:tentative="1">
      <w:start w:val="1"/>
      <w:numFmt w:val="lowerRoman"/>
      <w:lvlText w:val="%3."/>
      <w:lvlJc w:val="right"/>
      <w:pPr>
        <w:ind w:left="4080" w:hanging="180"/>
      </w:pPr>
    </w:lvl>
    <w:lvl w:ilvl="3" w:tplc="040C000F" w:tentative="1">
      <w:start w:val="1"/>
      <w:numFmt w:val="decimal"/>
      <w:lvlText w:val="%4."/>
      <w:lvlJc w:val="left"/>
      <w:pPr>
        <w:ind w:left="4800" w:hanging="360"/>
      </w:pPr>
    </w:lvl>
    <w:lvl w:ilvl="4" w:tplc="040C0019" w:tentative="1">
      <w:start w:val="1"/>
      <w:numFmt w:val="lowerLetter"/>
      <w:lvlText w:val="%5."/>
      <w:lvlJc w:val="left"/>
      <w:pPr>
        <w:ind w:left="5520" w:hanging="360"/>
      </w:pPr>
    </w:lvl>
    <w:lvl w:ilvl="5" w:tplc="040C001B" w:tentative="1">
      <w:start w:val="1"/>
      <w:numFmt w:val="lowerRoman"/>
      <w:lvlText w:val="%6."/>
      <w:lvlJc w:val="right"/>
      <w:pPr>
        <w:ind w:left="6240" w:hanging="180"/>
      </w:pPr>
    </w:lvl>
    <w:lvl w:ilvl="6" w:tplc="040C000F" w:tentative="1">
      <w:start w:val="1"/>
      <w:numFmt w:val="decimal"/>
      <w:lvlText w:val="%7."/>
      <w:lvlJc w:val="left"/>
      <w:pPr>
        <w:ind w:left="6960" w:hanging="360"/>
      </w:pPr>
    </w:lvl>
    <w:lvl w:ilvl="7" w:tplc="040C0019" w:tentative="1">
      <w:start w:val="1"/>
      <w:numFmt w:val="lowerLetter"/>
      <w:lvlText w:val="%8."/>
      <w:lvlJc w:val="left"/>
      <w:pPr>
        <w:ind w:left="7680" w:hanging="360"/>
      </w:pPr>
    </w:lvl>
    <w:lvl w:ilvl="8" w:tplc="040C001B" w:tentative="1">
      <w:start w:val="1"/>
      <w:numFmt w:val="lowerRoman"/>
      <w:lvlText w:val="%9."/>
      <w:lvlJc w:val="right"/>
      <w:pPr>
        <w:ind w:left="8400" w:hanging="180"/>
      </w:pPr>
    </w:lvl>
  </w:abstractNum>
  <w:num w:numId="1">
    <w:abstractNumId w:val="12"/>
  </w:num>
  <w:num w:numId="2">
    <w:abstractNumId w:val="18"/>
  </w:num>
  <w:num w:numId="3">
    <w:abstractNumId w:val="9"/>
  </w:num>
  <w:num w:numId="4">
    <w:abstractNumId w:val="3"/>
  </w:num>
  <w:num w:numId="5">
    <w:abstractNumId w:val="2"/>
  </w:num>
  <w:num w:numId="6">
    <w:abstractNumId w:val="7"/>
  </w:num>
  <w:num w:numId="7">
    <w:abstractNumId w:val="10"/>
  </w:num>
  <w:num w:numId="8">
    <w:abstractNumId w:val="14"/>
  </w:num>
  <w:num w:numId="9">
    <w:abstractNumId w:val="15"/>
  </w:num>
  <w:num w:numId="10">
    <w:abstractNumId w:val="6"/>
  </w:num>
  <w:num w:numId="11">
    <w:abstractNumId w:val="17"/>
  </w:num>
  <w:num w:numId="12">
    <w:abstractNumId w:val="16"/>
  </w:num>
  <w:num w:numId="13">
    <w:abstractNumId w:val="8"/>
  </w:num>
  <w:num w:numId="14">
    <w:abstractNumId w:val="4"/>
  </w:num>
  <w:num w:numId="15">
    <w:abstractNumId w:val="0"/>
  </w:num>
  <w:num w:numId="16">
    <w:abstractNumId w:val="13"/>
  </w:num>
  <w:num w:numId="17">
    <w:abstractNumId w:val="11"/>
  </w:num>
  <w:num w:numId="18">
    <w:abstractNumId w:val="11"/>
  </w:num>
  <w:num w:numId="19">
    <w:abstractNumId w:val="5"/>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E18"/>
    <w:rsid w:val="00004606"/>
    <w:rsid w:val="0000707B"/>
    <w:rsid w:val="00011774"/>
    <w:rsid w:val="0001269F"/>
    <w:rsid w:val="0001477E"/>
    <w:rsid w:val="0001548A"/>
    <w:rsid w:val="00024D3F"/>
    <w:rsid w:val="000263B8"/>
    <w:rsid w:val="00026D3A"/>
    <w:rsid w:val="0003295E"/>
    <w:rsid w:val="00032E7C"/>
    <w:rsid w:val="00035705"/>
    <w:rsid w:val="00041800"/>
    <w:rsid w:val="00042B41"/>
    <w:rsid w:val="00045524"/>
    <w:rsid w:val="00045CA4"/>
    <w:rsid w:val="0004729C"/>
    <w:rsid w:val="00052F46"/>
    <w:rsid w:val="00054420"/>
    <w:rsid w:val="00054594"/>
    <w:rsid w:val="00062EED"/>
    <w:rsid w:val="00063EC3"/>
    <w:rsid w:val="000712B1"/>
    <w:rsid w:val="000740E7"/>
    <w:rsid w:val="00077FB0"/>
    <w:rsid w:val="00081375"/>
    <w:rsid w:val="00085955"/>
    <w:rsid w:val="00091F51"/>
    <w:rsid w:val="00092E36"/>
    <w:rsid w:val="0009388E"/>
    <w:rsid w:val="00095260"/>
    <w:rsid w:val="00095584"/>
    <w:rsid w:val="000A163A"/>
    <w:rsid w:val="000B04C2"/>
    <w:rsid w:val="000B088D"/>
    <w:rsid w:val="000B36B8"/>
    <w:rsid w:val="000B5DC3"/>
    <w:rsid w:val="000C0C54"/>
    <w:rsid w:val="000C2B98"/>
    <w:rsid w:val="000C4205"/>
    <w:rsid w:val="000C6369"/>
    <w:rsid w:val="000C7EF5"/>
    <w:rsid w:val="000D3162"/>
    <w:rsid w:val="000E00E4"/>
    <w:rsid w:val="000E7A9F"/>
    <w:rsid w:val="000E7DA4"/>
    <w:rsid w:val="000F1779"/>
    <w:rsid w:val="000F2373"/>
    <w:rsid w:val="000F3531"/>
    <w:rsid w:val="000F36AC"/>
    <w:rsid w:val="000F6D49"/>
    <w:rsid w:val="00100847"/>
    <w:rsid w:val="00103B4F"/>
    <w:rsid w:val="00110D18"/>
    <w:rsid w:val="0011376B"/>
    <w:rsid w:val="00114986"/>
    <w:rsid w:val="00121404"/>
    <w:rsid w:val="00123DFE"/>
    <w:rsid w:val="00126A9E"/>
    <w:rsid w:val="0012715B"/>
    <w:rsid w:val="00127CDA"/>
    <w:rsid w:val="00131521"/>
    <w:rsid w:val="00134CA1"/>
    <w:rsid w:val="00137A44"/>
    <w:rsid w:val="001448D6"/>
    <w:rsid w:val="00146713"/>
    <w:rsid w:val="00162C32"/>
    <w:rsid w:val="001635E8"/>
    <w:rsid w:val="001637EF"/>
    <w:rsid w:val="00164664"/>
    <w:rsid w:val="001647D0"/>
    <w:rsid w:val="0016567B"/>
    <w:rsid w:val="00167865"/>
    <w:rsid w:val="00171215"/>
    <w:rsid w:val="00172F6C"/>
    <w:rsid w:val="001736B1"/>
    <w:rsid w:val="00174AFE"/>
    <w:rsid w:val="00175D79"/>
    <w:rsid w:val="00184544"/>
    <w:rsid w:val="00185937"/>
    <w:rsid w:val="00191233"/>
    <w:rsid w:val="00194F8E"/>
    <w:rsid w:val="0019547D"/>
    <w:rsid w:val="0019722C"/>
    <w:rsid w:val="001A26D9"/>
    <w:rsid w:val="001A4E8C"/>
    <w:rsid w:val="001A5239"/>
    <w:rsid w:val="001A52DE"/>
    <w:rsid w:val="001A7274"/>
    <w:rsid w:val="001B3423"/>
    <w:rsid w:val="001B7431"/>
    <w:rsid w:val="001B77B1"/>
    <w:rsid w:val="001C043B"/>
    <w:rsid w:val="001C4C91"/>
    <w:rsid w:val="001C5211"/>
    <w:rsid w:val="001C78A6"/>
    <w:rsid w:val="001D1EF0"/>
    <w:rsid w:val="001D545D"/>
    <w:rsid w:val="001E3872"/>
    <w:rsid w:val="001E6B57"/>
    <w:rsid w:val="001E7F71"/>
    <w:rsid w:val="001F1926"/>
    <w:rsid w:val="001F30EA"/>
    <w:rsid w:val="001F47BE"/>
    <w:rsid w:val="001F55AE"/>
    <w:rsid w:val="001F68C7"/>
    <w:rsid w:val="00200FC4"/>
    <w:rsid w:val="00203599"/>
    <w:rsid w:val="0021088D"/>
    <w:rsid w:val="00211207"/>
    <w:rsid w:val="0021458C"/>
    <w:rsid w:val="00214CBC"/>
    <w:rsid w:val="00214E24"/>
    <w:rsid w:val="002159D6"/>
    <w:rsid w:val="00217C87"/>
    <w:rsid w:val="002215DF"/>
    <w:rsid w:val="00222B4C"/>
    <w:rsid w:val="00226C8A"/>
    <w:rsid w:val="00231090"/>
    <w:rsid w:val="00231E7E"/>
    <w:rsid w:val="0023340F"/>
    <w:rsid w:val="00237457"/>
    <w:rsid w:val="0024239D"/>
    <w:rsid w:val="00242B79"/>
    <w:rsid w:val="00242F1A"/>
    <w:rsid w:val="00244474"/>
    <w:rsid w:val="0024667C"/>
    <w:rsid w:val="002508C4"/>
    <w:rsid w:val="00250FCD"/>
    <w:rsid w:val="00252D5A"/>
    <w:rsid w:val="00252E39"/>
    <w:rsid w:val="00252FFB"/>
    <w:rsid w:val="00260D7D"/>
    <w:rsid w:val="00261ACE"/>
    <w:rsid w:val="002630F9"/>
    <w:rsid w:val="0026388E"/>
    <w:rsid w:val="002655EA"/>
    <w:rsid w:val="002665BA"/>
    <w:rsid w:val="00267A7F"/>
    <w:rsid w:val="00267D73"/>
    <w:rsid w:val="00271114"/>
    <w:rsid w:val="0027174A"/>
    <w:rsid w:val="00271E70"/>
    <w:rsid w:val="00271F6D"/>
    <w:rsid w:val="0027462E"/>
    <w:rsid w:val="00275627"/>
    <w:rsid w:val="00276400"/>
    <w:rsid w:val="00287BE0"/>
    <w:rsid w:val="00291423"/>
    <w:rsid w:val="00292908"/>
    <w:rsid w:val="00292B61"/>
    <w:rsid w:val="00294DE1"/>
    <w:rsid w:val="00297677"/>
    <w:rsid w:val="002A0E62"/>
    <w:rsid w:val="002A0EB6"/>
    <w:rsid w:val="002A289C"/>
    <w:rsid w:val="002A2CDC"/>
    <w:rsid w:val="002A47A8"/>
    <w:rsid w:val="002A60C9"/>
    <w:rsid w:val="002B12F8"/>
    <w:rsid w:val="002B2112"/>
    <w:rsid w:val="002B3825"/>
    <w:rsid w:val="002B7252"/>
    <w:rsid w:val="002B7D1E"/>
    <w:rsid w:val="002C08C1"/>
    <w:rsid w:val="002C0D73"/>
    <w:rsid w:val="002C4300"/>
    <w:rsid w:val="002D1ECC"/>
    <w:rsid w:val="002D220B"/>
    <w:rsid w:val="002D3404"/>
    <w:rsid w:val="002D4977"/>
    <w:rsid w:val="002D4F62"/>
    <w:rsid w:val="002E6089"/>
    <w:rsid w:val="002E71C7"/>
    <w:rsid w:val="002F183F"/>
    <w:rsid w:val="002F2C64"/>
    <w:rsid w:val="002F48DC"/>
    <w:rsid w:val="002F5E33"/>
    <w:rsid w:val="00302342"/>
    <w:rsid w:val="00302CA5"/>
    <w:rsid w:val="00302DAA"/>
    <w:rsid w:val="00303F43"/>
    <w:rsid w:val="00306F34"/>
    <w:rsid w:val="003106D6"/>
    <w:rsid w:val="003108D8"/>
    <w:rsid w:val="00310D83"/>
    <w:rsid w:val="0031146A"/>
    <w:rsid w:val="003119E9"/>
    <w:rsid w:val="00312051"/>
    <w:rsid w:val="00314211"/>
    <w:rsid w:val="003171C8"/>
    <w:rsid w:val="00317643"/>
    <w:rsid w:val="00321B03"/>
    <w:rsid w:val="00322CFD"/>
    <w:rsid w:val="00323431"/>
    <w:rsid w:val="00323B0B"/>
    <w:rsid w:val="00324946"/>
    <w:rsid w:val="0032501E"/>
    <w:rsid w:val="00325DA2"/>
    <w:rsid w:val="003265DA"/>
    <w:rsid w:val="00331D8A"/>
    <w:rsid w:val="003320C3"/>
    <w:rsid w:val="003424E2"/>
    <w:rsid w:val="00343124"/>
    <w:rsid w:val="00355BD1"/>
    <w:rsid w:val="00356B8B"/>
    <w:rsid w:val="00360144"/>
    <w:rsid w:val="003640FE"/>
    <w:rsid w:val="00367D03"/>
    <w:rsid w:val="003764E5"/>
    <w:rsid w:val="00377EBA"/>
    <w:rsid w:val="00380705"/>
    <w:rsid w:val="00380C0C"/>
    <w:rsid w:val="003810B2"/>
    <w:rsid w:val="00381DEF"/>
    <w:rsid w:val="003851E4"/>
    <w:rsid w:val="00386DC1"/>
    <w:rsid w:val="003872EB"/>
    <w:rsid w:val="00387920"/>
    <w:rsid w:val="00390085"/>
    <w:rsid w:val="003A16E1"/>
    <w:rsid w:val="003A4A9F"/>
    <w:rsid w:val="003A4D43"/>
    <w:rsid w:val="003A5678"/>
    <w:rsid w:val="003B1471"/>
    <w:rsid w:val="003B38F2"/>
    <w:rsid w:val="003B3DE3"/>
    <w:rsid w:val="003B5EF9"/>
    <w:rsid w:val="003B73B6"/>
    <w:rsid w:val="003C0FCE"/>
    <w:rsid w:val="003C5F2E"/>
    <w:rsid w:val="003E58AC"/>
    <w:rsid w:val="003E6680"/>
    <w:rsid w:val="003E7E73"/>
    <w:rsid w:val="003F2EF0"/>
    <w:rsid w:val="00402FBC"/>
    <w:rsid w:val="0040316D"/>
    <w:rsid w:val="00405610"/>
    <w:rsid w:val="00406244"/>
    <w:rsid w:val="00412001"/>
    <w:rsid w:val="00412A13"/>
    <w:rsid w:val="00412CCA"/>
    <w:rsid w:val="0041319B"/>
    <w:rsid w:val="00415E30"/>
    <w:rsid w:val="0042002C"/>
    <w:rsid w:val="004210CA"/>
    <w:rsid w:val="004217B5"/>
    <w:rsid w:val="00421F33"/>
    <w:rsid w:val="004234A9"/>
    <w:rsid w:val="00425966"/>
    <w:rsid w:val="0043098B"/>
    <w:rsid w:val="004309A7"/>
    <w:rsid w:val="00434954"/>
    <w:rsid w:val="00435ABC"/>
    <w:rsid w:val="00435F52"/>
    <w:rsid w:val="004362BD"/>
    <w:rsid w:val="00442A29"/>
    <w:rsid w:val="004431DA"/>
    <w:rsid w:val="00444006"/>
    <w:rsid w:val="00450407"/>
    <w:rsid w:val="00454435"/>
    <w:rsid w:val="00454450"/>
    <w:rsid w:val="004553D3"/>
    <w:rsid w:val="00455BDB"/>
    <w:rsid w:val="004565CA"/>
    <w:rsid w:val="00456BA1"/>
    <w:rsid w:val="0046066E"/>
    <w:rsid w:val="00462F3F"/>
    <w:rsid w:val="00467124"/>
    <w:rsid w:val="00471173"/>
    <w:rsid w:val="00476741"/>
    <w:rsid w:val="0047689B"/>
    <w:rsid w:val="00477B5F"/>
    <w:rsid w:val="004809F3"/>
    <w:rsid w:val="0048109A"/>
    <w:rsid w:val="00481E44"/>
    <w:rsid w:val="004912D1"/>
    <w:rsid w:val="00491634"/>
    <w:rsid w:val="00492D25"/>
    <w:rsid w:val="0049422B"/>
    <w:rsid w:val="00497346"/>
    <w:rsid w:val="00497E5C"/>
    <w:rsid w:val="004A3421"/>
    <w:rsid w:val="004A69EC"/>
    <w:rsid w:val="004A7E93"/>
    <w:rsid w:val="004B1325"/>
    <w:rsid w:val="004B132C"/>
    <w:rsid w:val="004B1546"/>
    <w:rsid w:val="004B7B55"/>
    <w:rsid w:val="004C34BF"/>
    <w:rsid w:val="004C6C41"/>
    <w:rsid w:val="004C7AFB"/>
    <w:rsid w:val="004C7F4F"/>
    <w:rsid w:val="004D085F"/>
    <w:rsid w:val="004D2A0A"/>
    <w:rsid w:val="004D3A48"/>
    <w:rsid w:val="004D4DC3"/>
    <w:rsid w:val="004D5640"/>
    <w:rsid w:val="004D76C9"/>
    <w:rsid w:val="004E2538"/>
    <w:rsid w:val="004E28AF"/>
    <w:rsid w:val="004E356A"/>
    <w:rsid w:val="004E6BC7"/>
    <w:rsid w:val="004F3203"/>
    <w:rsid w:val="005007DA"/>
    <w:rsid w:val="00505A30"/>
    <w:rsid w:val="005119A2"/>
    <w:rsid w:val="00516148"/>
    <w:rsid w:val="005167AC"/>
    <w:rsid w:val="00521C31"/>
    <w:rsid w:val="00522EB9"/>
    <w:rsid w:val="005266FC"/>
    <w:rsid w:val="00526B4D"/>
    <w:rsid w:val="00534468"/>
    <w:rsid w:val="005346AC"/>
    <w:rsid w:val="00535D9F"/>
    <w:rsid w:val="00536E0C"/>
    <w:rsid w:val="00543930"/>
    <w:rsid w:val="0055116E"/>
    <w:rsid w:val="00556291"/>
    <w:rsid w:val="005579C3"/>
    <w:rsid w:val="0056008B"/>
    <w:rsid w:val="00560E0E"/>
    <w:rsid w:val="00562D74"/>
    <w:rsid w:val="00571B45"/>
    <w:rsid w:val="00571CA2"/>
    <w:rsid w:val="005732CD"/>
    <w:rsid w:val="00577F8E"/>
    <w:rsid w:val="00584381"/>
    <w:rsid w:val="00585932"/>
    <w:rsid w:val="00585B14"/>
    <w:rsid w:val="005870CB"/>
    <w:rsid w:val="0058710D"/>
    <w:rsid w:val="0059022E"/>
    <w:rsid w:val="005927EB"/>
    <w:rsid w:val="00592842"/>
    <w:rsid w:val="00593E88"/>
    <w:rsid w:val="005942ED"/>
    <w:rsid w:val="005A441C"/>
    <w:rsid w:val="005A62D4"/>
    <w:rsid w:val="005B0202"/>
    <w:rsid w:val="005B1416"/>
    <w:rsid w:val="005B484B"/>
    <w:rsid w:val="005C155C"/>
    <w:rsid w:val="005C31E2"/>
    <w:rsid w:val="005C38EA"/>
    <w:rsid w:val="005D0469"/>
    <w:rsid w:val="005D25AE"/>
    <w:rsid w:val="005E452F"/>
    <w:rsid w:val="005F6517"/>
    <w:rsid w:val="005F775C"/>
    <w:rsid w:val="0061268B"/>
    <w:rsid w:val="00621533"/>
    <w:rsid w:val="0062211B"/>
    <w:rsid w:val="00622529"/>
    <w:rsid w:val="006232B0"/>
    <w:rsid w:val="00632358"/>
    <w:rsid w:val="006337FB"/>
    <w:rsid w:val="00636E13"/>
    <w:rsid w:val="0064171E"/>
    <w:rsid w:val="00643239"/>
    <w:rsid w:val="006446B4"/>
    <w:rsid w:val="00644B27"/>
    <w:rsid w:val="006451EE"/>
    <w:rsid w:val="00645753"/>
    <w:rsid w:val="0064750F"/>
    <w:rsid w:val="0065083B"/>
    <w:rsid w:val="00653A2A"/>
    <w:rsid w:val="006543CD"/>
    <w:rsid w:val="00654A78"/>
    <w:rsid w:val="00655530"/>
    <w:rsid w:val="00657F41"/>
    <w:rsid w:val="00661569"/>
    <w:rsid w:val="006632BA"/>
    <w:rsid w:val="0067540B"/>
    <w:rsid w:val="00681C5F"/>
    <w:rsid w:val="00682306"/>
    <w:rsid w:val="00684E0B"/>
    <w:rsid w:val="0068651B"/>
    <w:rsid w:val="006924E7"/>
    <w:rsid w:val="006934CD"/>
    <w:rsid w:val="00696012"/>
    <w:rsid w:val="00697F7C"/>
    <w:rsid w:val="006A1CAF"/>
    <w:rsid w:val="006A1E07"/>
    <w:rsid w:val="006A1FF9"/>
    <w:rsid w:val="006A2A67"/>
    <w:rsid w:val="006A2B69"/>
    <w:rsid w:val="006A5819"/>
    <w:rsid w:val="006B1061"/>
    <w:rsid w:val="006B1C66"/>
    <w:rsid w:val="006B1F25"/>
    <w:rsid w:val="006B30EE"/>
    <w:rsid w:val="006B52D3"/>
    <w:rsid w:val="006B55DF"/>
    <w:rsid w:val="006C15F6"/>
    <w:rsid w:val="006C3EDC"/>
    <w:rsid w:val="006C75E0"/>
    <w:rsid w:val="006C76B3"/>
    <w:rsid w:val="006D1787"/>
    <w:rsid w:val="006D1838"/>
    <w:rsid w:val="006D3741"/>
    <w:rsid w:val="006D5CA6"/>
    <w:rsid w:val="006E5EC0"/>
    <w:rsid w:val="006E7A50"/>
    <w:rsid w:val="006F36CD"/>
    <w:rsid w:val="006F3E84"/>
    <w:rsid w:val="006F5DE6"/>
    <w:rsid w:val="00703E71"/>
    <w:rsid w:val="007042A6"/>
    <w:rsid w:val="007106E2"/>
    <w:rsid w:val="00711C21"/>
    <w:rsid w:val="00711C30"/>
    <w:rsid w:val="00714A3F"/>
    <w:rsid w:val="007163BB"/>
    <w:rsid w:val="007177CD"/>
    <w:rsid w:val="00722D69"/>
    <w:rsid w:val="0072720E"/>
    <w:rsid w:val="0073120E"/>
    <w:rsid w:val="00735BF1"/>
    <w:rsid w:val="007365FB"/>
    <w:rsid w:val="00736F2B"/>
    <w:rsid w:val="0073708C"/>
    <w:rsid w:val="00741EEF"/>
    <w:rsid w:val="007420CA"/>
    <w:rsid w:val="00743DF9"/>
    <w:rsid w:val="00743F0A"/>
    <w:rsid w:val="00747ABB"/>
    <w:rsid w:val="007553E5"/>
    <w:rsid w:val="00756128"/>
    <w:rsid w:val="007567AA"/>
    <w:rsid w:val="0076104B"/>
    <w:rsid w:val="00761B9E"/>
    <w:rsid w:val="00761BF8"/>
    <w:rsid w:val="00762868"/>
    <w:rsid w:val="00766407"/>
    <w:rsid w:val="00767434"/>
    <w:rsid w:val="00770632"/>
    <w:rsid w:val="00770F1E"/>
    <w:rsid w:val="0077166B"/>
    <w:rsid w:val="00773216"/>
    <w:rsid w:val="00774333"/>
    <w:rsid w:val="00775094"/>
    <w:rsid w:val="007835EA"/>
    <w:rsid w:val="007849CB"/>
    <w:rsid w:val="00786A5F"/>
    <w:rsid w:val="00786EF2"/>
    <w:rsid w:val="00792547"/>
    <w:rsid w:val="007A5048"/>
    <w:rsid w:val="007A60BE"/>
    <w:rsid w:val="007B1323"/>
    <w:rsid w:val="007B1DC8"/>
    <w:rsid w:val="007B4062"/>
    <w:rsid w:val="007B51AF"/>
    <w:rsid w:val="007B639C"/>
    <w:rsid w:val="007B72FB"/>
    <w:rsid w:val="007C53B5"/>
    <w:rsid w:val="007C6418"/>
    <w:rsid w:val="007D238A"/>
    <w:rsid w:val="007E08F3"/>
    <w:rsid w:val="007E1218"/>
    <w:rsid w:val="007E2A94"/>
    <w:rsid w:val="007F1253"/>
    <w:rsid w:val="007F1941"/>
    <w:rsid w:val="007F2698"/>
    <w:rsid w:val="007F3591"/>
    <w:rsid w:val="007F38B5"/>
    <w:rsid w:val="007F3E32"/>
    <w:rsid w:val="007F43AD"/>
    <w:rsid w:val="007F5EF7"/>
    <w:rsid w:val="00802A2E"/>
    <w:rsid w:val="00803FB4"/>
    <w:rsid w:val="00804098"/>
    <w:rsid w:val="008042ED"/>
    <w:rsid w:val="0081050A"/>
    <w:rsid w:val="0081299B"/>
    <w:rsid w:val="008155BC"/>
    <w:rsid w:val="0082261F"/>
    <w:rsid w:val="008263DB"/>
    <w:rsid w:val="00831A89"/>
    <w:rsid w:val="00836049"/>
    <w:rsid w:val="00836557"/>
    <w:rsid w:val="00837F4D"/>
    <w:rsid w:val="00840373"/>
    <w:rsid w:val="0084069C"/>
    <w:rsid w:val="00840A41"/>
    <w:rsid w:val="00845613"/>
    <w:rsid w:val="00853F5F"/>
    <w:rsid w:val="00855479"/>
    <w:rsid w:val="00855F05"/>
    <w:rsid w:val="00856F2B"/>
    <w:rsid w:val="00857061"/>
    <w:rsid w:val="0085739A"/>
    <w:rsid w:val="00874CDF"/>
    <w:rsid w:val="00890CF0"/>
    <w:rsid w:val="008931BE"/>
    <w:rsid w:val="00894C09"/>
    <w:rsid w:val="00896AED"/>
    <w:rsid w:val="00896C35"/>
    <w:rsid w:val="008A00C9"/>
    <w:rsid w:val="008A63F6"/>
    <w:rsid w:val="008B0B46"/>
    <w:rsid w:val="008B4F1D"/>
    <w:rsid w:val="008C2548"/>
    <w:rsid w:val="008C564B"/>
    <w:rsid w:val="008C607E"/>
    <w:rsid w:val="008D03B5"/>
    <w:rsid w:val="008D220C"/>
    <w:rsid w:val="008D3DB0"/>
    <w:rsid w:val="008D3F2D"/>
    <w:rsid w:val="008D7FFE"/>
    <w:rsid w:val="008E05C3"/>
    <w:rsid w:val="008E0BB7"/>
    <w:rsid w:val="008E4579"/>
    <w:rsid w:val="008E6A96"/>
    <w:rsid w:val="008E7689"/>
    <w:rsid w:val="008F0738"/>
    <w:rsid w:val="008F0EC3"/>
    <w:rsid w:val="008F3C8E"/>
    <w:rsid w:val="008F616A"/>
    <w:rsid w:val="008F62B0"/>
    <w:rsid w:val="008F6E9F"/>
    <w:rsid w:val="008F7411"/>
    <w:rsid w:val="00900452"/>
    <w:rsid w:val="00911DA7"/>
    <w:rsid w:val="0091564B"/>
    <w:rsid w:val="00916028"/>
    <w:rsid w:val="009164A8"/>
    <w:rsid w:val="0091650D"/>
    <w:rsid w:val="00916FB0"/>
    <w:rsid w:val="00920D5A"/>
    <w:rsid w:val="00921258"/>
    <w:rsid w:val="00925304"/>
    <w:rsid w:val="00925373"/>
    <w:rsid w:val="00925DE8"/>
    <w:rsid w:val="00926C27"/>
    <w:rsid w:val="00927456"/>
    <w:rsid w:val="00927E68"/>
    <w:rsid w:val="00933686"/>
    <w:rsid w:val="0093394C"/>
    <w:rsid w:val="00933D5A"/>
    <w:rsid w:val="00935E1C"/>
    <w:rsid w:val="00937641"/>
    <w:rsid w:val="00953276"/>
    <w:rsid w:val="00955D8E"/>
    <w:rsid w:val="00960802"/>
    <w:rsid w:val="00960AD1"/>
    <w:rsid w:val="00960C06"/>
    <w:rsid w:val="00961FD4"/>
    <w:rsid w:val="00962B7E"/>
    <w:rsid w:val="009633A5"/>
    <w:rsid w:val="009679DE"/>
    <w:rsid w:val="00970B09"/>
    <w:rsid w:val="009718BF"/>
    <w:rsid w:val="00971F09"/>
    <w:rsid w:val="009746C8"/>
    <w:rsid w:val="009779B5"/>
    <w:rsid w:val="009807D0"/>
    <w:rsid w:val="00981063"/>
    <w:rsid w:val="0098771D"/>
    <w:rsid w:val="009905B3"/>
    <w:rsid w:val="00995202"/>
    <w:rsid w:val="009973BF"/>
    <w:rsid w:val="00997FDF"/>
    <w:rsid w:val="009A0CC6"/>
    <w:rsid w:val="009A1323"/>
    <w:rsid w:val="009A2609"/>
    <w:rsid w:val="009B035D"/>
    <w:rsid w:val="009B1595"/>
    <w:rsid w:val="009B6E68"/>
    <w:rsid w:val="009C2D10"/>
    <w:rsid w:val="009C40BD"/>
    <w:rsid w:val="009C753C"/>
    <w:rsid w:val="009C7FDC"/>
    <w:rsid w:val="009D5DD5"/>
    <w:rsid w:val="009E458E"/>
    <w:rsid w:val="009F1A18"/>
    <w:rsid w:val="009F1BA1"/>
    <w:rsid w:val="009F25E2"/>
    <w:rsid w:val="009F7B60"/>
    <w:rsid w:val="00A0657A"/>
    <w:rsid w:val="00A06872"/>
    <w:rsid w:val="00A076B1"/>
    <w:rsid w:val="00A07CD0"/>
    <w:rsid w:val="00A111AE"/>
    <w:rsid w:val="00A12D75"/>
    <w:rsid w:val="00A13FAC"/>
    <w:rsid w:val="00A17DC9"/>
    <w:rsid w:val="00A2112F"/>
    <w:rsid w:val="00A35054"/>
    <w:rsid w:val="00A400B8"/>
    <w:rsid w:val="00A418F6"/>
    <w:rsid w:val="00A429E1"/>
    <w:rsid w:val="00A439A0"/>
    <w:rsid w:val="00A4424B"/>
    <w:rsid w:val="00A44A54"/>
    <w:rsid w:val="00A45B5C"/>
    <w:rsid w:val="00A50D23"/>
    <w:rsid w:val="00A5157E"/>
    <w:rsid w:val="00A51919"/>
    <w:rsid w:val="00A54D7F"/>
    <w:rsid w:val="00A57067"/>
    <w:rsid w:val="00A70308"/>
    <w:rsid w:val="00A725CD"/>
    <w:rsid w:val="00A73596"/>
    <w:rsid w:val="00A73AB9"/>
    <w:rsid w:val="00A741EE"/>
    <w:rsid w:val="00A74A23"/>
    <w:rsid w:val="00A75A90"/>
    <w:rsid w:val="00A76067"/>
    <w:rsid w:val="00A8262E"/>
    <w:rsid w:val="00A8361F"/>
    <w:rsid w:val="00A861D5"/>
    <w:rsid w:val="00A8795E"/>
    <w:rsid w:val="00A9048D"/>
    <w:rsid w:val="00A913CA"/>
    <w:rsid w:val="00A93F4F"/>
    <w:rsid w:val="00AB23D0"/>
    <w:rsid w:val="00AB3A24"/>
    <w:rsid w:val="00AB3F2E"/>
    <w:rsid w:val="00AC1569"/>
    <w:rsid w:val="00AC42EE"/>
    <w:rsid w:val="00AD0021"/>
    <w:rsid w:val="00AD1878"/>
    <w:rsid w:val="00AD1F71"/>
    <w:rsid w:val="00AD2642"/>
    <w:rsid w:val="00AD2866"/>
    <w:rsid w:val="00AD43C3"/>
    <w:rsid w:val="00AD547E"/>
    <w:rsid w:val="00AD6DD9"/>
    <w:rsid w:val="00AD7A47"/>
    <w:rsid w:val="00AE3F8A"/>
    <w:rsid w:val="00AF0185"/>
    <w:rsid w:val="00AF3B9F"/>
    <w:rsid w:val="00AF46DA"/>
    <w:rsid w:val="00AF56BA"/>
    <w:rsid w:val="00B00CD6"/>
    <w:rsid w:val="00B01C63"/>
    <w:rsid w:val="00B02E7B"/>
    <w:rsid w:val="00B04CF6"/>
    <w:rsid w:val="00B051C2"/>
    <w:rsid w:val="00B07468"/>
    <w:rsid w:val="00B1151F"/>
    <w:rsid w:val="00B12D0D"/>
    <w:rsid w:val="00B1369F"/>
    <w:rsid w:val="00B138EA"/>
    <w:rsid w:val="00B14E68"/>
    <w:rsid w:val="00B22F94"/>
    <w:rsid w:val="00B4129B"/>
    <w:rsid w:val="00B44CEA"/>
    <w:rsid w:val="00B54BF8"/>
    <w:rsid w:val="00B616EC"/>
    <w:rsid w:val="00B62865"/>
    <w:rsid w:val="00B66039"/>
    <w:rsid w:val="00B7028D"/>
    <w:rsid w:val="00B758B9"/>
    <w:rsid w:val="00B768B5"/>
    <w:rsid w:val="00B814EE"/>
    <w:rsid w:val="00B84B48"/>
    <w:rsid w:val="00B85B89"/>
    <w:rsid w:val="00B86A60"/>
    <w:rsid w:val="00B918B0"/>
    <w:rsid w:val="00B946A3"/>
    <w:rsid w:val="00B94C9B"/>
    <w:rsid w:val="00B96D89"/>
    <w:rsid w:val="00BA1545"/>
    <w:rsid w:val="00BA189A"/>
    <w:rsid w:val="00BA3F8B"/>
    <w:rsid w:val="00BA5B35"/>
    <w:rsid w:val="00BA63F0"/>
    <w:rsid w:val="00BA7FF7"/>
    <w:rsid w:val="00BB3058"/>
    <w:rsid w:val="00BB3781"/>
    <w:rsid w:val="00BB533E"/>
    <w:rsid w:val="00BC0A8D"/>
    <w:rsid w:val="00BC1402"/>
    <w:rsid w:val="00BC1E7D"/>
    <w:rsid w:val="00BC303A"/>
    <w:rsid w:val="00BD0C08"/>
    <w:rsid w:val="00BD23DF"/>
    <w:rsid w:val="00BD74BA"/>
    <w:rsid w:val="00BE02D3"/>
    <w:rsid w:val="00BE0D96"/>
    <w:rsid w:val="00BE10FD"/>
    <w:rsid w:val="00BE192A"/>
    <w:rsid w:val="00BE39B4"/>
    <w:rsid w:val="00BE7723"/>
    <w:rsid w:val="00BE7FD4"/>
    <w:rsid w:val="00BF3E3E"/>
    <w:rsid w:val="00C05003"/>
    <w:rsid w:val="00C05BB1"/>
    <w:rsid w:val="00C1057B"/>
    <w:rsid w:val="00C111D3"/>
    <w:rsid w:val="00C13248"/>
    <w:rsid w:val="00C13719"/>
    <w:rsid w:val="00C17487"/>
    <w:rsid w:val="00C20911"/>
    <w:rsid w:val="00C22E70"/>
    <w:rsid w:val="00C27784"/>
    <w:rsid w:val="00C30F34"/>
    <w:rsid w:val="00C33574"/>
    <w:rsid w:val="00C340A3"/>
    <w:rsid w:val="00C42EF7"/>
    <w:rsid w:val="00C501B9"/>
    <w:rsid w:val="00C520CE"/>
    <w:rsid w:val="00C524A9"/>
    <w:rsid w:val="00C52A15"/>
    <w:rsid w:val="00C7085A"/>
    <w:rsid w:val="00C70886"/>
    <w:rsid w:val="00C71D96"/>
    <w:rsid w:val="00C75E62"/>
    <w:rsid w:val="00C77C14"/>
    <w:rsid w:val="00C80B43"/>
    <w:rsid w:val="00C84FF9"/>
    <w:rsid w:val="00C853A9"/>
    <w:rsid w:val="00C87AFE"/>
    <w:rsid w:val="00C91D7D"/>
    <w:rsid w:val="00C925FC"/>
    <w:rsid w:val="00C94127"/>
    <w:rsid w:val="00C94813"/>
    <w:rsid w:val="00C958CC"/>
    <w:rsid w:val="00C95957"/>
    <w:rsid w:val="00C95DF1"/>
    <w:rsid w:val="00CA04E0"/>
    <w:rsid w:val="00CA0FE5"/>
    <w:rsid w:val="00CA2FDF"/>
    <w:rsid w:val="00CA4F50"/>
    <w:rsid w:val="00CA6318"/>
    <w:rsid w:val="00CB0ABE"/>
    <w:rsid w:val="00CB11FF"/>
    <w:rsid w:val="00CB188B"/>
    <w:rsid w:val="00CB1CB2"/>
    <w:rsid w:val="00CB2626"/>
    <w:rsid w:val="00CB4F06"/>
    <w:rsid w:val="00CB7183"/>
    <w:rsid w:val="00CC1C3C"/>
    <w:rsid w:val="00CC4077"/>
    <w:rsid w:val="00CC55D9"/>
    <w:rsid w:val="00CC5795"/>
    <w:rsid w:val="00CC6C15"/>
    <w:rsid w:val="00CD1F66"/>
    <w:rsid w:val="00CD5FED"/>
    <w:rsid w:val="00CE16B5"/>
    <w:rsid w:val="00CE1B21"/>
    <w:rsid w:val="00CE1CD5"/>
    <w:rsid w:val="00CE72A4"/>
    <w:rsid w:val="00CF05DD"/>
    <w:rsid w:val="00CF3360"/>
    <w:rsid w:val="00CF4106"/>
    <w:rsid w:val="00CF415B"/>
    <w:rsid w:val="00CF63BE"/>
    <w:rsid w:val="00D00FDA"/>
    <w:rsid w:val="00D03D97"/>
    <w:rsid w:val="00D050E3"/>
    <w:rsid w:val="00D062A1"/>
    <w:rsid w:val="00D06F04"/>
    <w:rsid w:val="00D10304"/>
    <w:rsid w:val="00D109C5"/>
    <w:rsid w:val="00D12CDB"/>
    <w:rsid w:val="00D14C9B"/>
    <w:rsid w:val="00D20284"/>
    <w:rsid w:val="00D249F9"/>
    <w:rsid w:val="00D268C3"/>
    <w:rsid w:val="00D3046B"/>
    <w:rsid w:val="00D32660"/>
    <w:rsid w:val="00D33037"/>
    <w:rsid w:val="00D33483"/>
    <w:rsid w:val="00D33880"/>
    <w:rsid w:val="00D34CBB"/>
    <w:rsid w:val="00D35894"/>
    <w:rsid w:val="00D35A32"/>
    <w:rsid w:val="00D408DD"/>
    <w:rsid w:val="00D40C33"/>
    <w:rsid w:val="00D41648"/>
    <w:rsid w:val="00D431F8"/>
    <w:rsid w:val="00D4549F"/>
    <w:rsid w:val="00D45E34"/>
    <w:rsid w:val="00D46D41"/>
    <w:rsid w:val="00D4789C"/>
    <w:rsid w:val="00D51AA9"/>
    <w:rsid w:val="00D524C0"/>
    <w:rsid w:val="00D52C77"/>
    <w:rsid w:val="00D53E77"/>
    <w:rsid w:val="00D567B5"/>
    <w:rsid w:val="00D57876"/>
    <w:rsid w:val="00D63FB8"/>
    <w:rsid w:val="00D65470"/>
    <w:rsid w:val="00D66CA9"/>
    <w:rsid w:val="00D67A4F"/>
    <w:rsid w:val="00D7412A"/>
    <w:rsid w:val="00D7635F"/>
    <w:rsid w:val="00D76522"/>
    <w:rsid w:val="00D76E18"/>
    <w:rsid w:val="00D8153E"/>
    <w:rsid w:val="00D83AF3"/>
    <w:rsid w:val="00D840FF"/>
    <w:rsid w:val="00D84801"/>
    <w:rsid w:val="00D903AE"/>
    <w:rsid w:val="00D92023"/>
    <w:rsid w:val="00D92736"/>
    <w:rsid w:val="00DA5727"/>
    <w:rsid w:val="00DB324E"/>
    <w:rsid w:val="00DB3855"/>
    <w:rsid w:val="00DB6696"/>
    <w:rsid w:val="00DB6B3E"/>
    <w:rsid w:val="00DC1C93"/>
    <w:rsid w:val="00DC4415"/>
    <w:rsid w:val="00DC5685"/>
    <w:rsid w:val="00DC69AE"/>
    <w:rsid w:val="00DD733C"/>
    <w:rsid w:val="00DE15A2"/>
    <w:rsid w:val="00DE6EA8"/>
    <w:rsid w:val="00DE72F0"/>
    <w:rsid w:val="00DF1A34"/>
    <w:rsid w:val="00DF6467"/>
    <w:rsid w:val="00DF65DB"/>
    <w:rsid w:val="00DF7E4C"/>
    <w:rsid w:val="00E023BA"/>
    <w:rsid w:val="00E027CD"/>
    <w:rsid w:val="00E04F20"/>
    <w:rsid w:val="00E062DA"/>
    <w:rsid w:val="00E06473"/>
    <w:rsid w:val="00E12425"/>
    <w:rsid w:val="00E14941"/>
    <w:rsid w:val="00E1620D"/>
    <w:rsid w:val="00E16B88"/>
    <w:rsid w:val="00E17AF1"/>
    <w:rsid w:val="00E17C2A"/>
    <w:rsid w:val="00E2173E"/>
    <w:rsid w:val="00E2279A"/>
    <w:rsid w:val="00E235BE"/>
    <w:rsid w:val="00E25B05"/>
    <w:rsid w:val="00E268AE"/>
    <w:rsid w:val="00E34571"/>
    <w:rsid w:val="00E35536"/>
    <w:rsid w:val="00E3695B"/>
    <w:rsid w:val="00E37E5B"/>
    <w:rsid w:val="00E46F20"/>
    <w:rsid w:val="00E557F8"/>
    <w:rsid w:val="00E62681"/>
    <w:rsid w:val="00E65492"/>
    <w:rsid w:val="00E65FB8"/>
    <w:rsid w:val="00E66899"/>
    <w:rsid w:val="00E671D5"/>
    <w:rsid w:val="00E67697"/>
    <w:rsid w:val="00E6772D"/>
    <w:rsid w:val="00E67795"/>
    <w:rsid w:val="00E72D80"/>
    <w:rsid w:val="00E7330C"/>
    <w:rsid w:val="00E740AA"/>
    <w:rsid w:val="00E808EF"/>
    <w:rsid w:val="00E90DFF"/>
    <w:rsid w:val="00E960F9"/>
    <w:rsid w:val="00EA613D"/>
    <w:rsid w:val="00EA7D06"/>
    <w:rsid w:val="00EB0891"/>
    <w:rsid w:val="00EB50C7"/>
    <w:rsid w:val="00EB55E0"/>
    <w:rsid w:val="00EB6D13"/>
    <w:rsid w:val="00EB77B6"/>
    <w:rsid w:val="00EB794B"/>
    <w:rsid w:val="00EB79E6"/>
    <w:rsid w:val="00ED2591"/>
    <w:rsid w:val="00ED4AAB"/>
    <w:rsid w:val="00ED4FB3"/>
    <w:rsid w:val="00ED59DF"/>
    <w:rsid w:val="00EE68D6"/>
    <w:rsid w:val="00EE7567"/>
    <w:rsid w:val="00EF032F"/>
    <w:rsid w:val="00EF1897"/>
    <w:rsid w:val="00EF32D9"/>
    <w:rsid w:val="00EF4472"/>
    <w:rsid w:val="00F00206"/>
    <w:rsid w:val="00F007B6"/>
    <w:rsid w:val="00F00E18"/>
    <w:rsid w:val="00F022EB"/>
    <w:rsid w:val="00F122B0"/>
    <w:rsid w:val="00F15F86"/>
    <w:rsid w:val="00F16292"/>
    <w:rsid w:val="00F17AA6"/>
    <w:rsid w:val="00F17D98"/>
    <w:rsid w:val="00F20C00"/>
    <w:rsid w:val="00F211CF"/>
    <w:rsid w:val="00F22E53"/>
    <w:rsid w:val="00F25B40"/>
    <w:rsid w:val="00F26BD8"/>
    <w:rsid w:val="00F278F5"/>
    <w:rsid w:val="00F27A93"/>
    <w:rsid w:val="00F30DD9"/>
    <w:rsid w:val="00F325F0"/>
    <w:rsid w:val="00F33721"/>
    <w:rsid w:val="00F33D54"/>
    <w:rsid w:val="00F3500F"/>
    <w:rsid w:val="00F37528"/>
    <w:rsid w:val="00F37D35"/>
    <w:rsid w:val="00F41897"/>
    <w:rsid w:val="00F4224E"/>
    <w:rsid w:val="00F44532"/>
    <w:rsid w:val="00F44B53"/>
    <w:rsid w:val="00F4529B"/>
    <w:rsid w:val="00F46797"/>
    <w:rsid w:val="00F47D43"/>
    <w:rsid w:val="00F51411"/>
    <w:rsid w:val="00F545B0"/>
    <w:rsid w:val="00F55A5B"/>
    <w:rsid w:val="00F6128A"/>
    <w:rsid w:val="00F64093"/>
    <w:rsid w:val="00F65261"/>
    <w:rsid w:val="00F71E4D"/>
    <w:rsid w:val="00F7289A"/>
    <w:rsid w:val="00F730BD"/>
    <w:rsid w:val="00F75565"/>
    <w:rsid w:val="00F7610B"/>
    <w:rsid w:val="00F812AA"/>
    <w:rsid w:val="00F82EEF"/>
    <w:rsid w:val="00F83A4E"/>
    <w:rsid w:val="00F84817"/>
    <w:rsid w:val="00F84BA8"/>
    <w:rsid w:val="00F854C2"/>
    <w:rsid w:val="00F85809"/>
    <w:rsid w:val="00F85AFD"/>
    <w:rsid w:val="00F86506"/>
    <w:rsid w:val="00F94C60"/>
    <w:rsid w:val="00F95194"/>
    <w:rsid w:val="00F958EC"/>
    <w:rsid w:val="00FA081F"/>
    <w:rsid w:val="00FA17A3"/>
    <w:rsid w:val="00FA2B8C"/>
    <w:rsid w:val="00FA3BE4"/>
    <w:rsid w:val="00FA49AF"/>
    <w:rsid w:val="00FA5D15"/>
    <w:rsid w:val="00FB05E6"/>
    <w:rsid w:val="00FB42CC"/>
    <w:rsid w:val="00FB4401"/>
    <w:rsid w:val="00FB702A"/>
    <w:rsid w:val="00FC0FB5"/>
    <w:rsid w:val="00FC6237"/>
    <w:rsid w:val="00FD0BD2"/>
    <w:rsid w:val="00FD512A"/>
    <w:rsid w:val="00FE01ED"/>
    <w:rsid w:val="00FE0FF5"/>
    <w:rsid w:val="00FE1806"/>
    <w:rsid w:val="00FE4A29"/>
    <w:rsid w:val="00FE5A1F"/>
    <w:rsid w:val="00FE5A7A"/>
    <w:rsid w:val="00FF0607"/>
    <w:rsid w:val="00FF228C"/>
    <w:rsid w:val="00FF47AA"/>
    <w:rsid w:val="00FF7B10"/>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C1F0DA"/>
  <w15:docId w15:val="{CB35A496-4E4B-7741-8FDE-EB0C7F76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546"/>
    <w:pPr>
      <w:spacing w:after="160" w:line="278" w:lineRule="auto"/>
    </w:pPr>
    <w:rPr>
      <w:lang w:val="fr-BE"/>
    </w:rPr>
  </w:style>
  <w:style w:type="paragraph" w:styleId="Heading1">
    <w:name w:val="heading 1"/>
    <w:basedOn w:val="Normal"/>
    <w:next w:val="Normal"/>
    <w:link w:val="Heading1Char"/>
    <w:autoRedefine/>
    <w:uiPriority w:val="9"/>
    <w:qFormat/>
    <w:rsid w:val="00343124"/>
    <w:pPr>
      <w:keepNext/>
      <w:keepLines/>
      <w:numPr>
        <w:numId w:val="16"/>
      </w:numPr>
      <w:spacing w:before="120" w:after="120" w:line="240" w:lineRule="auto"/>
      <w:ind w:left="357" w:hanging="357"/>
      <w:outlineLvl w:val="0"/>
    </w:pPr>
    <w:rPr>
      <w:rFonts w:ascii="Arial" w:eastAsiaTheme="majorEastAsia" w:hAnsi="Arial" w:cs="Arial"/>
      <w:b/>
      <w:bCs/>
      <w:caps/>
      <w:color w:val="000000" w:themeColor="text1"/>
      <w:sz w:val="20"/>
      <w:szCs w:val="20"/>
      <w:lang w:val="en-US"/>
    </w:rPr>
  </w:style>
  <w:style w:type="paragraph" w:styleId="Heading2">
    <w:name w:val="heading 2"/>
    <w:basedOn w:val="Normal"/>
    <w:link w:val="Heading2Char"/>
    <w:autoRedefine/>
    <w:uiPriority w:val="9"/>
    <w:qFormat/>
    <w:rsid w:val="00F122B0"/>
    <w:pPr>
      <w:numPr>
        <w:numId w:val="19"/>
      </w:numPr>
      <w:spacing w:before="120" w:after="120" w:line="240" w:lineRule="auto"/>
      <w:ind w:left="426" w:hanging="426"/>
      <w:outlineLvl w:val="1"/>
    </w:pPr>
    <w:rPr>
      <w:rFonts w:ascii="Times New Roman" w:eastAsia="Times New Roman" w:hAnsi="Times New Roman" w:cs="Times New Roman"/>
      <w:b/>
      <w:bCs/>
      <w:kern w:val="0"/>
      <w:sz w:val="22"/>
      <w:szCs w:val="22"/>
      <w:lang w:val="en-US" w:eastAsia="fr-FR"/>
      <w14:ligatures w14:val="none"/>
    </w:rPr>
  </w:style>
  <w:style w:type="paragraph" w:styleId="Heading3">
    <w:name w:val="heading 3"/>
    <w:basedOn w:val="Normal"/>
    <w:next w:val="Normal"/>
    <w:link w:val="Heading3Char"/>
    <w:autoRedefine/>
    <w:uiPriority w:val="9"/>
    <w:unhideWhenUsed/>
    <w:qFormat/>
    <w:rsid w:val="00F122B0"/>
    <w:pPr>
      <w:keepNext/>
      <w:keepLines/>
      <w:numPr>
        <w:numId w:val="20"/>
      </w:numPr>
      <w:spacing w:before="120" w:after="120" w:line="240" w:lineRule="auto"/>
      <w:ind w:left="567" w:hanging="567"/>
      <w:outlineLvl w:val="2"/>
    </w:pPr>
    <w:rPr>
      <w:rFonts w:ascii="Arial" w:eastAsiaTheme="majorEastAsia" w:hAnsi="Arial" w:cstheme="majorBidi"/>
      <w:b/>
      <w:color w:val="000000" w:themeColor="text1"/>
      <w:sz w:val="22"/>
      <w:lang w:val="en-US"/>
    </w:rPr>
  </w:style>
  <w:style w:type="paragraph" w:styleId="Heading4">
    <w:name w:val="heading 4"/>
    <w:basedOn w:val="Normal"/>
    <w:next w:val="Normal"/>
    <w:link w:val="Heading4Char"/>
    <w:uiPriority w:val="9"/>
    <w:semiHidden/>
    <w:unhideWhenUsed/>
    <w:qFormat/>
    <w:rsid w:val="00743F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lledutableau1">
    <w:name w:val="Grille du tableau1"/>
    <w:basedOn w:val="TableNormal"/>
    <w:rsid w:val="00F00E18"/>
    <w:rPr>
      <w:rFonts w:ascii="Times New Roman" w:eastAsia="Times New Roman" w:hAnsi="Times New Roman" w:cs="Times New Roman"/>
      <w:kern w:val="0"/>
      <w:sz w:val="20"/>
      <w:szCs w:val="20"/>
      <w:lang w:eastAsia="fr-F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11B"/>
    <w:pPr>
      <w:spacing w:after="200" w:line="276" w:lineRule="auto"/>
      <w:ind w:left="720"/>
      <w:contextualSpacing/>
    </w:pPr>
    <w:rPr>
      <w:rFonts w:eastAsiaTheme="minorEastAsia"/>
      <w:kern w:val="0"/>
      <w:sz w:val="22"/>
      <w:szCs w:val="22"/>
      <w:lang w:val="fr-FR" w:eastAsia="fr-FR"/>
      <w14:ligatures w14:val="none"/>
    </w:rPr>
  </w:style>
  <w:style w:type="character" w:styleId="Hyperlink">
    <w:name w:val="Hyperlink"/>
    <w:basedOn w:val="DefaultParagraphFont"/>
    <w:uiPriority w:val="99"/>
    <w:unhideWhenUsed/>
    <w:rsid w:val="00412A13"/>
    <w:rPr>
      <w:color w:val="0563C1" w:themeColor="hyperlink"/>
      <w:u w:val="single"/>
    </w:rPr>
  </w:style>
  <w:style w:type="character" w:styleId="PlaceholderText">
    <w:name w:val="Placeholder Text"/>
    <w:basedOn w:val="DefaultParagraphFont"/>
    <w:uiPriority w:val="99"/>
    <w:semiHidden/>
    <w:rsid w:val="00FE4A29"/>
    <w:rPr>
      <w:color w:val="666666"/>
    </w:rPr>
  </w:style>
  <w:style w:type="paragraph" w:styleId="Header">
    <w:name w:val="header"/>
    <w:basedOn w:val="Normal"/>
    <w:link w:val="HeaderChar"/>
    <w:uiPriority w:val="99"/>
    <w:unhideWhenUsed/>
    <w:rsid w:val="00636E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6E13"/>
    <w:rPr>
      <w:lang w:val="fr-BE"/>
    </w:rPr>
  </w:style>
  <w:style w:type="paragraph" w:styleId="Footer">
    <w:name w:val="footer"/>
    <w:basedOn w:val="Normal"/>
    <w:link w:val="FooterChar"/>
    <w:uiPriority w:val="99"/>
    <w:unhideWhenUsed/>
    <w:rsid w:val="00636E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E13"/>
    <w:rPr>
      <w:lang w:val="fr-BE"/>
    </w:rPr>
  </w:style>
  <w:style w:type="paragraph" w:styleId="NormalWeb">
    <w:name w:val="Normal (Web)"/>
    <w:basedOn w:val="Normal"/>
    <w:uiPriority w:val="99"/>
    <w:semiHidden/>
    <w:unhideWhenUsed/>
    <w:rsid w:val="0042002C"/>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character" w:customStyle="1" w:styleId="UnresolvedMention1">
    <w:name w:val="Unresolved Mention1"/>
    <w:basedOn w:val="DefaultParagraphFont"/>
    <w:uiPriority w:val="99"/>
    <w:semiHidden/>
    <w:unhideWhenUsed/>
    <w:rsid w:val="009D5DD5"/>
    <w:rPr>
      <w:color w:val="605E5C"/>
      <w:shd w:val="clear" w:color="auto" w:fill="E1DFDD"/>
    </w:rPr>
  </w:style>
  <w:style w:type="character" w:customStyle="1" w:styleId="Heading2Char">
    <w:name w:val="Heading 2 Char"/>
    <w:basedOn w:val="DefaultParagraphFont"/>
    <w:link w:val="Heading2"/>
    <w:uiPriority w:val="9"/>
    <w:rsid w:val="00F122B0"/>
    <w:rPr>
      <w:rFonts w:ascii="Times New Roman" w:eastAsia="Times New Roman" w:hAnsi="Times New Roman" w:cs="Times New Roman"/>
      <w:b/>
      <w:bCs/>
      <w:kern w:val="0"/>
      <w:sz w:val="22"/>
      <w:szCs w:val="22"/>
      <w:lang w:val="en-US" w:eastAsia="fr-FR"/>
      <w14:ligatures w14:val="none"/>
    </w:rPr>
  </w:style>
  <w:style w:type="character" w:customStyle="1" w:styleId="it">
    <w:name w:val="it"/>
    <w:basedOn w:val="DefaultParagraphFont"/>
    <w:rsid w:val="00560E0E"/>
  </w:style>
  <w:style w:type="character" w:customStyle="1" w:styleId="au">
    <w:name w:val="au"/>
    <w:basedOn w:val="DefaultParagraphFont"/>
    <w:rsid w:val="00560E0E"/>
  </w:style>
  <w:style w:type="character" w:customStyle="1" w:styleId="jiconlogotitle">
    <w:name w:val="jicon_logotitle"/>
    <w:basedOn w:val="DefaultParagraphFont"/>
    <w:rsid w:val="00560E0E"/>
  </w:style>
  <w:style w:type="character" w:customStyle="1" w:styleId="jhvolume">
    <w:name w:val="jh_volume"/>
    <w:basedOn w:val="DefaultParagraphFont"/>
    <w:rsid w:val="00560E0E"/>
  </w:style>
  <w:style w:type="character" w:customStyle="1" w:styleId="jhbiblspace">
    <w:name w:val="jh_biblspace"/>
    <w:basedOn w:val="DefaultParagraphFont"/>
    <w:rsid w:val="00560E0E"/>
  </w:style>
  <w:style w:type="character" w:customStyle="1" w:styleId="jhpart">
    <w:name w:val="jh_part"/>
    <w:basedOn w:val="DefaultParagraphFont"/>
    <w:rsid w:val="00560E0E"/>
  </w:style>
  <w:style w:type="character" w:customStyle="1" w:styleId="jhmonthandyear">
    <w:name w:val="jh_monthandyear"/>
    <w:basedOn w:val="DefaultParagraphFont"/>
    <w:rsid w:val="00560E0E"/>
  </w:style>
  <w:style w:type="character" w:customStyle="1" w:styleId="jhpages">
    <w:name w:val="jh_pages"/>
    <w:basedOn w:val="DefaultParagraphFont"/>
    <w:rsid w:val="00560E0E"/>
  </w:style>
  <w:style w:type="character" w:customStyle="1" w:styleId="doicatchline">
    <w:name w:val="doi_catchline"/>
    <w:basedOn w:val="DefaultParagraphFont"/>
    <w:rsid w:val="00560E0E"/>
  </w:style>
  <w:style w:type="character" w:styleId="FollowedHyperlink">
    <w:name w:val="FollowedHyperlink"/>
    <w:basedOn w:val="DefaultParagraphFont"/>
    <w:uiPriority w:val="99"/>
    <w:semiHidden/>
    <w:unhideWhenUsed/>
    <w:rsid w:val="00560E0E"/>
    <w:rPr>
      <w:color w:val="954F72" w:themeColor="followedHyperlink"/>
      <w:u w:val="single"/>
    </w:rPr>
  </w:style>
  <w:style w:type="character" w:customStyle="1" w:styleId="Heading3Char">
    <w:name w:val="Heading 3 Char"/>
    <w:basedOn w:val="DefaultParagraphFont"/>
    <w:link w:val="Heading3"/>
    <w:uiPriority w:val="9"/>
    <w:rsid w:val="00F122B0"/>
    <w:rPr>
      <w:rFonts w:ascii="Arial" w:eastAsiaTheme="majorEastAsia" w:hAnsi="Arial" w:cstheme="majorBidi"/>
      <w:b/>
      <w:color w:val="000000" w:themeColor="text1"/>
      <w:sz w:val="22"/>
      <w:lang w:val="en-US"/>
    </w:rPr>
  </w:style>
  <w:style w:type="paragraph" w:customStyle="1" w:styleId="heading">
    <w:name w:val="heading"/>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abstract">
    <w:name w:val="abstract"/>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similar">
    <w:name w:val="similar"/>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citedby">
    <w:name w:val="citedby"/>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publication-types">
    <w:name w:val="publication-type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mesh-terms">
    <w:name w:val="mesh-term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substances">
    <w:name w:val="substance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related-links">
    <w:name w:val="related-link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linkout">
    <w:name w:val="linkout"/>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character" w:customStyle="1" w:styleId="period">
    <w:name w:val="period"/>
    <w:basedOn w:val="DefaultParagraphFont"/>
    <w:rsid w:val="001C4C91"/>
  </w:style>
  <w:style w:type="character" w:customStyle="1" w:styleId="cit">
    <w:name w:val="cit"/>
    <w:basedOn w:val="DefaultParagraphFont"/>
    <w:rsid w:val="001C4C91"/>
  </w:style>
  <w:style w:type="character" w:customStyle="1" w:styleId="citation-doi">
    <w:name w:val="citation-doi"/>
    <w:basedOn w:val="DefaultParagraphFont"/>
    <w:rsid w:val="001C4C91"/>
  </w:style>
  <w:style w:type="character" w:customStyle="1" w:styleId="Heading1Char">
    <w:name w:val="Heading 1 Char"/>
    <w:basedOn w:val="DefaultParagraphFont"/>
    <w:link w:val="Heading1"/>
    <w:uiPriority w:val="9"/>
    <w:rsid w:val="00343124"/>
    <w:rPr>
      <w:rFonts w:ascii="Arial" w:eastAsiaTheme="majorEastAsia" w:hAnsi="Arial" w:cs="Arial"/>
      <w:b/>
      <w:bCs/>
      <w:caps/>
      <w:color w:val="000000" w:themeColor="text1"/>
      <w:sz w:val="20"/>
      <w:szCs w:val="20"/>
      <w:lang w:val="en-US"/>
    </w:rPr>
  </w:style>
  <w:style w:type="character" w:customStyle="1" w:styleId="hltitle">
    <w:name w:val="hl_title"/>
    <w:basedOn w:val="DefaultParagraphFont"/>
    <w:rsid w:val="00F86506"/>
  </w:style>
  <w:style w:type="character" w:customStyle="1" w:styleId="icapages">
    <w:name w:val="ica_pages"/>
    <w:basedOn w:val="DefaultParagraphFont"/>
    <w:rsid w:val="00F86506"/>
  </w:style>
  <w:style w:type="character" w:customStyle="1" w:styleId="doicomma">
    <w:name w:val="doicomma"/>
    <w:basedOn w:val="DefaultParagraphFont"/>
    <w:rsid w:val="00F86506"/>
  </w:style>
  <w:style w:type="character" w:customStyle="1" w:styleId="icadoi">
    <w:name w:val="ica_doi"/>
    <w:basedOn w:val="DefaultParagraphFont"/>
    <w:rsid w:val="00F86506"/>
  </w:style>
  <w:style w:type="character" w:customStyle="1" w:styleId="sup">
    <w:name w:val="sup"/>
    <w:basedOn w:val="DefaultParagraphFont"/>
    <w:rsid w:val="00F86506"/>
  </w:style>
  <w:style w:type="character" w:customStyle="1" w:styleId="anchor-text">
    <w:name w:val="anchor-text"/>
    <w:basedOn w:val="DefaultParagraphFont"/>
    <w:rsid w:val="003B1471"/>
  </w:style>
  <w:style w:type="character" w:customStyle="1" w:styleId="given-name">
    <w:name w:val="given-name"/>
    <w:basedOn w:val="DefaultParagraphFont"/>
    <w:rsid w:val="003B1471"/>
  </w:style>
  <w:style w:type="character" w:customStyle="1" w:styleId="text">
    <w:name w:val="text"/>
    <w:basedOn w:val="DefaultParagraphFont"/>
    <w:rsid w:val="003B1471"/>
  </w:style>
  <w:style w:type="table" w:styleId="TableGrid">
    <w:name w:val="Table Grid"/>
    <w:basedOn w:val="TableNormal"/>
    <w:uiPriority w:val="39"/>
    <w:rsid w:val="00971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x-doi">
    <w:name w:val="dx-doi"/>
    <w:basedOn w:val="Normal"/>
    <w:rsid w:val="00C95DF1"/>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uiPriority w:val="9"/>
    <w:semiHidden/>
    <w:rsid w:val="00743F0A"/>
    <w:rPr>
      <w:rFonts w:asciiTheme="majorHAnsi" w:eastAsiaTheme="majorEastAsia" w:hAnsiTheme="majorHAnsi" w:cstheme="majorBidi"/>
      <w:i/>
      <w:iCs/>
      <w:color w:val="2F5496" w:themeColor="accent1" w:themeShade="BF"/>
      <w:lang w:val="fr-BE"/>
    </w:rPr>
  </w:style>
  <w:style w:type="paragraph" w:styleId="Bibliography">
    <w:name w:val="Bibliography"/>
    <w:basedOn w:val="Normal"/>
    <w:next w:val="Normal"/>
    <w:uiPriority w:val="37"/>
    <w:unhideWhenUsed/>
    <w:rsid w:val="007C53B5"/>
    <w:pPr>
      <w:spacing w:after="0" w:line="480" w:lineRule="auto"/>
      <w:ind w:left="720" w:hanging="720"/>
      <w:jc w:val="both"/>
    </w:pPr>
    <w:rPr>
      <w:rFonts w:ascii="Times New Roman" w:hAnsi="Times New Roman"/>
      <w:szCs w:val="22"/>
      <w:lang w:val="fr-FR"/>
    </w:rPr>
  </w:style>
  <w:style w:type="paragraph" w:styleId="FootnoteText">
    <w:name w:val="footnote text"/>
    <w:basedOn w:val="Normal"/>
    <w:link w:val="FootnoteTextChar"/>
    <w:uiPriority w:val="99"/>
    <w:semiHidden/>
    <w:unhideWhenUsed/>
    <w:rsid w:val="002F5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E33"/>
    <w:rPr>
      <w:sz w:val="20"/>
      <w:szCs w:val="20"/>
      <w:lang w:val="fr-BE"/>
    </w:rPr>
  </w:style>
  <w:style w:type="character" w:styleId="FootnoteReference">
    <w:name w:val="footnote reference"/>
    <w:basedOn w:val="DefaultParagraphFont"/>
    <w:uiPriority w:val="99"/>
    <w:semiHidden/>
    <w:unhideWhenUsed/>
    <w:rsid w:val="002F5E33"/>
    <w:rPr>
      <w:vertAlign w:val="superscript"/>
    </w:rPr>
  </w:style>
  <w:style w:type="paragraph" w:customStyle="1" w:styleId="25-SciencePG-Table-caption-multiple-lines">
    <w:name w:val="25-SciencePG-Table-caption-multiple-lines"/>
    <w:basedOn w:val="Normal"/>
    <w:qFormat/>
    <w:rsid w:val="00303F43"/>
    <w:pPr>
      <w:widowControl w:val="0"/>
      <w:tabs>
        <w:tab w:val="left" w:pos="4680"/>
      </w:tabs>
      <w:adjustRightInd w:val="0"/>
      <w:snapToGrid w:val="0"/>
      <w:spacing w:before="200" w:after="100" w:line="200" w:lineRule="exact"/>
      <w:jc w:val="both"/>
    </w:pPr>
    <w:rPr>
      <w:rFonts w:ascii="Times New Roman" w:eastAsia="Times New Roman" w:hAnsi="Times New Roman" w:cs="Times New Roman"/>
      <w:i/>
      <w:sz w:val="16"/>
      <w:szCs w:val="16"/>
      <w:lang w:val="en-US" w:eastAsia="zh-CN"/>
      <w14:ligatures w14:val="none"/>
    </w:rPr>
  </w:style>
  <w:style w:type="character" w:customStyle="1" w:styleId="UnresolvedMention2">
    <w:name w:val="Unresolved Mention2"/>
    <w:basedOn w:val="DefaultParagraphFont"/>
    <w:uiPriority w:val="99"/>
    <w:semiHidden/>
    <w:unhideWhenUsed/>
    <w:rsid w:val="008E0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57209">
      <w:bodyDiv w:val="1"/>
      <w:marLeft w:val="0"/>
      <w:marRight w:val="0"/>
      <w:marTop w:val="0"/>
      <w:marBottom w:val="0"/>
      <w:divBdr>
        <w:top w:val="none" w:sz="0" w:space="0" w:color="auto"/>
        <w:left w:val="none" w:sz="0" w:space="0" w:color="auto"/>
        <w:bottom w:val="none" w:sz="0" w:space="0" w:color="auto"/>
        <w:right w:val="none" w:sz="0" w:space="0" w:color="auto"/>
      </w:divBdr>
      <w:divsChild>
        <w:div w:id="697663418">
          <w:marLeft w:val="0"/>
          <w:marRight w:val="0"/>
          <w:marTop w:val="0"/>
          <w:marBottom w:val="0"/>
          <w:divBdr>
            <w:top w:val="none" w:sz="0" w:space="0" w:color="auto"/>
            <w:left w:val="none" w:sz="0" w:space="0" w:color="auto"/>
            <w:bottom w:val="none" w:sz="0" w:space="0" w:color="auto"/>
            <w:right w:val="none" w:sz="0" w:space="0" w:color="auto"/>
          </w:divBdr>
        </w:div>
        <w:div w:id="1007440882">
          <w:marLeft w:val="0"/>
          <w:marRight w:val="0"/>
          <w:marTop w:val="0"/>
          <w:marBottom w:val="0"/>
          <w:divBdr>
            <w:top w:val="none" w:sz="0" w:space="0" w:color="auto"/>
            <w:left w:val="none" w:sz="0" w:space="0" w:color="auto"/>
            <w:bottom w:val="none" w:sz="0" w:space="0" w:color="auto"/>
            <w:right w:val="none" w:sz="0" w:space="0" w:color="auto"/>
          </w:divBdr>
        </w:div>
      </w:divsChild>
    </w:div>
    <w:div w:id="199561108">
      <w:bodyDiv w:val="1"/>
      <w:marLeft w:val="0"/>
      <w:marRight w:val="0"/>
      <w:marTop w:val="0"/>
      <w:marBottom w:val="0"/>
      <w:divBdr>
        <w:top w:val="none" w:sz="0" w:space="0" w:color="auto"/>
        <w:left w:val="none" w:sz="0" w:space="0" w:color="auto"/>
        <w:bottom w:val="none" w:sz="0" w:space="0" w:color="auto"/>
        <w:right w:val="none" w:sz="0" w:space="0" w:color="auto"/>
      </w:divBdr>
      <w:divsChild>
        <w:div w:id="687101931">
          <w:marLeft w:val="0"/>
          <w:marRight w:val="0"/>
          <w:marTop w:val="0"/>
          <w:marBottom w:val="0"/>
          <w:divBdr>
            <w:top w:val="none" w:sz="0" w:space="0" w:color="auto"/>
            <w:left w:val="none" w:sz="0" w:space="0" w:color="auto"/>
            <w:bottom w:val="none" w:sz="0" w:space="0" w:color="auto"/>
            <w:right w:val="none" w:sz="0" w:space="0" w:color="auto"/>
          </w:divBdr>
        </w:div>
        <w:div w:id="1600678753">
          <w:marLeft w:val="0"/>
          <w:marRight w:val="0"/>
          <w:marTop w:val="0"/>
          <w:marBottom w:val="0"/>
          <w:divBdr>
            <w:top w:val="none" w:sz="0" w:space="0" w:color="auto"/>
            <w:left w:val="none" w:sz="0" w:space="0" w:color="auto"/>
            <w:bottom w:val="none" w:sz="0" w:space="0" w:color="auto"/>
            <w:right w:val="none" w:sz="0" w:space="0" w:color="auto"/>
          </w:divBdr>
          <w:divsChild>
            <w:div w:id="17249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99457">
      <w:bodyDiv w:val="1"/>
      <w:marLeft w:val="0"/>
      <w:marRight w:val="0"/>
      <w:marTop w:val="0"/>
      <w:marBottom w:val="0"/>
      <w:divBdr>
        <w:top w:val="none" w:sz="0" w:space="0" w:color="auto"/>
        <w:left w:val="none" w:sz="0" w:space="0" w:color="auto"/>
        <w:bottom w:val="none" w:sz="0" w:space="0" w:color="auto"/>
        <w:right w:val="none" w:sz="0" w:space="0" w:color="auto"/>
      </w:divBdr>
      <w:divsChild>
        <w:div w:id="205992504">
          <w:marLeft w:val="0"/>
          <w:marRight w:val="0"/>
          <w:marTop w:val="0"/>
          <w:marBottom w:val="0"/>
          <w:divBdr>
            <w:top w:val="none" w:sz="0" w:space="0" w:color="auto"/>
            <w:left w:val="none" w:sz="0" w:space="0" w:color="auto"/>
            <w:bottom w:val="none" w:sz="0" w:space="0" w:color="auto"/>
            <w:right w:val="none" w:sz="0" w:space="0" w:color="auto"/>
          </w:divBdr>
        </w:div>
      </w:divsChild>
    </w:div>
    <w:div w:id="551815816">
      <w:bodyDiv w:val="1"/>
      <w:marLeft w:val="0"/>
      <w:marRight w:val="0"/>
      <w:marTop w:val="0"/>
      <w:marBottom w:val="0"/>
      <w:divBdr>
        <w:top w:val="none" w:sz="0" w:space="0" w:color="auto"/>
        <w:left w:val="none" w:sz="0" w:space="0" w:color="auto"/>
        <w:bottom w:val="none" w:sz="0" w:space="0" w:color="auto"/>
        <w:right w:val="none" w:sz="0" w:space="0" w:color="auto"/>
      </w:divBdr>
      <w:divsChild>
        <w:div w:id="1589656237">
          <w:marLeft w:val="0"/>
          <w:marRight w:val="0"/>
          <w:marTop w:val="0"/>
          <w:marBottom w:val="0"/>
          <w:divBdr>
            <w:top w:val="none" w:sz="0" w:space="0" w:color="auto"/>
            <w:left w:val="none" w:sz="0" w:space="0" w:color="auto"/>
            <w:bottom w:val="none" w:sz="0" w:space="0" w:color="auto"/>
            <w:right w:val="none" w:sz="0" w:space="0" w:color="auto"/>
          </w:divBdr>
        </w:div>
      </w:divsChild>
    </w:div>
    <w:div w:id="631055794">
      <w:bodyDiv w:val="1"/>
      <w:marLeft w:val="0"/>
      <w:marRight w:val="0"/>
      <w:marTop w:val="0"/>
      <w:marBottom w:val="0"/>
      <w:divBdr>
        <w:top w:val="none" w:sz="0" w:space="0" w:color="auto"/>
        <w:left w:val="none" w:sz="0" w:space="0" w:color="auto"/>
        <w:bottom w:val="none" w:sz="0" w:space="0" w:color="auto"/>
        <w:right w:val="none" w:sz="0" w:space="0" w:color="auto"/>
      </w:divBdr>
      <w:divsChild>
        <w:div w:id="1562785246">
          <w:marLeft w:val="0"/>
          <w:marRight w:val="0"/>
          <w:marTop w:val="0"/>
          <w:marBottom w:val="0"/>
          <w:divBdr>
            <w:top w:val="none" w:sz="0" w:space="0" w:color="auto"/>
            <w:left w:val="none" w:sz="0" w:space="0" w:color="auto"/>
            <w:bottom w:val="none" w:sz="0" w:space="0" w:color="auto"/>
            <w:right w:val="none" w:sz="0" w:space="0" w:color="auto"/>
          </w:divBdr>
          <w:divsChild>
            <w:div w:id="404762029">
              <w:marLeft w:val="0"/>
              <w:marRight w:val="0"/>
              <w:marTop w:val="0"/>
              <w:marBottom w:val="0"/>
              <w:divBdr>
                <w:top w:val="none" w:sz="0" w:space="0" w:color="auto"/>
                <w:left w:val="none" w:sz="0" w:space="0" w:color="auto"/>
                <w:bottom w:val="none" w:sz="0" w:space="0" w:color="auto"/>
                <w:right w:val="none" w:sz="0" w:space="0" w:color="auto"/>
              </w:divBdr>
              <w:divsChild>
                <w:div w:id="6810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3730">
      <w:bodyDiv w:val="1"/>
      <w:marLeft w:val="0"/>
      <w:marRight w:val="0"/>
      <w:marTop w:val="0"/>
      <w:marBottom w:val="0"/>
      <w:divBdr>
        <w:top w:val="none" w:sz="0" w:space="0" w:color="auto"/>
        <w:left w:val="none" w:sz="0" w:space="0" w:color="auto"/>
        <w:bottom w:val="none" w:sz="0" w:space="0" w:color="auto"/>
        <w:right w:val="none" w:sz="0" w:space="0" w:color="auto"/>
      </w:divBdr>
      <w:divsChild>
        <w:div w:id="399182376">
          <w:marLeft w:val="0"/>
          <w:marRight w:val="0"/>
          <w:marTop w:val="0"/>
          <w:marBottom w:val="0"/>
          <w:divBdr>
            <w:top w:val="none" w:sz="0" w:space="0" w:color="auto"/>
            <w:left w:val="none" w:sz="0" w:space="0" w:color="auto"/>
            <w:bottom w:val="none" w:sz="0" w:space="0" w:color="auto"/>
            <w:right w:val="none" w:sz="0" w:space="0" w:color="auto"/>
          </w:divBdr>
          <w:divsChild>
            <w:div w:id="182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3226">
      <w:bodyDiv w:val="1"/>
      <w:marLeft w:val="0"/>
      <w:marRight w:val="0"/>
      <w:marTop w:val="0"/>
      <w:marBottom w:val="0"/>
      <w:divBdr>
        <w:top w:val="none" w:sz="0" w:space="0" w:color="auto"/>
        <w:left w:val="none" w:sz="0" w:space="0" w:color="auto"/>
        <w:bottom w:val="none" w:sz="0" w:space="0" w:color="auto"/>
        <w:right w:val="none" w:sz="0" w:space="0" w:color="auto"/>
      </w:divBdr>
      <w:divsChild>
        <w:div w:id="255602285">
          <w:marLeft w:val="0"/>
          <w:marRight w:val="0"/>
          <w:marTop w:val="0"/>
          <w:marBottom w:val="0"/>
          <w:divBdr>
            <w:top w:val="none" w:sz="0" w:space="0" w:color="auto"/>
            <w:left w:val="none" w:sz="0" w:space="0" w:color="auto"/>
            <w:bottom w:val="none" w:sz="0" w:space="0" w:color="auto"/>
            <w:right w:val="none" w:sz="0" w:space="0" w:color="auto"/>
          </w:divBdr>
          <w:divsChild>
            <w:div w:id="5430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212">
      <w:bodyDiv w:val="1"/>
      <w:marLeft w:val="0"/>
      <w:marRight w:val="0"/>
      <w:marTop w:val="0"/>
      <w:marBottom w:val="0"/>
      <w:divBdr>
        <w:top w:val="none" w:sz="0" w:space="0" w:color="auto"/>
        <w:left w:val="none" w:sz="0" w:space="0" w:color="auto"/>
        <w:bottom w:val="none" w:sz="0" w:space="0" w:color="auto"/>
        <w:right w:val="none" w:sz="0" w:space="0" w:color="auto"/>
      </w:divBdr>
      <w:divsChild>
        <w:div w:id="250699614">
          <w:marLeft w:val="0"/>
          <w:marRight w:val="0"/>
          <w:marTop w:val="0"/>
          <w:marBottom w:val="0"/>
          <w:divBdr>
            <w:top w:val="none" w:sz="0" w:space="0" w:color="auto"/>
            <w:left w:val="none" w:sz="0" w:space="0" w:color="auto"/>
            <w:bottom w:val="none" w:sz="0" w:space="0" w:color="auto"/>
            <w:right w:val="none" w:sz="0" w:space="0" w:color="auto"/>
          </w:divBdr>
          <w:divsChild>
            <w:div w:id="751466334">
              <w:marLeft w:val="0"/>
              <w:marRight w:val="0"/>
              <w:marTop w:val="0"/>
              <w:marBottom w:val="0"/>
              <w:divBdr>
                <w:top w:val="none" w:sz="0" w:space="0" w:color="auto"/>
                <w:left w:val="none" w:sz="0" w:space="0" w:color="auto"/>
                <w:bottom w:val="none" w:sz="0" w:space="0" w:color="auto"/>
                <w:right w:val="none" w:sz="0" w:space="0" w:color="auto"/>
              </w:divBdr>
              <w:divsChild>
                <w:div w:id="14750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90222">
      <w:bodyDiv w:val="1"/>
      <w:marLeft w:val="0"/>
      <w:marRight w:val="0"/>
      <w:marTop w:val="0"/>
      <w:marBottom w:val="0"/>
      <w:divBdr>
        <w:top w:val="none" w:sz="0" w:space="0" w:color="auto"/>
        <w:left w:val="none" w:sz="0" w:space="0" w:color="auto"/>
        <w:bottom w:val="none" w:sz="0" w:space="0" w:color="auto"/>
        <w:right w:val="none" w:sz="0" w:space="0" w:color="auto"/>
      </w:divBdr>
      <w:divsChild>
        <w:div w:id="1293251582">
          <w:marLeft w:val="0"/>
          <w:marRight w:val="0"/>
          <w:marTop w:val="0"/>
          <w:marBottom w:val="0"/>
          <w:divBdr>
            <w:top w:val="none" w:sz="0" w:space="0" w:color="auto"/>
            <w:left w:val="none" w:sz="0" w:space="0" w:color="auto"/>
            <w:bottom w:val="none" w:sz="0" w:space="0" w:color="auto"/>
            <w:right w:val="none" w:sz="0" w:space="0" w:color="auto"/>
          </w:divBdr>
          <w:divsChild>
            <w:div w:id="817574388">
              <w:marLeft w:val="0"/>
              <w:marRight w:val="0"/>
              <w:marTop w:val="0"/>
              <w:marBottom w:val="0"/>
              <w:divBdr>
                <w:top w:val="none" w:sz="0" w:space="0" w:color="auto"/>
                <w:left w:val="none" w:sz="0" w:space="0" w:color="auto"/>
                <w:bottom w:val="none" w:sz="0" w:space="0" w:color="auto"/>
                <w:right w:val="none" w:sz="0" w:space="0" w:color="auto"/>
              </w:divBdr>
              <w:divsChild>
                <w:div w:id="158667044">
                  <w:marLeft w:val="0"/>
                  <w:marRight w:val="0"/>
                  <w:marTop w:val="0"/>
                  <w:marBottom w:val="0"/>
                  <w:divBdr>
                    <w:top w:val="none" w:sz="0" w:space="0" w:color="auto"/>
                    <w:left w:val="none" w:sz="0" w:space="0" w:color="auto"/>
                    <w:bottom w:val="none" w:sz="0" w:space="0" w:color="auto"/>
                    <w:right w:val="none" w:sz="0" w:space="0" w:color="auto"/>
                  </w:divBdr>
                </w:div>
              </w:divsChild>
            </w:div>
            <w:div w:id="2000378052">
              <w:marLeft w:val="0"/>
              <w:marRight w:val="0"/>
              <w:marTop w:val="0"/>
              <w:marBottom w:val="0"/>
              <w:divBdr>
                <w:top w:val="none" w:sz="0" w:space="0" w:color="auto"/>
                <w:left w:val="none" w:sz="0" w:space="0" w:color="auto"/>
                <w:bottom w:val="none" w:sz="0" w:space="0" w:color="auto"/>
                <w:right w:val="none" w:sz="0" w:space="0" w:color="auto"/>
              </w:divBdr>
              <w:divsChild>
                <w:div w:id="71202067">
                  <w:marLeft w:val="0"/>
                  <w:marRight w:val="0"/>
                  <w:marTop w:val="0"/>
                  <w:marBottom w:val="0"/>
                  <w:divBdr>
                    <w:top w:val="none" w:sz="0" w:space="0" w:color="auto"/>
                    <w:left w:val="none" w:sz="0" w:space="0" w:color="auto"/>
                    <w:bottom w:val="none" w:sz="0" w:space="0" w:color="auto"/>
                    <w:right w:val="none" w:sz="0" w:space="0" w:color="auto"/>
                  </w:divBdr>
                  <w:divsChild>
                    <w:div w:id="638075225">
                      <w:marLeft w:val="0"/>
                      <w:marRight w:val="0"/>
                      <w:marTop w:val="0"/>
                      <w:marBottom w:val="0"/>
                      <w:divBdr>
                        <w:top w:val="none" w:sz="0" w:space="0" w:color="auto"/>
                        <w:left w:val="none" w:sz="0" w:space="0" w:color="auto"/>
                        <w:bottom w:val="none" w:sz="0" w:space="0" w:color="auto"/>
                        <w:right w:val="none" w:sz="0" w:space="0" w:color="auto"/>
                      </w:divBdr>
                      <w:divsChild>
                        <w:div w:id="1828086877">
                          <w:marLeft w:val="0"/>
                          <w:marRight w:val="0"/>
                          <w:marTop w:val="0"/>
                          <w:marBottom w:val="0"/>
                          <w:divBdr>
                            <w:top w:val="none" w:sz="0" w:space="0" w:color="auto"/>
                            <w:left w:val="none" w:sz="0" w:space="0" w:color="auto"/>
                            <w:bottom w:val="none" w:sz="0" w:space="0" w:color="auto"/>
                            <w:right w:val="none" w:sz="0" w:space="0" w:color="auto"/>
                          </w:divBdr>
                          <w:divsChild>
                            <w:div w:id="1952011513">
                              <w:marLeft w:val="0"/>
                              <w:marRight w:val="0"/>
                              <w:marTop w:val="0"/>
                              <w:marBottom w:val="0"/>
                              <w:divBdr>
                                <w:top w:val="none" w:sz="0" w:space="0" w:color="auto"/>
                                <w:left w:val="none" w:sz="0" w:space="0" w:color="auto"/>
                                <w:bottom w:val="none" w:sz="0" w:space="0" w:color="auto"/>
                                <w:right w:val="none" w:sz="0" w:space="0" w:color="auto"/>
                              </w:divBdr>
                            </w:div>
                          </w:divsChild>
                        </w:div>
                        <w:div w:id="1149977740">
                          <w:marLeft w:val="0"/>
                          <w:marRight w:val="0"/>
                          <w:marTop w:val="0"/>
                          <w:marBottom w:val="0"/>
                          <w:divBdr>
                            <w:top w:val="none" w:sz="0" w:space="0" w:color="auto"/>
                            <w:left w:val="none" w:sz="0" w:space="0" w:color="auto"/>
                            <w:bottom w:val="none" w:sz="0" w:space="0" w:color="auto"/>
                            <w:right w:val="none" w:sz="0" w:space="0" w:color="auto"/>
                          </w:divBdr>
                          <w:divsChild>
                            <w:div w:id="1787117314">
                              <w:marLeft w:val="0"/>
                              <w:marRight w:val="0"/>
                              <w:marTop w:val="0"/>
                              <w:marBottom w:val="0"/>
                              <w:divBdr>
                                <w:top w:val="none" w:sz="0" w:space="0" w:color="auto"/>
                                <w:left w:val="none" w:sz="0" w:space="0" w:color="auto"/>
                                <w:bottom w:val="none" w:sz="0" w:space="0" w:color="auto"/>
                                <w:right w:val="none" w:sz="0" w:space="0" w:color="auto"/>
                              </w:divBdr>
                            </w:div>
                          </w:divsChild>
                        </w:div>
                        <w:div w:id="1419205509">
                          <w:marLeft w:val="0"/>
                          <w:marRight w:val="0"/>
                          <w:marTop w:val="0"/>
                          <w:marBottom w:val="0"/>
                          <w:divBdr>
                            <w:top w:val="none" w:sz="0" w:space="0" w:color="auto"/>
                            <w:left w:val="none" w:sz="0" w:space="0" w:color="auto"/>
                            <w:bottom w:val="none" w:sz="0" w:space="0" w:color="auto"/>
                            <w:right w:val="none" w:sz="0" w:space="0" w:color="auto"/>
                          </w:divBdr>
                          <w:divsChild>
                            <w:div w:id="961182504">
                              <w:marLeft w:val="0"/>
                              <w:marRight w:val="0"/>
                              <w:marTop w:val="0"/>
                              <w:marBottom w:val="0"/>
                              <w:divBdr>
                                <w:top w:val="none" w:sz="0" w:space="0" w:color="auto"/>
                                <w:left w:val="none" w:sz="0" w:space="0" w:color="auto"/>
                                <w:bottom w:val="none" w:sz="0" w:space="0" w:color="auto"/>
                                <w:right w:val="none" w:sz="0" w:space="0" w:color="auto"/>
                              </w:divBdr>
                            </w:div>
                          </w:divsChild>
                        </w:div>
                        <w:div w:id="1445347939">
                          <w:marLeft w:val="0"/>
                          <w:marRight w:val="0"/>
                          <w:marTop w:val="0"/>
                          <w:marBottom w:val="0"/>
                          <w:divBdr>
                            <w:top w:val="none" w:sz="0" w:space="0" w:color="auto"/>
                            <w:left w:val="none" w:sz="0" w:space="0" w:color="auto"/>
                            <w:bottom w:val="none" w:sz="0" w:space="0" w:color="auto"/>
                            <w:right w:val="none" w:sz="0" w:space="0" w:color="auto"/>
                          </w:divBdr>
                          <w:divsChild>
                            <w:div w:id="351686113">
                              <w:marLeft w:val="0"/>
                              <w:marRight w:val="0"/>
                              <w:marTop w:val="0"/>
                              <w:marBottom w:val="0"/>
                              <w:divBdr>
                                <w:top w:val="none" w:sz="0" w:space="0" w:color="auto"/>
                                <w:left w:val="none" w:sz="0" w:space="0" w:color="auto"/>
                                <w:bottom w:val="none" w:sz="0" w:space="0" w:color="auto"/>
                                <w:right w:val="none" w:sz="0" w:space="0" w:color="auto"/>
                              </w:divBdr>
                            </w:div>
                          </w:divsChild>
                        </w:div>
                        <w:div w:id="1237402558">
                          <w:marLeft w:val="0"/>
                          <w:marRight w:val="0"/>
                          <w:marTop w:val="0"/>
                          <w:marBottom w:val="0"/>
                          <w:divBdr>
                            <w:top w:val="none" w:sz="0" w:space="0" w:color="auto"/>
                            <w:left w:val="none" w:sz="0" w:space="0" w:color="auto"/>
                            <w:bottom w:val="none" w:sz="0" w:space="0" w:color="auto"/>
                            <w:right w:val="none" w:sz="0" w:space="0" w:color="auto"/>
                          </w:divBdr>
                          <w:divsChild>
                            <w:div w:id="1730957153">
                              <w:marLeft w:val="0"/>
                              <w:marRight w:val="0"/>
                              <w:marTop w:val="0"/>
                              <w:marBottom w:val="0"/>
                              <w:divBdr>
                                <w:top w:val="none" w:sz="0" w:space="0" w:color="auto"/>
                                <w:left w:val="none" w:sz="0" w:space="0" w:color="auto"/>
                                <w:bottom w:val="none" w:sz="0" w:space="0" w:color="auto"/>
                                <w:right w:val="none" w:sz="0" w:space="0" w:color="auto"/>
                              </w:divBdr>
                            </w:div>
                          </w:divsChild>
                        </w:div>
                        <w:div w:id="1424033818">
                          <w:marLeft w:val="0"/>
                          <w:marRight w:val="0"/>
                          <w:marTop w:val="0"/>
                          <w:marBottom w:val="0"/>
                          <w:divBdr>
                            <w:top w:val="none" w:sz="0" w:space="0" w:color="auto"/>
                            <w:left w:val="none" w:sz="0" w:space="0" w:color="auto"/>
                            <w:bottom w:val="none" w:sz="0" w:space="0" w:color="auto"/>
                            <w:right w:val="none" w:sz="0" w:space="0" w:color="auto"/>
                          </w:divBdr>
                          <w:divsChild>
                            <w:div w:id="1996566724">
                              <w:marLeft w:val="0"/>
                              <w:marRight w:val="0"/>
                              <w:marTop w:val="0"/>
                              <w:marBottom w:val="0"/>
                              <w:divBdr>
                                <w:top w:val="none" w:sz="0" w:space="0" w:color="auto"/>
                                <w:left w:val="none" w:sz="0" w:space="0" w:color="auto"/>
                                <w:bottom w:val="none" w:sz="0" w:space="0" w:color="auto"/>
                                <w:right w:val="none" w:sz="0" w:space="0" w:color="auto"/>
                              </w:divBdr>
                            </w:div>
                          </w:divsChild>
                        </w:div>
                        <w:div w:id="142427852">
                          <w:marLeft w:val="0"/>
                          <w:marRight w:val="0"/>
                          <w:marTop w:val="0"/>
                          <w:marBottom w:val="0"/>
                          <w:divBdr>
                            <w:top w:val="none" w:sz="0" w:space="0" w:color="auto"/>
                            <w:left w:val="none" w:sz="0" w:space="0" w:color="auto"/>
                            <w:bottom w:val="none" w:sz="0" w:space="0" w:color="auto"/>
                            <w:right w:val="none" w:sz="0" w:space="0" w:color="auto"/>
                          </w:divBdr>
                          <w:divsChild>
                            <w:div w:id="1779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741518">
              <w:marLeft w:val="0"/>
              <w:marRight w:val="0"/>
              <w:marTop w:val="0"/>
              <w:marBottom w:val="0"/>
              <w:divBdr>
                <w:top w:val="none" w:sz="0" w:space="0" w:color="auto"/>
                <w:left w:val="none" w:sz="0" w:space="0" w:color="auto"/>
                <w:bottom w:val="none" w:sz="0" w:space="0" w:color="auto"/>
                <w:right w:val="none" w:sz="0" w:space="0" w:color="auto"/>
              </w:divBdr>
              <w:divsChild>
                <w:div w:id="2020158198">
                  <w:marLeft w:val="0"/>
                  <w:marRight w:val="0"/>
                  <w:marTop w:val="0"/>
                  <w:marBottom w:val="0"/>
                  <w:divBdr>
                    <w:top w:val="none" w:sz="0" w:space="0" w:color="auto"/>
                    <w:left w:val="none" w:sz="0" w:space="0" w:color="auto"/>
                    <w:bottom w:val="none" w:sz="0" w:space="0" w:color="auto"/>
                    <w:right w:val="none" w:sz="0" w:space="0" w:color="auto"/>
                  </w:divBdr>
                </w:div>
              </w:divsChild>
            </w:div>
            <w:div w:id="185557361">
              <w:marLeft w:val="0"/>
              <w:marRight w:val="0"/>
              <w:marTop w:val="0"/>
              <w:marBottom w:val="0"/>
              <w:divBdr>
                <w:top w:val="none" w:sz="0" w:space="0" w:color="auto"/>
                <w:left w:val="none" w:sz="0" w:space="0" w:color="auto"/>
                <w:bottom w:val="none" w:sz="0" w:space="0" w:color="auto"/>
                <w:right w:val="none" w:sz="0" w:space="0" w:color="auto"/>
              </w:divBdr>
              <w:divsChild>
                <w:div w:id="525019012">
                  <w:marLeft w:val="0"/>
                  <w:marRight w:val="0"/>
                  <w:marTop w:val="0"/>
                  <w:marBottom w:val="0"/>
                  <w:divBdr>
                    <w:top w:val="none" w:sz="0" w:space="0" w:color="auto"/>
                    <w:left w:val="none" w:sz="0" w:space="0" w:color="auto"/>
                    <w:bottom w:val="none" w:sz="0" w:space="0" w:color="auto"/>
                    <w:right w:val="none" w:sz="0" w:space="0" w:color="auto"/>
                  </w:divBdr>
                  <w:divsChild>
                    <w:div w:id="625043317">
                      <w:marLeft w:val="0"/>
                      <w:marRight w:val="0"/>
                      <w:marTop w:val="0"/>
                      <w:marBottom w:val="0"/>
                      <w:divBdr>
                        <w:top w:val="none" w:sz="0" w:space="0" w:color="auto"/>
                        <w:left w:val="none" w:sz="0" w:space="0" w:color="auto"/>
                        <w:bottom w:val="none" w:sz="0" w:space="0" w:color="auto"/>
                        <w:right w:val="none" w:sz="0" w:space="0" w:color="auto"/>
                      </w:divBdr>
                      <w:divsChild>
                        <w:div w:id="2144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0086">
          <w:marLeft w:val="0"/>
          <w:marRight w:val="0"/>
          <w:marTop w:val="0"/>
          <w:marBottom w:val="0"/>
          <w:divBdr>
            <w:top w:val="none" w:sz="0" w:space="0" w:color="auto"/>
            <w:left w:val="none" w:sz="0" w:space="0" w:color="auto"/>
            <w:bottom w:val="none" w:sz="0" w:space="0" w:color="auto"/>
            <w:right w:val="none" w:sz="0" w:space="0" w:color="auto"/>
          </w:divBdr>
          <w:divsChild>
            <w:div w:id="1976790230">
              <w:marLeft w:val="0"/>
              <w:marRight w:val="0"/>
              <w:marTop w:val="0"/>
              <w:marBottom w:val="240"/>
              <w:divBdr>
                <w:top w:val="none" w:sz="0" w:space="0" w:color="auto"/>
                <w:left w:val="none" w:sz="0" w:space="0" w:color="auto"/>
                <w:bottom w:val="none" w:sz="0" w:space="0" w:color="auto"/>
                <w:right w:val="none" w:sz="0" w:space="0" w:color="auto"/>
              </w:divBdr>
              <w:divsChild>
                <w:div w:id="247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72456">
      <w:bodyDiv w:val="1"/>
      <w:marLeft w:val="0"/>
      <w:marRight w:val="0"/>
      <w:marTop w:val="0"/>
      <w:marBottom w:val="0"/>
      <w:divBdr>
        <w:top w:val="none" w:sz="0" w:space="0" w:color="auto"/>
        <w:left w:val="none" w:sz="0" w:space="0" w:color="auto"/>
        <w:bottom w:val="none" w:sz="0" w:space="0" w:color="auto"/>
        <w:right w:val="none" w:sz="0" w:space="0" w:color="auto"/>
      </w:divBdr>
      <w:divsChild>
        <w:div w:id="1043098427">
          <w:marLeft w:val="0"/>
          <w:marRight w:val="0"/>
          <w:marTop w:val="0"/>
          <w:marBottom w:val="0"/>
          <w:divBdr>
            <w:top w:val="none" w:sz="0" w:space="0" w:color="auto"/>
            <w:left w:val="none" w:sz="0" w:space="0" w:color="auto"/>
            <w:bottom w:val="none" w:sz="0" w:space="0" w:color="auto"/>
            <w:right w:val="none" w:sz="0" w:space="0" w:color="auto"/>
          </w:divBdr>
          <w:divsChild>
            <w:div w:id="467012213">
              <w:marLeft w:val="0"/>
              <w:marRight w:val="0"/>
              <w:marTop w:val="0"/>
              <w:marBottom w:val="0"/>
              <w:divBdr>
                <w:top w:val="none" w:sz="0" w:space="0" w:color="auto"/>
                <w:left w:val="none" w:sz="0" w:space="0" w:color="auto"/>
                <w:bottom w:val="none" w:sz="0" w:space="0" w:color="auto"/>
                <w:right w:val="none" w:sz="0" w:space="0" w:color="auto"/>
              </w:divBdr>
              <w:divsChild>
                <w:div w:id="4796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8660">
      <w:bodyDiv w:val="1"/>
      <w:marLeft w:val="0"/>
      <w:marRight w:val="0"/>
      <w:marTop w:val="0"/>
      <w:marBottom w:val="0"/>
      <w:divBdr>
        <w:top w:val="none" w:sz="0" w:space="0" w:color="auto"/>
        <w:left w:val="none" w:sz="0" w:space="0" w:color="auto"/>
        <w:bottom w:val="none" w:sz="0" w:space="0" w:color="auto"/>
        <w:right w:val="none" w:sz="0" w:space="0" w:color="auto"/>
      </w:divBdr>
      <w:divsChild>
        <w:div w:id="1239025011">
          <w:marLeft w:val="0"/>
          <w:marRight w:val="0"/>
          <w:marTop w:val="0"/>
          <w:marBottom w:val="0"/>
          <w:divBdr>
            <w:top w:val="none" w:sz="0" w:space="0" w:color="auto"/>
            <w:left w:val="none" w:sz="0" w:space="0" w:color="auto"/>
            <w:bottom w:val="none" w:sz="0" w:space="0" w:color="auto"/>
            <w:right w:val="none" w:sz="0" w:space="0" w:color="auto"/>
          </w:divBdr>
          <w:divsChild>
            <w:div w:id="1455102107">
              <w:marLeft w:val="0"/>
              <w:marRight w:val="0"/>
              <w:marTop w:val="0"/>
              <w:marBottom w:val="0"/>
              <w:divBdr>
                <w:top w:val="none" w:sz="0" w:space="0" w:color="auto"/>
                <w:left w:val="none" w:sz="0" w:space="0" w:color="auto"/>
                <w:bottom w:val="none" w:sz="0" w:space="0" w:color="auto"/>
                <w:right w:val="none" w:sz="0" w:space="0" w:color="auto"/>
              </w:divBdr>
              <w:divsChild>
                <w:div w:id="1131823174">
                  <w:marLeft w:val="0"/>
                  <w:marRight w:val="0"/>
                  <w:marTop w:val="0"/>
                  <w:marBottom w:val="0"/>
                  <w:divBdr>
                    <w:top w:val="none" w:sz="0" w:space="0" w:color="auto"/>
                    <w:left w:val="none" w:sz="0" w:space="0" w:color="auto"/>
                    <w:bottom w:val="none" w:sz="0" w:space="0" w:color="auto"/>
                    <w:right w:val="none" w:sz="0" w:space="0" w:color="auto"/>
                  </w:divBdr>
                </w:div>
              </w:divsChild>
            </w:div>
            <w:div w:id="839000914">
              <w:marLeft w:val="0"/>
              <w:marRight w:val="0"/>
              <w:marTop w:val="0"/>
              <w:marBottom w:val="0"/>
              <w:divBdr>
                <w:top w:val="none" w:sz="0" w:space="0" w:color="auto"/>
                <w:left w:val="none" w:sz="0" w:space="0" w:color="auto"/>
                <w:bottom w:val="none" w:sz="0" w:space="0" w:color="auto"/>
                <w:right w:val="none" w:sz="0" w:space="0" w:color="auto"/>
              </w:divBdr>
              <w:divsChild>
                <w:div w:id="1061488492">
                  <w:marLeft w:val="0"/>
                  <w:marRight w:val="0"/>
                  <w:marTop w:val="0"/>
                  <w:marBottom w:val="0"/>
                  <w:divBdr>
                    <w:top w:val="none" w:sz="0" w:space="0" w:color="auto"/>
                    <w:left w:val="none" w:sz="0" w:space="0" w:color="auto"/>
                    <w:bottom w:val="none" w:sz="0" w:space="0" w:color="auto"/>
                    <w:right w:val="none" w:sz="0" w:space="0" w:color="auto"/>
                  </w:divBdr>
                  <w:divsChild>
                    <w:div w:id="1991206310">
                      <w:marLeft w:val="0"/>
                      <w:marRight w:val="0"/>
                      <w:marTop w:val="0"/>
                      <w:marBottom w:val="0"/>
                      <w:divBdr>
                        <w:top w:val="none" w:sz="0" w:space="0" w:color="auto"/>
                        <w:left w:val="none" w:sz="0" w:space="0" w:color="auto"/>
                        <w:bottom w:val="none" w:sz="0" w:space="0" w:color="auto"/>
                        <w:right w:val="none" w:sz="0" w:space="0" w:color="auto"/>
                      </w:divBdr>
                      <w:divsChild>
                        <w:div w:id="1251504568">
                          <w:marLeft w:val="0"/>
                          <w:marRight w:val="0"/>
                          <w:marTop w:val="0"/>
                          <w:marBottom w:val="0"/>
                          <w:divBdr>
                            <w:top w:val="none" w:sz="0" w:space="0" w:color="auto"/>
                            <w:left w:val="none" w:sz="0" w:space="0" w:color="auto"/>
                            <w:bottom w:val="none" w:sz="0" w:space="0" w:color="auto"/>
                            <w:right w:val="none" w:sz="0" w:space="0" w:color="auto"/>
                          </w:divBdr>
                          <w:divsChild>
                            <w:div w:id="73750399">
                              <w:marLeft w:val="0"/>
                              <w:marRight w:val="0"/>
                              <w:marTop w:val="0"/>
                              <w:marBottom w:val="0"/>
                              <w:divBdr>
                                <w:top w:val="none" w:sz="0" w:space="0" w:color="auto"/>
                                <w:left w:val="none" w:sz="0" w:space="0" w:color="auto"/>
                                <w:bottom w:val="none" w:sz="0" w:space="0" w:color="auto"/>
                                <w:right w:val="none" w:sz="0" w:space="0" w:color="auto"/>
                              </w:divBdr>
                            </w:div>
                          </w:divsChild>
                        </w:div>
                        <w:div w:id="1864249787">
                          <w:marLeft w:val="0"/>
                          <w:marRight w:val="0"/>
                          <w:marTop w:val="0"/>
                          <w:marBottom w:val="0"/>
                          <w:divBdr>
                            <w:top w:val="none" w:sz="0" w:space="0" w:color="auto"/>
                            <w:left w:val="none" w:sz="0" w:space="0" w:color="auto"/>
                            <w:bottom w:val="none" w:sz="0" w:space="0" w:color="auto"/>
                            <w:right w:val="none" w:sz="0" w:space="0" w:color="auto"/>
                          </w:divBdr>
                          <w:divsChild>
                            <w:div w:id="1507356839">
                              <w:marLeft w:val="0"/>
                              <w:marRight w:val="0"/>
                              <w:marTop w:val="0"/>
                              <w:marBottom w:val="0"/>
                              <w:divBdr>
                                <w:top w:val="none" w:sz="0" w:space="0" w:color="auto"/>
                                <w:left w:val="none" w:sz="0" w:space="0" w:color="auto"/>
                                <w:bottom w:val="none" w:sz="0" w:space="0" w:color="auto"/>
                                <w:right w:val="none" w:sz="0" w:space="0" w:color="auto"/>
                              </w:divBdr>
                            </w:div>
                          </w:divsChild>
                        </w:div>
                        <w:div w:id="1646003438">
                          <w:marLeft w:val="0"/>
                          <w:marRight w:val="0"/>
                          <w:marTop w:val="0"/>
                          <w:marBottom w:val="0"/>
                          <w:divBdr>
                            <w:top w:val="none" w:sz="0" w:space="0" w:color="auto"/>
                            <w:left w:val="none" w:sz="0" w:space="0" w:color="auto"/>
                            <w:bottom w:val="none" w:sz="0" w:space="0" w:color="auto"/>
                            <w:right w:val="none" w:sz="0" w:space="0" w:color="auto"/>
                          </w:divBdr>
                          <w:divsChild>
                            <w:div w:id="1557276670">
                              <w:marLeft w:val="0"/>
                              <w:marRight w:val="0"/>
                              <w:marTop w:val="0"/>
                              <w:marBottom w:val="0"/>
                              <w:divBdr>
                                <w:top w:val="none" w:sz="0" w:space="0" w:color="auto"/>
                                <w:left w:val="none" w:sz="0" w:space="0" w:color="auto"/>
                                <w:bottom w:val="none" w:sz="0" w:space="0" w:color="auto"/>
                                <w:right w:val="none" w:sz="0" w:space="0" w:color="auto"/>
                              </w:divBdr>
                            </w:div>
                          </w:divsChild>
                        </w:div>
                        <w:div w:id="2107074055">
                          <w:marLeft w:val="0"/>
                          <w:marRight w:val="0"/>
                          <w:marTop w:val="0"/>
                          <w:marBottom w:val="0"/>
                          <w:divBdr>
                            <w:top w:val="none" w:sz="0" w:space="0" w:color="auto"/>
                            <w:left w:val="none" w:sz="0" w:space="0" w:color="auto"/>
                            <w:bottom w:val="none" w:sz="0" w:space="0" w:color="auto"/>
                            <w:right w:val="none" w:sz="0" w:space="0" w:color="auto"/>
                          </w:divBdr>
                          <w:divsChild>
                            <w:div w:id="449054263">
                              <w:marLeft w:val="0"/>
                              <w:marRight w:val="0"/>
                              <w:marTop w:val="0"/>
                              <w:marBottom w:val="0"/>
                              <w:divBdr>
                                <w:top w:val="none" w:sz="0" w:space="0" w:color="auto"/>
                                <w:left w:val="none" w:sz="0" w:space="0" w:color="auto"/>
                                <w:bottom w:val="none" w:sz="0" w:space="0" w:color="auto"/>
                                <w:right w:val="none" w:sz="0" w:space="0" w:color="auto"/>
                              </w:divBdr>
                            </w:div>
                          </w:divsChild>
                        </w:div>
                        <w:div w:id="687483422">
                          <w:marLeft w:val="0"/>
                          <w:marRight w:val="0"/>
                          <w:marTop w:val="0"/>
                          <w:marBottom w:val="0"/>
                          <w:divBdr>
                            <w:top w:val="none" w:sz="0" w:space="0" w:color="auto"/>
                            <w:left w:val="none" w:sz="0" w:space="0" w:color="auto"/>
                            <w:bottom w:val="none" w:sz="0" w:space="0" w:color="auto"/>
                            <w:right w:val="none" w:sz="0" w:space="0" w:color="auto"/>
                          </w:divBdr>
                          <w:divsChild>
                            <w:div w:id="1004473733">
                              <w:marLeft w:val="0"/>
                              <w:marRight w:val="0"/>
                              <w:marTop w:val="0"/>
                              <w:marBottom w:val="0"/>
                              <w:divBdr>
                                <w:top w:val="none" w:sz="0" w:space="0" w:color="auto"/>
                                <w:left w:val="none" w:sz="0" w:space="0" w:color="auto"/>
                                <w:bottom w:val="none" w:sz="0" w:space="0" w:color="auto"/>
                                <w:right w:val="none" w:sz="0" w:space="0" w:color="auto"/>
                              </w:divBdr>
                            </w:div>
                          </w:divsChild>
                        </w:div>
                        <w:div w:id="955990386">
                          <w:marLeft w:val="0"/>
                          <w:marRight w:val="0"/>
                          <w:marTop w:val="0"/>
                          <w:marBottom w:val="0"/>
                          <w:divBdr>
                            <w:top w:val="none" w:sz="0" w:space="0" w:color="auto"/>
                            <w:left w:val="none" w:sz="0" w:space="0" w:color="auto"/>
                            <w:bottom w:val="none" w:sz="0" w:space="0" w:color="auto"/>
                            <w:right w:val="none" w:sz="0" w:space="0" w:color="auto"/>
                          </w:divBdr>
                          <w:divsChild>
                            <w:div w:id="1607956637">
                              <w:marLeft w:val="0"/>
                              <w:marRight w:val="0"/>
                              <w:marTop w:val="0"/>
                              <w:marBottom w:val="0"/>
                              <w:divBdr>
                                <w:top w:val="none" w:sz="0" w:space="0" w:color="auto"/>
                                <w:left w:val="none" w:sz="0" w:space="0" w:color="auto"/>
                                <w:bottom w:val="none" w:sz="0" w:space="0" w:color="auto"/>
                                <w:right w:val="none" w:sz="0" w:space="0" w:color="auto"/>
                              </w:divBdr>
                            </w:div>
                          </w:divsChild>
                        </w:div>
                        <w:div w:id="626201584">
                          <w:marLeft w:val="0"/>
                          <w:marRight w:val="0"/>
                          <w:marTop w:val="0"/>
                          <w:marBottom w:val="0"/>
                          <w:divBdr>
                            <w:top w:val="none" w:sz="0" w:space="0" w:color="auto"/>
                            <w:left w:val="none" w:sz="0" w:space="0" w:color="auto"/>
                            <w:bottom w:val="none" w:sz="0" w:space="0" w:color="auto"/>
                            <w:right w:val="none" w:sz="0" w:space="0" w:color="auto"/>
                          </w:divBdr>
                          <w:divsChild>
                            <w:div w:id="1045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0617">
              <w:marLeft w:val="0"/>
              <w:marRight w:val="0"/>
              <w:marTop w:val="0"/>
              <w:marBottom w:val="0"/>
              <w:divBdr>
                <w:top w:val="none" w:sz="0" w:space="0" w:color="auto"/>
                <w:left w:val="none" w:sz="0" w:space="0" w:color="auto"/>
                <w:bottom w:val="none" w:sz="0" w:space="0" w:color="auto"/>
                <w:right w:val="none" w:sz="0" w:space="0" w:color="auto"/>
              </w:divBdr>
              <w:divsChild>
                <w:div w:id="491064698">
                  <w:marLeft w:val="0"/>
                  <w:marRight w:val="0"/>
                  <w:marTop w:val="0"/>
                  <w:marBottom w:val="0"/>
                  <w:divBdr>
                    <w:top w:val="none" w:sz="0" w:space="0" w:color="auto"/>
                    <w:left w:val="none" w:sz="0" w:space="0" w:color="auto"/>
                    <w:bottom w:val="none" w:sz="0" w:space="0" w:color="auto"/>
                    <w:right w:val="none" w:sz="0" w:space="0" w:color="auto"/>
                  </w:divBdr>
                </w:div>
              </w:divsChild>
            </w:div>
            <w:div w:id="63919802">
              <w:marLeft w:val="0"/>
              <w:marRight w:val="0"/>
              <w:marTop w:val="0"/>
              <w:marBottom w:val="0"/>
              <w:divBdr>
                <w:top w:val="none" w:sz="0" w:space="0" w:color="auto"/>
                <w:left w:val="none" w:sz="0" w:space="0" w:color="auto"/>
                <w:bottom w:val="none" w:sz="0" w:space="0" w:color="auto"/>
                <w:right w:val="none" w:sz="0" w:space="0" w:color="auto"/>
              </w:divBdr>
              <w:divsChild>
                <w:div w:id="893465947">
                  <w:marLeft w:val="0"/>
                  <w:marRight w:val="0"/>
                  <w:marTop w:val="0"/>
                  <w:marBottom w:val="0"/>
                  <w:divBdr>
                    <w:top w:val="none" w:sz="0" w:space="0" w:color="auto"/>
                    <w:left w:val="none" w:sz="0" w:space="0" w:color="auto"/>
                    <w:bottom w:val="none" w:sz="0" w:space="0" w:color="auto"/>
                    <w:right w:val="none" w:sz="0" w:space="0" w:color="auto"/>
                  </w:divBdr>
                  <w:divsChild>
                    <w:div w:id="1462528806">
                      <w:marLeft w:val="0"/>
                      <w:marRight w:val="0"/>
                      <w:marTop w:val="0"/>
                      <w:marBottom w:val="0"/>
                      <w:divBdr>
                        <w:top w:val="none" w:sz="0" w:space="0" w:color="auto"/>
                        <w:left w:val="none" w:sz="0" w:space="0" w:color="auto"/>
                        <w:bottom w:val="none" w:sz="0" w:space="0" w:color="auto"/>
                        <w:right w:val="none" w:sz="0" w:space="0" w:color="auto"/>
                      </w:divBdr>
                      <w:divsChild>
                        <w:div w:id="5151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41272">
          <w:marLeft w:val="0"/>
          <w:marRight w:val="0"/>
          <w:marTop w:val="0"/>
          <w:marBottom w:val="0"/>
          <w:divBdr>
            <w:top w:val="none" w:sz="0" w:space="0" w:color="auto"/>
            <w:left w:val="none" w:sz="0" w:space="0" w:color="auto"/>
            <w:bottom w:val="none" w:sz="0" w:space="0" w:color="auto"/>
            <w:right w:val="none" w:sz="0" w:space="0" w:color="auto"/>
          </w:divBdr>
          <w:divsChild>
            <w:div w:id="855775531">
              <w:marLeft w:val="0"/>
              <w:marRight w:val="0"/>
              <w:marTop w:val="0"/>
              <w:marBottom w:val="240"/>
              <w:divBdr>
                <w:top w:val="none" w:sz="0" w:space="0" w:color="auto"/>
                <w:left w:val="none" w:sz="0" w:space="0" w:color="auto"/>
                <w:bottom w:val="none" w:sz="0" w:space="0" w:color="auto"/>
                <w:right w:val="none" w:sz="0" w:space="0" w:color="auto"/>
              </w:divBdr>
              <w:divsChild>
                <w:div w:id="6707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1705">
      <w:bodyDiv w:val="1"/>
      <w:marLeft w:val="0"/>
      <w:marRight w:val="0"/>
      <w:marTop w:val="0"/>
      <w:marBottom w:val="0"/>
      <w:divBdr>
        <w:top w:val="none" w:sz="0" w:space="0" w:color="auto"/>
        <w:left w:val="none" w:sz="0" w:space="0" w:color="auto"/>
        <w:bottom w:val="none" w:sz="0" w:space="0" w:color="auto"/>
        <w:right w:val="none" w:sz="0" w:space="0" w:color="auto"/>
      </w:divBdr>
      <w:divsChild>
        <w:div w:id="1223836302">
          <w:marLeft w:val="0"/>
          <w:marRight w:val="0"/>
          <w:marTop w:val="0"/>
          <w:marBottom w:val="0"/>
          <w:divBdr>
            <w:top w:val="none" w:sz="0" w:space="0" w:color="auto"/>
            <w:left w:val="none" w:sz="0" w:space="0" w:color="auto"/>
            <w:bottom w:val="none" w:sz="0" w:space="0" w:color="auto"/>
            <w:right w:val="none" w:sz="0" w:space="0" w:color="auto"/>
          </w:divBdr>
          <w:divsChild>
            <w:div w:id="354573090">
              <w:marLeft w:val="0"/>
              <w:marRight w:val="0"/>
              <w:marTop w:val="0"/>
              <w:marBottom w:val="0"/>
              <w:divBdr>
                <w:top w:val="none" w:sz="0" w:space="0" w:color="auto"/>
                <w:left w:val="none" w:sz="0" w:space="0" w:color="auto"/>
                <w:bottom w:val="none" w:sz="0" w:space="0" w:color="auto"/>
                <w:right w:val="none" w:sz="0" w:space="0" w:color="auto"/>
              </w:divBdr>
              <w:divsChild>
                <w:div w:id="14074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3657">
      <w:bodyDiv w:val="1"/>
      <w:marLeft w:val="0"/>
      <w:marRight w:val="0"/>
      <w:marTop w:val="0"/>
      <w:marBottom w:val="0"/>
      <w:divBdr>
        <w:top w:val="none" w:sz="0" w:space="0" w:color="auto"/>
        <w:left w:val="none" w:sz="0" w:space="0" w:color="auto"/>
        <w:bottom w:val="none" w:sz="0" w:space="0" w:color="auto"/>
        <w:right w:val="none" w:sz="0" w:space="0" w:color="auto"/>
      </w:divBdr>
      <w:divsChild>
        <w:div w:id="1963875227">
          <w:marLeft w:val="0"/>
          <w:marRight w:val="0"/>
          <w:marTop w:val="0"/>
          <w:marBottom w:val="0"/>
          <w:divBdr>
            <w:top w:val="none" w:sz="0" w:space="0" w:color="auto"/>
            <w:left w:val="none" w:sz="0" w:space="0" w:color="auto"/>
            <w:bottom w:val="none" w:sz="0" w:space="0" w:color="auto"/>
            <w:right w:val="none" w:sz="0" w:space="0" w:color="auto"/>
          </w:divBdr>
          <w:divsChild>
            <w:div w:id="491802119">
              <w:marLeft w:val="0"/>
              <w:marRight w:val="0"/>
              <w:marTop w:val="0"/>
              <w:marBottom w:val="0"/>
              <w:divBdr>
                <w:top w:val="none" w:sz="0" w:space="0" w:color="auto"/>
                <w:left w:val="none" w:sz="0" w:space="0" w:color="auto"/>
                <w:bottom w:val="none" w:sz="0" w:space="0" w:color="auto"/>
                <w:right w:val="none" w:sz="0" w:space="0" w:color="auto"/>
              </w:divBdr>
              <w:divsChild>
                <w:div w:id="9116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2704">
      <w:bodyDiv w:val="1"/>
      <w:marLeft w:val="0"/>
      <w:marRight w:val="0"/>
      <w:marTop w:val="0"/>
      <w:marBottom w:val="0"/>
      <w:divBdr>
        <w:top w:val="none" w:sz="0" w:space="0" w:color="auto"/>
        <w:left w:val="none" w:sz="0" w:space="0" w:color="auto"/>
        <w:bottom w:val="none" w:sz="0" w:space="0" w:color="auto"/>
        <w:right w:val="none" w:sz="0" w:space="0" w:color="auto"/>
      </w:divBdr>
      <w:divsChild>
        <w:div w:id="534929514">
          <w:marLeft w:val="0"/>
          <w:marRight w:val="0"/>
          <w:marTop w:val="0"/>
          <w:marBottom w:val="0"/>
          <w:divBdr>
            <w:top w:val="none" w:sz="0" w:space="0" w:color="auto"/>
            <w:left w:val="none" w:sz="0" w:space="0" w:color="auto"/>
            <w:bottom w:val="none" w:sz="0" w:space="0" w:color="auto"/>
            <w:right w:val="none" w:sz="0" w:space="0" w:color="auto"/>
          </w:divBdr>
          <w:divsChild>
            <w:div w:id="908855155">
              <w:marLeft w:val="0"/>
              <w:marRight w:val="0"/>
              <w:marTop w:val="0"/>
              <w:marBottom w:val="0"/>
              <w:divBdr>
                <w:top w:val="none" w:sz="0" w:space="0" w:color="auto"/>
                <w:left w:val="none" w:sz="0" w:space="0" w:color="auto"/>
                <w:bottom w:val="none" w:sz="0" w:space="0" w:color="auto"/>
                <w:right w:val="none" w:sz="0" w:space="0" w:color="auto"/>
              </w:divBdr>
            </w:div>
            <w:div w:id="1226985068">
              <w:marLeft w:val="0"/>
              <w:marRight w:val="0"/>
              <w:marTop w:val="0"/>
              <w:marBottom w:val="0"/>
              <w:divBdr>
                <w:top w:val="none" w:sz="0" w:space="0" w:color="auto"/>
                <w:left w:val="none" w:sz="0" w:space="0" w:color="auto"/>
                <w:bottom w:val="none" w:sz="0" w:space="0" w:color="auto"/>
                <w:right w:val="none" w:sz="0" w:space="0" w:color="auto"/>
              </w:divBdr>
            </w:div>
          </w:divsChild>
        </w:div>
        <w:div w:id="2112509263">
          <w:marLeft w:val="0"/>
          <w:marRight w:val="0"/>
          <w:marTop w:val="0"/>
          <w:marBottom w:val="0"/>
          <w:divBdr>
            <w:top w:val="none" w:sz="0" w:space="0" w:color="auto"/>
            <w:left w:val="none" w:sz="0" w:space="0" w:color="auto"/>
            <w:bottom w:val="none" w:sz="0" w:space="0" w:color="auto"/>
            <w:right w:val="none" w:sz="0" w:space="0" w:color="auto"/>
          </w:divBdr>
          <w:divsChild>
            <w:div w:id="1655796643">
              <w:marLeft w:val="0"/>
              <w:marRight w:val="0"/>
              <w:marTop w:val="0"/>
              <w:marBottom w:val="0"/>
              <w:divBdr>
                <w:top w:val="none" w:sz="0" w:space="0" w:color="auto"/>
                <w:left w:val="none" w:sz="0" w:space="0" w:color="auto"/>
                <w:bottom w:val="none" w:sz="0" w:space="0" w:color="auto"/>
                <w:right w:val="none" w:sz="0" w:space="0" w:color="auto"/>
              </w:divBdr>
            </w:div>
            <w:div w:id="14891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392">
      <w:bodyDiv w:val="1"/>
      <w:marLeft w:val="0"/>
      <w:marRight w:val="0"/>
      <w:marTop w:val="0"/>
      <w:marBottom w:val="0"/>
      <w:divBdr>
        <w:top w:val="none" w:sz="0" w:space="0" w:color="auto"/>
        <w:left w:val="none" w:sz="0" w:space="0" w:color="auto"/>
        <w:bottom w:val="none" w:sz="0" w:space="0" w:color="auto"/>
        <w:right w:val="none" w:sz="0" w:space="0" w:color="auto"/>
      </w:divBdr>
      <w:divsChild>
        <w:div w:id="1464932339">
          <w:marLeft w:val="0"/>
          <w:marRight w:val="0"/>
          <w:marTop w:val="0"/>
          <w:marBottom w:val="0"/>
          <w:divBdr>
            <w:top w:val="none" w:sz="0" w:space="0" w:color="auto"/>
            <w:left w:val="none" w:sz="0" w:space="0" w:color="auto"/>
            <w:bottom w:val="none" w:sz="0" w:space="0" w:color="auto"/>
            <w:right w:val="none" w:sz="0" w:space="0" w:color="auto"/>
          </w:divBdr>
        </w:div>
        <w:div w:id="1158889045">
          <w:marLeft w:val="0"/>
          <w:marRight w:val="0"/>
          <w:marTop w:val="0"/>
          <w:marBottom w:val="0"/>
          <w:divBdr>
            <w:top w:val="none" w:sz="0" w:space="0" w:color="auto"/>
            <w:left w:val="none" w:sz="0" w:space="0" w:color="auto"/>
            <w:bottom w:val="none" w:sz="0" w:space="0" w:color="auto"/>
            <w:right w:val="none" w:sz="0" w:space="0" w:color="auto"/>
          </w:divBdr>
        </w:div>
      </w:divsChild>
    </w:div>
    <w:div w:id="2066098204">
      <w:bodyDiv w:val="1"/>
      <w:marLeft w:val="0"/>
      <w:marRight w:val="0"/>
      <w:marTop w:val="0"/>
      <w:marBottom w:val="0"/>
      <w:divBdr>
        <w:top w:val="none" w:sz="0" w:space="0" w:color="auto"/>
        <w:left w:val="none" w:sz="0" w:space="0" w:color="auto"/>
        <w:bottom w:val="none" w:sz="0" w:space="0" w:color="auto"/>
        <w:right w:val="none" w:sz="0" w:space="0" w:color="auto"/>
      </w:divBdr>
      <w:divsChild>
        <w:div w:id="1949728746">
          <w:marLeft w:val="0"/>
          <w:marRight w:val="0"/>
          <w:marTop w:val="0"/>
          <w:marBottom w:val="0"/>
          <w:divBdr>
            <w:top w:val="none" w:sz="0" w:space="0" w:color="auto"/>
            <w:left w:val="none" w:sz="0" w:space="0" w:color="auto"/>
            <w:bottom w:val="none" w:sz="0" w:space="0" w:color="auto"/>
            <w:right w:val="none" w:sz="0" w:space="0" w:color="auto"/>
          </w:divBdr>
          <w:divsChild>
            <w:div w:id="1776484825">
              <w:marLeft w:val="0"/>
              <w:marRight w:val="0"/>
              <w:marTop w:val="0"/>
              <w:marBottom w:val="0"/>
              <w:divBdr>
                <w:top w:val="none" w:sz="0" w:space="0" w:color="auto"/>
                <w:left w:val="none" w:sz="0" w:space="0" w:color="auto"/>
                <w:bottom w:val="none" w:sz="0" w:space="0" w:color="auto"/>
                <w:right w:val="none" w:sz="0" w:space="0" w:color="auto"/>
              </w:divBdr>
              <w:divsChild>
                <w:div w:id="1264073171">
                  <w:marLeft w:val="0"/>
                  <w:marRight w:val="0"/>
                  <w:marTop w:val="0"/>
                  <w:marBottom w:val="0"/>
                  <w:divBdr>
                    <w:top w:val="none" w:sz="0" w:space="0" w:color="auto"/>
                    <w:left w:val="none" w:sz="0" w:space="0" w:color="auto"/>
                    <w:bottom w:val="none" w:sz="0" w:space="0" w:color="auto"/>
                    <w:right w:val="none" w:sz="0" w:space="0" w:color="auto"/>
                  </w:divBdr>
                  <w:divsChild>
                    <w:div w:id="19779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2676">
              <w:marLeft w:val="0"/>
              <w:marRight w:val="0"/>
              <w:marTop w:val="0"/>
              <w:marBottom w:val="0"/>
              <w:divBdr>
                <w:top w:val="none" w:sz="0" w:space="0" w:color="auto"/>
                <w:left w:val="none" w:sz="0" w:space="0" w:color="auto"/>
                <w:bottom w:val="none" w:sz="0" w:space="0" w:color="auto"/>
                <w:right w:val="none" w:sz="0" w:space="0" w:color="auto"/>
              </w:divBdr>
            </w:div>
          </w:divsChild>
        </w:div>
        <w:div w:id="879167395">
          <w:marLeft w:val="0"/>
          <w:marRight w:val="0"/>
          <w:marTop w:val="0"/>
          <w:marBottom w:val="0"/>
          <w:divBdr>
            <w:top w:val="none" w:sz="0" w:space="0" w:color="auto"/>
            <w:left w:val="none" w:sz="0" w:space="0" w:color="auto"/>
            <w:bottom w:val="none" w:sz="0" w:space="0" w:color="auto"/>
            <w:right w:val="none" w:sz="0" w:space="0" w:color="auto"/>
          </w:divBdr>
          <w:divsChild>
            <w:div w:id="1125926004">
              <w:marLeft w:val="0"/>
              <w:marRight w:val="0"/>
              <w:marTop w:val="0"/>
              <w:marBottom w:val="0"/>
              <w:divBdr>
                <w:top w:val="none" w:sz="0" w:space="0" w:color="auto"/>
                <w:left w:val="none" w:sz="0" w:space="0" w:color="auto"/>
                <w:bottom w:val="none" w:sz="0" w:space="0" w:color="auto"/>
                <w:right w:val="none" w:sz="0" w:space="0" w:color="auto"/>
              </w:divBdr>
            </w:div>
          </w:divsChild>
        </w:div>
        <w:div w:id="730227001">
          <w:marLeft w:val="0"/>
          <w:marRight w:val="0"/>
          <w:marTop w:val="0"/>
          <w:marBottom w:val="0"/>
          <w:divBdr>
            <w:top w:val="none" w:sz="0" w:space="0" w:color="auto"/>
            <w:left w:val="none" w:sz="0" w:space="0" w:color="auto"/>
            <w:bottom w:val="none" w:sz="0" w:space="0" w:color="auto"/>
            <w:right w:val="none" w:sz="0" w:space="0" w:color="auto"/>
          </w:divBdr>
          <w:divsChild>
            <w:div w:id="1292832303">
              <w:marLeft w:val="0"/>
              <w:marRight w:val="0"/>
              <w:marTop w:val="0"/>
              <w:marBottom w:val="0"/>
              <w:divBdr>
                <w:top w:val="none" w:sz="0" w:space="0" w:color="auto"/>
                <w:left w:val="none" w:sz="0" w:space="0" w:color="auto"/>
                <w:bottom w:val="none" w:sz="0" w:space="0" w:color="auto"/>
                <w:right w:val="none" w:sz="0" w:space="0" w:color="auto"/>
              </w:divBdr>
              <w:divsChild>
                <w:div w:id="1312366683">
                  <w:marLeft w:val="0"/>
                  <w:marRight w:val="0"/>
                  <w:marTop w:val="0"/>
                  <w:marBottom w:val="0"/>
                  <w:divBdr>
                    <w:top w:val="none" w:sz="0" w:space="0" w:color="auto"/>
                    <w:left w:val="none" w:sz="0" w:space="0" w:color="auto"/>
                    <w:bottom w:val="none" w:sz="0" w:space="0" w:color="auto"/>
                    <w:right w:val="none" w:sz="0" w:space="0" w:color="auto"/>
                  </w:divBdr>
                  <w:divsChild>
                    <w:div w:id="1524510095">
                      <w:marLeft w:val="0"/>
                      <w:marRight w:val="0"/>
                      <w:marTop w:val="0"/>
                      <w:marBottom w:val="0"/>
                      <w:divBdr>
                        <w:top w:val="none" w:sz="0" w:space="0" w:color="auto"/>
                        <w:left w:val="none" w:sz="0" w:space="0" w:color="auto"/>
                        <w:bottom w:val="none" w:sz="0" w:space="0" w:color="auto"/>
                        <w:right w:val="none" w:sz="0" w:space="0" w:color="auto"/>
                      </w:divBdr>
                      <w:divsChild>
                        <w:div w:id="512233655">
                          <w:marLeft w:val="0"/>
                          <w:marRight w:val="0"/>
                          <w:marTop w:val="0"/>
                          <w:marBottom w:val="0"/>
                          <w:divBdr>
                            <w:top w:val="none" w:sz="0" w:space="0" w:color="auto"/>
                            <w:left w:val="none" w:sz="0" w:space="0" w:color="auto"/>
                            <w:bottom w:val="none" w:sz="0" w:space="0" w:color="auto"/>
                            <w:right w:val="none" w:sz="0" w:space="0" w:color="auto"/>
                          </w:divBdr>
                          <w:divsChild>
                            <w:div w:id="16206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751494">
      <w:bodyDiv w:val="1"/>
      <w:marLeft w:val="0"/>
      <w:marRight w:val="0"/>
      <w:marTop w:val="0"/>
      <w:marBottom w:val="0"/>
      <w:divBdr>
        <w:top w:val="none" w:sz="0" w:space="0" w:color="auto"/>
        <w:left w:val="none" w:sz="0" w:space="0" w:color="auto"/>
        <w:bottom w:val="none" w:sz="0" w:space="0" w:color="auto"/>
        <w:right w:val="none" w:sz="0" w:space="0" w:color="auto"/>
      </w:divBdr>
      <w:divsChild>
        <w:div w:id="157307536">
          <w:marLeft w:val="0"/>
          <w:marRight w:val="0"/>
          <w:marTop w:val="0"/>
          <w:marBottom w:val="0"/>
          <w:divBdr>
            <w:top w:val="none" w:sz="0" w:space="0" w:color="auto"/>
            <w:left w:val="none" w:sz="0" w:space="0" w:color="auto"/>
            <w:bottom w:val="none" w:sz="0" w:space="0" w:color="auto"/>
            <w:right w:val="none" w:sz="0" w:space="0" w:color="auto"/>
          </w:divBdr>
          <w:divsChild>
            <w:div w:id="809782638">
              <w:marLeft w:val="0"/>
              <w:marRight w:val="0"/>
              <w:marTop w:val="0"/>
              <w:marBottom w:val="0"/>
              <w:divBdr>
                <w:top w:val="none" w:sz="0" w:space="0" w:color="auto"/>
                <w:left w:val="none" w:sz="0" w:space="0" w:color="auto"/>
                <w:bottom w:val="none" w:sz="0" w:space="0" w:color="auto"/>
                <w:right w:val="none" w:sz="0" w:space="0" w:color="auto"/>
              </w:divBdr>
              <w:divsChild>
                <w:div w:id="8521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d.docs.live.net/8584039bb42d259f/Bureau/waly5/nt1616_Senegal_PC18_RT%20_reflns_threshold_expression" TargetMode="External"/><Relationship Id="rId18" Type="http://schemas.openxmlformats.org/officeDocument/2006/relationships/image" Target="media/image5.tif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https://d.docs.live.net/8584039bb42d259f/Bureau/waly5/nt1616_Senegal_PC18_RT%20_reflns_threshold_expression" TargetMode="External"/><Relationship Id="rId17" Type="http://schemas.openxmlformats.org/officeDocument/2006/relationships/image" Target="media/image4.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8584039bb42d259f/Bureau/waly5/nt1616_Senegal_PC18_RT%20_reflns_threshold_expressi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docs.live.net/8584039bb42d259f/Bureau/waly5/nt1598_Senegal_PC8_100K%20_reflns_threshold_expression"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docs.live.net/8584039bb42d259f/Bureau/waly5/nt1616_Senegal_PC18_RT%20_reflns_threshold_expression"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d.docs.live.net/8584039bb42d259f/Bureau/waly5/nt1616_Senegal_PC18_RT%20_reflns_threshold_expression"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E5881-087D-49ED-A48F-35756977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13</Pages>
  <Words>20372</Words>
  <Characters>116122</Characters>
  <Application>Microsoft Office Word</Application>
  <DocSecurity>0</DocSecurity>
  <Lines>967</Lines>
  <Paragraphs>272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waly Diallo</dc:creator>
  <cp:keywords/>
  <dc:description/>
  <cp:lastModifiedBy>SDI 1089</cp:lastModifiedBy>
  <cp:revision>5</cp:revision>
  <dcterms:created xsi:type="dcterms:W3CDTF">2025-09-03T22:57:00Z</dcterms:created>
  <dcterms:modified xsi:type="dcterms:W3CDTF">2025-09-05T07:13:00Z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id="4Elb6zKS"/&gt;&lt;style id="http://www.zotero.org/styles/apa" locale="fr-FR" hasBibliography="1" bibliographyStyleHasBeenSet="1"/&gt;&lt;prefs&gt;&lt;pref name="fieldType" value="Field"/&gt;&lt;/prefs&gt;&lt;/data&gt;</vt:lpwstr>
  </property>
</Properties>
</file>