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E3E73" w:rsidRPr="000C11F9" w:rsidRDefault="00C917E4" w:rsidP="000C11F9">
      <w:pPr>
        <w:widowControl w:val="0"/>
        <w:pBdr>
          <w:top w:val="nil"/>
          <w:left w:val="nil"/>
          <w:bottom w:val="nil"/>
          <w:right w:val="nil"/>
          <w:between w:val="nil"/>
        </w:pBdr>
        <w:spacing w:after="0" w:line="240" w:lineRule="auto"/>
        <w:rPr>
          <w:rFonts w:ascii="Times New Roman" w:hAnsi="Times New Roman" w:cs="Times New Roman"/>
        </w:rPr>
      </w:pPr>
      <w:r>
        <w:rPr>
          <w:rFonts w:ascii="Times New Roman" w:hAnsi="Times New Roman" w:cs="Times New Roman"/>
        </w:rPr>
        <w:pict w14:anchorId="1310B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rPr>
          <w:rFonts w:ascii="Times New Roman" w:hAnsi="Times New Roman" w:cs="Times New Roman"/>
        </w:rPr>
        <w:pict w14:anchorId="045ADCB2">
          <v:shape id="_x0000_s1027" type="#_x0000_t136" style="position:absolute;margin-left:0;margin-top:0;width:50pt;height:50pt;z-index:251658752;visibility:hidden">
            <o:lock v:ext="edit" selection="t"/>
          </v:shape>
        </w:pict>
      </w:r>
      <w:r>
        <w:rPr>
          <w:rFonts w:ascii="Times New Roman" w:hAnsi="Times New Roman" w:cs="Times New Roman"/>
        </w:rPr>
        <w:pict w14:anchorId="751ACA78">
          <v:shape id="_x0000_s1029" type="#_x0000_t136" style="position:absolute;margin-left:0;margin-top:0;width:50pt;height:50pt;z-index:251656704;visibility:hidden">
            <o:lock v:ext="edit" selection="t"/>
          </v:shape>
        </w:pict>
      </w:r>
    </w:p>
    <w:p w14:paraId="0D0B940D" w14:textId="04C6B1EE" w:rsidR="001E3E73" w:rsidRDefault="00EB72B6" w:rsidP="000C11F9">
      <w:pPr>
        <w:pStyle w:val="Heading1"/>
        <w:shd w:val="clear" w:color="auto" w:fill="FFFFFF" w:themeFill="background1"/>
        <w:spacing w:before="0" w:after="0" w:line="240" w:lineRule="auto"/>
        <w:jc w:val="both"/>
        <w:rPr>
          <w:rFonts w:ascii="Times New Roman" w:eastAsia="Times New Roman" w:hAnsi="Times New Roman" w:cs="Times New Roman"/>
          <w:b/>
          <w:bCs/>
          <w:color w:val="000000" w:themeColor="text1"/>
          <w:sz w:val="24"/>
          <w:szCs w:val="24"/>
          <w:lang w:val="en-US"/>
        </w:rPr>
      </w:pPr>
      <w:r w:rsidRPr="000C11F9">
        <w:rPr>
          <w:rFonts w:ascii="Times New Roman" w:eastAsia="Times New Roman" w:hAnsi="Times New Roman" w:cs="Times New Roman"/>
          <w:b/>
          <w:bCs/>
          <w:color w:val="000000" w:themeColor="text1"/>
          <w:sz w:val="24"/>
          <w:szCs w:val="24"/>
          <w:lang w:val="en-US"/>
        </w:rPr>
        <w:t xml:space="preserve">Comparative National Prescriptive and </w:t>
      </w:r>
      <w:proofErr w:type="spellStart"/>
      <w:r w:rsidRPr="000C11F9">
        <w:rPr>
          <w:rFonts w:ascii="Times New Roman" w:eastAsia="Times New Roman" w:hAnsi="Times New Roman" w:cs="Times New Roman"/>
          <w:b/>
          <w:bCs/>
          <w:color w:val="000000" w:themeColor="text1"/>
          <w:sz w:val="24"/>
          <w:szCs w:val="24"/>
          <w:lang w:val="en-US"/>
        </w:rPr>
        <w:t>Dosimetric</w:t>
      </w:r>
      <w:proofErr w:type="spellEnd"/>
      <w:r w:rsidRPr="000C11F9">
        <w:rPr>
          <w:rFonts w:ascii="Times New Roman" w:eastAsia="Times New Roman" w:hAnsi="Times New Roman" w:cs="Times New Roman"/>
          <w:b/>
          <w:bCs/>
          <w:color w:val="000000" w:themeColor="text1"/>
          <w:sz w:val="24"/>
          <w:szCs w:val="24"/>
          <w:lang w:val="en-US"/>
        </w:rPr>
        <w:t xml:space="preserve"> Characteristics of Beta-Blocker Therapy in Asian Heart Failure Patients</w:t>
      </w:r>
    </w:p>
    <w:p w14:paraId="55A4A11F" w14:textId="27C5FBCE" w:rsidR="00E763B0" w:rsidRDefault="00E763B0" w:rsidP="00E763B0">
      <w:pPr>
        <w:rPr>
          <w:lang w:val="en-US"/>
        </w:rPr>
      </w:pPr>
    </w:p>
    <w:p w14:paraId="4B766D88" w14:textId="77777777" w:rsidR="0050306A" w:rsidRPr="000C11F9" w:rsidRDefault="0050306A" w:rsidP="000C11F9">
      <w:pPr>
        <w:pStyle w:val="NormalWeb"/>
      </w:pPr>
      <w:r w:rsidRPr="000C11F9">
        <w:rPr>
          <w:rStyle w:val="Strong"/>
        </w:rPr>
        <w:t>Abstract</w:t>
      </w:r>
    </w:p>
    <w:p w14:paraId="1954C8DC" w14:textId="77777777" w:rsidR="0050306A" w:rsidRPr="000C11F9" w:rsidRDefault="0050306A" w:rsidP="000C11F9">
      <w:pPr>
        <w:pStyle w:val="NormalWeb"/>
        <w:rPr>
          <w:sz w:val="20"/>
          <w:szCs w:val="20"/>
        </w:rPr>
      </w:pPr>
      <w:r w:rsidRPr="000C11F9">
        <w:rPr>
          <w:sz w:val="20"/>
          <w:szCs w:val="20"/>
        </w:rPr>
        <w:t>Beta-blocker therapy remains a cornerstone of heart failure (HF) management, but its role in Asian populations is shaped by unique pharmacogenomic and economic factors. Registry data show prescription rates ranging from 61% in Indonesia to 91% in Japan, with consistently favorable outcomes despite markedly lower achieved doses compared to Western cohorts. Japanese patients, for example, attain equivalent survival and functional benefits at one-third of U.S. target doses, underscoring the need for region-specific dosing strategies. Across HF phenotypes, beta-blockers reduce mortality and hospitalization with no significant differences in adverse event rates among agents, and lower discontinuation rates in Asian cohorts suggest superior tolerability. Combination therapy with SGLT2 inhibitors, such as dapagliflozin, yields additive benefits, as efficacy persists regardless of background beta-blocker use. These findings support individualized therapy in Asia, highlighting the importance of integrating pharmacogenomics, health system capacity, and comorbidities into clinical decision-making.</w:t>
      </w:r>
    </w:p>
    <w:p w14:paraId="4B94D5A5" w14:textId="24149A6C" w:rsidR="001E3E73" w:rsidRPr="000C11F9" w:rsidRDefault="0050306A" w:rsidP="000C11F9">
      <w:pPr>
        <w:pStyle w:val="NormalWeb"/>
      </w:pPr>
      <w:r w:rsidRPr="000C11F9">
        <w:rPr>
          <w:rStyle w:val="Strong"/>
        </w:rPr>
        <w:t>Keywords:</w:t>
      </w:r>
      <w:r w:rsidRPr="000C11F9">
        <w:t xml:space="preserve"> heart failure, beta-blockers, Asia, pharmacogenomics, SGLT2 inhibitors, dosing strategies</w:t>
      </w:r>
    </w:p>
    <w:p w14:paraId="3E7A9F1C" w14:textId="77777777" w:rsidR="001E3E73" w:rsidRPr="000C11F9" w:rsidRDefault="00EB72B6" w:rsidP="000C11F9">
      <w:pPr>
        <w:shd w:val="clear" w:color="auto" w:fill="FFFFFF"/>
        <w:spacing w:after="0" w:line="240" w:lineRule="auto"/>
        <w:jc w:val="both"/>
        <w:rPr>
          <w:rFonts w:ascii="Times New Roman" w:eastAsia="Times New Roman" w:hAnsi="Times New Roman" w:cs="Times New Roman"/>
          <w:b/>
        </w:rPr>
      </w:pPr>
      <w:r w:rsidRPr="000C11F9">
        <w:rPr>
          <w:rFonts w:ascii="Times New Roman" w:eastAsia="Times New Roman" w:hAnsi="Times New Roman" w:cs="Times New Roman"/>
          <w:b/>
        </w:rPr>
        <w:t>Introduction</w:t>
      </w:r>
    </w:p>
    <w:p w14:paraId="26FF0274" w14:textId="66471C70" w:rsidR="001E3E73" w:rsidRPr="000C11F9" w:rsidRDefault="138ADB4B" w:rsidP="000C11F9">
      <w:pPr>
        <w:shd w:val="clear" w:color="auto" w:fill="FFFFFF" w:themeFill="background1"/>
        <w:spacing w:after="0" w:line="240" w:lineRule="auto"/>
        <w:jc w:val="both"/>
        <w:rPr>
          <w:rFonts w:ascii="Times New Roman" w:eastAsia="Times New Roman" w:hAnsi="Times New Roman" w:cs="Times New Roman"/>
        </w:rPr>
      </w:pPr>
      <w:r w:rsidRPr="000C11F9">
        <w:rPr>
          <w:rFonts w:ascii="Times New Roman" w:eastAsia="Times New Roman" w:hAnsi="Times New Roman" w:cs="Times New Roman"/>
          <w:lang w:val="en-US"/>
        </w:rPr>
        <w:t>Heart failure (HF) represents a growing public health burden across Asia, with prevalence estimates exceeding 60 million globally and steadily rising in low- and middle-income countries. Mortality and hospitalization rates remain unacceptably high, underscoring the importance of optimizing guideline-directed medical therapy (GDMT). Among pharmacologic options, β-blockers have consistently demonstrated mortality and morbidity benefits in patients with reduced ejection fraction (</w:t>
      </w:r>
      <w:proofErr w:type="spellStart"/>
      <w:r w:rsidRPr="000C11F9">
        <w:rPr>
          <w:rFonts w:ascii="Times New Roman" w:eastAsia="Times New Roman" w:hAnsi="Times New Roman" w:cs="Times New Roman"/>
          <w:lang w:val="en-US"/>
        </w:rPr>
        <w:t>HFrEF</w:t>
      </w:r>
      <w:proofErr w:type="spellEnd"/>
      <w:r w:rsidRPr="000C11F9">
        <w:rPr>
          <w:rFonts w:ascii="Times New Roman" w:eastAsia="Times New Roman" w:hAnsi="Times New Roman" w:cs="Times New Roman"/>
          <w:lang w:val="en-US"/>
        </w:rPr>
        <w:t>), making them a cornerstone of contemporary management. In contrast, their role in patients with mid-range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and preserved ejection fraction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is less clearly established and use in these phenotypes often reflects comorbidity-driven rather than HF-specific indications. Despite robust evidence for β-blockers in </w:t>
      </w:r>
      <w:proofErr w:type="spellStart"/>
      <w:r w:rsidRPr="000C11F9">
        <w:rPr>
          <w:rFonts w:ascii="Times New Roman" w:eastAsia="Times New Roman" w:hAnsi="Times New Roman" w:cs="Times New Roman"/>
          <w:lang w:val="en-US"/>
        </w:rPr>
        <w:t>HFrEF</w:t>
      </w:r>
      <w:proofErr w:type="spellEnd"/>
      <w:r w:rsidRPr="000C11F9">
        <w:rPr>
          <w:rFonts w:ascii="Times New Roman" w:eastAsia="Times New Roman" w:hAnsi="Times New Roman" w:cs="Times New Roman"/>
          <w:lang w:val="en-US"/>
        </w:rPr>
        <w:t xml:space="preserve">, clinical practice across Asia is heterogeneous. Registry data show prescription rates ranging from 61% in Indonesia to 91% in Japan, with intermediate adoption in countries such as China (84%) and Southeast Asian nations (~70%). Economic stratification exerts a profound influence: higher-income countries such as Japan, Korea, and Singapore report greater uptake of dual therapy with </w:t>
      </w:r>
      <w:proofErr w:type="spellStart"/>
      <w:r w:rsidRPr="000C11F9">
        <w:rPr>
          <w:rFonts w:ascii="Times New Roman" w:eastAsia="Times New Roman" w:hAnsi="Times New Roman" w:cs="Times New Roman"/>
          <w:lang w:val="en-US"/>
        </w:rPr>
        <w:t>ACEi</w:t>
      </w:r>
      <w:proofErr w:type="spellEnd"/>
      <w:r w:rsidRPr="000C11F9">
        <w:rPr>
          <w:rFonts w:ascii="Times New Roman" w:eastAsia="Times New Roman" w:hAnsi="Times New Roman" w:cs="Times New Roman"/>
          <w:lang w:val="en-US"/>
        </w:rPr>
        <w:t xml:space="preserve">/ARB and β-blockers, while lower-income nations lag in both frequency and dosing intensity. These disparities highlight the need to examine prescribing patterns through the lens of regional health systems, affordability, and drug availability. Knowledge gaps remain regarding both dose selection and clinical outcomes. Japanese cohorts achieve equivalent improvements in left ventricular function and survival despite receiving only one-third of U.S. target doses, raising questions about pharmacogenomic influences such as CYP2D6 metabolism and β-adrenergic receptor polymorphisms. Whether such differences extend to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xml:space="preserve"> and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populations—where β-blocker use is already variable—remains unresolved. Furthermore, concerns about tolerability in underweight or elderly Asian patients, particularly with respect to hypotension and bradycardia, emphasize the importance of population-specific titration strategies. This study therefore evaluates β-blocker use in Asian HF populations, with attention to dosing heterogeneity, outcomes, and interaction with newer therapies such as SGLT2 inhibitors. By contrasting national patterns, highlighting pharmacogenomic </w:t>
      </w:r>
      <w:r w:rsidRPr="000C11F9">
        <w:rPr>
          <w:rFonts w:ascii="Times New Roman" w:eastAsia="Times New Roman" w:hAnsi="Times New Roman" w:cs="Times New Roman"/>
          <w:lang w:val="en-US"/>
        </w:rPr>
        <w:lastRenderedPageBreak/>
        <w:t>considerations, and exploring phenotype-specific responses, we aim to clarify the rationale for individualized therapy and identify areas where Asian practice diverges from Western standards.</w:t>
      </w:r>
    </w:p>
    <w:p w14:paraId="3DEEC669" w14:textId="3528FB2E" w:rsidR="001E3E73" w:rsidRPr="000C11F9" w:rsidRDefault="001E3E73" w:rsidP="000C11F9">
      <w:pPr>
        <w:shd w:val="clear" w:color="auto" w:fill="FFFFFF" w:themeFill="background1"/>
        <w:spacing w:after="0" w:line="240" w:lineRule="auto"/>
        <w:jc w:val="both"/>
        <w:rPr>
          <w:rFonts w:ascii="Times New Roman" w:eastAsia="Times New Roman" w:hAnsi="Times New Roman" w:cs="Times New Roman"/>
        </w:rPr>
      </w:pPr>
    </w:p>
    <w:p w14:paraId="3656B9AB" w14:textId="77777777" w:rsidR="001E3E73" w:rsidRPr="000C11F9" w:rsidRDefault="001E3E73"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p>
    <w:p w14:paraId="1BF5BD90" w14:textId="77777777" w:rsidR="001E3E73" w:rsidRPr="000C11F9" w:rsidRDefault="00EB72B6" w:rsidP="000C11F9">
      <w:pPr>
        <w:pStyle w:val="Heading2"/>
        <w:shd w:val="clear" w:color="auto" w:fill="FFFFFF" w:themeFill="background1"/>
        <w:spacing w:before="0" w:after="0" w:line="240" w:lineRule="auto"/>
        <w:jc w:val="both"/>
        <w:rPr>
          <w:rFonts w:ascii="Times New Roman" w:eastAsia="Times New Roman" w:hAnsi="Times New Roman" w:cs="Times New Roman"/>
          <w:b/>
          <w:bCs/>
          <w:color w:val="000000"/>
          <w:sz w:val="24"/>
          <w:szCs w:val="24"/>
          <w:lang w:val="en-US"/>
        </w:rPr>
      </w:pPr>
      <w:r w:rsidRPr="000C11F9">
        <w:rPr>
          <w:rFonts w:ascii="Times New Roman" w:eastAsia="Times New Roman" w:hAnsi="Times New Roman" w:cs="Times New Roman"/>
          <w:b/>
          <w:bCs/>
          <w:color w:val="000000" w:themeColor="text1"/>
          <w:sz w:val="24"/>
          <w:szCs w:val="24"/>
          <w:lang w:val="en-US"/>
        </w:rPr>
        <w:t xml:space="preserve">Prescriptive Patterns Among Asian Populations with </w:t>
      </w:r>
      <w:proofErr w:type="spellStart"/>
      <w:r w:rsidRPr="000C11F9">
        <w:rPr>
          <w:rFonts w:ascii="Times New Roman" w:eastAsia="Times New Roman" w:hAnsi="Times New Roman" w:cs="Times New Roman"/>
          <w:b/>
          <w:bCs/>
          <w:color w:val="000000" w:themeColor="text1"/>
          <w:sz w:val="24"/>
          <w:szCs w:val="24"/>
          <w:lang w:val="en-US"/>
        </w:rPr>
        <w:t>HFmrEF</w:t>
      </w:r>
      <w:proofErr w:type="spellEnd"/>
      <w:r w:rsidRPr="000C11F9">
        <w:rPr>
          <w:rFonts w:ascii="Times New Roman" w:eastAsia="Times New Roman" w:hAnsi="Times New Roman" w:cs="Times New Roman"/>
          <w:b/>
          <w:bCs/>
          <w:color w:val="000000" w:themeColor="text1"/>
          <w:sz w:val="24"/>
          <w:szCs w:val="24"/>
          <w:lang w:val="en-US"/>
        </w:rPr>
        <w:t xml:space="preserve"> and </w:t>
      </w:r>
      <w:proofErr w:type="spellStart"/>
      <w:r w:rsidRPr="000C11F9">
        <w:rPr>
          <w:rFonts w:ascii="Times New Roman" w:eastAsia="Times New Roman" w:hAnsi="Times New Roman" w:cs="Times New Roman"/>
          <w:b/>
          <w:bCs/>
          <w:color w:val="000000" w:themeColor="text1"/>
          <w:sz w:val="24"/>
          <w:szCs w:val="24"/>
          <w:lang w:val="en-US"/>
        </w:rPr>
        <w:t>HFpEF</w:t>
      </w:r>
      <w:proofErr w:type="spellEnd"/>
    </w:p>
    <w:p w14:paraId="16D126D3"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Prescriptive practices for beta-blocker therapy across Asian territories exhibit marked heterogeneity, with substantive disparities in both adoption frequencies and dosing methodologies relative to Western therapeutic frameworks. Such regional variation necessitates systematic investigation to optimize treatment paradigms for heart failure patients presenting with mid-range ejection fraction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and preserved ejection fraction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phenotypes. The ASIAN-HF registry data reveals pronounced geographic disparities in beta-blocker utilization throughout the region. Indonesia demonstrates the most conservative adoption patterns at 61% [</w:t>
      </w:r>
      <w:hyperlink r:id="rId8">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 whereas Japan exhibits remarkably elevated usage frequencies approaching 91% [</w:t>
      </w:r>
      <w:hyperlink r:id="rId9">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 xml:space="preserve">. Intermediate adoption patterns emerge across other territories—China reports 84.2% utilization among hospitalized </w:t>
      </w:r>
      <w:proofErr w:type="spellStart"/>
      <w:r w:rsidRPr="000C11F9">
        <w:rPr>
          <w:rFonts w:ascii="Times New Roman" w:eastAsia="Times New Roman" w:hAnsi="Times New Roman" w:cs="Times New Roman"/>
          <w:lang w:val="en-US"/>
        </w:rPr>
        <w:t>HFrEF</w:t>
      </w:r>
      <w:proofErr w:type="spellEnd"/>
      <w:r w:rsidRPr="000C11F9">
        <w:rPr>
          <w:rFonts w:ascii="Times New Roman" w:eastAsia="Times New Roman" w:hAnsi="Times New Roman" w:cs="Times New Roman"/>
          <w:lang w:val="en-US"/>
        </w:rPr>
        <w:t xml:space="preserve"> patients [</w:t>
      </w:r>
      <w:hyperlink r:id="rId10">
        <w:r w:rsidRPr="000C11F9">
          <w:rPr>
            <w:rFonts w:ascii="Times New Roman" w:eastAsia="Times New Roman" w:hAnsi="Times New Roman" w:cs="Times New Roman"/>
            <w:color w:val="000000" w:themeColor="text1"/>
            <w:lang w:val="en-US"/>
          </w:rPr>
          <w:t>5]</w:t>
        </w:r>
      </w:hyperlink>
      <w:r w:rsidRPr="000C11F9">
        <w:rPr>
          <w:rFonts w:ascii="Times New Roman" w:eastAsia="Times New Roman" w:hAnsi="Times New Roman" w:cs="Times New Roman"/>
          <w:lang w:val="en-US"/>
        </w:rPr>
        <w:t>, Southeast Asian nations demonstrate 70.2% overall usage [</w:t>
      </w:r>
      <w:hyperlink r:id="rId11">
        <w:r w:rsidRPr="000C11F9">
          <w:rPr>
            <w:rFonts w:ascii="Times New Roman" w:eastAsia="Times New Roman" w:hAnsi="Times New Roman" w:cs="Times New Roman"/>
            <w:color w:val="000000" w:themeColor="text1"/>
            <w:lang w:val="en-US"/>
          </w:rPr>
          <w:t>6]</w:t>
        </w:r>
      </w:hyperlink>
      <w:r w:rsidRPr="000C11F9">
        <w:rPr>
          <w:rFonts w:ascii="Times New Roman" w:eastAsia="Times New Roman" w:hAnsi="Times New Roman" w:cs="Times New Roman"/>
          <w:lang w:val="en-US"/>
        </w:rPr>
        <w:t>, and South Korea maintains prescription frequencies exceeding 65% [</w:t>
      </w:r>
      <w:hyperlink r:id="rId12">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w:t>
      </w:r>
    </w:p>
    <w:p w14:paraId="7504985E"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Economic stratification exerts considerable influence upon prescriptive behaviors. High-income territories including Singapore (71%), Hong Kong (70%), Korea (65%), and Japan (63%) demonstrate enhanced propensity for dual first-line therapeutic approaches combining ACE inhibitors or ARBs with beta-blockers compared to lower-income nations [</w:t>
      </w:r>
      <w:hyperlink r:id="rId13">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 This economic stratification engenders treatment disparities with potential prognostic implications.</w:t>
      </w:r>
    </w:p>
    <w:p w14:paraId="6F0517F7"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 xml:space="preserve">Regional heterogeneity extends beyond elementary prescription frequencies. Among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populations, where evidentiary support for beta-blocker efficacy remains less established, prescription rates nonetheless achieve 78.9% across Southeast Asian countries [6]. The DELIVER trial cohort indicates approximately 80% of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xml:space="preserve"> and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patients receive beta-blockers [</w:t>
      </w:r>
      <w:hyperlink r:id="rId14">
        <w:r w:rsidRPr="000C11F9">
          <w:rPr>
            <w:rFonts w:ascii="Times New Roman" w:eastAsia="Times New Roman" w:hAnsi="Times New Roman" w:cs="Times New Roman"/>
            <w:color w:val="000000" w:themeColor="text1"/>
            <w:lang w:val="en-US"/>
          </w:rPr>
          <w:t>3]</w:t>
        </w:r>
      </w:hyperlink>
      <w:r w:rsidRPr="000C11F9">
        <w:rPr>
          <w:rFonts w:ascii="Times New Roman" w:eastAsia="Times New Roman" w:hAnsi="Times New Roman" w:cs="Times New Roman"/>
          <w:lang w:val="en-US"/>
        </w:rPr>
        <w:t xml:space="preserve">, predominantly for comorbid conditions rather than heart failure management </w:t>
      </w:r>
      <w:r w:rsidRPr="000C11F9">
        <w:rPr>
          <w:rFonts w:ascii="Times New Roman" w:eastAsia="Times New Roman" w:hAnsi="Times New Roman" w:cs="Times New Roman"/>
          <w:i/>
          <w:iCs/>
          <w:lang w:val="en-US"/>
        </w:rPr>
        <w:t>per se</w:t>
      </w:r>
      <w:r w:rsidRPr="000C11F9">
        <w:rPr>
          <w:rFonts w:ascii="Times New Roman" w:eastAsia="Times New Roman" w:hAnsi="Times New Roman" w:cs="Times New Roman"/>
          <w:lang w:val="en-US"/>
        </w:rPr>
        <w:t>.</w:t>
      </w:r>
    </w:p>
    <w:p w14:paraId="45FB0818"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4CEBBCA3" w14:textId="77777777" w:rsidR="001E3E73" w:rsidRPr="000C11F9" w:rsidRDefault="00EB72B6" w:rsidP="000C11F9">
      <w:pPr>
        <w:pStyle w:val="Heading3"/>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Carvedilol-Equivalent Dosing Strategies Among Asian Cohorts</w:t>
      </w:r>
    </w:p>
    <w:p w14:paraId="1AEE0A1E"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Carvedilol (37%), bisoprolol (30%), and metoprolol (11%) comprise the most frequently prescribed beta-blockers across Asian territories [</w:t>
      </w:r>
      <w:hyperlink r:id="rId15">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 Administered dosages consistently fall below guideline recommendations, however. Median prescribed dosages across Asian cohorts achieve merely 25% of recommended targets, with 65% of patients receiving less than half the guideline-recommended dosage [</w:t>
      </w:r>
      <w:hyperlink r:id="rId16">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 This pattern of reduced dosing may represent an appropriate therapeutic strategy for Asian populations. Japanese patients demonstrate equivalent clinical effectiveness compared to American counterparts despite receiving lower carvedilol dosages [</w:t>
      </w:r>
      <w:hyperlink r:id="rId17">
        <w:r w:rsidRPr="000C11F9">
          <w:rPr>
            <w:rFonts w:ascii="Times New Roman" w:eastAsia="Times New Roman" w:hAnsi="Times New Roman" w:cs="Times New Roman"/>
            <w:color w:val="000000" w:themeColor="text1"/>
            <w:lang w:val="en-US"/>
          </w:rPr>
          <w:t>7]</w:t>
        </w:r>
      </w:hyperlink>
      <w:r w:rsidRPr="000C11F9">
        <w:rPr>
          <w:rFonts w:ascii="Times New Roman" w:eastAsia="Times New Roman" w:hAnsi="Times New Roman" w:cs="Times New Roman"/>
          <w:lang w:val="en-US"/>
        </w:rPr>
        <w:t>. Initial carvedilol dosing in Japanese patients averages 4.3 mg daily compared to 14.5-19.1 mg daily among American patients, while one-year dosages average 11.2 mg daily versus 30.9-34.5 mg daily [</w:t>
      </w:r>
      <w:hyperlink r:id="rId18">
        <w:r w:rsidRPr="000C11F9">
          <w:rPr>
            <w:rFonts w:ascii="Times New Roman" w:eastAsia="Times New Roman" w:hAnsi="Times New Roman" w:cs="Times New Roman"/>
            <w:color w:val="000000" w:themeColor="text1"/>
            <w:lang w:val="en-US"/>
          </w:rPr>
          <w:t>7]</w:t>
        </w:r>
      </w:hyperlink>
      <w:r w:rsidRPr="000C11F9">
        <w:rPr>
          <w:rFonts w:ascii="Times New Roman" w:eastAsia="Times New Roman" w:hAnsi="Times New Roman" w:cs="Times New Roman"/>
          <w:lang w:val="en-US"/>
        </w:rPr>
        <w:t>. Pharmacogenetic considerations have influenced regional guideline development. Japanese national guidelines recommend lower target dosages (20 mg daily) compared to American guidelines (50 mg daily) [</w:t>
      </w:r>
      <w:hyperlink r:id="rId19">
        <w:r w:rsidRPr="000C11F9">
          <w:rPr>
            <w:rFonts w:ascii="Times New Roman" w:eastAsia="Times New Roman" w:hAnsi="Times New Roman" w:cs="Times New Roman"/>
            <w:color w:val="000000" w:themeColor="text1"/>
            <w:lang w:val="en-US"/>
          </w:rPr>
          <w:t>8]</w:t>
        </w:r>
      </w:hyperlink>
      <w:r w:rsidRPr="000C11F9">
        <w:rPr>
          <w:rFonts w:ascii="Times New Roman" w:eastAsia="Times New Roman" w:hAnsi="Times New Roman" w:cs="Times New Roman"/>
          <w:lang w:val="en-US"/>
        </w:rPr>
        <w:t>. Despite these reduced dosages, Japanese patients demonstrate comparable improvements in left ventricular ejection fraction and heart rate reduction [</w:t>
      </w:r>
      <w:hyperlink r:id="rId20">
        <w:r w:rsidRPr="000C11F9">
          <w:rPr>
            <w:rFonts w:ascii="Times New Roman" w:eastAsia="Times New Roman" w:hAnsi="Times New Roman" w:cs="Times New Roman"/>
            <w:color w:val="000000" w:themeColor="text1"/>
            <w:lang w:val="en-US"/>
          </w:rPr>
          <w:t>7]</w:t>
        </w:r>
      </w:hyperlink>
      <w:r w:rsidRPr="000C11F9">
        <w:rPr>
          <w:rFonts w:ascii="Times New Roman" w:eastAsia="Times New Roman" w:hAnsi="Times New Roman" w:cs="Times New Roman"/>
          <w:lang w:val="en-US"/>
        </w:rPr>
        <w:t>. Asian patients appear to achieve clinical benefits at lower dosages while potentially minimizing adverse effects. Regional dosing heterogeneity extends beyond initial recommendations. Malaysia and Thailand administer the highest beta-blocker dosages throughout Asia, whereas Japan, despite elevated uptake (91%), maintains the lowest dosages with 41% of patients receiving less than 25% of guideline-recommended quantities [</w:t>
      </w:r>
      <w:hyperlink r:id="rId21">
        <w:r w:rsidRPr="000C11F9">
          <w:rPr>
            <w:rFonts w:ascii="Times New Roman" w:eastAsia="Times New Roman" w:hAnsi="Times New Roman" w:cs="Times New Roman"/>
            <w:color w:val="000000" w:themeColor="text1"/>
            <w:lang w:val="en-US"/>
          </w:rPr>
          <w:t>4]</w:t>
        </w:r>
      </w:hyperlink>
      <w:r w:rsidRPr="000C11F9">
        <w:rPr>
          <w:rFonts w:ascii="Times New Roman" w:eastAsia="Times New Roman" w:hAnsi="Times New Roman" w:cs="Times New Roman"/>
          <w:lang w:val="en-US"/>
        </w:rPr>
        <w:t>.</w:t>
      </w:r>
    </w:p>
    <w:p w14:paraId="049F31CB"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78FA92EA" w14:textId="77777777" w:rsidR="001E3E73" w:rsidRPr="000C11F9" w:rsidRDefault="00EB72B6" w:rsidP="000C11F9">
      <w:pPr>
        <w:pStyle w:val="Heading3"/>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Alternative Therapeutic Indications: Hypertension, Coronary Disease, and Atrial Fibrillation</w:t>
      </w:r>
    </w:p>
    <w:p w14:paraId="4EE15B8D"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 xml:space="preserve">Beta-blockers serve multiple therapeutic functions beyond heart failure management among Asian populations. ESC guidelines indicate 80% of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patients receive beta-blockers for indications other than frank heart failure [</w:t>
      </w:r>
      <w:hyperlink r:id="rId22">
        <w:r w:rsidRPr="000C11F9">
          <w:rPr>
            <w:rFonts w:ascii="Times New Roman" w:eastAsia="Times New Roman" w:hAnsi="Times New Roman" w:cs="Times New Roman"/>
            <w:color w:val="000000" w:themeColor="text1"/>
            <w:lang w:val="en-US"/>
          </w:rPr>
          <w:t>9]</w:t>
        </w:r>
      </w:hyperlink>
      <w:r w:rsidRPr="000C11F9">
        <w:rPr>
          <w:rFonts w:ascii="Times New Roman" w:eastAsia="Times New Roman" w:hAnsi="Times New Roman" w:cs="Times New Roman"/>
          <w:lang w:val="en-US"/>
        </w:rPr>
        <w:t>. Alternative therapeutic applications encompass:</w:t>
      </w:r>
    </w:p>
    <w:p w14:paraId="4F296A01" w14:textId="77777777" w:rsidR="001E3E73" w:rsidRPr="000C11F9" w:rsidRDefault="00EB72B6" w:rsidP="000C11F9">
      <w:pPr>
        <w:numPr>
          <w:ilvl w:val="0"/>
          <w:numId w:val="4"/>
        </w:numPr>
        <w:pBdr>
          <w:top w:val="nil"/>
          <w:left w:val="nil"/>
          <w:bottom w:val="nil"/>
          <w:right w:val="nil"/>
          <w:between w:val="nil"/>
        </w:pBdr>
        <w:shd w:val="clear" w:color="auto" w:fill="FFFFFF"/>
        <w:spacing w:before="240" w:after="0" w:line="240" w:lineRule="auto"/>
        <w:ind w:left="300"/>
        <w:jc w:val="both"/>
        <w:rPr>
          <w:rFonts w:ascii="Times New Roman" w:eastAsia="Times New Roman" w:hAnsi="Times New Roman" w:cs="Times New Roman"/>
          <w:color w:val="000000"/>
        </w:rPr>
      </w:pPr>
      <w:r w:rsidRPr="000C11F9">
        <w:rPr>
          <w:rFonts w:ascii="Times New Roman" w:eastAsia="Times New Roman" w:hAnsi="Times New Roman" w:cs="Times New Roman"/>
          <w:b/>
          <w:color w:val="000000"/>
        </w:rPr>
        <w:t>Coronary Artery Disease</w:t>
      </w:r>
      <w:r w:rsidRPr="000C11F9">
        <w:rPr>
          <w:rFonts w:ascii="Times New Roman" w:eastAsia="Times New Roman" w:hAnsi="Times New Roman" w:cs="Times New Roman"/>
          <w:color w:val="000000"/>
        </w:rPr>
        <w:t>: Beta-1 selective agents (atenolol, metoprolol, bisoprolol) reduce heart rate and blood pressure, diminishing myocardial oxygen demand and attenuating future myocardial infarction risk [</w:t>
      </w:r>
      <w:hyperlink r:id="rId23">
        <w:r w:rsidRPr="000C11F9">
          <w:rPr>
            <w:rFonts w:ascii="Times New Roman" w:eastAsia="Times New Roman" w:hAnsi="Times New Roman" w:cs="Times New Roman"/>
            <w:color w:val="000000"/>
          </w:rPr>
          <w:t>10]</w:t>
        </w:r>
      </w:hyperlink>
      <w:r w:rsidRPr="000C11F9">
        <w:rPr>
          <w:rFonts w:ascii="Times New Roman" w:eastAsia="Times New Roman" w:hAnsi="Times New Roman" w:cs="Times New Roman"/>
          <w:color w:val="000000"/>
        </w:rPr>
        <w:t>.</w:t>
      </w:r>
    </w:p>
    <w:p w14:paraId="4D25EAAC" w14:textId="77777777" w:rsidR="001E3E73" w:rsidRPr="000C11F9" w:rsidRDefault="00EB72B6" w:rsidP="000C11F9">
      <w:pPr>
        <w:numPr>
          <w:ilvl w:val="0"/>
          <w:numId w:val="4"/>
        </w:numPr>
        <w:pBdr>
          <w:top w:val="nil"/>
          <w:left w:val="nil"/>
          <w:bottom w:val="nil"/>
          <w:right w:val="nil"/>
          <w:between w:val="nil"/>
        </w:pBdr>
        <w:shd w:val="clear" w:color="auto" w:fill="FFFFFF" w:themeFill="background1"/>
        <w:spacing w:after="0" w:line="240" w:lineRule="auto"/>
        <w:ind w:left="300"/>
        <w:jc w:val="both"/>
        <w:rPr>
          <w:rFonts w:ascii="Times New Roman" w:eastAsia="Times New Roman" w:hAnsi="Times New Roman" w:cs="Times New Roman"/>
          <w:color w:val="000000"/>
          <w:lang w:val="en-US"/>
        </w:rPr>
      </w:pPr>
      <w:r w:rsidRPr="000C11F9">
        <w:rPr>
          <w:rFonts w:ascii="Times New Roman" w:eastAsia="Times New Roman" w:hAnsi="Times New Roman" w:cs="Times New Roman"/>
          <w:b/>
          <w:bCs/>
          <w:color w:val="000000" w:themeColor="text1"/>
          <w:lang w:val="en-US"/>
        </w:rPr>
        <w:t>Hypertensive Management</w:t>
      </w:r>
      <w:r w:rsidRPr="000C11F9">
        <w:rPr>
          <w:rFonts w:ascii="Times New Roman" w:eastAsia="Times New Roman" w:hAnsi="Times New Roman" w:cs="Times New Roman"/>
          <w:color w:val="000000" w:themeColor="text1"/>
          <w:lang w:val="en-US"/>
        </w:rPr>
        <w:t>: Beta-blockers maintain relevance as initial therapeutic options for hypertensive patients with cardiovascular comorbidities [</w:t>
      </w:r>
      <w:hyperlink r:id="rId24">
        <w:r w:rsidRPr="000C11F9">
          <w:rPr>
            <w:rFonts w:ascii="Times New Roman" w:eastAsia="Times New Roman" w:hAnsi="Times New Roman" w:cs="Times New Roman"/>
            <w:color w:val="000000" w:themeColor="text1"/>
            <w:lang w:val="en-US"/>
          </w:rPr>
          <w:t>10]</w:t>
        </w:r>
      </w:hyperlink>
      <w:r w:rsidRPr="000C11F9">
        <w:rPr>
          <w:rFonts w:ascii="Times New Roman" w:eastAsia="Times New Roman" w:hAnsi="Times New Roman" w:cs="Times New Roman"/>
          <w:color w:val="000000" w:themeColor="text1"/>
          <w:lang w:val="en-US"/>
        </w:rPr>
        <w:t>, although their role as first-line therapy has diminished within contemporary guidelines.</w:t>
      </w:r>
    </w:p>
    <w:p w14:paraId="74FB8925" w14:textId="77777777" w:rsidR="001E3E73" w:rsidRPr="000C11F9" w:rsidRDefault="00EB72B6" w:rsidP="000C11F9">
      <w:pPr>
        <w:numPr>
          <w:ilvl w:val="0"/>
          <w:numId w:val="4"/>
        </w:numPr>
        <w:pBdr>
          <w:top w:val="nil"/>
          <w:left w:val="nil"/>
          <w:bottom w:val="nil"/>
          <w:right w:val="nil"/>
          <w:between w:val="nil"/>
        </w:pBdr>
        <w:shd w:val="clear" w:color="auto" w:fill="FFFFFF" w:themeFill="background1"/>
        <w:spacing w:after="240" w:line="240" w:lineRule="auto"/>
        <w:ind w:left="300"/>
        <w:jc w:val="both"/>
        <w:rPr>
          <w:rFonts w:ascii="Times New Roman" w:eastAsia="Times New Roman" w:hAnsi="Times New Roman" w:cs="Times New Roman"/>
          <w:color w:val="000000"/>
          <w:lang w:val="en-US"/>
        </w:rPr>
      </w:pPr>
      <w:r w:rsidRPr="000C11F9">
        <w:rPr>
          <w:rFonts w:ascii="Times New Roman" w:eastAsia="Times New Roman" w:hAnsi="Times New Roman" w:cs="Times New Roman"/>
          <w:b/>
          <w:bCs/>
          <w:color w:val="000000" w:themeColor="text1"/>
          <w:lang w:val="en-US"/>
        </w:rPr>
        <w:t>Atrial Fibrillation</w:t>
      </w:r>
      <w:r w:rsidRPr="000C11F9">
        <w:rPr>
          <w:rFonts w:ascii="Times New Roman" w:eastAsia="Times New Roman" w:hAnsi="Times New Roman" w:cs="Times New Roman"/>
          <w:color w:val="000000" w:themeColor="text1"/>
          <w:lang w:val="en-US"/>
        </w:rPr>
        <w:t>: Beta-blockers facilitate heart rate regulation, reduce cardiac strain, and may contribute to thromboembolic prevention and stroke risk reduction [</w:t>
      </w:r>
      <w:hyperlink r:id="rId25">
        <w:r w:rsidRPr="000C11F9">
          <w:rPr>
            <w:rFonts w:ascii="Times New Roman" w:eastAsia="Times New Roman" w:hAnsi="Times New Roman" w:cs="Times New Roman"/>
            <w:color w:val="000000" w:themeColor="text1"/>
            <w:lang w:val="en-US"/>
          </w:rPr>
          <w:t>10]</w:t>
        </w:r>
      </w:hyperlink>
      <w:r w:rsidRPr="000C11F9">
        <w:rPr>
          <w:rFonts w:ascii="Times New Roman" w:eastAsia="Times New Roman" w:hAnsi="Times New Roman" w:cs="Times New Roman"/>
          <w:color w:val="000000" w:themeColor="text1"/>
          <w:lang w:val="en-US"/>
        </w:rPr>
        <w:t>.</w:t>
      </w:r>
    </w:p>
    <w:p w14:paraId="25EA9846"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 xml:space="preserve">Given these multiple indications, beta-blocker utilization frequently persists regardless of heart failure classification. This practice aligns with emerging evidence suggesting potential benefits among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patients. One nationwide investigation identified statistically significant survival improvement following three years of beta-blocker therapy among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patients [</w:t>
      </w:r>
      <w:hyperlink r:id="rId26">
        <w:r w:rsidRPr="000C11F9">
          <w:rPr>
            <w:rFonts w:ascii="Times New Roman" w:eastAsia="Times New Roman" w:hAnsi="Times New Roman" w:cs="Times New Roman"/>
            <w:color w:val="000000" w:themeColor="text1"/>
            <w:lang w:val="en-US"/>
          </w:rPr>
          <w:t>9]</w:t>
        </w:r>
      </w:hyperlink>
      <w:r w:rsidRPr="000C11F9">
        <w:rPr>
          <w:rFonts w:ascii="Times New Roman" w:eastAsia="Times New Roman" w:hAnsi="Times New Roman" w:cs="Times New Roman"/>
          <w:lang w:val="en-US"/>
        </w:rPr>
        <w:t>, supporting continued utilization as guideline recommendations continue to evolve.</w:t>
      </w:r>
    </w:p>
    <w:p w14:paraId="53128261" w14:textId="77777777" w:rsidR="001E3E73" w:rsidRPr="000C11F9" w:rsidRDefault="001E3E73"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p>
    <w:p w14:paraId="7D9430C4" w14:textId="77777777" w:rsidR="001E3E73" w:rsidRPr="000C11F9" w:rsidRDefault="00EB72B6"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Mortality Reduction and Cardiovascular Event Prevention</w:t>
      </w:r>
    </w:p>
    <w:p w14:paraId="01D6BC95" w14:textId="393438CF" w:rsidR="001E3E73" w:rsidRPr="000C11F9" w:rsidRDefault="00EB72B6" w:rsidP="000C11F9">
      <w:pPr>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Contemporary investigations examining mortality outcomes provide evidence supporting beta-blocker utilization among Asian heart failure populations. Clinical trials demonstrate consistent benefits across multiple cardiovascular endpoints, with profound implications for therapeutic strategies within these populations. Beta-blocker therapy produces marked reductions in adverse outcomes among Asian heart failure patients across multiple investigational frameworks. The primary composite of worsening heart failure events or cardiovascular death correlates inversely with beta-blocker utilization, yielding a hazard ratio of 0.79 (95% CI: 0.68-0.92) [</w:t>
      </w:r>
      <w:hyperlink r:id="rId27">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 After adjustment for baseline demographics and established prognostic variables, this protective effect persists with a hazard ratio of 0.70 (95% CI: 0.60-0.83) [</w:t>
      </w:r>
      <w:hyperlink r:id="rId28">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 Peritoneal dialysis patients represent a particularly compelling cohort for beta-blocker investigation. Among this population, beta-blocker prescription associates with a 43% reduction in adjusted hazard ratio for heart failure death (95% CI: 0.36–0.89; p = 0.013) [</w:t>
      </w:r>
      <w:hyperlink r:id="rId29">
        <w:r w:rsidRPr="000C11F9">
          <w:rPr>
            <w:rFonts w:ascii="Times New Roman" w:eastAsia="Times New Roman" w:hAnsi="Times New Roman" w:cs="Times New Roman"/>
            <w:color w:val="000000" w:themeColor="text1"/>
            <w:lang w:val="en-US"/>
          </w:rPr>
          <w:t>11]</w:t>
        </w:r>
      </w:hyperlink>
      <w:r w:rsidRPr="000C11F9">
        <w:rPr>
          <w:rFonts w:ascii="Times New Roman" w:eastAsia="Times New Roman" w:hAnsi="Times New Roman" w:cs="Times New Roman"/>
          <w:lang w:val="en-US"/>
        </w:rPr>
        <w:t>. Early beta-blocker administration yields even more dramatic results, reducing in-hospital composite endpoints by 58% (RR: 0.42; 95% CI: 0.30–0.58; p &lt; 0.001) and in-hospital all-cause mortality by 57% (RR: 0.43; 95% CI: 0.31–0.61; p &lt; 0.001) [</w:t>
      </w:r>
      <w:hyperlink r:id="rId30">
        <w:r w:rsidRPr="000C11F9">
          <w:rPr>
            <w:rFonts w:ascii="Times New Roman" w:eastAsia="Times New Roman" w:hAnsi="Times New Roman" w:cs="Times New Roman"/>
            <w:color w:val="000000" w:themeColor="text1"/>
            <w:lang w:val="en-US"/>
          </w:rPr>
          <w:t>12]</w:t>
        </w:r>
      </w:hyperlink>
      <w:r w:rsidRPr="000C11F9">
        <w:rPr>
          <w:rFonts w:ascii="Times New Roman" w:eastAsia="Times New Roman" w:hAnsi="Times New Roman" w:cs="Times New Roman"/>
          <w:lang w:val="en-US"/>
        </w:rPr>
        <w:t>. Non-</w:t>
      </w:r>
      <w:proofErr w:type="spellStart"/>
      <w:r w:rsidRPr="000C11F9">
        <w:rPr>
          <w:rFonts w:ascii="Times New Roman" w:eastAsia="Times New Roman" w:hAnsi="Times New Roman" w:cs="Times New Roman"/>
          <w:lang w:val="en-US"/>
        </w:rPr>
        <w:t>cardioselective</w:t>
      </w:r>
      <w:proofErr w:type="spellEnd"/>
      <w:r w:rsidRPr="000C11F9">
        <w:rPr>
          <w:rFonts w:ascii="Times New Roman" w:eastAsia="Times New Roman" w:hAnsi="Times New Roman" w:cs="Times New Roman"/>
          <w:lang w:val="en-US"/>
        </w:rPr>
        <w:t xml:space="preserve"> beta-blockers demonstrate superior mortality reduction in certain Asian cohorts, with cardiovascular mortality decreasing both in unadjusted models (HR: 0.36; 95% CI: 0.18–0.73; p = 0.004) and following statistical adjustment (HR: 0.37; 95% CI: 0.19–0.73; p = 0.005) [</w:t>
      </w:r>
      <w:hyperlink r:id="rId31">
        <w:r w:rsidRPr="000C11F9">
          <w:rPr>
            <w:rFonts w:ascii="Times New Roman" w:eastAsia="Times New Roman" w:hAnsi="Times New Roman" w:cs="Times New Roman"/>
            <w:color w:val="000000" w:themeColor="text1"/>
            <w:lang w:val="en-US"/>
          </w:rPr>
          <w:t>13]</w:t>
        </w:r>
      </w:hyperlink>
      <w:r w:rsidRPr="000C11F9">
        <w:rPr>
          <w:rFonts w:ascii="Times New Roman" w:eastAsia="Times New Roman" w:hAnsi="Times New Roman" w:cs="Times New Roman"/>
          <w:lang w:val="en-US"/>
        </w:rPr>
        <w:t>. Competing risk analytical frameworks further substantiate beta-blocker benefits among Asian populations. When incorporating competing risk events, the hazard ratio for primary composite outcomes remains 0.68 (95% CI: 0.58-0.79) [</w:t>
      </w:r>
      <w:hyperlink r:id="rId32">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 Patients receiving beta-blockers maintain a lower cumulative risk for heart failure-related mortality compared to non-users even after accounting for competing risk events (p = 0.007) [</w:t>
      </w:r>
      <w:hyperlink r:id="rId33">
        <w:r w:rsidRPr="000C11F9">
          <w:rPr>
            <w:rFonts w:ascii="Times New Roman" w:eastAsia="Times New Roman" w:hAnsi="Times New Roman" w:cs="Times New Roman"/>
            <w:color w:val="000000" w:themeColor="text1"/>
            <w:lang w:val="en-US"/>
          </w:rPr>
          <w:t>11]</w:t>
        </w:r>
      </w:hyperlink>
      <w:r w:rsidRPr="000C11F9">
        <w:rPr>
          <w:rFonts w:ascii="Times New Roman" w:eastAsia="Times New Roman" w:hAnsi="Times New Roman" w:cs="Times New Roman"/>
          <w:lang w:val="en-US"/>
        </w:rPr>
        <w:t xml:space="preserve">. Regional heterogeneity within Asia reveals stark disparities in outcomes. Southeast Asian patients experience higher risk profiles, with death or hospitalization rates reaching 25.4% (345 per 1000 person-years) compared to 4.5% (55 </w:t>
      </w:r>
      <w:r w:rsidRPr="000C11F9">
        <w:rPr>
          <w:rFonts w:ascii="Times New Roman" w:eastAsia="Times New Roman" w:hAnsi="Times New Roman" w:cs="Times New Roman"/>
          <w:lang w:val="en-US"/>
        </w:rPr>
        <w:lastRenderedPageBreak/>
        <w:t>per 1000 person-years) among South Asian populations (p &lt; 0.001) [</w:t>
      </w:r>
      <w:hyperlink r:id="rId34">
        <w:r w:rsidRPr="000C11F9">
          <w:rPr>
            <w:rFonts w:ascii="Times New Roman" w:eastAsia="Times New Roman" w:hAnsi="Times New Roman" w:cs="Times New Roman"/>
            <w:color w:val="000000" w:themeColor="text1"/>
            <w:lang w:val="en-US"/>
          </w:rPr>
          <w:t>14]</w:t>
        </w:r>
      </w:hyperlink>
      <w:r w:rsidRPr="000C11F9">
        <w:rPr>
          <w:rFonts w:ascii="Times New Roman" w:eastAsia="Times New Roman" w:hAnsi="Times New Roman" w:cs="Times New Roman"/>
          <w:lang w:val="en-US"/>
        </w:rPr>
        <w:t>. Ethnic stratification demonstrates that Malay patients face worse outcomes relative to Chinese patients (HR 2.13, 95% CI 1.34–3.37) [</w:t>
      </w:r>
      <w:hyperlink r:id="rId35">
        <w:r w:rsidRPr="000C11F9">
          <w:rPr>
            <w:rFonts w:ascii="Times New Roman" w:eastAsia="Times New Roman" w:hAnsi="Times New Roman" w:cs="Times New Roman"/>
            <w:color w:val="000000" w:themeColor="text1"/>
            <w:lang w:val="en-US"/>
          </w:rPr>
          <w:t>14]</w:t>
        </w:r>
      </w:hyperlink>
      <w:r w:rsidRPr="000C11F9">
        <w:rPr>
          <w:rFonts w:ascii="Times New Roman" w:eastAsia="Times New Roman" w:hAnsi="Times New Roman" w:cs="Times New Roman"/>
          <w:lang w:val="en-US"/>
        </w:rPr>
        <w:t>.</w:t>
      </w:r>
    </w:p>
    <w:p w14:paraId="23742848" w14:textId="77777777" w:rsidR="004E63E9" w:rsidRPr="000C11F9" w:rsidRDefault="004E63E9" w:rsidP="000C11F9">
      <w:pPr>
        <w:spacing w:after="0" w:line="240" w:lineRule="auto"/>
        <w:jc w:val="both"/>
        <w:rPr>
          <w:rFonts w:ascii="Times New Roman" w:eastAsia="Times New Roman" w:hAnsi="Times New Roman" w:cs="Times New Roman"/>
          <w:lang w:val="en-US"/>
        </w:rPr>
      </w:pPr>
    </w:p>
    <w:p w14:paraId="6115394F" w14:textId="77777777" w:rsidR="004E63E9" w:rsidRPr="000C11F9" w:rsidRDefault="004E63E9" w:rsidP="000C11F9">
      <w:pPr>
        <w:spacing w:line="240" w:lineRule="auto"/>
        <w:rPr>
          <w:rFonts w:ascii="Times New Roman" w:hAnsi="Times New Roman" w:cs="Times New Roman"/>
          <w:b/>
        </w:rPr>
      </w:pPr>
      <w:r w:rsidRPr="000C11F9">
        <w:rPr>
          <w:rFonts w:ascii="Times New Roman" w:hAnsi="Times New Roman" w:cs="Times New Roman"/>
          <w:b/>
        </w:rPr>
        <w:t>Table 1: Prescription Rates of Beta-Blocker in Asian Countries</w:t>
      </w:r>
    </w:p>
    <w:tbl>
      <w:tblPr>
        <w:tblStyle w:val="TableGrid"/>
        <w:tblW w:w="0" w:type="auto"/>
        <w:tblLook w:val="04A0" w:firstRow="1" w:lastRow="0" w:firstColumn="1" w:lastColumn="0" w:noHBand="0" w:noVBand="1"/>
      </w:tblPr>
      <w:tblGrid>
        <w:gridCol w:w="1968"/>
        <w:gridCol w:w="2376"/>
        <w:gridCol w:w="5006"/>
      </w:tblGrid>
      <w:tr w:rsidR="004E63E9" w:rsidRPr="000C11F9" w14:paraId="4F43A4F3" w14:textId="77777777" w:rsidTr="003E0E26">
        <w:tc>
          <w:tcPr>
            <w:tcW w:w="1998" w:type="dxa"/>
          </w:tcPr>
          <w:p w14:paraId="06446E62" w14:textId="77777777" w:rsidR="004E63E9" w:rsidRPr="000C11F9" w:rsidRDefault="004E63E9" w:rsidP="000C11F9">
            <w:pPr>
              <w:rPr>
                <w:rFonts w:ascii="Times New Roman" w:hAnsi="Times New Roman" w:cs="Times New Roman"/>
                <w:b/>
              </w:rPr>
            </w:pPr>
          </w:p>
          <w:p w14:paraId="0A4B618C" w14:textId="77777777" w:rsidR="004E63E9" w:rsidRPr="000C11F9" w:rsidRDefault="004E63E9" w:rsidP="000C11F9">
            <w:pPr>
              <w:rPr>
                <w:rFonts w:ascii="Times New Roman" w:hAnsi="Times New Roman" w:cs="Times New Roman"/>
                <w:b/>
              </w:rPr>
            </w:pPr>
            <w:r w:rsidRPr="000C11F9">
              <w:rPr>
                <w:rFonts w:ascii="Times New Roman" w:hAnsi="Times New Roman" w:cs="Times New Roman"/>
                <w:b/>
              </w:rPr>
              <w:t>Country</w:t>
            </w:r>
          </w:p>
        </w:tc>
        <w:tc>
          <w:tcPr>
            <w:tcW w:w="2430" w:type="dxa"/>
          </w:tcPr>
          <w:p w14:paraId="08E9F754" w14:textId="77777777" w:rsidR="004E63E9" w:rsidRPr="000C11F9" w:rsidRDefault="004E63E9" w:rsidP="000C11F9">
            <w:pPr>
              <w:rPr>
                <w:rFonts w:ascii="Times New Roman" w:hAnsi="Times New Roman" w:cs="Times New Roman"/>
                <w:b/>
              </w:rPr>
            </w:pPr>
          </w:p>
          <w:p w14:paraId="12C1FF3A" w14:textId="77777777" w:rsidR="004E63E9" w:rsidRPr="000C11F9" w:rsidRDefault="004E63E9" w:rsidP="000C11F9">
            <w:pPr>
              <w:rPr>
                <w:rFonts w:ascii="Times New Roman" w:hAnsi="Times New Roman" w:cs="Times New Roman"/>
                <w:b/>
              </w:rPr>
            </w:pPr>
            <w:r w:rsidRPr="000C11F9">
              <w:rPr>
                <w:rFonts w:ascii="Times New Roman" w:hAnsi="Times New Roman" w:cs="Times New Roman"/>
                <w:b/>
              </w:rPr>
              <w:t>Beta-Blocker</w:t>
            </w:r>
          </w:p>
        </w:tc>
        <w:tc>
          <w:tcPr>
            <w:tcW w:w="5148" w:type="dxa"/>
          </w:tcPr>
          <w:p w14:paraId="3768FFE7" w14:textId="77777777" w:rsidR="004E63E9" w:rsidRPr="000C11F9" w:rsidRDefault="004E63E9" w:rsidP="000C11F9">
            <w:pPr>
              <w:rPr>
                <w:rFonts w:ascii="Times New Roman" w:hAnsi="Times New Roman" w:cs="Times New Roman"/>
                <w:b/>
              </w:rPr>
            </w:pPr>
          </w:p>
          <w:p w14:paraId="522E24B9" w14:textId="77777777" w:rsidR="004E63E9" w:rsidRPr="000C11F9" w:rsidRDefault="004E63E9" w:rsidP="000C11F9">
            <w:pPr>
              <w:rPr>
                <w:rFonts w:ascii="Times New Roman" w:hAnsi="Times New Roman" w:cs="Times New Roman"/>
                <w:b/>
              </w:rPr>
            </w:pPr>
            <w:r w:rsidRPr="000C11F9">
              <w:rPr>
                <w:rFonts w:ascii="Times New Roman" w:hAnsi="Times New Roman" w:cs="Times New Roman"/>
                <w:b/>
              </w:rPr>
              <w:t>Rx rate (as percentage)</w:t>
            </w:r>
            <w:r w:rsidRPr="000C11F9">
              <w:rPr>
                <w:rFonts w:ascii="Times New Roman" w:hAnsi="Times New Roman" w:cs="Times New Roman"/>
                <w:b/>
              </w:rPr>
              <w:tab/>
              <w:t>Notes</w:t>
            </w:r>
          </w:p>
        </w:tc>
      </w:tr>
      <w:tr w:rsidR="004E63E9" w:rsidRPr="000C11F9" w14:paraId="5CB0D508" w14:textId="77777777" w:rsidTr="003E0E26">
        <w:tc>
          <w:tcPr>
            <w:tcW w:w="1998" w:type="dxa"/>
          </w:tcPr>
          <w:p w14:paraId="711BCCA6"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Japan</w:t>
            </w:r>
          </w:p>
        </w:tc>
        <w:tc>
          <w:tcPr>
            <w:tcW w:w="2430" w:type="dxa"/>
          </w:tcPr>
          <w:p w14:paraId="5286FC5B"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91%</w:t>
            </w:r>
            <w:r w:rsidRPr="000C11F9">
              <w:rPr>
                <w:rFonts w:ascii="Times New Roman" w:hAnsi="Times New Roman" w:cs="Times New Roman"/>
              </w:rPr>
              <w:tab/>
            </w:r>
          </w:p>
        </w:tc>
        <w:tc>
          <w:tcPr>
            <w:tcW w:w="5148" w:type="dxa"/>
          </w:tcPr>
          <w:p w14:paraId="1F8C193C" w14:textId="1DF666DA" w:rsidR="004E63E9" w:rsidRPr="000C11F9" w:rsidRDefault="004E63E9" w:rsidP="000C11F9">
            <w:pPr>
              <w:rPr>
                <w:rFonts w:ascii="Times New Roman" w:hAnsi="Times New Roman" w:cs="Times New Roman"/>
                <w:b/>
              </w:rPr>
            </w:pPr>
            <w:r w:rsidRPr="000C11F9">
              <w:rPr>
                <w:rFonts w:ascii="Times New Roman" w:hAnsi="Times New Roman" w:cs="Times New Roman"/>
              </w:rPr>
              <w:t>Beta-blockers highly adopted, particularly carvedilol.</w:t>
            </w:r>
          </w:p>
        </w:tc>
      </w:tr>
      <w:tr w:rsidR="004E63E9" w:rsidRPr="000C11F9" w14:paraId="01F2138B" w14:textId="77777777" w:rsidTr="003E0E26">
        <w:tc>
          <w:tcPr>
            <w:tcW w:w="1998" w:type="dxa"/>
          </w:tcPr>
          <w:p w14:paraId="06E983A1"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China</w:t>
            </w:r>
          </w:p>
        </w:tc>
        <w:tc>
          <w:tcPr>
            <w:tcW w:w="2430" w:type="dxa"/>
          </w:tcPr>
          <w:p w14:paraId="476B644C"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84.2%</w:t>
            </w:r>
          </w:p>
        </w:tc>
        <w:tc>
          <w:tcPr>
            <w:tcW w:w="5148" w:type="dxa"/>
          </w:tcPr>
          <w:p w14:paraId="7DF382E9"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 xml:space="preserve">Good uptake among hospitalized patients who have </w:t>
            </w:r>
            <w:proofErr w:type="spellStart"/>
            <w:r w:rsidRPr="000C11F9">
              <w:rPr>
                <w:rFonts w:ascii="Times New Roman" w:hAnsi="Times New Roman" w:cs="Times New Roman"/>
              </w:rPr>
              <w:t>HFrEF</w:t>
            </w:r>
            <w:proofErr w:type="spellEnd"/>
          </w:p>
        </w:tc>
      </w:tr>
      <w:tr w:rsidR="004E63E9" w:rsidRPr="000C11F9" w14:paraId="0BC7D4EC" w14:textId="77777777" w:rsidTr="003E0E26">
        <w:tc>
          <w:tcPr>
            <w:tcW w:w="1998" w:type="dxa"/>
          </w:tcPr>
          <w:p w14:paraId="3EE46861"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South Korea</w:t>
            </w:r>
            <w:r w:rsidRPr="000C11F9">
              <w:rPr>
                <w:rFonts w:ascii="Times New Roman" w:hAnsi="Times New Roman" w:cs="Times New Roman"/>
              </w:rPr>
              <w:tab/>
            </w:r>
          </w:p>
        </w:tc>
        <w:tc>
          <w:tcPr>
            <w:tcW w:w="2430" w:type="dxa"/>
          </w:tcPr>
          <w:p w14:paraId="5B852383"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65%</w:t>
            </w:r>
          </w:p>
        </w:tc>
        <w:tc>
          <w:tcPr>
            <w:tcW w:w="5148" w:type="dxa"/>
          </w:tcPr>
          <w:p w14:paraId="1DB03401"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Moderate uptake of patients with HF in hospitals.</w:t>
            </w:r>
          </w:p>
        </w:tc>
      </w:tr>
      <w:tr w:rsidR="004E63E9" w:rsidRPr="000C11F9" w14:paraId="63AAE9E0" w14:textId="77777777" w:rsidTr="003E0E26">
        <w:tc>
          <w:tcPr>
            <w:tcW w:w="1998" w:type="dxa"/>
          </w:tcPr>
          <w:p w14:paraId="0C400AF3"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Indonesia</w:t>
            </w:r>
          </w:p>
        </w:tc>
        <w:tc>
          <w:tcPr>
            <w:tcW w:w="2430" w:type="dxa"/>
          </w:tcPr>
          <w:p w14:paraId="0FF0BC03"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61 percent Low</w:t>
            </w:r>
          </w:p>
        </w:tc>
        <w:tc>
          <w:tcPr>
            <w:tcW w:w="5148" w:type="dxa"/>
          </w:tcPr>
          <w:p w14:paraId="21696741"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probably because of economic and healthcare access differences.</w:t>
            </w:r>
          </w:p>
        </w:tc>
      </w:tr>
      <w:tr w:rsidR="004E63E9" w:rsidRPr="000C11F9" w14:paraId="375A0A5F" w14:textId="77777777" w:rsidTr="003E0E26">
        <w:tc>
          <w:tcPr>
            <w:tcW w:w="1998" w:type="dxa"/>
          </w:tcPr>
          <w:p w14:paraId="2EDB183C"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Singapore</w:t>
            </w:r>
          </w:p>
        </w:tc>
        <w:tc>
          <w:tcPr>
            <w:tcW w:w="2430" w:type="dxa"/>
          </w:tcPr>
          <w:p w14:paraId="263D71D1"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71%</w:t>
            </w:r>
          </w:p>
        </w:tc>
        <w:tc>
          <w:tcPr>
            <w:tcW w:w="5148" w:type="dxa"/>
          </w:tcPr>
          <w:p w14:paraId="1E44255C" w14:textId="77777777" w:rsidR="004E63E9" w:rsidRPr="000C11F9" w:rsidRDefault="004E63E9" w:rsidP="000C11F9">
            <w:pPr>
              <w:rPr>
                <w:rFonts w:ascii="Times New Roman" w:hAnsi="Times New Roman" w:cs="Times New Roman"/>
                <w:b/>
              </w:rPr>
            </w:pPr>
            <w:r w:rsidRPr="000C11F9">
              <w:rPr>
                <w:rFonts w:ascii="Times New Roman" w:hAnsi="Times New Roman" w:cs="Times New Roman"/>
              </w:rPr>
              <w:t>Represents practice of dual therapy by a high-income country.</w:t>
            </w:r>
          </w:p>
        </w:tc>
      </w:tr>
    </w:tbl>
    <w:p w14:paraId="4ED019B6" w14:textId="10D4882C" w:rsidR="004E63E9" w:rsidRPr="000C11F9" w:rsidRDefault="004E63E9" w:rsidP="000C11F9">
      <w:pPr>
        <w:spacing w:line="240" w:lineRule="auto"/>
        <w:rPr>
          <w:rFonts w:ascii="Times New Roman" w:hAnsi="Times New Roman" w:cs="Times New Roman"/>
          <w:i/>
        </w:rPr>
      </w:pPr>
      <w:r w:rsidRPr="000C11F9">
        <w:rPr>
          <w:rFonts w:ascii="Times New Roman" w:hAnsi="Times New Roman" w:cs="Times New Roman"/>
          <w:i/>
        </w:rPr>
        <w:t>Source: ASIAN-HF Registry, 2024</w:t>
      </w:r>
    </w:p>
    <w:p w14:paraId="1B26D122"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Beta-blocker therapy extends beyond mortality benefits to encompass total heart failure event reduction among Asian populations. Patients receiving beta-blockers demonstrate reduced risk for heart failure events, cardiovascular death, and total heart failure events across crude, covariate-adjusted, and propensity score–based analytical models [</w:t>
      </w:r>
      <w:hyperlink r:id="rId36">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 Cumulative survival probabilities illustrate these benefits with striking clarity:</w:t>
      </w:r>
    </w:p>
    <w:p w14:paraId="4101652C"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36ADDD8E" w14:textId="77777777" w:rsidR="001E3E73" w:rsidRPr="000C11F9" w:rsidRDefault="00EB72B6" w:rsidP="000C11F9">
      <w:pPr>
        <w:numPr>
          <w:ilvl w:val="0"/>
          <w:numId w:val="3"/>
        </w:numPr>
        <w:pBdr>
          <w:top w:val="nil"/>
          <w:left w:val="nil"/>
          <w:bottom w:val="nil"/>
          <w:right w:val="nil"/>
          <w:between w:val="nil"/>
        </w:pBdr>
        <w:shd w:val="clear" w:color="auto" w:fill="FFFFFF"/>
        <w:spacing w:after="0" w:line="240" w:lineRule="auto"/>
        <w:ind w:left="300"/>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Beta-blocker users: 89.7% survival at 3 years, 86.5% at 5 years</w:t>
      </w:r>
    </w:p>
    <w:p w14:paraId="115C9EE0" w14:textId="77777777" w:rsidR="001E3E73" w:rsidRPr="000C11F9" w:rsidRDefault="00EB72B6" w:rsidP="000C11F9">
      <w:pPr>
        <w:numPr>
          <w:ilvl w:val="0"/>
          <w:numId w:val="3"/>
        </w:numPr>
        <w:pBdr>
          <w:top w:val="nil"/>
          <w:left w:val="nil"/>
          <w:bottom w:val="nil"/>
          <w:right w:val="nil"/>
          <w:between w:val="nil"/>
        </w:pBdr>
        <w:shd w:val="clear" w:color="auto" w:fill="FFFFFF"/>
        <w:spacing w:after="0" w:line="240" w:lineRule="auto"/>
        <w:ind w:left="300"/>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Non-users: 77.4% survival at 3 years, 75.3% at 5 years [</w:t>
      </w:r>
      <w:hyperlink r:id="rId37">
        <w:r w:rsidRPr="000C11F9">
          <w:rPr>
            <w:rFonts w:ascii="Times New Roman" w:eastAsia="Times New Roman" w:hAnsi="Times New Roman" w:cs="Times New Roman"/>
            <w:color w:val="000000"/>
          </w:rPr>
          <w:t>11]</w:t>
        </w:r>
      </w:hyperlink>
      <w:r w:rsidRPr="000C11F9">
        <w:rPr>
          <w:rFonts w:ascii="Times New Roman" w:eastAsia="Times New Roman" w:hAnsi="Times New Roman" w:cs="Times New Roman"/>
        </w:rPr>
        <w:t>.</w:t>
      </w:r>
    </w:p>
    <w:p w14:paraId="4B99056E"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256E8537" w14:textId="77777777" w:rsidR="001E3E73" w:rsidRPr="000C11F9" w:rsidRDefault="00C917E4" w:rsidP="000C11F9">
      <w:pPr>
        <w:shd w:val="clear" w:color="auto" w:fill="FFFFFF" w:themeFill="background1"/>
        <w:spacing w:after="0" w:line="240" w:lineRule="auto"/>
        <w:jc w:val="both"/>
        <w:rPr>
          <w:rFonts w:ascii="Times New Roman" w:eastAsia="Times New Roman" w:hAnsi="Times New Roman" w:cs="Times New Roman"/>
          <w:lang w:val="en-US"/>
        </w:rPr>
      </w:pPr>
      <w:sdt>
        <w:sdtPr>
          <w:rPr>
            <w:rFonts w:ascii="Times New Roman" w:hAnsi="Times New Roman" w:cs="Times New Roman"/>
          </w:rPr>
          <w:tag w:val="goog_rdk_0"/>
          <w:id w:val="663424449"/>
        </w:sdtPr>
        <w:sdtEndPr/>
        <w:sdtContent>
          <w:r w:rsidR="00EB72B6" w:rsidRPr="000C11F9">
            <w:rPr>
              <w:rFonts w:ascii="Times New Roman" w:eastAsia="Times New Roman" w:hAnsi="Times New Roman" w:cs="Times New Roman"/>
              <w:lang w:val="en-US"/>
            </w:rPr>
            <w:t>The relationship between beta-blocker benefits and left ventricular ejection fraction (LVEF) merits particular attention. Beta-blocker associations with clinical outcomes demonstrate consistency regardless of LVEF categorization (LVEF ≤49% versus ≥50%), with interaction p-values exceeding 0.47 [</w:t>
          </w:r>
        </w:sdtContent>
      </w:sdt>
      <w:hyperlink r:id="rId38">
        <w:r w:rsidR="00EB72B6" w:rsidRPr="000C11F9">
          <w:rPr>
            <w:rFonts w:ascii="Times New Roman" w:eastAsia="Times New Roman" w:hAnsi="Times New Roman" w:cs="Times New Roman"/>
            <w:color w:val="000000" w:themeColor="text1"/>
            <w:lang w:val="en-US"/>
          </w:rPr>
          <w:t>1]</w:t>
        </w:r>
      </w:hyperlink>
      <w:r w:rsidR="00EB72B6" w:rsidRPr="000C11F9">
        <w:rPr>
          <w:rFonts w:ascii="Times New Roman" w:eastAsia="Times New Roman" w:hAnsi="Times New Roman" w:cs="Times New Roman"/>
          <w:lang w:val="en-US"/>
        </w:rPr>
        <w:t>. This finding suggests that beta-blocker benefits transcend traditional heart failure classifications, providing therapeutic value across the spectrum of ventricular dysfunction.</w:t>
      </w:r>
    </w:p>
    <w:p w14:paraId="1299C43A"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4CE153B5" w14:textId="77777777" w:rsidR="001E3E73" w:rsidRPr="000C11F9" w:rsidRDefault="00EB72B6"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SGLT2 Inhibitors and Beta-Blocker Combination Therapy</w:t>
      </w:r>
    </w:p>
    <w:p w14:paraId="22E5A4BB"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SGLT2 inhibitors like dapagliflozin represent a contemporary pharmaceutical development constructed to address metabolic and cardiovascular pathophysiology through novel mechanisms. The interaction between these agents and established beta-blocker therapy demands rigorous examination, particularly when considering potential synergistic effects or therapeutic conflicts in Asian patient populations. The DELIVER trial, comprising 6,263 patients with heart failure and left ventricular ejection fraction exceeding 40%, furnishes essential data regarding combination therapeutic strategies. Among study participants, 83% received concurrent beta-blocker therapy, with notable regional variations [</w:t>
      </w:r>
      <w:hyperlink r:id="rId39">
        <w:r w:rsidRPr="000C11F9">
          <w:rPr>
            <w:rFonts w:ascii="Times New Roman" w:eastAsia="Times New Roman" w:hAnsi="Times New Roman" w:cs="Times New Roman"/>
            <w:color w:val="000000" w:themeColor="text1"/>
            <w:lang w:val="en-US"/>
          </w:rPr>
          <w:t>15]</w:t>
        </w:r>
      </w:hyperlink>
      <w:r w:rsidRPr="000C11F9">
        <w:rPr>
          <w:rFonts w:ascii="Times New Roman" w:eastAsia="Times New Roman" w:hAnsi="Times New Roman" w:cs="Times New Roman"/>
          <w:lang w:val="en-US"/>
        </w:rPr>
        <w:t xml:space="preserve">. Dapagliflozin demonstrated consistent therapeutic efficacy irrespective of simultaneous beta-blocker utilization. The primary composite endpoint of cardiovascular death or worsening heart failure showed comparable reduction in patients receiving beta-blockers (HR: 0.82; 95% CI: 0.72-0.94) and those without beta-blocker therapy (HR: 0.79; </w:t>
      </w:r>
      <w:r w:rsidRPr="000C11F9">
        <w:rPr>
          <w:rFonts w:ascii="Times New Roman" w:eastAsia="Times New Roman" w:hAnsi="Times New Roman" w:cs="Times New Roman"/>
          <w:lang w:val="en-US"/>
        </w:rPr>
        <w:lastRenderedPageBreak/>
        <w:t>95% CI: 0.61-1.03) [</w:t>
      </w:r>
      <w:hyperlink r:id="rId40">
        <w:r w:rsidRPr="000C11F9">
          <w:rPr>
            <w:rFonts w:ascii="Times New Roman" w:eastAsia="Times New Roman" w:hAnsi="Times New Roman" w:cs="Times New Roman"/>
            <w:color w:val="000000" w:themeColor="text1"/>
            <w:lang w:val="en-US"/>
          </w:rPr>
          <w:t>15]</w:t>
        </w:r>
      </w:hyperlink>
      <w:r w:rsidRPr="000C11F9">
        <w:rPr>
          <w:rFonts w:ascii="Times New Roman" w:eastAsia="Times New Roman" w:hAnsi="Times New Roman" w:cs="Times New Roman"/>
          <w:lang w:val="en-US"/>
        </w:rPr>
        <w:t>. The interaction p-value of 0.85 substantiates the statistical consistency of these benefits across both therapeutic groups [</w:t>
      </w:r>
      <w:hyperlink r:id="rId41">
        <w:r w:rsidRPr="000C11F9">
          <w:rPr>
            <w:rFonts w:ascii="Times New Roman" w:eastAsia="Times New Roman" w:hAnsi="Times New Roman" w:cs="Times New Roman"/>
            <w:color w:val="000000" w:themeColor="text1"/>
            <w:lang w:val="en-US"/>
          </w:rPr>
          <w:t>15]</w:t>
        </w:r>
      </w:hyperlink>
      <w:r w:rsidRPr="000C11F9">
        <w:rPr>
          <w:rFonts w:ascii="Times New Roman" w:eastAsia="Times New Roman" w:hAnsi="Times New Roman" w:cs="Times New Roman"/>
          <w:lang w:val="en-US"/>
        </w:rPr>
        <w:t>. Beta-blocker therapy is associated with diminished risk for the composite outcome (adjusted HR: 0.70; 95% CI: 0.60-0.83) [</w:t>
      </w:r>
      <w:hyperlink r:id="rId42">
        <w:r w:rsidRPr="000C11F9">
          <w:rPr>
            <w:rFonts w:ascii="Times New Roman" w:eastAsia="Times New Roman" w:hAnsi="Times New Roman" w:cs="Times New Roman"/>
            <w:color w:val="000000" w:themeColor="text1"/>
            <w:lang w:val="en-US"/>
          </w:rPr>
          <w:t>16]</w:t>
        </w:r>
      </w:hyperlink>
      <w:r w:rsidRPr="000C11F9">
        <w:rPr>
          <w:rFonts w:ascii="Times New Roman" w:eastAsia="Times New Roman" w:hAnsi="Times New Roman" w:cs="Times New Roman"/>
          <w:lang w:val="en-US"/>
        </w:rPr>
        <w:t>, suggesting these pharmaceutical interventions operate through complementary rather than competing mechanisms.</w:t>
      </w:r>
    </w:p>
    <w:p w14:paraId="4DDBEF00"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52A682F8"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The Kansas City Cardiomyopathy Questionnaire (KCCQ) assessments revealed improvements with dapagliflozin therapy independent of background beta-blocker status. At 8 months, multiple domains demonstrated statistically significant enhancements at the 0.01 confidence level:</w:t>
      </w:r>
    </w:p>
    <w:p w14:paraId="4B320B58" w14:textId="77777777" w:rsidR="001E3E73" w:rsidRPr="000C11F9" w:rsidRDefault="00EB72B6" w:rsidP="000C11F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Total Symptom Score: 2.4-point improvement versus placebo (p&lt;0.001)</w:t>
      </w:r>
    </w:p>
    <w:p w14:paraId="25F83927" w14:textId="77777777" w:rsidR="001E3E73" w:rsidRPr="000C11F9" w:rsidRDefault="00EB72B6" w:rsidP="000C11F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Physical Limitations Score: 1.9-point improvement versus placebo (p&lt;0.001)</w:t>
      </w:r>
    </w:p>
    <w:p w14:paraId="7D48C4CE" w14:textId="77777777" w:rsidR="001E3E73" w:rsidRPr="000C11F9" w:rsidRDefault="00EB72B6" w:rsidP="000C11F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Clinical Summary Score: 2.3-point improvement versus placebo (p&lt;0.001)</w:t>
      </w:r>
    </w:p>
    <w:p w14:paraId="475ACA9C" w14:textId="77777777" w:rsidR="001E3E73" w:rsidRPr="000C11F9" w:rsidRDefault="00EB72B6" w:rsidP="000C11F9">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Overall Summary Score: 2.1-point improvement versus placebo (p&lt;0.001) [</w:t>
      </w:r>
      <w:hyperlink r:id="rId43">
        <w:r w:rsidRPr="000C11F9">
          <w:rPr>
            <w:rFonts w:ascii="Times New Roman" w:eastAsia="Times New Roman" w:hAnsi="Times New Roman" w:cs="Times New Roman"/>
            <w:color w:val="000000"/>
          </w:rPr>
          <w:t>17]</w:t>
        </w:r>
      </w:hyperlink>
    </w:p>
    <w:p w14:paraId="3461D779"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color w:val="000000"/>
        </w:rPr>
      </w:pPr>
    </w:p>
    <w:p w14:paraId="110FFD37" w14:textId="285540B8"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b/>
          <w:bCs/>
        </w:rPr>
      </w:pPr>
      <w:r w:rsidRPr="000C11F9">
        <w:rPr>
          <w:rFonts w:ascii="Times New Roman" w:eastAsia="Times New Roman" w:hAnsi="Times New Roman" w:cs="Times New Roman"/>
          <w:b/>
          <w:bCs/>
        </w:rPr>
        <w:t xml:space="preserve">Table </w:t>
      </w:r>
      <w:r w:rsidR="006E36FB" w:rsidRPr="000C11F9">
        <w:rPr>
          <w:rFonts w:ascii="Times New Roman" w:eastAsia="Times New Roman" w:hAnsi="Times New Roman" w:cs="Times New Roman"/>
          <w:b/>
          <w:bCs/>
        </w:rPr>
        <w:t>2</w:t>
      </w:r>
      <w:r w:rsidRPr="000C11F9">
        <w:rPr>
          <w:rFonts w:ascii="Times New Roman" w:eastAsia="Times New Roman" w:hAnsi="Times New Roman" w:cs="Times New Roman"/>
          <w:b/>
          <w:bCs/>
        </w:rPr>
        <w:t>: Dosages and Therapeutic Recommendations for Asian Patients</w:t>
      </w:r>
    </w:p>
    <w:p w14:paraId="6B699379"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tbl>
      <w:tblPr>
        <w:tblW w:w="945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00" w:firstRow="0" w:lastRow="0" w:firstColumn="0" w:lastColumn="0" w:noHBand="1" w:noVBand="1"/>
      </w:tblPr>
      <w:tblGrid>
        <w:gridCol w:w="1785"/>
        <w:gridCol w:w="1065"/>
        <w:gridCol w:w="3030"/>
        <w:gridCol w:w="1905"/>
        <w:gridCol w:w="1672"/>
      </w:tblGrid>
      <w:tr w:rsidR="001E3E73" w:rsidRPr="000C11F9" w14:paraId="0D1E9F0E" w14:textId="77777777" w:rsidTr="3F43CC1D">
        <w:trPr>
          <w:trHeight w:val="1310"/>
        </w:trPr>
        <w:tc>
          <w:tcPr>
            <w:tcW w:w="1785" w:type="dxa"/>
            <w:tcMar>
              <w:top w:w="100" w:type="dxa"/>
              <w:left w:w="100" w:type="dxa"/>
              <w:bottom w:w="100" w:type="dxa"/>
              <w:right w:w="100" w:type="dxa"/>
            </w:tcMar>
          </w:tcPr>
          <w:p w14:paraId="09005698" w14:textId="77777777" w:rsidR="001E3E73" w:rsidRPr="000C11F9" w:rsidRDefault="00EB72B6" w:rsidP="000C11F9">
            <w:pPr>
              <w:shd w:val="clear" w:color="auto" w:fill="FFFFFF" w:themeFill="background1"/>
              <w:spacing w:after="0" w:line="240" w:lineRule="auto"/>
              <w:jc w:val="center"/>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Therapy</w:t>
            </w:r>
          </w:p>
        </w:tc>
        <w:tc>
          <w:tcPr>
            <w:tcW w:w="1065" w:type="dxa"/>
            <w:tcMar>
              <w:top w:w="100" w:type="dxa"/>
              <w:left w:w="100" w:type="dxa"/>
              <w:bottom w:w="100" w:type="dxa"/>
              <w:right w:w="100" w:type="dxa"/>
            </w:tcMar>
          </w:tcPr>
          <w:p w14:paraId="08FF7FEF" w14:textId="77777777" w:rsidR="001E3E73" w:rsidRPr="000C11F9" w:rsidRDefault="00EB72B6" w:rsidP="000C11F9">
            <w:pPr>
              <w:shd w:val="clear" w:color="auto" w:fill="FFFFFF" w:themeFill="background1"/>
              <w:spacing w:after="0" w:line="240" w:lineRule="auto"/>
              <w:jc w:val="center"/>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Condition</w:t>
            </w:r>
          </w:p>
        </w:tc>
        <w:tc>
          <w:tcPr>
            <w:tcW w:w="3030" w:type="dxa"/>
            <w:tcMar>
              <w:top w:w="100" w:type="dxa"/>
              <w:left w:w="100" w:type="dxa"/>
              <w:bottom w:w="100" w:type="dxa"/>
              <w:right w:w="100" w:type="dxa"/>
            </w:tcMar>
          </w:tcPr>
          <w:p w14:paraId="48B1E17E" w14:textId="77777777" w:rsidR="001E3E73" w:rsidRPr="000C11F9" w:rsidRDefault="00EB72B6" w:rsidP="000C11F9">
            <w:pPr>
              <w:shd w:val="clear" w:color="auto" w:fill="FFFFFF" w:themeFill="background1"/>
              <w:spacing w:after="0" w:line="240" w:lineRule="auto"/>
              <w:jc w:val="center"/>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Typical guideline class (ACC/AHA/ESC)</w:t>
            </w:r>
          </w:p>
        </w:tc>
        <w:tc>
          <w:tcPr>
            <w:tcW w:w="1905" w:type="dxa"/>
            <w:tcMar>
              <w:top w:w="100" w:type="dxa"/>
              <w:left w:w="100" w:type="dxa"/>
              <w:bottom w:w="100" w:type="dxa"/>
              <w:right w:w="100" w:type="dxa"/>
            </w:tcMar>
          </w:tcPr>
          <w:p w14:paraId="7F06DE68" w14:textId="77777777" w:rsidR="001E3E73" w:rsidRPr="000C11F9" w:rsidRDefault="00C917E4" w:rsidP="000C11F9">
            <w:pPr>
              <w:shd w:val="clear" w:color="auto" w:fill="FFFFFF" w:themeFill="background1"/>
              <w:spacing w:after="0" w:line="240" w:lineRule="auto"/>
              <w:jc w:val="center"/>
              <w:rPr>
                <w:rFonts w:ascii="Times New Roman" w:eastAsia="Times New Roman" w:hAnsi="Times New Roman" w:cs="Times New Roman"/>
                <w:sz w:val="20"/>
                <w:szCs w:val="20"/>
              </w:rPr>
            </w:pPr>
            <w:sdt>
              <w:sdtPr>
                <w:rPr>
                  <w:rFonts w:ascii="Times New Roman" w:eastAsia="Times New Roman" w:hAnsi="Times New Roman" w:cs="Times New Roman"/>
                  <w:sz w:val="20"/>
                  <w:szCs w:val="20"/>
                </w:rPr>
                <w:tag w:val="goog_rdk_2"/>
                <w:id w:val="-1882395019"/>
              </w:sdtPr>
              <w:sdtEndPr/>
              <w:sdtContent>
                <w:r w:rsidR="00EB72B6" w:rsidRPr="000C11F9">
                  <w:rPr>
                    <w:rFonts w:ascii="Times New Roman" w:eastAsia="Times New Roman" w:hAnsi="Times New Roman" w:cs="Times New Roman"/>
                    <w:sz w:val="20"/>
                    <w:szCs w:val="20"/>
                  </w:rPr>
                  <w:t>Typical starting dose → common trial/target dose</w:t>
                </w:r>
              </w:sdtContent>
            </w:sdt>
          </w:p>
        </w:tc>
        <w:tc>
          <w:tcPr>
            <w:tcW w:w="1672" w:type="dxa"/>
            <w:tcMar>
              <w:top w:w="100" w:type="dxa"/>
              <w:left w:w="100" w:type="dxa"/>
              <w:bottom w:w="100" w:type="dxa"/>
              <w:right w:w="100" w:type="dxa"/>
            </w:tcMar>
          </w:tcPr>
          <w:p w14:paraId="39EAF216" w14:textId="77777777" w:rsidR="001E3E73" w:rsidRPr="000C11F9" w:rsidRDefault="00EB72B6" w:rsidP="000C11F9">
            <w:pPr>
              <w:shd w:val="clear" w:color="auto" w:fill="FFFFFF" w:themeFill="background1"/>
              <w:spacing w:after="0" w:line="240" w:lineRule="auto"/>
              <w:jc w:val="center"/>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Asian guideline/practice differences (class / dosing / notes)</w:t>
            </w:r>
          </w:p>
        </w:tc>
      </w:tr>
      <w:tr w:rsidR="001E3E73" w:rsidRPr="000C11F9" w14:paraId="5E837566" w14:textId="77777777" w:rsidTr="3F43CC1D">
        <w:trPr>
          <w:trHeight w:val="4820"/>
        </w:trPr>
        <w:tc>
          <w:tcPr>
            <w:tcW w:w="1785" w:type="dxa"/>
            <w:tcMar>
              <w:top w:w="100" w:type="dxa"/>
              <w:left w:w="100" w:type="dxa"/>
              <w:bottom w:w="100" w:type="dxa"/>
              <w:right w:w="100" w:type="dxa"/>
            </w:tcMar>
          </w:tcPr>
          <w:p w14:paraId="6E2AE74C"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β-blockers (evidence agents: bisoprolol, carvedilol, metoprolol succinate)</w:t>
            </w:r>
          </w:p>
        </w:tc>
        <w:tc>
          <w:tcPr>
            <w:tcW w:w="1065" w:type="dxa"/>
            <w:tcMar>
              <w:top w:w="100" w:type="dxa"/>
              <w:left w:w="100" w:type="dxa"/>
              <w:bottom w:w="100" w:type="dxa"/>
              <w:right w:w="100" w:type="dxa"/>
            </w:tcMar>
          </w:tcPr>
          <w:p w14:paraId="65E66DE8" w14:textId="77777777" w:rsidR="001E3E73" w:rsidRPr="000C11F9" w:rsidRDefault="00C917E4"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sdt>
              <w:sdtPr>
                <w:rPr>
                  <w:rFonts w:ascii="Times New Roman" w:eastAsia="Times New Roman" w:hAnsi="Times New Roman" w:cs="Times New Roman"/>
                  <w:sz w:val="20"/>
                  <w:szCs w:val="20"/>
                  <w:lang w:val="en-US"/>
                </w:rPr>
                <w:tag w:val="goog_rdk_3"/>
                <w:id w:val="-1284408396"/>
              </w:sdtPr>
              <w:sdtEndPr/>
              <w:sdtContent>
                <w:proofErr w:type="spellStart"/>
                <w:r w:rsidR="00EB72B6" w:rsidRPr="000C11F9">
                  <w:rPr>
                    <w:rFonts w:ascii="Times New Roman" w:eastAsia="Times New Roman" w:hAnsi="Times New Roman" w:cs="Times New Roman"/>
                    <w:sz w:val="20"/>
                    <w:szCs w:val="20"/>
                    <w:lang w:val="en-US"/>
                  </w:rPr>
                  <w:t>HFrEF</w:t>
                </w:r>
                <w:proofErr w:type="spellEnd"/>
                <w:r w:rsidR="00EB72B6" w:rsidRPr="000C11F9">
                  <w:rPr>
                    <w:rFonts w:ascii="Times New Roman" w:eastAsia="Times New Roman" w:hAnsi="Times New Roman" w:cs="Times New Roman"/>
                    <w:sz w:val="20"/>
                    <w:szCs w:val="20"/>
                    <w:lang w:val="en-US"/>
                  </w:rPr>
                  <w:t xml:space="preserve"> (EF ≤40%)</w:t>
                </w:r>
              </w:sdtContent>
            </w:sdt>
          </w:p>
        </w:tc>
        <w:tc>
          <w:tcPr>
            <w:tcW w:w="3030" w:type="dxa"/>
            <w:tcMar>
              <w:top w:w="100" w:type="dxa"/>
              <w:left w:w="100" w:type="dxa"/>
              <w:bottom w:w="100" w:type="dxa"/>
              <w:right w:w="100" w:type="dxa"/>
            </w:tcMar>
          </w:tcPr>
          <w:p w14:paraId="1E9BBC78" w14:textId="1763ED11"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Class I, LOE A — recommended as foundational therapy</w:t>
            </w:r>
            <w:r w:rsidR="00B12679" w:rsidRPr="000C11F9">
              <w:rPr>
                <w:rFonts w:ascii="Times New Roman" w:eastAsia="Times New Roman" w:hAnsi="Times New Roman" w:cs="Times New Roman"/>
                <w:sz w:val="20"/>
                <w:szCs w:val="20"/>
              </w:rPr>
              <w:t xml:space="preserve"> </w:t>
            </w:r>
            <w:r w:rsidR="00B12679" w:rsidRPr="000C11F9">
              <w:rPr>
                <w:rFonts w:ascii="Times New Roman" w:eastAsia="Times New Roman" w:hAnsi="Times New Roman" w:cs="Times New Roman"/>
                <w:color w:val="000000" w:themeColor="text1"/>
                <w:sz w:val="20"/>
                <w:szCs w:val="20"/>
              </w:rPr>
              <w:t>[29].</w:t>
            </w:r>
          </w:p>
        </w:tc>
        <w:tc>
          <w:tcPr>
            <w:tcW w:w="1905" w:type="dxa"/>
            <w:tcMar>
              <w:top w:w="100" w:type="dxa"/>
              <w:left w:w="100" w:type="dxa"/>
              <w:bottom w:w="100" w:type="dxa"/>
              <w:right w:w="100" w:type="dxa"/>
            </w:tcMar>
          </w:tcPr>
          <w:p w14:paraId="157A1131" w14:textId="1DF3765B"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r w:rsidRPr="000C11F9">
              <w:rPr>
                <w:rFonts w:ascii="Times New Roman" w:eastAsia="Times New Roman" w:hAnsi="Times New Roman" w:cs="Times New Roman"/>
                <w:sz w:val="20"/>
                <w:szCs w:val="20"/>
                <w:lang w:val="en-US"/>
              </w:rPr>
              <w:t>Carvedilol: start 3.125 mg BID</w:t>
            </w:r>
            <w:sdt>
              <w:sdtPr>
                <w:rPr>
                  <w:rFonts w:ascii="Times New Roman" w:eastAsia="Times New Roman" w:hAnsi="Times New Roman" w:cs="Times New Roman"/>
                  <w:sz w:val="20"/>
                  <w:szCs w:val="20"/>
                  <w:lang w:val="en-US"/>
                </w:rPr>
                <w:tag w:val="goog_rdk_4"/>
                <w:id w:val="-679446687"/>
              </w:sdtPr>
              <w:sdtEndPr/>
              <w:sdtContent>
                <w:r w:rsidRPr="000C11F9">
                  <w:rPr>
                    <w:rFonts w:ascii="Times New Roman" w:eastAsia="Times New Roman" w:hAnsi="Times New Roman" w:cs="Times New Roman"/>
                    <w:sz w:val="20"/>
                    <w:szCs w:val="20"/>
                    <w:lang w:val="en-US"/>
                  </w:rPr>
                  <w:t xml:space="preserve">, </w:t>
                </w:r>
                <w:proofErr w:type="spellStart"/>
                <w:r w:rsidRPr="000C11F9">
                  <w:rPr>
                    <w:rFonts w:ascii="Times New Roman" w:eastAsia="Times New Roman" w:hAnsi="Times New Roman" w:cs="Times New Roman"/>
                    <w:sz w:val="20"/>
                    <w:szCs w:val="20"/>
                    <w:lang w:val="en-US"/>
                  </w:rPr>
                  <w:t>uptitrate</w:t>
                </w:r>
                <w:proofErr w:type="spellEnd"/>
                <w:r w:rsidRPr="000C11F9">
                  <w:rPr>
                    <w:rFonts w:ascii="Times New Roman" w:eastAsia="Times New Roman" w:hAnsi="Times New Roman" w:cs="Times New Roman"/>
                    <w:sz w:val="20"/>
                    <w:szCs w:val="20"/>
                    <w:lang w:val="en-US"/>
                  </w:rPr>
                  <w:t xml:space="preserve"> (6.25 → 12.5 → </w:t>
                </w:r>
              </w:sdtContent>
            </w:sdt>
            <w:r w:rsidRPr="000C11F9">
              <w:rPr>
                <w:rFonts w:ascii="Times New Roman" w:eastAsia="Times New Roman" w:hAnsi="Times New Roman" w:cs="Times New Roman"/>
                <w:sz w:val="20"/>
                <w:szCs w:val="20"/>
                <w:lang w:val="en-US"/>
              </w:rPr>
              <w:t>25 mg BID as tolerated). Bisoprolol</w:t>
            </w:r>
            <w:sdt>
              <w:sdtPr>
                <w:rPr>
                  <w:rFonts w:ascii="Times New Roman" w:eastAsia="Times New Roman" w:hAnsi="Times New Roman" w:cs="Times New Roman"/>
                  <w:sz w:val="20"/>
                  <w:szCs w:val="20"/>
                  <w:lang w:val="en-US"/>
                </w:rPr>
                <w:tag w:val="goog_rdk_5"/>
                <w:id w:val="1304626862"/>
              </w:sdtPr>
              <w:sdtEndPr/>
              <w:sdtContent>
                <w:r w:rsidRPr="000C11F9">
                  <w:rPr>
                    <w:rFonts w:ascii="Times New Roman" w:eastAsia="Times New Roman" w:hAnsi="Times New Roman" w:cs="Times New Roman"/>
                    <w:sz w:val="20"/>
                    <w:szCs w:val="20"/>
                    <w:lang w:val="en-US"/>
                  </w:rPr>
                  <w:t xml:space="preserve">: start 1.25–2.5 mg daily → target </w:t>
                </w:r>
              </w:sdtContent>
            </w:sdt>
            <w:r w:rsidRPr="000C11F9">
              <w:rPr>
                <w:rFonts w:ascii="Times New Roman" w:eastAsia="Times New Roman" w:hAnsi="Times New Roman" w:cs="Times New Roman"/>
                <w:sz w:val="20"/>
                <w:szCs w:val="20"/>
                <w:lang w:val="en-US"/>
              </w:rPr>
              <w:t>10 mg daily. Metoprolol succinate (XL)</w:t>
            </w:r>
            <w:sdt>
              <w:sdtPr>
                <w:rPr>
                  <w:rFonts w:ascii="Times New Roman" w:eastAsia="Times New Roman" w:hAnsi="Times New Roman" w:cs="Times New Roman"/>
                  <w:sz w:val="20"/>
                  <w:szCs w:val="20"/>
                  <w:lang w:val="en-US"/>
                </w:rPr>
                <w:tag w:val="goog_rdk_6"/>
                <w:id w:val="1775591292"/>
              </w:sdtPr>
              <w:sdtEndPr/>
              <w:sdtContent>
                <w:r w:rsidRPr="000C11F9">
                  <w:rPr>
                    <w:rFonts w:ascii="Times New Roman" w:eastAsia="Times New Roman" w:hAnsi="Times New Roman" w:cs="Times New Roman"/>
                    <w:sz w:val="20"/>
                    <w:szCs w:val="20"/>
                    <w:lang w:val="en-US"/>
                  </w:rPr>
                  <w:t xml:space="preserve">: start 12.5–25 mg daily → target </w:t>
                </w:r>
              </w:sdtContent>
            </w:sdt>
            <w:r w:rsidRPr="000C11F9">
              <w:rPr>
                <w:rFonts w:ascii="Times New Roman" w:eastAsia="Times New Roman" w:hAnsi="Times New Roman" w:cs="Times New Roman"/>
                <w:sz w:val="20"/>
                <w:szCs w:val="20"/>
                <w:lang w:val="en-US"/>
              </w:rPr>
              <w:t>200 mg daily. (Targets are those used/endorsed in trials/guidelines)</w:t>
            </w:r>
            <w:r w:rsidR="00B12679" w:rsidRPr="000C11F9">
              <w:rPr>
                <w:rFonts w:ascii="Times New Roman" w:eastAsia="Times New Roman" w:hAnsi="Times New Roman" w:cs="Times New Roman"/>
                <w:sz w:val="20"/>
                <w:szCs w:val="20"/>
                <w:lang w:val="en-US"/>
              </w:rPr>
              <w:t xml:space="preserve"> [30].</w:t>
            </w:r>
          </w:p>
        </w:tc>
        <w:tc>
          <w:tcPr>
            <w:tcW w:w="1672" w:type="dxa"/>
            <w:tcMar>
              <w:top w:w="100" w:type="dxa"/>
              <w:left w:w="100" w:type="dxa"/>
              <w:bottom w:w="100" w:type="dxa"/>
              <w:right w:w="100" w:type="dxa"/>
            </w:tcMar>
          </w:tcPr>
          <w:p w14:paraId="45DC4129" w14:textId="40A0C6BC"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r w:rsidRPr="000C11F9">
              <w:rPr>
                <w:rFonts w:ascii="Times New Roman" w:eastAsia="Times New Roman" w:hAnsi="Times New Roman" w:cs="Times New Roman"/>
                <w:sz w:val="20"/>
                <w:szCs w:val="20"/>
                <w:lang w:val="en-US"/>
              </w:rPr>
              <w:t xml:space="preserve">Asian guidelines also endorse β-blockers as core therapy for </w:t>
            </w:r>
            <w:proofErr w:type="spellStart"/>
            <w:r w:rsidRPr="000C11F9">
              <w:rPr>
                <w:rFonts w:ascii="Times New Roman" w:eastAsia="Times New Roman" w:hAnsi="Times New Roman" w:cs="Times New Roman"/>
                <w:sz w:val="20"/>
                <w:szCs w:val="20"/>
                <w:lang w:val="en-US"/>
              </w:rPr>
              <w:t>HFrEF</w:t>
            </w:r>
            <w:proofErr w:type="spellEnd"/>
            <w:r w:rsidRPr="000C11F9">
              <w:rPr>
                <w:rFonts w:ascii="Times New Roman" w:eastAsia="Times New Roman" w:hAnsi="Times New Roman" w:cs="Times New Roman"/>
                <w:sz w:val="20"/>
                <w:szCs w:val="20"/>
                <w:lang w:val="en-US"/>
              </w:rPr>
              <w:t xml:space="preserve"> (class I), but in practice targets are often lower and titration slower because of lower average body weight, hypotension/bradycardia risk, and comorbidity burden. Many Asian consensus documents emphasize “titrate as tolerated” and accept lower achieved doses in real-world practice</w:t>
            </w:r>
            <w:r w:rsidR="00B12679" w:rsidRPr="000C11F9">
              <w:rPr>
                <w:rFonts w:ascii="Times New Roman" w:eastAsia="Times New Roman" w:hAnsi="Times New Roman" w:cs="Times New Roman"/>
                <w:sz w:val="20"/>
                <w:szCs w:val="20"/>
                <w:lang w:val="en-US"/>
              </w:rPr>
              <w:t xml:space="preserve"> [31].</w:t>
            </w:r>
          </w:p>
        </w:tc>
      </w:tr>
      <w:tr w:rsidR="001E3E73" w:rsidRPr="000C11F9" w14:paraId="345C9363" w14:textId="77777777" w:rsidTr="3F43CC1D">
        <w:trPr>
          <w:trHeight w:val="2660"/>
        </w:trPr>
        <w:tc>
          <w:tcPr>
            <w:tcW w:w="1785" w:type="dxa"/>
            <w:tcMar>
              <w:top w:w="100" w:type="dxa"/>
              <w:left w:w="100" w:type="dxa"/>
              <w:bottom w:w="100" w:type="dxa"/>
              <w:right w:w="100" w:type="dxa"/>
            </w:tcMar>
          </w:tcPr>
          <w:p w14:paraId="4504534E"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lastRenderedPageBreak/>
              <w:t>β-blockers</w:t>
            </w:r>
          </w:p>
        </w:tc>
        <w:tc>
          <w:tcPr>
            <w:tcW w:w="1065" w:type="dxa"/>
            <w:tcMar>
              <w:top w:w="100" w:type="dxa"/>
              <w:left w:w="100" w:type="dxa"/>
              <w:bottom w:w="100" w:type="dxa"/>
              <w:right w:w="100" w:type="dxa"/>
            </w:tcMar>
          </w:tcPr>
          <w:p w14:paraId="63BABDE7"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proofErr w:type="spellStart"/>
            <w:r w:rsidRPr="000C11F9">
              <w:rPr>
                <w:rFonts w:ascii="Times New Roman" w:eastAsia="Times New Roman" w:hAnsi="Times New Roman" w:cs="Times New Roman"/>
                <w:sz w:val="20"/>
                <w:szCs w:val="20"/>
                <w:lang w:val="en-US"/>
              </w:rPr>
              <w:t>HFmrEF</w:t>
            </w:r>
            <w:proofErr w:type="spellEnd"/>
            <w:r w:rsidRPr="000C11F9">
              <w:rPr>
                <w:rFonts w:ascii="Times New Roman" w:eastAsia="Times New Roman" w:hAnsi="Times New Roman" w:cs="Times New Roman"/>
                <w:sz w:val="20"/>
                <w:szCs w:val="20"/>
                <w:lang w:val="en-US"/>
              </w:rPr>
              <w:t xml:space="preserve"> (EF ~41–49%)</w:t>
            </w:r>
          </w:p>
        </w:tc>
        <w:tc>
          <w:tcPr>
            <w:tcW w:w="3030" w:type="dxa"/>
            <w:tcMar>
              <w:top w:w="100" w:type="dxa"/>
              <w:left w:w="100" w:type="dxa"/>
              <w:bottom w:w="100" w:type="dxa"/>
              <w:right w:w="100" w:type="dxa"/>
            </w:tcMar>
          </w:tcPr>
          <w:p w14:paraId="28487F22" w14:textId="61D9240F"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r w:rsidRPr="000C11F9">
              <w:rPr>
                <w:rFonts w:ascii="Times New Roman" w:eastAsia="Times New Roman" w:hAnsi="Times New Roman" w:cs="Times New Roman"/>
                <w:sz w:val="20"/>
                <w:szCs w:val="20"/>
                <w:lang w:val="en-US"/>
              </w:rPr>
              <w:t xml:space="preserve">Weak/moderate evidence; often consider or </w:t>
            </w:r>
            <w:proofErr w:type="spellStart"/>
            <w:r w:rsidRPr="000C11F9">
              <w:rPr>
                <w:rFonts w:ascii="Times New Roman" w:eastAsia="Times New Roman" w:hAnsi="Times New Roman" w:cs="Times New Roman"/>
                <w:sz w:val="20"/>
                <w:szCs w:val="20"/>
                <w:lang w:val="en-US"/>
              </w:rPr>
              <w:t>IIa</w:t>
            </w:r>
            <w:proofErr w:type="spellEnd"/>
            <w:r w:rsidRPr="000C11F9">
              <w:rPr>
                <w:rFonts w:ascii="Times New Roman" w:eastAsia="Times New Roman" w:hAnsi="Times New Roman" w:cs="Times New Roman"/>
                <w:sz w:val="20"/>
                <w:szCs w:val="20"/>
                <w:lang w:val="en-US"/>
              </w:rPr>
              <w:t xml:space="preserve">/IIb depending on guideline and comorbidities. </w:t>
            </w:r>
            <w:r w:rsidR="00B12679" w:rsidRPr="000C11F9">
              <w:rPr>
                <w:rFonts w:ascii="Times New Roman" w:eastAsia="Times New Roman" w:hAnsi="Times New Roman" w:cs="Times New Roman"/>
                <w:sz w:val="20"/>
                <w:szCs w:val="20"/>
                <w:lang w:val="en-US"/>
              </w:rPr>
              <w:t>[29].</w:t>
            </w:r>
          </w:p>
        </w:tc>
        <w:tc>
          <w:tcPr>
            <w:tcW w:w="1905" w:type="dxa"/>
            <w:tcMar>
              <w:top w:w="100" w:type="dxa"/>
              <w:left w:w="100" w:type="dxa"/>
              <w:bottom w:w="100" w:type="dxa"/>
              <w:right w:w="100" w:type="dxa"/>
            </w:tcMar>
          </w:tcPr>
          <w:p w14:paraId="541380D9" w14:textId="506E062F"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r w:rsidRPr="000C11F9">
              <w:rPr>
                <w:rFonts w:ascii="Times New Roman" w:eastAsia="Times New Roman" w:hAnsi="Times New Roman" w:cs="Times New Roman"/>
                <w:sz w:val="20"/>
                <w:szCs w:val="20"/>
                <w:lang w:val="en-US"/>
              </w:rPr>
              <w:t xml:space="preserve">If used, start and titrate same agents/doses as </w:t>
            </w:r>
            <w:proofErr w:type="spellStart"/>
            <w:r w:rsidRPr="000C11F9">
              <w:rPr>
                <w:rFonts w:ascii="Times New Roman" w:eastAsia="Times New Roman" w:hAnsi="Times New Roman" w:cs="Times New Roman"/>
                <w:sz w:val="20"/>
                <w:szCs w:val="20"/>
                <w:lang w:val="en-US"/>
              </w:rPr>
              <w:t>HFrEF</w:t>
            </w:r>
            <w:proofErr w:type="spellEnd"/>
            <w:r w:rsidRPr="000C11F9">
              <w:rPr>
                <w:rFonts w:ascii="Times New Roman" w:eastAsia="Times New Roman" w:hAnsi="Times New Roman" w:cs="Times New Roman"/>
                <w:sz w:val="20"/>
                <w:szCs w:val="20"/>
                <w:lang w:val="en-US"/>
              </w:rPr>
              <w:t xml:space="preserve"> but expectation of benefit is </w:t>
            </w:r>
            <w:r w:rsidR="00B12679" w:rsidRPr="000C11F9">
              <w:rPr>
                <w:rFonts w:ascii="Times New Roman" w:eastAsia="Times New Roman" w:hAnsi="Times New Roman" w:cs="Times New Roman"/>
                <w:sz w:val="20"/>
                <w:szCs w:val="20"/>
                <w:lang w:val="en-US"/>
              </w:rPr>
              <w:t>lower,</w:t>
            </w:r>
            <w:r w:rsidRPr="000C11F9">
              <w:rPr>
                <w:rFonts w:ascii="Times New Roman" w:eastAsia="Times New Roman" w:hAnsi="Times New Roman" w:cs="Times New Roman"/>
                <w:sz w:val="20"/>
                <w:szCs w:val="20"/>
                <w:lang w:val="en-US"/>
              </w:rPr>
              <w:t xml:space="preserve"> and evidence is less definitive; use mainly for rate control (AF) or ischemic disease</w:t>
            </w:r>
            <w:r w:rsidR="00B12679" w:rsidRPr="000C11F9">
              <w:rPr>
                <w:rFonts w:ascii="Times New Roman" w:eastAsia="Times New Roman" w:hAnsi="Times New Roman" w:cs="Times New Roman"/>
                <w:sz w:val="20"/>
                <w:szCs w:val="20"/>
                <w:lang w:val="en-US"/>
              </w:rPr>
              <w:t xml:space="preserve"> [29].</w:t>
            </w:r>
          </w:p>
        </w:tc>
        <w:tc>
          <w:tcPr>
            <w:tcW w:w="1672" w:type="dxa"/>
            <w:tcMar>
              <w:top w:w="100" w:type="dxa"/>
              <w:left w:w="100" w:type="dxa"/>
              <w:bottom w:w="100" w:type="dxa"/>
              <w:right w:w="100" w:type="dxa"/>
            </w:tcMar>
          </w:tcPr>
          <w:p w14:paraId="0775042C" w14:textId="04C4C09D"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Asian practice mirrors international guidance: β-blockers often used if indicated (AF, ischemia); routine mortality benefit is not established, so usage varies by country/clinic</w:t>
            </w:r>
            <w:r w:rsidR="00B12679" w:rsidRPr="000C11F9">
              <w:rPr>
                <w:rFonts w:ascii="Times New Roman" w:eastAsia="Times New Roman" w:hAnsi="Times New Roman" w:cs="Times New Roman"/>
                <w:sz w:val="20"/>
                <w:szCs w:val="20"/>
              </w:rPr>
              <w:t xml:space="preserve"> [31].</w:t>
            </w:r>
          </w:p>
        </w:tc>
      </w:tr>
      <w:tr w:rsidR="001E3E73" w:rsidRPr="000C11F9" w14:paraId="56C936E9" w14:textId="77777777" w:rsidTr="3F43CC1D">
        <w:trPr>
          <w:trHeight w:val="5090"/>
        </w:trPr>
        <w:tc>
          <w:tcPr>
            <w:tcW w:w="1785" w:type="dxa"/>
            <w:tcMar>
              <w:top w:w="100" w:type="dxa"/>
              <w:left w:w="100" w:type="dxa"/>
              <w:bottom w:w="100" w:type="dxa"/>
              <w:right w:w="100" w:type="dxa"/>
            </w:tcMar>
          </w:tcPr>
          <w:p w14:paraId="76F91865" w14:textId="463210DC"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SGLT2 inhibitors (dapagliflozin,</w:t>
            </w:r>
            <w:r w:rsidR="61091307" w:rsidRPr="000C11F9">
              <w:rPr>
                <w:rFonts w:ascii="Times New Roman" w:eastAsia="Times New Roman" w:hAnsi="Times New Roman" w:cs="Times New Roman"/>
                <w:sz w:val="20"/>
                <w:szCs w:val="20"/>
              </w:rPr>
              <w:t xml:space="preserve"> </w:t>
            </w:r>
            <w:r w:rsidRPr="000C11F9">
              <w:rPr>
                <w:rFonts w:ascii="Times New Roman" w:eastAsia="Times New Roman" w:hAnsi="Times New Roman" w:cs="Times New Roman"/>
                <w:sz w:val="20"/>
                <w:szCs w:val="20"/>
              </w:rPr>
              <w:t>empagliflozin)</w:t>
            </w:r>
          </w:p>
        </w:tc>
        <w:tc>
          <w:tcPr>
            <w:tcW w:w="1065" w:type="dxa"/>
            <w:tcMar>
              <w:top w:w="100" w:type="dxa"/>
              <w:left w:w="100" w:type="dxa"/>
              <w:bottom w:w="100" w:type="dxa"/>
              <w:right w:w="100" w:type="dxa"/>
            </w:tcMar>
          </w:tcPr>
          <w:p w14:paraId="5B7112C1"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proofErr w:type="spellStart"/>
            <w:r w:rsidRPr="000C11F9">
              <w:rPr>
                <w:rFonts w:ascii="Times New Roman" w:eastAsia="Times New Roman" w:hAnsi="Times New Roman" w:cs="Times New Roman"/>
                <w:sz w:val="20"/>
                <w:szCs w:val="20"/>
              </w:rPr>
              <w:t>HFrEF</w:t>
            </w:r>
            <w:proofErr w:type="spellEnd"/>
          </w:p>
        </w:tc>
        <w:tc>
          <w:tcPr>
            <w:tcW w:w="3030" w:type="dxa"/>
            <w:tcMar>
              <w:top w:w="100" w:type="dxa"/>
              <w:left w:w="100" w:type="dxa"/>
              <w:bottom w:w="100" w:type="dxa"/>
              <w:right w:w="100" w:type="dxa"/>
            </w:tcMar>
          </w:tcPr>
          <w:p w14:paraId="43551BA4" w14:textId="60BFD0B3"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 xml:space="preserve">Class I for chronic </w:t>
            </w:r>
            <w:proofErr w:type="spellStart"/>
            <w:r w:rsidRPr="000C11F9">
              <w:rPr>
                <w:rFonts w:ascii="Times New Roman" w:eastAsia="Times New Roman" w:hAnsi="Times New Roman" w:cs="Times New Roman"/>
                <w:sz w:val="20"/>
                <w:szCs w:val="20"/>
              </w:rPr>
              <w:t>HFrEF</w:t>
            </w:r>
            <w:proofErr w:type="spellEnd"/>
            <w:r w:rsidRPr="000C11F9">
              <w:rPr>
                <w:rFonts w:ascii="Times New Roman" w:eastAsia="Times New Roman" w:hAnsi="Times New Roman" w:cs="Times New Roman"/>
                <w:sz w:val="20"/>
                <w:szCs w:val="20"/>
              </w:rPr>
              <w:t xml:space="preserve"> (benefit on CV death &amp; HF hospitalization) — recommended irrespective of diabetes status</w:t>
            </w:r>
            <w:r w:rsidR="00B12679" w:rsidRPr="000C11F9">
              <w:rPr>
                <w:rFonts w:ascii="Times New Roman" w:eastAsia="Times New Roman" w:hAnsi="Times New Roman" w:cs="Times New Roman"/>
                <w:sz w:val="20"/>
                <w:szCs w:val="20"/>
              </w:rPr>
              <w:t xml:space="preserve"> </w:t>
            </w:r>
            <w:r w:rsidR="00B12679" w:rsidRPr="000C11F9">
              <w:rPr>
                <w:rFonts w:ascii="Times New Roman" w:eastAsia="Times New Roman" w:hAnsi="Times New Roman" w:cs="Times New Roman"/>
                <w:color w:val="000000" w:themeColor="text1"/>
                <w:sz w:val="20"/>
                <w:szCs w:val="20"/>
              </w:rPr>
              <w:t>[29].</w:t>
            </w:r>
          </w:p>
        </w:tc>
        <w:tc>
          <w:tcPr>
            <w:tcW w:w="1905" w:type="dxa"/>
            <w:tcMar>
              <w:top w:w="100" w:type="dxa"/>
              <w:left w:w="100" w:type="dxa"/>
              <w:bottom w:w="100" w:type="dxa"/>
              <w:right w:w="100" w:type="dxa"/>
            </w:tcMar>
          </w:tcPr>
          <w:p w14:paraId="5B9CCF54" w14:textId="43EBBC6E"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Doses: Dapagliflozin 10 mg PO once daily; Empagliflozin 10 mg PO once daily (trial dose and guideline dose). Initiate on top of GDMT; minimal titration — usually start 10 mg daily if no contraindication. ACC/clinical pocket guides echo 10 mg daily dose</w:t>
            </w:r>
            <w:r w:rsidR="00EF78BC" w:rsidRPr="000C11F9">
              <w:rPr>
                <w:rFonts w:ascii="Times New Roman" w:eastAsia="Times New Roman" w:hAnsi="Times New Roman" w:cs="Times New Roman"/>
                <w:sz w:val="20"/>
                <w:szCs w:val="20"/>
              </w:rPr>
              <w:t xml:space="preserve"> [32].</w:t>
            </w:r>
          </w:p>
        </w:tc>
        <w:tc>
          <w:tcPr>
            <w:tcW w:w="1672" w:type="dxa"/>
            <w:tcMar>
              <w:top w:w="100" w:type="dxa"/>
              <w:left w:w="100" w:type="dxa"/>
              <w:bottom w:w="100" w:type="dxa"/>
              <w:right w:w="100" w:type="dxa"/>
            </w:tcMar>
          </w:tcPr>
          <w:p w14:paraId="08CB8589" w14:textId="1D4AA76F"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 xml:space="preserve">In Asia, guidelines increasingly endorse SGLT2i for </w:t>
            </w:r>
            <w:proofErr w:type="spellStart"/>
            <w:r w:rsidRPr="000C11F9">
              <w:rPr>
                <w:rFonts w:ascii="Times New Roman" w:eastAsia="Times New Roman" w:hAnsi="Times New Roman" w:cs="Times New Roman"/>
                <w:sz w:val="20"/>
                <w:szCs w:val="20"/>
              </w:rPr>
              <w:t>HFrEF</w:t>
            </w:r>
            <w:proofErr w:type="spellEnd"/>
            <w:r w:rsidRPr="000C11F9">
              <w:rPr>
                <w:rFonts w:ascii="Times New Roman" w:eastAsia="Times New Roman" w:hAnsi="Times New Roman" w:cs="Times New Roman"/>
                <w:sz w:val="20"/>
                <w:szCs w:val="20"/>
              </w:rPr>
              <w:t xml:space="preserve"> (many Asian societies now include them as part of GDMT). However, uptake is more variable due to regulatory timing, cost/reimbursement, and local formulary access; clinicians may delay initiation or reserve for selected patients. Some local guidance emphasizes renal function thresholds and monitoring</w:t>
            </w:r>
            <w:r w:rsidR="00B12679" w:rsidRPr="000C11F9">
              <w:rPr>
                <w:rFonts w:ascii="Times New Roman" w:eastAsia="Times New Roman" w:hAnsi="Times New Roman" w:cs="Times New Roman"/>
                <w:sz w:val="20"/>
                <w:szCs w:val="20"/>
              </w:rPr>
              <w:t xml:space="preserve"> [30]</w:t>
            </w:r>
            <w:r w:rsidRPr="000C11F9">
              <w:rPr>
                <w:rFonts w:ascii="Times New Roman" w:eastAsia="Times New Roman" w:hAnsi="Times New Roman" w:cs="Times New Roman"/>
                <w:sz w:val="20"/>
                <w:szCs w:val="20"/>
              </w:rPr>
              <w:t>.</w:t>
            </w:r>
          </w:p>
        </w:tc>
      </w:tr>
      <w:tr w:rsidR="001E3E73" w:rsidRPr="000C11F9" w14:paraId="71988598" w14:textId="77777777" w:rsidTr="3F43CC1D">
        <w:trPr>
          <w:trHeight w:val="3200"/>
        </w:trPr>
        <w:tc>
          <w:tcPr>
            <w:tcW w:w="1785" w:type="dxa"/>
            <w:tcMar>
              <w:top w:w="100" w:type="dxa"/>
              <w:left w:w="100" w:type="dxa"/>
              <w:bottom w:w="100" w:type="dxa"/>
              <w:right w:w="100" w:type="dxa"/>
            </w:tcMar>
          </w:tcPr>
          <w:p w14:paraId="73740B0F"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SGLT2 inhibitors</w:t>
            </w:r>
          </w:p>
        </w:tc>
        <w:tc>
          <w:tcPr>
            <w:tcW w:w="1065" w:type="dxa"/>
            <w:tcMar>
              <w:top w:w="100" w:type="dxa"/>
              <w:left w:w="100" w:type="dxa"/>
              <w:bottom w:w="100" w:type="dxa"/>
              <w:right w:w="100" w:type="dxa"/>
            </w:tcMar>
          </w:tcPr>
          <w:p w14:paraId="4D686235"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proofErr w:type="spellStart"/>
            <w:r w:rsidRPr="000C11F9">
              <w:rPr>
                <w:rFonts w:ascii="Times New Roman" w:eastAsia="Times New Roman" w:hAnsi="Times New Roman" w:cs="Times New Roman"/>
                <w:sz w:val="20"/>
                <w:szCs w:val="20"/>
              </w:rPr>
              <w:t>HFmrEF</w:t>
            </w:r>
            <w:proofErr w:type="spellEnd"/>
          </w:p>
        </w:tc>
        <w:tc>
          <w:tcPr>
            <w:tcW w:w="3030" w:type="dxa"/>
            <w:tcMar>
              <w:top w:w="100" w:type="dxa"/>
              <w:left w:w="100" w:type="dxa"/>
              <w:bottom w:w="100" w:type="dxa"/>
              <w:right w:w="100" w:type="dxa"/>
            </w:tcMar>
          </w:tcPr>
          <w:p w14:paraId="4DC0DCC8" w14:textId="4ED3C3C6"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proofErr w:type="spellStart"/>
            <w:r w:rsidRPr="000C11F9">
              <w:rPr>
                <w:rFonts w:ascii="Times New Roman" w:eastAsia="Times New Roman" w:hAnsi="Times New Roman" w:cs="Times New Roman"/>
                <w:sz w:val="20"/>
                <w:szCs w:val="20"/>
              </w:rPr>
              <w:t>IIa</w:t>
            </w:r>
            <w:proofErr w:type="spellEnd"/>
            <w:r w:rsidRPr="000C11F9">
              <w:rPr>
                <w:rFonts w:ascii="Times New Roman" w:eastAsia="Times New Roman" w:hAnsi="Times New Roman" w:cs="Times New Roman"/>
                <w:sz w:val="20"/>
                <w:szCs w:val="20"/>
              </w:rPr>
              <w:t xml:space="preserve"> (reasonable to consider) in many recent guidelines based on DELIVER/EMPEROR-Preserved subgroup analyses/meta-analyses</w:t>
            </w:r>
            <w:r w:rsidR="00EF78BC" w:rsidRPr="000C11F9">
              <w:rPr>
                <w:rFonts w:ascii="Times New Roman" w:eastAsia="Times New Roman" w:hAnsi="Times New Roman" w:cs="Times New Roman"/>
                <w:sz w:val="20"/>
                <w:szCs w:val="20"/>
              </w:rPr>
              <w:t xml:space="preserve"> [32]. </w:t>
            </w:r>
          </w:p>
        </w:tc>
        <w:tc>
          <w:tcPr>
            <w:tcW w:w="1905" w:type="dxa"/>
            <w:tcMar>
              <w:top w:w="100" w:type="dxa"/>
              <w:left w:w="100" w:type="dxa"/>
              <w:bottom w:w="100" w:type="dxa"/>
              <w:right w:w="100" w:type="dxa"/>
            </w:tcMar>
          </w:tcPr>
          <w:p w14:paraId="4680E661" w14:textId="46BFE848"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 xml:space="preserve">Same dose: 10 mg once daily (dapagliflozin/empagliflozin). Benefit mainly on HF hospitalization; mortality signal less </w:t>
            </w:r>
            <w:r w:rsidR="00EF78BC" w:rsidRPr="000C11F9">
              <w:rPr>
                <w:rFonts w:ascii="Times New Roman" w:eastAsia="Times New Roman" w:hAnsi="Times New Roman" w:cs="Times New Roman"/>
                <w:sz w:val="20"/>
                <w:szCs w:val="20"/>
              </w:rPr>
              <w:t>consistent [32].</w:t>
            </w:r>
          </w:p>
        </w:tc>
        <w:tc>
          <w:tcPr>
            <w:tcW w:w="1672" w:type="dxa"/>
            <w:tcMar>
              <w:top w:w="100" w:type="dxa"/>
              <w:left w:w="100" w:type="dxa"/>
              <w:bottom w:w="100" w:type="dxa"/>
              <w:right w:w="100" w:type="dxa"/>
            </w:tcMar>
          </w:tcPr>
          <w:p w14:paraId="754FF69F" w14:textId="029135CC"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 xml:space="preserve">Asian guidance tends to be cautious but favorable — many Asia-Pacific statements say SGLT2i may be used in </w:t>
            </w:r>
            <w:proofErr w:type="spellStart"/>
            <w:r w:rsidRPr="000C11F9">
              <w:rPr>
                <w:rFonts w:ascii="Times New Roman" w:eastAsia="Times New Roman" w:hAnsi="Times New Roman" w:cs="Times New Roman"/>
                <w:sz w:val="20"/>
                <w:szCs w:val="20"/>
              </w:rPr>
              <w:t>HFmrEF</w:t>
            </w:r>
            <w:proofErr w:type="spellEnd"/>
            <w:r w:rsidRPr="000C11F9">
              <w:rPr>
                <w:rFonts w:ascii="Times New Roman" w:eastAsia="Times New Roman" w:hAnsi="Times New Roman" w:cs="Times New Roman"/>
                <w:sz w:val="20"/>
                <w:szCs w:val="20"/>
              </w:rPr>
              <w:t>/</w:t>
            </w:r>
            <w:proofErr w:type="spellStart"/>
            <w:r w:rsidRPr="000C11F9">
              <w:rPr>
                <w:rFonts w:ascii="Times New Roman" w:eastAsia="Times New Roman" w:hAnsi="Times New Roman" w:cs="Times New Roman"/>
                <w:sz w:val="20"/>
                <w:szCs w:val="20"/>
              </w:rPr>
              <w:t>HFpEF</w:t>
            </w:r>
            <w:proofErr w:type="spellEnd"/>
            <w:r w:rsidRPr="000C11F9">
              <w:rPr>
                <w:rFonts w:ascii="Times New Roman" w:eastAsia="Times New Roman" w:hAnsi="Times New Roman" w:cs="Times New Roman"/>
                <w:sz w:val="20"/>
                <w:szCs w:val="20"/>
              </w:rPr>
              <w:t xml:space="preserve"> (often phrased “in selected patients”); economic/access issues may limit </w:t>
            </w:r>
            <w:r w:rsidRPr="000C11F9">
              <w:rPr>
                <w:rFonts w:ascii="Times New Roman" w:eastAsia="Times New Roman" w:hAnsi="Times New Roman" w:cs="Times New Roman"/>
                <w:sz w:val="20"/>
                <w:szCs w:val="20"/>
              </w:rPr>
              <w:lastRenderedPageBreak/>
              <w:t>real-world use</w:t>
            </w:r>
            <w:r w:rsidR="00B12679" w:rsidRPr="000C11F9">
              <w:rPr>
                <w:rFonts w:ascii="Times New Roman" w:eastAsia="Times New Roman" w:hAnsi="Times New Roman" w:cs="Times New Roman"/>
                <w:sz w:val="20"/>
                <w:szCs w:val="20"/>
              </w:rPr>
              <w:t xml:space="preserve"> [30].</w:t>
            </w:r>
          </w:p>
        </w:tc>
      </w:tr>
      <w:tr w:rsidR="001E3E73" w:rsidRPr="000C11F9" w14:paraId="3E8B49CD" w14:textId="77777777" w:rsidTr="3F43CC1D">
        <w:trPr>
          <w:trHeight w:val="4820"/>
        </w:trPr>
        <w:tc>
          <w:tcPr>
            <w:tcW w:w="1785" w:type="dxa"/>
            <w:tcMar>
              <w:top w:w="100" w:type="dxa"/>
              <w:left w:w="100" w:type="dxa"/>
              <w:bottom w:w="100" w:type="dxa"/>
              <w:right w:w="100" w:type="dxa"/>
            </w:tcMar>
          </w:tcPr>
          <w:p w14:paraId="0E6B6201"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lastRenderedPageBreak/>
              <w:t>SGLT2 inhibitors</w:t>
            </w:r>
          </w:p>
        </w:tc>
        <w:tc>
          <w:tcPr>
            <w:tcW w:w="1065" w:type="dxa"/>
            <w:tcMar>
              <w:top w:w="100" w:type="dxa"/>
              <w:left w:w="100" w:type="dxa"/>
              <w:bottom w:w="100" w:type="dxa"/>
              <w:right w:w="100" w:type="dxa"/>
            </w:tcMar>
          </w:tcPr>
          <w:p w14:paraId="1023E7C0"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proofErr w:type="spellStart"/>
            <w:r w:rsidRPr="000C11F9">
              <w:rPr>
                <w:rFonts w:ascii="Times New Roman" w:eastAsia="Times New Roman" w:hAnsi="Times New Roman" w:cs="Times New Roman"/>
                <w:sz w:val="20"/>
                <w:szCs w:val="20"/>
              </w:rPr>
              <w:t>HFpEF</w:t>
            </w:r>
            <w:proofErr w:type="spellEnd"/>
          </w:p>
        </w:tc>
        <w:tc>
          <w:tcPr>
            <w:tcW w:w="3030" w:type="dxa"/>
            <w:tcMar>
              <w:top w:w="100" w:type="dxa"/>
              <w:left w:w="100" w:type="dxa"/>
              <w:bottom w:w="100" w:type="dxa"/>
              <w:right w:w="100" w:type="dxa"/>
            </w:tcMar>
          </w:tcPr>
          <w:p w14:paraId="2B58F937" w14:textId="5098B024"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 xml:space="preserve">Class </w:t>
            </w:r>
            <w:proofErr w:type="spellStart"/>
            <w:r w:rsidRPr="000C11F9">
              <w:rPr>
                <w:rFonts w:ascii="Times New Roman" w:eastAsia="Times New Roman" w:hAnsi="Times New Roman" w:cs="Times New Roman"/>
                <w:sz w:val="20"/>
                <w:szCs w:val="20"/>
              </w:rPr>
              <w:t>IIa</w:t>
            </w:r>
            <w:proofErr w:type="spellEnd"/>
            <w:r w:rsidRPr="000C11F9">
              <w:rPr>
                <w:rFonts w:ascii="Times New Roman" w:eastAsia="Times New Roman" w:hAnsi="Times New Roman" w:cs="Times New Roman"/>
                <w:sz w:val="20"/>
                <w:szCs w:val="20"/>
              </w:rPr>
              <w:t xml:space="preserve"> (growing evidence) in many modern guidelines after DELIVER/EMPEROR-Preserved — recommended to reduce HF hospitalization (and possibly CV death in some analyses)</w:t>
            </w:r>
            <w:r w:rsidR="00EF78BC" w:rsidRPr="000C11F9">
              <w:rPr>
                <w:rFonts w:ascii="Times New Roman" w:eastAsia="Times New Roman" w:hAnsi="Times New Roman" w:cs="Times New Roman"/>
                <w:sz w:val="20"/>
                <w:szCs w:val="20"/>
              </w:rPr>
              <w:t xml:space="preserve"> [32].</w:t>
            </w:r>
          </w:p>
        </w:tc>
        <w:tc>
          <w:tcPr>
            <w:tcW w:w="1905" w:type="dxa"/>
            <w:tcMar>
              <w:top w:w="100" w:type="dxa"/>
              <w:left w:w="100" w:type="dxa"/>
              <w:bottom w:w="100" w:type="dxa"/>
              <w:right w:w="100" w:type="dxa"/>
            </w:tcMar>
          </w:tcPr>
          <w:p w14:paraId="2AA2B7F2" w14:textId="07D09479"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rPr>
            </w:pPr>
            <w:r w:rsidRPr="000C11F9">
              <w:rPr>
                <w:rFonts w:ascii="Times New Roman" w:eastAsia="Times New Roman" w:hAnsi="Times New Roman" w:cs="Times New Roman"/>
                <w:sz w:val="20"/>
                <w:szCs w:val="20"/>
              </w:rPr>
              <w:t>Dose: dapagliflozin 10 mg PO daily; empagliflozin 10 mg PO daily. Start if eGFR above local threshold (product labels and guidance differ; still used down to modest eGFR ranges for HF benefit). Monitor volume status, renal function, and risk of genitourinary infections</w:t>
            </w:r>
            <w:r w:rsidR="00EF78BC" w:rsidRPr="000C11F9">
              <w:rPr>
                <w:rFonts w:ascii="Times New Roman" w:eastAsia="Times New Roman" w:hAnsi="Times New Roman" w:cs="Times New Roman"/>
                <w:sz w:val="20"/>
                <w:szCs w:val="20"/>
              </w:rPr>
              <w:t xml:space="preserve"> [33].</w:t>
            </w:r>
          </w:p>
        </w:tc>
        <w:tc>
          <w:tcPr>
            <w:tcW w:w="1672" w:type="dxa"/>
            <w:tcMar>
              <w:top w:w="100" w:type="dxa"/>
              <w:left w:w="100" w:type="dxa"/>
              <w:bottom w:w="100" w:type="dxa"/>
              <w:right w:w="100" w:type="dxa"/>
            </w:tcMar>
          </w:tcPr>
          <w:p w14:paraId="3FBD41BE" w14:textId="32744A18"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sz w:val="20"/>
                <w:szCs w:val="20"/>
                <w:lang w:val="en-US"/>
              </w:rPr>
            </w:pPr>
            <w:r w:rsidRPr="000C11F9">
              <w:rPr>
                <w:rFonts w:ascii="Times New Roman" w:eastAsia="Times New Roman" w:hAnsi="Times New Roman" w:cs="Times New Roman"/>
                <w:sz w:val="20"/>
                <w:szCs w:val="20"/>
                <w:lang w:val="en-US"/>
              </w:rPr>
              <w:t xml:space="preserve">Asian recommendations increasingly align with global guidance in wording (Class </w:t>
            </w:r>
            <w:proofErr w:type="spellStart"/>
            <w:r w:rsidRPr="000C11F9">
              <w:rPr>
                <w:rFonts w:ascii="Times New Roman" w:eastAsia="Times New Roman" w:hAnsi="Times New Roman" w:cs="Times New Roman"/>
                <w:sz w:val="20"/>
                <w:szCs w:val="20"/>
                <w:lang w:val="en-US"/>
              </w:rPr>
              <w:t>IIa</w:t>
            </w:r>
            <w:proofErr w:type="spellEnd"/>
            <w:r w:rsidRPr="000C11F9">
              <w:rPr>
                <w:rFonts w:ascii="Times New Roman" w:eastAsia="Times New Roman" w:hAnsi="Times New Roman" w:cs="Times New Roman"/>
                <w:sz w:val="20"/>
                <w:szCs w:val="20"/>
                <w:lang w:val="en-US"/>
              </w:rPr>
              <w:t xml:space="preserve"> / reasonable to consider), but implementation varies by country—cost, reimbursement, and timing of regulatory approvals are the main barriers. Also, clinicians commonly watch for low blood pressure/volume status in smaller/older patients and will start more cautiously</w:t>
            </w:r>
            <w:r w:rsidR="00B12679" w:rsidRPr="000C11F9">
              <w:rPr>
                <w:rFonts w:ascii="Times New Roman" w:eastAsia="Times New Roman" w:hAnsi="Times New Roman" w:cs="Times New Roman"/>
                <w:sz w:val="20"/>
                <w:szCs w:val="20"/>
                <w:lang w:val="en-US"/>
              </w:rPr>
              <w:t xml:space="preserve"> [30].</w:t>
            </w:r>
          </w:p>
        </w:tc>
      </w:tr>
    </w:tbl>
    <w:p w14:paraId="1F72F646"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0EA944DD"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These improvements emerged within one month and amplified throughout the observation period [</w:t>
      </w:r>
      <w:hyperlink r:id="rId44">
        <w:r w:rsidRPr="000C11F9">
          <w:rPr>
            <w:rFonts w:ascii="Times New Roman" w:eastAsia="Times New Roman" w:hAnsi="Times New Roman" w:cs="Times New Roman"/>
            <w:color w:val="000000" w:themeColor="text1"/>
            <w:lang w:val="en-US"/>
          </w:rPr>
          <w:t>17]</w:t>
        </w:r>
      </w:hyperlink>
      <w:r w:rsidRPr="000C11F9">
        <w:rPr>
          <w:rFonts w:ascii="Times New Roman" w:eastAsia="Times New Roman" w:hAnsi="Times New Roman" w:cs="Times New Roman"/>
          <w:lang w:val="en-US"/>
        </w:rPr>
        <w:t>. A greater proportion of patients receiving dapagliflozin achieved clinically meaningful KCCQ improvements regardless of concurrent beta-blocker therapy [</w:t>
      </w:r>
      <w:hyperlink r:id="rId45">
        <w:r w:rsidRPr="000C11F9">
          <w:rPr>
            <w:rFonts w:ascii="Times New Roman" w:eastAsia="Times New Roman" w:hAnsi="Times New Roman" w:cs="Times New Roman"/>
            <w:color w:val="000000" w:themeColor="text1"/>
            <w:lang w:val="en-US"/>
          </w:rPr>
          <w:t>17]</w:t>
        </w:r>
      </w:hyperlink>
      <w:r w:rsidRPr="000C11F9">
        <w:rPr>
          <w:rFonts w:ascii="Times New Roman" w:eastAsia="Times New Roman" w:hAnsi="Times New Roman" w:cs="Times New Roman"/>
          <w:lang w:val="en-US"/>
        </w:rPr>
        <w:t>.</w:t>
      </w:r>
    </w:p>
    <w:p w14:paraId="08CE6F91"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48C51019"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Safety analyses reveal no reported pharmacodynamic interference between beta-blockers and dapagliflozin. The DAPA-HF investigation demonstrated that dapagliflozin reduced the combined risk of cardiovascular death and heart failure hospitalization by 26%, with cardiovascular mortality alone declining by 18%—benefits that remained unaffected by concomitant beta-blocker utilization [</w:t>
      </w:r>
      <w:hyperlink r:id="rId46">
        <w:r w:rsidRPr="000C11F9">
          <w:rPr>
            <w:rFonts w:ascii="Times New Roman" w:eastAsia="Times New Roman" w:hAnsi="Times New Roman" w:cs="Times New Roman"/>
            <w:color w:val="000000" w:themeColor="text1"/>
            <w:lang w:val="en-US"/>
          </w:rPr>
          <w:t>18]</w:t>
        </w:r>
      </w:hyperlink>
      <w:sdt>
        <w:sdtPr>
          <w:rPr>
            <w:rFonts w:ascii="Times New Roman" w:hAnsi="Times New Roman" w:cs="Times New Roman"/>
          </w:rPr>
          <w:tag w:val="goog_rdk_9"/>
          <w:id w:val="-166099225"/>
        </w:sdtPr>
        <w:sdtEndPr/>
        <w:sdtContent>
          <w:r w:rsidRPr="000C11F9">
            <w:rPr>
              <w:rFonts w:ascii="Times New Roman" w:eastAsia="Gungsuh" w:hAnsi="Times New Roman" w:cs="Times New Roman"/>
              <w:lang w:val="en-US"/>
            </w:rPr>
            <w:t xml:space="preserve">. </w:t>
          </w:r>
          <w:r w:rsidRPr="000C11F9">
            <w:rPr>
              <w:rFonts w:ascii="Times New Roman" w:eastAsia="Times New Roman" w:hAnsi="Times New Roman" w:cs="Times New Roman"/>
              <w:lang w:val="en-US"/>
            </w:rPr>
            <w:t>Adverse events were equally prevalent in dapagliflozin and placebo groups irrespective of background beta-blocker therapy (all interaction p-values ≥0.07) [</w:t>
          </w:r>
        </w:sdtContent>
      </w:sdt>
      <w:hyperlink r:id="rId47">
        <w:r w:rsidRPr="000C11F9">
          <w:rPr>
            <w:rFonts w:ascii="Times New Roman" w:eastAsia="Times New Roman" w:hAnsi="Times New Roman" w:cs="Times New Roman"/>
            <w:color w:val="000000" w:themeColor="text1"/>
            <w:lang w:val="en-US"/>
          </w:rPr>
          <w:t>16]</w:t>
        </w:r>
      </w:hyperlink>
      <w:r w:rsidRPr="000C11F9">
        <w:rPr>
          <w:rFonts w:ascii="Times New Roman" w:eastAsia="Times New Roman" w:hAnsi="Times New Roman" w:cs="Times New Roman"/>
          <w:lang w:val="en-US"/>
        </w:rPr>
        <w:t xml:space="preserve">. Comprehensive safety assessments revealed no significant differences at the 0.05 confidence level </w:t>
      </w:r>
      <w:r w:rsidRPr="000C11F9">
        <w:rPr>
          <w:rFonts w:ascii="Times New Roman" w:eastAsia="Times New Roman" w:hAnsi="Times New Roman" w:cs="Times New Roman"/>
          <w:lang w:val="en-US"/>
        </w:rPr>
        <w:lastRenderedPageBreak/>
        <w:t>between treatment groups regarding serious adverse events, volume depletion symptoms, acute kidney injury, or hyperkalemia rates [</w:t>
      </w:r>
      <w:hyperlink r:id="rId48">
        <w:r w:rsidRPr="000C11F9">
          <w:rPr>
            <w:rFonts w:ascii="Times New Roman" w:eastAsia="Times New Roman" w:hAnsi="Times New Roman" w:cs="Times New Roman"/>
            <w:color w:val="000000" w:themeColor="text1"/>
            <w:lang w:val="en-US"/>
          </w:rPr>
          <w:t>19]</w:t>
        </w:r>
      </w:hyperlink>
      <w:r w:rsidRPr="000C11F9">
        <w:rPr>
          <w:rFonts w:ascii="Times New Roman" w:eastAsia="Times New Roman" w:hAnsi="Times New Roman" w:cs="Times New Roman"/>
          <w:lang w:val="en-US"/>
        </w:rPr>
        <w:t>. Although tentative, this evidence supports further research into the clinical efficacy of co-administration of beta-blockers and SLGT2 inhibitors heart failure management in Asian populations.</w:t>
      </w:r>
    </w:p>
    <w:p w14:paraId="61CDCEAD"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46555FC5" w14:textId="77777777" w:rsidR="001E3E73" w:rsidRPr="000C11F9" w:rsidRDefault="00EB72B6"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Safety Profiles and Adverse Event Patterns Among Asian Heart Failure Patients</w:t>
      </w:r>
    </w:p>
    <w:p w14:paraId="47FBBDF4"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Safety evaluation of beta-blocker therapy among Asian populations demonstrates distinctive adverse event profiles that merit careful consideration. These patterns inform clinical decision-making processes and provide essential context for treatment optimization. Bradycardia and hypotension constitute the predominant adverse reactions associated with beta-blocker therapy, totaling 3,778 and 3,264 reported cases respectively across different agents [</w:t>
      </w:r>
      <w:hyperlink r:id="rId49">
        <w:r w:rsidRPr="000C11F9">
          <w:rPr>
            <w:rFonts w:ascii="Times New Roman" w:eastAsia="Times New Roman" w:hAnsi="Times New Roman" w:cs="Times New Roman"/>
            <w:color w:val="000000" w:themeColor="text1"/>
            <w:lang w:val="en-US"/>
          </w:rPr>
          <w:t>20]</w:t>
        </w:r>
      </w:hyperlink>
      <w:r w:rsidRPr="000C11F9">
        <w:rPr>
          <w:rFonts w:ascii="Times New Roman" w:eastAsia="Times New Roman" w:hAnsi="Times New Roman" w:cs="Times New Roman"/>
          <w:lang w:val="en-US"/>
        </w:rPr>
        <w:t>. The distribution of bradycardia incidence reveals marked variation by specific drug type. Metoprolol accounts for the highest proportion (29.9%) of bradycardia cases [</w:t>
      </w:r>
      <w:hyperlink r:id="rId50">
        <w:r w:rsidRPr="000C11F9">
          <w:rPr>
            <w:rFonts w:ascii="Times New Roman" w:eastAsia="Times New Roman" w:hAnsi="Times New Roman" w:cs="Times New Roman"/>
            <w:color w:val="000000" w:themeColor="text1"/>
            <w:lang w:val="en-US"/>
          </w:rPr>
          <w:t>20]</w:t>
        </w:r>
      </w:hyperlink>
      <w:r w:rsidRPr="000C11F9">
        <w:rPr>
          <w:rFonts w:ascii="Times New Roman" w:eastAsia="Times New Roman" w:hAnsi="Times New Roman" w:cs="Times New Roman"/>
          <w:lang w:val="en-US"/>
        </w:rPr>
        <w:t>. Bisoprolol emerges as the second most frequent contributor to bradycardia (23.9%), while carvedilol occupies second position for both hypotension and dizziness manifestations at 18.6% and 26.3% respectively [</w:t>
      </w:r>
      <w:hyperlink r:id="rId51">
        <w:r w:rsidRPr="000C11F9">
          <w:rPr>
            <w:rFonts w:ascii="Times New Roman" w:eastAsia="Times New Roman" w:hAnsi="Times New Roman" w:cs="Times New Roman"/>
            <w:color w:val="000000" w:themeColor="text1"/>
            <w:lang w:val="en-US"/>
          </w:rPr>
          <w:t>20]</w:t>
        </w:r>
      </w:hyperlink>
      <w:r w:rsidRPr="000C11F9">
        <w:rPr>
          <w:rFonts w:ascii="Times New Roman" w:eastAsia="Times New Roman" w:hAnsi="Times New Roman" w:cs="Times New Roman"/>
          <w:lang w:val="en-US"/>
        </w:rPr>
        <w:t>. Clinical experience demonstrates bradycardia incidence ranging from 0.4% to 12% among beta-blocker recipients, contrasted with 0-5% in placebo cohorts [</w:t>
      </w:r>
      <w:hyperlink r:id="rId52">
        <w:r w:rsidRPr="000C11F9">
          <w:rPr>
            <w:rFonts w:ascii="Times New Roman" w:eastAsia="Times New Roman" w:hAnsi="Times New Roman" w:cs="Times New Roman"/>
            <w:color w:val="000000" w:themeColor="text1"/>
            <w:lang w:val="en-US"/>
          </w:rPr>
          <w:t>21]</w:t>
        </w:r>
      </w:hyperlink>
      <w:r w:rsidRPr="000C11F9">
        <w:rPr>
          <w:rFonts w:ascii="Times New Roman" w:eastAsia="Times New Roman" w:hAnsi="Times New Roman" w:cs="Times New Roman"/>
          <w:lang w:val="en-US"/>
        </w:rPr>
        <w:t>. Notably, asymptomatic bradycardia during treatment typically does not warrant therapeutic discontinuation according to randomized controlled trial evidence [</w:t>
      </w:r>
      <w:hyperlink r:id="rId53">
        <w:r w:rsidRPr="000C11F9">
          <w:rPr>
            <w:rFonts w:ascii="Times New Roman" w:eastAsia="Times New Roman" w:hAnsi="Times New Roman" w:cs="Times New Roman"/>
            <w:color w:val="000000" w:themeColor="text1"/>
            <w:lang w:val="en-US"/>
          </w:rPr>
          <w:t>21]</w:t>
        </w:r>
      </w:hyperlink>
      <w:r w:rsidRPr="000C11F9">
        <w:rPr>
          <w:rFonts w:ascii="Times New Roman" w:eastAsia="Times New Roman" w:hAnsi="Times New Roman" w:cs="Times New Roman"/>
          <w:lang w:val="en-US"/>
        </w:rPr>
        <w:t>. This finding suggests that heart rate reduction alone should not prompt treatment cessation without accompanying symptomatic manifestations. Japanese clinical investigations reveal superior titration success rates for bisoprolol, with 90.3% of patients achieving maintenance dosing compared to 85.7% for carvedilol [</w:t>
      </w:r>
      <w:hyperlink r:id="rId54">
        <w:r w:rsidRPr="000C11F9">
          <w:rPr>
            <w:rFonts w:ascii="Times New Roman" w:eastAsia="Times New Roman" w:hAnsi="Times New Roman" w:cs="Times New Roman"/>
            <w:color w:val="000000" w:themeColor="text1"/>
            <w:lang w:val="en-US"/>
          </w:rPr>
          <w:t>22]</w:t>
        </w:r>
      </w:hyperlink>
      <w:r w:rsidRPr="000C11F9">
        <w:rPr>
          <w:rFonts w:ascii="Times New Roman" w:eastAsia="Times New Roman" w:hAnsi="Times New Roman" w:cs="Times New Roman"/>
          <w:lang w:val="en-US"/>
        </w:rPr>
        <w:t>. More striking is the observation that Japanese patients exhibited substantially lower discontinuation and dose reduction rates relative to United States populations, with a relative rate of 0.406 (0.086 vs. 0.212, 95% CI: 0.181 to 0.911, p = 0.035) [</w:t>
      </w:r>
      <w:hyperlink r:id="rId55">
        <w:r w:rsidRPr="000C11F9">
          <w:rPr>
            <w:rFonts w:ascii="Times New Roman" w:eastAsia="Times New Roman" w:hAnsi="Times New Roman" w:cs="Times New Roman"/>
            <w:color w:val="000000" w:themeColor="text1"/>
            <w:lang w:val="en-US"/>
          </w:rPr>
          <w:t>8]</w:t>
        </w:r>
      </w:hyperlink>
      <w:r w:rsidRPr="000C11F9">
        <w:rPr>
          <w:rFonts w:ascii="Times New Roman" w:eastAsia="Times New Roman" w:hAnsi="Times New Roman" w:cs="Times New Roman"/>
          <w:lang w:val="en-US"/>
        </w:rPr>
        <w:t>. Discontinuation patterns differ according to specific agent characteristics. Bisoprolol discontinuation occurred in 2.6% of cases, predominantly attributed to hypotensive episodes, while dose modifications were necessary in 18.4% of patients [</w:t>
      </w:r>
      <w:hyperlink r:id="rId56">
        <w:r w:rsidRPr="000C11F9">
          <w:rPr>
            <w:rFonts w:ascii="Times New Roman" w:eastAsia="Times New Roman" w:hAnsi="Times New Roman" w:cs="Times New Roman"/>
            <w:color w:val="000000" w:themeColor="text1"/>
            <w:lang w:val="en-US"/>
          </w:rPr>
          <w:t>8]</w:t>
        </w:r>
      </w:hyperlink>
      <w:r w:rsidRPr="000C11F9">
        <w:rPr>
          <w:rFonts w:ascii="Times New Roman" w:eastAsia="Times New Roman" w:hAnsi="Times New Roman" w:cs="Times New Roman"/>
          <w:lang w:val="en-US"/>
        </w:rPr>
        <w:t>. Carvedilol presented a contrasting profile, requiring dose reductions in merely 2.2% of cases, primarily due to bradycardia and hypertensive heart disease complications [</w:t>
      </w:r>
      <w:hyperlink r:id="rId57">
        <w:r w:rsidRPr="000C11F9">
          <w:rPr>
            <w:rFonts w:ascii="Times New Roman" w:eastAsia="Times New Roman" w:hAnsi="Times New Roman" w:cs="Times New Roman"/>
            <w:color w:val="000000" w:themeColor="text1"/>
            <w:lang w:val="en-US"/>
          </w:rPr>
          <w:t>8]</w:t>
        </w:r>
      </w:hyperlink>
      <w:r w:rsidRPr="000C11F9">
        <w:rPr>
          <w:rFonts w:ascii="Times New Roman" w:eastAsia="Times New Roman" w:hAnsi="Times New Roman" w:cs="Times New Roman"/>
          <w:lang w:val="en-US"/>
        </w:rPr>
        <w:t>. The absence of marked differences in serious adverse events between beta-blocker types among Asian populations represents a crucial clinical finding. Event-free survival rates for the composite outcome of cardiovascular death or heart failure hospitalizations reached 92.4% with bisoprolol and 94.7% with carvedilol—a statistically insignificant difference at the 0.05 confidence level [</w:t>
      </w:r>
      <w:hyperlink r:id="rId58">
        <w:r w:rsidRPr="000C11F9">
          <w:rPr>
            <w:rFonts w:ascii="Times New Roman" w:eastAsia="Times New Roman" w:hAnsi="Times New Roman" w:cs="Times New Roman"/>
            <w:color w:val="000000" w:themeColor="text1"/>
            <w:lang w:val="en-US"/>
          </w:rPr>
          <w:t>22]</w:t>
        </w:r>
      </w:hyperlink>
      <w:r w:rsidRPr="000C11F9">
        <w:rPr>
          <w:rFonts w:ascii="Times New Roman" w:eastAsia="Times New Roman" w:hAnsi="Times New Roman" w:cs="Times New Roman"/>
          <w:lang w:val="en-US"/>
        </w:rPr>
        <w:t xml:space="preserve">. Hospital-based adverse events, including </w:t>
      </w:r>
      <w:proofErr w:type="spellStart"/>
      <w:r w:rsidRPr="000C11F9">
        <w:rPr>
          <w:rFonts w:ascii="Times New Roman" w:eastAsia="Times New Roman" w:hAnsi="Times New Roman" w:cs="Times New Roman"/>
          <w:lang w:val="en-US"/>
        </w:rPr>
        <w:t>bradyarrhythmias</w:t>
      </w:r>
      <w:proofErr w:type="spellEnd"/>
      <w:r w:rsidRPr="000C11F9">
        <w:rPr>
          <w:rFonts w:ascii="Times New Roman" w:eastAsia="Times New Roman" w:hAnsi="Times New Roman" w:cs="Times New Roman"/>
          <w:lang w:val="en-US"/>
        </w:rPr>
        <w:t xml:space="preserve"> and hypotensive episodes, demonstrated no significant differences between early beta-blocker administration and control groups (RR: 0.75; 95% CI 0.52–1.09; p = 0.13) [</w:t>
      </w:r>
      <w:hyperlink r:id="rId59">
        <w:r w:rsidRPr="000C11F9">
          <w:rPr>
            <w:rFonts w:ascii="Times New Roman" w:eastAsia="Times New Roman" w:hAnsi="Times New Roman" w:cs="Times New Roman"/>
            <w:color w:val="000000" w:themeColor="text1"/>
            <w:lang w:val="en-US"/>
          </w:rPr>
          <w:t>12]</w:t>
        </w:r>
      </w:hyperlink>
      <w:r w:rsidRPr="000C11F9">
        <w:rPr>
          <w:rFonts w:ascii="Times New Roman" w:eastAsia="Times New Roman" w:hAnsi="Times New Roman" w:cs="Times New Roman"/>
          <w:lang w:val="en-US"/>
        </w:rPr>
        <w:t>. Treatment discontinuation rates remained comparable with concurrent dapagliflozin therapy regardless of beta-blocker utilization [</w:t>
      </w:r>
      <w:hyperlink r:id="rId60">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w:t>
      </w:r>
    </w:p>
    <w:p w14:paraId="6BB9E253"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78805D82" w14:textId="77777777" w:rsidR="001E3E73" w:rsidRPr="000C11F9" w:rsidRDefault="00EB72B6" w:rsidP="000C11F9">
      <w:pPr>
        <w:pStyle w:val="Heading2"/>
        <w:shd w:val="clear" w:color="auto" w:fill="FFFFFF"/>
        <w:spacing w:before="0" w:after="0" w:line="240" w:lineRule="auto"/>
        <w:jc w:val="both"/>
        <w:rPr>
          <w:rFonts w:ascii="Times New Roman" w:eastAsia="Times New Roman" w:hAnsi="Times New Roman" w:cs="Times New Roman"/>
          <w:b/>
          <w:color w:val="000000"/>
          <w:sz w:val="24"/>
          <w:szCs w:val="24"/>
        </w:rPr>
      </w:pPr>
      <w:r w:rsidRPr="000C11F9">
        <w:rPr>
          <w:rFonts w:ascii="Times New Roman" w:eastAsia="Times New Roman" w:hAnsi="Times New Roman" w:cs="Times New Roman"/>
          <w:b/>
          <w:color w:val="000000"/>
          <w:sz w:val="24"/>
          <w:szCs w:val="24"/>
        </w:rPr>
        <w:t>Guideline Discordance and the Pursuit of Individualized Therapy</w:t>
      </w:r>
    </w:p>
    <w:p w14:paraId="1BF60866"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 xml:space="preserve">Contemporary guideline recommendations for beta-blocker therapy demonstrate profound inconsistencies across major cardiology organizations, a situation that demands judicious clinical interpretation rather than blind adherence. The European Society of Cardiology (ESC) and American Heart Association/American College of Cardiology/Heart Failure Society of America (AHA/ACC/HFSA) present starkly divergent approaches to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management. The AHA/ACC/HFSA guidelines explicitly discourage beta-blocker utilization for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treatment [</w:t>
      </w:r>
      <w:hyperlink r:id="rId61">
        <w:r w:rsidRPr="000C11F9">
          <w:rPr>
            <w:rFonts w:ascii="Times New Roman" w:eastAsia="Times New Roman" w:hAnsi="Times New Roman" w:cs="Times New Roman"/>
            <w:color w:val="000000" w:themeColor="text1"/>
            <w:lang w:val="en-US"/>
          </w:rPr>
          <w:t>1]</w:t>
        </w:r>
      </w:hyperlink>
      <w:r w:rsidRPr="000C11F9">
        <w:rPr>
          <w:rFonts w:ascii="Times New Roman" w:eastAsia="Times New Roman" w:hAnsi="Times New Roman" w:cs="Times New Roman"/>
          <w:lang w:val="en-US"/>
        </w:rPr>
        <w:t xml:space="preserve">, yet paradoxically endorse these agents for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xml:space="preserve"> patients based upon meta-analytical </w:t>
      </w:r>
      <w:r w:rsidRPr="000C11F9">
        <w:rPr>
          <w:rFonts w:ascii="Times New Roman" w:eastAsia="Times New Roman" w:hAnsi="Times New Roman" w:cs="Times New Roman"/>
          <w:lang w:val="en-US"/>
        </w:rPr>
        <w:lastRenderedPageBreak/>
        <w:t>evidence demonstrating reduced cardiovascular mortality [</w:t>
      </w:r>
      <w:hyperlink r:id="rId62">
        <w:r w:rsidRPr="000C11F9">
          <w:rPr>
            <w:rFonts w:ascii="Times New Roman" w:eastAsia="Times New Roman" w:hAnsi="Times New Roman" w:cs="Times New Roman"/>
            <w:color w:val="000000" w:themeColor="text1"/>
            <w:lang w:val="en-US"/>
          </w:rPr>
          <w:t>23]</w:t>
        </w:r>
      </w:hyperlink>
      <w:r w:rsidRPr="000C11F9">
        <w:rPr>
          <w:rFonts w:ascii="Times New Roman" w:eastAsia="Times New Roman" w:hAnsi="Times New Roman" w:cs="Times New Roman"/>
          <w:lang w:val="en-US"/>
        </w:rPr>
        <w:t xml:space="preserve">. The ESC guidelines, perhaps more honestly, offer no definitive recommendations regarding beta-blocker therapy for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w:t>
      </w:r>
      <w:hyperlink r:id="rId63">
        <w:r w:rsidRPr="000C11F9">
          <w:rPr>
            <w:rFonts w:ascii="Times New Roman" w:eastAsia="Times New Roman" w:hAnsi="Times New Roman" w:cs="Times New Roman"/>
            <w:color w:val="000000" w:themeColor="text1"/>
            <w:lang w:val="en-US"/>
          </w:rPr>
          <w:t>24]</w:t>
        </w:r>
      </w:hyperlink>
      <w:r w:rsidRPr="000C11F9">
        <w:rPr>
          <w:rFonts w:ascii="Times New Roman" w:eastAsia="Times New Roman" w:hAnsi="Times New Roman" w:cs="Times New Roman"/>
          <w:lang w:val="en-US"/>
        </w:rPr>
        <w:t xml:space="preserve">. This regulatory ambiguity is troublesome given the body of evidence supporting beta-blocker efficacy across the heart failure spectrum. The reluctance to provide clear guidance likely stems from the heterogeneous nature of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itself—a syndrome encompassing diverse pathophysiological mechanisms that resist uniform therapeutic approaches.</w:t>
      </w:r>
    </w:p>
    <w:p w14:paraId="23DE523C"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42CB16D1" w14:textId="77777777" w:rsidR="001E3E73" w:rsidRPr="000C11F9" w:rsidRDefault="00EB72B6" w:rsidP="000C11F9">
      <w:pPr>
        <w:pStyle w:val="Heading3"/>
        <w:shd w:val="clear" w:color="auto" w:fill="FFFFFF" w:themeFill="background1"/>
        <w:spacing w:before="0" w:after="0" w:line="240" w:lineRule="auto"/>
        <w:jc w:val="both"/>
        <w:rPr>
          <w:rFonts w:ascii="Times New Roman" w:eastAsia="Times New Roman" w:hAnsi="Times New Roman" w:cs="Times New Roman"/>
          <w:color w:val="000000"/>
          <w:sz w:val="24"/>
          <w:szCs w:val="24"/>
          <w:lang w:val="en-US"/>
        </w:rPr>
      </w:pPr>
      <w:proofErr w:type="spellStart"/>
      <w:r w:rsidRPr="000C11F9">
        <w:rPr>
          <w:rFonts w:ascii="Times New Roman" w:eastAsia="Times New Roman" w:hAnsi="Times New Roman" w:cs="Times New Roman"/>
          <w:color w:val="000000" w:themeColor="text1"/>
          <w:sz w:val="24"/>
          <w:szCs w:val="24"/>
          <w:lang w:val="en-US"/>
        </w:rPr>
        <w:t>Cardioselective</w:t>
      </w:r>
      <w:proofErr w:type="spellEnd"/>
      <w:r w:rsidRPr="000C11F9">
        <w:rPr>
          <w:rFonts w:ascii="Times New Roman" w:eastAsia="Times New Roman" w:hAnsi="Times New Roman" w:cs="Times New Roman"/>
          <w:color w:val="000000" w:themeColor="text1"/>
          <w:sz w:val="24"/>
          <w:szCs w:val="24"/>
          <w:lang w:val="en-US"/>
        </w:rPr>
        <w:t xml:space="preserve"> beta-blockers demonstrate markedly superior clinical outcomes compared to non-selective agents in Asian populations. Rigorous investigations reveal that </w:t>
      </w:r>
      <w:proofErr w:type="spellStart"/>
      <w:r w:rsidRPr="000C11F9">
        <w:rPr>
          <w:rFonts w:ascii="Times New Roman" w:eastAsia="Times New Roman" w:hAnsi="Times New Roman" w:cs="Times New Roman"/>
          <w:color w:val="000000" w:themeColor="text1"/>
          <w:sz w:val="24"/>
          <w:szCs w:val="24"/>
          <w:lang w:val="en-US"/>
        </w:rPr>
        <w:t>cardioselective</w:t>
      </w:r>
      <w:proofErr w:type="spellEnd"/>
      <w:r w:rsidRPr="000C11F9">
        <w:rPr>
          <w:rFonts w:ascii="Times New Roman" w:eastAsia="Times New Roman" w:hAnsi="Times New Roman" w:cs="Times New Roman"/>
          <w:color w:val="000000" w:themeColor="text1"/>
          <w:sz w:val="24"/>
          <w:szCs w:val="24"/>
          <w:lang w:val="en-US"/>
        </w:rPr>
        <w:t xml:space="preserve"> formulations associate with reduced all-cause mortality (HR: 0.93; 95% CI: 0.89-0.96), major adverse cardiovascular events (HR: 0.96; 95% CI: 0.93-0.998), heart failure hospitalizations (HR: 0.84; 95% CI: 0.78-0.91), and pulmonary complications (HR: 0.94; 95% CI: 0.90-0.98) [</w:t>
      </w:r>
      <w:hyperlink r:id="rId64">
        <w:r w:rsidRPr="000C11F9">
          <w:rPr>
            <w:rFonts w:ascii="Times New Roman" w:eastAsia="Times New Roman" w:hAnsi="Times New Roman" w:cs="Times New Roman"/>
            <w:color w:val="000000" w:themeColor="text1"/>
            <w:sz w:val="24"/>
            <w:szCs w:val="24"/>
            <w:lang w:val="en-US"/>
          </w:rPr>
          <w:t>25]</w:t>
        </w:r>
      </w:hyperlink>
      <w:r w:rsidRPr="000C11F9">
        <w:rPr>
          <w:rFonts w:ascii="Times New Roman" w:eastAsia="Times New Roman" w:hAnsi="Times New Roman" w:cs="Times New Roman"/>
          <w:color w:val="000000" w:themeColor="text1"/>
          <w:sz w:val="24"/>
          <w:szCs w:val="24"/>
          <w:lang w:val="en-US"/>
        </w:rPr>
        <w:t>. This therapeutic advantage derives from beta-1 selectivity, which circumvents bronchospasm risk among patients with concurrent respiratory conditions [</w:t>
      </w:r>
      <w:hyperlink r:id="rId65">
        <w:r w:rsidRPr="000C11F9">
          <w:rPr>
            <w:rFonts w:ascii="Times New Roman" w:eastAsia="Times New Roman" w:hAnsi="Times New Roman" w:cs="Times New Roman"/>
            <w:color w:val="000000" w:themeColor="text1"/>
            <w:sz w:val="24"/>
            <w:szCs w:val="24"/>
            <w:lang w:val="en-US"/>
          </w:rPr>
          <w:t>26]</w:t>
        </w:r>
      </w:hyperlink>
      <w:r w:rsidRPr="000C11F9">
        <w:rPr>
          <w:rFonts w:ascii="Times New Roman" w:eastAsia="Times New Roman" w:hAnsi="Times New Roman" w:cs="Times New Roman"/>
          <w:color w:val="000000" w:themeColor="text1"/>
          <w:sz w:val="24"/>
          <w:szCs w:val="24"/>
          <w:lang w:val="en-US"/>
        </w:rPr>
        <w:t>. Treatment individualization based upon patient-specific comorbidity profiles yields optimal clinical outcomes [</w:t>
      </w:r>
      <w:hyperlink r:id="rId66">
        <w:r w:rsidRPr="000C11F9">
          <w:rPr>
            <w:rFonts w:ascii="Times New Roman" w:eastAsia="Times New Roman" w:hAnsi="Times New Roman" w:cs="Times New Roman"/>
            <w:color w:val="000000" w:themeColor="text1"/>
            <w:sz w:val="24"/>
            <w:szCs w:val="24"/>
            <w:lang w:val="en-US"/>
          </w:rPr>
          <w:t>27]</w:t>
        </w:r>
      </w:hyperlink>
      <w:r w:rsidRPr="000C11F9">
        <w:rPr>
          <w:rFonts w:ascii="Times New Roman" w:eastAsia="Times New Roman" w:hAnsi="Times New Roman" w:cs="Times New Roman"/>
          <w:color w:val="000000" w:themeColor="text1"/>
          <w:sz w:val="24"/>
          <w:szCs w:val="24"/>
          <w:lang w:val="en-US"/>
        </w:rPr>
        <w:t>. Several key considerations merit emphasis:</w:t>
      </w:r>
    </w:p>
    <w:p w14:paraId="52E56223"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b/>
        </w:rPr>
      </w:pPr>
    </w:p>
    <w:p w14:paraId="7A62FDFC" w14:textId="77777777" w:rsidR="001E3E73" w:rsidRPr="000C11F9" w:rsidRDefault="00EB72B6" w:rsidP="000C11F9">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Chronic Obstructive Pulmonary Disease: Beta-1 selective agents (bisoprolol, metoprolol, nebivolol) prevent exacerbation of respiratory symptoms while preserving cardiovascular benefits [</w:t>
      </w:r>
      <w:hyperlink r:id="rId67">
        <w:r w:rsidRPr="000C11F9">
          <w:rPr>
            <w:rFonts w:ascii="Times New Roman" w:eastAsia="Times New Roman" w:hAnsi="Times New Roman" w:cs="Times New Roman"/>
            <w:color w:val="000000"/>
          </w:rPr>
          <w:t>28]</w:t>
        </w:r>
      </w:hyperlink>
      <w:r w:rsidRPr="000C11F9">
        <w:rPr>
          <w:rFonts w:ascii="Times New Roman" w:eastAsia="Times New Roman" w:hAnsi="Times New Roman" w:cs="Times New Roman"/>
          <w:color w:val="000000"/>
        </w:rPr>
        <w:t>.</w:t>
      </w:r>
    </w:p>
    <w:p w14:paraId="07547A01"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b/>
        </w:rPr>
      </w:pPr>
    </w:p>
    <w:p w14:paraId="4B25C75C" w14:textId="77777777" w:rsidR="001E3E73" w:rsidRPr="000C11F9" w:rsidRDefault="00EB72B6" w:rsidP="000C11F9">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Diabetes Mellitus: Carvedilol and bisoprolol warrant preference given their neutral effects upon glycemic control profiles [</w:t>
      </w:r>
      <w:hyperlink r:id="rId68">
        <w:r w:rsidRPr="000C11F9">
          <w:rPr>
            <w:rFonts w:ascii="Times New Roman" w:eastAsia="Times New Roman" w:hAnsi="Times New Roman" w:cs="Times New Roman"/>
            <w:color w:val="000000"/>
          </w:rPr>
          <w:t>28]</w:t>
        </w:r>
      </w:hyperlink>
      <w:r w:rsidRPr="000C11F9">
        <w:rPr>
          <w:rFonts w:ascii="Times New Roman" w:eastAsia="Times New Roman" w:hAnsi="Times New Roman" w:cs="Times New Roman"/>
          <w:color w:val="000000"/>
        </w:rPr>
        <w:t>.</w:t>
      </w:r>
    </w:p>
    <w:p w14:paraId="5043CB0F"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b/>
        </w:rPr>
      </w:pPr>
    </w:p>
    <w:p w14:paraId="5D283672" w14:textId="77777777" w:rsidR="001E3E73" w:rsidRPr="000C11F9" w:rsidRDefault="00EB72B6" w:rsidP="000C11F9">
      <w:pPr>
        <w:numPr>
          <w:ilvl w:val="0"/>
          <w:numId w:val="2"/>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r w:rsidRPr="000C11F9">
        <w:rPr>
          <w:rFonts w:ascii="Times New Roman" w:eastAsia="Times New Roman" w:hAnsi="Times New Roman" w:cs="Times New Roman"/>
          <w:color w:val="000000"/>
        </w:rPr>
        <w:t>Atrial Fibrillation: Despite conflicting evidence from randomized trials, real-world observational data suggests prognostic advantages independent of rhythm status [</w:t>
      </w:r>
      <w:hyperlink r:id="rId69">
        <w:r w:rsidRPr="000C11F9">
          <w:rPr>
            <w:rFonts w:ascii="Times New Roman" w:eastAsia="Times New Roman" w:hAnsi="Times New Roman" w:cs="Times New Roman"/>
            <w:color w:val="000000"/>
          </w:rPr>
          <w:t>28]</w:t>
        </w:r>
      </w:hyperlink>
      <w:r w:rsidRPr="000C11F9">
        <w:rPr>
          <w:rFonts w:ascii="Times New Roman" w:eastAsia="Times New Roman" w:hAnsi="Times New Roman" w:cs="Times New Roman"/>
          <w:color w:val="000000"/>
        </w:rPr>
        <w:t>.</w:t>
      </w:r>
    </w:p>
    <w:p w14:paraId="07459315" w14:textId="77777777" w:rsidR="001E3E73" w:rsidRPr="000C11F9" w:rsidRDefault="001E3E73" w:rsidP="000C11F9">
      <w:pPr>
        <w:shd w:val="clear" w:color="auto" w:fill="FFFFFF"/>
        <w:spacing w:after="0" w:line="240" w:lineRule="auto"/>
        <w:jc w:val="both"/>
        <w:rPr>
          <w:rFonts w:ascii="Times New Roman" w:eastAsia="Times New Roman" w:hAnsi="Times New Roman" w:cs="Times New Roman"/>
        </w:rPr>
      </w:pPr>
    </w:p>
    <w:p w14:paraId="3A658951" w14:textId="77777777" w:rsidR="001E3E73" w:rsidRPr="000C11F9" w:rsidRDefault="00EB72B6" w:rsidP="000C11F9">
      <w:pPr>
        <w:shd w:val="clear" w:color="auto" w:fill="FFFFFF" w:themeFill="background1"/>
        <w:spacing w:after="0" w:line="240" w:lineRule="auto"/>
        <w:jc w:val="both"/>
        <w:rPr>
          <w:rFonts w:ascii="Times New Roman" w:eastAsia="Times New Roman" w:hAnsi="Times New Roman" w:cs="Times New Roman"/>
        </w:rPr>
      </w:pPr>
      <w:r w:rsidRPr="000C11F9">
        <w:rPr>
          <w:rFonts w:ascii="Times New Roman" w:eastAsia="Times New Roman" w:hAnsi="Times New Roman" w:cs="Times New Roman"/>
        </w:rPr>
        <w:t>The complexity of these considerations underscores why algorithmic approaches to beta-blocker selection often prove inadequate. Clinical judgment, informed by population-specific evidence and individual patient characteristics, remains paramount.</w:t>
      </w:r>
    </w:p>
    <w:p w14:paraId="1C106B3C" w14:textId="2B530F13"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lang w:val="en-US"/>
        </w:rPr>
      </w:pPr>
      <w:proofErr w:type="spellStart"/>
      <w:r w:rsidRPr="000C11F9">
        <w:rPr>
          <w:rFonts w:ascii="Times New Roman" w:eastAsia="Times New Roman" w:hAnsi="Times New Roman" w:cs="Times New Roman"/>
          <w:b/>
          <w:bCs/>
          <w:color w:val="auto"/>
          <w:sz w:val="24"/>
          <w:szCs w:val="24"/>
          <w:lang w:val="en-US"/>
        </w:rPr>
        <w:t>HFmrEF</w:t>
      </w:r>
      <w:proofErr w:type="spellEnd"/>
      <w:r w:rsidRPr="000C11F9">
        <w:rPr>
          <w:rFonts w:ascii="Times New Roman" w:eastAsia="Times New Roman" w:hAnsi="Times New Roman" w:cs="Times New Roman"/>
          <w:b/>
          <w:bCs/>
          <w:color w:val="auto"/>
          <w:sz w:val="24"/>
          <w:szCs w:val="24"/>
          <w:lang w:val="en-US"/>
        </w:rPr>
        <w:t xml:space="preserve"> and </w:t>
      </w:r>
      <w:proofErr w:type="spellStart"/>
      <w:r w:rsidRPr="000C11F9">
        <w:rPr>
          <w:rFonts w:ascii="Times New Roman" w:eastAsia="Times New Roman" w:hAnsi="Times New Roman" w:cs="Times New Roman"/>
          <w:b/>
          <w:bCs/>
          <w:color w:val="auto"/>
          <w:sz w:val="24"/>
          <w:szCs w:val="24"/>
          <w:lang w:val="en-US"/>
        </w:rPr>
        <w:t>HFpEF</w:t>
      </w:r>
      <w:proofErr w:type="spellEnd"/>
      <w:r w:rsidRPr="000C11F9">
        <w:rPr>
          <w:rFonts w:ascii="Times New Roman" w:eastAsia="Times New Roman" w:hAnsi="Times New Roman" w:cs="Times New Roman"/>
          <w:b/>
          <w:bCs/>
          <w:color w:val="auto"/>
          <w:sz w:val="24"/>
          <w:szCs w:val="24"/>
          <w:lang w:val="en-US"/>
        </w:rPr>
        <w:t>: Distinct Therapeutic Rationales</w:t>
      </w:r>
    </w:p>
    <w:p w14:paraId="60203516" w14:textId="474FFF20"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 xml:space="preserve">In </w:t>
      </w:r>
      <w:proofErr w:type="spellStart"/>
      <w:r w:rsidRPr="000C11F9">
        <w:rPr>
          <w:rFonts w:ascii="Times New Roman" w:eastAsia="Times New Roman" w:hAnsi="Times New Roman" w:cs="Times New Roman"/>
          <w:lang w:val="en-US"/>
        </w:rPr>
        <w:t>HFrEF</w:t>
      </w:r>
      <w:proofErr w:type="spellEnd"/>
      <w:r w:rsidRPr="000C11F9">
        <w:rPr>
          <w:rFonts w:ascii="Times New Roman" w:eastAsia="Times New Roman" w:hAnsi="Times New Roman" w:cs="Times New Roman"/>
          <w:lang w:val="en-US"/>
        </w:rPr>
        <w:t xml:space="preserve">, β-blockers are universally recommended as Class I therapy given their robust mortality benefit [1,2]. In </w:t>
      </w:r>
      <w:proofErr w:type="spellStart"/>
      <w:r w:rsidRPr="000C11F9">
        <w:rPr>
          <w:rFonts w:ascii="Times New Roman" w:eastAsia="Times New Roman" w:hAnsi="Times New Roman" w:cs="Times New Roman"/>
          <w:lang w:val="en-US"/>
        </w:rPr>
        <w:t>HFmrEF</w:t>
      </w:r>
      <w:proofErr w:type="spellEnd"/>
      <w:r w:rsidRPr="000C11F9">
        <w:rPr>
          <w:rFonts w:ascii="Times New Roman" w:eastAsia="Times New Roman" w:hAnsi="Times New Roman" w:cs="Times New Roman"/>
          <w:lang w:val="en-US"/>
        </w:rPr>
        <w:t xml:space="preserve"> and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however, utilization is less consistent and often comorbidity driven. In the ASIAN-HF registry, nearly 80% of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patients received β-blockers, predominantly for atrial fibrillation, ischemic heart disease, or hypertension rather than heart failure per se [4,6]. Importantly, subgroup analyses demonstrate no significant interaction between LVEF strata and β-blocker outcomes (interaction p&gt;0.47), suggesting benefit extends beyond classical </w:t>
      </w:r>
      <w:proofErr w:type="spellStart"/>
      <w:r w:rsidRPr="000C11F9">
        <w:rPr>
          <w:rFonts w:ascii="Times New Roman" w:eastAsia="Times New Roman" w:hAnsi="Times New Roman" w:cs="Times New Roman"/>
          <w:lang w:val="en-US"/>
        </w:rPr>
        <w:t>HFrEF</w:t>
      </w:r>
      <w:proofErr w:type="spellEnd"/>
      <w:r w:rsidRPr="000C11F9">
        <w:rPr>
          <w:rFonts w:ascii="Times New Roman" w:eastAsia="Times New Roman" w:hAnsi="Times New Roman" w:cs="Times New Roman"/>
          <w:lang w:val="en-US"/>
        </w:rPr>
        <w:t xml:space="preserve"> [1]. Nonetheless, heterogeneity in </w:t>
      </w:r>
      <w:proofErr w:type="spellStart"/>
      <w:r w:rsidRPr="000C11F9">
        <w:rPr>
          <w:rFonts w:ascii="Times New Roman" w:eastAsia="Times New Roman" w:hAnsi="Times New Roman" w:cs="Times New Roman"/>
          <w:lang w:val="en-US"/>
        </w:rPr>
        <w:t>HFpEF</w:t>
      </w:r>
      <w:proofErr w:type="spellEnd"/>
      <w:r w:rsidRPr="000C11F9">
        <w:rPr>
          <w:rFonts w:ascii="Times New Roman" w:eastAsia="Times New Roman" w:hAnsi="Times New Roman" w:cs="Times New Roman"/>
          <w:lang w:val="en-US"/>
        </w:rPr>
        <w:t xml:space="preserve"> pathophysiology complicates guideline recommendations, with U.S. guidelines discouraging routine use while ESC guidance remains non-committal [23,24]. Precision medicine approaches that differentiate comorbidity-driven versus HF-driven β-blocker use are warranted.</w:t>
      </w:r>
    </w:p>
    <w:p w14:paraId="4548C632" w14:textId="329F642C"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rPr>
      </w:pPr>
      <w:r w:rsidRPr="000C11F9">
        <w:rPr>
          <w:rFonts w:ascii="Times New Roman" w:eastAsia="Times New Roman" w:hAnsi="Times New Roman" w:cs="Times New Roman"/>
          <w:b/>
          <w:bCs/>
          <w:color w:val="auto"/>
          <w:sz w:val="24"/>
          <w:szCs w:val="24"/>
        </w:rPr>
        <w:lastRenderedPageBreak/>
        <w:t>Dose Differences and Mechanistic Explanations</w:t>
      </w:r>
    </w:p>
    <w:p w14:paraId="72B385B2" w14:textId="7D2628DC"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A key observation is that Asian patients often achieve equivalent outcomes at substantially lower doses than their Western counterparts. Japanese cohorts initiate carvedilol at ~4.3 mg/day and maintain ~11.2 mg/day at one year, compared with 14.5–34 mg/day in the U.S. [7]. Despite these lower doses, survival and functional outcomes are comparable, with hazard ratios for composite endpoints consistently favoring β-blocker use (HR 0.70, 95% CI 0.60–0.83) [1]. Pharmacogenomic factors likely contribute: CYP2D6 polymorphisms prevalent in Asian populations alter carvedilol metabolism, and β-adrenergic receptor variants (e.g., ADRB1 Arg389Gly) may enhance receptor sensitivity [8]. These mechanisms provide biological plausibility for reduced dose requirements while minimizing adverse events.</w:t>
      </w:r>
    </w:p>
    <w:p w14:paraId="7D44463F" w14:textId="37EC2132"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rPr>
      </w:pPr>
      <w:r w:rsidRPr="000C11F9">
        <w:rPr>
          <w:rFonts w:ascii="Times New Roman" w:eastAsia="Times New Roman" w:hAnsi="Times New Roman" w:cs="Times New Roman"/>
          <w:b/>
          <w:bCs/>
          <w:color w:val="auto"/>
          <w:sz w:val="24"/>
          <w:szCs w:val="24"/>
        </w:rPr>
        <w:t>Economic Stratification and Prescriptive Behavior</w:t>
      </w:r>
    </w:p>
    <w:p w14:paraId="4C63FAB6" w14:textId="359E2F29"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 xml:space="preserve">Economic disparities across Asia strongly influence both β-blocker and SGLT2 inhibitor prescribing. High-income countries such as Japan, Korea, and Singapore more frequently employ dual therapy with </w:t>
      </w:r>
      <w:proofErr w:type="spellStart"/>
      <w:r w:rsidRPr="000C11F9">
        <w:rPr>
          <w:rFonts w:ascii="Times New Roman" w:eastAsia="Times New Roman" w:hAnsi="Times New Roman" w:cs="Times New Roman"/>
          <w:lang w:val="en-US"/>
        </w:rPr>
        <w:t>ACEi</w:t>
      </w:r>
      <w:proofErr w:type="spellEnd"/>
      <w:r w:rsidRPr="000C11F9">
        <w:rPr>
          <w:rFonts w:ascii="Times New Roman" w:eastAsia="Times New Roman" w:hAnsi="Times New Roman" w:cs="Times New Roman"/>
          <w:lang w:val="en-US"/>
        </w:rPr>
        <w:t>/ARB and β-blockers, whereas lower-income nations such as Indonesia exhibit lower adoption and reduced dosing intensity [4]. Affordability, hospital policy, and formulary availability also shape dose titration strategies, with some hospitals avoiding higher doses due to monitoring costs or limited drug supply. These structural factors compound the pharmacogenomic differences, creating multi-layered heterogeneity in prescribing patterns.</w:t>
      </w:r>
    </w:p>
    <w:p w14:paraId="0DF37C94" w14:textId="4F1BCA9D"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rPr>
      </w:pPr>
      <w:r w:rsidRPr="000C11F9">
        <w:rPr>
          <w:rFonts w:ascii="Times New Roman" w:eastAsia="Times New Roman" w:hAnsi="Times New Roman" w:cs="Times New Roman"/>
          <w:b/>
          <w:bCs/>
          <w:color w:val="auto"/>
          <w:sz w:val="24"/>
          <w:szCs w:val="24"/>
        </w:rPr>
        <w:t>Evidence from DELIVER and DAPA-HF in Asian Patients</w:t>
      </w:r>
    </w:p>
    <w:p w14:paraId="28B1467E" w14:textId="53D8A331" w:rsidR="4566ABED" w:rsidRPr="000C11F9" w:rsidRDefault="4566ABED" w:rsidP="000C11F9">
      <w:pPr>
        <w:spacing w:before="240" w:after="240" w:line="240" w:lineRule="auto"/>
        <w:jc w:val="both"/>
        <w:rPr>
          <w:rFonts w:ascii="Times New Roman" w:eastAsia="Times New Roman" w:hAnsi="Times New Roman" w:cs="Times New Roman"/>
          <w:b/>
          <w:bCs/>
        </w:rPr>
      </w:pPr>
      <w:r w:rsidRPr="000C11F9">
        <w:rPr>
          <w:rFonts w:ascii="Times New Roman" w:eastAsia="Times New Roman" w:hAnsi="Times New Roman" w:cs="Times New Roman"/>
          <w:lang w:val="en-US"/>
        </w:rPr>
        <w:t>Large outcome trials provide reassuring evidence that reduced doses do not compromise efficacy when combined with contemporary therapy. The DELIVER trial enrolled ~25% Asian patients, and DAPA-HF ~22%, with subgroup analyses demonstrating no heterogeneity of effect by region [3,15,17]. Dapagliflozin reduced cardiovascular death or worsening HF irrespective of background β-blocker use (HR 0.82 with β-blockers vs. HR 0.79 without; interaction p=0.85) [15]. Similarly, DAPA-HF showed a 26% reduction in the composite endpoint and 18% reduction in cardiovascular mortality, unaffected by β-blocker co-administration [18]. These results confirm that β-blockers and SGLT2 inhibitors operate through complementary rather than antagonistic mechanisms.</w:t>
      </w:r>
    </w:p>
    <w:p w14:paraId="42104093" w14:textId="63329B95" w:rsidR="4566ABED" w:rsidRPr="000C11F9" w:rsidRDefault="4566ABED" w:rsidP="000C11F9">
      <w:pPr>
        <w:spacing w:before="240" w:after="240" w:line="240" w:lineRule="auto"/>
        <w:jc w:val="both"/>
        <w:rPr>
          <w:rFonts w:ascii="Times New Roman" w:eastAsia="Times New Roman" w:hAnsi="Times New Roman" w:cs="Times New Roman"/>
          <w:b/>
          <w:bCs/>
        </w:rPr>
      </w:pPr>
      <w:r w:rsidRPr="000C11F9">
        <w:rPr>
          <w:rFonts w:ascii="Times New Roman" w:eastAsia="Times New Roman" w:hAnsi="Times New Roman" w:cs="Times New Roman"/>
          <w:b/>
          <w:bCs/>
        </w:rPr>
        <w:t>Mechanistic Rationale for Synergy</w:t>
      </w:r>
    </w:p>
    <w:p w14:paraId="3BB2E2C3" w14:textId="340B1505"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SGLT2 inhibitors reduce preload and afterload via osmotic diuresis and natriuresis, improve myocardial energetics, and lower interstitial volume [15,17–19]. β-blockers, by contrast, reduce sympathetic drive, heart rate, arrhythmic risk, and ischemic burden [10,27]. These non-overlapping mechanisms explain why dapagliflozin maintained efficacy irrespective of β-blocker status, with additive rather than redundant benefits [15,18]. Together, these agents represent a rational foundation for combination therapy in precision medicine strategies.</w:t>
      </w:r>
    </w:p>
    <w:p w14:paraId="1579618F" w14:textId="30CB562A"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rPr>
      </w:pPr>
      <w:r w:rsidRPr="000C11F9">
        <w:rPr>
          <w:rFonts w:ascii="Times New Roman" w:eastAsia="Times New Roman" w:hAnsi="Times New Roman" w:cs="Times New Roman"/>
          <w:b/>
          <w:bCs/>
          <w:color w:val="auto"/>
          <w:sz w:val="24"/>
          <w:szCs w:val="24"/>
        </w:rPr>
        <w:t>Vulnerable Subgroups: Elderly and Underweight Patients</w:t>
      </w:r>
    </w:p>
    <w:p w14:paraId="75A63BA1" w14:textId="5B76E11B"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 xml:space="preserve">Asian HF patients are often smaller in body size and older at presentation compared with Western cohorts, increasing susceptibility to bradycardia and hypotension. Registry data report bradycardia </w:t>
      </w:r>
      <w:r w:rsidRPr="000C11F9">
        <w:rPr>
          <w:rFonts w:ascii="Times New Roman" w:eastAsia="Times New Roman" w:hAnsi="Times New Roman" w:cs="Times New Roman"/>
          <w:lang w:val="en-US"/>
        </w:rPr>
        <w:lastRenderedPageBreak/>
        <w:t>incidence of 0.4–12% in β-blocker users versus 0–5% in placebo [21]. Japanese studies further show superior tolerability, with lower discontinuation rates relative to the U.S. (RR 0.406, p=0.035) [8]. These findings highlight the need for cautious titration in underweight and elderly patients, frequent monitoring of renal function and electrolytes, and individualized dose ceilings that balance efficacy with tolerability [20,22].</w:t>
      </w:r>
    </w:p>
    <w:p w14:paraId="01DB850A" w14:textId="1F7A2857" w:rsidR="4566ABED" w:rsidRPr="000C11F9" w:rsidRDefault="4566ABED" w:rsidP="000C11F9">
      <w:pPr>
        <w:pStyle w:val="Heading3"/>
        <w:spacing w:before="281" w:after="281" w:line="240" w:lineRule="auto"/>
        <w:jc w:val="both"/>
        <w:rPr>
          <w:rFonts w:ascii="Times New Roman" w:eastAsia="Times New Roman" w:hAnsi="Times New Roman" w:cs="Times New Roman"/>
          <w:b/>
          <w:bCs/>
          <w:color w:val="auto"/>
          <w:sz w:val="24"/>
          <w:szCs w:val="24"/>
        </w:rPr>
      </w:pPr>
      <w:r w:rsidRPr="000C11F9">
        <w:rPr>
          <w:rFonts w:ascii="Times New Roman" w:eastAsia="Times New Roman" w:hAnsi="Times New Roman" w:cs="Times New Roman"/>
          <w:b/>
          <w:bCs/>
          <w:color w:val="auto"/>
          <w:sz w:val="24"/>
          <w:szCs w:val="24"/>
        </w:rPr>
        <w:t>Toward Precision Medicine in Asia</w:t>
      </w:r>
    </w:p>
    <w:p w14:paraId="07638C79" w14:textId="410557B8" w:rsidR="4566ABED" w:rsidRPr="000C11F9" w:rsidRDefault="4566ABED" w:rsidP="000C11F9">
      <w:pPr>
        <w:spacing w:before="240" w:after="240" w:line="240" w:lineRule="auto"/>
        <w:jc w:val="both"/>
        <w:rPr>
          <w:rFonts w:ascii="Times New Roman" w:hAnsi="Times New Roman" w:cs="Times New Roman"/>
        </w:rPr>
      </w:pPr>
      <w:r w:rsidRPr="000C11F9">
        <w:rPr>
          <w:rFonts w:ascii="Times New Roman" w:eastAsia="Times New Roman" w:hAnsi="Times New Roman" w:cs="Times New Roman"/>
          <w:lang w:val="en-US"/>
        </w:rPr>
        <w:t>The observed heterogeneity in dosing, outcomes, and economic access across Asia argues against a “one-size-fits-all” dosing paradigm. Instead, population-specific guidelines—such as the lower carvedilol targets in Japan (20 mg daily) compared with the U.S. (50 mg daily) [7,8]—may better reflect pharmacogenomic realities and clinical practice. Future trials should prioritize stratified analyses in Asian cohorts, incorporating pharmacogenomic, economic, and comorbidity data to inform individualized treatment algorithms. Ultimately, integrating β-blockers and SGLT2 inhibitors within precision medicine frameworks offers the opportunity to optimize survival and quality of life across diverse Asian populations.</w:t>
      </w:r>
    </w:p>
    <w:p w14:paraId="2A02AEFD" w14:textId="71B33C0E" w:rsidR="32814A7C" w:rsidRPr="000C11F9" w:rsidRDefault="32814A7C" w:rsidP="000C11F9">
      <w:pPr>
        <w:pStyle w:val="Heading2"/>
        <w:shd w:val="clear" w:color="auto" w:fill="FFFFFF" w:themeFill="background1"/>
        <w:spacing w:after="0" w:line="240" w:lineRule="auto"/>
        <w:jc w:val="both"/>
        <w:rPr>
          <w:rFonts w:ascii="Times New Roman" w:hAnsi="Times New Roman" w:cs="Times New Roman"/>
        </w:rPr>
      </w:pPr>
      <w:r w:rsidRPr="000C11F9">
        <w:rPr>
          <w:rFonts w:ascii="Times New Roman" w:eastAsia="Times New Roman" w:hAnsi="Times New Roman" w:cs="Times New Roman"/>
          <w:b/>
          <w:bCs/>
          <w:color w:val="auto"/>
          <w:sz w:val="24"/>
          <w:szCs w:val="24"/>
        </w:rPr>
        <w:t>Conclusion</w:t>
      </w:r>
    </w:p>
    <w:p w14:paraId="71AE1710" w14:textId="77777777" w:rsidR="006E36FB" w:rsidRPr="000C11F9" w:rsidRDefault="006E36FB" w:rsidP="000C11F9">
      <w:pPr>
        <w:shd w:val="clear" w:color="auto" w:fill="FFFFFF" w:themeFill="background1"/>
        <w:spacing w:after="0" w:line="240" w:lineRule="auto"/>
        <w:jc w:val="both"/>
        <w:rPr>
          <w:rFonts w:ascii="Times New Roman" w:eastAsia="Times New Roman" w:hAnsi="Times New Roman" w:cs="Times New Roman"/>
          <w:lang w:val="en-US"/>
        </w:rPr>
      </w:pPr>
    </w:p>
    <w:p w14:paraId="379D4147" w14:textId="3B095FD4" w:rsidR="32814A7C" w:rsidRPr="000C11F9" w:rsidRDefault="32814A7C" w:rsidP="000C11F9">
      <w:pPr>
        <w:shd w:val="clear" w:color="auto" w:fill="FFFFFF" w:themeFill="background1"/>
        <w:spacing w:after="0" w:line="240" w:lineRule="auto"/>
        <w:jc w:val="both"/>
        <w:rPr>
          <w:rFonts w:ascii="Times New Roman" w:eastAsia="Times New Roman" w:hAnsi="Times New Roman" w:cs="Times New Roman"/>
          <w:lang w:val="en-US"/>
        </w:rPr>
      </w:pPr>
      <w:r w:rsidRPr="000C11F9">
        <w:rPr>
          <w:rFonts w:ascii="Times New Roman" w:eastAsia="Times New Roman" w:hAnsi="Times New Roman" w:cs="Times New Roman"/>
          <w:lang w:val="en-US"/>
        </w:rPr>
        <w:t>This study underscores the complexity of β-blocker therapy in Asian patients with heart failure, where prescriptive practices, dosing strategies, and clinical outcomes diverge from Western standards. Our findings support the continued role of β-blockers across the HF spectrum while emphasizing that regional pharmacogenomics, economic stratification, and comorbidity profiles shape both utilization and outcomes.</w:t>
      </w:r>
      <w:r w:rsidR="006E36FB" w:rsidRPr="000C11F9">
        <w:rPr>
          <w:rFonts w:ascii="Times New Roman" w:eastAsia="Times New Roman" w:hAnsi="Times New Roman" w:cs="Times New Roman"/>
          <w:lang w:val="en-US"/>
        </w:rPr>
        <w:t xml:space="preserve"> Further research will be necessary to appropriately differentiate the therapeutic regimen for hypotensive and hypovolemic patients and those with comorbid advanced renal failure. Another avenue of further research concerns the precise biochemical mechanisms occasioned by the genetic drug metabolism signatures in Asian patients. Dapagliflozin maintains consistent efficacy irrespective of background beta-blocker utilization, suggesting these therapeutic modalities operate through complementary rather than competitive mechanisms. Such observations support combination therapy strategies that may yield superior outcomes compared to monotherapy approaches. Nonetheless, </w:t>
      </w:r>
      <w:proofErr w:type="spellStart"/>
      <w:r w:rsidR="006E36FB" w:rsidRPr="000C11F9">
        <w:rPr>
          <w:rFonts w:ascii="Times New Roman" w:eastAsia="Times New Roman" w:hAnsi="Times New Roman" w:cs="Times New Roman"/>
          <w:lang w:val="en-US"/>
        </w:rPr>
        <w:t>cardioselective</w:t>
      </w:r>
      <w:proofErr w:type="spellEnd"/>
      <w:r w:rsidR="006E36FB" w:rsidRPr="000C11F9">
        <w:rPr>
          <w:rFonts w:ascii="Times New Roman" w:eastAsia="Times New Roman" w:hAnsi="Times New Roman" w:cs="Times New Roman"/>
          <w:lang w:val="en-US"/>
        </w:rPr>
        <w:t xml:space="preserve"> beta-blockers demonstrate promise in Asian populations, especially when prescribed considerations account for comorbid conditions and left ventricular function. Future investigations should prioritize the refinement of population-specific dosing algorithms and combination therapy protocols, ultimately advancing precision medicine approaches that acknowledge both regional and individual patient characteristics in therapeutic decision-making.</w:t>
      </w:r>
    </w:p>
    <w:p w14:paraId="70BDC3B1" w14:textId="77777777" w:rsidR="006E36FB" w:rsidRPr="000C11F9" w:rsidRDefault="006E36FB" w:rsidP="000C11F9">
      <w:pPr>
        <w:shd w:val="clear" w:color="auto" w:fill="FFFFFF" w:themeFill="background1"/>
        <w:spacing w:after="0" w:line="240" w:lineRule="auto"/>
        <w:jc w:val="both"/>
        <w:rPr>
          <w:rFonts w:ascii="Times New Roman" w:eastAsia="Times New Roman" w:hAnsi="Times New Roman" w:cs="Times New Roman"/>
          <w:lang w:val="en-US"/>
        </w:rPr>
      </w:pPr>
    </w:p>
    <w:p w14:paraId="60DD1916" w14:textId="071C511E" w:rsidR="0048016C" w:rsidRPr="0048016C" w:rsidRDefault="0048016C" w:rsidP="0048016C">
      <w:pPr>
        <w:spacing w:line="240" w:lineRule="auto"/>
        <w:rPr>
          <w:rFonts w:ascii="Times New Roman" w:eastAsia="Times New Roman" w:hAnsi="Times New Roman" w:cs="Times New Roman"/>
          <w:b/>
          <w:bCs/>
        </w:rPr>
      </w:pPr>
      <w:bookmarkStart w:id="0" w:name="_heading=h.vy8xciyed9t2" w:colFirst="0" w:colLast="0"/>
      <w:bookmarkEnd w:id="0"/>
      <w:r w:rsidRPr="0048016C">
        <w:rPr>
          <w:rFonts w:ascii="Times New Roman" w:eastAsia="Times New Roman" w:hAnsi="Times New Roman" w:cs="Times New Roman"/>
          <w:b/>
          <w:bCs/>
        </w:rPr>
        <w:t>Disclaimer</w:t>
      </w:r>
      <w:r>
        <w:rPr>
          <w:rFonts w:ascii="Times New Roman" w:eastAsia="Times New Roman" w:hAnsi="Times New Roman" w:cs="Times New Roman"/>
          <w:b/>
          <w:bCs/>
        </w:rPr>
        <w:t xml:space="preserve"> for Preprint:</w:t>
      </w:r>
    </w:p>
    <w:p w14:paraId="1D183EBB" w14:textId="7AAC144D" w:rsidR="0048016C" w:rsidRPr="0048016C" w:rsidRDefault="0048016C" w:rsidP="0048016C">
      <w:pPr>
        <w:spacing w:line="240" w:lineRule="auto"/>
        <w:rPr>
          <w:rFonts w:ascii="Times New Roman" w:eastAsia="Times New Roman" w:hAnsi="Times New Roman" w:cs="Times New Roman"/>
          <w:bCs/>
        </w:rPr>
      </w:pPr>
      <w:r w:rsidRPr="0048016C">
        <w:rPr>
          <w:rFonts w:ascii="Times New Roman" w:eastAsia="Times New Roman" w:hAnsi="Times New Roman" w:cs="Times New Roman"/>
          <w:bCs/>
        </w:rPr>
        <w:t>This paper is an extended version of a preprint document of the same author.</w:t>
      </w:r>
    </w:p>
    <w:p w14:paraId="462B4853" w14:textId="730F4683" w:rsidR="0048016C" w:rsidRPr="0048016C" w:rsidRDefault="0048016C" w:rsidP="0048016C">
      <w:pPr>
        <w:spacing w:line="240" w:lineRule="auto"/>
        <w:rPr>
          <w:rFonts w:ascii="Times New Roman" w:eastAsia="Times New Roman" w:hAnsi="Times New Roman" w:cs="Times New Roman"/>
          <w:bCs/>
        </w:rPr>
      </w:pPr>
      <w:r w:rsidRPr="0048016C">
        <w:rPr>
          <w:rFonts w:ascii="Times New Roman" w:eastAsia="Times New Roman" w:hAnsi="Times New Roman" w:cs="Times New Roman"/>
          <w:bCs/>
        </w:rPr>
        <w:t xml:space="preserve">The preprint document is available in this link: </w:t>
      </w:r>
      <w:hyperlink r:id="rId70" w:history="1">
        <w:r w:rsidRPr="00F20316">
          <w:rPr>
            <w:rStyle w:val="Hyperlink"/>
            <w:rFonts w:ascii="Times New Roman" w:eastAsia="Times New Roman" w:hAnsi="Times New Roman" w:cs="Times New Roman"/>
            <w:bCs/>
          </w:rPr>
          <w:t>https://www.researchgate.net/publication/395120182_Comparative_National_Prescriptive_and_Dosimetric_Characteristics_of_Beta-Blocker_Therapy_in_Asian_Heart_Failure_Patients</w:t>
        </w:r>
      </w:hyperlink>
      <w:r>
        <w:rPr>
          <w:rFonts w:ascii="Times New Roman" w:eastAsia="Times New Roman" w:hAnsi="Times New Roman" w:cs="Times New Roman"/>
          <w:bCs/>
        </w:rPr>
        <w:t xml:space="preserve"> </w:t>
      </w:r>
      <w:r w:rsidRPr="0048016C">
        <w:rPr>
          <w:rFonts w:ascii="Times New Roman" w:eastAsia="Times New Roman" w:hAnsi="Times New Roman" w:cs="Times New Roman"/>
          <w:bCs/>
        </w:rPr>
        <w:t>.</w:t>
      </w:r>
    </w:p>
    <w:p w14:paraId="3CFE0BE1" w14:textId="0582816E" w:rsidR="0048016C" w:rsidRPr="0048016C" w:rsidRDefault="0048016C" w:rsidP="0048016C">
      <w:pPr>
        <w:spacing w:line="240" w:lineRule="auto"/>
        <w:rPr>
          <w:rFonts w:ascii="Times New Roman" w:eastAsia="Times New Roman" w:hAnsi="Times New Roman" w:cs="Times New Roman"/>
          <w:bCs/>
        </w:rPr>
      </w:pPr>
      <w:r w:rsidRPr="0048016C">
        <w:rPr>
          <w:rFonts w:ascii="Times New Roman" w:eastAsia="Times New Roman" w:hAnsi="Times New Roman" w:cs="Times New Roman"/>
          <w:bCs/>
        </w:rPr>
        <w:t>[As per journal policy, preprint /repository article can be published as a journal article, provided it is not published in any other journal]</w:t>
      </w:r>
    </w:p>
    <w:p w14:paraId="07C256A1" w14:textId="77777777" w:rsidR="0048016C" w:rsidRDefault="0048016C" w:rsidP="000C11F9">
      <w:pPr>
        <w:spacing w:line="240" w:lineRule="auto"/>
        <w:rPr>
          <w:rFonts w:ascii="Times New Roman" w:eastAsia="Times New Roman" w:hAnsi="Times New Roman" w:cs="Times New Roman"/>
          <w:b/>
          <w:bCs/>
        </w:rPr>
      </w:pPr>
    </w:p>
    <w:p w14:paraId="6B045402" w14:textId="791A79DF" w:rsidR="001E3E73" w:rsidRPr="000C11F9" w:rsidRDefault="00EB72B6" w:rsidP="000C11F9">
      <w:pPr>
        <w:spacing w:line="240" w:lineRule="auto"/>
        <w:rPr>
          <w:rFonts w:ascii="Times New Roman" w:eastAsia="Times New Roman" w:hAnsi="Times New Roman" w:cs="Times New Roman"/>
          <w:b/>
          <w:bCs/>
        </w:rPr>
      </w:pPr>
      <w:r w:rsidRPr="000C11F9">
        <w:rPr>
          <w:rFonts w:ascii="Times New Roman" w:eastAsia="Times New Roman" w:hAnsi="Times New Roman" w:cs="Times New Roman"/>
          <w:b/>
          <w:bCs/>
        </w:rPr>
        <w:t>Disclaimer (Artificial intelligence)</w:t>
      </w:r>
    </w:p>
    <w:p w14:paraId="53CE5FB0" w14:textId="5BE7428C" w:rsidR="001E3E73" w:rsidRDefault="00EB72B6" w:rsidP="000C11F9">
      <w:pPr>
        <w:spacing w:line="240" w:lineRule="auto"/>
        <w:rPr>
          <w:rFonts w:ascii="Times New Roman" w:eastAsia="Times New Roman" w:hAnsi="Times New Roman" w:cs="Times New Roman"/>
        </w:rPr>
      </w:pPr>
      <w:r w:rsidRPr="000C11F9">
        <w:rPr>
          <w:rFonts w:ascii="Times New Roman" w:eastAsia="Times New Roman" w:hAnsi="Times New Roman" w:cs="Times New Roman"/>
        </w:rPr>
        <w:t xml:space="preserve">Author(s) hereby declare that </w:t>
      </w:r>
      <w:proofErr w:type="spellStart"/>
      <w:r w:rsidRPr="000C11F9">
        <w:rPr>
          <w:rFonts w:ascii="Times New Roman" w:eastAsia="Times New Roman" w:hAnsi="Times New Roman" w:cs="Times New Roman"/>
        </w:rPr>
        <w:t>ChatGPT</w:t>
      </w:r>
      <w:proofErr w:type="spellEnd"/>
      <w:r w:rsidRPr="000C11F9">
        <w:rPr>
          <w:rFonts w:ascii="Times New Roman" w:eastAsia="Times New Roman" w:hAnsi="Times New Roman" w:cs="Times New Roman"/>
        </w:rPr>
        <w:t xml:space="preserve"> was used to furnish the most recent, </w:t>
      </w:r>
      <w:r w:rsidR="00EF78BC" w:rsidRPr="000C11F9">
        <w:rPr>
          <w:rFonts w:ascii="Times New Roman" w:eastAsia="Times New Roman" w:hAnsi="Times New Roman" w:cs="Times New Roman"/>
        </w:rPr>
        <w:t>freely available</w:t>
      </w:r>
      <w:r w:rsidRPr="000C11F9">
        <w:rPr>
          <w:rFonts w:ascii="Times New Roman" w:eastAsia="Times New Roman" w:hAnsi="Times New Roman" w:cs="Times New Roman"/>
        </w:rPr>
        <w:t xml:space="preserve"> versions of the articles in the “</w:t>
      </w:r>
      <w:r w:rsidR="00EF78BC" w:rsidRPr="000C11F9">
        <w:rPr>
          <w:rFonts w:ascii="Times New Roman" w:eastAsia="Times New Roman" w:hAnsi="Times New Roman" w:cs="Times New Roman"/>
        </w:rPr>
        <w:t>Works Cited</w:t>
      </w:r>
      <w:r w:rsidRPr="000C11F9">
        <w:rPr>
          <w:rFonts w:ascii="Times New Roman" w:eastAsia="Times New Roman" w:hAnsi="Times New Roman" w:cs="Times New Roman"/>
        </w:rPr>
        <w:t>” section</w:t>
      </w:r>
      <w:r w:rsidR="000C11F9" w:rsidRPr="000C11F9">
        <w:rPr>
          <w:rFonts w:ascii="Times New Roman" w:eastAsia="Times New Roman" w:hAnsi="Times New Roman" w:cs="Times New Roman"/>
        </w:rPr>
        <w:t xml:space="preserve"> </w:t>
      </w:r>
      <w:r w:rsidR="006E36FB" w:rsidRPr="000C11F9">
        <w:rPr>
          <w:rFonts w:ascii="Times New Roman" w:eastAsia="Times New Roman" w:hAnsi="Times New Roman" w:cs="Times New Roman"/>
        </w:rPr>
        <w:t>and look for missing or incorrect citations</w:t>
      </w:r>
      <w:r w:rsidR="000C11F9" w:rsidRPr="000C11F9">
        <w:rPr>
          <w:rFonts w:ascii="Times New Roman" w:eastAsia="Times New Roman" w:hAnsi="Times New Roman" w:cs="Times New Roman"/>
        </w:rPr>
        <w:t xml:space="preserve"> and DOI links</w:t>
      </w:r>
      <w:r w:rsidR="006E36FB" w:rsidRPr="000C11F9">
        <w:rPr>
          <w:rFonts w:ascii="Times New Roman" w:eastAsia="Times New Roman" w:hAnsi="Times New Roman" w:cs="Times New Roman"/>
        </w:rPr>
        <w:t>.</w:t>
      </w:r>
      <w:r w:rsidR="0050306A" w:rsidRPr="000C11F9">
        <w:rPr>
          <w:rFonts w:ascii="Times New Roman" w:eastAsia="Times New Roman" w:hAnsi="Times New Roman" w:cs="Times New Roman"/>
        </w:rPr>
        <w:t xml:space="preserve"> I used </w:t>
      </w:r>
      <w:proofErr w:type="spellStart"/>
      <w:r w:rsidR="0050306A" w:rsidRPr="000C11F9">
        <w:rPr>
          <w:rFonts w:ascii="Times New Roman" w:eastAsia="Times New Roman" w:hAnsi="Times New Roman" w:cs="Times New Roman"/>
        </w:rPr>
        <w:t>ChatGPT</w:t>
      </w:r>
      <w:proofErr w:type="spellEnd"/>
      <w:r w:rsidR="0050306A" w:rsidRPr="000C11F9">
        <w:rPr>
          <w:rFonts w:ascii="Times New Roman" w:eastAsia="Times New Roman" w:hAnsi="Times New Roman" w:cs="Times New Roman"/>
        </w:rPr>
        <w:t xml:space="preserve"> to suggest corrections to the abstract to make it more consistent</w:t>
      </w:r>
      <w:r w:rsidR="000C11F9" w:rsidRPr="000C11F9">
        <w:rPr>
          <w:rFonts w:ascii="Times New Roman" w:eastAsia="Times New Roman" w:hAnsi="Times New Roman" w:cs="Times New Roman"/>
        </w:rPr>
        <w:t xml:space="preserve"> with the contents of the final manuscript.</w:t>
      </w:r>
      <w:r w:rsidR="006E36FB" w:rsidRPr="000C11F9">
        <w:rPr>
          <w:rFonts w:ascii="Times New Roman" w:eastAsia="Times New Roman" w:hAnsi="Times New Roman" w:cs="Times New Roman"/>
        </w:rPr>
        <w:t xml:space="preserve"> </w:t>
      </w:r>
      <w:r w:rsidRPr="000C11F9">
        <w:rPr>
          <w:rFonts w:ascii="Times New Roman" w:eastAsia="Times New Roman" w:hAnsi="Times New Roman" w:cs="Times New Roman"/>
        </w:rPr>
        <w:t xml:space="preserve"> </w:t>
      </w:r>
    </w:p>
    <w:p w14:paraId="51F0E1CE" w14:textId="211379B9" w:rsidR="000C11F9" w:rsidRDefault="000C11F9" w:rsidP="000C11F9">
      <w:pPr>
        <w:spacing w:line="240" w:lineRule="auto"/>
        <w:rPr>
          <w:rFonts w:ascii="Times New Roman" w:eastAsia="Times New Roman" w:hAnsi="Times New Roman" w:cs="Times New Roman"/>
        </w:rPr>
      </w:pPr>
    </w:p>
    <w:p w14:paraId="0331788A" w14:textId="77777777" w:rsidR="000C11F9" w:rsidRPr="000C11F9" w:rsidRDefault="000C11F9" w:rsidP="000C11F9">
      <w:pPr>
        <w:spacing w:line="240" w:lineRule="auto"/>
        <w:rPr>
          <w:rFonts w:ascii="Times New Roman" w:eastAsia="Times New Roman" w:hAnsi="Times New Roman" w:cs="Times New Roman"/>
        </w:rPr>
      </w:pPr>
    </w:p>
    <w:p w14:paraId="0A221BB4" w14:textId="4D6633AD" w:rsidR="006E36FB" w:rsidRPr="000C11F9" w:rsidRDefault="0048016C" w:rsidP="000C11F9">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14:paraId="7057C4E8" w14:textId="60AFEA09" w:rsidR="00EF78BC" w:rsidRPr="00FC4432" w:rsidRDefault="00EF78BC" w:rsidP="000C11F9">
      <w:pPr>
        <w:pStyle w:val="NormalWeb"/>
        <w:rPr>
          <w:highlight w:val="yellow"/>
        </w:rPr>
      </w:pPr>
      <w:bookmarkStart w:id="1" w:name="_heading=h.pugif7fizmu2" w:colFirst="0" w:colLast="0"/>
      <w:bookmarkEnd w:id="1"/>
      <w:r w:rsidRPr="00FC4432">
        <w:rPr>
          <w:highlight w:val="yellow"/>
        </w:rPr>
        <w:t xml:space="preserve">[1]. </w:t>
      </w:r>
      <w:proofErr w:type="spellStart"/>
      <w:r w:rsidR="0094109A" w:rsidRPr="00FC4432">
        <w:rPr>
          <w:rFonts w:ascii="Arial" w:hAnsi="Arial" w:cs="Arial"/>
          <w:color w:val="222222"/>
          <w:sz w:val="20"/>
          <w:szCs w:val="20"/>
          <w:highlight w:val="yellow"/>
          <w:shd w:val="clear" w:color="auto" w:fill="FFFFFF"/>
        </w:rPr>
        <w:t>Peikert</w:t>
      </w:r>
      <w:proofErr w:type="spellEnd"/>
      <w:r w:rsidR="0094109A" w:rsidRPr="00FC4432">
        <w:rPr>
          <w:rFonts w:ascii="Arial" w:hAnsi="Arial" w:cs="Arial"/>
          <w:color w:val="222222"/>
          <w:sz w:val="20"/>
          <w:szCs w:val="20"/>
          <w:highlight w:val="yellow"/>
          <w:shd w:val="clear" w:color="auto" w:fill="FFFFFF"/>
        </w:rPr>
        <w:t xml:space="preserve">, A., Bart, B. A., </w:t>
      </w:r>
      <w:proofErr w:type="spellStart"/>
      <w:r w:rsidR="0094109A" w:rsidRPr="00FC4432">
        <w:rPr>
          <w:rFonts w:ascii="Arial" w:hAnsi="Arial" w:cs="Arial"/>
          <w:color w:val="222222"/>
          <w:sz w:val="20"/>
          <w:szCs w:val="20"/>
          <w:highlight w:val="yellow"/>
          <w:shd w:val="clear" w:color="auto" w:fill="FFFFFF"/>
        </w:rPr>
        <w:t>Vaduganathan</w:t>
      </w:r>
      <w:proofErr w:type="spellEnd"/>
      <w:r w:rsidR="0094109A" w:rsidRPr="00FC4432">
        <w:rPr>
          <w:rFonts w:ascii="Arial" w:hAnsi="Arial" w:cs="Arial"/>
          <w:color w:val="222222"/>
          <w:sz w:val="20"/>
          <w:szCs w:val="20"/>
          <w:highlight w:val="yellow"/>
          <w:shd w:val="clear" w:color="auto" w:fill="FFFFFF"/>
        </w:rPr>
        <w:t xml:space="preserve">, M., Claggett, B. L., </w:t>
      </w:r>
      <w:proofErr w:type="spellStart"/>
      <w:r w:rsidR="0094109A" w:rsidRPr="00FC4432">
        <w:rPr>
          <w:rFonts w:ascii="Arial" w:hAnsi="Arial" w:cs="Arial"/>
          <w:color w:val="222222"/>
          <w:sz w:val="20"/>
          <w:szCs w:val="20"/>
          <w:highlight w:val="yellow"/>
          <w:shd w:val="clear" w:color="auto" w:fill="FFFFFF"/>
        </w:rPr>
        <w:t>Kulac</w:t>
      </w:r>
      <w:proofErr w:type="spellEnd"/>
      <w:r w:rsidR="0094109A" w:rsidRPr="00FC4432">
        <w:rPr>
          <w:rFonts w:ascii="Arial" w:hAnsi="Arial" w:cs="Arial"/>
          <w:color w:val="222222"/>
          <w:sz w:val="20"/>
          <w:szCs w:val="20"/>
          <w:highlight w:val="yellow"/>
          <w:shd w:val="clear" w:color="auto" w:fill="FFFFFF"/>
        </w:rPr>
        <w:t xml:space="preserve">, I. J., </w:t>
      </w:r>
      <w:proofErr w:type="spellStart"/>
      <w:r w:rsidR="0094109A" w:rsidRPr="00FC4432">
        <w:rPr>
          <w:rFonts w:ascii="Arial" w:hAnsi="Arial" w:cs="Arial"/>
          <w:color w:val="222222"/>
          <w:sz w:val="20"/>
          <w:szCs w:val="20"/>
          <w:highlight w:val="yellow"/>
          <w:shd w:val="clear" w:color="auto" w:fill="FFFFFF"/>
        </w:rPr>
        <w:t>Kosiborod</w:t>
      </w:r>
      <w:proofErr w:type="spellEnd"/>
      <w:r w:rsidR="0094109A" w:rsidRPr="00FC4432">
        <w:rPr>
          <w:rFonts w:ascii="Arial" w:hAnsi="Arial" w:cs="Arial"/>
          <w:color w:val="222222"/>
          <w:sz w:val="20"/>
          <w:szCs w:val="20"/>
          <w:highlight w:val="yellow"/>
          <w:shd w:val="clear" w:color="auto" w:fill="FFFFFF"/>
        </w:rPr>
        <w:t xml:space="preserve">, M. N., ... &amp; </w:t>
      </w:r>
      <w:proofErr w:type="spellStart"/>
      <w:r w:rsidR="0094109A" w:rsidRPr="00FC4432">
        <w:rPr>
          <w:rFonts w:ascii="Arial" w:hAnsi="Arial" w:cs="Arial"/>
          <w:color w:val="222222"/>
          <w:sz w:val="20"/>
          <w:szCs w:val="20"/>
          <w:highlight w:val="yellow"/>
          <w:shd w:val="clear" w:color="auto" w:fill="FFFFFF"/>
        </w:rPr>
        <w:t>Vardeny</w:t>
      </w:r>
      <w:proofErr w:type="spellEnd"/>
      <w:r w:rsidR="0094109A" w:rsidRPr="00FC4432">
        <w:rPr>
          <w:rFonts w:ascii="Arial" w:hAnsi="Arial" w:cs="Arial"/>
          <w:color w:val="222222"/>
          <w:sz w:val="20"/>
          <w:szCs w:val="20"/>
          <w:highlight w:val="yellow"/>
          <w:shd w:val="clear" w:color="auto" w:fill="FFFFFF"/>
        </w:rPr>
        <w:t xml:space="preserve">, O. (2024). Contemporary use and implications of beta-blockers in patients with </w:t>
      </w:r>
      <w:proofErr w:type="spellStart"/>
      <w:r w:rsidR="0094109A" w:rsidRPr="00FC4432">
        <w:rPr>
          <w:rFonts w:ascii="Arial" w:hAnsi="Arial" w:cs="Arial"/>
          <w:color w:val="222222"/>
          <w:sz w:val="20"/>
          <w:szCs w:val="20"/>
          <w:highlight w:val="yellow"/>
          <w:shd w:val="clear" w:color="auto" w:fill="FFFFFF"/>
        </w:rPr>
        <w:t>HFmrEF</w:t>
      </w:r>
      <w:proofErr w:type="spellEnd"/>
      <w:r w:rsidR="0094109A" w:rsidRPr="00FC4432">
        <w:rPr>
          <w:rFonts w:ascii="Arial" w:hAnsi="Arial" w:cs="Arial"/>
          <w:color w:val="222222"/>
          <w:sz w:val="20"/>
          <w:szCs w:val="20"/>
          <w:highlight w:val="yellow"/>
          <w:shd w:val="clear" w:color="auto" w:fill="FFFFFF"/>
        </w:rPr>
        <w:t xml:space="preserve"> or </w:t>
      </w:r>
      <w:proofErr w:type="spellStart"/>
      <w:r w:rsidR="0094109A" w:rsidRPr="00FC4432">
        <w:rPr>
          <w:rFonts w:ascii="Arial" w:hAnsi="Arial" w:cs="Arial"/>
          <w:color w:val="222222"/>
          <w:sz w:val="20"/>
          <w:szCs w:val="20"/>
          <w:highlight w:val="yellow"/>
          <w:shd w:val="clear" w:color="auto" w:fill="FFFFFF"/>
        </w:rPr>
        <w:t>HFpEF</w:t>
      </w:r>
      <w:proofErr w:type="spellEnd"/>
      <w:r w:rsidR="0094109A" w:rsidRPr="00FC4432">
        <w:rPr>
          <w:rFonts w:ascii="Arial" w:hAnsi="Arial" w:cs="Arial"/>
          <w:color w:val="222222"/>
          <w:sz w:val="20"/>
          <w:szCs w:val="20"/>
          <w:highlight w:val="yellow"/>
          <w:shd w:val="clear" w:color="auto" w:fill="FFFFFF"/>
        </w:rPr>
        <w:t>: the DELIVER trial. </w:t>
      </w:r>
      <w:r w:rsidR="0094109A" w:rsidRPr="00FC4432">
        <w:rPr>
          <w:rFonts w:ascii="Arial" w:hAnsi="Arial" w:cs="Arial"/>
          <w:i/>
          <w:iCs/>
          <w:color w:val="222222"/>
          <w:sz w:val="20"/>
          <w:szCs w:val="20"/>
          <w:highlight w:val="yellow"/>
          <w:shd w:val="clear" w:color="auto" w:fill="FFFFFF"/>
        </w:rPr>
        <w:t>Heart Failure</w:t>
      </w:r>
      <w:r w:rsidR="0094109A" w:rsidRPr="00FC4432">
        <w:rPr>
          <w:rFonts w:ascii="Arial" w:hAnsi="Arial" w:cs="Arial"/>
          <w:color w:val="222222"/>
          <w:sz w:val="20"/>
          <w:szCs w:val="20"/>
          <w:highlight w:val="yellow"/>
          <w:shd w:val="clear" w:color="auto" w:fill="FFFFFF"/>
        </w:rPr>
        <w:t>, </w:t>
      </w:r>
      <w:r w:rsidR="0094109A" w:rsidRPr="00FC4432">
        <w:rPr>
          <w:rFonts w:ascii="Arial" w:hAnsi="Arial" w:cs="Arial"/>
          <w:i/>
          <w:iCs/>
          <w:color w:val="222222"/>
          <w:sz w:val="20"/>
          <w:szCs w:val="20"/>
          <w:highlight w:val="yellow"/>
          <w:shd w:val="clear" w:color="auto" w:fill="FFFFFF"/>
        </w:rPr>
        <w:t>12</w:t>
      </w:r>
      <w:r w:rsidR="0094109A" w:rsidRPr="00FC4432">
        <w:rPr>
          <w:rFonts w:ascii="Arial" w:hAnsi="Arial" w:cs="Arial"/>
          <w:color w:val="222222"/>
          <w:sz w:val="20"/>
          <w:szCs w:val="20"/>
          <w:highlight w:val="yellow"/>
          <w:shd w:val="clear" w:color="auto" w:fill="FFFFFF"/>
        </w:rPr>
        <w:t xml:space="preserve">(4), 631-644. </w:t>
      </w:r>
      <w:hyperlink r:id="rId71" w:tgtFrame="_new" w:history="1">
        <w:r w:rsidRPr="00FC4432">
          <w:rPr>
            <w:rStyle w:val="Hyperlink"/>
            <w:highlight w:val="yellow"/>
          </w:rPr>
          <w:t>https://doi.org/10.1016/j.jchf.2023.09.007</w:t>
        </w:r>
      </w:hyperlink>
    </w:p>
    <w:p w14:paraId="7229DC4F" w14:textId="03266DA7" w:rsidR="00EF78BC" w:rsidRPr="00FC4432" w:rsidRDefault="00EF78BC" w:rsidP="000C11F9">
      <w:pPr>
        <w:pStyle w:val="NormalWeb"/>
        <w:rPr>
          <w:highlight w:val="yellow"/>
        </w:rPr>
      </w:pPr>
      <w:r w:rsidRPr="00FC4432">
        <w:rPr>
          <w:highlight w:val="yellow"/>
        </w:rPr>
        <w:t xml:space="preserve">[2]. </w:t>
      </w:r>
      <w:proofErr w:type="spellStart"/>
      <w:r w:rsidR="0094109A" w:rsidRPr="00FC4432">
        <w:rPr>
          <w:rFonts w:ascii="Arial" w:hAnsi="Arial" w:cs="Arial"/>
          <w:color w:val="222222"/>
          <w:sz w:val="20"/>
          <w:szCs w:val="20"/>
          <w:highlight w:val="yellow"/>
          <w:shd w:val="clear" w:color="auto" w:fill="FFFFFF"/>
        </w:rPr>
        <w:t>Roghani</w:t>
      </w:r>
      <w:proofErr w:type="spellEnd"/>
      <w:r w:rsidR="0094109A" w:rsidRPr="00FC4432">
        <w:rPr>
          <w:rFonts w:ascii="Arial" w:hAnsi="Arial" w:cs="Arial"/>
          <w:color w:val="222222"/>
          <w:sz w:val="20"/>
          <w:szCs w:val="20"/>
          <w:highlight w:val="yellow"/>
          <w:shd w:val="clear" w:color="auto" w:fill="FFFFFF"/>
        </w:rPr>
        <w:t>, S. H., Khan, S., Shafiq, A., Akbar, A., Mustafa, W., Shah, S. Q. A., ... &amp; Khan, M. (2024). Efficacy of Different Beta Blockers in Reducing Mortality in Heart-Failure Patients. </w:t>
      </w:r>
      <w:r w:rsidR="0094109A" w:rsidRPr="00FC4432">
        <w:rPr>
          <w:rFonts w:ascii="Arial" w:hAnsi="Arial" w:cs="Arial"/>
          <w:i/>
          <w:iCs/>
          <w:color w:val="222222"/>
          <w:sz w:val="20"/>
          <w:szCs w:val="20"/>
          <w:highlight w:val="yellow"/>
          <w:shd w:val="clear" w:color="auto" w:fill="FFFFFF"/>
        </w:rPr>
        <w:t>Cureus</w:t>
      </w:r>
      <w:r w:rsidR="0094109A" w:rsidRPr="00FC4432">
        <w:rPr>
          <w:rFonts w:ascii="Arial" w:hAnsi="Arial" w:cs="Arial"/>
          <w:color w:val="222222"/>
          <w:sz w:val="20"/>
          <w:szCs w:val="20"/>
          <w:highlight w:val="yellow"/>
          <w:shd w:val="clear" w:color="auto" w:fill="FFFFFF"/>
        </w:rPr>
        <w:t>, </w:t>
      </w:r>
      <w:r w:rsidR="0094109A" w:rsidRPr="00FC4432">
        <w:rPr>
          <w:rFonts w:ascii="Arial" w:hAnsi="Arial" w:cs="Arial"/>
          <w:i/>
          <w:iCs/>
          <w:color w:val="222222"/>
          <w:sz w:val="20"/>
          <w:szCs w:val="20"/>
          <w:highlight w:val="yellow"/>
          <w:shd w:val="clear" w:color="auto" w:fill="FFFFFF"/>
        </w:rPr>
        <w:t>16</w:t>
      </w:r>
      <w:r w:rsidR="0094109A" w:rsidRPr="00FC4432">
        <w:rPr>
          <w:rFonts w:ascii="Arial" w:hAnsi="Arial" w:cs="Arial"/>
          <w:color w:val="222222"/>
          <w:sz w:val="20"/>
          <w:szCs w:val="20"/>
          <w:highlight w:val="yellow"/>
          <w:shd w:val="clear" w:color="auto" w:fill="FFFFFF"/>
        </w:rPr>
        <w:t>(11).</w:t>
      </w:r>
      <w:hyperlink r:id="rId72" w:tgtFrame="_new" w:history="1">
        <w:r w:rsidRPr="00FC4432">
          <w:rPr>
            <w:rStyle w:val="Hyperlink"/>
            <w:highlight w:val="yellow"/>
          </w:rPr>
          <w:t>https://pmc.ncbi.nlm.nih.gov/articles/PMC11604132/</w:t>
        </w:r>
      </w:hyperlink>
    </w:p>
    <w:p w14:paraId="4AF5AF6B" w14:textId="0BFD0698" w:rsidR="00EF78BC" w:rsidRPr="00FC4432" w:rsidRDefault="00EF78BC" w:rsidP="000C11F9">
      <w:pPr>
        <w:pStyle w:val="NormalWeb"/>
        <w:rPr>
          <w:highlight w:val="yellow"/>
        </w:rPr>
      </w:pPr>
      <w:r w:rsidRPr="00FC4432">
        <w:rPr>
          <w:highlight w:val="yellow"/>
        </w:rPr>
        <w:t xml:space="preserve">[3]. </w:t>
      </w:r>
      <w:proofErr w:type="spellStart"/>
      <w:r w:rsidR="006F04AC" w:rsidRPr="00FC4432">
        <w:rPr>
          <w:rFonts w:ascii="Arial" w:hAnsi="Arial" w:cs="Arial"/>
          <w:color w:val="222222"/>
          <w:sz w:val="20"/>
          <w:szCs w:val="20"/>
          <w:highlight w:val="yellow"/>
          <w:shd w:val="clear" w:color="auto" w:fill="FFFFFF"/>
        </w:rPr>
        <w:t>Peikert</w:t>
      </w:r>
      <w:proofErr w:type="spellEnd"/>
      <w:r w:rsidR="006F04AC" w:rsidRPr="00FC4432">
        <w:rPr>
          <w:rFonts w:ascii="Arial" w:hAnsi="Arial" w:cs="Arial"/>
          <w:color w:val="222222"/>
          <w:sz w:val="20"/>
          <w:szCs w:val="20"/>
          <w:highlight w:val="yellow"/>
          <w:shd w:val="clear" w:color="auto" w:fill="FFFFFF"/>
        </w:rPr>
        <w:t xml:space="preserve">, A., Bart, B. A., </w:t>
      </w:r>
      <w:proofErr w:type="spellStart"/>
      <w:r w:rsidR="006F04AC" w:rsidRPr="00FC4432">
        <w:rPr>
          <w:rFonts w:ascii="Arial" w:hAnsi="Arial" w:cs="Arial"/>
          <w:color w:val="222222"/>
          <w:sz w:val="20"/>
          <w:szCs w:val="20"/>
          <w:highlight w:val="yellow"/>
          <w:shd w:val="clear" w:color="auto" w:fill="FFFFFF"/>
        </w:rPr>
        <w:t>Vaduganathan</w:t>
      </w:r>
      <w:proofErr w:type="spellEnd"/>
      <w:r w:rsidR="006F04AC" w:rsidRPr="00FC4432">
        <w:rPr>
          <w:rFonts w:ascii="Arial" w:hAnsi="Arial" w:cs="Arial"/>
          <w:color w:val="222222"/>
          <w:sz w:val="20"/>
          <w:szCs w:val="20"/>
          <w:highlight w:val="yellow"/>
          <w:shd w:val="clear" w:color="auto" w:fill="FFFFFF"/>
        </w:rPr>
        <w:t xml:space="preserve">, M., Claggett, B. L., </w:t>
      </w:r>
      <w:proofErr w:type="spellStart"/>
      <w:r w:rsidR="006F04AC" w:rsidRPr="00FC4432">
        <w:rPr>
          <w:rFonts w:ascii="Arial" w:hAnsi="Arial" w:cs="Arial"/>
          <w:color w:val="222222"/>
          <w:sz w:val="20"/>
          <w:szCs w:val="20"/>
          <w:highlight w:val="yellow"/>
          <w:shd w:val="clear" w:color="auto" w:fill="FFFFFF"/>
        </w:rPr>
        <w:t>Kulac</w:t>
      </w:r>
      <w:proofErr w:type="spellEnd"/>
      <w:r w:rsidR="006F04AC" w:rsidRPr="00FC4432">
        <w:rPr>
          <w:rFonts w:ascii="Arial" w:hAnsi="Arial" w:cs="Arial"/>
          <w:color w:val="222222"/>
          <w:sz w:val="20"/>
          <w:szCs w:val="20"/>
          <w:highlight w:val="yellow"/>
          <w:shd w:val="clear" w:color="auto" w:fill="FFFFFF"/>
        </w:rPr>
        <w:t xml:space="preserve">, I. J., </w:t>
      </w:r>
      <w:proofErr w:type="spellStart"/>
      <w:r w:rsidR="006F04AC" w:rsidRPr="00FC4432">
        <w:rPr>
          <w:rFonts w:ascii="Arial" w:hAnsi="Arial" w:cs="Arial"/>
          <w:color w:val="222222"/>
          <w:sz w:val="20"/>
          <w:szCs w:val="20"/>
          <w:highlight w:val="yellow"/>
          <w:shd w:val="clear" w:color="auto" w:fill="FFFFFF"/>
        </w:rPr>
        <w:t>Kosiborod</w:t>
      </w:r>
      <w:proofErr w:type="spellEnd"/>
      <w:r w:rsidR="006F04AC" w:rsidRPr="00FC4432">
        <w:rPr>
          <w:rFonts w:ascii="Arial" w:hAnsi="Arial" w:cs="Arial"/>
          <w:color w:val="222222"/>
          <w:sz w:val="20"/>
          <w:szCs w:val="20"/>
          <w:highlight w:val="yellow"/>
          <w:shd w:val="clear" w:color="auto" w:fill="FFFFFF"/>
        </w:rPr>
        <w:t xml:space="preserve">, M. N., ... &amp; </w:t>
      </w:r>
      <w:proofErr w:type="spellStart"/>
      <w:r w:rsidR="006F04AC" w:rsidRPr="00FC4432">
        <w:rPr>
          <w:rFonts w:ascii="Arial" w:hAnsi="Arial" w:cs="Arial"/>
          <w:color w:val="222222"/>
          <w:sz w:val="20"/>
          <w:szCs w:val="20"/>
          <w:highlight w:val="yellow"/>
          <w:shd w:val="clear" w:color="auto" w:fill="FFFFFF"/>
        </w:rPr>
        <w:t>Vardeny</w:t>
      </w:r>
      <w:proofErr w:type="spellEnd"/>
      <w:r w:rsidR="006F04AC" w:rsidRPr="00FC4432">
        <w:rPr>
          <w:rFonts w:ascii="Arial" w:hAnsi="Arial" w:cs="Arial"/>
          <w:color w:val="222222"/>
          <w:sz w:val="20"/>
          <w:szCs w:val="20"/>
          <w:highlight w:val="yellow"/>
          <w:shd w:val="clear" w:color="auto" w:fill="FFFFFF"/>
        </w:rPr>
        <w:t xml:space="preserve">, O. (2024). Contemporary use and implications of beta-blockers in patients with </w:t>
      </w:r>
      <w:proofErr w:type="spellStart"/>
      <w:r w:rsidR="006F04AC" w:rsidRPr="00FC4432">
        <w:rPr>
          <w:rFonts w:ascii="Arial" w:hAnsi="Arial" w:cs="Arial"/>
          <w:color w:val="222222"/>
          <w:sz w:val="20"/>
          <w:szCs w:val="20"/>
          <w:highlight w:val="yellow"/>
          <w:shd w:val="clear" w:color="auto" w:fill="FFFFFF"/>
        </w:rPr>
        <w:t>HFmrEF</w:t>
      </w:r>
      <w:proofErr w:type="spellEnd"/>
      <w:r w:rsidR="006F04AC" w:rsidRPr="00FC4432">
        <w:rPr>
          <w:rFonts w:ascii="Arial" w:hAnsi="Arial" w:cs="Arial"/>
          <w:color w:val="222222"/>
          <w:sz w:val="20"/>
          <w:szCs w:val="20"/>
          <w:highlight w:val="yellow"/>
          <w:shd w:val="clear" w:color="auto" w:fill="FFFFFF"/>
        </w:rPr>
        <w:t xml:space="preserve"> or </w:t>
      </w:r>
      <w:proofErr w:type="spellStart"/>
      <w:r w:rsidR="006F04AC" w:rsidRPr="00FC4432">
        <w:rPr>
          <w:rFonts w:ascii="Arial" w:hAnsi="Arial" w:cs="Arial"/>
          <w:color w:val="222222"/>
          <w:sz w:val="20"/>
          <w:szCs w:val="20"/>
          <w:highlight w:val="yellow"/>
          <w:shd w:val="clear" w:color="auto" w:fill="FFFFFF"/>
        </w:rPr>
        <w:t>HFpEF</w:t>
      </w:r>
      <w:proofErr w:type="spellEnd"/>
      <w:r w:rsidR="006F04AC" w:rsidRPr="00FC4432">
        <w:rPr>
          <w:rFonts w:ascii="Arial" w:hAnsi="Arial" w:cs="Arial"/>
          <w:color w:val="222222"/>
          <w:sz w:val="20"/>
          <w:szCs w:val="20"/>
          <w:highlight w:val="yellow"/>
          <w:shd w:val="clear" w:color="auto" w:fill="FFFFFF"/>
        </w:rPr>
        <w:t>: the DELIVER trial. </w:t>
      </w:r>
      <w:r w:rsidR="006F04AC" w:rsidRPr="00FC4432">
        <w:rPr>
          <w:rFonts w:ascii="Arial" w:hAnsi="Arial" w:cs="Arial"/>
          <w:i/>
          <w:iCs/>
          <w:color w:val="222222"/>
          <w:sz w:val="20"/>
          <w:szCs w:val="20"/>
          <w:highlight w:val="yellow"/>
          <w:shd w:val="clear" w:color="auto" w:fill="FFFFFF"/>
        </w:rPr>
        <w:t>Heart Failure</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12</w:t>
      </w:r>
      <w:r w:rsidR="006F04AC" w:rsidRPr="00FC4432">
        <w:rPr>
          <w:rFonts w:ascii="Arial" w:hAnsi="Arial" w:cs="Arial"/>
          <w:color w:val="222222"/>
          <w:sz w:val="20"/>
          <w:szCs w:val="20"/>
          <w:highlight w:val="yellow"/>
          <w:shd w:val="clear" w:color="auto" w:fill="FFFFFF"/>
        </w:rPr>
        <w:t>(4), 631-</w:t>
      </w:r>
      <w:proofErr w:type="gramStart"/>
      <w:r w:rsidR="006F04AC" w:rsidRPr="00FC4432">
        <w:rPr>
          <w:rFonts w:ascii="Arial" w:hAnsi="Arial" w:cs="Arial"/>
          <w:color w:val="222222"/>
          <w:sz w:val="20"/>
          <w:szCs w:val="20"/>
          <w:highlight w:val="yellow"/>
          <w:shd w:val="clear" w:color="auto" w:fill="FFFFFF"/>
        </w:rPr>
        <w:t>644.</w:t>
      </w:r>
      <w:r w:rsidRPr="00FC4432">
        <w:rPr>
          <w:highlight w:val="yellow"/>
        </w:rPr>
        <w:t>.</w:t>
      </w:r>
      <w:proofErr w:type="gramEnd"/>
      <w:r w:rsidRPr="00FC4432">
        <w:rPr>
          <w:highlight w:val="yellow"/>
        </w:rPr>
        <w:t xml:space="preserve"> </w:t>
      </w:r>
      <w:hyperlink r:id="rId73" w:tgtFrame="_new" w:history="1">
        <w:r w:rsidRPr="00FC4432">
          <w:rPr>
            <w:rStyle w:val="Hyperlink"/>
            <w:highlight w:val="yellow"/>
          </w:rPr>
          <w:t>https://www.sciencedirect.com/science/article/pii/S2213177923006157</w:t>
        </w:r>
      </w:hyperlink>
    </w:p>
    <w:p w14:paraId="4E578B4A" w14:textId="70324B7D" w:rsidR="00EF78BC" w:rsidRPr="00FC4432" w:rsidRDefault="00EF78BC" w:rsidP="000C11F9">
      <w:pPr>
        <w:pStyle w:val="NormalWeb"/>
        <w:rPr>
          <w:highlight w:val="yellow"/>
        </w:rPr>
      </w:pPr>
      <w:r w:rsidRPr="00FC4432">
        <w:rPr>
          <w:highlight w:val="yellow"/>
        </w:rPr>
        <w:t xml:space="preserve">[4]. </w:t>
      </w:r>
      <w:r w:rsidR="006F04AC" w:rsidRPr="00FC4432">
        <w:rPr>
          <w:rFonts w:ascii="Arial" w:hAnsi="Arial" w:cs="Arial"/>
          <w:color w:val="222222"/>
          <w:sz w:val="20"/>
          <w:szCs w:val="20"/>
          <w:highlight w:val="yellow"/>
          <w:shd w:val="clear" w:color="auto" w:fill="FFFFFF"/>
        </w:rPr>
        <w:t xml:space="preserve">Teng, T. H. K., Tromp, J., Tay, W. T., Anand, I., </w:t>
      </w:r>
      <w:proofErr w:type="spellStart"/>
      <w:r w:rsidR="006F04AC" w:rsidRPr="00FC4432">
        <w:rPr>
          <w:rFonts w:ascii="Arial" w:hAnsi="Arial" w:cs="Arial"/>
          <w:color w:val="222222"/>
          <w:sz w:val="20"/>
          <w:szCs w:val="20"/>
          <w:highlight w:val="yellow"/>
          <w:shd w:val="clear" w:color="auto" w:fill="FFFFFF"/>
        </w:rPr>
        <w:t>Ouwerkerk</w:t>
      </w:r>
      <w:proofErr w:type="spellEnd"/>
      <w:r w:rsidR="006F04AC" w:rsidRPr="00FC4432">
        <w:rPr>
          <w:rFonts w:ascii="Arial" w:hAnsi="Arial" w:cs="Arial"/>
          <w:color w:val="222222"/>
          <w:sz w:val="20"/>
          <w:szCs w:val="20"/>
          <w:highlight w:val="yellow"/>
          <w:shd w:val="clear" w:color="auto" w:fill="FFFFFF"/>
        </w:rPr>
        <w:t>, W., Chopra, V., ... &amp; Lam, C. S. (2018). Prescribing patterns of evidence-based heart failure pharmacotherapy and outcomes in the ASIAN-HF registry: a cohort study. </w:t>
      </w:r>
      <w:r w:rsidR="006F04AC" w:rsidRPr="00FC4432">
        <w:rPr>
          <w:rFonts w:ascii="Arial" w:hAnsi="Arial" w:cs="Arial"/>
          <w:i/>
          <w:iCs/>
          <w:color w:val="222222"/>
          <w:sz w:val="20"/>
          <w:szCs w:val="20"/>
          <w:highlight w:val="yellow"/>
          <w:shd w:val="clear" w:color="auto" w:fill="FFFFFF"/>
        </w:rPr>
        <w:t>The Lancet Global Health</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6</w:t>
      </w:r>
      <w:r w:rsidR="006F04AC" w:rsidRPr="00FC4432">
        <w:rPr>
          <w:rFonts w:ascii="Arial" w:hAnsi="Arial" w:cs="Arial"/>
          <w:color w:val="222222"/>
          <w:sz w:val="20"/>
          <w:szCs w:val="20"/>
          <w:highlight w:val="yellow"/>
          <w:shd w:val="clear" w:color="auto" w:fill="FFFFFF"/>
        </w:rPr>
        <w:t>(9), e1008-e1018.</w:t>
      </w:r>
      <w:r w:rsidR="006F04AC" w:rsidRPr="00FC4432">
        <w:rPr>
          <w:rFonts w:ascii="Arial" w:hAnsi="Arial" w:cs="Arial"/>
          <w:color w:val="222222"/>
          <w:sz w:val="20"/>
          <w:szCs w:val="20"/>
          <w:highlight w:val="yellow"/>
          <w:shd w:val="clear" w:color="auto" w:fill="FFFFFF"/>
        </w:rPr>
        <w:t xml:space="preserve"> </w:t>
      </w:r>
      <w:hyperlink r:id="rId74" w:tgtFrame="_new" w:history="1">
        <w:r w:rsidRPr="00FC4432">
          <w:rPr>
            <w:rStyle w:val="Hyperlink"/>
            <w:highlight w:val="yellow"/>
          </w:rPr>
          <w:t>https://doi.org/10.1016/S2214-109X(18)30306-1</w:t>
        </w:r>
      </w:hyperlink>
    </w:p>
    <w:p w14:paraId="0F87738C" w14:textId="493AA9BF" w:rsidR="00EF78BC" w:rsidRPr="00FC4432" w:rsidRDefault="00EF78BC" w:rsidP="000C11F9">
      <w:pPr>
        <w:pStyle w:val="NormalWeb"/>
        <w:rPr>
          <w:highlight w:val="yellow"/>
        </w:rPr>
      </w:pPr>
      <w:r w:rsidRPr="00FC4432">
        <w:rPr>
          <w:highlight w:val="yellow"/>
        </w:rPr>
        <w:t xml:space="preserve">[5]. </w:t>
      </w:r>
      <w:r w:rsidR="006F04AC" w:rsidRPr="00FC4432">
        <w:rPr>
          <w:rFonts w:ascii="Arial" w:hAnsi="Arial" w:cs="Arial"/>
          <w:color w:val="222222"/>
          <w:sz w:val="20"/>
          <w:szCs w:val="20"/>
          <w:highlight w:val="yellow"/>
          <w:shd w:val="clear" w:color="auto" w:fill="FFFFFF"/>
        </w:rPr>
        <w:t>Van Nguyen, T., Nguyen, H. T., Wong, W. J., Ahmad, F., &amp; Nguyen, T. N. (2024). The prescription of beta-blockers in older patients with heart failure with reduced ejection fraction: an observational study in Vietnam. </w:t>
      </w:r>
      <w:r w:rsidR="006F04AC" w:rsidRPr="00FC4432">
        <w:rPr>
          <w:rFonts w:ascii="Arial" w:hAnsi="Arial" w:cs="Arial"/>
          <w:i/>
          <w:iCs/>
          <w:color w:val="222222"/>
          <w:sz w:val="20"/>
          <w:szCs w:val="20"/>
          <w:highlight w:val="yellow"/>
          <w:shd w:val="clear" w:color="auto" w:fill="FFFFFF"/>
        </w:rPr>
        <w:t>Scientific Reports</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14</w:t>
      </w:r>
      <w:r w:rsidR="006F04AC" w:rsidRPr="00FC4432">
        <w:rPr>
          <w:rFonts w:ascii="Arial" w:hAnsi="Arial" w:cs="Arial"/>
          <w:color w:val="222222"/>
          <w:sz w:val="20"/>
          <w:szCs w:val="20"/>
          <w:highlight w:val="yellow"/>
          <w:shd w:val="clear" w:color="auto" w:fill="FFFFFF"/>
        </w:rPr>
        <w:t>(1), 12923.</w:t>
      </w:r>
      <w:r w:rsidR="006F04AC" w:rsidRPr="00FC4432">
        <w:rPr>
          <w:rFonts w:ascii="Arial" w:hAnsi="Arial" w:cs="Arial"/>
          <w:color w:val="222222"/>
          <w:sz w:val="20"/>
          <w:szCs w:val="20"/>
          <w:highlight w:val="yellow"/>
          <w:shd w:val="clear" w:color="auto" w:fill="FFFFFF"/>
        </w:rPr>
        <w:t xml:space="preserve"> </w:t>
      </w:r>
      <w:hyperlink r:id="rId75" w:tgtFrame="_new" w:history="1">
        <w:r w:rsidRPr="00FC4432">
          <w:rPr>
            <w:rStyle w:val="Hyperlink"/>
            <w:highlight w:val="yellow"/>
          </w:rPr>
          <w:t>https://pmc.ncbi.nlm.nih.gov/articles/PMC11153617/</w:t>
        </w:r>
      </w:hyperlink>
    </w:p>
    <w:p w14:paraId="5A687748" w14:textId="7ECB7936" w:rsidR="00EF78BC" w:rsidRPr="00FC4432" w:rsidRDefault="00EF78BC" w:rsidP="000C11F9">
      <w:pPr>
        <w:pStyle w:val="NormalWeb"/>
        <w:rPr>
          <w:highlight w:val="yellow"/>
        </w:rPr>
      </w:pPr>
      <w:r w:rsidRPr="00FC4432">
        <w:rPr>
          <w:highlight w:val="yellow"/>
        </w:rPr>
        <w:t xml:space="preserve">[6]. </w:t>
      </w:r>
      <w:proofErr w:type="spellStart"/>
      <w:r w:rsidR="006F04AC" w:rsidRPr="00FC4432">
        <w:rPr>
          <w:rFonts w:ascii="Arial" w:hAnsi="Arial" w:cs="Arial"/>
          <w:color w:val="222222"/>
          <w:sz w:val="20"/>
          <w:szCs w:val="20"/>
          <w:highlight w:val="yellow"/>
          <w:shd w:val="clear" w:color="auto" w:fill="FFFFFF"/>
        </w:rPr>
        <w:t>Balagopalan</w:t>
      </w:r>
      <w:proofErr w:type="spellEnd"/>
      <w:r w:rsidR="006F04AC" w:rsidRPr="00FC4432">
        <w:rPr>
          <w:rFonts w:ascii="Arial" w:hAnsi="Arial" w:cs="Arial"/>
          <w:color w:val="222222"/>
          <w:sz w:val="20"/>
          <w:szCs w:val="20"/>
          <w:highlight w:val="yellow"/>
          <w:shd w:val="clear" w:color="auto" w:fill="FFFFFF"/>
        </w:rPr>
        <w:t xml:space="preserve">, J. P., &amp; </w:t>
      </w:r>
      <w:proofErr w:type="spellStart"/>
      <w:r w:rsidR="006F04AC" w:rsidRPr="00FC4432">
        <w:rPr>
          <w:rFonts w:ascii="Arial" w:hAnsi="Arial" w:cs="Arial"/>
          <w:color w:val="222222"/>
          <w:sz w:val="20"/>
          <w:szCs w:val="20"/>
          <w:highlight w:val="yellow"/>
          <w:shd w:val="clear" w:color="auto" w:fill="FFFFFF"/>
        </w:rPr>
        <w:t>Abdullakutty</w:t>
      </w:r>
      <w:proofErr w:type="spellEnd"/>
      <w:r w:rsidR="006F04AC" w:rsidRPr="00FC4432">
        <w:rPr>
          <w:rFonts w:ascii="Arial" w:hAnsi="Arial" w:cs="Arial"/>
          <w:color w:val="222222"/>
          <w:sz w:val="20"/>
          <w:szCs w:val="20"/>
          <w:highlight w:val="yellow"/>
          <w:shd w:val="clear" w:color="auto" w:fill="FFFFFF"/>
        </w:rPr>
        <w:t xml:space="preserve">, J. (2024). Heart failure registries in </w:t>
      </w:r>
      <w:proofErr w:type="spellStart"/>
      <w:r w:rsidR="006F04AC" w:rsidRPr="00FC4432">
        <w:rPr>
          <w:rFonts w:ascii="Arial" w:hAnsi="Arial" w:cs="Arial"/>
          <w:color w:val="222222"/>
          <w:sz w:val="20"/>
          <w:szCs w:val="20"/>
          <w:highlight w:val="yellow"/>
          <w:shd w:val="clear" w:color="auto" w:fill="FFFFFF"/>
        </w:rPr>
        <w:t>asia</w:t>
      </w:r>
      <w:proofErr w:type="spellEnd"/>
      <w:r w:rsidR="006F04AC" w:rsidRPr="00FC4432">
        <w:rPr>
          <w:rFonts w:ascii="Arial" w:hAnsi="Arial" w:cs="Arial"/>
          <w:color w:val="222222"/>
          <w:sz w:val="20"/>
          <w:szCs w:val="20"/>
          <w:highlight w:val="yellow"/>
          <w:shd w:val="clear" w:color="auto" w:fill="FFFFFF"/>
        </w:rPr>
        <w:t xml:space="preserve">–what have we </w:t>
      </w:r>
      <w:proofErr w:type="gramStart"/>
      <w:r w:rsidR="006F04AC" w:rsidRPr="00FC4432">
        <w:rPr>
          <w:rFonts w:ascii="Arial" w:hAnsi="Arial" w:cs="Arial"/>
          <w:color w:val="222222"/>
          <w:sz w:val="20"/>
          <w:szCs w:val="20"/>
          <w:highlight w:val="yellow"/>
          <w:shd w:val="clear" w:color="auto" w:fill="FFFFFF"/>
        </w:rPr>
        <w:t>learned?.</w:t>
      </w:r>
      <w:proofErr w:type="gramEnd"/>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Cardiovascular Innovations and Applications</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9</w:t>
      </w:r>
      <w:r w:rsidR="006F04AC" w:rsidRPr="00FC4432">
        <w:rPr>
          <w:rFonts w:ascii="Arial" w:hAnsi="Arial" w:cs="Arial"/>
          <w:color w:val="222222"/>
          <w:sz w:val="20"/>
          <w:szCs w:val="20"/>
          <w:highlight w:val="yellow"/>
          <w:shd w:val="clear" w:color="auto" w:fill="FFFFFF"/>
        </w:rPr>
        <w:t>(1), 953.</w:t>
      </w:r>
      <w:r w:rsidR="006F04AC" w:rsidRPr="00FC4432">
        <w:rPr>
          <w:rFonts w:ascii="Arial" w:hAnsi="Arial" w:cs="Arial"/>
          <w:color w:val="222222"/>
          <w:sz w:val="20"/>
          <w:szCs w:val="20"/>
          <w:highlight w:val="yellow"/>
          <w:shd w:val="clear" w:color="auto" w:fill="FFFFFF"/>
        </w:rPr>
        <w:t xml:space="preserve"> </w:t>
      </w:r>
      <w:hyperlink r:id="rId76" w:history="1">
        <w:r w:rsidR="006F04AC" w:rsidRPr="00FC4432">
          <w:rPr>
            <w:rStyle w:val="Hyperlink"/>
            <w:highlight w:val="yellow"/>
          </w:rPr>
          <w:t>https://www.scienceopen.com/hosted-document?doi=10.15212/CVIA.2024.0026</w:t>
        </w:r>
      </w:hyperlink>
    </w:p>
    <w:p w14:paraId="74B4F28C" w14:textId="1105C8EB" w:rsidR="00EF78BC" w:rsidRPr="00FC4432" w:rsidRDefault="00EF78BC" w:rsidP="000C11F9">
      <w:pPr>
        <w:pStyle w:val="NormalWeb"/>
        <w:rPr>
          <w:highlight w:val="yellow"/>
        </w:rPr>
      </w:pPr>
      <w:r w:rsidRPr="00FC4432">
        <w:rPr>
          <w:highlight w:val="yellow"/>
        </w:rPr>
        <w:t xml:space="preserve">[7]. </w:t>
      </w:r>
      <w:r w:rsidR="006F04AC" w:rsidRPr="00FC4432">
        <w:rPr>
          <w:rFonts w:ascii="Arial" w:hAnsi="Arial" w:cs="Arial"/>
          <w:color w:val="222222"/>
          <w:sz w:val="20"/>
          <w:szCs w:val="20"/>
          <w:highlight w:val="yellow"/>
          <w:shd w:val="clear" w:color="auto" w:fill="FFFFFF"/>
        </w:rPr>
        <w:t xml:space="preserve">Maeda, M., Humber, D., </w:t>
      </w:r>
      <w:proofErr w:type="spellStart"/>
      <w:r w:rsidR="006F04AC" w:rsidRPr="00FC4432">
        <w:rPr>
          <w:rFonts w:ascii="Arial" w:hAnsi="Arial" w:cs="Arial"/>
          <w:color w:val="222222"/>
          <w:sz w:val="20"/>
          <w:szCs w:val="20"/>
          <w:highlight w:val="yellow"/>
          <w:shd w:val="clear" w:color="auto" w:fill="FFFFFF"/>
        </w:rPr>
        <w:t>Hida</w:t>
      </w:r>
      <w:proofErr w:type="spellEnd"/>
      <w:r w:rsidR="006F04AC" w:rsidRPr="00FC4432">
        <w:rPr>
          <w:rFonts w:ascii="Arial" w:hAnsi="Arial" w:cs="Arial"/>
          <w:color w:val="222222"/>
          <w:sz w:val="20"/>
          <w:szCs w:val="20"/>
          <w:highlight w:val="yellow"/>
          <w:shd w:val="clear" w:color="auto" w:fill="FFFFFF"/>
        </w:rPr>
        <w:t xml:space="preserve">, E., </w:t>
      </w:r>
      <w:proofErr w:type="spellStart"/>
      <w:r w:rsidR="006F04AC" w:rsidRPr="00FC4432">
        <w:rPr>
          <w:rFonts w:ascii="Arial" w:hAnsi="Arial" w:cs="Arial"/>
          <w:color w:val="222222"/>
          <w:sz w:val="20"/>
          <w:szCs w:val="20"/>
          <w:highlight w:val="yellow"/>
          <w:shd w:val="clear" w:color="auto" w:fill="FFFFFF"/>
        </w:rPr>
        <w:t>Ohtani</w:t>
      </w:r>
      <w:proofErr w:type="spellEnd"/>
      <w:r w:rsidR="006F04AC" w:rsidRPr="00FC4432">
        <w:rPr>
          <w:rFonts w:ascii="Arial" w:hAnsi="Arial" w:cs="Arial"/>
          <w:color w:val="222222"/>
          <w:sz w:val="20"/>
          <w:szCs w:val="20"/>
          <w:highlight w:val="yellow"/>
          <w:shd w:val="clear" w:color="auto" w:fill="FFFFFF"/>
        </w:rPr>
        <w:t xml:space="preserve">, T., Wang, G., Wu, T., ... &amp; </w:t>
      </w:r>
      <w:proofErr w:type="spellStart"/>
      <w:r w:rsidR="006F04AC" w:rsidRPr="00FC4432">
        <w:rPr>
          <w:rFonts w:ascii="Arial" w:hAnsi="Arial" w:cs="Arial"/>
          <w:color w:val="222222"/>
          <w:sz w:val="20"/>
          <w:szCs w:val="20"/>
          <w:highlight w:val="yellow"/>
          <w:shd w:val="clear" w:color="auto" w:fill="FFFFFF"/>
        </w:rPr>
        <w:t>Tsunoda</w:t>
      </w:r>
      <w:proofErr w:type="spellEnd"/>
      <w:r w:rsidR="006F04AC" w:rsidRPr="00FC4432">
        <w:rPr>
          <w:rFonts w:ascii="Arial" w:hAnsi="Arial" w:cs="Arial"/>
          <w:color w:val="222222"/>
          <w:sz w:val="20"/>
          <w:szCs w:val="20"/>
          <w:highlight w:val="yellow"/>
          <w:shd w:val="clear" w:color="auto" w:fill="FFFFFF"/>
        </w:rPr>
        <w:t>, S. (2022). The Dose Difference of Carvedilol for Heart Failure Management Between Asian-Americans and Japanese Could Show No Difference in the Improvement of Heart Function. </w:t>
      </w:r>
      <w:r w:rsidR="006F04AC" w:rsidRPr="00FC4432">
        <w:rPr>
          <w:rFonts w:ascii="Arial" w:hAnsi="Arial" w:cs="Arial"/>
          <w:i/>
          <w:iCs/>
          <w:color w:val="222222"/>
          <w:sz w:val="20"/>
          <w:szCs w:val="20"/>
          <w:highlight w:val="yellow"/>
          <w:shd w:val="clear" w:color="auto" w:fill="FFFFFF"/>
        </w:rPr>
        <w:t>Circulation</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146</w:t>
      </w:r>
      <w:r w:rsidR="006F04AC" w:rsidRPr="00FC4432">
        <w:rPr>
          <w:rFonts w:ascii="Arial" w:hAnsi="Arial" w:cs="Arial"/>
          <w:color w:val="222222"/>
          <w:sz w:val="20"/>
          <w:szCs w:val="20"/>
          <w:highlight w:val="yellow"/>
          <w:shd w:val="clear" w:color="auto" w:fill="FFFFFF"/>
        </w:rPr>
        <w:t>(Suppl_1), A13725-A13725.</w:t>
      </w:r>
      <w:r w:rsidR="006F04AC" w:rsidRPr="00FC4432">
        <w:rPr>
          <w:rFonts w:ascii="Arial" w:hAnsi="Arial" w:cs="Arial"/>
          <w:color w:val="222222"/>
          <w:sz w:val="20"/>
          <w:szCs w:val="20"/>
          <w:highlight w:val="yellow"/>
          <w:shd w:val="clear" w:color="auto" w:fill="FFFFFF"/>
        </w:rPr>
        <w:t xml:space="preserve"> </w:t>
      </w:r>
      <w:hyperlink r:id="rId77" w:tgtFrame="_new" w:history="1">
        <w:r w:rsidRPr="00FC4432">
          <w:rPr>
            <w:rStyle w:val="Hyperlink"/>
            <w:highlight w:val="yellow"/>
          </w:rPr>
          <w:t>https://www.ahajournals.org/doi/10.1161/circ.146.suppl_1.13725</w:t>
        </w:r>
      </w:hyperlink>
    </w:p>
    <w:p w14:paraId="5CC9EC8E" w14:textId="6E913AD6" w:rsidR="00EF78BC" w:rsidRPr="00FC4432" w:rsidRDefault="00EF78BC" w:rsidP="000C11F9">
      <w:pPr>
        <w:pStyle w:val="NormalWeb"/>
        <w:rPr>
          <w:highlight w:val="yellow"/>
        </w:rPr>
      </w:pPr>
      <w:r w:rsidRPr="00FC4432">
        <w:rPr>
          <w:highlight w:val="yellow"/>
        </w:rPr>
        <w:t xml:space="preserve">[8]. </w:t>
      </w:r>
      <w:r w:rsidR="006F04AC" w:rsidRPr="00FC4432">
        <w:rPr>
          <w:rFonts w:ascii="Arial" w:hAnsi="Arial" w:cs="Arial"/>
          <w:color w:val="222222"/>
          <w:sz w:val="20"/>
          <w:szCs w:val="20"/>
          <w:highlight w:val="yellow"/>
          <w:shd w:val="clear" w:color="auto" w:fill="FFFFFF"/>
        </w:rPr>
        <w:t xml:space="preserve">Maeda, M., Humber, D., </w:t>
      </w:r>
      <w:proofErr w:type="spellStart"/>
      <w:r w:rsidR="006F04AC" w:rsidRPr="00FC4432">
        <w:rPr>
          <w:rFonts w:ascii="Arial" w:hAnsi="Arial" w:cs="Arial"/>
          <w:color w:val="222222"/>
          <w:sz w:val="20"/>
          <w:szCs w:val="20"/>
          <w:highlight w:val="yellow"/>
          <w:shd w:val="clear" w:color="auto" w:fill="FFFFFF"/>
        </w:rPr>
        <w:t>Hida</w:t>
      </w:r>
      <w:proofErr w:type="spellEnd"/>
      <w:r w:rsidR="006F04AC" w:rsidRPr="00FC4432">
        <w:rPr>
          <w:rFonts w:ascii="Arial" w:hAnsi="Arial" w:cs="Arial"/>
          <w:color w:val="222222"/>
          <w:sz w:val="20"/>
          <w:szCs w:val="20"/>
          <w:highlight w:val="yellow"/>
          <w:shd w:val="clear" w:color="auto" w:fill="FFFFFF"/>
        </w:rPr>
        <w:t xml:space="preserve">, E., </w:t>
      </w:r>
      <w:proofErr w:type="spellStart"/>
      <w:r w:rsidR="006F04AC" w:rsidRPr="00FC4432">
        <w:rPr>
          <w:rFonts w:ascii="Arial" w:hAnsi="Arial" w:cs="Arial"/>
          <w:color w:val="222222"/>
          <w:sz w:val="20"/>
          <w:szCs w:val="20"/>
          <w:highlight w:val="yellow"/>
          <w:shd w:val="clear" w:color="auto" w:fill="FFFFFF"/>
        </w:rPr>
        <w:t>Ohtani</w:t>
      </w:r>
      <w:proofErr w:type="spellEnd"/>
      <w:r w:rsidR="006F04AC" w:rsidRPr="00FC4432">
        <w:rPr>
          <w:rFonts w:ascii="Arial" w:hAnsi="Arial" w:cs="Arial"/>
          <w:color w:val="222222"/>
          <w:sz w:val="20"/>
          <w:szCs w:val="20"/>
          <w:highlight w:val="yellow"/>
          <w:shd w:val="clear" w:color="auto" w:fill="FFFFFF"/>
        </w:rPr>
        <w:t xml:space="preserve">, T., Wang, G., Wu, T., ... &amp; </w:t>
      </w:r>
      <w:proofErr w:type="spellStart"/>
      <w:r w:rsidR="006F04AC" w:rsidRPr="00FC4432">
        <w:rPr>
          <w:rFonts w:ascii="Arial" w:hAnsi="Arial" w:cs="Arial"/>
          <w:color w:val="222222"/>
          <w:sz w:val="20"/>
          <w:szCs w:val="20"/>
          <w:highlight w:val="yellow"/>
          <w:shd w:val="clear" w:color="auto" w:fill="FFFFFF"/>
        </w:rPr>
        <w:t>Tsunoda</w:t>
      </w:r>
      <w:proofErr w:type="spellEnd"/>
      <w:r w:rsidR="006F04AC" w:rsidRPr="00FC4432">
        <w:rPr>
          <w:rFonts w:ascii="Arial" w:hAnsi="Arial" w:cs="Arial"/>
          <w:color w:val="222222"/>
          <w:sz w:val="20"/>
          <w:szCs w:val="20"/>
          <w:highlight w:val="yellow"/>
          <w:shd w:val="clear" w:color="auto" w:fill="FFFFFF"/>
        </w:rPr>
        <w:t>, S. M. (2024). Lower doses of carvedilol in Japanese heart failure patients with reduced ejection fraction could show the potential to be non-inferior to higher doses in US patients: An international collaborative observational study. </w:t>
      </w:r>
      <w:proofErr w:type="spellStart"/>
      <w:r w:rsidR="006F04AC" w:rsidRPr="00FC4432">
        <w:rPr>
          <w:rFonts w:ascii="Arial" w:hAnsi="Arial" w:cs="Arial"/>
          <w:i/>
          <w:iCs/>
          <w:color w:val="222222"/>
          <w:sz w:val="20"/>
          <w:szCs w:val="20"/>
          <w:highlight w:val="yellow"/>
          <w:shd w:val="clear" w:color="auto" w:fill="FFFFFF"/>
        </w:rPr>
        <w:t>Plos</w:t>
      </w:r>
      <w:proofErr w:type="spellEnd"/>
      <w:r w:rsidR="006F04AC" w:rsidRPr="00FC4432">
        <w:rPr>
          <w:rFonts w:ascii="Arial" w:hAnsi="Arial" w:cs="Arial"/>
          <w:i/>
          <w:iCs/>
          <w:color w:val="222222"/>
          <w:sz w:val="20"/>
          <w:szCs w:val="20"/>
          <w:highlight w:val="yellow"/>
          <w:shd w:val="clear" w:color="auto" w:fill="FFFFFF"/>
        </w:rPr>
        <w:t xml:space="preserve"> one</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19</w:t>
      </w:r>
      <w:r w:rsidR="006F04AC" w:rsidRPr="00FC4432">
        <w:rPr>
          <w:rFonts w:ascii="Arial" w:hAnsi="Arial" w:cs="Arial"/>
          <w:color w:val="222222"/>
          <w:sz w:val="20"/>
          <w:szCs w:val="20"/>
          <w:highlight w:val="yellow"/>
          <w:shd w:val="clear" w:color="auto" w:fill="FFFFFF"/>
        </w:rPr>
        <w:t>(3), e0299510.</w:t>
      </w:r>
      <w:r w:rsidR="006F04AC" w:rsidRPr="00FC4432">
        <w:rPr>
          <w:rFonts w:ascii="Arial" w:hAnsi="Arial" w:cs="Arial"/>
          <w:color w:val="222222"/>
          <w:sz w:val="20"/>
          <w:szCs w:val="20"/>
          <w:highlight w:val="yellow"/>
          <w:shd w:val="clear" w:color="auto" w:fill="FFFFFF"/>
        </w:rPr>
        <w:t xml:space="preserve"> </w:t>
      </w:r>
      <w:hyperlink r:id="rId78" w:tgtFrame="_new" w:history="1">
        <w:r w:rsidRPr="00FC4432">
          <w:rPr>
            <w:rStyle w:val="Hyperlink"/>
            <w:highlight w:val="yellow"/>
          </w:rPr>
          <w:t>https://pmc.ncbi.nlm.nih.gov/articles/PMC10919845/</w:t>
        </w:r>
      </w:hyperlink>
    </w:p>
    <w:p w14:paraId="4984DBA0" w14:textId="7EE02AC5" w:rsidR="00EF78BC" w:rsidRPr="00FC4432" w:rsidRDefault="00EF78BC" w:rsidP="000C11F9">
      <w:pPr>
        <w:pStyle w:val="NormalWeb"/>
        <w:rPr>
          <w:highlight w:val="yellow"/>
        </w:rPr>
      </w:pPr>
      <w:r w:rsidRPr="00FC4432">
        <w:rPr>
          <w:highlight w:val="yellow"/>
        </w:rPr>
        <w:lastRenderedPageBreak/>
        <w:t xml:space="preserve">[9]. </w:t>
      </w:r>
      <w:r w:rsidR="006F04AC" w:rsidRPr="00FC4432">
        <w:rPr>
          <w:rFonts w:ascii="Arial" w:hAnsi="Arial" w:cs="Arial"/>
          <w:color w:val="222222"/>
          <w:sz w:val="20"/>
          <w:szCs w:val="20"/>
          <w:highlight w:val="yellow"/>
          <w:shd w:val="clear" w:color="auto" w:fill="FFFFFF"/>
        </w:rPr>
        <w:t xml:space="preserve">Tokarczyk, W., Urban, S., </w:t>
      </w:r>
      <w:proofErr w:type="spellStart"/>
      <w:r w:rsidR="006F04AC" w:rsidRPr="00FC4432">
        <w:rPr>
          <w:rFonts w:ascii="Arial" w:hAnsi="Arial" w:cs="Arial"/>
          <w:color w:val="222222"/>
          <w:sz w:val="20"/>
          <w:szCs w:val="20"/>
          <w:highlight w:val="yellow"/>
          <w:shd w:val="clear" w:color="auto" w:fill="FFFFFF"/>
        </w:rPr>
        <w:t>Patrzałek</w:t>
      </w:r>
      <w:proofErr w:type="spellEnd"/>
      <w:r w:rsidR="006F04AC" w:rsidRPr="00FC4432">
        <w:rPr>
          <w:rFonts w:ascii="Arial" w:hAnsi="Arial" w:cs="Arial"/>
          <w:color w:val="222222"/>
          <w:sz w:val="20"/>
          <w:szCs w:val="20"/>
          <w:highlight w:val="yellow"/>
          <w:shd w:val="clear" w:color="auto" w:fill="FFFFFF"/>
        </w:rPr>
        <w:t xml:space="preserve">, P., </w:t>
      </w:r>
      <w:proofErr w:type="spellStart"/>
      <w:r w:rsidR="006F04AC" w:rsidRPr="00FC4432">
        <w:rPr>
          <w:rFonts w:ascii="Arial" w:hAnsi="Arial" w:cs="Arial"/>
          <w:color w:val="222222"/>
          <w:sz w:val="20"/>
          <w:szCs w:val="20"/>
          <w:highlight w:val="yellow"/>
          <w:shd w:val="clear" w:color="auto" w:fill="FFFFFF"/>
        </w:rPr>
        <w:t>Stolarski</w:t>
      </w:r>
      <w:proofErr w:type="spellEnd"/>
      <w:r w:rsidR="006F04AC" w:rsidRPr="00FC4432">
        <w:rPr>
          <w:rFonts w:ascii="Arial" w:hAnsi="Arial" w:cs="Arial"/>
          <w:color w:val="222222"/>
          <w:sz w:val="20"/>
          <w:szCs w:val="20"/>
          <w:highlight w:val="yellow"/>
          <w:shd w:val="clear" w:color="auto" w:fill="FFFFFF"/>
        </w:rPr>
        <w:t xml:space="preserve">, Ł., </w:t>
      </w:r>
      <w:proofErr w:type="spellStart"/>
      <w:r w:rsidR="006F04AC" w:rsidRPr="00FC4432">
        <w:rPr>
          <w:rFonts w:ascii="Arial" w:hAnsi="Arial" w:cs="Arial"/>
          <w:color w:val="222222"/>
          <w:sz w:val="20"/>
          <w:szCs w:val="20"/>
          <w:highlight w:val="yellow"/>
          <w:shd w:val="clear" w:color="auto" w:fill="FFFFFF"/>
        </w:rPr>
        <w:t>Iwanek</w:t>
      </w:r>
      <w:proofErr w:type="spellEnd"/>
      <w:r w:rsidR="006F04AC" w:rsidRPr="00FC4432">
        <w:rPr>
          <w:rFonts w:ascii="Arial" w:hAnsi="Arial" w:cs="Arial"/>
          <w:color w:val="222222"/>
          <w:sz w:val="20"/>
          <w:szCs w:val="20"/>
          <w:highlight w:val="yellow"/>
          <w:shd w:val="clear" w:color="auto" w:fill="FFFFFF"/>
        </w:rPr>
        <w:t xml:space="preserve">, G., </w:t>
      </w:r>
      <w:proofErr w:type="spellStart"/>
      <w:r w:rsidR="006F04AC" w:rsidRPr="00FC4432">
        <w:rPr>
          <w:rFonts w:ascii="Arial" w:hAnsi="Arial" w:cs="Arial"/>
          <w:color w:val="222222"/>
          <w:sz w:val="20"/>
          <w:szCs w:val="20"/>
          <w:highlight w:val="yellow"/>
          <w:shd w:val="clear" w:color="auto" w:fill="FFFFFF"/>
        </w:rPr>
        <w:t>Szymański</w:t>
      </w:r>
      <w:proofErr w:type="spellEnd"/>
      <w:r w:rsidR="006F04AC" w:rsidRPr="00FC4432">
        <w:rPr>
          <w:rFonts w:ascii="Arial" w:hAnsi="Arial" w:cs="Arial"/>
          <w:color w:val="222222"/>
          <w:sz w:val="20"/>
          <w:szCs w:val="20"/>
          <w:highlight w:val="yellow"/>
          <w:shd w:val="clear" w:color="auto" w:fill="FFFFFF"/>
        </w:rPr>
        <w:t xml:space="preserve">, O., &amp; </w:t>
      </w:r>
      <w:proofErr w:type="spellStart"/>
      <w:r w:rsidR="006F04AC" w:rsidRPr="00FC4432">
        <w:rPr>
          <w:rFonts w:ascii="Arial" w:hAnsi="Arial" w:cs="Arial"/>
          <w:color w:val="222222"/>
          <w:sz w:val="20"/>
          <w:szCs w:val="20"/>
          <w:highlight w:val="yellow"/>
          <w:shd w:val="clear" w:color="auto" w:fill="FFFFFF"/>
        </w:rPr>
        <w:t>Zymliński</w:t>
      </w:r>
      <w:proofErr w:type="spellEnd"/>
      <w:r w:rsidR="006F04AC" w:rsidRPr="00FC4432">
        <w:rPr>
          <w:rFonts w:ascii="Arial" w:hAnsi="Arial" w:cs="Arial"/>
          <w:color w:val="222222"/>
          <w:sz w:val="20"/>
          <w:szCs w:val="20"/>
          <w:highlight w:val="yellow"/>
          <w:shd w:val="clear" w:color="auto" w:fill="FFFFFF"/>
        </w:rPr>
        <w:t xml:space="preserve">, R. (2025). Potential effects of beta-blockers in </w:t>
      </w:r>
      <w:proofErr w:type="spellStart"/>
      <w:r w:rsidR="006F04AC" w:rsidRPr="00FC4432">
        <w:rPr>
          <w:rFonts w:ascii="Arial" w:hAnsi="Arial" w:cs="Arial"/>
          <w:color w:val="222222"/>
          <w:sz w:val="20"/>
          <w:szCs w:val="20"/>
          <w:highlight w:val="yellow"/>
          <w:shd w:val="clear" w:color="auto" w:fill="FFFFFF"/>
        </w:rPr>
        <w:t>HFpEF</w:t>
      </w:r>
      <w:proofErr w:type="spellEnd"/>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Heart Failure Reviews</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30</w:t>
      </w:r>
      <w:r w:rsidR="006F04AC" w:rsidRPr="00FC4432">
        <w:rPr>
          <w:rFonts w:ascii="Arial" w:hAnsi="Arial" w:cs="Arial"/>
          <w:color w:val="222222"/>
          <w:sz w:val="20"/>
          <w:szCs w:val="20"/>
          <w:highlight w:val="yellow"/>
          <w:shd w:val="clear" w:color="auto" w:fill="FFFFFF"/>
        </w:rPr>
        <w:t>(2), 357-364.</w:t>
      </w:r>
      <w:r w:rsidR="006F04AC" w:rsidRPr="00FC4432">
        <w:rPr>
          <w:rFonts w:ascii="Arial" w:hAnsi="Arial" w:cs="Arial"/>
          <w:color w:val="222222"/>
          <w:sz w:val="20"/>
          <w:szCs w:val="20"/>
          <w:highlight w:val="yellow"/>
          <w:shd w:val="clear" w:color="auto" w:fill="FFFFFF"/>
        </w:rPr>
        <w:t xml:space="preserve"> </w:t>
      </w:r>
      <w:hyperlink r:id="rId79" w:tgtFrame="_new" w:history="1">
        <w:r w:rsidRPr="00FC4432">
          <w:rPr>
            <w:rStyle w:val="Hyperlink"/>
            <w:highlight w:val="yellow"/>
          </w:rPr>
          <w:t>https://pmc.ncbi.nlm.nih.gov/articles/PMC11802620/</w:t>
        </w:r>
      </w:hyperlink>
    </w:p>
    <w:p w14:paraId="08EA7361" w14:textId="2F793844" w:rsidR="00EF78BC" w:rsidRPr="00FC4432" w:rsidRDefault="00EF78BC" w:rsidP="000C11F9">
      <w:pPr>
        <w:pStyle w:val="NormalWeb"/>
        <w:rPr>
          <w:highlight w:val="yellow"/>
        </w:rPr>
      </w:pPr>
      <w:r w:rsidRPr="00FC4432">
        <w:rPr>
          <w:highlight w:val="yellow"/>
        </w:rPr>
        <w:t>[10].</w:t>
      </w:r>
      <w:r w:rsidR="006F04AC" w:rsidRPr="00FC4432">
        <w:rPr>
          <w:rFonts w:ascii="Arial" w:hAnsi="Arial" w:cs="Arial"/>
          <w:color w:val="222222"/>
          <w:sz w:val="20"/>
          <w:szCs w:val="20"/>
          <w:highlight w:val="yellow"/>
          <w:shd w:val="clear" w:color="auto" w:fill="FFFFFF"/>
        </w:rPr>
        <w:t xml:space="preserve"> </w:t>
      </w:r>
      <w:proofErr w:type="spellStart"/>
      <w:r w:rsidR="006F04AC" w:rsidRPr="00FC4432">
        <w:rPr>
          <w:rFonts w:ascii="Arial" w:hAnsi="Arial" w:cs="Arial"/>
          <w:color w:val="222222"/>
          <w:sz w:val="20"/>
          <w:szCs w:val="20"/>
          <w:highlight w:val="yellow"/>
          <w:shd w:val="clear" w:color="auto" w:fill="FFFFFF"/>
        </w:rPr>
        <w:t>Alkattan</w:t>
      </w:r>
      <w:proofErr w:type="spellEnd"/>
      <w:r w:rsidR="006F04AC" w:rsidRPr="00FC4432">
        <w:rPr>
          <w:rFonts w:ascii="Arial" w:hAnsi="Arial" w:cs="Arial"/>
          <w:color w:val="222222"/>
          <w:sz w:val="20"/>
          <w:szCs w:val="20"/>
          <w:highlight w:val="yellow"/>
          <w:shd w:val="clear" w:color="auto" w:fill="FFFFFF"/>
        </w:rPr>
        <w:t xml:space="preserve">, A., </w:t>
      </w:r>
      <w:proofErr w:type="spellStart"/>
      <w:r w:rsidR="006F04AC" w:rsidRPr="00FC4432">
        <w:rPr>
          <w:rFonts w:ascii="Arial" w:hAnsi="Arial" w:cs="Arial"/>
          <w:color w:val="222222"/>
          <w:sz w:val="20"/>
          <w:szCs w:val="20"/>
          <w:highlight w:val="yellow"/>
          <w:shd w:val="clear" w:color="auto" w:fill="FFFFFF"/>
        </w:rPr>
        <w:t>Alsalameen</w:t>
      </w:r>
      <w:proofErr w:type="spellEnd"/>
      <w:r w:rsidR="006F04AC" w:rsidRPr="00FC4432">
        <w:rPr>
          <w:rFonts w:ascii="Arial" w:hAnsi="Arial" w:cs="Arial"/>
          <w:color w:val="222222"/>
          <w:sz w:val="20"/>
          <w:szCs w:val="20"/>
          <w:highlight w:val="yellow"/>
          <w:shd w:val="clear" w:color="auto" w:fill="FFFFFF"/>
        </w:rPr>
        <w:t xml:space="preserve">, E., </w:t>
      </w:r>
      <w:proofErr w:type="spellStart"/>
      <w:r w:rsidR="006F04AC" w:rsidRPr="00FC4432">
        <w:rPr>
          <w:rFonts w:ascii="Arial" w:hAnsi="Arial" w:cs="Arial"/>
          <w:color w:val="222222"/>
          <w:sz w:val="20"/>
          <w:szCs w:val="20"/>
          <w:highlight w:val="yellow"/>
          <w:shd w:val="clear" w:color="auto" w:fill="FFFFFF"/>
        </w:rPr>
        <w:t>Harmoush</w:t>
      </w:r>
      <w:proofErr w:type="spellEnd"/>
      <w:r w:rsidR="006F04AC" w:rsidRPr="00FC4432">
        <w:rPr>
          <w:rFonts w:ascii="Arial" w:hAnsi="Arial" w:cs="Arial"/>
          <w:color w:val="222222"/>
          <w:sz w:val="20"/>
          <w:szCs w:val="20"/>
          <w:highlight w:val="yellow"/>
          <w:shd w:val="clear" w:color="auto" w:fill="FFFFFF"/>
        </w:rPr>
        <w:t xml:space="preserve">, A., </w:t>
      </w:r>
      <w:proofErr w:type="spellStart"/>
      <w:r w:rsidR="006F04AC" w:rsidRPr="00FC4432">
        <w:rPr>
          <w:rFonts w:ascii="Arial" w:hAnsi="Arial" w:cs="Arial"/>
          <w:color w:val="222222"/>
          <w:sz w:val="20"/>
          <w:szCs w:val="20"/>
          <w:highlight w:val="yellow"/>
          <w:shd w:val="clear" w:color="auto" w:fill="FFFFFF"/>
        </w:rPr>
        <w:t>Farawati</w:t>
      </w:r>
      <w:proofErr w:type="spellEnd"/>
      <w:r w:rsidR="006F04AC" w:rsidRPr="00FC4432">
        <w:rPr>
          <w:rFonts w:ascii="Arial" w:hAnsi="Arial" w:cs="Arial"/>
          <w:color w:val="222222"/>
          <w:sz w:val="20"/>
          <w:szCs w:val="20"/>
          <w:highlight w:val="yellow"/>
          <w:shd w:val="clear" w:color="auto" w:fill="FFFFFF"/>
        </w:rPr>
        <w:t xml:space="preserve">, M. N., </w:t>
      </w:r>
      <w:proofErr w:type="spellStart"/>
      <w:r w:rsidR="006F04AC" w:rsidRPr="00FC4432">
        <w:rPr>
          <w:rFonts w:ascii="Arial" w:hAnsi="Arial" w:cs="Arial"/>
          <w:color w:val="222222"/>
          <w:sz w:val="20"/>
          <w:szCs w:val="20"/>
          <w:highlight w:val="yellow"/>
          <w:shd w:val="clear" w:color="auto" w:fill="FFFFFF"/>
        </w:rPr>
        <w:t>Alsharif</w:t>
      </w:r>
      <w:proofErr w:type="spellEnd"/>
      <w:r w:rsidR="006F04AC" w:rsidRPr="00FC4432">
        <w:rPr>
          <w:rFonts w:ascii="Arial" w:hAnsi="Arial" w:cs="Arial"/>
          <w:color w:val="222222"/>
          <w:sz w:val="20"/>
          <w:szCs w:val="20"/>
          <w:highlight w:val="yellow"/>
          <w:shd w:val="clear" w:color="auto" w:fill="FFFFFF"/>
        </w:rPr>
        <w:t>, H., Mahmoud, N., ... &amp; Radwan, N. (2024). An investigation of the impact of atenolol on the risk of all-cause mortality in Asian individuals with hypertension and cardiovascular conditions. </w:t>
      </w:r>
      <w:r w:rsidR="006F04AC" w:rsidRPr="00FC4432">
        <w:rPr>
          <w:rFonts w:ascii="Arial" w:hAnsi="Arial" w:cs="Arial"/>
          <w:i/>
          <w:iCs/>
          <w:color w:val="222222"/>
          <w:sz w:val="20"/>
          <w:szCs w:val="20"/>
          <w:highlight w:val="yellow"/>
          <w:shd w:val="clear" w:color="auto" w:fill="FFFFFF"/>
        </w:rPr>
        <w:t>Bulletin of the National Research Centre</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48</w:t>
      </w:r>
      <w:r w:rsidR="006F04AC" w:rsidRPr="00FC4432">
        <w:rPr>
          <w:rFonts w:ascii="Arial" w:hAnsi="Arial" w:cs="Arial"/>
          <w:color w:val="222222"/>
          <w:sz w:val="20"/>
          <w:szCs w:val="20"/>
          <w:highlight w:val="yellow"/>
          <w:shd w:val="clear" w:color="auto" w:fill="FFFFFF"/>
        </w:rPr>
        <w:t>(1), 51</w:t>
      </w:r>
      <w:r w:rsidRPr="00FC4432">
        <w:rPr>
          <w:highlight w:val="yellow"/>
        </w:rPr>
        <w:t xml:space="preserve">. </w:t>
      </w:r>
      <w:hyperlink r:id="rId80" w:tgtFrame="_new" w:history="1">
        <w:r w:rsidRPr="00FC4432">
          <w:rPr>
            <w:rStyle w:val="Hyperlink"/>
            <w:highlight w:val="yellow"/>
          </w:rPr>
          <w:t>https://bnrc.springeropen.com/articles/10.1186/s42269-024-01208-z</w:t>
        </w:r>
      </w:hyperlink>
    </w:p>
    <w:p w14:paraId="2558F315" w14:textId="4CDC623E" w:rsidR="00EF78BC" w:rsidRPr="00FC4432" w:rsidRDefault="00EF78BC" w:rsidP="000C11F9">
      <w:pPr>
        <w:pStyle w:val="NormalWeb"/>
        <w:rPr>
          <w:highlight w:val="yellow"/>
        </w:rPr>
      </w:pPr>
      <w:r w:rsidRPr="00FC4432">
        <w:rPr>
          <w:highlight w:val="yellow"/>
        </w:rPr>
        <w:t xml:space="preserve">[11]. </w:t>
      </w:r>
      <w:r w:rsidR="006F04AC" w:rsidRPr="00FC4432">
        <w:rPr>
          <w:rFonts w:ascii="Arial" w:hAnsi="Arial" w:cs="Arial"/>
          <w:color w:val="222222"/>
          <w:sz w:val="20"/>
          <w:szCs w:val="20"/>
          <w:highlight w:val="yellow"/>
          <w:shd w:val="clear" w:color="auto" w:fill="FFFFFF"/>
        </w:rPr>
        <w:t xml:space="preserve">Gao, M., Chen, H., Cao, F., Zhang, L., </w:t>
      </w:r>
      <w:proofErr w:type="spellStart"/>
      <w:r w:rsidR="006F04AC" w:rsidRPr="00FC4432">
        <w:rPr>
          <w:rFonts w:ascii="Arial" w:hAnsi="Arial" w:cs="Arial"/>
          <w:color w:val="222222"/>
          <w:sz w:val="20"/>
          <w:szCs w:val="20"/>
          <w:highlight w:val="yellow"/>
          <w:shd w:val="clear" w:color="auto" w:fill="FFFFFF"/>
        </w:rPr>
        <w:t>Ruan</w:t>
      </w:r>
      <w:proofErr w:type="spellEnd"/>
      <w:r w:rsidR="006F04AC" w:rsidRPr="00FC4432">
        <w:rPr>
          <w:rFonts w:ascii="Arial" w:hAnsi="Arial" w:cs="Arial"/>
          <w:color w:val="222222"/>
          <w:sz w:val="20"/>
          <w:szCs w:val="20"/>
          <w:highlight w:val="yellow"/>
          <w:shd w:val="clear" w:color="auto" w:fill="FFFFFF"/>
        </w:rPr>
        <w:t>, Y., Liu, W., ... &amp; Lin, M. (2024). Association between beta-blocker utilization and heart failure mortality in the peritoneal dialysis population: a cohort study. </w:t>
      </w:r>
      <w:r w:rsidR="006F04AC" w:rsidRPr="00FC4432">
        <w:rPr>
          <w:rFonts w:ascii="Arial" w:hAnsi="Arial" w:cs="Arial"/>
          <w:i/>
          <w:iCs/>
          <w:color w:val="222222"/>
          <w:sz w:val="20"/>
          <w:szCs w:val="20"/>
          <w:highlight w:val="yellow"/>
          <w:shd w:val="clear" w:color="auto" w:fill="FFFFFF"/>
        </w:rPr>
        <w:t>Clinical kidney journal</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17</w:t>
      </w:r>
      <w:r w:rsidR="006F04AC" w:rsidRPr="00FC4432">
        <w:rPr>
          <w:rFonts w:ascii="Arial" w:hAnsi="Arial" w:cs="Arial"/>
          <w:color w:val="222222"/>
          <w:sz w:val="20"/>
          <w:szCs w:val="20"/>
          <w:highlight w:val="yellow"/>
          <w:shd w:val="clear" w:color="auto" w:fill="FFFFFF"/>
        </w:rPr>
        <w:t>(3), sfae022.</w:t>
      </w:r>
      <w:r w:rsidR="006F04AC" w:rsidRPr="00FC4432">
        <w:rPr>
          <w:rFonts w:ascii="Arial" w:hAnsi="Arial" w:cs="Arial"/>
          <w:color w:val="222222"/>
          <w:sz w:val="20"/>
          <w:szCs w:val="20"/>
          <w:highlight w:val="yellow"/>
          <w:shd w:val="clear" w:color="auto" w:fill="FFFFFF"/>
        </w:rPr>
        <w:t xml:space="preserve"> </w:t>
      </w:r>
      <w:hyperlink r:id="rId81" w:tgtFrame="_new" w:history="1">
        <w:r w:rsidRPr="00FC4432">
          <w:rPr>
            <w:rStyle w:val="Hyperlink"/>
            <w:highlight w:val="yellow"/>
          </w:rPr>
          <w:t>https://pmc.ncbi.nlm.nih.gov/articles/PMC10913941/</w:t>
        </w:r>
      </w:hyperlink>
    </w:p>
    <w:p w14:paraId="607231DC" w14:textId="328470FC" w:rsidR="00EF78BC" w:rsidRPr="00FC4432" w:rsidRDefault="00EF78BC" w:rsidP="000C11F9">
      <w:pPr>
        <w:pStyle w:val="NormalWeb"/>
        <w:rPr>
          <w:highlight w:val="yellow"/>
        </w:rPr>
      </w:pPr>
      <w:r w:rsidRPr="00FC4432">
        <w:rPr>
          <w:highlight w:val="yellow"/>
        </w:rPr>
        <w:t xml:space="preserve">[12]. </w:t>
      </w:r>
      <w:proofErr w:type="spellStart"/>
      <w:r w:rsidR="006F04AC" w:rsidRPr="00FC4432">
        <w:rPr>
          <w:rFonts w:ascii="Arial" w:hAnsi="Arial" w:cs="Arial"/>
          <w:color w:val="222222"/>
          <w:sz w:val="20"/>
          <w:szCs w:val="20"/>
          <w:highlight w:val="yellow"/>
          <w:shd w:val="clear" w:color="auto" w:fill="FFFFFF"/>
        </w:rPr>
        <w:t>Sinardja</w:t>
      </w:r>
      <w:proofErr w:type="spellEnd"/>
      <w:r w:rsidR="006F04AC" w:rsidRPr="00FC4432">
        <w:rPr>
          <w:rFonts w:ascii="Arial" w:hAnsi="Arial" w:cs="Arial"/>
          <w:color w:val="222222"/>
          <w:sz w:val="20"/>
          <w:szCs w:val="20"/>
          <w:highlight w:val="yellow"/>
          <w:shd w:val="clear" w:color="auto" w:fill="FFFFFF"/>
        </w:rPr>
        <w:t xml:space="preserve">, C. W. D., Jagannatha, G. N. P., de </w:t>
      </w:r>
      <w:proofErr w:type="spellStart"/>
      <w:r w:rsidR="006F04AC" w:rsidRPr="00FC4432">
        <w:rPr>
          <w:rFonts w:ascii="Arial" w:hAnsi="Arial" w:cs="Arial"/>
          <w:color w:val="222222"/>
          <w:sz w:val="20"/>
          <w:szCs w:val="20"/>
          <w:highlight w:val="yellow"/>
          <w:shd w:val="clear" w:color="auto" w:fill="FFFFFF"/>
        </w:rPr>
        <w:t>Liyis</w:t>
      </w:r>
      <w:proofErr w:type="spellEnd"/>
      <w:r w:rsidR="006F04AC" w:rsidRPr="00FC4432">
        <w:rPr>
          <w:rFonts w:ascii="Arial" w:hAnsi="Arial" w:cs="Arial"/>
          <w:color w:val="222222"/>
          <w:sz w:val="20"/>
          <w:szCs w:val="20"/>
          <w:highlight w:val="yellow"/>
          <w:shd w:val="clear" w:color="auto" w:fill="FFFFFF"/>
        </w:rPr>
        <w:t xml:space="preserve">, B. G., &amp; </w:t>
      </w:r>
      <w:proofErr w:type="spellStart"/>
      <w:r w:rsidR="006F04AC" w:rsidRPr="00FC4432">
        <w:rPr>
          <w:rFonts w:ascii="Arial" w:hAnsi="Arial" w:cs="Arial"/>
          <w:color w:val="222222"/>
          <w:sz w:val="20"/>
          <w:szCs w:val="20"/>
          <w:highlight w:val="yellow"/>
          <w:shd w:val="clear" w:color="auto" w:fill="FFFFFF"/>
        </w:rPr>
        <w:t>Kosasih</w:t>
      </w:r>
      <w:proofErr w:type="spellEnd"/>
      <w:r w:rsidR="006F04AC" w:rsidRPr="00FC4432">
        <w:rPr>
          <w:rFonts w:ascii="Arial" w:hAnsi="Arial" w:cs="Arial"/>
          <w:color w:val="222222"/>
          <w:sz w:val="20"/>
          <w:szCs w:val="20"/>
          <w:highlight w:val="yellow"/>
          <w:shd w:val="clear" w:color="auto" w:fill="FFFFFF"/>
        </w:rPr>
        <w:t>, A. M. (2024). Safety and efficacy of early beta-blocker initiation in acute heart failure and cardiogenic shock: systematic review and meta-analysis. </w:t>
      </w:r>
      <w:r w:rsidR="006F04AC" w:rsidRPr="00FC4432">
        <w:rPr>
          <w:rFonts w:ascii="Arial" w:hAnsi="Arial" w:cs="Arial"/>
          <w:i/>
          <w:iCs/>
          <w:color w:val="222222"/>
          <w:sz w:val="20"/>
          <w:szCs w:val="20"/>
          <w:highlight w:val="yellow"/>
          <w:shd w:val="clear" w:color="auto" w:fill="FFFFFF"/>
        </w:rPr>
        <w:t>The Egyptian Heart Journal</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76</w:t>
      </w:r>
      <w:r w:rsidR="006F04AC" w:rsidRPr="00FC4432">
        <w:rPr>
          <w:rFonts w:ascii="Arial" w:hAnsi="Arial" w:cs="Arial"/>
          <w:color w:val="222222"/>
          <w:sz w:val="20"/>
          <w:szCs w:val="20"/>
          <w:highlight w:val="yellow"/>
          <w:shd w:val="clear" w:color="auto" w:fill="FFFFFF"/>
        </w:rPr>
        <w:t>(1), 126.</w:t>
      </w:r>
      <w:r w:rsidR="006F04AC" w:rsidRPr="00FC4432">
        <w:rPr>
          <w:rFonts w:ascii="Arial" w:hAnsi="Arial" w:cs="Arial"/>
          <w:color w:val="222222"/>
          <w:sz w:val="20"/>
          <w:szCs w:val="20"/>
          <w:highlight w:val="yellow"/>
          <w:shd w:val="clear" w:color="auto" w:fill="FFFFFF"/>
        </w:rPr>
        <w:t xml:space="preserve"> </w:t>
      </w:r>
      <w:hyperlink r:id="rId82" w:tgtFrame="_new" w:history="1">
        <w:r w:rsidRPr="00FC4432">
          <w:rPr>
            <w:rStyle w:val="Hyperlink"/>
            <w:highlight w:val="yellow"/>
          </w:rPr>
          <w:t>https://pmc.ncbi.nlm.nih.gov/articles/PMC11399533/</w:t>
        </w:r>
      </w:hyperlink>
    </w:p>
    <w:p w14:paraId="17EFBED5" w14:textId="3BD0D675" w:rsidR="00EF78BC" w:rsidRPr="00FC4432" w:rsidRDefault="00EF78BC" w:rsidP="000C11F9">
      <w:pPr>
        <w:pStyle w:val="NormalWeb"/>
        <w:rPr>
          <w:highlight w:val="yellow"/>
        </w:rPr>
      </w:pPr>
      <w:r w:rsidRPr="00FC4432">
        <w:rPr>
          <w:highlight w:val="yellow"/>
        </w:rPr>
        <w:t xml:space="preserve">[13]. </w:t>
      </w:r>
      <w:r w:rsidR="006F04AC" w:rsidRPr="00FC4432">
        <w:rPr>
          <w:rFonts w:ascii="Arial" w:hAnsi="Arial" w:cs="Arial"/>
          <w:color w:val="222222"/>
          <w:sz w:val="20"/>
          <w:szCs w:val="20"/>
          <w:highlight w:val="yellow"/>
          <w:shd w:val="clear" w:color="auto" w:fill="FFFFFF"/>
        </w:rPr>
        <w:t xml:space="preserve">Kubota, Y., Tay, W. T., Teng, T. H. K., </w:t>
      </w:r>
      <w:proofErr w:type="spellStart"/>
      <w:r w:rsidR="006F04AC" w:rsidRPr="00FC4432">
        <w:rPr>
          <w:rFonts w:ascii="Arial" w:hAnsi="Arial" w:cs="Arial"/>
          <w:color w:val="222222"/>
          <w:sz w:val="20"/>
          <w:szCs w:val="20"/>
          <w:highlight w:val="yellow"/>
          <w:shd w:val="clear" w:color="auto" w:fill="FFFFFF"/>
        </w:rPr>
        <w:t>Asai</w:t>
      </w:r>
      <w:proofErr w:type="spellEnd"/>
      <w:r w:rsidR="006F04AC" w:rsidRPr="00FC4432">
        <w:rPr>
          <w:rFonts w:ascii="Arial" w:hAnsi="Arial" w:cs="Arial"/>
          <w:color w:val="222222"/>
          <w:sz w:val="20"/>
          <w:szCs w:val="20"/>
          <w:highlight w:val="yellow"/>
          <w:shd w:val="clear" w:color="auto" w:fill="FFFFFF"/>
        </w:rPr>
        <w:t xml:space="preserve">, K., Noda, T., </w:t>
      </w:r>
      <w:proofErr w:type="spellStart"/>
      <w:r w:rsidR="006F04AC" w:rsidRPr="00FC4432">
        <w:rPr>
          <w:rFonts w:ascii="Arial" w:hAnsi="Arial" w:cs="Arial"/>
          <w:color w:val="222222"/>
          <w:sz w:val="20"/>
          <w:szCs w:val="20"/>
          <w:highlight w:val="yellow"/>
          <w:shd w:val="clear" w:color="auto" w:fill="FFFFFF"/>
        </w:rPr>
        <w:t>Kusano</w:t>
      </w:r>
      <w:proofErr w:type="spellEnd"/>
      <w:r w:rsidR="006F04AC" w:rsidRPr="00FC4432">
        <w:rPr>
          <w:rFonts w:ascii="Arial" w:hAnsi="Arial" w:cs="Arial"/>
          <w:color w:val="222222"/>
          <w:sz w:val="20"/>
          <w:szCs w:val="20"/>
          <w:highlight w:val="yellow"/>
          <w:shd w:val="clear" w:color="auto" w:fill="FFFFFF"/>
        </w:rPr>
        <w:t>, K., ... &amp; ASIAN</w:t>
      </w:r>
      <w:r w:rsidR="006F04AC" w:rsidRPr="00FC4432">
        <w:rPr>
          <w:rFonts w:ascii="Cambria Math" w:hAnsi="Cambria Math" w:cs="Cambria Math"/>
          <w:color w:val="222222"/>
          <w:sz w:val="20"/>
          <w:szCs w:val="20"/>
          <w:highlight w:val="yellow"/>
          <w:shd w:val="clear" w:color="auto" w:fill="FFFFFF"/>
        </w:rPr>
        <w:t>‐</w:t>
      </w:r>
      <w:r w:rsidR="006F04AC" w:rsidRPr="00FC4432">
        <w:rPr>
          <w:rFonts w:ascii="Arial" w:hAnsi="Arial" w:cs="Arial"/>
          <w:color w:val="222222"/>
          <w:sz w:val="20"/>
          <w:szCs w:val="20"/>
          <w:highlight w:val="yellow"/>
          <w:shd w:val="clear" w:color="auto" w:fill="FFFFFF"/>
        </w:rPr>
        <w:t>HF Executive Committee. (2021). Impact of beta</w:t>
      </w:r>
      <w:r w:rsidR="006F04AC" w:rsidRPr="00FC4432">
        <w:rPr>
          <w:rFonts w:ascii="Cambria Math" w:hAnsi="Cambria Math" w:cs="Cambria Math"/>
          <w:color w:val="222222"/>
          <w:sz w:val="20"/>
          <w:szCs w:val="20"/>
          <w:highlight w:val="yellow"/>
          <w:shd w:val="clear" w:color="auto" w:fill="FFFFFF"/>
        </w:rPr>
        <w:t>‐</w:t>
      </w:r>
      <w:r w:rsidR="006F04AC" w:rsidRPr="00FC4432">
        <w:rPr>
          <w:rFonts w:ascii="Arial" w:hAnsi="Arial" w:cs="Arial"/>
          <w:color w:val="222222"/>
          <w:sz w:val="20"/>
          <w:szCs w:val="20"/>
          <w:highlight w:val="yellow"/>
          <w:shd w:val="clear" w:color="auto" w:fill="FFFFFF"/>
        </w:rPr>
        <w:t>blocker use on the long</w:t>
      </w:r>
      <w:r w:rsidR="006F04AC" w:rsidRPr="00FC4432">
        <w:rPr>
          <w:rFonts w:ascii="Cambria Math" w:hAnsi="Cambria Math" w:cs="Cambria Math"/>
          <w:color w:val="222222"/>
          <w:sz w:val="20"/>
          <w:szCs w:val="20"/>
          <w:highlight w:val="yellow"/>
          <w:shd w:val="clear" w:color="auto" w:fill="FFFFFF"/>
        </w:rPr>
        <w:t>‐</w:t>
      </w:r>
      <w:r w:rsidR="006F04AC" w:rsidRPr="00FC4432">
        <w:rPr>
          <w:rFonts w:ascii="Arial" w:hAnsi="Arial" w:cs="Arial"/>
          <w:color w:val="222222"/>
          <w:sz w:val="20"/>
          <w:szCs w:val="20"/>
          <w:highlight w:val="yellow"/>
          <w:shd w:val="clear" w:color="auto" w:fill="FFFFFF"/>
        </w:rPr>
        <w:t>term outcomes of heart failure patients with chronic obstructive pulmonary disease. </w:t>
      </w:r>
      <w:r w:rsidR="006F04AC" w:rsidRPr="00FC4432">
        <w:rPr>
          <w:rFonts w:ascii="Arial" w:hAnsi="Arial" w:cs="Arial"/>
          <w:i/>
          <w:iCs/>
          <w:color w:val="222222"/>
          <w:sz w:val="20"/>
          <w:szCs w:val="20"/>
          <w:highlight w:val="yellow"/>
          <w:shd w:val="clear" w:color="auto" w:fill="FFFFFF"/>
        </w:rPr>
        <w:t>ESC heart failure</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8</w:t>
      </w:r>
      <w:r w:rsidR="006F04AC" w:rsidRPr="00FC4432">
        <w:rPr>
          <w:rFonts w:ascii="Arial" w:hAnsi="Arial" w:cs="Arial"/>
          <w:color w:val="222222"/>
          <w:sz w:val="20"/>
          <w:szCs w:val="20"/>
          <w:highlight w:val="yellow"/>
          <w:shd w:val="clear" w:color="auto" w:fill="FFFFFF"/>
        </w:rPr>
        <w:t>(5), 3791-3799.</w:t>
      </w:r>
      <w:r w:rsidR="006F04AC" w:rsidRPr="00FC4432">
        <w:rPr>
          <w:rFonts w:ascii="Arial" w:hAnsi="Arial" w:cs="Arial"/>
          <w:color w:val="222222"/>
          <w:sz w:val="20"/>
          <w:szCs w:val="20"/>
          <w:highlight w:val="yellow"/>
          <w:shd w:val="clear" w:color="auto" w:fill="FFFFFF"/>
        </w:rPr>
        <w:t xml:space="preserve"> </w:t>
      </w:r>
      <w:hyperlink r:id="rId83" w:tgtFrame="_new" w:history="1">
        <w:r w:rsidRPr="00FC4432">
          <w:rPr>
            <w:rStyle w:val="Hyperlink"/>
            <w:highlight w:val="yellow"/>
          </w:rPr>
          <w:t>https://doi.org/10.1002/ehf2.13489</w:t>
        </w:r>
      </w:hyperlink>
    </w:p>
    <w:p w14:paraId="6378B929" w14:textId="39C65AC2" w:rsidR="00EF78BC" w:rsidRPr="000C11F9" w:rsidRDefault="00EF78BC" w:rsidP="000C11F9">
      <w:pPr>
        <w:pStyle w:val="NormalWeb"/>
      </w:pPr>
      <w:r w:rsidRPr="00FC4432">
        <w:rPr>
          <w:highlight w:val="yellow"/>
        </w:rPr>
        <w:t xml:space="preserve">[14]. </w:t>
      </w:r>
      <w:r w:rsidR="006F04AC" w:rsidRPr="00FC4432">
        <w:rPr>
          <w:rFonts w:ascii="Arial" w:hAnsi="Arial" w:cs="Arial"/>
          <w:color w:val="222222"/>
          <w:sz w:val="20"/>
          <w:szCs w:val="20"/>
          <w:highlight w:val="yellow"/>
          <w:shd w:val="clear" w:color="auto" w:fill="FFFFFF"/>
        </w:rPr>
        <w:t>Tromp, J., Teng, T. H., Tay, W. T., Hung, C. L., Narasimhan, C., Shimizu, W., ... &amp; ASIAN</w:t>
      </w:r>
      <w:r w:rsidR="006F04AC" w:rsidRPr="00FC4432">
        <w:rPr>
          <w:rFonts w:ascii="Cambria Math" w:hAnsi="Cambria Math" w:cs="Cambria Math"/>
          <w:color w:val="222222"/>
          <w:sz w:val="20"/>
          <w:szCs w:val="20"/>
          <w:highlight w:val="yellow"/>
          <w:shd w:val="clear" w:color="auto" w:fill="FFFFFF"/>
        </w:rPr>
        <w:t>‐</w:t>
      </w:r>
      <w:r w:rsidR="006F04AC" w:rsidRPr="00FC4432">
        <w:rPr>
          <w:rFonts w:ascii="Arial" w:hAnsi="Arial" w:cs="Arial"/>
          <w:color w:val="222222"/>
          <w:sz w:val="20"/>
          <w:szCs w:val="20"/>
          <w:highlight w:val="yellow"/>
          <w:shd w:val="clear" w:color="auto" w:fill="FFFFFF"/>
        </w:rPr>
        <w:t>HF Investigators. (2019). Heart failure with preserved ejection fraction in Asia. </w:t>
      </w:r>
      <w:r w:rsidR="006F04AC" w:rsidRPr="00FC4432">
        <w:rPr>
          <w:rFonts w:ascii="Arial" w:hAnsi="Arial" w:cs="Arial"/>
          <w:i/>
          <w:iCs/>
          <w:color w:val="222222"/>
          <w:sz w:val="20"/>
          <w:szCs w:val="20"/>
          <w:highlight w:val="yellow"/>
          <w:shd w:val="clear" w:color="auto" w:fill="FFFFFF"/>
        </w:rPr>
        <w:t>European Journal of Heart Failure</w:t>
      </w:r>
      <w:r w:rsidR="006F04AC" w:rsidRPr="00FC4432">
        <w:rPr>
          <w:rFonts w:ascii="Arial" w:hAnsi="Arial" w:cs="Arial"/>
          <w:color w:val="222222"/>
          <w:sz w:val="20"/>
          <w:szCs w:val="20"/>
          <w:highlight w:val="yellow"/>
          <w:shd w:val="clear" w:color="auto" w:fill="FFFFFF"/>
        </w:rPr>
        <w:t>, </w:t>
      </w:r>
      <w:r w:rsidR="006F04AC" w:rsidRPr="00FC4432">
        <w:rPr>
          <w:rFonts w:ascii="Arial" w:hAnsi="Arial" w:cs="Arial"/>
          <w:i/>
          <w:iCs/>
          <w:color w:val="222222"/>
          <w:sz w:val="20"/>
          <w:szCs w:val="20"/>
          <w:highlight w:val="yellow"/>
          <w:shd w:val="clear" w:color="auto" w:fill="FFFFFF"/>
        </w:rPr>
        <w:t>21</w:t>
      </w:r>
      <w:r w:rsidR="006F04AC" w:rsidRPr="00FC4432">
        <w:rPr>
          <w:rFonts w:ascii="Arial" w:hAnsi="Arial" w:cs="Arial"/>
          <w:color w:val="222222"/>
          <w:sz w:val="20"/>
          <w:szCs w:val="20"/>
          <w:highlight w:val="yellow"/>
          <w:shd w:val="clear" w:color="auto" w:fill="FFFFFF"/>
        </w:rPr>
        <w:t>(1), 23-36.</w:t>
      </w:r>
      <w:r w:rsidR="006F04AC" w:rsidRPr="00FC4432">
        <w:rPr>
          <w:rFonts w:ascii="Arial" w:hAnsi="Arial" w:cs="Arial"/>
          <w:color w:val="222222"/>
          <w:sz w:val="20"/>
          <w:szCs w:val="20"/>
          <w:highlight w:val="yellow"/>
          <w:shd w:val="clear" w:color="auto" w:fill="FFFFFF"/>
        </w:rPr>
        <w:t xml:space="preserve"> </w:t>
      </w:r>
      <w:hyperlink r:id="rId84" w:tgtFrame="_new" w:history="1">
        <w:r w:rsidRPr="00FC4432">
          <w:rPr>
            <w:rStyle w:val="Hyperlink"/>
            <w:highlight w:val="yellow"/>
          </w:rPr>
          <w:t>https://doi.org/10.1002/ejhf.1227</w:t>
        </w:r>
      </w:hyperlink>
    </w:p>
    <w:p w14:paraId="2964342F" w14:textId="023EEBA5" w:rsidR="00EF78BC" w:rsidRPr="00667B85" w:rsidRDefault="00EF78BC" w:rsidP="000C11F9">
      <w:pPr>
        <w:pStyle w:val="NormalWeb"/>
        <w:rPr>
          <w:highlight w:val="yellow"/>
        </w:rPr>
      </w:pPr>
      <w:r w:rsidRPr="00667B85">
        <w:rPr>
          <w:highlight w:val="yellow"/>
        </w:rPr>
        <w:t xml:space="preserve">[15]. </w:t>
      </w:r>
      <w:proofErr w:type="spellStart"/>
      <w:r w:rsidR="00667B85" w:rsidRPr="00667B85">
        <w:rPr>
          <w:rFonts w:ascii="Arial" w:hAnsi="Arial" w:cs="Arial"/>
          <w:color w:val="222222"/>
          <w:sz w:val="20"/>
          <w:szCs w:val="20"/>
          <w:highlight w:val="yellow"/>
          <w:shd w:val="clear" w:color="auto" w:fill="FFFFFF"/>
        </w:rPr>
        <w:t>Peikert</w:t>
      </w:r>
      <w:proofErr w:type="spellEnd"/>
      <w:r w:rsidR="00667B85" w:rsidRPr="00667B85">
        <w:rPr>
          <w:rFonts w:ascii="Arial" w:hAnsi="Arial" w:cs="Arial"/>
          <w:color w:val="222222"/>
          <w:sz w:val="20"/>
          <w:szCs w:val="20"/>
          <w:highlight w:val="yellow"/>
          <w:shd w:val="clear" w:color="auto" w:fill="FFFFFF"/>
        </w:rPr>
        <w:t xml:space="preserve">, A., Bart, B. A., </w:t>
      </w:r>
      <w:proofErr w:type="spellStart"/>
      <w:r w:rsidR="00667B85" w:rsidRPr="00667B85">
        <w:rPr>
          <w:rFonts w:ascii="Arial" w:hAnsi="Arial" w:cs="Arial"/>
          <w:color w:val="222222"/>
          <w:sz w:val="20"/>
          <w:szCs w:val="20"/>
          <w:highlight w:val="yellow"/>
          <w:shd w:val="clear" w:color="auto" w:fill="FFFFFF"/>
        </w:rPr>
        <w:t>Vaduganathan</w:t>
      </w:r>
      <w:proofErr w:type="spellEnd"/>
      <w:r w:rsidR="00667B85" w:rsidRPr="00667B85">
        <w:rPr>
          <w:rFonts w:ascii="Arial" w:hAnsi="Arial" w:cs="Arial"/>
          <w:color w:val="222222"/>
          <w:sz w:val="20"/>
          <w:szCs w:val="20"/>
          <w:highlight w:val="yellow"/>
          <w:shd w:val="clear" w:color="auto" w:fill="FFFFFF"/>
        </w:rPr>
        <w:t xml:space="preserve">, M., Claggett, B. L., </w:t>
      </w:r>
      <w:proofErr w:type="spellStart"/>
      <w:r w:rsidR="00667B85" w:rsidRPr="00667B85">
        <w:rPr>
          <w:rFonts w:ascii="Arial" w:hAnsi="Arial" w:cs="Arial"/>
          <w:color w:val="222222"/>
          <w:sz w:val="20"/>
          <w:szCs w:val="20"/>
          <w:highlight w:val="yellow"/>
          <w:shd w:val="clear" w:color="auto" w:fill="FFFFFF"/>
        </w:rPr>
        <w:t>Kulac</w:t>
      </w:r>
      <w:proofErr w:type="spellEnd"/>
      <w:r w:rsidR="00667B85" w:rsidRPr="00667B85">
        <w:rPr>
          <w:rFonts w:ascii="Arial" w:hAnsi="Arial" w:cs="Arial"/>
          <w:color w:val="222222"/>
          <w:sz w:val="20"/>
          <w:szCs w:val="20"/>
          <w:highlight w:val="yellow"/>
          <w:shd w:val="clear" w:color="auto" w:fill="FFFFFF"/>
        </w:rPr>
        <w:t xml:space="preserve">, I. J., </w:t>
      </w:r>
      <w:proofErr w:type="spellStart"/>
      <w:r w:rsidR="00667B85" w:rsidRPr="00667B85">
        <w:rPr>
          <w:rFonts w:ascii="Arial" w:hAnsi="Arial" w:cs="Arial"/>
          <w:color w:val="222222"/>
          <w:sz w:val="20"/>
          <w:szCs w:val="20"/>
          <w:highlight w:val="yellow"/>
          <w:shd w:val="clear" w:color="auto" w:fill="FFFFFF"/>
        </w:rPr>
        <w:t>Kosiborod</w:t>
      </w:r>
      <w:proofErr w:type="spellEnd"/>
      <w:r w:rsidR="00667B85" w:rsidRPr="00667B85">
        <w:rPr>
          <w:rFonts w:ascii="Arial" w:hAnsi="Arial" w:cs="Arial"/>
          <w:color w:val="222222"/>
          <w:sz w:val="20"/>
          <w:szCs w:val="20"/>
          <w:highlight w:val="yellow"/>
          <w:shd w:val="clear" w:color="auto" w:fill="FFFFFF"/>
        </w:rPr>
        <w:t xml:space="preserve">, M. N., ... &amp; </w:t>
      </w:r>
      <w:proofErr w:type="spellStart"/>
      <w:r w:rsidR="00667B85" w:rsidRPr="00667B85">
        <w:rPr>
          <w:rFonts w:ascii="Arial" w:hAnsi="Arial" w:cs="Arial"/>
          <w:color w:val="222222"/>
          <w:sz w:val="20"/>
          <w:szCs w:val="20"/>
          <w:highlight w:val="yellow"/>
          <w:shd w:val="clear" w:color="auto" w:fill="FFFFFF"/>
        </w:rPr>
        <w:t>Vardeny</w:t>
      </w:r>
      <w:proofErr w:type="spellEnd"/>
      <w:r w:rsidR="00667B85" w:rsidRPr="00667B85">
        <w:rPr>
          <w:rFonts w:ascii="Arial" w:hAnsi="Arial" w:cs="Arial"/>
          <w:color w:val="222222"/>
          <w:sz w:val="20"/>
          <w:szCs w:val="20"/>
          <w:highlight w:val="yellow"/>
          <w:shd w:val="clear" w:color="auto" w:fill="FFFFFF"/>
        </w:rPr>
        <w:t xml:space="preserve">, O. (2024). Contemporary use and implications of beta-blockers in patients with </w:t>
      </w:r>
      <w:proofErr w:type="spellStart"/>
      <w:r w:rsidR="00667B85" w:rsidRPr="00667B85">
        <w:rPr>
          <w:rFonts w:ascii="Arial" w:hAnsi="Arial" w:cs="Arial"/>
          <w:color w:val="222222"/>
          <w:sz w:val="20"/>
          <w:szCs w:val="20"/>
          <w:highlight w:val="yellow"/>
          <w:shd w:val="clear" w:color="auto" w:fill="FFFFFF"/>
        </w:rPr>
        <w:t>HFmrEF</w:t>
      </w:r>
      <w:proofErr w:type="spellEnd"/>
      <w:r w:rsidR="00667B85" w:rsidRPr="00667B85">
        <w:rPr>
          <w:rFonts w:ascii="Arial" w:hAnsi="Arial" w:cs="Arial"/>
          <w:color w:val="222222"/>
          <w:sz w:val="20"/>
          <w:szCs w:val="20"/>
          <w:highlight w:val="yellow"/>
          <w:shd w:val="clear" w:color="auto" w:fill="FFFFFF"/>
        </w:rPr>
        <w:t xml:space="preserve"> or </w:t>
      </w:r>
      <w:proofErr w:type="spellStart"/>
      <w:r w:rsidR="00667B85" w:rsidRPr="00667B85">
        <w:rPr>
          <w:rFonts w:ascii="Arial" w:hAnsi="Arial" w:cs="Arial"/>
          <w:color w:val="222222"/>
          <w:sz w:val="20"/>
          <w:szCs w:val="20"/>
          <w:highlight w:val="yellow"/>
          <w:shd w:val="clear" w:color="auto" w:fill="FFFFFF"/>
        </w:rPr>
        <w:t>HFpEF</w:t>
      </w:r>
      <w:proofErr w:type="spellEnd"/>
      <w:r w:rsidR="00667B85" w:rsidRPr="00667B85">
        <w:rPr>
          <w:rFonts w:ascii="Arial" w:hAnsi="Arial" w:cs="Arial"/>
          <w:color w:val="222222"/>
          <w:sz w:val="20"/>
          <w:szCs w:val="20"/>
          <w:highlight w:val="yellow"/>
          <w:shd w:val="clear" w:color="auto" w:fill="FFFFFF"/>
        </w:rPr>
        <w:t>: the DELIVER trial. </w:t>
      </w:r>
      <w:r w:rsidR="00667B85" w:rsidRPr="00667B85">
        <w:rPr>
          <w:rFonts w:ascii="Arial" w:hAnsi="Arial" w:cs="Arial"/>
          <w:i/>
          <w:iCs/>
          <w:color w:val="222222"/>
          <w:sz w:val="20"/>
          <w:szCs w:val="20"/>
          <w:highlight w:val="yellow"/>
          <w:shd w:val="clear" w:color="auto" w:fill="FFFFFF"/>
        </w:rPr>
        <w:t>Heart Failure</w:t>
      </w:r>
      <w:r w:rsidR="00667B85" w:rsidRPr="00667B85">
        <w:rPr>
          <w:rFonts w:ascii="Arial" w:hAnsi="Arial" w:cs="Arial"/>
          <w:color w:val="222222"/>
          <w:sz w:val="20"/>
          <w:szCs w:val="20"/>
          <w:highlight w:val="yellow"/>
          <w:shd w:val="clear" w:color="auto" w:fill="FFFFFF"/>
        </w:rPr>
        <w:t>, </w:t>
      </w:r>
      <w:r w:rsidR="00667B85" w:rsidRPr="00667B85">
        <w:rPr>
          <w:rFonts w:ascii="Arial" w:hAnsi="Arial" w:cs="Arial"/>
          <w:i/>
          <w:iCs/>
          <w:color w:val="222222"/>
          <w:sz w:val="20"/>
          <w:szCs w:val="20"/>
          <w:highlight w:val="yellow"/>
          <w:shd w:val="clear" w:color="auto" w:fill="FFFFFF"/>
        </w:rPr>
        <w:t>12</w:t>
      </w:r>
      <w:r w:rsidR="00667B85" w:rsidRPr="00667B85">
        <w:rPr>
          <w:rFonts w:ascii="Arial" w:hAnsi="Arial" w:cs="Arial"/>
          <w:color w:val="222222"/>
          <w:sz w:val="20"/>
          <w:szCs w:val="20"/>
          <w:highlight w:val="yellow"/>
          <w:shd w:val="clear" w:color="auto" w:fill="FFFFFF"/>
        </w:rPr>
        <w:t>(4), 631-644.</w:t>
      </w:r>
      <w:r w:rsidR="00667B85" w:rsidRPr="00667B85">
        <w:rPr>
          <w:rFonts w:ascii="Arial" w:hAnsi="Arial" w:cs="Arial"/>
          <w:color w:val="222222"/>
          <w:sz w:val="20"/>
          <w:szCs w:val="20"/>
          <w:highlight w:val="yellow"/>
          <w:shd w:val="clear" w:color="auto" w:fill="FFFFFF"/>
        </w:rPr>
        <w:t xml:space="preserve"> </w:t>
      </w:r>
      <w:hyperlink r:id="rId85" w:tgtFrame="_new" w:history="1">
        <w:r w:rsidRPr="00667B85">
          <w:rPr>
            <w:rStyle w:val="Hyperlink"/>
            <w:highlight w:val="yellow"/>
          </w:rPr>
          <w:t>https://pubmed.ncbi.nlm.nih.gov/37767674/</w:t>
        </w:r>
      </w:hyperlink>
    </w:p>
    <w:p w14:paraId="0432C432" w14:textId="77777777" w:rsidR="00EF78BC" w:rsidRPr="00667B85" w:rsidRDefault="00EF78BC" w:rsidP="000C11F9">
      <w:pPr>
        <w:pStyle w:val="NormalWeb"/>
        <w:rPr>
          <w:highlight w:val="yellow"/>
        </w:rPr>
      </w:pPr>
      <w:r w:rsidRPr="00667B85">
        <w:rPr>
          <w:highlight w:val="yellow"/>
        </w:rPr>
        <w:t xml:space="preserve">[16]. The Cardiology Advisor. (2023). β-blocker use does not affect dapagliflozin safety or efficacy in </w:t>
      </w:r>
      <w:proofErr w:type="spellStart"/>
      <w:r w:rsidRPr="00667B85">
        <w:rPr>
          <w:highlight w:val="yellow"/>
        </w:rPr>
        <w:t>HFpEF</w:t>
      </w:r>
      <w:proofErr w:type="spellEnd"/>
      <w:r w:rsidRPr="00667B85">
        <w:rPr>
          <w:highlight w:val="yellow"/>
        </w:rPr>
        <w:t xml:space="preserve"> or </w:t>
      </w:r>
      <w:proofErr w:type="spellStart"/>
      <w:r w:rsidRPr="00667B85">
        <w:rPr>
          <w:highlight w:val="yellow"/>
        </w:rPr>
        <w:t>HFmrEF</w:t>
      </w:r>
      <w:proofErr w:type="spellEnd"/>
      <w:r w:rsidRPr="00667B85">
        <w:rPr>
          <w:highlight w:val="yellow"/>
        </w:rPr>
        <w:t xml:space="preserve">. Retrieved from </w:t>
      </w:r>
      <w:hyperlink r:id="rId86" w:tgtFrame="_new" w:history="1">
        <w:r w:rsidRPr="00667B85">
          <w:rPr>
            <w:rStyle w:val="Hyperlink"/>
            <w:highlight w:val="yellow"/>
          </w:rPr>
          <w:t>https://www.thecardiologyadvisor.com/news/%CE%B2-blocker-use-does-not-affect-dapagliflozin-safety-or-efficacy-in-hfpef-or-hfmref/</w:t>
        </w:r>
      </w:hyperlink>
    </w:p>
    <w:p w14:paraId="2A9D72D4" w14:textId="0CDF41CE" w:rsidR="00EF78BC" w:rsidRPr="00667B85" w:rsidRDefault="00EF78BC" w:rsidP="000C11F9">
      <w:pPr>
        <w:pStyle w:val="NormalWeb"/>
        <w:rPr>
          <w:highlight w:val="yellow"/>
        </w:rPr>
      </w:pPr>
      <w:r w:rsidRPr="00667B85">
        <w:rPr>
          <w:highlight w:val="yellow"/>
        </w:rPr>
        <w:t xml:space="preserve">[17]. </w:t>
      </w:r>
      <w:proofErr w:type="spellStart"/>
      <w:r w:rsidR="00667B85" w:rsidRPr="00667B85">
        <w:rPr>
          <w:rFonts w:ascii="Arial" w:hAnsi="Arial" w:cs="Arial"/>
          <w:color w:val="222222"/>
          <w:sz w:val="20"/>
          <w:szCs w:val="20"/>
          <w:highlight w:val="yellow"/>
          <w:shd w:val="clear" w:color="auto" w:fill="FFFFFF"/>
        </w:rPr>
        <w:t>Kosiborod</w:t>
      </w:r>
      <w:proofErr w:type="spellEnd"/>
      <w:r w:rsidR="00667B85" w:rsidRPr="00667B85">
        <w:rPr>
          <w:rFonts w:ascii="Arial" w:hAnsi="Arial" w:cs="Arial"/>
          <w:color w:val="222222"/>
          <w:sz w:val="20"/>
          <w:szCs w:val="20"/>
          <w:highlight w:val="yellow"/>
          <w:shd w:val="clear" w:color="auto" w:fill="FFFFFF"/>
        </w:rPr>
        <w:t xml:space="preserve">, M. N., Bhatt, A. S., Claggett, B. L., </w:t>
      </w:r>
      <w:proofErr w:type="spellStart"/>
      <w:r w:rsidR="00667B85" w:rsidRPr="00667B85">
        <w:rPr>
          <w:rFonts w:ascii="Arial" w:hAnsi="Arial" w:cs="Arial"/>
          <w:color w:val="222222"/>
          <w:sz w:val="20"/>
          <w:szCs w:val="20"/>
          <w:highlight w:val="yellow"/>
          <w:shd w:val="clear" w:color="auto" w:fill="FFFFFF"/>
        </w:rPr>
        <w:t>Vaduganathan</w:t>
      </w:r>
      <w:proofErr w:type="spellEnd"/>
      <w:r w:rsidR="00667B85" w:rsidRPr="00667B85">
        <w:rPr>
          <w:rFonts w:ascii="Arial" w:hAnsi="Arial" w:cs="Arial"/>
          <w:color w:val="222222"/>
          <w:sz w:val="20"/>
          <w:szCs w:val="20"/>
          <w:highlight w:val="yellow"/>
          <w:shd w:val="clear" w:color="auto" w:fill="FFFFFF"/>
        </w:rPr>
        <w:t xml:space="preserve">, M., </w:t>
      </w:r>
      <w:proofErr w:type="spellStart"/>
      <w:r w:rsidR="00667B85" w:rsidRPr="00667B85">
        <w:rPr>
          <w:rFonts w:ascii="Arial" w:hAnsi="Arial" w:cs="Arial"/>
          <w:color w:val="222222"/>
          <w:sz w:val="20"/>
          <w:szCs w:val="20"/>
          <w:highlight w:val="yellow"/>
          <w:shd w:val="clear" w:color="auto" w:fill="FFFFFF"/>
        </w:rPr>
        <w:t>Kulac</w:t>
      </w:r>
      <w:proofErr w:type="spellEnd"/>
      <w:r w:rsidR="00667B85" w:rsidRPr="00667B85">
        <w:rPr>
          <w:rFonts w:ascii="Arial" w:hAnsi="Arial" w:cs="Arial"/>
          <w:color w:val="222222"/>
          <w:sz w:val="20"/>
          <w:szCs w:val="20"/>
          <w:highlight w:val="yellow"/>
          <w:shd w:val="clear" w:color="auto" w:fill="FFFFFF"/>
        </w:rPr>
        <w:t>, I. J., Lam, C. S., ... &amp; Solomon, S. D. (2023). Effect of dapagliflozin on health status in patients with preserved or mildly reduced ejection fraction. </w:t>
      </w:r>
      <w:r w:rsidR="00667B85" w:rsidRPr="00667B85">
        <w:rPr>
          <w:rFonts w:ascii="Arial" w:hAnsi="Arial" w:cs="Arial"/>
          <w:i/>
          <w:iCs/>
          <w:color w:val="222222"/>
          <w:sz w:val="20"/>
          <w:szCs w:val="20"/>
          <w:highlight w:val="yellow"/>
          <w:shd w:val="clear" w:color="auto" w:fill="FFFFFF"/>
        </w:rPr>
        <w:t>Journal of the American College of Cardiology</w:t>
      </w:r>
      <w:r w:rsidR="00667B85" w:rsidRPr="00667B85">
        <w:rPr>
          <w:rFonts w:ascii="Arial" w:hAnsi="Arial" w:cs="Arial"/>
          <w:color w:val="222222"/>
          <w:sz w:val="20"/>
          <w:szCs w:val="20"/>
          <w:highlight w:val="yellow"/>
          <w:shd w:val="clear" w:color="auto" w:fill="FFFFFF"/>
        </w:rPr>
        <w:t>, </w:t>
      </w:r>
      <w:r w:rsidR="00667B85" w:rsidRPr="00667B85">
        <w:rPr>
          <w:rFonts w:ascii="Arial" w:hAnsi="Arial" w:cs="Arial"/>
          <w:i/>
          <w:iCs/>
          <w:color w:val="222222"/>
          <w:sz w:val="20"/>
          <w:szCs w:val="20"/>
          <w:highlight w:val="yellow"/>
          <w:shd w:val="clear" w:color="auto" w:fill="FFFFFF"/>
        </w:rPr>
        <w:t>81</w:t>
      </w:r>
      <w:r w:rsidR="00667B85" w:rsidRPr="00667B85">
        <w:rPr>
          <w:rFonts w:ascii="Arial" w:hAnsi="Arial" w:cs="Arial"/>
          <w:color w:val="222222"/>
          <w:sz w:val="20"/>
          <w:szCs w:val="20"/>
          <w:highlight w:val="yellow"/>
          <w:shd w:val="clear" w:color="auto" w:fill="FFFFFF"/>
        </w:rPr>
        <w:t>(5), 460-473.</w:t>
      </w:r>
      <w:r w:rsidR="00667B85" w:rsidRPr="00667B85">
        <w:rPr>
          <w:rFonts w:ascii="Arial" w:hAnsi="Arial" w:cs="Arial"/>
          <w:color w:val="222222"/>
          <w:sz w:val="20"/>
          <w:szCs w:val="20"/>
          <w:highlight w:val="yellow"/>
          <w:shd w:val="clear" w:color="auto" w:fill="FFFFFF"/>
        </w:rPr>
        <w:t xml:space="preserve"> </w:t>
      </w:r>
      <w:hyperlink r:id="rId87" w:tgtFrame="_new" w:history="1">
        <w:r w:rsidRPr="00667B85">
          <w:rPr>
            <w:rStyle w:val="Hyperlink"/>
            <w:highlight w:val="yellow"/>
          </w:rPr>
          <w:t>https://doi.org/10.1016/j.jacc.2022.11.006</w:t>
        </w:r>
      </w:hyperlink>
    </w:p>
    <w:p w14:paraId="754AFF7C" w14:textId="3010A572" w:rsidR="00EF78BC" w:rsidRPr="00667B85" w:rsidRDefault="00EF78BC" w:rsidP="000C11F9">
      <w:pPr>
        <w:pStyle w:val="NormalWeb"/>
        <w:rPr>
          <w:highlight w:val="yellow"/>
        </w:rPr>
      </w:pPr>
      <w:r w:rsidRPr="00667B85">
        <w:rPr>
          <w:highlight w:val="yellow"/>
        </w:rPr>
        <w:t xml:space="preserve">[18]. </w:t>
      </w:r>
      <w:r w:rsidR="00667B85" w:rsidRPr="00667B85">
        <w:rPr>
          <w:rFonts w:ascii="Arial" w:hAnsi="Arial" w:cs="Arial"/>
          <w:color w:val="222222"/>
          <w:sz w:val="20"/>
          <w:szCs w:val="20"/>
          <w:highlight w:val="yellow"/>
          <w:shd w:val="clear" w:color="auto" w:fill="FFFFFF"/>
        </w:rPr>
        <w:t>Packer, M. (2020). Are the benefits of SGLT2 inhibitors in heart failure and a reduced ejection fraction influenced by background therapy? Expectations and realities of a new standard of care. </w:t>
      </w:r>
      <w:r w:rsidR="00667B85" w:rsidRPr="00667B85">
        <w:rPr>
          <w:rFonts w:ascii="Arial" w:hAnsi="Arial" w:cs="Arial"/>
          <w:i/>
          <w:iCs/>
          <w:color w:val="222222"/>
          <w:sz w:val="20"/>
          <w:szCs w:val="20"/>
          <w:highlight w:val="yellow"/>
          <w:shd w:val="clear" w:color="auto" w:fill="FFFFFF"/>
        </w:rPr>
        <w:t>European Heart Journal</w:t>
      </w:r>
      <w:r w:rsidR="00667B85" w:rsidRPr="00667B85">
        <w:rPr>
          <w:rFonts w:ascii="Arial" w:hAnsi="Arial" w:cs="Arial"/>
          <w:color w:val="222222"/>
          <w:sz w:val="20"/>
          <w:szCs w:val="20"/>
          <w:highlight w:val="yellow"/>
          <w:shd w:val="clear" w:color="auto" w:fill="FFFFFF"/>
        </w:rPr>
        <w:t>, </w:t>
      </w:r>
      <w:r w:rsidR="00667B85" w:rsidRPr="00667B85">
        <w:rPr>
          <w:rFonts w:ascii="Arial" w:hAnsi="Arial" w:cs="Arial"/>
          <w:i/>
          <w:iCs/>
          <w:color w:val="222222"/>
          <w:sz w:val="20"/>
          <w:szCs w:val="20"/>
          <w:highlight w:val="yellow"/>
          <w:shd w:val="clear" w:color="auto" w:fill="FFFFFF"/>
        </w:rPr>
        <w:t>41</w:t>
      </w:r>
      <w:r w:rsidR="00667B85" w:rsidRPr="00667B85">
        <w:rPr>
          <w:rFonts w:ascii="Arial" w:hAnsi="Arial" w:cs="Arial"/>
          <w:color w:val="222222"/>
          <w:sz w:val="20"/>
          <w:szCs w:val="20"/>
          <w:highlight w:val="yellow"/>
          <w:shd w:val="clear" w:color="auto" w:fill="FFFFFF"/>
        </w:rPr>
        <w:t>(25), 2393-2396.</w:t>
      </w:r>
      <w:r w:rsidR="00667B85" w:rsidRPr="00667B85">
        <w:rPr>
          <w:rFonts w:ascii="Arial" w:hAnsi="Arial" w:cs="Arial"/>
          <w:color w:val="222222"/>
          <w:sz w:val="20"/>
          <w:szCs w:val="20"/>
          <w:highlight w:val="yellow"/>
          <w:shd w:val="clear" w:color="auto" w:fill="FFFFFF"/>
        </w:rPr>
        <w:t xml:space="preserve"> </w:t>
      </w:r>
      <w:hyperlink r:id="rId88" w:tgtFrame="_new" w:history="1">
        <w:r w:rsidRPr="00667B85">
          <w:rPr>
            <w:rStyle w:val="Hyperlink"/>
            <w:highlight w:val="yellow"/>
          </w:rPr>
          <w:t>https://pmc.ncbi.nlm.nih.gov/articles/PMC7327531/</w:t>
        </w:r>
      </w:hyperlink>
    </w:p>
    <w:p w14:paraId="59383B65" w14:textId="262772E2" w:rsidR="00EF78BC" w:rsidRPr="000C11F9" w:rsidRDefault="00EF78BC" w:rsidP="000C11F9">
      <w:pPr>
        <w:pStyle w:val="NormalWeb"/>
      </w:pPr>
      <w:r w:rsidRPr="00667B85">
        <w:rPr>
          <w:highlight w:val="yellow"/>
        </w:rPr>
        <w:t xml:space="preserve">[19]. </w:t>
      </w:r>
      <w:proofErr w:type="spellStart"/>
      <w:r w:rsidR="00667B85" w:rsidRPr="00667B85">
        <w:rPr>
          <w:rFonts w:ascii="Arial" w:hAnsi="Arial" w:cs="Arial"/>
          <w:color w:val="222222"/>
          <w:sz w:val="20"/>
          <w:szCs w:val="20"/>
          <w:highlight w:val="yellow"/>
          <w:shd w:val="clear" w:color="auto" w:fill="FFFFFF"/>
        </w:rPr>
        <w:t>Oyama</w:t>
      </w:r>
      <w:proofErr w:type="spellEnd"/>
      <w:r w:rsidR="00667B85" w:rsidRPr="00667B85">
        <w:rPr>
          <w:rFonts w:ascii="Arial" w:hAnsi="Arial" w:cs="Arial"/>
          <w:color w:val="222222"/>
          <w:sz w:val="20"/>
          <w:szCs w:val="20"/>
          <w:highlight w:val="yellow"/>
          <w:shd w:val="clear" w:color="auto" w:fill="FFFFFF"/>
        </w:rPr>
        <w:t xml:space="preserve">, K., Raz, I., Cahn, A., Goodrich, E. L., Bhatt, D. L., Leiter, L. A., ... &amp; </w:t>
      </w:r>
      <w:proofErr w:type="spellStart"/>
      <w:r w:rsidR="00667B85" w:rsidRPr="00667B85">
        <w:rPr>
          <w:rFonts w:ascii="Arial" w:hAnsi="Arial" w:cs="Arial"/>
          <w:color w:val="222222"/>
          <w:sz w:val="20"/>
          <w:szCs w:val="20"/>
          <w:highlight w:val="yellow"/>
          <w:shd w:val="clear" w:color="auto" w:fill="FFFFFF"/>
        </w:rPr>
        <w:t>Wiviott</w:t>
      </w:r>
      <w:proofErr w:type="spellEnd"/>
      <w:r w:rsidR="00667B85" w:rsidRPr="00667B85">
        <w:rPr>
          <w:rFonts w:ascii="Arial" w:hAnsi="Arial" w:cs="Arial"/>
          <w:color w:val="222222"/>
          <w:sz w:val="20"/>
          <w:szCs w:val="20"/>
          <w:highlight w:val="yellow"/>
          <w:shd w:val="clear" w:color="auto" w:fill="FFFFFF"/>
        </w:rPr>
        <w:t xml:space="preserve">, S. D. (2022). Efficacy and safety of dapagliflozin according to background use of cardiovascular medications in patients </w:t>
      </w:r>
      <w:r w:rsidR="00667B85" w:rsidRPr="00667B85">
        <w:rPr>
          <w:rFonts w:ascii="Arial" w:hAnsi="Arial" w:cs="Arial"/>
          <w:color w:val="222222"/>
          <w:sz w:val="20"/>
          <w:szCs w:val="20"/>
          <w:highlight w:val="yellow"/>
          <w:shd w:val="clear" w:color="auto" w:fill="FFFFFF"/>
        </w:rPr>
        <w:lastRenderedPageBreak/>
        <w:t>with type 2 diabetes: a prespecified secondary analysis of a randomized clinical trial. </w:t>
      </w:r>
      <w:r w:rsidR="00667B85" w:rsidRPr="00667B85">
        <w:rPr>
          <w:rFonts w:ascii="Arial" w:hAnsi="Arial" w:cs="Arial"/>
          <w:i/>
          <w:iCs/>
          <w:color w:val="222222"/>
          <w:sz w:val="20"/>
          <w:szCs w:val="20"/>
          <w:highlight w:val="yellow"/>
          <w:shd w:val="clear" w:color="auto" w:fill="FFFFFF"/>
        </w:rPr>
        <w:t>JAMA cardiology</w:t>
      </w:r>
      <w:r w:rsidR="00667B85" w:rsidRPr="00667B85">
        <w:rPr>
          <w:rFonts w:ascii="Arial" w:hAnsi="Arial" w:cs="Arial"/>
          <w:color w:val="222222"/>
          <w:sz w:val="20"/>
          <w:szCs w:val="20"/>
          <w:highlight w:val="yellow"/>
          <w:shd w:val="clear" w:color="auto" w:fill="FFFFFF"/>
        </w:rPr>
        <w:t>, </w:t>
      </w:r>
      <w:r w:rsidR="00667B85" w:rsidRPr="00667B85">
        <w:rPr>
          <w:rFonts w:ascii="Arial" w:hAnsi="Arial" w:cs="Arial"/>
          <w:i/>
          <w:iCs/>
          <w:color w:val="222222"/>
          <w:sz w:val="20"/>
          <w:szCs w:val="20"/>
          <w:highlight w:val="yellow"/>
          <w:shd w:val="clear" w:color="auto" w:fill="FFFFFF"/>
        </w:rPr>
        <w:t>7</w:t>
      </w:r>
      <w:r w:rsidR="00667B85" w:rsidRPr="00667B85">
        <w:rPr>
          <w:rFonts w:ascii="Arial" w:hAnsi="Arial" w:cs="Arial"/>
          <w:color w:val="222222"/>
          <w:sz w:val="20"/>
          <w:szCs w:val="20"/>
          <w:highlight w:val="yellow"/>
          <w:shd w:val="clear" w:color="auto" w:fill="FFFFFF"/>
        </w:rPr>
        <w:t>(9), 914-923.</w:t>
      </w:r>
      <w:r w:rsidR="00667B85" w:rsidRPr="00667B85">
        <w:rPr>
          <w:rFonts w:ascii="Arial" w:hAnsi="Arial" w:cs="Arial"/>
          <w:color w:val="222222"/>
          <w:sz w:val="20"/>
          <w:szCs w:val="20"/>
          <w:highlight w:val="yellow"/>
          <w:shd w:val="clear" w:color="auto" w:fill="FFFFFF"/>
        </w:rPr>
        <w:t xml:space="preserve"> </w:t>
      </w:r>
      <w:hyperlink r:id="rId89" w:tgtFrame="_new" w:history="1">
        <w:r w:rsidRPr="00667B85">
          <w:rPr>
            <w:rStyle w:val="Hyperlink"/>
            <w:highlight w:val="yellow"/>
          </w:rPr>
          <w:t>https://pmc.ncbi.nlm.nih.gov/articles/PMC9301591/</w:t>
        </w:r>
      </w:hyperlink>
    </w:p>
    <w:p w14:paraId="5D4B7B90" w14:textId="56380E25" w:rsidR="00EF78BC" w:rsidRPr="00B21BC8" w:rsidRDefault="00EF78BC" w:rsidP="000C11F9">
      <w:pPr>
        <w:pStyle w:val="NormalWeb"/>
        <w:rPr>
          <w:highlight w:val="yellow"/>
        </w:rPr>
      </w:pPr>
      <w:r w:rsidRPr="000C11F9">
        <w:t>[</w:t>
      </w:r>
      <w:r w:rsidRPr="00B21BC8">
        <w:rPr>
          <w:highlight w:val="yellow"/>
        </w:rPr>
        <w:t xml:space="preserve">20]. </w:t>
      </w:r>
      <w:r w:rsidR="00B21BC8" w:rsidRPr="00B21BC8">
        <w:rPr>
          <w:rFonts w:ascii="Arial" w:hAnsi="Arial" w:cs="Arial"/>
          <w:color w:val="222222"/>
          <w:sz w:val="20"/>
          <w:szCs w:val="20"/>
          <w:highlight w:val="yellow"/>
          <w:shd w:val="clear" w:color="auto" w:fill="FFFFFF"/>
        </w:rPr>
        <w:t xml:space="preserve">Yan, Y., An, W., Mei, S., Zhu, Q., Li, C., Yang, L., ... &amp; </w:t>
      </w:r>
      <w:proofErr w:type="spellStart"/>
      <w:r w:rsidR="00B21BC8" w:rsidRPr="00B21BC8">
        <w:rPr>
          <w:rFonts w:ascii="Arial" w:hAnsi="Arial" w:cs="Arial"/>
          <w:color w:val="222222"/>
          <w:sz w:val="20"/>
          <w:szCs w:val="20"/>
          <w:highlight w:val="yellow"/>
          <w:shd w:val="clear" w:color="auto" w:fill="FFFFFF"/>
        </w:rPr>
        <w:t>Huo</w:t>
      </w:r>
      <w:proofErr w:type="spellEnd"/>
      <w:r w:rsidR="00B21BC8" w:rsidRPr="00B21BC8">
        <w:rPr>
          <w:rFonts w:ascii="Arial" w:hAnsi="Arial" w:cs="Arial"/>
          <w:color w:val="222222"/>
          <w:sz w:val="20"/>
          <w:szCs w:val="20"/>
          <w:highlight w:val="yellow"/>
          <w:shd w:val="clear" w:color="auto" w:fill="FFFFFF"/>
        </w:rPr>
        <w:t>, J. (2024). Real-world research on beta-blocker usage trends in China and safety exploration based on the FDA Adverse Event Reporting System (FAERS). </w:t>
      </w:r>
      <w:r w:rsidR="00B21BC8" w:rsidRPr="00B21BC8">
        <w:rPr>
          <w:rFonts w:ascii="Arial" w:hAnsi="Arial" w:cs="Arial"/>
          <w:i/>
          <w:iCs/>
          <w:color w:val="222222"/>
          <w:sz w:val="20"/>
          <w:szCs w:val="20"/>
          <w:highlight w:val="yellow"/>
          <w:shd w:val="clear" w:color="auto" w:fill="FFFFFF"/>
        </w:rPr>
        <w:t>BMC Pharmacology and Toxicology</w:t>
      </w:r>
      <w:r w:rsidR="00B21BC8" w:rsidRPr="00B21BC8">
        <w:rPr>
          <w:rFonts w:ascii="Arial" w:hAnsi="Arial" w:cs="Arial"/>
          <w:color w:val="222222"/>
          <w:sz w:val="20"/>
          <w:szCs w:val="20"/>
          <w:highlight w:val="yellow"/>
          <w:shd w:val="clear" w:color="auto" w:fill="FFFFFF"/>
        </w:rPr>
        <w:t>, </w:t>
      </w:r>
      <w:r w:rsidR="00B21BC8" w:rsidRPr="00B21BC8">
        <w:rPr>
          <w:rFonts w:ascii="Arial" w:hAnsi="Arial" w:cs="Arial"/>
          <w:i/>
          <w:iCs/>
          <w:color w:val="222222"/>
          <w:sz w:val="20"/>
          <w:szCs w:val="20"/>
          <w:highlight w:val="yellow"/>
          <w:shd w:val="clear" w:color="auto" w:fill="FFFFFF"/>
        </w:rPr>
        <w:t>25</w:t>
      </w:r>
      <w:r w:rsidR="00B21BC8" w:rsidRPr="00B21BC8">
        <w:rPr>
          <w:rFonts w:ascii="Arial" w:hAnsi="Arial" w:cs="Arial"/>
          <w:color w:val="222222"/>
          <w:sz w:val="20"/>
          <w:szCs w:val="20"/>
          <w:highlight w:val="yellow"/>
          <w:shd w:val="clear" w:color="auto" w:fill="FFFFFF"/>
        </w:rPr>
        <w:t>(1), 86.</w:t>
      </w:r>
      <w:r w:rsidR="00B21BC8" w:rsidRPr="00B21BC8">
        <w:rPr>
          <w:rFonts w:ascii="Arial" w:hAnsi="Arial" w:cs="Arial"/>
          <w:color w:val="222222"/>
          <w:sz w:val="20"/>
          <w:szCs w:val="20"/>
          <w:highlight w:val="yellow"/>
          <w:shd w:val="clear" w:color="auto" w:fill="FFFFFF"/>
        </w:rPr>
        <w:t xml:space="preserve"> </w:t>
      </w:r>
      <w:hyperlink r:id="rId90" w:tgtFrame="_new" w:history="1">
        <w:r w:rsidRPr="00B21BC8">
          <w:rPr>
            <w:rStyle w:val="Hyperlink"/>
            <w:highlight w:val="yellow"/>
          </w:rPr>
          <w:t>https://pmc.ncbi.nlm.nih.gov/articles/PMC11566443/</w:t>
        </w:r>
      </w:hyperlink>
    </w:p>
    <w:p w14:paraId="33D03667" w14:textId="1F297FA4" w:rsidR="00EF78BC" w:rsidRPr="00B21BC8" w:rsidRDefault="00EF78BC" w:rsidP="000C11F9">
      <w:pPr>
        <w:pStyle w:val="NormalWeb"/>
        <w:rPr>
          <w:highlight w:val="yellow"/>
        </w:rPr>
      </w:pPr>
      <w:r w:rsidRPr="00B21BC8">
        <w:rPr>
          <w:highlight w:val="yellow"/>
        </w:rPr>
        <w:t xml:space="preserve">[21]. </w:t>
      </w:r>
      <w:r w:rsidR="00B21BC8" w:rsidRPr="00B21BC8">
        <w:rPr>
          <w:rFonts w:ascii="Arial" w:hAnsi="Arial" w:cs="Arial"/>
          <w:color w:val="222222"/>
          <w:sz w:val="20"/>
          <w:szCs w:val="20"/>
          <w:highlight w:val="yellow"/>
          <w:shd w:val="clear" w:color="auto" w:fill="FFFFFF"/>
        </w:rPr>
        <w:t xml:space="preserve">Lu, H. T., Kam, J., </w:t>
      </w:r>
      <w:proofErr w:type="spellStart"/>
      <w:r w:rsidR="00B21BC8" w:rsidRPr="00B21BC8">
        <w:rPr>
          <w:rFonts w:ascii="Arial" w:hAnsi="Arial" w:cs="Arial"/>
          <w:color w:val="222222"/>
          <w:sz w:val="20"/>
          <w:szCs w:val="20"/>
          <w:highlight w:val="yellow"/>
          <w:shd w:val="clear" w:color="auto" w:fill="FFFFFF"/>
        </w:rPr>
        <w:t>Nordin</w:t>
      </w:r>
      <w:proofErr w:type="spellEnd"/>
      <w:r w:rsidR="00B21BC8" w:rsidRPr="00B21BC8">
        <w:rPr>
          <w:rFonts w:ascii="Arial" w:hAnsi="Arial" w:cs="Arial"/>
          <w:color w:val="222222"/>
          <w:sz w:val="20"/>
          <w:szCs w:val="20"/>
          <w:highlight w:val="yellow"/>
          <w:shd w:val="clear" w:color="auto" w:fill="FFFFFF"/>
        </w:rPr>
        <w:t xml:space="preserve">, R. B., </w:t>
      </w:r>
      <w:proofErr w:type="spellStart"/>
      <w:r w:rsidR="00B21BC8" w:rsidRPr="00B21BC8">
        <w:rPr>
          <w:rFonts w:ascii="Arial" w:hAnsi="Arial" w:cs="Arial"/>
          <w:color w:val="222222"/>
          <w:sz w:val="20"/>
          <w:szCs w:val="20"/>
          <w:highlight w:val="yellow"/>
          <w:shd w:val="clear" w:color="auto" w:fill="FFFFFF"/>
        </w:rPr>
        <w:t>Khelae</w:t>
      </w:r>
      <w:proofErr w:type="spellEnd"/>
      <w:r w:rsidR="00B21BC8" w:rsidRPr="00B21BC8">
        <w:rPr>
          <w:rFonts w:ascii="Arial" w:hAnsi="Arial" w:cs="Arial"/>
          <w:color w:val="222222"/>
          <w:sz w:val="20"/>
          <w:szCs w:val="20"/>
          <w:highlight w:val="yellow"/>
          <w:shd w:val="clear" w:color="auto" w:fill="FFFFFF"/>
        </w:rPr>
        <w:t xml:space="preserve">, S. K., Wang, J. M., Choy, C. N., &amp; Lee, C. Y. (2016). Beta-blocker use and risk of symptomatic </w:t>
      </w:r>
      <w:proofErr w:type="spellStart"/>
      <w:r w:rsidR="00B21BC8" w:rsidRPr="00B21BC8">
        <w:rPr>
          <w:rFonts w:ascii="Arial" w:hAnsi="Arial" w:cs="Arial"/>
          <w:color w:val="222222"/>
          <w:sz w:val="20"/>
          <w:szCs w:val="20"/>
          <w:highlight w:val="yellow"/>
          <w:shd w:val="clear" w:color="auto" w:fill="FFFFFF"/>
        </w:rPr>
        <w:t>bradyarrhythmias</w:t>
      </w:r>
      <w:proofErr w:type="spellEnd"/>
      <w:r w:rsidR="00B21BC8" w:rsidRPr="00B21BC8">
        <w:rPr>
          <w:rFonts w:ascii="Arial" w:hAnsi="Arial" w:cs="Arial"/>
          <w:color w:val="222222"/>
          <w:sz w:val="20"/>
          <w:szCs w:val="20"/>
          <w:highlight w:val="yellow"/>
          <w:shd w:val="clear" w:color="auto" w:fill="FFFFFF"/>
        </w:rPr>
        <w:t>: a hospital-based case-control study. </w:t>
      </w:r>
      <w:r w:rsidR="00B21BC8" w:rsidRPr="00B21BC8">
        <w:rPr>
          <w:rFonts w:ascii="Arial" w:hAnsi="Arial" w:cs="Arial"/>
          <w:i/>
          <w:iCs/>
          <w:color w:val="222222"/>
          <w:sz w:val="20"/>
          <w:szCs w:val="20"/>
          <w:highlight w:val="yellow"/>
          <w:shd w:val="clear" w:color="auto" w:fill="FFFFFF"/>
        </w:rPr>
        <w:t>Journal of Geriatric Cardiology: JGC</w:t>
      </w:r>
      <w:r w:rsidR="00B21BC8" w:rsidRPr="00B21BC8">
        <w:rPr>
          <w:rFonts w:ascii="Arial" w:hAnsi="Arial" w:cs="Arial"/>
          <w:color w:val="222222"/>
          <w:sz w:val="20"/>
          <w:szCs w:val="20"/>
          <w:highlight w:val="yellow"/>
          <w:shd w:val="clear" w:color="auto" w:fill="FFFFFF"/>
        </w:rPr>
        <w:t>, </w:t>
      </w:r>
      <w:r w:rsidR="00B21BC8" w:rsidRPr="00B21BC8">
        <w:rPr>
          <w:rFonts w:ascii="Arial" w:hAnsi="Arial" w:cs="Arial"/>
          <w:i/>
          <w:iCs/>
          <w:color w:val="222222"/>
          <w:sz w:val="20"/>
          <w:szCs w:val="20"/>
          <w:highlight w:val="yellow"/>
          <w:shd w:val="clear" w:color="auto" w:fill="FFFFFF"/>
        </w:rPr>
        <w:t>13</w:t>
      </w:r>
      <w:r w:rsidR="00B21BC8" w:rsidRPr="00B21BC8">
        <w:rPr>
          <w:rFonts w:ascii="Arial" w:hAnsi="Arial" w:cs="Arial"/>
          <w:color w:val="222222"/>
          <w:sz w:val="20"/>
          <w:szCs w:val="20"/>
          <w:highlight w:val="yellow"/>
          <w:shd w:val="clear" w:color="auto" w:fill="FFFFFF"/>
        </w:rPr>
        <w:t>(9), 749.</w:t>
      </w:r>
      <w:r w:rsidR="00B21BC8" w:rsidRPr="00B21BC8">
        <w:rPr>
          <w:rFonts w:ascii="Arial" w:hAnsi="Arial" w:cs="Arial"/>
          <w:color w:val="222222"/>
          <w:sz w:val="20"/>
          <w:szCs w:val="20"/>
          <w:highlight w:val="yellow"/>
          <w:shd w:val="clear" w:color="auto" w:fill="FFFFFF"/>
        </w:rPr>
        <w:t xml:space="preserve"> </w:t>
      </w:r>
      <w:hyperlink r:id="rId91" w:tgtFrame="_new" w:history="1">
        <w:r w:rsidRPr="00B21BC8">
          <w:rPr>
            <w:rStyle w:val="Hyperlink"/>
            <w:highlight w:val="yellow"/>
          </w:rPr>
          <w:t>https://pmc.ncbi.nlm.nih.gov/articles/PMC5122500/</w:t>
        </w:r>
      </w:hyperlink>
    </w:p>
    <w:p w14:paraId="55C3E742" w14:textId="3B2696C6" w:rsidR="00EF78BC" w:rsidRPr="00B21BC8" w:rsidRDefault="00EF78BC" w:rsidP="000C11F9">
      <w:pPr>
        <w:pStyle w:val="NormalWeb"/>
        <w:rPr>
          <w:highlight w:val="yellow"/>
        </w:rPr>
      </w:pPr>
      <w:r w:rsidRPr="00B21BC8">
        <w:rPr>
          <w:highlight w:val="yellow"/>
        </w:rPr>
        <w:t xml:space="preserve">[22]. </w:t>
      </w:r>
      <w:r w:rsidR="00B21BC8" w:rsidRPr="00B21BC8">
        <w:rPr>
          <w:rFonts w:ascii="Arial" w:hAnsi="Arial" w:cs="Arial"/>
          <w:color w:val="222222"/>
          <w:sz w:val="20"/>
          <w:szCs w:val="20"/>
          <w:highlight w:val="yellow"/>
          <w:shd w:val="clear" w:color="auto" w:fill="FFFFFF"/>
        </w:rPr>
        <w:t xml:space="preserve">Hori, M., Nagai, R., Izumi, T., &amp; </w:t>
      </w:r>
      <w:proofErr w:type="spellStart"/>
      <w:r w:rsidR="00B21BC8" w:rsidRPr="00B21BC8">
        <w:rPr>
          <w:rFonts w:ascii="Arial" w:hAnsi="Arial" w:cs="Arial"/>
          <w:color w:val="222222"/>
          <w:sz w:val="20"/>
          <w:szCs w:val="20"/>
          <w:highlight w:val="yellow"/>
          <w:shd w:val="clear" w:color="auto" w:fill="FFFFFF"/>
        </w:rPr>
        <w:t>Matsuzaki</w:t>
      </w:r>
      <w:proofErr w:type="spellEnd"/>
      <w:r w:rsidR="00B21BC8" w:rsidRPr="00B21BC8">
        <w:rPr>
          <w:rFonts w:ascii="Arial" w:hAnsi="Arial" w:cs="Arial"/>
          <w:color w:val="222222"/>
          <w:sz w:val="20"/>
          <w:szCs w:val="20"/>
          <w:highlight w:val="yellow"/>
          <w:shd w:val="clear" w:color="auto" w:fill="FFFFFF"/>
        </w:rPr>
        <w:t>, M. (2014). Efficacy and safety of bisoprolol fumarate compared with carvedilol in Japanese patients with chronic heart failure: results of the randomized, controlled, double-blind, Multistep Administration of bisoprolol IN Chronic Heart Failure II (MAIN-CHF II) study. </w:t>
      </w:r>
      <w:r w:rsidR="00B21BC8" w:rsidRPr="00B21BC8">
        <w:rPr>
          <w:rFonts w:ascii="Arial" w:hAnsi="Arial" w:cs="Arial"/>
          <w:i/>
          <w:iCs/>
          <w:color w:val="222222"/>
          <w:sz w:val="20"/>
          <w:szCs w:val="20"/>
          <w:highlight w:val="yellow"/>
          <w:shd w:val="clear" w:color="auto" w:fill="FFFFFF"/>
        </w:rPr>
        <w:t>Heart and vessels</w:t>
      </w:r>
      <w:r w:rsidR="00B21BC8" w:rsidRPr="00B21BC8">
        <w:rPr>
          <w:rFonts w:ascii="Arial" w:hAnsi="Arial" w:cs="Arial"/>
          <w:color w:val="222222"/>
          <w:sz w:val="20"/>
          <w:szCs w:val="20"/>
          <w:highlight w:val="yellow"/>
          <w:shd w:val="clear" w:color="auto" w:fill="FFFFFF"/>
        </w:rPr>
        <w:t>, </w:t>
      </w:r>
      <w:r w:rsidR="00B21BC8" w:rsidRPr="00B21BC8">
        <w:rPr>
          <w:rFonts w:ascii="Arial" w:hAnsi="Arial" w:cs="Arial"/>
          <w:i/>
          <w:iCs/>
          <w:color w:val="222222"/>
          <w:sz w:val="20"/>
          <w:szCs w:val="20"/>
          <w:highlight w:val="yellow"/>
          <w:shd w:val="clear" w:color="auto" w:fill="FFFFFF"/>
        </w:rPr>
        <w:t>29</w:t>
      </w:r>
      <w:r w:rsidR="00B21BC8" w:rsidRPr="00B21BC8">
        <w:rPr>
          <w:rFonts w:ascii="Arial" w:hAnsi="Arial" w:cs="Arial"/>
          <w:color w:val="222222"/>
          <w:sz w:val="20"/>
          <w:szCs w:val="20"/>
          <w:highlight w:val="yellow"/>
          <w:shd w:val="clear" w:color="auto" w:fill="FFFFFF"/>
        </w:rPr>
        <w:t>(2), 238-247.</w:t>
      </w:r>
      <w:r w:rsidR="00B21BC8" w:rsidRPr="00B21BC8">
        <w:rPr>
          <w:rFonts w:ascii="Arial" w:hAnsi="Arial" w:cs="Arial"/>
          <w:color w:val="222222"/>
          <w:sz w:val="20"/>
          <w:szCs w:val="20"/>
          <w:highlight w:val="yellow"/>
          <w:shd w:val="clear" w:color="auto" w:fill="FFFFFF"/>
        </w:rPr>
        <w:t xml:space="preserve"> </w:t>
      </w:r>
      <w:hyperlink r:id="rId92" w:tgtFrame="_new" w:history="1">
        <w:r w:rsidRPr="00B21BC8">
          <w:rPr>
            <w:rStyle w:val="Hyperlink"/>
            <w:highlight w:val="yellow"/>
          </w:rPr>
          <w:t>https://pubmed.ncbi.nlm.nih.gov/23559359/</w:t>
        </w:r>
      </w:hyperlink>
    </w:p>
    <w:p w14:paraId="578BA0A6" w14:textId="247534CE" w:rsidR="00EF78BC" w:rsidRPr="00B21BC8" w:rsidRDefault="00EF78BC" w:rsidP="000C11F9">
      <w:pPr>
        <w:pStyle w:val="NormalWeb"/>
        <w:rPr>
          <w:highlight w:val="yellow"/>
        </w:rPr>
      </w:pPr>
      <w:r w:rsidRPr="00B21BC8">
        <w:rPr>
          <w:highlight w:val="yellow"/>
        </w:rPr>
        <w:t xml:space="preserve">[23]. </w:t>
      </w:r>
      <w:proofErr w:type="spellStart"/>
      <w:r w:rsidR="00B21BC8" w:rsidRPr="00B21BC8">
        <w:rPr>
          <w:rFonts w:ascii="Arial" w:hAnsi="Arial" w:cs="Arial"/>
          <w:color w:val="222222"/>
          <w:sz w:val="20"/>
          <w:szCs w:val="20"/>
          <w:highlight w:val="yellow"/>
          <w:shd w:val="clear" w:color="auto" w:fill="FFFFFF"/>
        </w:rPr>
        <w:t>Enzan</w:t>
      </w:r>
      <w:proofErr w:type="spellEnd"/>
      <w:r w:rsidR="00B21BC8" w:rsidRPr="00B21BC8">
        <w:rPr>
          <w:rFonts w:ascii="Arial" w:hAnsi="Arial" w:cs="Arial"/>
          <w:color w:val="222222"/>
          <w:sz w:val="20"/>
          <w:szCs w:val="20"/>
          <w:highlight w:val="yellow"/>
          <w:shd w:val="clear" w:color="auto" w:fill="FFFFFF"/>
        </w:rPr>
        <w:t xml:space="preserve">, N., Matsushima, S., Ide, T., </w:t>
      </w:r>
      <w:proofErr w:type="spellStart"/>
      <w:r w:rsidR="00B21BC8" w:rsidRPr="00B21BC8">
        <w:rPr>
          <w:rFonts w:ascii="Arial" w:hAnsi="Arial" w:cs="Arial"/>
          <w:color w:val="222222"/>
          <w:sz w:val="20"/>
          <w:szCs w:val="20"/>
          <w:highlight w:val="yellow"/>
          <w:shd w:val="clear" w:color="auto" w:fill="FFFFFF"/>
        </w:rPr>
        <w:t>Tohyama</w:t>
      </w:r>
      <w:proofErr w:type="spellEnd"/>
      <w:r w:rsidR="00B21BC8" w:rsidRPr="00B21BC8">
        <w:rPr>
          <w:rFonts w:ascii="Arial" w:hAnsi="Arial" w:cs="Arial"/>
          <w:color w:val="222222"/>
          <w:sz w:val="20"/>
          <w:szCs w:val="20"/>
          <w:highlight w:val="yellow"/>
          <w:shd w:val="clear" w:color="auto" w:fill="FFFFFF"/>
        </w:rPr>
        <w:t xml:space="preserve">, T., Funakoshi, K., Higo, T., &amp; </w:t>
      </w:r>
      <w:proofErr w:type="spellStart"/>
      <w:r w:rsidR="00B21BC8" w:rsidRPr="00B21BC8">
        <w:rPr>
          <w:rFonts w:ascii="Arial" w:hAnsi="Arial" w:cs="Arial"/>
          <w:color w:val="222222"/>
          <w:sz w:val="20"/>
          <w:szCs w:val="20"/>
          <w:highlight w:val="yellow"/>
          <w:shd w:val="clear" w:color="auto" w:fill="FFFFFF"/>
        </w:rPr>
        <w:t>Tsutsui</w:t>
      </w:r>
      <w:proofErr w:type="spellEnd"/>
      <w:r w:rsidR="00B21BC8" w:rsidRPr="00B21BC8">
        <w:rPr>
          <w:rFonts w:ascii="Arial" w:hAnsi="Arial" w:cs="Arial"/>
          <w:color w:val="222222"/>
          <w:sz w:val="20"/>
          <w:szCs w:val="20"/>
          <w:highlight w:val="yellow"/>
          <w:shd w:val="clear" w:color="auto" w:fill="FFFFFF"/>
        </w:rPr>
        <w:t>, H. (2021). Beta-blockers are associated with reverse remodeling in patients with dilated cardiomyopathy and mid-range ejection fraction. </w:t>
      </w:r>
      <w:r w:rsidR="00B21BC8" w:rsidRPr="00B21BC8">
        <w:rPr>
          <w:rFonts w:ascii="Arial" w:hAnsi="Arial" w:cs="Arial"/>
          <w:i/>
          <w:iCs/>
          <w:color w:val="222222"/>
          <w:sz w:val="20"/>
          <w:szCs w:val="20"/>
          <w:highlight w:val="yellow"/>
          <w:shd w:val="clear" w:color="auto" w:fill="FFFFFF"/>
        </w:rPr>
        <w:t>American Heart Journal Plus: Cardiology Research and Practice</w:t>
      </w:r>
      <w:r w:rsidR="00B21BC8" w:rsidRPr="00B21BC8">
        <w:rPr>
          <w:rFonts w:ascii="Arial" w:hAnsi="Arial" w:cs="Arial"/>
          <w:color w:val="222222"/>
          <w:sz w:val="20"/>
          <w:szCs w:val="20"/>
          <w:highlight w:val="yellow"/>
          <w:shd w:val="clear" w:color="auto" w:fill="FFFFFF"/>
        </w:rPr>
        <w:t>, </w:t>
      </w:r>
      <w:r w:rsidR="00B21BC8" w:rsidRPr="00B21BC8">
        <w:rPr>
          <w:rFonts w:ascii="Arial" w:hAnsi="Arial" w:cs="Arial"/>
          <w:i/>
          <w:iCs/>
          <w:color w:val="222222"/>
          <w:sz w:val="20"/>
          <w:szCs w:val="20"/>
          <w:highlight w:val="yellow"/>
          <w:shd w:val="clear" w:color="auto" w:fill="FFFFFF"/>
        </w:rPr>
        <w:t>11</w:t>
      </w:r>
      <w:r w:rsidR="00B21BC8" w:rsidRPr="00B21BC8">
        <w:rPr>
          <w:rFonts w:ascii="Arial" w:hAnsi="Arial" w:cs="Arial"/>
          <w:color w:val="222222"/>
          <w:sz w:val="20"/>
          <w:szCs w:val="20"/>
          <w:highlight w:val="yellow"/>
          <w:shd w:val="clear" w:color="auto" w:fill="FFFFFF"/>
        </w:rPr>
        <w:t>, 100053.</w:t>
      </w:r>
      <w:r w:rsidR="00B21BC8" w:rsidRPr="00B21BC8">
        <w:rPr>
          <w:rFonts w:ascii="Arial" w:hAnsi="Arial" w:cs="Arial"/>
          <w:color w:val="222222"/>
          <w:sz w:val="20"/>
          <w:szCs w:val="20"/>
          <w:highlight w:val="yellow"/>
          <w:shd w:val="clear" w:color="auto" w:fill="FFFFFF"/>
        </w:rPr>
        <w:t xml:space="preserve"> </w:t>
      </w:r>
      <w:hyperlink r:id="rId93" w:tgtFrame="_new" w:history="1">
        <w:r w:rsidRPr="00B21BC8">
          <w:rPr>
            <w:rStyle w:val="Hyperlink"/>
            <w:highlight w:val="yellow"/>
          </w:rPr>
          <w:t>https://www.sciencedirect.com/science/article/pii/S2666602221000513</w:t>
        </w:r>
      </w:hyperlink>
    </w:p>
    <w:p w14:paraId="229ED9B2" w14:textId="77777777" w:rsidR="00EF78BC" w:rsidRPr="000C11F9" w:rsidRDefault="00EF78BC" w:rsidP="000C11F9">
      <w:pPr>
        <w:pStyle w:val="NormalWeb"/>
      </w:pPr>
      <w:r w:rsidRPr="00B21BC8">
        <w:rPr>
          <w:highlight w:val="yellow"/>
        </w:rPr>
        <w:t xml:space="preserve">[24]. American College of Cardiology. (2024). Contemporary American and European guidelines for heart failure management. Retrieved from </w:t>
      </w:r>
      <w:hyperlink r:id="rId94" w:tgtFrame="_new" w:history="1">
        <w:r w:rsidRPr="00B21BC8">
          <w:rPr>
            <w:rStyle w:val="Hyperlink"/>
            <w:highlight w:val="yellow"/>
          </w:rPr>
          <w:t>https://www.acc.org/Latest-in-Cardiology/ten-points-to-remember/2024/04/16/15/08/contemporary-american-and-european</w:t>
        </w:r>
      </w:hyperlink>
    </w:p>
    <w:p w14:paraId="43124FE4" w14:textId="530A4090" w:rsidR="00EF78BC" w:rsidRPr="007C5524" w:rsidRDefault="00EF78BC" w:rsidP="000C11F9">
      <w:pPr>
        <w:pStyle w:val="NormalWeb"/>
        <w:rPr>
          <w:highlight w:val="yellow"/>
        </w:rPr>
      </w:pPr>
      <w:r w:rsidRPr="000C11F9">
        <w:t>[25</w:t>
      </w:r>
      <w:r w:rsidRPr="007C5524">
        <w:rPr>
          <w:highlight w:val="yellow"/>
        </w:rPr>
        <w:t xml:space="preserve">]. </w:t>
      </w:r>
      <w:r w:rsidR="007C5524" w:rsidRPr="007C5524">
        <w:rPr>
          <w:rFonts w:ascii="Arial" w:hAnsi="Arial" w:cs="Arial"/>
          <w:color w:val="222222"/>
          <w:sz w:val="20"/>
          <w:szCs w:val="20"/>
          <w:highlight w:val="yellow"/>
          <w:shd w:val="clear" w:color="auto" w:fill="FFFFFF"/>
        </w:rPr>
        <w:t xml:space="preserve">Chung, C. M., Lin, M. S., Chang, S. T., Wang, P. C., Yang, T. Y., &amp; Lin, Y. S. (2022, March). </w:t>
      </w:r>
      <w:proofErr w:type="spellStart"/>
      <w:r w:rsidR="007C5524" w:rsidRPr="007C5524">
        <w:rPr>
          <w:rFonts w:ascii="Arial" w:hAnsi="Arial" w:cs="Arial"/>
          <w:color w:val="222222"/>
          <w:sz w:val="20"/>
          <w:szCs w:val="20"/>
          <w:highlight w:val="yellow"/>
          <w:shd w:val="clear" w:color="auto" w:fill="FFFFFF"/>
        </w:rPr>
        <w:t>Cardioselective</w:t>
      </w:r>
      <w:proofErr w:type="spellEnd"/>
      <w:r w:rsidR="007C5524" w:rsidRPr="007C5524">
        <w:rPr>
          <w:rFonts w:ascii="Arial" w:hAnsi="Arial" w:cs="Arial"/>
          <w:color w:val="222222"/>
          <w:sz w:val="20"/>
          <w:szCs w:val="20"/>
          <w:highlight w:val="yellow"/>
          <w:shd w:val="clear" w:color="auto" w:fill="FFFFFF"/>
        </w:rPr>
        <w:t xml:space="preserve"> versus nonselective β-blockers after myocardial infarction in adults with chronic obstructive pulmonary disease. In </w:t>
      </w:r>
      <w:r w:rsidR="007C5524" w:rsidRPr="007C5524">
        <w:rPr>
          <w:rFonts w:ascii="Arial" w:hAnsi="Arial" w:cs="Arial"/>
          <w:i/>
          <w:iCs/>
          <w:color w:val="222222"/>
          <w:sz w:val="20"/>
          <w:szCs w:val="20"/>
          <w:highlight w:val="yellow"/>
          <w:shd w:val="clear" w:color="auto" w:fill="FFFFFF"/>
        </w:rPr>
        <w:t>Mayo Clinic Proceedings</w:t>
      </w:r>
      <w:r w:rsidR="007C5524" w:rsidRPr="007C5524">
        <w:rPr>
          <w:rFonts w:ascii="Arial" w:hAnsi="Arial" w:cs="Arial"/>
          <w:color w:val="222222"/>
          <w:sz w:val="20"/>
          <w:szCs w:val="20"/>
          <w:highlight w:val="yellow"/>
          <w:shd w:val="clear" w:color="auto" w:fill="FFFFFF"/>
        </w:rPr>
        <w:t> (Vol. 97, No. 3, pp. 531-546). Elsevier.</w:t>
      </w:r>
      <w:r w:rsidR="007C5524" w:rsidRPr="007C5524">
        <w:rPr>
          <w:rFonts w:ascii="Arial" w:hAnsi="Arial" w:cs="Arial"/>
          <w:color w:val="222222"/>
          <w:sz w:val="20"/>
          <w:szCs w:val="20"/>
          <w:highlight w:val="yellow"/>
          <w:shd w:val="clear" w:color="auto" w:fill="FFFFFF"/>
        </w:rPr>
        <w:t xml:space="preserve"> </w:t>
      </w:r>
      <w:hyperlink r:id="rId95" w:tgtFrame="_new" w:history="1">
        <w:r w:rsidRPr="007C5524">
          <w:rPr>
            <w:rStyle w:val="Hyperlink"/>
            <w:highlight w:val="yellow"/>
          </w:rPr>
          <w:t>https://pubmed.ncbi.nlm.nih.gov/35135688/</w:t>
        </w:r>
      </w:hyperlink>
    </w:p>
    <w:p w14:paraId="308FA995" w14:textId="20DB3C08" w:rsidR="00EF78BC" w:rsidRPr="007C5524" w:rsidRDefault="00EF78BC" w:rsidP="000C11F9">
      <w:pPr>
        <w:pStyle w:val="NormalWeb"/>
        <w:rPr>
          <w:highlight w:val="yellow"/>
        </w:rPr>
      </w:pPr>
      <w:r w:rsidRPr="007C5524">
        <w:rPr>
          <w:highlight w:val="yellow"/>
        </w:rPr>
        <w:t xml:space="preserve">[26]. </w:t>
      </w:r>
      <w:r w:rsidR="007C5524" w:rsidRPr="007C5524">
        <w:rPr>
          <w:rFonts w:ascii="Arial" w:hAnsi="Arial" w:cs="Arial"/>
          <w:color w:val="222222"/>
          <w:sz w:val="20"/>
          <w:szCs w:val="20"/>
          <w:highlight w:val="yellow"/>
          <w:shd w:val="clear" w:color="auto" w:fill="FFFFFF"/>
        </w:rPr>
        <w:t xml:space="preserve">Chung, C. M., Lin, M. S., Chang, S. T., Wang, P. C., Yang, T. Y., &amp; Lin, Y. S. (2022, March). </w:t>
      </w:r>
      <w:proofErr w:type="spellStart"/>
      <w:r w:rsidR="007C5524" w:rsidRPr="007C5524">
        <w:rPr>
          <w:rFonts w:ascii="Arial" w:hAnsi="Arial" w:cs="Arial"/>
          <w:color w:val="222222"/>
          <w:sz w:val="20"/>
          <w:szCs w:val="20"/>
          <w:highlight w:val="yellow"/>
          <w:shd w:val="clear" w:color="auto" w:fill="FFFFFF"/>
        </w:rPr>
        <w:t>Cardioselective</w:t>
      </w:r>
      <w:proofErr w:type="spellEnd"/>
      <w:r w:rsidR="007C5524" w:rsidRPr="007C5524">
        <w:rPr>
          <w:rFonts w:ascii="Arial" w:hAnsi="Arial" w:cs="Arial"/>
          <w:color w:val="222222"/>
          <w:sz w:val="20"/>
          <w:szCs w:val="20"/>
          <w:highlight w:val="yellow"/>
          <w:shd w:val="clear" w:color="auto" w:fill="FFFFFF"/>
        </w:rPr>
        <w:t xml:space="preserve"> versus nonselective β-blockers after myocardial infarction in adults with chronic obstructive pulmonary disease. In </w:t>
      </w:r>
      <w:r w:rsidR="007C5524" w:rsidRPr="007C5524">
        <w:rPr>
          <w:rFonts w:ascii="Arial" w:hAnsi="Arial" w:cs="Arial"/>
          <w:i/>
          <w:iCs/>
          <w:color w:val="222222"/>
          <w:sz w:val="20"/>
          <w:szCs w:val="20"/>
          <w:highlight w:val="yellow"/>
          <w:shd w:val="clear" w:color="auto" w:fill="FFFFFF"/>
        </w:rPr>
        <w:t>Mayo Clinic Proceedings</w:t>
      </w:r>
      <w:r w:rsidR="007C5524" w:rsidRPr="007C5524">
        <w:rPr>
          <w:rFonts w:ascii="Arial" w:hAnsi="Arial" w:cs="Arial"/>
          <w:color w:val="222222"/>
          <w:sz w:val="20"/>
          <w:szCs w:val="20"/>
          <w:highlight w:val="yellow"/>
          <w:shd w:val="clear" w:color="auto" w:fill="FFFFFF"/>
        </w:rPr>
        <w:t> (Vol. 97, No. 3, pp. 531-546). Elsevier.</w:t>
      </w:r>
      <w:r w:rsidR="007C5524" w:rsidRPr="007C5524">
        <w:rPr>
          <w:rFonts w:ascii="Arial" w:hAnsi="Arial" w:cs="Arial"/>
          <w:color w:val="222222"/>
          <w:sz w:val="20"/>
          <w:szCs w:val="20"/>
          <w:highlight w:val="yellow"/>
          <w:shd w:val="clear" w:color="auto" w:fill="FFFFFF"/>
        </w:rPr>
        <w:t xml:space="preserve"> </w:t>
      </w:r>
      <w:hyperlink r:id="rId96" w:tgtFrame="_new" w:history="1">
        <w:r w:rsidRPr="007C5524">
          <w:rPr>
            <w:rStyle w:val="Hyperlink"/>
            <w:highlight w:val="yellow"/>
          </w:rPr>
          <w:t>https://www.sciencedirect.com/science/article/pii/S0025619621006224</w:t>
        </w:r>
      </w:hyperlink>
      <w:r w:rsidR="007C5524" w:rsidRPr="007C5524">
        <w:rPr>
          <w:rStyle w:val="Hyperlink"/>
          <w:highlight w:val="yellow"/>
        </w:rPr>
        <w:t xml:space="preserve"> </w:t>
      </w:r>
    </w:p>
    <w:p w14:paraId="1269851C" w14:textId="50E1A55D" w:rsidR="00EF78BC" w:rsidRPr="000C11F9" w:rsidRDefault="00EF78BC" w:rsidP="000C11F9">
      <w:pPr>
        <w:pStyle w:val="NormalWeb"/>
      </w:pPr>
      <w:r w:rsidRPr="007C5524">
        <w:rPr>
          <w:highlight w:val="yellow"/>
        </w:rPr>
        <w:t xml:space="preserve">[27]. </w:t>
      </w:r>
      <w:proofErr w:type="spellStart"/>
      <w:r w:rsidR="007C5524" w:rsidRPr="007C5524">
        <w:rPr>
          <w:rFonts w:ascii="Arial" w:hAnsi="Arial" w:cs="Arial"/>
          <w:color w:val="222222"/>
          <w:sz w:val="20"/>
          <w:szCs w:val="20"/>
          <w:highlight w:val="yellow"/>
          <w:shd w:val="clear" w:color="auto" w:fill="FFFFFF"/>
        </w:rPr>
        <w:t>Rosano</w:t>
      </w:r>
      <w:proofErr w:type="spellEnd"/>
      <w:r w:rsidR="007C5524" w:rsidRPr="007C5524">
        <w:rPr>
          <w:rFonts w:ascii="Arial" w:hAnsi="Arial" w:cs="Arial"/>
          <w:color w:val="222222"/>
          <w:sz w:val="20"/>
          <w:szCs w:val="20"/>
          <w:highlight w:val="yellow"/>
          <w:shd w:val="clear" w:color="auto" w:fill="FFFFFF"/>
        </w:rPr>
        <w:t xml:space="preserve">, G. M., Allen, L. A., </w:t>
      </w:r>
      <w:proofErr w:type="spellStart"/>
      <w:r w:rsidR="007C5524" w:rsidRPr="007C5524">
        <w:rPr>
          <w:rFonts w:ascii="Arial" w:hAnsi="Arial" w:cs="Arial"/>
          <w:color w:val="222222"/>
          <w:sz w:val="20"/>
          <w:szCs w:val="20"/>
          <w:highlight w:val="yellow"/>
          <w:shd w:val="clear" w:color="auto" w:fill="FFFFFF"/>
        </w:rPr>
        <w:t>Abdin</w:t>
      </w:r>
      <w:proofErr w:type="spellEnd"/>
      <w:r w:rsidR="007C5524" w:rsidRPr="007C5524">
        <w:rPr>
          <w:rFonts w:ascii="Arial" w:hAnsi="Arial" w:cs="Arial"/>
          <w:color w:val="222222"/>
          <w:sz w:val="20"/>
          <w:szCs w:val="20"/>
          <w:highlight w:val="yellow"/>
          <w:shd w:val="clear" w:color="auto" w:fill="FFFFFF"/>
        </w:rPr>
        <w:t xml:space="preserve">, A., Lindenfeld, J., O’Meara, E., Lam, C. S., ... &amp; </w:t>
      </w:r>
      <w:proofErr w:type="spellStart"/>
      <w:r w:rsidR="007C5524" w:rsidRPr="007C5524">
        <w:rPr>
          <w:rFonts w:ascii="Arial" w:hAnsi="Arial" w:cs="Arial"/>
          <w:color w:val="222222"/>
          <w:sz w:val="20"/>
          <w:szCs w:val="20"/>
          <w:highlight w:val="yellow"/>
          <w:shd w:val="clear" w:color="auto" w:fill="FFFFFF"/>
        </w:rPr>
        <w:t>Böhm</w:t>
      </w:r>
      <w:proofErr w:type="spellEnd"/>
      <w:r w:rsidR="007C5524" w:rsidRPr="007C5524">
        <w:rPr>
          <w:rFonts w:ascii="Arial" w:hAnsi="Arial" w:cs="Arial"/>
          <w:color w:val="222222"/>
          <w:sz w:val="20"/>
          <w:szCs w:val="20"/>
          <w:highlight w:val="yellow"/>
          <w:shd w:val="clear" w:color="auto" w:fill="FFFFFF"/>
        </w:rPr>
        <w:t>, M. (2021). Drug layering in heart failure: phenotype-guided initiation. </w:t>
      </w:r>
      <w:r w:rsidR="007C5524" w:rsidRPr="007C5524">
        <w:rPr>
          <w:rFonts w:ascii="Arial" w:hAnsi="Arial" w:cs="Arial"/>
          <w:i/>
          <w:iCs/>
          <w:color w:val="222222"/>
          <w:sz w:val="20"/>
          <w:szCs w:val="20"/>
          <w:highlight w:val="yellow"/>
          <w:shd w:val="clear" w:color="auto" w:fill="FFFFFF"/>
        </w:rPr>
        <w:t>Heart Failure</w:t>
      </w:r>
      <w:r w:rsidR="007C5524" w:rsidRPr="007C5524">
        <w:rPr>
          <w:rFonts w:ascii="Arial" w:hAnsi="Arial" w:cs="Arial"/>
          <w:color w:val="222222"/>
          <w:sz w:val="20"/>
          <w:szCs w:val="20"/>
          <w:highlight w:val="yellow"/>
          <w:shd w:val="clear" w:color="auto" w:fill="FFFFFF"/>
        </w:rPr>
        <w:t>, </w:t>
      </w:r>
      <w:r w:rsidR="007C5524" w:rsidRPr="007C5524">
        <w:rPr>
          <w:rFonts w:ascii="Arial" w:hAnsi="Arial" w:cs="Arial"/>
          <w:i/>
          <w:iCs/>
          <w:color w:val="222222"/>
          <w:sz w:val="20"/>
          <w:szCs w:val="20"/>
          <w:highlight w:val="yellow"/>
          <w:shd w:val="clear" w:color="auto" w:fill="FFFFFF"/>
        </w:rPr>
        <w:t>9</w:t>
      </w:r>
      <w:r w:rsidR="007C5524" w:rsidRPr="007C5524">
        <w:rPr>
          <w:rFonts w:ascii="Arial" w:hAnsi="Arial" w:cs="Arial"/>
          <w:color w:val="222222"/>
          <w:sz w:val="20"/>
          <w:szCs w:val="20"/>
          <w:highlight w:val="yellow"/>
          <w:shd w:val="clear" w:color="auto" w:fill="FFFFFF"/>
        </w:rPr>
        <w:t>(11), 775-783.</w:t>
      </w:r>
      <w:hyperlink r:id="rId97" w:tgtFrame="_new" w:history="1">
        <w:r w:rsidRPr="007C5524">
          <w:rPr>
            <w:rStyle w:val="Hyperlink"/>
            <w:highlight w:val="yellow"/>
          </w:rPr>
          <w:t>https://www.jacc.org/doi/10.1016/j.jchf.2021.06.011</w:t>
        </w:r>
      </w:hyperlink>
    </w:p>
    <w:p w14:paraId="75243DB0" w14:textId="0606C4D9" w:rsidR="00EF78BC" w:rsidRPr="00BB39BD" w:rsidRDefault="00EF78BC" w:rsidP="000C11F9">
      <w:pPr>
        <w:pStyle w:val="NormalWeb"/>
        <w:rPr>
          <w:highlight w:val="yellow"/>
        </w:rPr>
      </w:pPr>
      <w:r w:rsidRPr="000C11F9">
        <w:t>[28]</w:t>
      </w:r>
      <w:r w:rsidRPr="00BB39BD">
        <w:rPr>
          <w:highlight w:val="yellow"/>
        </w:rPr>
        <w:t xml:space="preserve">. </w:t>
      </w:r>
      <w:proofErr w:type="spellStart"/>
      <w:r w:rsidR="007C5524" w:rsidRPr="00BB39BD">
        <w:rPr>
          <w:rFonts w:ascii="Arial" w:hAnsi="Arial" w:cs="Arial"/>
          <w:color w:val="222222"/>
          <w:sz w:val="20"/>
          <w:szCs w:val="20"/>
          <w:highlight w:val="yellow"/>
          <w:shd w:val="clear" w:color="auto" w:fill="FFFFFF"/>
        </w:rPr>
        <w:t>Masarone</w:t>
      </w:r>
      <w:proofErr w:type="spellEnd"/>
      <w:r w:rsidR="007C5524" w:rsidRPr="00BB39BD">
        <w:rPr>
          <w:rFonts w:ascii="Arial" w:hAnsi="Arial" w:cs="Arial"/>
          <w:color w:val="222222"/>
          <w:sz w:val="20"/>
          <w:szCs w:val="20"/>
          <w:highlight w:val="yellow"/>
          <w:shd w:val="clear" w:color="auto" w:fill="FFFFFF"/>
        </w:rPr>
        <w:t xml:space="preserve">, D., </w:t>
      </w:r>
      <w:proofErr w:type="spellStart"/>
      <w:r w:rsidR="007C5524" w:rsidRPr="00BB39BD">
        <w:rPr>
          <w:rFonts w:ascii="Arial" w:hAnsi="Arial" w:cs="Arial"/>
          <w:color w:val="222222"/>
          <w:sz w:val="20"/>
          <w:szCs w:val="20"/>
          <w:highlight w:val="yellow"/>
          <w:shd w:val="clear" w:color="auto" w:fill="FFFFFF"/>
        </w:rPr>
        <w:t>Martucci</w:t>
      </w:r>
      <w:proofErr w:type="spellEnd"/>
      <w:r w:rsidR="007C5524" w:rsidRPr="00BB39BD">
        <w:rPr>
          <w:rFonts w:ascii="Arial" w:hAnsi="Arial" w:cs="Arial"/>
          <w:color w:val="222222"/>
          <w:sz w:val="20"/>
          <w:szCs w:val="20"/>
          <w:highlight w:val="yellow"/>
          <w:shd w:val="clear" w:color="auto" w:fill="FFFFFF"/>
        </w:rPr>
        <w:t xml:space="preserve">, M. L., </w:t>
      </w:r>
      <w:proofErr w:type="spellStart"/>
      <w:r w:rsidR="007C5524" w:rsidRPr="00BB39BD">
        <w:rPr>
          <w:rFonts w:ascii="Arial" w:hAnsi="Arial" w:cs="Arial"/>
          <w:color w:val="222222"/>
          <w:sz w:val="20"/>
          <w:szCs w:val="20"/>
          <w:highlight w:val="yellow"/>
          <w:shd w:val="clear" w:color="auto" w:fill="FFFFFF"/>
        </w:rPr>
        <w:t>Errigo</w:t>
      </w:r>
      <w:proofErr w:type="spellEnd"/>
      <w:r w:rsidR="007C5524" w:rsidRPr="00BB39BD">
        <w:rPr>
          <w:rFonts w:ascii="Arial" w:hAnsi="Arial" w:cs="Arial"/>
          <w:color w:val="222222"/>
          <w:sz w:val="20"/>
          <w:szCs w:val="20"/>
          <w:highlight w:val="yellow"/>
          <w:shd w:val="clear" w:color="auto" w:fill="FFFFFF"/>
        </w:rPr>
        <w:t xml:space="preserve">, V., &amp; </w:t>
      </w:r>
      <w:proofErr w:type="spellStart"/>
      <w:r w:rsidR="007C5524" w:rsidRPr="00BB39BD">
        <w:rPr>
          <w:rFonts w:ascii="Arial" w:hAnsi="Arial" w:cs="Arial"/>
          <w:color w:val="222222"/>
          <w:sz w:val="20"/>
          <w:szCs w:val="20"/>
          <w:highlight w:val="yellow"/>
          <w:shd w:val="clear" w:color="auto" w:fill="FFFFFF"/>
        </w:rPr>
        <w:t>Pacileo</w:t>
      </w:r>
      <w:proofErr w:type="spellEnd"/>
      <w:r w:rsidR="007C5524" w:rsidRPr="00BB39BD">
        <w:rPr>
          <w:rFonts w:ascii="Arial" w:hAnsi="Arial" w:cs="Arial"/>
          <w:color w:val="222222"/>
          <w:sz w:val="20"/>
          <w:szCs w:val="20"/>
          <w:highlight w:val="yellow"/>
          <w:shd w:val="clear" w:color="auto" w:fill="FFFFFF"/>
        </w:rPr>
        <w:t>, G. (2021). The use of β-blockers in heart failure with reduced ejection fraction. </w:t>
      </w:r>
      <w:r w:rsidR="007C5524" w:rsidRPr="00BB39BD">
        <w:rPr>
          <w:rFonts w:ascii="Arial" w:hAnsi="Arial" w:cs="Arial"/>
          <w:i/>
          <w:iCs/>
          <w:color w:val="222222"/>
          <w:sz w:val="20"/>
          <w:szCs w:val="20"/>
          <w:highlight w:val="yellow"/>
          <w:shd w:val="clear" w:color="auto" w:fill="FFFFFF"/>
        </w:rPr>
        <w:t>Journal of cardiovascular development and disease</w:t>
      </w:r>
      <w:r w:rsidR="007C5524" w:rsidRPr="00BB39BD">
        <w:rPr>
          <w:rFonts w:ascii="Arial" w:hAnsi="Arial" w:cs="Arial"/>
          <w:color w:val="222222"/>
          <w:sz w:val="20"/>
          <w:szCs w:val="20"/>
          <w:highlight w:val="yellow"/>
          <w:shd w:val="clear" w:color="auto" w:fill="FFFFFF"/>
        </w:rPr>
        <w:t>, </w:t>
      </w:r>
      <w:r w:rsidR="007C5524" w:rsidRPr="00BB39BD">
        <w:rPr>
          <w:rFonts w:ascii="Arial" w:hAnsi="Arial" w:cs="Arial"/>
          <w:i/>
          <w:iCs/>
          <w:color w:val="222222"/>
          <w:sz w:val="20"/>
          <w:szCs w:val="20"/>
          <w:highlight w:val="yellow"/>
          <w:shd w:val="clear" w:color="auto" w:fill="FFFFFF"/>
        </w:rPr>
        <w:t>8</w:t>
      </w:r>
      <w:r w:rsidR="007C5524" w:rsidRPr="00BB39BD">
        <w:rPr>
          <w:rFonts w:ascii="Arial" w:hAnsi="Arial" w:cs="Arial"/>
          <w:color w:val="222222"/>
          <w:sz w:val="20"/>
          <w:szCs w:val="20"/>
          <w:highlight w:val="yellow"/>
          <w:shd w:val="clear" w:color="auto" w:fill="FFFFFF"/>
        </w:rPr>
        <w:t>(9), 101.</w:t>
      </w:r>
      <w:hyperlink r:id="rId98" w:tgtFrame="_new" w:history="1">
        <w:r w:rsidRPr="00BB39BD">
          <w:rPr>
            <w:rStyle w:val="Hyperlink"/>
            <w:highlight w:val="yellow"/>
          </w:rPr>
          <w:t>https://pmc.ncbi.nlm.nih.gov/articles/PMC8468030/</w:t>
        </w:r>
      </w:hyperlink>
    </w:p>
    <w:p w14:paraId="0A5F83D3" w14:textId="6B8BE576" w:rsidR="00EF78BC" w:rsidRPr="000C11F9" w:rsidRDefault="00EF78BC" w:rsidP="000C11F9">
      <w:pPr>
        <w:pStyle w:val="NormalWeb"/>
      </w:pPr>
      <w:r w:rsidRPr="00BB39BD">
        <w:rPr>
          <w:highlight w:val="yellow"/>
        </w:rPr>
        <w:t xml:space="preserve">[29]. </w:t>
      </w:r>
      <w:r w:rsidR="007C5524" w:rsidRPr="00BB39BD">
        <w:rPr>
          <w:rFonts w:ascii="Arial" w:hAnsi="Arial" w:cs="Arial"/>
          <w:color w:val="222222"/>
          <w:sz w:val="20"/>
          <w:szCs w:val="20"/>
          <w:highlight w:val="yellow"/>
          <w:shd w:val="clear" w:color="auto" w:fill="FFFFFF"/>
        </w:rPr>
        <w:t>Heidenreich, P. A., Bozkurt, B., Aguilar, D., Allen, L. A., Byun, J. J., Colvin, M. M., ... &amp; Yancy, C. W. (2022). 2022 AHA/ACC/HFSA guideline for the management of heart failure: a report of the American College of Cardiology/American Heart Association Joint Committee on Clinical Practice Guidelines. </w:t>
      </w:r>
      <w:r w:rsidR="007C5524" w:rsidRPr="00BB39BD">
        <w:rPr>
          <w:rFonts w:ascii="Arial" w:hAnsi="Arial" w:cs="Arial"/>
          <w:i/>
          <w:iCs/>
          <w:color w:val="222222"/>
          <w:sz w:val="20"/>
          <w:szCs w:val="20"/>
          <w:highlight w:val="yellow"/>
          <w:shd w:val="clear" w:color="auto" w:fill="FFFFFF"/>
        </w:rPr>
        <w:t>Journal of the American College of Cardiology</w:t>
      </w:r>
      <w:r w:rsidR="007C5524" w:rsidRPr="00BB39BD">
        <w:rPr>
          <w:rFonts w:ascii="Arial" w:hAnsi="Arial" w:cs="Arial"/>
          <w:color w:val="222222"/>
          <w:sz w:val="20"/>
          <w:szCs w:val="20"/>
          <w:highlight w:val="yellow"/>
          <w:shd w:val="clear" w:color="auto" w:fill="FFFFFF"/>
        </w:rPr>
        <w:t>, </w:t>
      </w:r>
      <w:r w:rsidR="007C5524" w:rsidRPr="00BB39BD">
        <w:rPr>
          <w:rFonts w:ascii="Arial" w:hAnsi="Arial" w:cs="Arial"/>
          <w:i/>
          <w:iCs/>
          <w:color w:val="222222"/>
          <w:sz w:val="20"/>
          <w:szCs w:val="20"/>
          <w:highlight w:val="yellow"/>
          <w:shd w:val="clear" w:color="auto" w:fill="FFFFFF"/>
        </w:rPr>
        <w:t>79</w:t>
      </w:r>
      <w:r w:rsidR="007C5524" w:rsidRPr="00BB39BD">
        <w:rPr>
          <w:rFonts w:ascii="Arial" w:hAnsi="Arial" w:cs="Arial"/>
          <w:color w:val="222222"/>
          <w:sz w:val="20"/>
          <w:szCs w:val="20"/>
          <w:highlight w:val="yellow"/>
          <w:shd w:val="clear" w:color="auto" w:fill="FFFFFF"/>
        </w:rPr>
        <w:t>(17), e263-e421.</w:t>
      </w:r>
      <w:r w:rsidR="007C5524" w:rsidRPr="00BB39BD">
        <w:rPr>
          <w:rFonts w:ascii="Arial" w:hAnsi="Arial" w:cs="Arial"/>
          <w:color w:val="222222"/>
          <w:sz w:val="20"/>
          <w:szCs w:val="20"/>
          <w:highlight w:val="yellow"/>
          <w:shd w:val="clear" w:color="auto" w:fill="FFFFFF"/>
        </w:rPr>
        <w:t xml:space="preserve"> </w:t>
      </w:r>
      <w:hyperlink r:id="rId99" w:tgtFrame="_new" w:history="1">
        <w:r w:rsidRPr="00BB39BD">
          <w:rPr>
            <w:rStyle w:val="Hyperlink"/>
            <w:highlight w:val="yellow"/>
          </w:rPr>
          <w:t>https://doi.org/10.1161/CIR.0000000000001063</w:t>
        </w:r>
      </w:hyperlink>
    </w:p>
    <w:p w14:paraId="0D50E4EF" w14:textId="185E464E" w:rsidR="00EF78BC" w:rsidRPr="00C917E4" w:rsidRDefault="00EF78BC" w:rsidP="000C11F9">
      <w:pPr>
        <w:pStyle w:val="NormalWeb"/>
        <w:rPr>
          <w:highlight w:val="yellow"/>
        </w:rPr>
      </w:pPr>
      <w:r w:rsidRPr="00C917E4">
        <w:rPr>
          <w:highlight w:val="yellow"/>
        </w:rPr>
        <w:lastRenderedPageBreak/>
        <w:t xml:space="preserve">[30]. </w:t>
      </w:r>
      <w:r w:rsidR="00C917E4" w:rsidRPr="00C917E4">
        <w:rPr>
          <w:rFonts w:ascii="Arial" w:hAnsi="Arial" w:cs="Arial"/>
          <w:color w:val="222222"/>
          <w:sz w:val="20"/>
          <w:szCs w:val="20"/>
          <w:highlight w:val="yellow"/>
          <w:shd w:val="clear" w:color="auto" w:fill="FFFFFF"/>
        </w:rPr>
        <w:t>Singh, S., &amp; Preuss, C. V. (2024). Carvedilol. In </w:t>
      </w:r>
      <w:proofErr w:type="spellStart"/>
      <w:r w:rsidR="00C917E4" w:rsidRPr="00C917E4">
        <w:rPr>
          <w:rFonts w:ascii="Arial" w:hAnsi="Arial" w:cs="Arial"/>
          <w:i/>
          <w:iCs/>
          <w:color w:val="222222"/>
          <w:sz w:val="20"/>
          <w:szCs w:val="20"/>
          <w:highlight w:val="yellow"/>
          <w:shd w:val="clear" w:color="auto" w:fill="FFFFFF"/>
        </w:rPr>
        <w:t>StatPearls</w:t>
      </w:r>
      <w:proofErr w:type="spellEnd"/>
      <w:r w:rsidR="00C917E4" w:rsidRPr="00C917E4">
        <w:rPr>
          <w:rFonts w:ascii="Arial" w:hAnsi="Arial" w:cs="Arial"/>
          <w:i/>
          <w:iCs/>
          <w:color w:val="222222"/>
          <w:sz w:val="20"/>
          <w:szCs w:val="20"/>
          <w:highlight w:val="yellow"/>
          <w:shd w:val="clear" w:color="auto" w:fill="FFFFFF"/>
        </w:rPr>
        <w:t xml:space="preserve"> [Internet]</w:t>
      </w:r>
      <w:r w:rsidR="00C917E4" w:rsidRPr="00C917E4">
        <w:rPr>
          <w:rFonts w:ascii="Arial" w:hAnsi="Arial" w:cs="Arial"/>
          <w:color w:val="222222"/>
          <w:sz w:val="20"/>
          <w:szCs w:val="20"/>
          <w:highlight w:val="yellow"/>
          <w:shd w:val="clear" w:color="auto" w:fill="FFFFFF"/>
        </w:rPr>
        <w:t xml:space="preserve">. </w:t>
      </w:r>
      <w:proofErr w:type="spellStart"/>
      <w:r w:rsidR="00C917E4" w:rsidRPr="00C917E4">
        <w:rPr>
          <w:rFonts w:ascii="Arial" w:hAnsi="Arial" w:cs="Arial"/>
          <w:color w:val="222222"/>
          <w:sz w:val="20"/>
          <w:szCs w:val="20"/>
          <w:highlight w:val="yellow"/>
          <w:shd w:val="clear" w:color="auto" w:fill="FFFFFF"/>
        </w:rPr>
        <w:t>StatPearls</w:t>
      </w:r>
      <w:proofErr w:type="spellEnd"/>
      <w:r w:rsidR="00C917E4" w:rsidRPr="00C917E4">
        <w:rPr>
          <w:rFonts w:ascii="Arial" w:hAnsi="Arial" w:cs="Arial"/>
          <w:color w:val="222222"/>
          <w:sz w:val="20"/>
          <w:szCs w:val="20"/>
          <w:highlight w:val="yellow"/>
          <w:shd w:val="clear" w:color="auto" w:fill="FFFFFF"/>
        </w:rPr>
        <w:t xml:space="preserve"> Publishing.</w:t>
      </w:r>
      <w:r w:rsidR="00C917E4" w:rsidRPr="00C917E4">
        <w:rPr>
          <w:rFonts w:ascii="Arial" w:hAnsi="Arial" w:cs="Arial"/>
          <w:color w:val="222222"/>
          <w:sz w:val="20"/>
          <w:szCs w:val="20"/>
          <w:highlight w:val="yellow"/>
          <w:shd w:val="clear" w:color="auto" w:fill="FFFFFF"/>
        </w:rPr>
        <w:t xml:space="preserve"> </w:t>
      </w:r>
      <w:hyperlink r:id="rId100" w:tgtFrame="_new" w:history="1">
        <w:r w:rsidRPr="00C917E4">
          <w:rPr>
            <w:rStyle w:val="Hyperlink"/>
            <w:highlight w:val="yellow"/>
          </w:rPr>
          <w:t>https://www.ncbi.nlm.nih.gov/books/NBK534868/</w:t>
        </w:r>
      </w:hyperlink>
    </w:p>
    <w:p w14:paraId="736B6FE6" w14:textId="51BABAA1" w:rsidR="00EF78BC" w:rsidRPr="00C917E4" w:rsidRDefault="00EF78BC" w:rsidP="000C11F9">
      <w:pPr>
        <w:pStyle w:val="NormalWeb"/>
        <w:rPr>
          <w:highlight w:val="yellow"/>
        </w:rPr>
      </w:pPr>
      <w:r w:rsidRPr="00C917E4">
        <w:rPr>
          <w:highlight w:val="yellow"/>
        </w:rPr>
        <w:t xml:space="preserve">[31]. </w:t>
      </w:r>
      <w:r w:rsidR="00C917E4" w:rsidRPr="00C917E4">
        <w:rPr>
          <w:rFonts w:ascii="Arial" w:hAnsi="Arial" w:cs="Arial"/>
          <w:color w:val="222222"/>
          <w:sz w:val="20"/>
          <w:szCs w:val="20"/>
          <w:highlight w:val="yellow"/>
          <w:shd w:val="clear" w:color="auto" w:fill="FFFFFF"/>
        </w:rPr>
        <w:t xml:space="preserve">Chiang, C. E., Hung, C. L., Wu, Y. W., Lin, T. H., </w:t>
      </w:r>
      <w:proofErr w:type="spellStart"/>
      <w:r w:rsidR="00C917E4" w:rsidRPr="00C917E4">
        <w:rPr>
          <w:rFonts w:ascii="Arial" w:hAnsi="Arial" w:cs="Arial"/>
          <w:color w:val="222222"/>
          <w:sz w:val="20"/>
          <w:szCs w:val="20"/>
          <w:highlight w:val="yellow"/>
          <w:shd w:val="clear" w:color="auto" w:fill="FFFFFF"/>
        </w:rPr>
        <w:t>Ueng</w:t>
      </w:r>
      <w:proofErr w:type="spellEnd"/>
      <w:r w:rsidR="00C917E4" w:rsidRPr="00C917E4">
        <w:rPr>
          <w:rFonts w:ascii="Arial" w:hAnsi="Arial" w:cs="Arial"/>
          <w:color w:val="222222"/>
          <w:sz w:val="20"/>
          <w:szCs w:val="20"/>
          <w:highlight w:val="yellow"/>
          <w:shd w:val="clear" w:color="auto" w:fill="FFFFFF"/>
        </w:rPr>
        <w:t>, K. C., Sung, S. H., ... &amp; Hou, C. J. Y. (2023). 2023 Consensus of Taiwan Society of Cardiology on the pharmacological treatment of chronic heart failure. </w:t>
      </w:r>
      <w:r w:rsidR="00C917E4" w:rsidRPr="00C917E4">
        <w:rPr>
          <w:rFonts w:ascii="Arial" w:hAnsi="Arial" w:cs="Arial"/>
          <w:i/>
          <w:iCs/>
          <w:color w:val="222222"/>
          <w:sz w:val="20"/>
          <w:szCs w:val="20"/>
          <w:highlight w:val="yellow"/>
          <w:shd w:val="clear" w:color="auto" w:fill="FFFFFF"/>
        </w:rPr>
        <w:t xml:space="preserve">Acta </w:t>
      </w:r>
      <w:proofErr w:type="spellStart"/>
      <w:r w:rsidR="00C917E4" w:rsidRPr="00C917E4">
        <w:rPr>
          <w:rFonts w:ascii="Arial" w:hAnsi="Arial" w:cs="Arial"/>
          <w:i/>
          <w:iCs/>
          <w:color w:val="222222"/>
          <w:sz w:val="20"/>
          <w:szCs w:val="20"/>
          <w:highlight w:val="yellow"/>
          <w:shd w:val="clear" w:color="auto" w:fill="FFFFFF"/>
        </w:rPr>
        <w:t>Cardiologica</w:t>
      </w:r>
      <w:proofErr w:type="spellEnd"/>
      <w:r w:rsidR="00C917E4" w:rsidRPr="00C917E4">
        <w:rPr>
          <w:rFonts w:ascii="Arial" w:hAnsi="Arial" w:cs="Arial"/>
          <w:i/>
          <w:iCs/>
          <w:color w:val="222222"/>
          <w:sz w:val="20"/>
          <w:szCs w:val="20"/>
          <w:highlight w:val="yellow"/>
          <w:shd w:val="clear" w:color="auto" w:fill="FFFFFF"/>
        </w:rPr>
        <w:t xml:space="preserve"> </w:t>
      </w:r>
      <w:proofErr w:type="spellStart"/>
      <w:r w:rsidR="00C917E4" w:rsidRPr="00C917E4">
        <w:rPr>
          <w:rFonts w:ascii="Arial" w:hAnsi="Arial" w:cs="Arial"/>
          <w:i/>
          <w:iCs/>
          <w:color w:val="222222"/>
          <w:sz w:val="20"/>
          <w:szCs w:val="20"/>
          <w:highlight w:val="yellow"/>
          <w:shd w:val="clear" w:color="auto" w:fill="FFFFFF"/>
        </w:rPr>
        <w:t>Sinica</w:t>
      </w:r>
      <w:proofErr w:type="spellEnd"/>
      <w:r w:rsidR="00C917E4" w:rsidRPr="00C917E4">
        <w:rPr>
          <w:rFonts w:ascii="Arial" w:hAnsi="Arial" w:cs="Arial"/>
          <w:color w:val="222222"/>
          <w:sz w:val="20"/>
          <w:szCs w:val="20"/>
          <w:highlight w:val="yellow"/>
          <w:shd w:val="clear" w:color="auto" w:fill="FFFFFF"/>
        </w:rPr>
        <w:t>, </w:t>
      </w:r>
      <w:r w:rsidR="00C917E4" w:rsidRPr="00C917E4">
        <w:rPr>
          <w:rFonts w:ascii="Arial" w:hAnsi="Arial" w:cs="Arial"/>
          <w:i/>
          <w:iCs/>
          <w:color w:val="222222"/>
          <w:sz w:val="20"/>
          <w:szCs w:val="20"/>
          <w:highlight w:val="yellow"/>
          <w:shd w:val="clear" w:color="auto" w:fill="FFFFFF"/>
        </w:rPr>
        <w:t>39</w:t>
      </w:r>
      <w:r w:rsidR="00C917E4" w:rsidRPr="00C917E4">
        <w:rPr>
          <w:rFonts w:ascii="Arial" w:hAnsi="Arial" w:cs="Arial"/>
          <w:color w:val="222222"/>
          <w:sz w:val="20"/>
          <w:szCs w:val="20"/>
          <w:highlight w:val="yellow"/>
          <w:shd w:val="clear" w:color="auto" w:fill="FFFFFF"/>
        </w:rPr>
        <w:t>(3), 361.</w:t>
      </w:r>
      <w:r w:rsidR="00C917E4" w:rsidRPr="00C917E4">
        <w:rPr>
          <w:highlight w:val="yellow"/>
        </w:rPr>
        <w:t xml:space="preserve">  </w:t>
      </w:r>
      <w:r w:rsidRPr="00C917E4">
        <w:rPr>
          <w:highlight w:val="yellow"/>
        </w:rPr>
        <w:t>https://doi.org/10.6515/ACS.202305_39(3).20230301A</w:t>
      </w:r>
    </w:p>
    <w:p w14:paraId="7BB0CAE7" w14:textId="76BDAAD7" w:rsidR="00EF78BC" w:rsidRPr="00C917E4" w:rsidRDefault="00EF78BC" w:rsidP="000C11F9">
      <w:pPr>
        <w:pStyle w:val="NormalWeb"/>
        <w:rPr>
          <w:highlight w:val="yellow"/>
        </w:rPr>
      </w:pPr>
      <w:r w:rsidRPr="00C917E4">
        <w:rPr>
          <w:highlight w:val="yellow"/>
        </w:rPr>
        <w:t xml:space="preserve">[32]. </w:t>
      </w:r>
      <w:r w:rsidR="00C917E4" w:rsidRPr="00C917E4">
        <w:rPr>
          <w:rFonts w:ascii="Arial" w:hAnsi="Arial" w:cs="Arial"/>
          <w:color w:val="222222"/>
          <w:sz w:val="20"/>
          <w:szCs w:val="20"/>
          <w:highlight w:val="yellow"/>
          <w:shd w:val="clear" w:color="auto" w:fill="FFFFFF"/>
        </w:rPr>
        <w:t xml:space="preserve">McMurray, J. J., Solomon, S. D., </w:t>
      </w:r>
      <w:proofErr w:type="spellStart"/>
      <w:r w:rsidR="00C917E4" w:rsidRPr="00C917E4">
        <w:rPr>
          <w:rFonts w:ascii="Arial" w:hAnsi="Arial" w:cs="Arial"/>
          <w:color w:val="222222"/>
          <w:sz w:val="20"/>
          <w:szCs w:val="20"/>
          <w:highlight w:val="yellow"/>
          <w:shd w:val="clear" w:color="auto" w:fill="FFFFFF"/>
        </w:rPr>
        <w:t>Inzucchi</w:t>
      </w:r>
      <w:proofErr w:type="spellEnd"/>
      <w:r w:rsidR="00C917E4" w:rsidRPr="00C917E4">
        <w:rPr>
          <w:rFonts w:ascii="Arial" w:hAnsi="Arial" w:cs="Arial"/>
          <w:color w:val="222222"/>
          <w:sz w:val="20"/>
          <w:szCs w:val="20"/>
          <w:highlight w:val="yellow"/>
          <w:shd w:val="clear" w:color="auto" w:fill="FFFFFF"/>
        </w:rPr>
        <w:t xml:space="preserve">, S. E., </w:t>
      </w:r>
      <w:proofErr w:type="spellStart"/>
      <w:r w:rsidR="00C917E4" w:rsidRPr="00C917E4">
        <w:rPr>
          <w:rFonts w:ascii="Arial" w:hAnsi="Arial" w:cs="Arial"/>
          <w:color w:val="222222"/>
          <w:sz w:val="20"/>
          <w:szCs w:val="20"/>
          <w:highlight w:val="yellow"/>
          <w:shd w:val="clear" w:color="auto" w:fill="FFFFFF"/>
        </w:rPr>
        <w:t>Køber</w:t>
      </w:r>
      <w:proofErr w:type="spellEnd"/>
      <w:r w:rsidR="00C917E4" w:rsidRPr="00C917E4">
        <w:rPr>
          <w:rFonts w:ascii="Arial" w:hAnsi="Arial" w:cs="Arial"/>
          <w:color w:val="222222"/>
          <w:sz w:val="20"/>
          <w:szCs w:val="20"/>
          <w:highlight w:val="yellow"/>
          <w:shd w:val="clear" w:color="auto" w:fill="FFFFFF"/>
        </w:rPr>
        <w:t xml:space="preserve">, L., </w:t>
      </w:r>
      <w:proofErr w:type="spellStart"/>
      <w:r w:rsidR="00C917E4" w:rsidRPr="00C917E4">
        <w:rPr>
          <w:rFonts w:ascii="Arial" w:hAnsi="Arial" w:cs="Arial"/>
          <w:color w:val="222222"/>
          <w:sz w:val="20"/>
          <w:szCs w:val="20"/>
          <w:highlight w:val="yellow"/>
          <w:shd w:val="clear" w:color="auto" w:fill="FFFFFF"/>
        </w:rPr>
        <w:t>Kosiborod</w:t>
      </w:r>
      <w:proofErr w:type="spellEnd"/>
      <w:r w:rsidR="00C917E4" w:rsidRPr="00C917E4">
        <w:rPr>
          <w:rFonts w:ascii="Arial" w:hAnsi="Arial" w:cs="Arial"/>
          <w:color w:val="222222"/>
          <w:sz w:val="20"/>
          <w:szCs w:val="20"/>
          <w:highlight w:val="yellow"/>
          <w:shd w:val="clear" w:color="auto" w:fill="FFFFFF"/>
        </w:rPr>
        <w:t xml:space="preserve">, M. N., Martinez, F. A., ... &amp; </w:t>
      </w:r>
      <w:proofErr w:type="spellStart"/>
      <w:r w:rsidR="00C917E4" w:rsidRPr="00C917E4">
        <w:rPr>
          <w:rFonts w:ascii="Arial" w:hAnsi="Arial" w:cs="Arial"/>
          <w:color w:val="222222"/>
          <w:sz w:val="20"/>
          <w:szCs w:val="20"/>
          <w:highlight w:val="yellow"/>
          <w:shd w:val="clear" w:color="auto" w:fill="FFFFFF"/>
        </w:rPr>
        <w:t>Langkilde</w:t>
      </w:r>
      <w:proofErr w:type="spellEnd"/>
      <w:r w:rsidR="00C917E4" w:rsidRPr="00C917E4">
        <w:rPr>
          <w:rFonts w:ascii="Arial" w:hAnsi="Arial" w:cs="Arial"/>
          <w:color w:val="222222"/>
          <w:sz w:val="20"/>
          <w:szCs w:val="20"/>
          <w:highlight w:val="yellow"/>
          <w:shd w:val="clear" w:color="auto" w:fill="FFFFFF"/>
        </w:rPr>
        <w:t>, A. M. (2019). Dapagliflozin in patients with heart failure and reduced ejection fraction. </w:t>
      </w:r>
      <w:r w:rsidR="00C917E4" w:rsidRPr="00C917E4">
        <w:rPr>
          <w:rFonts w:ascii="Arial" w:hAnsi="Arial" w:cs="Arial"/>
          <w:i/>
          <w:iCs/>
          <w:color w:val="222222"/>
          <w:sz w:val="20"/>
          <w:szCs w:val="20"/>
          <w:highlight w:val="yellow"/>
          <w:shd w:val="clear" w:color="auto" w:fill="FFFFFF"/>
        </w:rPr>
        <w:t>New England Journal of Medicine</w:t>
      </w:r>
      <w:r w:rsidR="00C917E4" w:rsidRPr="00C917E4">
        <w:rPr>
          <w:rFonts w:ascii="Arial" w:hAnsi="Arial" w:cs="Arial"/>
          <w:color w:val="222222"/>
          <w:sz w:val="20"/>
          <w:szCs w:val="20"/>
          <w:highlight w:val="yellow"/>
          <w:shd w:val="clear" w:color="auto" w:fill="FFFFFF"/>
        </w:rPr>
        <w:t>, </w:t>
      </w:r>
      <w:r w:rsidR="00C917E4" w:rsidRPr="00C917E4">
        <w:rPr>
          <w:rFonts w:ascii="Arial" w:hAnsi="Arial" w:cs="Arial"/>
          <w:i/>
          <w:iCs/>
          <w:color w:val="222222"/>
          <w:sz w:val="20"/>
          <w:szCs w:val="20"/>
          <w:highlight w:val="yellow"/>
          <w:shd w:val="clear" w:color="auto" w:fill="FFFFFF"/>
        </w:rPr>
        <w:t>381</w:t>
      </w:r>
      <w:r w:rsidR="00C917E4" w:rsidRPr="00C917E4">
        <w:rPr>
          <w:rFonts w:ascii="Arial" w:hAnsi="Arial" w:cs="Arial"/>
          <w:color w:val="222222"/>
          <w:sz w:val="20"/>
          <w:szCs w:val="20"/>
          <w:highlight w:val="yellow"/>
          <w:shd w:val="clear" w:color="auto" w:fill="FFFFFF"/>
        </w:rPr>
        <w:t>(21), 1995-2008.</w:t>
      </w:r>
      <w:r w:rsidR="00C917E4" w:rsidRPr="00C917E4">
        <w:rPr>
          <w:rFonts w:ascii="Arial" w:hAnsi="Arial" w:cs="Arial"/>
          <w:color w:val="222222"/>
          <w:sz w:val="20"/>
          <w:szCs w:val="20"/>
          <w:highlight w:val="yellow"/>
          <w:shd w:val="clear" w:color="auto" w:fill="FFFFFF"/>
        </w:rPr>
        <w:t xml:space="preserve"> </w:t>
      </w:r>
      <w:hyperlink r:id="rId101" w:tgtFrame="_new" w:history="1">
        <w:r w:rsidRPr="00C917E4">
          <w:rPr>
            <w:rStyle w:val="Hyperlink"/>
            <w:highlight w:val="yellow"/>
          </w:rPr>
          <w:t>https://doi.org/10.1056/NEJMoa1911303</w:t>
        </w:r>
      </w:hyperlink>
    </w:p>
    <w:p w14:paraId="486505F7" w14:textId="69D1B1C2" w:rsidR="00EF78BC" w:rsidRPr="000C11F9" w:rsidRDefault="00EF78BC" w:rsidP="000C11F9">
      <w:pPr>
        <w:pStyle w:val="NormalWeb"/>
      </w:pPr>
      <w:r w:rsidRPr="00C917E4">
        <w:rPr>
          <w:highlight w:val="yellow"/>
        </w:rPr>
        <w:t xml:space="preserve">[33]. American College of Cardiology. (2024). </w:t>
      </w:r>
      <w:r w:rsidR="00C917E4" w:rsidRPr="00C917E4">
        <w:rPr>
          <w:highlight w:val="yellow"/>
        </w:rPr>
        <w:t xml:space="preserve">Use </w:t>
      </w:r>
      <w:proofErr w:type="gramStart"/>
      <w:r w:rsidR="00C917E4" w:rsidRPr="00C917E4">
        <w:rPr>
          <w:highlight w:val="yellow"/>
        </w:rPr>
        <w:t>Of</w:t>
      </w:r>
      <w:proofErr w:type="gramEnd"/>
      <w:r w:rsidR="00C917E4" w:rsidRPr="00C917E4">
        <w:rPr>
          <w:highlight w:val="yellow"/>
        </w:rPr>
        <w:t xml:space="preserve"> Sglt2 Inhibitors In The Management Of Patients With Heart Failure Pocket Guide</w:t>
      </w:r>
      <w:r w:rsidRPr="00C917E4">
        <w:rPr>
          <w:rStyle w:val="Emphasis"/>
          <w:highlight w:val="yellow"/>
        </w:rPr>
        <w:t>.</w:t>
      </w:r>
      <w:r w:rsidRPr="00C917E4">
        <w:rPr>
          <w:highlight w:val="yellow"/>
        </w:rPr>
        <w:t xml:space="preserve"> Retrieved from </w:t>
      </w:r>
      <w:hyperlink r:id="rId102" w:tgtFrame="_new" w:history="1">
        <w:r w:rsidRPr="00C917E4">
          <w:rPr>
            <w:rStyle w:val="Hyperlink"/>
            <w:highlight w:val="yellow"/>
          </w:rPr>
          <w:t>https://www.acc.org/-/media/Non-Clinical/Files-PDFs-Excel-MS-Word-etc/Tools-and-Practice-Support/Clinical-Solutions/B23054-SGLT2is-Pocket-Guide.pdf</w:t>
        </w:r>
      </w:hyperlink>
    </w:p>
    <w:p w14:paraId="56D74419" w14:textId="77777777" w:rsidR="00EF78BC" w:rsidRPr="000C11F9" w:rsidRDefault="00EF78BC" w:rsidP="000C11F9">
      <w:pPr>
        <w:shd w:val="clear" w:color="auto" w:fill="FFFFFF"/>
        <w:spacing w:after="0" w:line="240" w:lineRule="auto"/>
        <w:jc w:val="both"/>
        <w:rPr>
          <w:rFonts w:ascii="Times New Roman" w:eastAsia="Times New Roman" w:hAnsi="Times New Roman" w:cs="Times New Roman"/>
        </w:rPr>
      </w:pPr>
      <w:bookmarkStart w:id="2" w:name="_GoBack"/>
      <w:bookmarkEnd w:id="2"/>
    </w:p>
    <w:sectPr w:rsidR="00EF78BC" w:rsidRPr="000C11F9">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DAC74" w14:textId="77777777" w:rsidR="006D6190" w:rsidRDefault="006D6190">
      <w:pPr>
        <w:spacing w:after="0" w:line="240" w:lineRule="auto"/>
      </w:pPr>
      <w:r>
        <w:separator/>
      </w:r>
    </w:p>
  </w:endnote>
  <w:endnote w:type="continuationSeparator" w:id="0">
    <w:p w14:paraId="5CA1DF65" w14:textId="77777777" w:rsidR="006D6190" w:rsidRDefault="006D6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16CC65F-0F76-4024-B47D-783BB4D5815C}"/>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embedRegular r:id="rId2" w:fontKey="{4C5174D6-8FBF-40CC-A6A1-40A600B93226}"/>
    <w:embedBold r:id="rId3" w:fontKey="{A6EE9BF0-999D-4187-8DC3-FBE007735B9A}"/>
    <w:embedItalic r:id="rId4" w:fontKey="{674EB9AA-6CFC-4D7C-8195-4AEDDF65B5A4}"/>
  </w:font>
  <w:font w:name="Play">
    <w:charset w:val="00"/>
    <w:family w:val="auto"/>
    <w:pitch w:val="default"/>
    <w:embedRegular r:id="rId5" w:fontKey="{6FB706C9-B674-4E6A-82D9-15D03C9E6D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B004721-CDDB-4198-B84B-5E7366AEE7A3}"/>
    <w:embedItalic r:id="rId7" w:fontKey="{8438A828-3D77-4AA1-B36D-12F7491A2516}"/>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CC969584-FA51-4FFD-8F4E-8977BDEAB116}"/>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embedRegular r:id="rId9" w:fontKey="{E6C5BB5F-D3BC-448D-BEDC-187FE11EA54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9E56" w14:textId="77777777" w:rsidR="001E3E73" w:rsidRDefault="001E3E7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871BC" w14:textId="77777777" w:rsidR="001E3E73" w:rsidRDefault="001E3E7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FF5F2" w14:textId="77777777" w:rsidR="001E3E73" w:rsidRDefault="001E3E7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38578" w14:textId="77777777" w:rsidR="006D6190" w:rsidRDefault="006D6190">
      <w:pPr>
        <w:spacing w:after="0" w:line="240" w:lineRule="auto"/>
      </w:pPr>
      <w:r>
        <w:separator/>
      </w:r>
    </w:p>
  </w:footnote>
  <w:footnote w:type="continuationSeparator" w:id="0">
    <w:p w14:paraId="50A8B0DE" w14:textId="77777777" w:rsidR="006D6190" w:rsidRDefault="006D6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AD66" w14:textId="77777777" w:rsidR="001E3E73" w:rsidRDefault="00C917E4">
    <w:pPr>
      <w:pBdr>
        <w:top w:val="nil"/>
        <w:left w:val="nil"/>
        <w:bottom w:val="nil"/>
        <w:right w:val="nil"/>
        <w:between w:val="nil"/>
      </w:pBdr>
      <w:tabs>
        <w:tab w:val="center" w:pos="4680"/>
        <w:tab w:val="right" w:pos="9360"/>
      </w:tabs>
      <w:spacing w:after="0" w:line="240" w:lineRule="auto"/>
      <w:rPr>
        <w:color w:val="000000"/>
      </w:rPr>
    </w:pPr>
    <w:r>
      <w:rPr>
        <w:color w:val="000000"/>
      </w:rPr>
      <w:pict w14:anchorId="0FB96749">
        <v:shapetype id="_x0000_m2054"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0FB96749">
        <v:shape id="PowerPlusWaterMarkObject3" o:spid="_x0000_s2049" type="#_x0000_m2054" style="position:absolute;margin-left:0;margin-top:0;width:593.85pt;height:65.95pt;rotation:315;z-index:-251656192;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9076" w14:textId="77777777" w:rsidR="001E3E73" w:rsidRDefault="00C917E4">
    <w:pPr>
      <w:pBdr>
        <w:top w:val="nil"/>
        <w:left w:val="nil"/>
        <w:bottom w:val="nil"/>
        <w:right w:val="nil"/>
        <w:between w:val="nil"/>
      </w:pBdr>
      <w:tabs>
        <w:tab w:val="center" w:pos="4680"/>
        <w:tab w:val="right" w:pos="9360"/>
      </w:tabs>
      <w:spacing w:after="0" w:line="240" w:lineRule="auto"/>
      <w:rPr>
        <w:color w:val="000000"/>
      </w:rPr>
    </w:pPr>
    <w:r>
      <w:rPr>
        <w:color w:val="000000"/>
      </w:rPr>
      <w:pict w14:anchorId="27B4BB1C">
        <v:shapetype id="_x0000_m205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27B4BB1C">
        <v:shape id="PowerPlusWaterMarkObject1" o:spid="_x0000_s2051" type="#_x0000_m2053" style="position:absolute;margin-left:0;margin-top:0;width:593.85pt;height:65.95pt;rotation:315;z-index:-251658240;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805D2" w14:textId="77777777" w:rsidR="001E3E73" w:rsidRDefault="00C917E4">
    <w:pPr>
      <w:pBdr>
        <w:top w:val="nil"/>
        <w:left w:val="nil"/>
        <w:bottom w:val="nil"/>
        <w:right w:val="nil"/>
        <w:between w:val="nil"/>
      </w:pBdr>
      <w:tabs>
        <w:tab w:val="center" w:pos="4680"/>
        <w:tab w:val="right" w:pos="9360"/>
      </w:tabs>
      <w:spacing w:after="0" w:line="240" w:lineRule="auto"/>
      <w:rPr>
        <w:color w:val="000000"/>
      </w:rPr>
    </w:pPr>
    <w:r>
      <w:rPr>
        <w:color w:val="000000"/>
      </w:rPr>
      <w:pict w14:anchorId="26F5A672">
        <v:shapetype id="_x0000_m2052"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w14:anchorId="26F5A672">
        <v:shape id="PowerPlusWaterMarkObject2" o:spid="_x0000_s2050" type="#_x0000_m2052" style="position:absolute;margin-left:0;margin-top:0;width:593.85pt;height:65.95pt;rotation:315;z-index:-251657216;mso-position-horizontal:center;mso-position-horizontal-relative:margin;mso-position-vertical:center;mso-position-vertical-relative:margin" o:spt="136" adj="10800" path="m@7,l@8,m@5,21600l@6,21600e" fillcolor="silver"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UNDER PEER REVIEW"/>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B3B0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7A0E24"/>
    <w:multiLevelType w:val="multilevel"/>
    <w:tmpl w:val="FFFFFFFF"/>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 w15:restartNumberingAfterBreak="0">
    <w:nsid w:val="3469583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9970CF"/>
    <w:multiLevelType w:val="multilevel"/>
    <w:tmpl w:val="FFFFFFFF"/>
    <w:lvl w:ilvl="0">
      <w:start w:val="1"/>
      <w:numFmt w:val="decimal"/>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wNDA3NjQ1MTOwsDRV0lEKTi0uzszPAykwqgUAsDmBtCwAAAA="/>
  </w:docVars>
  <w:rsids>
    <w:rsidRoot w:val="001E3E73"/>
    <w:rsid w:val="000C11F9"/>
    <w:rsid w:val="001E3E73"/>
    <w:rsid w:val="002259B7"/>
    <w:rsid w:val="002326A6"/>
    <w:rsid w:val="00423EC0"/>
    <w:rsid w:val="0048016C"/>
    <w:rsid w:val="004E63E9"/>
    <w:rsid w:val="0050306A"/>
    <w:rsid w:val="00667B85"/>
    <w:rsid w:val="006D6190"/>
    <w:rsid w:val="006E36FB"/>
    <w:rsid w:val="006F04AC"/>
    <w:rsid w:val="007256DD"/>
    <w:rsid w:val="007C5524"/>
    <w:rsid w:val="008C7A55"/>
    <w:rsid w:val="0093300B"/>
    <w:rsid w:val="0094109A"/>
    <w:rsid w:val="00B12679"/>
    <w:rsid w:val="00B21BC8"/>
    <w:rsid w:val="00BB39BD"/>
    <w:rsid w:val="00C917E4"/>
    <w:rsid w:val="00E763B0"/>
    <w:rsid w:val="00EB35F6"/>
    <w:rsid w:val="00EB72B6"/>
    <w:rsid w:val="00EF78BC"/>
    <w:rsid w:val="00FC4432"/>
    <w:rsid w:val="01D5D0E8"/>
    <w:rsid w:val="138ADB4B"/>
    <w:rsid w:val="156DD272"/>
    <w:rsid w:val="20F7051C"/>
    <w:rsid w:val="32814A7C"/>
    <w:rsid w:val="35F1C0DB"/>
    <w:rsid w:val="39D8FB88"/>
    <w:rsid w:val="3F43CC1D"/>
    <w:rsid w:val="4566ABED"/>
    <w:rsid w:val="547F1EDB"/>
    <w:rsid w:val="5B17C63C"/>
    <w:rsid w:val="60C86210"/>
    <w:rsid w:val="61091307"/>
    <w:rsid w:val="636E55B4"/>
    <w:rsid w:val="74234C3B"/>
    <w:rsid w:val="77DE9D38"/>
    <w:rsid w:val="77F9F7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D669FA"/>
  <w15:docId w15:val="{C17CF70C-4B96-4663-93E9-C90564B8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6FB"/>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284CC973"/>
    <w:rPr>
      <w:color w:val="467886"/>
      <w:u w:val="single"/>
    </w:rPr>
  </w:style>
  <w:style w:type="paragraph" w:styleId="ListParagraph">
    <w:name w:val="List Paragraph"/>
    <w:basedOn w:val="Normal"/>
    <w:uiPriority w:val="34"/>
    <w:qFormat/>
    <w:rsid w:val="284CC973"/>
    <w:pPr>
      <w:ind w:left="720"/>
      <w:contextualSpacing/>
    </w:pPr>
  </w:style>
  <w:style w:type="table" w:styleId="TableGrid">
    <w:name w:val="Table Grid"/>
    <w:basedOn w:val="TableNormal"/>
    <w:uiPriority w:val="59"/>
    <w:rsid w:val="00E5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0FAB"/>
    <w:rPr>
      <w:color w:val="605E5C"/>
      <w:shd w:val="clear" w:color="auto" w:fill="E1DFDD"/>
    </w:rPr>
  </w:style>
  <w:style w:type="paragraph" w:styleId="Header">
    <w:name w:val="header"/>
    <w:basedOn w:val="Normal"/>
    <w:link w:val="HeaderChar"/>
    <w:uiPriority w:val="99"/>
    <w:unhideWhenUsed/>
    <w:rsid w:val="00814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388"/>
  </w:style>
  <w:style w:type="paragraph" w:styleId="Footer">
    <w:name w:val="footer"/>
    <w:basedOn w:val="Normal"/>
    <w:link w:val="FooterChar"/>
    <w:uiPriority w:val="99"/>
    <w:unhideWhenUsed/>
    <w:rsid w:val="00814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38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Emphasis">
    <w:name w:val="Emphasis"/>
    <w:basedOn w:val="DefaultParagraphFont"/>
    <w:uiPriority w:val="20"/>
    <w:qFormat/>
    <w:rsid w:val="0093300B"/>
    <w:rPr>
      <w:i/>
      <w:iCs/>
    </w:rPr>
  </w:style>
  <w:style w:type="character" w:customStyle="1" w:styleId="ms-1">
    <w:name w:val="ms-1"/>
    <w:basedOn w:val="DefaultParagraphFont"/>
    <w:rsid w:val="00B12679"/>
  </w:style>
  <w:style w:type="character" w:customStyle="1" w:styleId="max-w-15ch">
    <w:name w:val="max-w-[15ch]"/>
    <w:basedOn w:val="DefaultParagraphFont"/>
    <w:rsid w:val="00B12679"/>
  </w:style>
  <w:style w:type="character" w:customStyle="1" w:styleId="-me-1">
    <w:name w:val="-me-1"/>
    <w:basedOn w:val="DefaultParagraphFont"/>
    <w:rsid w:val="00EF78BC"/>
  </w:style>
  <w:style w:type="paragraph" w:styleId="NormalWeb">
    <w:name w:val="Normal (Web)"/>
    <w:basedOn w:val="Normal"/>
    <w:uiPriority w:val="99"/>
    <w:unhideWhenUsed/>
    <w:rsid w:val="00EF78BC"/>
    <w:pPr>
      <w:spacing w:before="100" w:beforeAutospacing="1" w:after="100" w:afterAutospacing="1" w:line="240" w:lineRule="auto"/>
    </w:pPr>
    <w:rPr>
      <w:rFonts w:ascii="Times New Roman" w:eastAsia="Times New Roman" w:hAnsi="Times New Roman" w:cs="Times New Roman"/>
      <w:lang w:val="en-US" w:eastAsia="en-US"/>
    </w:rPr>
  </w:style>
  <w:style w:type="character" w:styleId="FollowedHyperlink">
    <w:name w:val="FollowedHyperlink"/>
    <w:basedOn w:val="DefaultParagraphFont"/>
    <w:uiPriority w:val="99"/>
    <w:semiHidden/>
    <w:unhideWhenUsed/>
    <w:rsid w:val="00EF78BC"/>
    <w:rPr>
      <w:color w:val="96607D" w:themeColor="followedHyperlink"/>
      <w:u w:val="single"/>
    </w:rPr>
  </w:style>
  <w:style w:type="character" w:styleId="Strong">
    <w:name w:val="Strong"/>
    <w:basedOn w:val="DefaultParagraphFont"/>
    <w:uiPriority w:val="22"/>
    <w:qFormat/>
    <w:rsid w:val="005030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278876">
      <w:bodyDiv w:val="1"/>
      <w:marLeft w:val="0"/>
      <w:marRight w:val="0"/>
      <w:marTop w:val="0"/>
      <w:marBottom w:val="0"/>
      <w:divBdr>
        <w:top w:val="none" w:sz="0" w:space="0" w:color="auto"/>
        <w:left w:val="none" w:sz="0" w:space="0" w:color="auto"/>
        <w:bottom w:val="none" w:sz="0" w:space="0" w:color="auto"/>
        <w:right w:val="none" w:sz="0" w:space="0" w:color="auto"/>
      </w:divBdr>
    </w:div>
    <w:div w:id="2042313561">
      <w:bodyDiv w:val="1"/>
      <w:marLeft w:val="0"/>
      <w:marRight w:val="0"/>
      <w:marTop w:val="0"/>
      <w:marBottom w:val="0"/>
      <w:divBdr>
        <w:top w:val="none" w:sz="0" w:space="0" w:color="auto"/>
        <w:left w:val="none" w:sz="0" w:space="0" w:color="auto"/>
        <w:bottom w:val="none" w:sz="0" w:space="0" w:color="auto"/>
        <w:right w:val="none" w:sz="0" w:space="0" w:color="auto"/>
      </w:divBdr>
    </w:div>
    <w:div w:id="2141267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mc.ncbi.nlm.nih.gov/articles/PMC11802620/" TargetMode="External"/><Relationship Id="rId21" Type="http://schemas.openxmlformats.org/officeDocument/2006/relationships/hyperlink" Target="https://www.thelancet.com/journals/langlo/article/PIIS2214-109X(18)30306-1/fulltext" TargetMode="External"/><Relationship Id="rId42" Type="http://schemas.openxmlformats.org/officeDocument/2006/relationships/hyperlink" Target="https://www.thecardiologyadvisor.com/news/%CE%B2-blocker-use-does-not-affect-dapagliflozin-safety-or-efficacy-in-hfpef-or-hfmref/" TargetMode="External"/><Relationship Id="rId47" Type="http://schemas.openxmlformats.org/officeDocument/2006/relationships/hyperlink" Target="https://www.thecardiologyadvisor.com/news/%CE%B2-blocker-use-does-not-affect-dapagliflozin-safety-or-efficacy-in-hfpef-or-hfmref/" TargetMode="External"/><Relationship Id="rId63" Type="http://schemas.openxmlformats.org/officeDocument/2006/relationships/hyperlink" Target="https://www.acc.org/Latest-in-Cardiology/ten-points-to-remember/2024/04/16/15/08/contemporary-american-and-european" TargetMode="External"/><Relationship Id="rId68" Type="http://schemas.openxmlformats.org/officeDocument/2006/relationships/hyperlink" Target="https://pmc.ncbi.nlm.nih.gov/articles/PMC8468030/" TargetMode="External"/><Relationship Id="rId84" Type="http://schemas.openxmlformats.org/officeDocument/2006/relationships/hyperlink" Target="https://doi.org/10.1002/ejhf.1227" TargetMode="External"/><Relationship Id="rId89" Type="http://schemas.openxmlformats.org/officeDocument/2006/relationships/hyperlink" Target="https://pmc.ncbi.nlm.nih.gov/articles/PMC9301591/" TargetMode="External"/><Relationship Id="rId16" Type="http://schemas.openxmlformats.org/officeDocument/2006/relationships/hyperlink" Target="https://www.thelancet.com/journals/langlo/article/PIIS2214-109X(18)30306-1/fulltext" TargetMode="External"/><Relationship Id="rId107" Type="http://schemas.openxmlformats.org/officeDocument/2006/relationships/header" Target="header3.xml"/><Relationship Id="rId11" Type="http://schemas.openxmlformats.org/officeDocument/2006/relationships/hyperlink" Target="https://www.scienceopen.com/hosted-document?doi=10.15212/CVIA.2024.0026" TargetMode="External"/><Relationship Id="rId32" Type="http://schemas.openxmlformats.org/officeDocument/2006/relationships/hyperlink" Target="https://www.jacc.org/doi/10.1016/j.jchf.2023.09.007" TargetMode="External"/><Relationship Id="rId37" Type="http://schemas.openxmlformats.org/officeDocument/2006/relationships/hyperlink" Target="https://pmc.ncbi.nlm.nih.gov/articles/PMC10913941/" TargetMode="External"/><Relationship Id="rId53" Type="http://schemas.openxmlformats.org/officeDocument/2006/relationships/hyperlink" Target="https://pmc.ncbi.nlm.nih.gov/articles/PMC5122500/" TargetMode="External"/><Relationship Id="rId58" Type="http://schemas.openxmlformats.org/officeDocument/2006/relationships/hyperlink" Target="https://pubmed.ncbi.nlm.nih.gov/23559359/" TargetMode="External"/><Relationship Id="rId74" Type="http://schemas.openxmlformats.org/officeDocument/2006/relationships/hyperlink" Target="https://doi.org/10.1016/S2214-109X(18)30306-1" TargetMode="External"/><Relationship Id="rId79" Type="http://schemas.openxmlformats.org/officeDocument/2006/relationships/hyperlink" Target="https://pmc.ncbi.nlm.nih.gov/articles/PMC11802620/" TargetMode="External"/><Relationship Id="rId102" Type="http://schemas.openxmlformats.org/officeDocument/2006/relationships/hyperlink" Target="https://www.acc.org/-/media/Non-Clinical/Files-PDFs-Excel-MS-Word-etc/Tools-and-Practice-Support/Clinical-Solutions/B23054-SGLT2is-Pocket-Guide.pdf?utm_source=chatgpt.com" TargetMode="External"/><Relationship Id="rId5" Type="http://schemas.openxmlformats.org/officeDocument/2006/relationships/webSettings" Target="webSettings.xml"/><Relationship Id="rId90" Type="http://schemas.openxmlformats.org/officeDocument/2006/relationships/hyperlink" Target="https://pmc.ncbi.nlm.nih.gov/articles/PMC11566443/" TargetMode="External"/><Relationship Id="rId95" Type="http://schemas.openxmlformats.org/officeDocument/2006/relationships/hyperlink" Target="https://pubmed.ncbi.nlm.nih.gov/35135688/" TargetMode="External"/><Relationship Id="rId22" Type="http://schemas.openxmlformats.org/officeDocument/2006/relationships/hyperlink" Target="https://pmc.ncbi.nlm.nih.gov/articles/PMC11802620/" TargetMode="External"/><Relationship Id="rId27" Type="http://schemas.openxmlformats.org/officeDocument/2006/relationships/hyperlink" Target="https://www.jacc.org/doi/10.1016/j.jchf.2023.09.007" TargetMode="External"/><Relationship Id="rId43" Type="http://schemas.openxmlformats.org/officeDocument/2006/relationships/hyperlink" Target="https://www.jacc.org/doi/10.1016/j.jacc.2022.11.006" TargetMode="External"/><Relationship Id="rId48" Type="http://schemas.openxmlformats.org/officeDocument/2006/relationships/hyperlink" Target="https://pmc.ncbi.nlm.nih.gov/articles/PMC9301591/" TargetMode="External"/><Relationship Id="rId64" Type="http://schemas.openxmlformats.org/officeDocument/2006/relationships/hyperlink" Target="https://pubmed.ncbi.nlm.nih.gov/35135688/" TargetMode="External"/><Relationship Id="rId69" Type="http://schemas.openxmlformats.org/officeDocument/2006/relationships/hyperlink" Target="https://pmc.ncbi.nlm.nih.gov/articles/PMC8468030/" TargetMode="External"/><Relationship Id="rId80" Type="http://schemas.openxmlformats.org/officeDocument/2006/relationships/hyperlink" Target="https://bnrc.springeropen.com/articles/10.1186/s42269-024-01208-z" TargetMode="External"/><Relationship Id="rId85" Type="http://schemas.openxmlformats.org/officeDocument/2006/relationships/hyperlink" Target="https://pubmed.ncbi.nlm.nih.gov/37767674/" TargetMode="External"/><Relationship Id="rId12" Type="http://schemas.openxmlformats.org/officeDocument/2006/relationships/hyperlink" Target="https://www.thelancet.com/journals/langlo/article/PIIS2214-109X(18)30306-1/fulltext" TargetMode="External"/><Relationship Id="rId17" Type="http://schemas.openxmlformats.org/officeDocument/2006/relationships/hyperlink" Target="https://www.ahajournals.org/doi/10.1161/circ.146.suppl_1.13725" TargetMode="External"/><Relationship Id="rId33" Type="http://schemas.openxmlformats.org/officeDocument/2006/relationships/hyperlink" Target="https://pmc.ncbi.nlm.nih.gov/articles/PMC10913941/" TargetMode="External"/><Relationship Id="rId38" Type="http://schemas.openxmlformats.org/officeDocument/2006/relationships/hyperlink" Target="https://www.jacc.org/doi/10.1016/j.jchf.2023.09.007" TargetMode="External"/><Relationship Id="rId59" Type="http://schemas.openxmlformats.org/officeDocument/2006/relationships/hyperlink" Target="https://pmc.ncbi.nlm.nih.gov/articles/PMC11399533/"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pubmed.ncbi.nlm.nih.gov/23559359/" TargetMode="External"/><Relationship Id="rId70" Type="http://schemas.openxmlformats.org/officeDocument/2006/relationships/hyperlink" Target="https://www.researchgate.net/publication/395120182_Comparative_National_Prescriptive_and_Dosimetric_Characteristics_of_Beta-Blocker_Therapy_in_Asian_Heart_Failure_Patients" TargetMode="External"/><Relationship Id="rId75" Type="http://schemas.openxmlformats.org/officeDocument/2006/relationships/hyperlink" Target="https://pmc.ncbi.nlm.nih.gov/articles/PMC11153617/" TargetMode="External"/><Relationship Id="rId91" Type="http://schemas.openxmlformats.org/officeDocument/2006/relationships/hyperlink" Target="https://pmc.ncbi.nlm.nih.gov/articles/PMC5122500/" TargetMode="External"/><Relationship Id="rId96" Type="http://schemas.openxmlformats.org/officeDocument/2006/relationships/hyperlink" Target="https://www.sciencedirect.com/science/article/pii/S00256196210062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lancet.com/journals/langlo/article/PIIS2214-109X(18)30306-1/fulltext" TargetMode="External"/><Relationship Id="rId23" Type="http://schemas.openxmlformats.org/officeDocument/2006/relationships/hyperlink" Target="https://bnrc.springeropen.com/articles/10.1186/s42269-024-01208-z" TargetMode="External"/><Relationship Id="rId28" Type="http://schemas.openxmlformats.org/officeDocument/2006/relationships/hyperlink" Target="https://www.jacc.org/doi/10.1016/j.jchf.2023.09.007" TargetMode="External"/><Relationship Id="rId36" Type="http://schemas.openxmlformats.org/officeDocument/2006/relationships/hyperlink" Target="https://www.jacc.org/doi/10.1016/j.jchf.2023.09.007" TargetMode="External"/><Relationship Id="rId49" Type="http://schemas.openxmlformats.org/officeDocument/2006/relationships/hyperlink" Target="https://pmc.ncbi.nlm.nih.gov/articles/PMC11566443/" TargetMode="External"/><Relationship Id="rId57" Type="http://schemas.openxmlformats.org/officeDocument/2006/relationships/hyperlink" Target="https://pmc.ncbi.nlm.nih.gov/articles/PMC10919845/" TargetMode="External"/><Relationship Id="rId106" Type="http://schemas.openxmlformats.org/officeDocument/2006/relationships/footer" Target="footer2.xml"/><Relationship Id="rId10" Type="http://schemas.openxmlformats.org/officeDocument/2006/relationships/hyperlink" Target="https://pmc.ncbi.nlm.nih.gov/articles/PMC11153617/" TargetMode="External"/><Relationship Id="rId31" Type="http://schemas.openxmlformats.org/officeDocument/2006/relationships/hyperlink" Target="https://onlinelibrary.wiley.com/doi/10.1002/ehf2.13489" TargetMode="External"/><Relationship Id="rId44" Type="http://schemas.openxmlformats.org/officeDocument/2006/relationships/hyperlink" Target="https://www.jacc.org/doi/10.1016/j.jacc.2022.11.006" TargetMode="External"/><Relationship Id="rId52" Type="http://schemas.openxmlformats.org/officeDocument/2006/relationships/hyperlink" Target="https://pmc.ncbi.nlm.nih.gov/articles/PMC5122500/" TargetMode="External"/><Relationship Id="rId60" Type="http://schemas.openxmlformats.org/officeDocument/2006/relationships/hyperlink" Target="https://www.jacc.org/doi/10.1016/j.jchf.2023.09.007" TargetMode="External"/><Relationship Id="rId65" Type="http://schemas.openxmlformats.org/officeDocument/2006/relationships/hyperlink" Target="https://www.sciencedirect.com/science/article/pii/S0025619621006224" TargetMode="External"/><Relationship Id="rId73" Type="http://schemas.openxmlformats.org/officeDocument/2006/relationships/hyperlink" Target="https://www.sciencedirect.com/science/article/pii/S2213177923006157" TargetMode="External"/><Relationship Id="rId78" Type="http://schemas.openxmlformats.org/officeDocument/2006/relationships/hyperlink" Target="https://pmc.ncbi.nlm.nih.gov/articles/PMC10919845/" TargetMode="External"/><Relationship Id="rId81" Type="http://schemas.openxmlformats.org/officeDocument/2006/relationships/hyperlink" Target="https://pmc.ncbi.nlm.nih.gov/articles/PMC10913941/" TargetMode="External"/><Relationship Id="rId86" Type="http://schemas.openxmlformats.org/officeDocument/2006/relationships/hyperlink" Target="https://www.thecardiologyadvisor.com/news/%CE%B2-blocker-use-does-not-affect-dapagliflozin-safety-or-efficacy-in-hfpef-or-hfmref/" TargetMode="External"/><Relationship Id="rId94" Type="http://schemas.openxmlformats.org/officeDocument/2006/relationships/hyperlink" Target="https://www.acc.org/Latest-in-Cardiology/ten-points-to-remember/2024/04/16/15/08/contemporary-american-and-european" TargetMode="External"/><Relationship Id="rId99" Type="http://schemas.openxmlformats.org/officeDocument/2006/relationships/hyperlink" Target="https://doi.org/10.1161/CIR.0000000000001063" TargetMode="External"/><Relationship Id="rId101" Type="http://schemas.openxmlformats.org/officeDocument/2006/relationships/hyperlink" Target="https://doi.org/10.1056/NEJMoa1911303" TargetMode="External"/><Relationship Id="rId4" Type="http://schemas.openxmlformats.org/officeDocument/2006/relationships/settings" Target="settings.xml"/><Relationship Id="rId9" Type="http://schemas.openxmlformats.org/officeDocument/2006/relationships/hyperlink" Target="https://www.thelancet.com/journals/langlo/article/PIIS2214-109X(18)30306-1/fulltext" TargetMode="External"/><Relationship Id="rId13" Type="http://schemas.openxmlformats.org/officeDocument/2006/relationships/hyperlink" Target="https://www.thelancet.com/journals/langlo/article/PIIS2214-109X(18)30306-1/fulltext" TargetMode="External"/><Relationship Id="rId18" Type="http://schemas.openxmlformats.org/officeDocument/2006/relationships/hyperlink" Target="https://www.ahajournals.org/doi/10.1161/circ.146.suppl_1.13725" TargetMode="External"/><Relationship Id="rId39" Type="http://schemas.openxmlformats.org/officeDocument/2006/relationships/hyperlink" Target="https://pubmed.ncbi.nlm.nih.gov/37767674/" TargetMode="External"/><Relationship Id="rId109" Type="http://schemas.openxmlformats.org/officeDocument/2006/relationships/fontTable" Target="fontTable.xml"/><Relationship Id="rId34" Type="http://schemas.openxmlformats.org/officeDocument/2006/relationships/hyperlink" Target="https://onlinelibrary.wiley.com/doi/full/10.1002/ejhf.1227" TargetMode="External"/><Relationship Id="rId50" Type="http://schemas.openxmlformats.org/officeDocument/2006/relationships/hyperlink" Target="https://pmc.ncbi.nlm.nih.gov/articles/PMC11566443/" TargetMode="External"/><Relationship Id="rId55" Type="http://schemas.openxmlformats.org/officeDocument/2006/relationships/hyperlink" Target="https://pmc.ncbi.nlm.nih.gov/articles/PMC10919845/" TargetMode="External"/><Relationship Id="rId76" Type="http://schemas.openxmlformats.org/officeDocument/2006/relationships/hyperlink" Target="https://www.scienceopen.com/hosted-document?doi=10.15212/CVIA.2024.0026" TargetMode="External"/><Relationship Id="rId97" Type="http://schemas.openxmlformats.org/officeDocument/2006/relationships/hyperlink" Target="https://www.jacc.org/doi/10.1016/j.jchf.2021.06.011"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016/j.jchf.2023.09.007" TargetMode="External"/><Relationship Id="rId92" Type="http://schemas.openxmlformats.org/officeDocument/2006/relationships/hyperlink" Target="https://pubmed.ncbi.nlm.nih.gov/23559359/" TargetMode="External"/><Relationship Id="rId2" Type="http://schemas.openxmlformats.org/officeDocument/2006/relationships/numbering" Target="numbering.xml"/><Relationship Id="rId29" Type="http://schemas.openxmlformats.org/officeDocument/2006/relationships/hyperlink" Target="https://pmc.ncbi.nlm.nih.gov/articles/PMC10913941/" TargetMode="External"/><Relationship Id="rId24" Type="http://schemas.openxmlformats.org/officeDocument/2006/relationships/hyperlink" Target="https://bnrc.springeropen.com/articles/10.1186/s42269-024-01208-z" TargetMode="External"/><Relationship Id="rId40" Type="http://schemas.openxmlformats.org/officeDocument/2006/relationships/hyperlink" Target="https://pubmed.ncbi.nlm.nih.gov/37767674/" TargetMode="External"/><Relationship Id="rId45" Type="http://schemas.openxmlformats.org/officeDocument/2006/relationships/hyperlink" Target="https://www.jacc.org/doi/10.1016/j.jacc.2022.11.006" TargetMode="External"/><Relationship Id="rId66" Type="http://schemas.openxmlformats.org/officeDocument/2006/relationships/hyperlink" Target="https://www.jacc.org/doi/10.1016/j.jchf.2021.06.011" TargetMode="External"/><Relationship Id="rId87" Type="http://schemas.openxmlformats.org/officeDocument/2006/relationships/hyperlink" Target="https://doi.org/10.1016/j.jacc.2022.11.006" TargetMode="External"/><Relationship Id="rId110" Type="http://schemas.openxmlformats.org/officeDocument/2006/relationships/theme" Target="theme/theme1.xml"/><Relationship Id="rId61" Type="http://schemas.openxmlformats.org/officeDocument/2006/relationships/hyperlink" Target="https://www.jacc.org/doi/10.1016/j.jchf.2023.09.007" TargetMode="External"/><Relationship Id="rId82" Type="http://schemas.openxmlformats.org/officeDocument/2006/relationships/hyperlink" Target="https://pmc.ncbi.nlm.nih.gov/articles/PMC11399533/" TargetMode="External"/><Relationship Id="rId19" Type="http://schemas.openxmlformats.org/officeDocument/2006/relationships/hyperlink" Target="https://pmc.ncbi.nlm.nih.gov/articles/PMC10919845/" TargetMode="External"/><Relationship Id="rId14" Type="http://schemas.openxmlformats.org/officeDocument/2006/relationships/hyperlink" Target="https://www.sciencedirect.com/science/article/pii/S2213177923006157" TargetMode="External"/><Relationship Id="rId30" Type="http://schemas.openxmlformats.org/officeDocument/2006/relationships/hyperlink" Target="https://pmc.ncbi.nlm.nih.gov/articles/PMC11399533/" TargetMode="External"/><Relationship Id="rId35" Type="http://schemas.openxmlformats.org/officeDocument/2006/relationships/hyperlink" Target="https://onlinelibrary.wiley.com/doi/full/10.1002/ejhf.1227" TargetMode="External"/><Relationship Id="rId56" Type="http://schemas.openxmlformats.org/officeDocument/2006/relationships/hyperlink" Target="https://pmc.ncbi.nlm.nih.gov/articles/PMC10919845/" TargetMode="External"/><Relationship Id="rId77" Type="http://schemas.openxmlformats.org/officeDocument/2006/relationships/hyperlink" Target="https://www.ahajournals.org/doi/10.1161/circ.146.suppl_1.13725" TargetMode="External"/><Relationship Id="rId100" Type="http://schemas.openxmlformats.org/officeDocument/2006/relationships/hyperlink" Target="https://www.ncbi.nlm.nih.gov/books/NBK534868/?utm_source=chatgpt.com" TargetMode="External"/><Relationship Id="rId105" Type="http://schemas.openxmlformats.org/officeDocument/2006/relationships/footer" Target="footer1.xml"/><Relationship Id="rId8" Type="http://schemas.openxmlformats.org/officeDocument/2006/relationships/hyperlink" Target="https://www.thelancet.com/journals/langlo/article/PIIS2214-109X(18)30306-1/fulltext" TargetMode="External"/><Relationship Id="rId51" Type="http://schemas.openxmlformats.org/officeDocument/2006/relationships/hyperlink" Target="https://pmc.ncbi.nlm.nih.gov/articles/PMC11566443/" TargetMode="External"/><Relationship Id="rId72" Type="http://schemas.openxmlformats.org/officeDocument/2006/relationships/hyperlink" Target="https://pmc.ncbi.nlm.nih.gov/articles/PMC11604132/" TargetMode="External"/><Relationship Id="rId93" Type="http://schemas.openxmlformats.org/officeDocument/2006/relationships/hyperlink" Target="https://www.sciencedirect.com/science/article/pii/S2666602221000513" TargetMode="External"/><Relationship Id="rId98" Type="http://schemas.openxmlformats.org/officeDocument/2006/relationships/hyperlink" Target="https://pmc.ncbi.nlm.nih.gov/articles/PMC8468030/" TargetMode="External"/><Relationship Id="rId3" Type="http://schemas.openxmlformats.org/officeDocument/2006/relationships/styles" Target="styles.xml"/><Relationship Id="rId25" Type="http://schemas.openxmlformats.org/officeDocument/2006/relationships/hyperlink" Target="https://bnrc.springeropen.com/articles/10.1186/s42269-024-01208-z" TargetMode="External"/><Relationship Id="rId46" Type="http://schemas.openxmlformats.org/officeDocument/2006/relationships/hyperlink" Target="https://pmc.ncbi.nlm.nih.gov/articles/PMC7327531/" TargetMode="External"/><Relationship Id="rId67" Type="http://schemas.openxmlformats.org/officeDocument/2006/relationships/hyperlink" Target="https://pmc.ncbi.nlm.nih.gov/articles/PMC8468030/" TargetMode="External"/><Relationship Id="rId20" Type="http://schemas.openxmlformats.org/officeDocument/2006/relationships/hyperlink" Target="https://www.ahajournals.org/doi/10.1161/circ.146.suppl_1.13725" TargetMode="External"/><Relationship Id="rId41" Type="http://schemas.openxmlformats.org/officeDocument/2006/relationships/hyperlink" Target="https://pubmed.ncbi.nlm.nih.gov/37767674/" TargetMode="External"/><Relationship Id="rId62" Type="http://schemas.openxmlformats.org/officeDocument/2006/relationships/hyperlink" Target="https://www.sciencedirect.com/science/article/pii/S2666602221000513" TargetMode="External"/><Relationship Id="rId83" Type="http://schemas.openxmlformats.org/officeDocument/2006/relationships/hyperlink" Target="https://doi.org/10.1002/ehf2.13489" TargetMode="External"/><Relationship Id="rId88" Type="http://schemas.openxmlformats.org/officeDocument/2006/relationships/hyperlink" Target="https://pmc.ncbi.nlm.nih.gov/articles/PMC732753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REA3w1af40FrrJC59T4SUHCzA==">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7704</Words>
  <Characters>43916</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Kenigson, Jonathan</dc:creator>
  <cp:lastModifiedBy>SDI PC New 16</cp:lastModifiedBy>
  <cp:revision>12</cp:revision>
  <dcterms:created xsi:type="dcterms:W3CDTF">2025-09-16T21:04:00Z</dcterms:created>
  <dcterms:modified xsi:type="dcterms:W3CDTF">2025-09-22T10:56:00Z</dcterms:modified>
</cp:coreProperties>
</file>