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7E6CAF" w14:textId="77777777" w:rsidR="006A2812" w:rsidRPr="006A2812" w:rsidRDefault="006A2812" w:rsidP="006A2812">
      <w:pPr>
        <w:rPr>
          <w:rFonts w:cstheme="minorHAnsi"/>
          <w:b/>
          <w:bCs/>
          <w:i/>
          <w:iCs/>
          <w:sz w:val="32"/>
          <w:u w:val="single"/>
        </w:rPr>
      </w:pPr>
      <w:r w:rsidRPr="006A2812">
        <w:rPr>
          <w:rFonts w:cstheme="minorHAnsi"/>
          <w:b/>
          <w:bCs/>
          <w:i/>
          <w:iCs/>
          <w:sz w:val="32"/>
          <w:u w:val="single"/>
        </w:rPr>
        <w:t xml:space="preserve">Case report </w:t>
      </w:r>
    </w:p>
    <w:p w14:paraId="1B419EC2" w14:textId="46343F9F" w:rsidR="00D92836" w:rsidRPr="004C0BEF" w:rsidRDefault="00155048" w:rsidP="00155048">
      <w:pPr>
        <w:rPr>
          <w:rFonts w:cstheme="minorHAnsi"/>
        </w:rPr>
      </w:pPr>
      <w:r w:rsidRPr="00155048">
        <w:rPr>
          <w:rFonts w:cstheme="minorHAnsi"/>
          <w:b/>
          <w:sz w:val="32"/>
          <w:u w:val="single"/>
        </w:rPr>
        <w:t xml:space="preserve">Cryptogenic Stroke with Isolated Cranial Nerve Deficits Attributable to a Small PFO: Successful Management with Cocoon </w:t>
      </w:r>
      <w:proofErr w:type="spellStart"/>
      <w:r w:rsidRPr="00155048">
        <w:rPr>
          <w:rFonts w:cstheme="minorHAnsi"/>
          <w:b/>
          <w:sz w:val="32"/>
          <w:u w:val="single"/>
        </w:rPr>
        <w:t>Occluder</w:t>
      </w:r>
      <w:proofErr w:type="spellEnd"/>
    </w:p>
    <w:p w14:paraId="083600E7" w14:textId="77777777" w:rsidR="00F051BF" w:rsidRDefault="00F051BF">
      <w:pPr>
        <w:pStyle w:val="Heading1"/>
      </w:pPr>
    </w:p>
    <w:p w14:paraId="5B8911D1" w14:textId="77777777" w:rsidR="00C501CD" w:rsidRDefault="00C501CD" w:rsidP="00C501CD">
      <w:pPr>
        <w:pStyle w:val="Heading3"/>
      </w:pPr>
      <w:r>
        <w:rPr>
          <w:rStyle w:val="Strong"/>
          <w:b/>
          <w:bCs/>
        </w:rPr>
        <w:t>Abstract</w:t>
      </w:r>
    </w:p>
    <w:p w14:paraId="347D662E" w14:textId="77777777" w:rsidR="00C501CD" w:rsidRDefault="00C501CD" w:rsidP="00C501CD">
      <w:pPr>
        <w:pStyle w:val="NormalWeb"/>
      </w:pPr>
      <w:r>
        <w:t xml:space="preserve">Patent foramen </w:t>
      </w:r>
      <w:proofErr w:type="spellStart"/>
      <w:r>
        <w:t>ovale</w:t>
      </w:r>
      <w:proofErr w:type="spellEnd"/>
      <w:r>
        <w:t xml:space="preserve"> (PFO) is present in approximately 20–25% of the general population but is implicated in only a small subset of ischemic strokes, particularly in young adults with cryptogenic events. Stroke in individuals under 45 years accounts for only 10–15% of all ischemic strokes, and PFO-related presentations with isolated cranial nerve involvement are exceptionally rare.</w:t>
      </w:r>
    </w:p>
    <w:p w14:paraId="49C5B1BA" w14:textId="77777777" w:rsidR="00C501CD" w:rsidRDefault="00C501CD" w:rsidP="00C501CD">
      <w:pPr>
        <w:pStyle w:val="NormalWeb"/>
      </w:pPr>
      <w:r>
        <w:t>We report a 40-year-old male who presented with acute slurring of speech and deviation of the mouth to the left. Neurological examination revealed dysarthria and tongue deviation without motor weakness. A thorough work-up for young-onset stroke was performed: bilateral carotid and vertebral Doppler were normal, chest radiograph was normal, antinuclear antibody (ANA) and antiphospholipid antibody (APLA) profiles were negative, homocysteine was borderline elevated, and fundus examination showed no papilledema. CT venous angiography of the lower limbs ruled out deep venous thrombosis. Magnetic resonance imaging demonstrated acute non-</w:t>
      </w:r>
      <w:proofErr w:type="spellStart"/>
      <w:r>
        <w:t>hemorrhagic</w:t>
      </w:r>
      <w:proofErr w:type="spellEnd"/>
      <w:r>
        <w:t xml:space="preserve"> infarcts in the right inferior frontal gyrus and right post-central gyrus. Transthoracic echocardiography with bubble contrast revealed right-to-left shunting during Valsalva, and </w:t>
      </w:r>
      <w:proofErr w:type="spellStart"/>
      <w:r>
        <w:t>transesophageal</w:t>
      </w:r>
      <w:proofErr w:type="spellEnd"/>
      <w:r>
        <w:t xml:space="preserve"> echocardiography (TEE) confirmed a 4-mm PFO.</w:t>
      </w:r>
    </w:p>
    <w:p w14:paraId="403FFD32" w14:textId="77777777" w:rsidR="00C501CD" w:rsidRDefault="00C501CD" w:rsidP="00C501CD">
      <w:pPr>
        <w:pStyle w:val="NormalWeb"/>
      </w:pPr>
      <w:r>
        <w:t xml:space="preserve">Given the patient’s young age and isolated cranial nerve presentation, TEE-guided PFO closure was performed with a Cocoon 30/30 </w:t>
      </w:r>
      <w:proofErr w:type="spellStart"/>
      <w:r>
        <w:t>occluder</w:t>
      </w:r>
      <w:proofErr w:type="spellEnd"/>
      <w:r>
        <w:t xml:space="preserve"> device under fluoroscopic guidance, with no residual shunt post-procedure. The patient remained hemodynamically stable, developed no arrhythmia, and demonstrated marked improvement in speech function during follow-up.</w:t>
      </w:r>
    </w:p>
    <w:p w14:paraId="71E12BB9" w14:textId="77777777" w:rsidR="00C501CD" w:rsidRDefault="00C501CD" w:rsidP="00C501CD">
      <w:pPr>
        <w:pStyle w:val="NormalWeb"/>
      </w:pPr>
      <w:r>
        <w:t>This case underscores the clinical relevance of small but hemodynamically significant PFOs in young patients with cryptogenic stroke and highlights the importance of systematic etiological evaluation and timely intervention.</w:t>
      </w:r>
    </w:p>
    <w:p w14:paraId="665739C3" w14:textId="77777777" w:rsidR="00C501CD" w:rsidRDefault="00C501CD" w:rsidP="00C501CD">
      <w:pPr>
        <w:pStyle w:val="NormalWeb"/>
      </w:pPr>
      <w:r>
        <w:rPr>
          <w:rStyle w:val="Strong"/>
        </w:rPr>
        <w:t>Keywords:</w:t>
      </w:r>
      <w:r>
        <w:t xml:space="preserve"> Patent foramen </w:t>
      </w:r>
      <w:proofErr w:type="spellStart"/>
      <w:r>
        <w:t>ovale</w:t>
      </w:r>
      <w:proofErr w:type="spellEnd"/>
      <w:r>
        <w:t xml:space="preserve">, cryptogenic stroke, young adult, dysarthria, Cocoon </w:t>
      </w:r>
      <w:proofErr w:type="spellStart"/>
      <w:r>
        <w:t>occluder</w:t>
      </w:r>
      <w:proofErr w:type="spellEnd"/>
      <w:r>
        <w:t>, transcatheter closure</w:t>
      </w:r>
    </w:p>
    <w:p w14:paraId="5139E70E" w14:textId="77777777" w:rsidR="00F051BF" w:rsidRDefault="00F051BF">
      <w:pPr>
        <w:pStyle w:val="Heading1"/>
      </w:pPr>
    </w:p>
    <w:p w14:paraId="769BB6AA" w14:textId="77777777" w:rsidR="00C501CD" w:rsidRDefault="00C501CD" w:rsidP="00C501CD">
      <w:pPr>
        <w:pStyle w:val="Heading3"/>
      </w:pPr>
      <w:r>
        <w:rPr>
          <w:rStyle w:val="Strong"/>
          <w:b/>
          <w:bCs/>
        </w:rPr>
        <w:t>Introduction</w:t>
      </w:r>
    </w:p>
    <w:p w14:paraId="4EBB8694" w14:textId="77777777" w:rsidR="00C501CD" w:rsidRDefault="00C501CD" w:rsidP="00C501CD">
      <w:pPr>
        <w:pStyle w:val="NormalWeb"/>
      </w:pPr>
      <w:r>
        <w:t xml:space="preserve">Patent foramen </w:t>
      </w:r>
      <w:proofErr w:type="spellStart"/>
      <w:r>
        <w:t>ovale</w:t>
      </w:r>
      <w:proofErr w:type="spellEnd"/>
      <w:r>
        <w:t xml:space="preserve"> (PFO) persists in approximately 20–25% of adults [1]. While usually benign, it may permit paradoxical embolism, especially under conditions of transient right atrial pressure elevation. Stroke in individuals under 45 years accounts for 10–15% of ischemic strokes, and up to 40–50% of these are cryptogenic [2–5]. PFO is over-represented in this subset, with a prevalence of nearly 50% among young patients with cryptogenic stroke compared with 20% in matched controls [5].</w:t>
      </w:r>
    </w:p>
    <w:p w14:paraId="0B26A81F" w14:textId="77777777" w:rsidR="00C501CD" w:rsidRDefault="00C501CD" w:rsidP="00C501CD">
      <w:pPr>
        <w:pStyle w:val="NormalWeb"/>
      </w:pPr>
      <w:r>
        <w:t>Despite this epidemiological link, absolute cases of clinically significant PFO-related stroke remain rare. Moreover, neurological presentations limited to cranial nerve involvement, such as isolated dysarthria and tongue deviation without hemiparesis, are distinctly uncommon [6–8]. Most embolic strokes associated with PFO affect middle cerebral artery territories, manifesting with hemiparesis, aphasia, or visual field deficits.</w:t>
      </w:r>
    </w:p>
    <w:p w14:paraId="650C6442" w14:textId="77777777" w:rsidR="00C501CD" w:rsidRDefault="00C501CD" w:rsidP="00C501CD">
      <w:pPr>
        <w:pStyle w:val="NormalWeb"/>
      </w:pPr>
      <w:r>
        <w:t>We report a rare case of cryptogenic cortical stroke in a 40-year-old male with a small but functionally significant PFO, successfully managed with Cocoon device closure.</w:t>
      </w:r>
    </w:p>
    <w:p w14:paraId="276F1E41" w14:textId="77777777" w:rsidR="00C501CD" w:rsidRDefault="00F110FC" w:rsidP="00C501CD">
      <w:r>
        <w:pict w14:anchorId="61899811">
          <v:rect id="_x0000_i1025" style="width:0;height:1.5pt" o:hralign="center" o:hrstd="t" o:hr="t" fillcolor="#a0a0a0" stroked="f"/>
        </w:pict>
      </w:r>
    </w:p>
    <w:p w14:paraId="6CE87B21" w14:textId="77777777" w:rsidR="00C501CD" w:rsidRDefault="00C501CD" w:rsidP="00C501CD">
      <w:pPr>
        <w:pStyle w:val="Heading3"/>
      </w:pPr>
      <w:r>
        <w:rPr>
          <w:rStyle w:val="Strong"/>
          <w:b/>
          <w:bCs/>
        </w:rPr>
        <w:t>Case Presentation</w:t>
      </w:r>
    </w:p>
    <w:p w14:paraId="2DC880D3" w14:textId="77777777" w:rsidR="00C501CD" w:rsidRDefault="00C501CD" w:rsidP="00C501CD">
      <w:pPr>
        <w:pStyle w:val="NormalWeb"/>
      </w:pPr>
      <w:r>
        <w:t>A 40-year-old male presented with acute slurring of speech and deviation of the angle of the mouth to the left. Neurological examination revealed dysarthria (cranial nerves IX–X involvement) and tongue deviation to the left (cranial nerve XII involvement), without motor weakness.</w:t>
      </w:r>
    </w:p>
    <w:p w14:paraId="0002DE6C" w14:textId="77777777" w:rsidR="00C501CD" w:rsidRDefault="00C501CD" w:rsidP="00C501CD">
      <w:pPr>
        <w:pStyle w:val="NormalWeb"/>
      </w:pPr>
      <w:r>
        <w:t>MRI brain showed acute non-</w:t>
      </w:r>
      <w:proofErr w:type="spellStart"/>
      <w:r>
        <w:t>hemorrhagic</w:t>
      </w:r>
      <w:proofErr w:type="spellEnd"/>
      <w:r>
        <w:t xml:space="preserve"> infarcts in the right inferior frontal gyrus and right post-central gyrus, with ADC restriction and no blooming on GRE, consistent with acute ischemia. Multiple discrete FLAIR hyperintensities in bilateral frontoparietal lobes involving centrum </w:t>
      </w:r>
      <w:proofErr w:type="spellStart"/>
      <w:r>
        <w:t>semiovale</w:t>
      </w:r>
      <w:proofErr w:type="spellEnd"/>
      <w:r>
        <w:t>, corona radiata, and periventricular white matter were noted, suggestive of chronic small vessel ischemic changes (Fazekas grade 1).</w:t>
      </w:r>
    </w:p>
    <w:p w14:paraId="091B7874" w14:textId="77777777" w:rsidR="00C501CD" w:rsidRDefault="00C501CD" w:rsidP="00C501CD">
      <w:pPr>
        <w:pStyle w:val="NormalWeb"/>
      </w:pPr>
      <w:r>
        <w:t>Systematic stroke evaluation included:</w:t>
      </w:r>
    </w:p>
    <w:p w14:paraId="7DE8BBDA" w14:textId="77777777" w:rsidR="00C501CD" w:rsidRDefault="00C501CD" w:rsidP="00C501CD">
      <w:pPr>
        <w:pStyle w:val="NormalWeb"/>
        <w:numPr>
          <w:ilvl w:val="0"/>
          <w:numId w:val="14"/>
        </w:numPr>
      </w:pPr>
      <w:r>
        <w:rPr>
          <w:rStyle w:val="Strong"/>
        </w:rPr>
        <w:t>Carotid and vertebral Doppler:</w:t>
      </w:r>
      <w:r>
        <w:t xml:space="preserve"> normal.</w:t>
      </w:r>
    </w:p>
    <w:p w14:paraId="647B8D55" w14:textId="77777777" w:rsidR="00C501CD" w:rsidRDefault="00C501CD" w:rsidP="00C501CD">
      <w:pPr>
        <w:pStyle w:val="NormalWeb"/>
        <w:numPr>
          <w:ilvl w:val="0"/>
          <w:numId w:val="14"/>
        </w:numPr>
      </w:pPr>
      <w:r>
        <w:rPr>
          <w:rStyle w:val="Strong"/>
        </w:rPr>
        <w:t>Chest radiograph:</w:t>
      </w:r>
      <w:r>
        <w:t xml:space="preserve"> normal.</w:t>
      </w:r>
    </w:p>
    <w:p w14:paraId="72E9CF6A" w14:textId="77777777" w:rsidR="00C501CD" w:rsidRDefault="00C501CD" w:rsidP="00C501CD">
      <w:pPr>
        <w:pStyle w:val="NormalWeb"/>
        <w:numPr>
          <w:ilvl w:val="0"/>
          <w:numId w:val="14"/>
        </w:numPr>
      </w:pPr>
      <w:r>
        <w:rPr>
          <w:rStyle w:val="Strong"/>
        </w:rPr>
        <w:t>ANA and APLA profile:</w:t>
      </w:r>
      <w:r>
        <w:t xml:space="preserve"> negative.</w:t>
      </w:r>
    </w:p>
    <w:p w14:paraId="0EC71809" w14:textId="77777777" w:rsidR="00C501CD" w:rsidRDefault="00C501CD" w:rsidP="00C501CD">
      <w:pPr>
        <w:pStyle w:val="NormalWeb"/>
        <w:numPr>
          <w:ilvl w:val="0"/>
          <w:numId w:val="14"/>
        </w:numPr>
      </w:pPr>
      <w:r>
        <w:rPr>
          <w:rStyle w:val="Strong"/>
        </w:rPr>
        <w:t>Homocysteine:</w:t>
      </w:r>
      <w:r>
        <w:t xml:space="preserve"> borderline elevated.</w:t>
      </w:r>
    </w:p>
    <w:p w14:paraId="06F1D4EF" w14:textId="77777777" w:rsidR="00C501CD" w:rsidRDefault="00C501CD" w:rsidP="00C501CD">
      <w:pPr>
        <w:pStyle w:val="NormalWeb"/>
        <w:numPr>
          <w:ilvl w:val="0"/>
          <w:numId w:val="14"/>
        </w:numPr>
      </w:pPr>
      <w:r>
        <w:rPr>
          <w:rStyle w:val="Strong"/>
        </w:rPr>
        <w:t>Fundus examination:</w:t>
      </w:r>
      <w:r>
        <w:t xml:space="preserve"> no papilledema.</w:t>
      </w:r>
    </w:p>
    <w:p w14:paraId="06828921" w14:textId="77777777" w:rsidR="00C501CD" w:rsidRDefault="00C501CD" w:rsidP="00C501CD">
      <w:pPr>
        <w:pStyle w:val="NormalWeb"/>
        <w:numPr>
          <w:ilvl w:val="0"/>
          <w:numId w:val="14"/>
        </w:numPr>
      </w:pPr>
      <w:r>
        <w:rPr>
          <w:rStyle w:val="Strong"/>
        </w:rPr>
        <w:t>CT lower limb venous angiography:</w:t>
      </w:r>
      <w:r>
        <w:t xml:space="preserve"> no evidence of deep venous thrombosis.</w:t>
      </w:r>
    </w:p>
    <w:p w14:paraId="58D36239" w14:textId="77777777" w:rsidR="00C501CD" w:rsidRDefault="00C501CD" w:rsidP="00C501CD">
      <w:pPr>
        <w:pStyle w:val="NormalWeb"/>
      </w:pPr>
      <w:r>
        <w:lastRenderedPageBreak/>
        <w:t xml:space="preserve">Echocardiography showed no regional wall motion abnormalities (EF 60%). Bubble contrast study revealed right-to-left shunting during Valsalva. </w:t>
      </w:r>
      <w:proofErr w:type="spellStart"/>
      <w:r>
        <w:t>Transesophageal</w:t>
      </w:r>
      <w:proofErr w:type="spellEnd"/>
      <w:r>
        <w:t xml:space="preserve"> echocardiography (TEE) confirmed a 4-mm PFO with </w:t>
      </w:r>
      <w:proofErr w:type="spellStart"/>
      <w:r>
        <w:t>provokable</w:t>
      </w:r>
      <w:proofErr w:type="spellEnd"/>
      <w:r>
        <w:t xml:space="preserve"> shunt.</w:t>
      </w:r>
    </w:p>
    <w:p w14:paraId="406BF721" w14:textId="77777777" w:rsidR="00C501CD" w:rsidRDefault="00C501CD" w:rsidP="00C501CD">
      <w:pPr>
        <w:pStyle w:val="NormalWeb"/>
      </w:pPr>
      <w:r>
        <w:t xml:space="preserve">The patient underwent TEE-guided PFO closure under local </w:t>
      </w:r>
      <w:proofErr w:type="spellStart"/>
      <w:r>
        <w:t>anesthesia</w:t>
      </w:r>
      <w:proofErr w:type="spellEnd"/>
      <w:r>
        <w:t xml:space="preserve"> via femoral venous access. A sizing balloon confirmed the 4-mm PFO. A Cocoon 30/30 device was deployed under TEE and fluoroscopic guidance. Post-deployment imaging showed stable positioning, no arrhythmia, no valvular interference, no </w:t>
      </w:r>
      <w:proofErr w:type="spellStart"/>
      <w:r>
        <w:t>peridevice</w:t>
      </w:r>
      <w:proofErr w:type="spellEnd"/>
      <w:r>
        <w:t xml:space="preserve"> leak, and no conduction block. Post-procedure echocardiography demonstrated no residual shunting, with the device in situ.</w:t>
      </w:r>
    </w:p>
    <w:p w14:paraId="08F47F57" w14:textId="77777777" w:rsidR="00C501CD" w:rsidRDefault="00C501CD" w:rsidP="00C501CD">
      <w:pPr>
        <w:pStyle w:val="NormalWeb"/>
      </w:pPr>
      <w:r>
        <w:t>The patient remained hemodynamically stable and was monitored in ICCU. His dysarthria improved significantly, tongue deviation reduced, and he regained near-normal speech articulation over follow-up. Continuous telemetry revealed no atrial fibrillation or other arrhythmias.</w:t>
      </w:r>
    </w:p>
    <w:p w14:paraId="7AE1BEAC" w14:textId="77777777" w:rsidR="008268E3" w:rsidRDefault="008268E3"/>
    <w:p w14:paraId="415CB589" w14:textId="77777777" w:rsidR="008268E3" w:rsidRDefault="008268E3"/>
    <w:p w14:paraId="7E38B58A" w14:textId="77777777" w:rsidR="007F1A9D" w:rsidRDefault="008268E3">
      <w:pPr>
        <w:rPr>
          <w:noProof/>
          <w:lang w:bidi="mr-IN"/>
        </w:rPr>
      </w:pPr>
      <w:r>
        <w:rPr>
          <w:noProof/>
          <w:lang w:val="en-IN" w:eastAsia="en-IN"/>
        </w:rPr>
        <w:drawing>
          <wp:inline distT="0" distB="0" distL="0" distR="0" wp14:anchorId="53932058" wp14:editId="4716EFF6">
            <wp:extent cx="4514850" cy="1743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G.jpeg"/>
                    <pic:cNvPicPr/>
                  </pic:nvPicPr>
                  <pic:blipFill>
                    <a:blip r:embed="rId8">
                      <a:extLst>
                        <a:ext uri="{28A0092B-C50C-407E-A947-70E740481C1C}">
                          <a14:useLocalDpi xmlns:a14="http://schemas.microsoft.com/office/drawing/2010/main" val="0"/>
                        </a:ext>
                      </a:extLst>
                    </a:blip>
                    <a:stretch>
                      <a:fillRect/>
                    </a:stretch>
                  </pic:blipFill>
                  <pic:spPr>
                    <a:xfrm>
                      <a:off x="0" y="0"/>
                      <a:ext cx="4514850" cy="1743075"/>
                    </a:xfrm>
                    <a:prstGeom prst="rect">
                      <a:avLst/>
                    </a:prstGeom>
                  </pic:spPr>
                </pic:pic>
              </a:graphicData>
            </a:graphic>
          </wp:inline>
        </w:drawing>
      </w:r>
      <w:r w:rsidR="00D53B9E">
        <w:rPr>
          <w:noProof/>
          <w:lang w:bidi="mr-IN"/>
        </w:rPr>
        <w:t xml:space="preserve">    </w:t>
      </w:r>
    </w:p>
    <w:p w14:paraId="0A03E37E" w14:textId="6454AA6A" w:rsidR="002A5786" w:rsidRDefault="007F1A9D">
      <w:pPr>
        <w:rPr>
          <w:noProof/>
          <w:lang w:bidi="mr-IN"/>
        </w:rPr>
      </w:pPr>
      <w:r w:rsidRPr="000D0D50">
        <w:rPr>
          <w:b/>
          <w:bCs/>
          <w:noProof/>
          <w:lang w:bidi="mr-IN"/>
        </w:rPr>
        <w:t>Figure 1</w:t>
      </w:r>
      <w:r>
        <w:rPr>
          <w:noProof/>
          <w:lang w:bidi="mr-IN"/>
        </w:rPr>
        <w:t>: 12 lead</w:t>
      </w:r>
      <w:r w:rsidR="002A5786">
        <w:rPr>
          <w:noProof/>
          <w:lang w:bidi="mr-IN"/>
        </w:rPr>
        <w:t xml:space="preserve"> standardised ECG : Normal sinus Rhytm ,no Significant ST T changes </w:t>
      </w:r>
      <w:r>
        <w:rPr>
          <w:noProof/>
          <w:lang w:bidi="mr-IN"/>
        </w:rPr>
        <w:t xml:space="preserve"> </w:t>
      </w:r>
      <w:r w:rsidR="00D53B9E">
        <w:rPr>
          <w:noProof/>
          <w:lang w:bidi="mr-IN"/>
        </w:rPr>
        <w:t xml:space="preserve">     </w:t>
      </w:r>
      <w:r>
        <w:rPr>
          <w:noProof/>
          <w:lang w:val="en-IN" w:eastAsia="en-IN"/>
        </w:rPr>
        <w:drawing>
          <wp:inline distT="0" distB="0" distL="0" distR="0" wp14:anchorId="0FB7A473" wp14:editId="44BD7D8F">
            <wp:extent cx="1424940" cy="15811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sad PFO 1.JPG"/>
                    <pic:cNvPicPr/>
                  </pic:nvPicPr>
                  <pic:blipFill>
                    <a:blip r:embed="rId9">
                      <a:extLst>
                        <a:ext uri="{28A0092B-C50C-407E-A947-70E740481C1C}">
                          <a14:useLocalDpi xmlns:a14="http://schemas.microsoft.com/office/drawing/2010/main" val="0"/>
                        </a:ext>
                      </a:extLst>
                    </a:blip>
                    <a:stretch>
                      <a:fillRect/>
                    </a:stretch>
                  </pic:blipFill>
                  <pic:spPr>
                    <a:xfrm>
                      <a:off x="0" y="0"/>
                      <a:ext cx="1462283" cy="1622587"/>
                    </a:xfrm>
                    <a:prstGeom prst="rect">
                      <a:avLst/>
                    </a:prstGeom>
                  </pic:spPr>
                </pic:pic>
              </a:graphicData>
            </a:graphic>
          </wp:inline>
        </w:drawing>
      </w:r>
      <w:r w:rsidR="00D53B9E">
        <w:rPr>
          <w:noProof/>
          <w:lang w:bidi="mr-IN"/>
        </w:rPr>
        <w:t xml:space="preserve">    </w:t>
      </w:r>
      <w:r w:rsidR="008268E3">
        <w:rPr>
          <w:noProof/>
          <w:lang w:val="en-IN" w:eastAsia="en-IN"/>
        </w:rPr>
        <w:drawing>
          <wp:inline distT="0" distB="0" distL="0" distR="0" wp14:anchorId="21CB49C2" wp14:editId="27C72532">
            <wp:extent cx="1714500" cy="1552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sad PFO 3.JPG"/>
                    <pic:cNvPicPr/>
                  </pic:nvPicPr>
                  <pic:blipFill>
                    <a:blip r:embed="rId10">
                      <a:extLst>
                        <a:ext uri="{28A0092B-C50C-407E-A947-70E740481C1C}">
                          <a14:useLocalDpi xmlns:a14="http://schemas.microsoft.com/office/drawing/2010/main" val="0"/>
                        </a:ext>
                      </a:extLst>
                    </a:blip>
                    <a:stretch>
                      <a:fillRect/>
                    </a:stretch>
                  </pic:blipFill>
                  <pic:spPr>
                    <a:xfrm>
                      <a:off x="0" y="0"/>
                      <a:ext cx="1714500" cy="1552575"/>
                    </a:xfrm>
                    <a:prstGeom prst="rect">
                      <a:avLst/>
                    </a:prstGeom>
                  </pic:spPr>
                </pic:pic>
              </a:graphicData>
            </a:graphic>
          </wp:inline>
        </w:drawing>
      </w:r>
      <w:r w:rsidR="002A5786">
        <w:rPr>
          <w:noProof/>
          <w:lang w:bidi="mr-IN"/>
        </w:rPr>
        <w:t xml:space="preserve">       </w:t>
      </w:r>
      <w:r w:rsidR="008268E3">
        <w:rPr>
          <w:noProof/>
          <w:lang w:val="en-IN" w:eastAsia="en-IN"/>
        </w:rPr>
        <w:drawing>
          <wp:inline distT="0" distB="0" distL="0" distR="0" wp14:anchorId="42289849" wp14:editId="5F59DFF7">
            <wp:extent cx="1838325" cy="155194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sad PFO 2.JPG"/>
                    <pic:cNvPicPr/>
                  </pic:nvPicPr>
                  <pic:blipFill>
                    <a:blip r:embed="rId11">
                      <a:extLst>
                        <a:ext uri="{28A0092B-C50C-407E-A947-70E740481C1C}">
                          <a14:useLocalDpi xmlns:a14="http://schemas.microsoft.com/office/drawing/2010/main" val="0"/>
                        </a:ext>
                      </a:extLst>
                    </a:blip>
                    <a:stretch>
                      <a:fillRect/>
                    </a:stretch>
                  </pic:blipFill>
                  <pic:spPr>
                    <a:xfrm>
                      <a:off x="0" y="0"/>
                      <a:ext cx="1839794" cy="1553180"/>
                    </a:xfrm>
                    <a:prstGeom prst="rect">
                      <a:avLst/>
                    </a:prstGeom>
                  </pic:spPr>
                </pic:pic>
              </a:graphicData>
            </a:graphic>
          </wp:inline>
        </w:drawing>
      </w:r>
      <w:r w:rsidR="002A5786">
        <w:rPr>
          <w:noProof/>
          <w:lang w:bidi="mr-IN"/>
        </w:rPr>
        <w:t xml:space="preserve">               ( a)                                                ( b)                                           </w:t>
      </w:r>
      <w:r w:rsidR="00116539">
        <w:rPr>
          <w:noProof/>
          <w:lang w:bidi="mr-IN"/>
        </w:rPr>
        <w:t xml:space="preserve"> </w:t>
      </w:r>
      <w:r w:rsidR="002A5786">
        <w:rPr>
          <w:noProof/>
          <w:lang w:bidi="mr-IN"/>
        </w:rPr>
        <w:t xml:space="preserve">         (c)</w:t>
      </w:r>
    </w:p>
    <w:p w14:paraId="0EC0984F" w14:textId="36101DAD" w:rsidR="002A5786" w:rsidRDefault="008268E3">
      <w:pPr>
        <w:rPr>
          <w:noProof/>
          <w:lang w:bidi="mr-IN"/>
        </w:rPr>
      </w:pPr>
      <w:r>
        <w:rPr>
          <w:noProof/>
          <w:lang w:val="en-IN" w:eastAsia="en-IN"/>
        </w:rPr>
        <w:lastRenderedPageBreak/>
        <w:drawing>
          <wp:inline distT="0" distB="0" distL="0" distR="0" wp14:anchorId="4CCF7539" wp14:editId="63AA385B">
            <wp:extent cx="1590675" cy="1704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SAD PFO 4.JPG"/>
                    <pic:cNvPicPr/>
                  </pic:nvPicPr>
                  <pic:blipFill>
                    <a:blip r:embed="rId12">
                      <a:extLst>
                        <a:ext uri="{28A0092B-C50C-407E-A947-70E740481C1C}">
                          <a14:useLocalDpi xmlns:a14="http://schemas.microsoft.com/office/drawing/2010/main" val="0"/>
                        </a:ext>
                      </a:extLst>
                    </a:blip>
                    <a:stretch>
                      <a:fillRect/>
                    </a:stretch>
                  </pic:blipFill>
                  <pic:spPr>
                    <a:xfrm>
                      <a:off x="0" y="0"/>
                      <a:ext cx="1590675" cy="1704975"/>
                    </a:xfrm>
                    <a:prstGeom prst="rect">
                      <a:avLst/>
                    </a:prstGeom>
                  </pic:spPr>
                </pic:pic>
              </a:graphicData>
            </a:graphic>
          </wp:inline>
        </w:drawing>
      </w:r>
      <w:r w:rsidR="002A5786">
        <w:rPr>
          <w:noProof/>
          <w:lang w:bidi="mr-IN"/>
        </w:rPr>
        <w:t xml:space="preserve">     </w:t>
      </w:r>
      <w:r w:rsidR="00116539">
        <w:rPr>
          <w:noProof/>
          <w:lang w:val="en-IN" w:eastAsia="en-IN"/>
        </w:rPr>
        <w:drawing>
          <wp:inline distT="0" distB="0" distL="0" distR="0" wp14:anchorId="1D0E314D" wp14:editId="7B927AA5">
            <wp:extent cx="1752600" cy="1714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SAD PFO 5.JPG"/>
                    <pic:cNvPicPr/>
                  </pic:nvPicPr>
                  <pic:blipFill>
                    <a:blip r:embed="rId13">
                      <a:extLst>
                        <a:ext uri="{28A0092B-C50C-407E-A947-70E740481C1C}">
                          <a14:useLocalDpi xmlns:a14="http://schemas.microsoft.com/office/drawing/2010/main" val="0"/>
                        </a:ext>
                      </a:extLst>
                    </a:blip>
                    <a:stretch>
                      <a:fillRect/>
                    </a:stretch>
                  </pic:blipFill>
                  <pic:spPr>
                    <a:xfrm>
                      <a:off x="0" y="0"/>
                      <a:ext cx="1752600" cy="1714500"/>
                    </a:xfrm>
                    <a:prstGeom prst="rect">
                      <a:avLst/>
                    </a:prstGeom>
                  </pic:spPr>
                </pic:pic>
              </a:graphicData>
            </a:graphic>
          </wp:inline>
        </w:drawing>
      </w:r>
      <w:r w:rsidR="00116539">
        <w:rPr>
          <w:noProof/>
          <w:lang w:bidi="mr-IN"/>
        </w:rPr>
        <w:t xml:space="preserve">     </w:t>
      </w:r>
      <w:r w:rsidR="00116539">
        <w:rPr>
          <w:noProof/>
          <w:lang w:val="en-IN" w:eastAsia="en-IN"/>
        </w:rPr>
        <w:drawing>
          <wp:inline distT="0" distB="0" distL="0" distR="0" wp14:anchorId="6798F611" wp14:editId="6EDBD76D">
            <wp:extent cx="1619250" cy="1714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SAD PFO 6.JPG"/>
                    <pic:cNvPicPr/>
                  </pic:nvPicPr>
                  <pic:blipFill>
                    <a:blip r:embed="rId14">
                      <a:extLst>
                        <a:ext uri="{28A0092B-C50C-407E-A947-70E740481C1C}">
                          <a14:useLocalDpi xmlns:a14="http://schemas.microsoft.com/office/drawing/2010/main" val="0"/>
                        </a:ext>
                      </a:extLst>
                    </a:blip>
                    <a:stretch>
                      <a:fillRect/>
                    </a:stretch>
                  </pic:blipFill>
                  <pic:spPr>
                    <a:xfrm>
                      <a:off x="0" y="0"/>
                      <a:ext cx="1619250" cy="1714500"/>
                    </a:xfrm>
                    <a:prstGeom prst="rect">
                      <a:avLst/>
                    </a:prstGeom>
                  </pic:spPr>
                </pic:pic>
              </a:graphicData>
            </a:graphic>
          </wp:inline>
        </w:drawing>
      </w:r>
      <w:r w:rsidR="002A5786">
        <w:rPr>
          <w:noProof/>
          <w:lang w:bidi="mr-IN"/>
        </w:rPr>
        <w:t xml:space="preserve"> (d)                                                          </w:t>
      </w:r>
      <w:r w:rsidR="00116539">
        <w:rPr>
          <w:noProof/>
          <w:lang w:bidi="mr-IN"/>
        </w:rPr>
        <w:t>(</w:t>
      </w:r>
      <w:r w:rsidR="002A5786">
        <w:rPr>
          <w:noProof/>
          <w:lang w:bidi="mr-IN"/>
        </w:rPr>
        <w:t xml:space="preserve"> </w:t>
      </w:r>
      <w:r w:rsidR="00116539">
        <w:rPr>
          <w:noProof/>
          <w:lang w:bidi="mr-IN"/>
        </w:rPr>
        <w:t>e)                                                            ( f)</w:t>
      </w:r>
    </w:p>
    <w:p w14:paraId="1CAD15B9" w14:textId="1B8166BF" w:rsidR="00D53B9E" w:rsidRDefault="00D53B9E">
      <w:pPr>
        <w:rPr>
          <w:noProof/>
          <w:lang w:bidi="mr-IN"/>
        </w:rPr>
      </w:pPr>
    </w:p>
    <w:p w14:paraId="6E1E7353" w14:textId="73D315B4" w:rsidR="00116539" w:rsidRDefault="00116539">
      <w:pPr>
        <w:rPr>
          <w:noProof/>
          <w:lang w:bidi="mr-IN"/>
        </w:rPr>
      </w:pPr>
      <w:r>
        <w:rPr>
          <w:noProof/>
          <w:lang w:bidi="mr-IN"/>
        </w:rPr>
        <w:t xml:space="preserve">        </w:t>
      </w:r>
    </w:p>
    <w:p w14:paraId="276F9938" w14:textId="75D8010B" w:rsidR="002A5786" w:rsidRPr="002A5786" w:rsidRDefault="002A5786" w:rsidP="002A5786">
      <w:pPr>
        <w:rPr>
          <w:noProof/>
          <w:lang w:val="en-IN" w:bidi="mr-IN"/>
        </w:rPr>
      </w:pPr>
      <w:r w:rsidRPr="002A5786">
        <w:rPr>
          <w:b/>
          <w:bCs/>
          <w:noProof/>
          <w:lang w:val="en-IN" w:bidi="mr-IN"/>
        </w:rPr>
        <w:t>Figure 2</w:t>
      </w:r>
      <w:r w:rsidR="00116539">
        <w:rPr>
          <w:b/>
          <w:bCs/>
          <w:noProof/>
          <w:lang w:val="en-IN" w:bidi="mr-IN"/>
        </w:rPr>
        <w:t>a</w:t>
      </w:r>
      <w:r w:rsidRPr="002A5786">
        <w:rPr>
          <w:b/>
          <w:bCs/>
          <w:noProof/>
          <w:lang w:val="en-IN" w:bidi="mr-IN"/>
        </w:rPr>
        <w:t>:</w:t>
      </w:r>
      <w:r w:rsidRPr="002A5786">
        <w:rPr>
          <w:noProof/>
          <w:lang w:val="en-IN" w:bidi="mr-IN"/>
        </w:rPr>
        <w:t xml:space="preserve"> Fluoroscopic image showing catheter positioning across the interatrial septum.</w:t>
      </w:r>
    </w:p>
    <w:p w14:paraId="7F55BA4E" w14:textId="1A48149B" w:rsidR="002A5786" w:rsidRPr="002A5786" w:rsidRDefault="002A5786" w:rsidP="002A5786">
      <w:pPr>
        <w:rPr>
          <w:noProof/>
          <w:lang w:val="en-IN" w:bidi="mr-IN"/>
        </w:rPr>
      </w:pPr>
      <w:r w:rsidRPr="002A5786">
        <w:rPr>
          <w:b/>
          <w:bCs/>
          <w:noProof/>
          <w:lang w:val="en-IN" w:bidi="mr-IN"/>
        </w:rPr>
        <w:t>Figure 2</w:t>
      </w:r>
      <w:r w:rsidR="00116539">
        <w:rPr>
          <w:b/>
          <w:bCs/>
          <w:noProof/>
          <w:lang w:val="en-IN" w:bidi="mr-IN"/>
        </w:rPr>
        <w:t>b</w:t>
      </w:r>
      <w:r w:rsidRPr="002A5786">
        <w:rPr>
          <w:b/>
          <w:bCs/>
          <w:noProof/>
          <w:lang w:val="en-IN" w:bidi="mr-IN"/>
        </w:rPr>
        <w:t>:</w:t>
      </w:r>
      <w:r w:rsidRPr="002A5786">
        <w:rPr>
          <w:noProof/>
          <w:lang w:val="en-IN" w:bidi="mr-IN"/>
        </w:rPr>
        <w:t xml:space="preserve"> </w:t>
      </w:r>
      <w:r w:rsidR="00116539" w:rsidRPr="00116539">
        <w:rPr>
          <w:noProof/>
          <w:lang w:bidi="mr-IN"/>
        </w:rPr>
        <w:t>The catheter is advanced into the right atrium</w:t>
      </w:r>
      <w:r w:rsidR="000D0D50">
        <w:rPr>
          <w:noProof/>
          <w:lang w:bidi="mr-IN"/>
        </w:rPr>
        <w:t xml:space="preserve"> into LA through PFO </w:t>
      </w:r>
      <w:r w:rsidR="00116539" w:rsidRPr="00116539">
        <w:rPr>
          <w:noProof/>
          <w:lang w:bidi="mr-IN"/>
        </w:rPr>
        <w:t xml:space="preserve"> under fluoroscopic guidance.</w:t>
      </w:r>
      <w:r w:rsidR="00116539">
        <w:rPr>
          <w:noProof/>
          <w:lang w:bidi="mr-IN"/>
        </w:rPr>
        <w:t xml:space="preserve"> </w:t>
      </w:r>
    </w:p>
    <w:p w14:paraId="16D92EAF" w14:textId="7AACEED1" w:rsidR="002A5786" w:rsidRPr="002A5786" w:rsidRDefault="002A5786" w:rsidP="002A5786">
      <w:pPr>
        <w:rPr>
          <w:noProof/>
          <w:lang w:val="en-IN" w:bidi="mr-IN"/>
        </w:rPr>
      </w:pPr>
      <w:r w:rsidRPr="002A5786">
        <w:rPr>
          <w:b/>
          <w:bCs/>
          <w:noProof/>
          <w:lang w:val="en-IN" w:bidi="mr-IN"/>
        </w:rPr>
        <w:t>Figure 2</w:t>
      </w:r>
      <w:r w:rsidR="00116539">
        <w:rPr>
          <w:b/>
          <w:bCs/>
          <w:noProof/>
          <w:lang w:val="en-IN" w:bidi="mr-IN"/>
        </w:rPr>
        <w:t>c</w:t>
      </w:r>
      <w:r w:rsidRPr="002A5786">
        <w:rPr>
          <w:b/>
          <w:bCs/>
          <w:noProof/>
          <w:lang w:val="en-IN" w:bidi="mr-IN"/>
        </w:rPr>
        <w:t>:</w:t>
      </w:r>
      <w:r w:rsidRPr="002A5786">
        <w:rPr>
          <w:noProof/>
          <w:lang w:val="en-IN" w:bidi="mr-IN"/>
        </w:rPr>
        <w:t xml:space="preserve"> </w:t>
      </w:r>
      <w:r w:rsidR="00116539" w:rsidRPr="00116539">
        <w:rPr>
          <w:noProof/>
          <w:lang w:bidi="mr-IN"/>
        </w:rPr>
        <w:t>MPA passed through RA → LA → L</w:t>
      </w:r>
      <w:r w:rsidR="00116539">
        <w:rPr>
          <w:noProof/>
          <w:lang w:bidi="mr-IN"/>
        </w:rPr>
        <w:t>S</w:t>
      </w:r>
      <w:r w:rsidR="00116539" w:rsidRPr="00116539">
        <w:rPr>
          <w:noProof/>
          <w:lang w:bidi="mr-IN"/>
        </w:rPr>
        <w:t xml:space="preserve">PV and LA shoot taken </w:t>
      </w:r>
    </w:p>
    <w:p w14:paraId="465A2FB9" w14:textId="5752B073" w:rsidR="00116539" w:rsidRDefault="002A5786" w:rsidP="002A5786">
      <w:pPr>
        <w:rPr>
          <w:noProof/>
          <w:lang w:val="en-IN" w:bidi="mr-IN"/>
        </w:rPr>
      </w:pPr>
      <w:r w:rsidRPr="002A5786">
        <w:rPr>
          <w:b/>
          <w:bCs/>
          <w:noProof/>
          <w:lang w:val="en-IN" w:bidi="mr-IN"/>
        </w:rPr>
        <w:t>Figure 2</w:t>
      </w:r>
      <w:r w:rsidR="00116539">
        <w:rPr>
          <w:b/>
          <w:bCs/>
          <w:noProof/>
          <w:lang w:val="en-IN" w:bidi="mr-IN"/>
        </w:rPr>
        <w:t>d</w:t>
      </w:r>
      <w:r w:rsidRPr="002A5786">
        <w:rPr>
          <w:b/>
          <w:bCs/>
          <w:noProof/>
          <w:lang w:val="en-IN" w:bidi="mr-IN"/>
        </w:rPr>
        <w:t>:</w:t>
      </w:r>
      <w:r w:rsidRPr="002A5786">
        <w:rPr>
          <w:noProof/>
          <w:lang w:val="en-IN" w:bidi="mr-IN"/>
        </w:rPr>
        <w:t xml:space="preserve"> </w:t>
      </w:r>
      <w:r w:rsidR="00116539" w:rsidRPr="002A5786">
        <w:rPr>
          <w:noProof/>
          <w:lang w:val="en-IN" w:bidi="mr-IN"/>
        </w:rPr>
        <w:t xml:space="preserve">Balloon sizing of the PFO tunnel prior to device deployment </w:t>
      </w:r>
    </w:p>
    <w:p w14:paraId="30976E07" w14:textId="7FA258F8" w:rsidR="00116539" w:rsidRPr="000D0D50" w:rsidRDefault="00116539" w:rsidP="002A5786">
      <w:pPr>
        <w:rPr>
          <w:noProof/>
          <w:lang w:bidi="mr-IN"/>
        </w:rPr>
      </w:pPr>
      <w:r w:rsidRPr="002A5786">
        <w:rPr>
          <w:b/>
          <w:bCs/>
          <w:noProof/>
          <w:lang w:val="en-IN" w:bidi="mr-IN"/>
        </w:rPr>
        <w:t>Figure 2</w:t>
      </w:r>
      <w:r>
        <w:rPr>
          <w:b/>
          <w:bCs/>
          <w:noProof/>
          <w:lang w:val="en-IN" w:bidi="mr-IN"/>
        </w:rPr>
        <w:t>e</w:t>
      </w:r>
      <w:r w:rsidRPr="002A5786">
        <w:rPr>
          <w:b/>
          <w:bCs/>
          <w:noProof/>
          <w:lang w:val="en-IN" w:bidi="mr-IN"/>
        </w:rPr>
        <w:t>:</w:t>
      </w:r>
      <w:r w:rsidRPr="00116539">
        <w:rPr>
          <w:color w:val="000000"/>
        </w:rPr>
        <w:t xml:space="preserve"> </w:t>
      </w:r>
      <w:r w:rsidRPr="00116539">
        <w:rPr>
          <w:noProof/>
          <w:lang w:bidi="mr-IN"/>
        </w:rPr>
        <w:t xml:space="preserve">Now Amplatzer Superstiff wire passed into LA and sizing balloon inflated </w:t>
      </w:r>
      <w:r w:rsidRPr="00116539">
        <w:rPr>
          <w:b/>
          <w:bCs/>
          <w:noProof/>
          <w:lang w:bidi="mr-IN"/>
        </w:rPr>
        <w:t xml:space="preserve">COCOON Device No 30/30 </w:t>
      </w:r>
      <w:r w:rsidRPr="00116539">
        <w:rPr>
          <w:noProof/>
          <w:lang w:bidi="mr-IN"/>
        </w:rPr>
        <w:t>passed through delivery sheath and kept across PFO</w:t>
      </w:r>
    </w:p>
    <w:p w14:paraId="24E0BC3A" w14:textId="1A3C03F1" w:rsidR="002A5786" w:rsidRPr="002A5786" w:rsidRDefault="000D0D50" w:rsidP="002A5786">
      <w:pPr>
        <w:rPr>
          <w:noProof/>
          <w:lang w:val="en-IN" w:bidi="mr-IN"/>
        </w:rPr>
      </w:pPr>
      <w:r w:rsidRPr="002A5786">
        <w:rPr>
          <w:b/>
          <w:bCs/>
          <w:noProof/>
          <w:lang w:val="en-IN" w:bidi="mr-IN"/>
        </w:rPr>
        <w:t>Figure 2</w:t>
      </w:r>
      <w:r>
        <w:rPr>
          <w:b/>
          <w:bCs/>
          <w:noProof/>
          <w:lang w:val="en-IN" w:bidi="mr-IN"/>
        </w:rPr>
        <w:t xml:space="preserve"> f :</w:t>
      </w:r>
      <w:r w:rsidR="002A5786" w:rsidRPr="002A5786">
        <w:rPr>
          <w:noProof/>
          <w:lang w:val="en-IN" w:bidi="mr-IN"/>
        </w:rPr>
        <w:t xml:space="preserve">Final fluoroscopic image </w:t>
      </w:r>
      <w:r w:rsidRPr="000D0D50">
        <w:rPr>
          <w:noProof/>
          <w:lang w:bidi="mr-IN"/>
        </w:rPr>
        <w:t>Device position confirmed  Properly adhering to rims</w:t>
      </w:r>
      <w:r>
        <w:rPr>
          <w:noProof/>
          <w:lang w:bidi="mr-IN"/>
        </w:rPr>
        <w:t>.with fully opened  both disc .</w:t>
      </w:r>
    </w:p>
    <w:p w14:paraId="625A70D1" w14:textId="77777777" w:rsidR="002A5786" w:rsidRPr="002A5786" w:rsidRDefault="002A5786"/>
    <w:p w14:paraId="37272297" w14:textId="77777777" w:rsidR="00D53B9E" w:rsidRDefault="00D53B9E">
      <w:pPr>
        <w:rPr>
          <w:noProof/>
          <w:lang w:bidi="mr-IN"/>
        </w:rPr>
      </w:pPr>
    </w:p>
    <w:p w14:paraId="7366C029" w14:textId="77777777" w:rsidR="00D53B9E" w:rsidRDefault="00D53B9E">
      <w:pPr>
        <w:rPr>
          <w:noProof/>
          <w:lang w:bidi="mr-IN"/>
        </w:rPr>
      </w:pPr>
    </w:p>
    <w:p w14:paraId="47E6E5C5" w14:textId="3FEFEEB2" w:rsidR="008268E3" w:rsidRDefault="008268E3">
      <w:pPr>
        <w:rPr>
          <w:noProof/>
          <w:lang w:bidi="mr-IN"/>
        </w:rPr>
      </w:pPr>
      <w:r>
        <w:rPr>
          <w:noProof/>
          <w:lang w:val="en-IN" w:eastAsia="en-IN"/>
        </w:rPr>
        <w:lastRenderedPageBreak/>
        <w:drawing>
          <wp:inline distT="0" distB="0" distL="0" distR="0" wp14:anchorId="447FAD55" wp14:editId="71295E8F">
            <wp:extent cx="2609850" cy="2200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06 at 1.58.49 AM (1).jpeg"/>
                    <pic:cNvPicPr/>
                  </pic:nvPicPr>
                  <pic:blipFill>
                    <a:blip r:embed="rId15">
                      <a:extLst>
                        <a:ext uri="{28A0092B-C50C-407E-A947-70E740481C1C}">
                          <a14:useLocalDpi xmlns:a14="http://schemas.microsoft.com/office/drawing/2010/main" val="0"/>
                        </a:ext>
                      </a:extLst>
                    </a:blip>
                    <a:stretch>
                      <a:fillRect/>
                    </a:stretch>
                  </pic:blipFill>
                  <pic:spPr>
                    <a:xfrm>
                      <a:off x="0" y="0"/>
                      <a:ext cx="2609850" cy="2200275"/>
                    </a:xfrm>
                    <a:prstGeom prst="rect">
                      <a:avLst/>
                    </a:prstGeom>
                  </pic:spPr>
                </pic:pic>
              </a:graphicData>
            </a:graphic>
          </wp:inline>
        </w:drawing>
      </w:r>
      <w:r w:rsidR="000D0D50">
        <w:rPr>
          <w:noProof/>
          <w:lang w:bidi="mr-IN"/>
        </w:rPr>
        <w:t xml:space="preserve">       </w:t>
      </w:r>
      <w:r>
        <w:rPr>
          <w:noProof/>
          <w:lang w:val="en-IN" w:eastAsia="en-IN"/>
        </w:rPr>
        <w:drawing>
          <wp:inline distT="0" distB="0" distL="0" distR="0" wp14:anchorId="5B1D7521" wp14:editId="137F81F2">
            <wp:extent cx="2600325" cy="2215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06 at 1.58.49 AM.jpeg"/>
                    <pic:cNvPicPr/>
                  </pic:nvPicPr>
                  <pic:blipFill>
                    <a:blip r:embed="rId16">
                      <a:extLst>
                        <a:ext uri="{28A0092B-C50C-407E-A947-70E740481C1C}">
                          <a14:useLocalDpi xmlns:a14="http://schemas.microsoft.com/office/drawing/2010/main" val="0"/>
                        </a:ext>
                      </a:extLst>
                    </a:blip>
                    <a:stretch>
                      <a:fillRect/>
                    </a:stretch>
                  </pic:blipFill>
                  <pic:spPr>
                    <a:xfrm>
                      <a:off x="0" y="0"/>
                      <a:ext cx="2600906" cy="2215870"/>
                    </a:xfrm>
                    <a:prstGeom prst="rect">
                      <a:avLst/>
                    </a:prstGeom>
                  </pic:spPr>
                </pic:pic>
              </a:graphicData>
            </a:graphic>
          </wp:inline>
        </w:drawing>
      </w:r>
    </w:p>
    <w:p w14:paraId="33592D46" w14:textId="51266207" w:rsidR="00E96BE6" w:rsidRDefault="00E96BE6">
      <w:pPr>
        <w:rPr>
          <w:noProof/>
          <w:lang w:bidi="mr-IN"/>
        </w:rPr>
      </w:pPr>
      <w:r>
        <w:rPr>
          <w:noProof/>
          <w:lang w:bidi="mr-IN"/>
        </w:rPr>
        <w:t xml:space="preserve">                         (a)                                                                                 (b)</w:t>
      </w:r>
    </w:p>
    <w:p w14:paraId="2E1BDAFF" w14:textId="7FAD60FC" w:rsidR="00E96BE6" w:rsidRDefault="00E96BE6">
      <w:r w:rsidRPr="00C148B2">
        <w:rPr>
          <w:b/>
        </w:rPr>
        <w:t xml:space="preserve">Figure 3 a and </w:t>
      </w:r>
      <w:proofErr w:type="gramStart"/>
      <w:r w:rsidRPr="00C148B2">
        <w:rPr>
          <w:b/>
        </w:rPr>
        <w:t>b :</w:t>
      </w:r>
      <w:proofErr w:type="gramEnd"/>
      <w:r w:rsidRPr="00E96BE6">
        <w:t xml:space="preserve"> MRI revealed acute non-hemorrhagic infarcts in the right inferior frontal gyrus and right post-central gyrus. Diffusion-weighted imaging showed hyperintensity with corresponding ADC restriction, confirming acute ischemia. No blooming on GRE ruled out hemorrhage. FLAIR sequences demonstrated chronic small vessel ischemic changes (Fazekas grade 1)</w:t>
      </w:r>
    </w:p>
    <w:p w14:paraId="0009A098" w14:textId="280C2E15" w:rsidR="00D53B9E" w:rsidRDefault="00E96BE6">
      <w:r>
        <w:t xml:space="preserve">        </w:t>
      </w:r>
    </w:p>
    <w:p w14:paraId="0C629B86" w14:textId="214966F9" w:rsidR="00D53B9E" w:rsidRDefault="001A6957">
      <w:r>
        <w:t xml:space="preserve">    </w:t>
      </w:r>
    </w:p>
    <w:p w14:paraId="2A20A0DA" w14:textId="334900C9" w:rsidR="00B51534" w:rsidRDefault="00B51534">
      <w:r>
        <w:rPr>
          <w:noProof/>
          <w:lang w:val="en-IN" w:eastAsia="en-IN"/>
        </w:rPr>
        <w:drawing>
          <wp:inline distT="0" distB="0" distL="0" distR="0" wp14:anchorId="242F98EF" wp14:editId="5F27EC1A">
            <wp:extent cx="2295525" cy="2200275"/>
            <wp:effectExtent l="0" t="0" r="9525" b="9525"/>
            <wp:docPr id="123411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1940" name="Picture 123411940"/>
                    <pic:cNvPicPr/>
                  </pic:nvPicPr>
                  <pic:blipFill>
                    <a:blip r:embed="rId17"/>
                    <a:stretch>
                      <a:fillRect/>
                    </a:stretch>
                  </pic:blipFill>
                  <pic:spPr>
                    <a:xfrm>
                      <a:off x="0" y="0"/>
                      <a:ext cx="2295525" cy="2200275"/>
                    </a:xfrm>
                    <a:prstGeom prst="rect">
                      <a:avLst/>
                    </a:prstGeom>
                  </pic:spPr>
                </pic:pic>
              </a:graphicData>
            </a:graphic>
          </wp:inline>
        </w:drawing>
      </w:r>
      <w:r w:rsidR="00E96BE6">
        <w:t xml:space="preserve">     </w:t>
      </w:r>
      <w:r>
        <w:rPr>
          <w:noProof/>
          <w:lang w:val="en-IN" w:eastAsia="en-IN"/>
        </w:rPr>
        <w:drawing>
          <wp:inline distT="0" distB="0" distL="0" distR="0" wp14:anchorId="303694EC" wp14:editId="1C3127C9">
            <wp:extent cx="2619375" cy="2193879"/>
            <wp:effectExtent l="0" t="0" r="0" b="0"/>
            <wp:docPr id="17280567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056771" name="Picture 1728056771"/>
                    <pic:cNvPicPr/>
                  </pic:nvPicPr>
                  <pic:blipFill>
                    <a:blip r:embed="rId18"/>
                    <a:stretch>
                      <a:fillRect/>
                    </a:stretch>
                  </pic:blipFill>
                  <pic:spPr>
                    <a:xfrm>
                      <a:off x="0" y="0"/>
                      <a:ext cx="2628874" cy="2201835"/>
                    </a:xfrm>
                    <a:prstGeom prst="rect">
                      <a:avLst/>
                    </a:prstGeom>
                  </pic:spPr>
                </pic:pic>
              </a:graphicData>
            </a:graphic>
          </wp:inline>
        </w:drawing>
      </w:r>
    </w:p>
    <w:p w14:paraId="7B14DC63" w14:textId="4B9AE860" w:rsidR="00E96BE6" w:rsidRDefault="00E96BE6" w:rsidP="00E96BE6">
      <w:pPr>
        <w:pStyle w:val="ListParagraph"/>
        <w:numPr>
          <w:ilvl w:val="0"/>
          <w:numId w:val="10"/>
        </w:numPr>
      </w:pPr>
      <w:r>
        <w:t xml:space="preserve">                                                                                (b)</w:t>
      </w:r>
    </w:p>
    <w:p w14:paraId="43641ADA" w14:textId="042EF48F" w:rsidR="00B51534" w:rsidRDefault="00B51534">
      <w:pPr>
        <w:rPr>
          <w:noProof/>
        </w:rPr>
      </w:pPr>
      <w:r>
        <w:rPr>
          <w:noProof/>
          <w:lang w:val="en-IN" w:eastAsia="en-IN"/>
        </w:rPr>
        <w:lastRenderedPageBreak/>
        <w:drawing>
          <wp:inline distT="0" distB="0" distL="0" distR="0" wp14:anchorId="63CD55EA" wp14:editId="5D325482">
            <wp:extent cx="2257425" cy="2419350"/>
            <wp:effectExtent l="0" t="0" r="9525" b="0"/>
            <wp:docPr id="208539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979" name="Picture 20853979"/>
                    <pic:cNvPicPr/>
                  </pic:nvPicPr>
                  <pic:blipFill>
                    <a:blip r:embed="rId19"/>
                    <a:stretch>
                      <a:fillRect/>
                    </a:stretch>
                  </pic:blipFill>
                  <pic:spPr>
                    <a:xfrm>
                      <a:off x="0" y="0"/>
                      <a:ext cx="2257425" cy="2419350"/>
                    </a:xfrm>
                    <a:prstGeom prst="rect">
                      <a:avLst/>
                    </a:prstGeom>
                  </pic:spPr>
                </pic:pic>
              </a:graphicData>
            </a:graphic>
          </wp:inline>
        </w:drawing>
      </w:r>
      <w:r w:rsidR="00E96BE6">
        <w:rPr>
          <w:noProof/>
        </w:rPr>
        <w:t xml:space="preserve">    </w:t>
      </w:r>
      <w:r>
        <w:rPr>
          <w:noProof/>
          <w:lang w:val="en-IN" w:eastAsia="en-IN"/>
        </w:rPr>
        <w:drawing>
          <wp:inline distT="0" distB="0" distL="0" distR="0" wp14:anchorId="0083E744" wp14:editId="74A9DB0A">
            <wp:extent cx="2667000" cy="2409825"/>
            <wp:effectExtent l="0" t="0" r="0" b="9525"/>
            <wp:docPr id="15484986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498699" name="Picture 1548498699"/>
                    <pic:cNvPicPr/>
                  </pic:nvPicPr>
                  <pic:blipFill>
                    <a:blip r:embed="rId20"/>
                    <a:stretch>
                      <a:fillRect/>
                    </a:stretch>
                  </pic:blipFill>
                  <pic:spPr>
                    <a:xfrm>
                      <a:off x="0" y="0"/>
                      <a:ext cx="2708355" cy="2447192"/>
                    </a:xfrm>
                    <a:prstGeom prst="rect">
                      <a:avLst/>
                    </a:prstGeom>
                  </pic:spPr>
                </pic:pic>
              </a:graphicData>
            </a:graphic>
          </wp:inline>
        </w:drawing>
      </w:r>
    </w:p>
    <w:p w14:paraId="5072D6F0" w14:textId="57C4ED78" w:rsidR="00E96BE6" w:rsidRDefault="00E96BE6">
      <w:pPr>
        <w:rPr>
          <w:noProof/>
        </w:rPr>
      </w:pPr>
      <w:r>
        <w:rPr>
          <w:noProof/>
        </w:rPr>
        <w:t xml:space="preserve">                    (c)                                                                     (d)</w:t>
      </w:r>
    </w:p>
    <w:p w14:paraId="030BB1E1" w14:textId="6ECCB0A4" w:rsidR="00E96BE6" w:rsidRDefault="00E96BE6">
      <w:r w:rsidRPr="00C148B2">
        <w:rPr>
          <w:b/>
        </w:rPr>
        <w:t>Figure 4 a and b ):</w:t>
      </w:r>
      <w:r>
        <w:t xml:space="preserve"> TEE image showing PFO of 4 mm with shunt across PFO </w:t>
      </w:r>
    </w:p>
    <w:p w14:paraId="4158AFEA" w14:textId="23EE6012" w:rsidR="00D92836" w:rsidRDefault="0028673B">
      <w:r>
        <w:t xml:space="preserve">  </w:t>
      </w:r>
      <w:r w:rsidRPr="00C148B2">
        <w:rPr>
          <w:b/>
        </w:rPr>
        <w:t>c and d )</w:t>
      </w:r>
      <w:r>
        <w:t xml:space="preserve"> TEE images post deployment of PFO device with no residual  shunt across device </w:t>
      </w:r>
    </w:p>
    <w:p w14:paraId="0CE9AC95" w14:textId="5351F792" w:rsidR="00C148B2" w:rsidRDefault="0028673B">
      <w:r>
        <w:t xml:space="preserve">                </w:t>
      </w:r>
      <w:r w:rsidR="0077470E">
        <w:object w:dxaOrig="1541" w:dyaOrig="1000" w14:anchorId="6A04BE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7pt;height:167.5pt" o:ole="">
            <v:imagedata r:id="rId21" o:title=""/>
          </v:shape>
          <o:OLEObject Type="Embed" ProgID="Package" ShapeID="_x0000_i1026" DrawAspect="Icon" ObjectID="_1819453568" r:id="rId22"/>
        </w:object>
      </w:r>
    </w:p>
    <w:p w14:paraId="69E8A4BD" w14:textId="0AE84D49" w:rsidR="00D92836" w:rsidRDefault="00D92836">
      <w:r>
        <w:t xml:space="preserve">Video Legend1 : PFO  Bubble  contrast Study  </w:t>
      </w:r>
    </w:p>
    <w:p w14:paraId="64DA8FE0" w14:textId="77777777" w:rsidR="00D92836" w:rsidRDefault="00D92836"/>
    <w:p w14:paraId="6CE9D315" w14:textId="573454E0" w:rsidR="00D92836" w:rsidRDefault="00D92836">
      <w:r>
        <w:t xml:space="preserve">    </w:t>
      </w:r>
    </w:p>
    <w:p w14:paraId="2337CAA7" w14:textId="77777777" w:rsidR="00E96BE6" w:rsidRDefault="00E96BE6" w:rsidP="00E96BE6">
      <w:r w:rsidRPr="001A6957">
        <w:object w:dxaOrig="1771" w:dyaOrig="810" w14:anchorId="2BE7431B">
          <v:shape id="_x0000_i1027" type="#_x0000_t75" style="width:99pt;height:120.5pt" o:ole="">
            <v:imagedata r:id="rId23" o:title=""/>
          </v:shape>
          <o:OLEObject Type="Embed" ProgID="Package" ShapeID="_x0000_i1027" DrawAspect="Content" ObjectID="_1819453569" r:id="rId24"/>
        </w:object>
      </w:r>
      <w:r>
        <w:t xml:space="preserve">    </w:t>
      </w:r>
      <w:r w:rsidRPr="001A6957">
        <w:object w:dxaOrig="1726" w:dyaOrig="810" w14:anchorId="6206354E">
          <v:shape id="_x0000_i1028" type="#_x0000_t75" style="width:94.5pt;height:115.5pt" o:ole="">
            <v:imagedata r:id="rId25" o:title=""/>
          </v:shape>
          <o:OLEObject Type="Embed" ProgID="Package" ShapeID="_x0000_i1028" DrawAspect="Content" ObjectID="_1819453570" r:id="rId26"/>
        </w:object>
      </w:r>
    </w:p>
    <w:p w14:paraId="6321CF7C" w14:textId="475BB2B1" w:rsidR="00D92836" w:rsidRDefault="00D92836" w:rsidP="00E96BE6">
      <w:r>
        <w:t xml:space="preserve">Video Legend 2: MRI Loop </w:t>
      </w:r>
    </w:p>
    <w:p w14:paraId="4177CC59" w14:textId="2AAD87AE" w:rsidR="00E96BE6" w:rsidRDefault="00E96BE6"/>
    <w:p w14:paraId="3DF50EEA" w14:textId="6574FD01" w:rsidR="00D53B9E" w:rsidRPr="00C501CD" w:rsidRDefault="00C501CD">
      <w:pPr>
        <w:rPr>
          <w:b/>
        </w:rPr>
      </w:pPr>
      <w:r w:rsidRPr="00C501CD">
        <w:rPr>
          <w:b/>
        </w:rPr>
        <w:t>Discussion</w:t>
      </w:r>
    </w:p>
    <w:p w14:paraId="3AFD8FE2" w14:textId="77777777" w:rsidR="00C501CD" w:rsidRDefault="00C501CD" w:rsidP="00C501CD">
      <w:pPr>
        <w:pStyle w:val="NormalWeb"/>
      </w:pPr>
      <w:r>
        <w:t>This case underscores the rarity of PFO-related cortical stroke in young adults. Although PFO is common, only a small fraction of cryptogenic strokes are directly attributable to paradoxical embolism [9,10]. Our patient’s neurological presentation was unusual, with dysarthria and cranial nerve involvement without hemiparesis, which is seldom described [6–8].</w:t>
      </w:r>
    </w:p>
    <w:p w14:paraId="2C859331" w14:textId="77777777" w:rsidR="00C501CD" w:rsidRDefault="00C501CD" w:rsidP="00C501CD">
      <w:pPr>
        <w:pStyle w:val="NormalWeb"/>
      </w:pPr>
      <w:r>
        <w:t xml:space="preserve">Small PFOs can still be pathogenic when </w:t>
      </w:r>
      <w:proofErr w:type="spellStart"/>
      <w:r>
        <w:t>provokable</w:t>
      </w:r>
      <w:proofErr w:type="spellEnd"/>
      <w:r>
        <w:t xml:space="preserve"> right-to-left shunting occurs, particularly during Valsalva [11–12]. Multiple randomized controlled trials (RESPECT, CLOSE, REDUCE) have shown that device closure significantly reduces the risk of recurrent stroke compared to medical therapy in carefully selected patients [2,4,12]. More recently, guideline recommendations have reinforced that PFO closure should be considered in patients aged 18–60 years with cryptogenic stroke and high-risk anatomical features, ideally within six months of the index event [13]. Furthermore, emerging data suggest that percutaneous closure may also be safe and beneficial in selected older patients, although randomized trial evidence remains limited [14].</w:t>
      </w:r>
    </w:p>
    <w:p w14:paraId="1B6C7A39" w14:textId="77777777" w:rsidR="00C501CD" w:rsidRDefault="00C501CD" w:rsidP="00C501CD">
      <w:pPr>
        <w:pStyle w:val="NormalWeb"/>
      </w:pPr>
      <w:r>
        <w:t xml:space="preserve">The Cocoon </w:t>
      </w:r>
      <w:proofErr w:type="spellStart"/>
      <w:r>
        <w:t>occluder</w:t>
      </w:r>
      <w:proofErr w:type="spellEnd"/>
      <w:r>
        <w:t xml:space="preserve">, used in this patient, features a platinum nanocoating on nitinol mesh, designed to reduce nickel ion release and enhance biocompatibility. Its flexible double-disc design provides stable deployment with a low risk of erosion or arrhythmia. Post-closure complications such as atrial fibrillation are well documented, yet our patient remained free of arrhythmia during hospitalization and follow-up, while demonstrating neurological improvement. Recent </w:t>
      </w:r>
      <w:proofErr w:type="spellStart"/>
      <w:r>
        <w:t>multicenter</w:t>
      </w:r>
      <w:proofErr w:type="spellEnd"/>
      <w:r>
        <w:t xml:space="preserve"> data further support this safety profile, with 99.2% complete occlusion at six months and negligible complication rates using the Cocoon device [15].</w:t>
      </w:r>
    </w:p>
    <w:p w14:paraId="2B9991C2" w14:textId="46291B4F" w:rsidR="00C501CD" w:rsidRDefault="00C501CD" w:rsidP="00C501CD"/>
    <w:p w14:paraId="320983E3" w14:textId="77777777" w:rsidR="00C501CD" w:rsidRDefault="00C501CD" w:rsidP="00C501CD"/>
    <w:p w14:paraId="3D798A08" w14:textId="77777777" w:rsidR="00C501CD" w:rsidRDefault="00C501CD" w:rsidP="00C501CD">
      <w:pPr>
        <w:pStyle w:val="Heading3"/>
      </w:pPr>
      <w:r>
        <w:rPr>
          <w:rStyle w:val="Strong"/>
          <w:b/>
          <w:bCs/>
        </w:rPr>
        <w:lastRenderedPageBreak/>
        <w:t>Conclusion</w:t>
      </w:r>
    </w:p>
    <w:p w14:paraId="7AB1247A" w14:textId="77777777" w:rsidR="00C501CD" w:rsidRDefault="00C501CD" w:rsidP="00C501CD">
      <w:pPr>
        <w:pStyle w:val="NormalWeb"/>
      </w:pPr>
      <w:r>
        <w:t>PFO is common, but PFO-related stroke in young adults is rare, and even rarer are presentations limited to dysarthria and cranial nerve involvement. This case illustrates that small PFOs with dynamic right-to-left shunting can be pathogenic. Comprehensive etiological evaluation, including exclusion of other causes, is essential in young stroke. Timely transcatheter closure with the Cocoon device resulted in excellent outcomes, including neurological recovery and absence of arrhythmia. This report adds to the growing evidence supporting PFO closure in carefully selected patients with cryptogenic stroke.</w:t>
      </w:r>
    </w:p>
    <w:p w14:paraId="6F5F67FA" w14:textId="77777777" w:rsidR="005F7727" w:rsidRPr="005F7727" w:rsidRDefault="005F7727" w:rsidP="005F7727">
      <w:pPr>
        <w:rPr>
          <w:rFonts w:ascii="Calibri" w:eastAsia="Calibri" w:hAnsi="Calibri" w:cs="Times New Roman"/>
          <w:b/>
          <w:sz w:val="28"/>
        </w:rPr>
      </w:pPr>
      <w:r w:rsidRPr="005F7727">
        <w:rPr>
          <w:rFonts w:ascii="Calibri" w:eastAsia="Calibri" w:hAnsi="Calibri" w:cs="Times New Roman"/>
          <w:b/>
          <w:sz w:val="28"/>
          <w:highlight w:val="yellow"/>
        </w:rPr>
        <w:t>Consent</w:t>
      </w:r>
      <w:r w:rsidRPr="005F7727">
        <w:rPr>
          <w:rFonts w:ascii="Calibri" w:eastAsia="Calibri" w:hAnsi="Calibri" w:cs="Times New Roman"/>
          <w:b/>
          <w:sz w:val="28"/>
        </w:rPr>
        <w:t xml:space="preserve"> </w:t>
      </w:r>
    </w:p>
    <w:p w14:paraId="3A24E1E0" w14:textId="77777777" w:rsidR="005F7727" w:rsidRPr="005F7727" w:rsidRDefault="005F7727" w:rsidP="005F7727">
      <w:pPr>
        <w:rPr>
          <w:rFonts w:ascii="Calibri" w:eastAsia="Calibri" w:hAnsi="Calibri" w:cs="Times New Roman"/>
        </w:rPr>
      </w:pPr>
      <w:r w:rsidRPr="005F7727">
        <w:rPr>
          <w:rFonts w:ascii="Calibri" w:eastAsia="Calibri" w:hAnsi="Calibri" w:cs="Times New Roman"/>
        </w:rPr>
        <w:t>As per international standards or university standards, patient(s) written consent has been collected and preserved by the author</w:t>
      </w:r>
      <w:r w:rsidRPr="005F7727">
        <w:rPr>
          <w:rFonts w:ascii="Calibri" w:eastAsia="Calibri" w:hAnsi="Calibri" w:cs="Times New Roman"/>
          <w:highlight w:val="yellow"/>
        </w:rPr>
        <w:t>(s).</w:t>
      </w:r>
    </w:p>
    <w:p w14:paraId="779406A2" w14:textId="77777777" w:rsidR="005F7727" w:rsidRPr="00072730" w:rsidRDefault="005F7727" w:rsidP="005F7727">
      <w:pPr>
        <w:rPr>
          <w:rFonts w:eastAsiaTheme="minorHAnsi"/>
          <w:b/>
          <w:sz w:val="28"/>
        </w:rPr>
      </w:pPr>
      <w:r w:rsidRPr="008E7B85">
        <w:rPr>
          <w:rFonts w:eastAsiaTheme="minorHAnsi"/>
          <w:b/>
          <w:sz w:val="28"/>
        </w:rPr>
        <w:t>Ethical Approval:</w:t>
      </w:r>
    </w:p>
    <w:p w14:paraId="04CF6194" w14:textId="77777777" w:rsidR="005F7727" w:rsidRPr="008E7B85" w:rsidRDefault="005F7727" w:rsidP="005F7727">
      <w:r w:rsidRPr="008E7B85">
        <w:t>As per international standard</w:t>
      </w:r>
      <w:r>
        <w:t>s</w:t>
      </w:r>
      <w:r w:rsidRPr="008E7B85">
        <w:t xml:space="preserve"> or university standard</w:t>
      </w:r>
      <w:r>
        <w:t>s</w:t>
      </w:r>
      <w:r w:rsidRPr="008E7B85">
        <w:t xml:space="preserve"> written ethical approval has been collected and preserved by the author(s).</w:t>
      </w:r>
    </w:p>
    <w:p w14:paraId="6C2AD5B3" w14:textId="77777777" w:rsidR="005F7727" w:rsidRDefault="005F7727" w:rsidP="00C501CD">
      <w:pPr>
        <w:pStyle w:val="NormalWeb"/>
      </w:pPr>
    </w:p>
    <w:p w14:paraId="78D158C6" w14:textId="77777777" w:rsidR="00C501CD" w:rsidRDefault="00F110FC" w:rsidP="00C501CD">
      <w:r>
        <w:pict w14:anchorId="5D1CF55B">
          <v:rect id="_x0000_i1029" style="width:0;height:1.5pt" o:hralign="center" o:hrstd="t" o:hr="t" fillcolor="#a0a0a0" stroked="f"/>
        </w:pict>
      </w:r>
    </w:p>
    <w:p w14:paraId="124798E5" w14:textId="0FA71737" w:rsidR="00C501CD" w:rsidRDefault="00C501CD" w:rsidP="00C501CD">
      <w:pPr>
        <w:pStyle w:val="Heading3"/>
      </w:pPr>
    </w:p>
    <w:p w14:paraId="3E61BDE5" w14:textId="77777777" w:rsidR="00EA0C30" w:rsidRPr="00740879" w:rsidRDefault="00EA0C30" w:rsidP="00EA0C30">
      <w:pPr>
        <w:rPr>
          <w:highlight w:val="yellow"/>
        </w:rPr>
      </w:pPr>
      <w:r w:rsidRPr="00740879">
        <w:rPr>
          <w:highlight w:val="yellow"/>
        </w:rPr>
        <w:t>Disclaimer (Artificial intelligence)</w:t>
      </w:r>
    </w:p>
    <w:p w14:paraId="46BECD5D" w14:textId="77777777" w:rsidR="00EA0C30" w:rsidRPr="00740879" w:rsidRDefault="00EA0C30" w:rsidP="00EA0C30">
      <w:pPr>
        <w:rPr>
          <w:highlight w:val="yellow"/>
        </w:rPr>
      </w:pPr>
      <w:r w:rsidRPr="00740879">
        <w:rPr>
          <w:highlight w:val="yellow"/>
        </w:rPr>
        <w:t xml:space="preserve">Option 1: </w:t>
      </w:r>
    </w:p>
    <w:p w14:paraId="20D93417" w14:textId="77777777" w:rsidR="00EA0C30" w:rsidRPr="00740879" w:rsidRDefault="00EA0C30" w:rsidP="00EA0C30">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47B01EE3" w14:textId="77777777" w:rsidR="00EA0C30" w:rsidRPr="00740879" w:rsidRDefault="00EA0C30" w:rsidP="00EA0C30">
      <w:pPr>
        <w:rPr>
          <w:highlight w:val="yellow"/>
        </w:rPr>
      </w:pPr>
      <w:r w:rsidRPr="00740879">
        <w:rPr>
          <w:highlight w:val="yellow"/>
        </w:rPr>
        <w:t xml:space="preserve">Option 2: </w:t>
      </w:r>
    </w:p>
    <w:p w14:paraId="4A9DBDB6" w14:textId="77777777" w:rsidR="00EA0C30" w:rsidRPr="00740879" w:rsidRDefault="00EA0C30" w:rsidP="00EA0C30">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E92EBE8" w14:textId="4357759C" w:rsidR="00EA0C30" w:rsidRPr="00EC3D36" w:rsidRDefault="00EA0C30" w:rsidP="00EA0C30">
      <w:pPr>
        <w:rPr>
          <w:highlight w:val="yellow"/>
        </w:rPr>
      </w:pPr>
      <w:r w:rsidRPr="00740879">
        <w:rPr>
          <w:highlight w:val="yellow"/>
        </w:rPr>
        <w:t xml:space="preserve">Details of the AI usage are given </w:t>
      </w:r>
      <w:proofErr w:type="spellStart"/>
      <w:r w:rsidRPr="00740879">
        <w:rPr>
          <w:highlight w:val="yellow"/>
        </w:rPr>
        <w:t>below:</w:t>
      </w:r>
      <w:r w:rsidR="00EC3D36">
        <w:rPr>
          <w:highlight w:val="yellow"/>
        </w:rPr>
        <w:t>No</w:t>
      </w:r>
      <w:proofErr w:type="spellEnd"/>
      <w:r w:rsidR="00EC3D36">
        <w:rPr>
          <w:highlight w:val="yellow"/>
        </w:rPr>
        <w:t xml:space="preserve"> AI Technologies Used .</w:t>
      </w:r>
    </w:p>
    <w:p w14:paraId="52B32A11" w14:textId="77777777" w:rsidR="00EA0C30" w:rsidRDefault="00EA0C30"/>
    <w:p w14:paraId="1C8B9543" w14:textId="77777777" w:rsidR="00EC3D36" w:rsidRDefault="00EC3D36" w:rsidP="00EC3D36">
      <w:pPr>
        <w:pStyle w:val="Heading3"/>
      </w:pPr>
      <w:r>
        <w:rPr>
          <w:rStyle w:val="Strong"/>
          <w:b/>
          <w:bCs/>
        </w:rPr>
        <w:lastRenderedPageBreak/>
        <w:t>References</w:t>
      </w:r>
    </w:p>
    <w:p w14:paraId="31E9DDB1" w14:textId="77777777" w:rsidR="00EC3D36" w:rsidRDefault="00EC3D36" w:rsidP="00EC3D36">
      <w:pPr>
        <w:pStyle w:val="NormalWeb"/>
        <w:numPr>
          <w:ilvl w:val="0"/>
          <w:numId w:val="15"/>
        </w:numPr>
      </w:pPr>
      <w:r>
        <w:t xml:space="preserve">Hagen PT, Scholz DG, Edwards WD. Incidence and size of patent foramen </w:t>
      </w:r>
      <w:proofErr w:type="spellStart"/>
      <w:r>
        <w:t>ovale</w:t>
      </w:r>
      <w:proofErr w:type="spellEnd"/>
      <w:r>
        <w:t xml:space="preserve"> during the first 10 decades of life. </w:t>
      </w:r>
      <w:r>
        <w:rPr>
          <w:rStyle w:val="Emphasis"/>
        </w:rPr>
        <w:t>Mayo Clin Proc.</w:t>
      </w:r>
      <w:r>
        <w:t xml:space="preserve"> 1984;59:17–20.</w:t>
      </w:r>
    </w:p>
    <w:p w14:paraId="73EAAB89" w14:textId="77777777" w:rsidR="00EC3D36" w:rsidRDefault="00EC3D36" w:rsidP="00EC3D36">
      <w:pPr>
        <w:pStyle w:val="NormalWeb"/>
        <w:numPr>
          <w:ilvl w:val="0"/>
          <w:numId w:val="15"/>
        </w:numPr>
      </w:pPr>
      <w:r>
        <w:t xml:space="preserve">Saver JL. Cryptogenic stroke. </w:t>
      </w:r>
      <w:r>
        <w:rPr>
          <w:rStyle w:val="Emphasis"/>
        </w:rPr>
        <w:t xml:space="preserve">N </w:t>
      </w:r>
      <w:proofErr w:type="spellStart"/>
      <w:r>
        <w:rPr>
          <w:rStyle w:val="Emphasis"/>
        </w:rPr>
        <w:t>Engl</w:t>
      </w:r>
      <w:proofErr w:type="spellEnd"/>
      <w:r>
        <w:rPr>
          <w:rStyle w:val="Emphasis"/>
        </w:rPr>
        <w:t xml:space="preserve"> J Med.</w:t>
      </w:r>
      <w:r>
        <w:t xml:space="preserve"> 2016;374:2065–2074.</w:t>
      </w:r>
    </w:p>
    <w:p w14:paraId="0CC3979D" w14:textId="77777777" w:rsidR="00EC3D36" w:rsidRDefault="00EC3D36" w:rsidP="00EC3D36">
      <w:pPr>
        <w:pStyle w:val="NormalWeb"/>
        <w:numPr>
          <w:ilvl w:val="0"/>
          <w:numId w:val="15"/>
        </w:numPr>
      </w:pPr>
      <w:proofErr w:type="spellStart"/>
      <w:r>
        <w:t>Handke</w:t>
      </w:r>
      <w:proofErr w:type="spellEnd"/>
      <w:r>
        <w:t xml:space="preserve"> M, </w:t>
      </w:r>
      <w:proofErr w:type="spellStart"/>
      <w:r>
        <w:t>Harloff</w:t>
      </w:r>
      <w:proofErr w:type="spellEnd"/>
      <w:r>
        <w:t xml:space="preserve"> A, </w:t>
      </w:r>
      <w:proofErr w:type="spellStart"/>
      <w:r>
        <w:t>Olschewski</w:t>
      </w:r>
      <w:proofErr w:type="spellEnd"/>
      <w:r>
        <w:t xml:space="preserve"> M, Hetzel A, </w:t>
      </w:r>
      <w:proofErr w:type="spellStart"/>
      <w:r>
        <w:t>Geibel</w:t>
      </w:r>
      <w:proofErr w:type="spellEnd"/>
      <w:r>
        <w:t xml:space="preserve"> A. Patent foramen </w:t>
      </w:r>
      <w:proofErr w:type="spellStart"/>
      <w:r>
        <w:t>ovale</w:t>
      </w:r>
      <w:proofErr w:type="spellEnd"/>
      <w:r>
        <w:t xml:space="preserve"> and cryptogenic stroke in older patients. </w:t>
      </w:r>
      <w:r>
        <w:rPr>
          <w:rStyle w:val="Emphasis"/>
        </w:rPr>
        <w:t xml:space="preserve">N </w:t>
      </w:r>
      <w:proofErr w:type="spellStart"/>
      <w:r>
        <w:rPr>
          <w:rStyle w:val="Emphasis"/>
        </w:rPr>
        <w:t>Engl</w:t>
      </w:r>
      <w:proofErr w:type="spellEnd"/>
      <w:r>
        <w:rPr>
          <w:rStyle w:val="Emphasis"/>
        </w:rPr>
        <w:t xml:space="preserve"> J Med.</w:t>
      </w:r>
      <w:r>
        <w:t xml:space="preserve"> 2007;357:2262–2268.</w:t>
      </w:r>
    </w:p>
    <w:p w14:paraId="469C2ACA" w14:textId="77777777" w:rsidR="00EC3D36" w:rsidRDefault="00EC3D36" w:rsidP="00EC3D36">
      <w:pPr>
        <w:pStyle w:val="NormalWeb"/>
        <w:numPr>
          <w:ilvl w:val="0"/>
          <w:numId w:val="15"/>
        </w:numPr>
      </w:pPr>
      <w:proofErr w:type="spellStart"/>
      <w:r>
        <w:t>Søndergaard</w:t>
      </w:r>
      <w:proofErr w:type="spellEnd"/>
      <w:r>
        <w:t xml:space="preserve"> L, </w:t>
      </w:r>
      <w:proofErr w:type="spellStart"/>
      <w:r>
        <w:t>Kasner</w:t>
      </w:r>
      <w:proofErr w:type="spellEnd"/>
      <w:r>
        <w:t xml:space="preserve"> SE, Rhodes JF, et al. Patent Foramen </w:t>
      </w:r>
      <w:proofErr w:type="spellStart"/>
      <w:r>
        <w:t>Ovale</w:t>
      </w:r>
      <w:proofErr w:type="spellEnd"/>
      <w:r>
        <w:t xml:space="preserve"> Closure or Antiplatelet Therapy for Cryptogenic Stroke (REDUCE). </w:t>
      </w:r>
      <w:r>
        <w:rPr>
          <w:rStyle w:val="Emphasis"/>
        </w:rPr>
        <w:t xml:space="preserve">N </w:t>
      </w:r>
      <w:proofErr w:type="spellStart"/>
      <w:r>
        <w:rPr>
          <w:rStyle w:val="Emphasis"/>
        </w:rPr>
        <w:t>Engl</w:t>
      </w:r>
      <w:proofErr w:type="spellEnd"/>
      <w:r>
        <w:rPr>
          <w:rStyle w:val="Emphasis"/>
        </w:rPr>
        <w:t xml:space="preserve"> J Med.</w:t>
      </w:r>
      <w:r>
        <w:t xml:space="preserve"> 2017;377:1033–1042.</w:t>
      </w:r>
    </w:p>
    <w:p w14:paraId="70226F88" w14:textId="77777777" w:rsidR="00EC3D36" w:rsidRDefault="00EC3D36" w:rsidP="00EC3D36">
      <w:pPr>
        <w:pStyle w:val="NormalWeb"/>
        <w:numPr>
          <w:ilvl w:val="0"/>
          <w:numId w:val="15"/>
        </w:numPr>
      </w:pPr>
      <w:proofErr w:type="spellStart"/>
      <w:r>
        <w:t>Lechat</w:t>
      </w:r>
      <w:proofErr w:type="spellEnd"/>
      <w:r>
        <w:t xml:space="preserve"> P, Mas JL, </w:t>
      </w:r>
      <w:proofErr w:type="spellStart"/>
      <w:r>
        <w:t>Lascault</w:t>
      </w:r>
      <w:proofErr w:type="spellEnd"/>
      <w:r>
        <w:t xml:space="preserve"> G, et al. Prevalence of PFO in young patients with ischemic stroke. </w:t>
      </w:r>
      <w:r>
        <w:rPr>
          <w:rStyle w:val="Emphasis"/>
        </w:rPr>
        <w:t xml:space="preserve">N </w:t>
      </w:r>
      <w:proofErr w:type="spellStart"/>
      <w:r>
        <w:rPr>
          <w:rStyle w:val="Emphasis"/>
        </w:rPr>
        <w:t>Engl</w:t>
      </w:r>
      <w:proofErr w:type="spellEnd"/>
      <w:r>
        <w:rPr>
          <w:rStyle w:val="Emphasis"/>
        </w:rPr>
        <w:t xml:space="preserve"> J Med.</w:t>
      </w:r>
      <w:r>
        <w:t xml:space="preserve"> 1988;318:1148–1152.</w:t>
      </w:r>
    </w:p>
    <w:p w14:paraId="741DA0AD" w14:textId="77777777" w:rsidR="00EC3D36" w:rsidRDefault="00EC3D36" w:rsidP="00EC3D36">
      <w:pPr>
        <w:pStyle w:val="NormalWeb"/>
        <w:numPr>
          <w:ilvl w:val="0"/>
          <w:numId w:val="15"/>
        </w:numPr>
      </w:pPr>
      <w:proofErr w:type="spellStart"/>
      <w:r>
        <w:t>Bogousslavsky</w:t>
      </w:r>
      <w:proofErr w:type="spellEnd"/>
      <w:r>
        <w:t xml:space="preserve"> J, Caplan LR, editors. </w:t>
      </w:r>
      <w:r>
        <w:rPr>
          <w:rStyle w:val="Emphasis"/>
        </w:rPr>
        <w:t>Stroke Syndromes</w:t>
      </w:r>
      <w:r>
        <w:t xml:space="preserve">. Cambridge </w:t>
      </w:r>
      <w:proofErr w:type="spellStart"/>
      <w:r>
        <w:t>Univ</w:t>
      </w:r>
      <w:proofErr w:type="spellEnd"/>
      <w:r>
        <w:t xml:space="preserve"> Press; 2001.</w:t>
      </w:r>
    </w:p>
    <w:p w14:paraId="2FA9F8D2" w14:textId="77777777" w:rsidR="00EC3D36" w:rsidRDefault="00EC3D36" w:rsidP="00EC3D36">
      <w:pPr>
        <w:pStyle w:val="NormalWeb"/>
        <w:numPr>
          <w:ilvl w:val="0"/>
          <w:numId w:val="15"/>
        </w:numPr>
      </w:pPr>
      <w:proofErr w:type="spellStart"/>
      <w:r>
        <w:t>Nedeltchev</w:t>
      </w:r>
      <w:proofErr w:type="spellEnd"/>
      <w:r>
        <w:t xml:space="preserve"> K, et al. Ischemic stroke in young adults: predictors of outcome and recurrence. </w:t>
      </w:r>
      <w:r>
        <w:rPr>
          <w:rStyle w:val="Emphasis"/>
        </w:rPr>
        <w:t>Neurology.</w:t>
      </w:r>
      <w:r>
        <w:t xml:space="preserve"> 2005;65:1502–1508.</w:t>
      </w:r>
    </w:p>
    <w:p w14:paraId="26BB6064" w14:textId="77777777" w:rsidR="00EC3D36" w:rsidRDefault="00EC3D36" w:rsidP="00EC3D36">
      <w:pPr>
        <w:pStyle w:val="NormalWeb"/>
        <w:numPr>
          <w:ilvl w:val="0"/>
          <w:numId w:val="15"/>
        </w:numPr>
      </w:pPr>
      <w:proofErr w:type="spellStart"/>
      <w:r>
        <w:t>Putaala</w:t>
      </w:r>
      <w:proofErr w:type="spellEnd"/>
      <w:r>
        <w:t xml:space="preserve"> J, et al. Characteristics of ischemic stroke in young adults. </w:t>
      </w:r>
      <w:r>
        <w:rPr>
          <w:rStyle w:val="Emphasis"/>
        </w:rPr>
        <w:t>Stroke.</w:t>
      </w:r>
      <w:r>
        <w:t xml:space="preserve"> 2009;40:1190–1199.</w:t>
      </w:r>
    </w:p>
    <w:p w14:paraId="7D6D9678" w14:textId="77777777" w:rsidR="00EC3D36" w:rsidRDefault="00EC3D36" w:rsidP="00EC3D36">
      <w:pPr>
        <w:pStyle w:val="NormalWeb"/>
        <w:numPr>
          <w:ilvl w:val="0"/>
          <w:numId w:val="15"/>
        </w:numPr>
      </w:pPr>
      <w:r>
        <w:t xml:space="preserve">Kent DM, </w:t>
      </w:r>
      <w:proofErr w:type="spellStart"/>
      <w:r>
        <w:t>Ruthazer</w:t>
      </w:r>
      <w:proofErr w:type="spellEnd"/>
      <w:r>
        <w:t xml:space="preserve"> R, Weimar C, et al. An index to identify stroke-related vs incidental PFO in cryptogenic stroke. </w:t>
      </w:r>
      <w:r>
        <w:rPr>
          <w:rStyle w:val="Emphasis"/>
        </w:rPr>
        <w:t>Neurology.</w:t>
      </w:r>
      <w:r>
        <w:t xml:space="preserve"> 2013;81:619–625.</w:t>
      </w:r>
    </w:p>
    <w:p w14:paraId="703277FF" w14:textId="77777777" w:rsidR="00EC3D36" w:rsidRDefault="00EC3D36" w:rsidP="00EC3D36">
      <w:pPr>
        <w:pStyle w:val="NormalWeb"/>
        <w:numPr>
          <w:ilvl w:val="0"/>
          <w:numId w:val="15"/>
        </w:numPr>
      </w:pPr>
      <w:r>
        <w:t xml:space="preserve">Kent DM, et al. </w:t>
      </w:r>
      <w:proofErr w:type="spellStart"/>
      <w:r>
        <w:t>RoPE</w:t>
      </w:r>
      <w:proofErr w:type="spellEnd"/>
      <w:r>
        <w:t xml:space="preserve"> Study. </w:t>
      </w:r>
      <w:r>
        <w:rPr>
          <w:rStyle w:val="Emphasis"/>
        </w:rPr>
        <w:t>Trials.</w:t>
      </w:r>
      <w:r>
        <w:t xml:space="preserve"> 2011;12:185.</w:t>
      </w:r>
    </w:p>
    <w:p w14:paraId="5B325BF5" w14:textId="77777777" w:rsidR="00EC3D36" w:rsidRDefault="00EC3D36" w:rsidP="00EC3D36">
      <w:pPr>
        <w:pStyle w:val="NormalWeb"/>
        <w:numPr>
          <w:ilvl w:val="0"/>
          <w:numId w:val="15"/>
        </w:numPr>
      </w:pPr>
      <w:r>
        <w:t xml:space="preserve">Mas JL, </w:t>
      </w:r>
      <w:proofErr w:type="spellStart"/>
      <w:r>
        <w:t>Derumeaux</w:t>
      </w:r>
      <w:proofErr w:type="spellEnd"/>
      <w:r>
        <w:t xml:space="preserve"> G, </w:t>
      </w:r>
      <w:proofErr w:type="spellStart"/>
      <w:r>
        <w:t>Guillon</w:t>
      </w:r>
      <w:proofErr w:type="spellEnd"/>
      <w:r>
        <w:t xml:space="preserve"> B, et al. CLOSE trial. </w:t>
      </w:r>
      <w:r>
        <w:rPr>
          <w:rStyle w:val="Emphasis"/>
        </w:rPr>
        <w:t xml:space="preserve">N </w:t>
      </w:r>
      <w:proofErr w:type="spellStart"/>
      <w:r>
        <w:rPr>
          <w:rStyle w:val="Emphasis"/>
        </w:rPr>
        <w:t>Engl</w:t>
      </w:r>
      <w:proofErr w:type="spellEnd"/>
      <w:r>
        <w:rPr>
          <w:rStyle w:val="Emphasis"/>
        </w:rPr>
        <w:t xml:space="preserve"> J Med.</w:t>
      </w:r>
      <w:r>
        <w:t xml:space="preserve"> 2017;377:1011–1021.</w:t>
      </w:r>
    </w:p>
    <w:p w14:paraId="35FEBC9E" w14:textId="77777777" w:rsidR="00EC3D36" w:rsidRDefault="00EC3D36" w:rsidP="00EC3D36">
      <w:pPr>
        <w:pStyle w:val="NormalWeb"/>
        <w:numPr>
          <w:ilvl w:val="0"/>
          <w:numId w:val="15"/>
        </w:numPr>
      </w:pPr>
      <w:r>
        <w:t xml:space="preserve">Saver JL, Carroll JD, Thaler DE, et al. RESPECT trial long-term results. </w:t>
      </w:r>
      <w:r>
        <w:rPr>
          <w:rStyle w:val="Emphasis"/>
        </w:rPr>
        <w:t xml:space="preserve">N </w:t>
      </w:r>
      <w:proofErr w:type="spellStart"/>
      <w:r>
        <w:rPr>
          <w:rStyle w:val="Emphasis"/>
        </w:rPr>
        <w:t>Engl</w:t>
      </w:r>
      <w:proofErr w:type="spellEnd"/>
      <w:r>
        <w:rPr>
          <w:rStyle w:val="Emphasis"/>
        </w:rPr>
        <w:t xml:space="preserve"> J Med.</w:t>
      </w:r>
      <w:r>
        <w:t xml:space="preserve"> 2017;377:1022–1032.</w:t>
      </w:r>
    </w:p>
    <w:p w14:paraId="0896C17C" w14:textId="77777777" w:rsidR="00EC3D36" w:rsidRPr="00F110FC" w:rsidRDefault="00EC3D36" w:rsidP="00EC3D36">
      <w:pPr>
        <w:pStyle w:val="NormalWeb"/>
        <w:numPr>
          <w:ilvl w:val="0"/>
          <w:numId w:val="15"/>
        </w:numPr>
      </w:pPr>
      <w:r w:rsidRPr="00F110FC">
        <w:t xml:space="preserve">European Stroke Organisation (ESO). Guidelines on PFO closure in cryptogenic stroke. </w:t>
      </w:r>
      <w:r w:rsidRPr="00F110FC">
        <w:rPr>
          <w:rStyle w:val="Emphasis"/>
        </w:rPr>
        <w:t>Eur Stroke J.</w:t>
      </w:r>
      <w:r w:rsidRPr="00F110FC">
        <w:t xml:space="preserve"> 2024;9(1):5–17.</w:t>
      </w:r>
    </w:p>
    <w:p w14:paraId="1A895B7C" w14:textId="0F043FD9" w:rsidR="00EC3D36" w:rsidRPr="00F110FC" w:rsidRDefault="00EC3D36" w:rsidP="00EC3D36">
      <w:pPr>
        <w:pStyle w:val="NormalWeb"/>
        <w:numPr>
          <w:ilvl w:val="0"/>
          <w:numId w:val="15"/>
        </w:numPr>
      </w:pPr>
      <w:r w:rsidRPr="00F110FC">
        <w:t xml:space="preserve">Saver JL, Thaler DE, Carroll JD, et al. Outcomes of patent foramen </w:t>
      </w:r>
      <w:proofErr w:type="spellStart"/>
      <w:r w:rsidRPr="00F110FC">
        <w:t>ovale</w:t>
      </w:r>
      <w:proofErr w:type="spellEnd"/>
      <w:r w:rsidRPr="00F110FC">
        <w:t xml:space="preserve"> closure in </w:t>
      </w:r>
      <w:proofErr w:type="spellStart"/>
      <w:r w:rsidRPr="00F110FC">
        <w:t>ptients</w:t>
      </w:r>
      <w:proofErr w:type="spellEnd"/>
      <w:r w:rsidRPr="00F110FC">
        <w:t xml:space="preserve"> over 60 years: a contemporary </w:t>
      </w:r>
      <w:proofErr w:type="spellStart"/>
      <w:r w:rsidRPr="00F110FC">
        <w:t>multicenter</w:t>
      </w:r>
      <w:proofErr w:type="spellEnd"/>
      <w:r w:rsidRPr="00F110FC">
        <w:t xml:space="preserve"> analysis. </w:t>
      </w:r>
      <w:r w:rsidRPr="00F110FC">
        <w:rPr>
          <w:rStyle w:val="Emphasis"/>
        </w:rPr>
        <w:t xml:space="preserve">J Soc Cardiovasc </w:t>
      </w:r>
      <w:proofErr w:type="spellStart"/>
      <w:r w:rsidRPr="00F110FC">
        <w:rPr>
          <w:rStyle w:val="Emphasis"/>
        </w:rPr>
        <w:t>Angiogr</w:t>
      </w:r>
      <w:proofErr w:type="spellEnd"/>
      <w:r w:rsidRPr="00F110FC">
        <w:rPr>
          <w:rStyle w:val="Emphasis"/>
        </w:rPr>
        <w:t xml:space="preserve"> </w:t>
      </w:r>
      <w:proofErr w:type="spellStart"/>
      <w:r w:rsidRPr="00F110FC">
        <w:rPr>
          <w:rStyle w:val="Emphasis"/>
        </w:rPr>
        <w:t>Interv</w:t>
      </w:r>
      <w:proofErr w:type="spellEnd"/>
      <w:r w:rsidRPr="00F110FC">
        <w:rPr>
          <w:rStyle w:val="Emphasis"/>
        </w:rPr>
        <w:t>.</w:t>
      </w:r>
      <w:r w:rsidRPr="00F110FC">
        <w:t xml:space="preserve"> 2025;4(2):112–120.</w:t>
      </w:r>
      <w:bookmarkStart w:id="0" w:name="_GoBack"/>
      <w:bookmarkEnd w:id="0"/>
    </w:p>
    <w:p w14:paraId="228768AF" w14:textId="77777777" w:rsidR="00EC3D36" w:rsidRDefault="00EC3D36" w:rsidP="00EC3D36">
      <w:pPr>
        <w:pStyle w:val="NormalWeb"/>
        <w:numPr>
          <w:ilvl w:val="0"/>
          <w:numId w:val="15"/>
        </w:numPr>
      </w:pPr>
      <w:r>
        <w:t xml:space="preserve">Sharma S, </w:t>
      </w:r>
      <w:proofErr w:type="spellStart"/>
      <w:r>
        <w:t>Trehan</w:t>
      </w:r>
      <w:proofErr w:type="spellEnd"/>
      <w:r>
        <w:t xml:space="preserve"> V, Kaul U, et al. Transcatheter closure of patent foramen </w:t>
      </w:r>
      <w:proofErr w:type="spellStart"/>
      <w:r>
        <w:t>ovale</w:t>
      </w:r>
      <w:proofErr w:type="spellEnd"/>
      <w:r>
        <w:t xml:space="preserve"> using the Cocoon </w:t>
      </w:r>
      <w:proofErr w:type="spellStart"/>
      <w:r>
        <w:t>occluder</w:t>
      </w:r>
      <w:proofErr w:type="spellEnd"/>
      <w:r>
        <w:t xml:space="preserve">: a </w:t>
      </w:r>
      <w:proofErr w:type="spellStart"/>
      <w:r>
        <w:t>multicenter</w:t>
      </w:r>
      <w:proofErr w:type="spellEnd"/>
      <w:r>
        <w:t xml:space="preserve"> retrospective study. </w:t>
      </w:r>
      <w:r>
        <w:rPr>
          <w:rStyle w:val="Emphasis"/>
        </w:rPr>
        <w:t xml:space="preserve">Catheter Cardiovasc </w:t>
      </w:r>
      <w:proofErr w:type="spellStart"/>
      <w:r>
        <w:rPr>
          <w:rStyle w:val="Emphasis"/>
        </w:rPr>
        <w:t>Interv</w:t>
      </w:r>
      <w:proofErr w:type="spellEnd"/>
      <w:r>
        <w:rPr>
          <w:rStyle w:val="Emphasis"/>
        </w:rPr>
        <w:t>.</w:t>
      </w:r>
      <w:r>
        <w:t xml:space="preserve"> 2025;105(4):627–635.</w:t>
      </w:r>
    </w:p>
    <w:p w14:paraId="3FC7C3BC" w14:textId="77777777" w:rsidR="00EC3D36" w:rsidRDefault="00F110FC" w:rsidP="00EC3D36">
      <w:r>
        <w:pict w14:anchorId="29863427">
          <v:rect id="_x0000_i1030" style="width:0;height:1.5pt" o:hralign="center" o:hrstd="t" o:hr="t" fillcolor="#a0a0a0" stroked="f"/>
        </w:pict>
      </w:r>
    </w:p>
    <w:p w14:paraId="0CD7F308" w14:textId="06A2AAFC" w:rsidR="00940A73" w:rsidRDefault="00940A73" w:rsidP="00EC3D36">
      <w:pPr>
        <w:pStyle w:val="Heading1"/>
      </w:pPr>
    </w:p>
    <w:sectPr w:rsidR="00940A73" w:rsidSect="00034616">
      <w:headerReference w:type="even" r:id="rId27"/>
      <w:headerReference w:type="default" r:id="rId28"/>
      <w:footerReference w:type="even" r:id="rId29"/>
      <w:footerReference w:type="default" r:id="rId30"/>
      <w:headerReference w:type="first" r:id="rId31"/>
      <w:footerReference w:type="first" r:id="rId3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9B2629" w14:textId="77777777" w:rsidR="003B1159" w:rsidRDefault="003B1159" w:rsidP="008268E3">
      <w:pPr>
        <w:spacing w:after="0" w:line="240" w:lineRule="auto"/>
      </w:pPr>
      <w:r>
        <w:separator/>
      </w:r>
    </w:p>
  </w:endnote>
  <w:endnote w:type="continuationSeparator" w:id="0">
    <w:p w14:paraId="3C684589" w14:textId="77777777" w:rsidR="003B1159" w:rsidRDefault="003B1159" w:rsidP="008268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42E62" w14:textId="77777777" w:rsidR="00F051BF" w:rsidRDefault="00F051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F8389" w14:textId="77777777" w:rsidR="00F051BF" w:rsidRDefault="00F051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4AB65" w14:textId="77777777" w:rsidR="00F051BF" w:rsidRDefault="00F051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4B4C7A" w14:textId="77777777" w:rsidR="003B1159" w:rsidRDefault="003B1159" w:rsidP="008268E3">
      <w:pPr>
        <w:spacing w:after="0" w:line="240" w:lineRule="auto"/>
      </w:pPr>
      <w:r>
        <w:separator/>
      </w:r>
    </w:p>
  </w:footnote>
  <w:footnote w:type="continuationSeparator" w:id="0">
    <w:p w14:paraId="384FB511" w14:textId="77777777" w:rsidR="003B1159" w:rsidRDefault="003B1159" w:rsidP="008268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E4A53" w14:textId="35F07456" w:rsidR="00F051BF" w:rsidRDefault="00F110FC">
    <w:pPr>
      <w:pStyle w:val="Header"/>
    </w:pPr>
    <w:r>
      <w:rPr>
        <w:noProof/>
      </w:rPr>
      <w:pict w14:anchorId="796515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4727407" o:spid="_x0000_s2050"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7E56A" w14:textId="2DAB4196" w:rsidR="00F051BF" w:rsidRDefault="00F110FC">
    <w:pPr>
      <w:pStyle w:val="Header"/>
    </w:pPr>
    <w:r>
      <w:rPr>
        <w:noProof/>
      </w:rPr>
      <w:pict w14:anchorId="705FFE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4727408" o:spid="_x0000_s2051" type="#_x0000_t136" style="position:absolute;margin-left:0;margin-top:0;width:541.4pt;height:67.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0AF00" w14:textId="273512A4" w:rsidR="00F051BF" w:rsidRDefault="00F110FC">
    <w:pPr>
      <w:pStyle w:val="Header"/>
    </w:pPr>
    <w:r>
      <w:rPr>
        <w:noProof/>
      </w:rPr>
      <w:pict w14:anchorId="7420BE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4727406" o:spid="_x0000_s2049" type="#_x0000_t136" style="position:absolute;margin-left:0;margin-top:0;width:541.4pt;height:67.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215291EA"/>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A825DC4"/>
    <w:multiLevelType w:val="multilevel"/>
    <w:tmpl w:val="CFF68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3632B1C"/>
    <w:multiLevelType w:val="multilevel"/>
    <w:tmpl w:val="32B82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296B1D"/>
    <w:multiLevelType w:val="hybridMultilevel"/>
    <w:tmpl w:val="F0F8F518"/>
    <w:lvl w:ilvl="0" w:tplc="5E36CFA2">
      <w:start w:val="1"/>
      <w:numFmt w:val="lowerLetter"/>
      <w:lvlText w:val="(%1)"/>
      <w:lvlJc w:val="left"/>
      <w:pPr>
        <w:ind w:left="990" w:hanging="360"/>
      </w:pPr>
      <w:rPr>
        <w:rFonts w:hint="default"/>
      </w:rPr>
    </w:lvl>
    <w:lvl w:ilvl="1" w:tplc="40090019" w:tentative="1">
      <w:start w:val="1"/>
      <w:numFmt w:val="lowerLetter"/>
      <w:lvlText w:val="%2."/>
      <w:lvlJc w:val="left"/>
      <w:pPr>
        <w:ind w:left="1710" w:hanging="360"/>
      </w:pPr>
    </w:lvl>
    <w:lvl w:ilvl="2" w:tplc="4009001B" w:tentative="1">
      <w:start w:val="1"/>
      <w:numFmt w:val="lowerRoman"/>
      <w:lvlText w:val="%3."/>
      <w:lvlJc w:val="right"/>
      <w:pPr>
        <w:ind w:left="2430" w:hanging="180"/>
      </w:pPr>
    </w:lvl>
    <w:lvl w:ilvl="3" w:tplc="4009000F" w:tentative="1">
      <w:start w:val="1"/>
      <w:numFmt w:val="decimal"/>
      <w:lvlText w:val="%4."/>
      <w:lvlJc w:val="left"/>
      <w:pPr>
        <w:ind w:left="3150" w:hanging="360"/>
      </w:pPr>
    </w:lvl>
    <w:lvl w:ilvl="4" w:tplc="40090019" w:tentative="1">
      <w:start w:val="1"/>
      <w:numFmt w:val="lowerLetter"/>
      <w:lvlText w:val="%5."/>
      <w:lvlJc w:val="left"/>
      <w:pPr>
        <w:ind w:left="3870" w:hanging="360"/>
      </w:pPr>
    </w:lvl>
    <w:lvl w:ilvl="5" w:tplc="4009001B" w:tentative="1">
      <w:start w:val="1"/>
      <w:numFmt w:val="lowerRoman"/>
      <w:lvlText w:val="%6."/>
      <w:lvlJc w:val="right"/>
      <w:pPr>
        <w:ind w:left="4590" w:hanging="180"/>
      </w:pPr>
    </w:lvl>
    <w:lvl w:ilvl="6" w:tplc="4009000F" w:tentative="1">
      <w:start w:val="1"/>
      <w:numFmt w:val="decimal"/>
      <w:lvlText w:val="%7."/>
      <w:lvlJc w:val="left"/>
      <w:pPr>
        <w:ind w:left="5310" w:hanging="360"/>
      </w:pPr>
    </w:lvl>
    <w:lvl w:ilvl="7" w:tplc="40090019" w:tentative="1">
      <w:start w:val="1"/>
      <w:numFmt w:val="lowerLetter"/>
      <w:lvlText w:val="%8."/>
      <w:lvlJc w:val="left"/>
      <w:pPr>
        <w:ind w:left="6030" w:hanging="360"/>
      </w:pPr>
    </w:lvl>
    <w:lvl w:ilvl="8" w:tplc="4009001B" w:tentative="1">
      <w:start w:val="1"/>
      <w:numFmt w:val="lowerRoman"/>
      <w:lvlText w:val="%9."/>
      <w:lvlJc w:val="right"/>
      <w:pPr>
        <w:ind w:left="675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1"/>
  </w:num>
  <w:num w:numId="11">
    <w:abstractNumId w:val="7"/>
  </w:num>
  <w:num w:numId="12">
    <w:abstractNumId w:val="7"/>
  </w:num>
  <w:num w:numId="13">
    <w:abstractNumId w:val="7"/>
  </w:num>
  <w:num w:numId="14">
    <w:abstractNumId w:val="1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AIiQ3NzA1MjcyNTAyUdpeDU4uLM/DyQAsNaAHLmqbYsAAAA"/>
  </w:docVars>
  <w:rsids>
    <w:rsidRoot w:val="00B47730"/>
    <w:rsid w:val="00000F58"/>
    <w:rsid w:val="00034616"/>
    <w:rsid w:val="0006063C"/>
    <w:rsid w:val="00065F6F"/>
    <w:rsid w:val="000D0D50"/>
    <w:rsid w:val="000D3699"/>
    <w:rsid w:val="00116539"/>
    <w:rsid w:val="0015074B"/>
    <w:rsid w:val="00155048"/>
    <w:rsid w:val="001A6957"/>
    <w:rsid w:val="0028673B"/>
    <w:rsid w:val="0029639D"/>
    <w:rsid w:val="002A5786"/>
    <w:rsid w:val="002C58D8"/>
    <w:rsid w:val="003018B2"/>
    <w:rsid w:val="00325DB9"/>
    <w:rsid w:val="00326F90"/>
    <w:rsid w:val="00386F77"/>
    <w:rsid w:val="003B1159"/>
    <w:rsid w:val="004368FB"/>
    <w:rsid w:val="005F7727"/>
    <w:rsid w:val="00682368"/>
    <w:rsid w:val="006A2812"/>
    <w:rsid w:val="006F10A4"/>
    <w:rsid w:val="00737B90"/>
    <w:rsid w:val="0077470E"/>
    <w:rsid w:val="007F1A9D"/>
    <w:rsid w:val="008268E3"/>
    <w:rsid w:val="00940A73"/>
    <w:rsid w:val="009774F8"/>
    <w:rsid w:val="00A41A52"/>
    <w:rsid w:val="00A93DA2"/>
    <w:rsid w:val="00A972C9"/>
    <w:rsid w:val="00AA1D8D"/>
    <w:rsid w:val="00B07FCF"/>
    <w:rsid w:val="00B47730"/>
    <w:rsid w:val="00B51534"/>
    <w:rsid w:val="00BA3D25"/>
    <w:rsid w:val="00BE7857"/>
    <w:rsid w:val="00BF0B38"/>
    <w:rsid w:val="00C148B2"/>
    <w:rsid w:val="00C501CD"/>
    <w:rsid w:val="00C51A1C"/>
    <w:rsid w:val="00CB0664"/>
    <w:rsid w:val="00D53B9E"/>
    <w:rsid w:val="00D92836"/>
    <w:rsid w:val="00E21195"/>
    <w:rsid w:val="00E96BE6"/>
    <w:rsid w:val="00EA0C30"/>
    <w:rsid w:val="00EB2B8F"/>
    <w:rsid w:val="00EB6539"/>
    <w:rsid w:val="00EC3D36"/>
    <w:rsid w:val="00F051BF"/>
    <w:rsid w:val="00F110FC"/>
    <w:rsid w:val="00F3353E"/>
    <w:rsid w:val="00F34F37"/>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1EA05616"/>
  <w14:defaultImageDpi w14:val="300"/>
  <w15:docId w15:val="{779B645A-36E8-4A5D-A0B9-6557C9A1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8268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68E3"/>
    <w:rPr>
      <w:rFonts w:ascii="Tahoma" w:hAnsi="Tahoma" w:cs="Tahoma"/>
      <w:sz w:val="16"/>
      <w:szCs w:val="16"/>
    </w:rPr>
  </w:style>
  <w:style w:type="character" w:styleId="Hyperlink">
    <w:name w:val="Hyperlink"/>
    <w:basedOn w:val="DefaultParagraphFont"/>
    <w:uiPriority w:val="99"/>
    <w:unhideWhenUsed/>
    <w:rsid w:val="00D92836"/>
    <w:rPr>
      <w:color w:val="0000FF" w:themeColor="hyperlink"/>
      <w:u w:val="single"/>
    </w:rPr>
  </w:style>
  <w:style w:type="character" w:customStyle="1" w:styleId="UnresolvedMention1">
    <w:name w:val="Unresolved Mention1"/>
    <w:basedOn w:val="DefaultParagraphFont"/>
    <w:uiPriority w:val="99"/>
    <w:semiHidden/>
    <w:unhideWhenUsed/>
    <w:rsid w:val="00A93DA2"/>
    <w:rPr>
      <w:color w:val="605E5C"/>
      <w:shd w:val="clear" w:color="auto" w:fill="E1DFDD"/>
    </w:rPr>
  </w:style>
  <w:style w:type="paragraph" w:styleId="NormalWeb">
    <w:name w:val="Normal (Web)"/>
    <w:basedOn w:val="Normal"/>
    <w:uiPriority w:val="99"/>
    <w:semiHidden/>
    <w:unhideWhenUsed/>
    <w:rsid w:val="00F34F37"/>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9285920">
      <w:bodyDiv w:val="1"/>
      <w:marLeft w:val="0"/>
      <w:marRight w:val="0"/>
      <w:marTop w:val="0"/>
      <w:marBottom w:val="0"/>
      <w:divBdr>
        <w:top w:val="none" w:sz="0" w:space="0" w:color="auto"/>
        <w:left w:val="none" w:sz="0" w:space="0" w:color="auto"/>
        <w:bottom w:val="none" w:sz="0" w:space="0" w:color="auto"/>
        <w:right w:val="none" w:sz="0" w:space="0" w:color="auto"/>
      </w:divBdr>
    </w:div>
    <w:div w:id="946891323">
      <w:bodyDiv w:val="1"/>
      <w:marLeft w:val="0"/>
      <w:marRight w:val="0"/>
      <w:marTop w:val="0"/>
      <w:marBottom w:val="0"/>
      <w:divBdr>
        <w:top w:val="none" w:sz="0" w:space="0" w:color="auto"/>
        <w:left w:val="none" w:sz="0" w:space="0" w:color="auto"/>
        <w:bottom w:val="none" w:sz="0" w:space="0" w:color="auto"/>
        <w:right w:val="none" w:sz="0" w:space="0" w:color="auto"/>
      </w:divBdr>
      <w:divsChild>
        <w:div w:id="1583903910">
          <w:marLeft w:val="0"/>
          <w:marRight w:val="0"/>
          <w:marTop w:val="0"/>
          <w:marBottom w:val="0"/>
          <w:divBdr>
            <w:top w:val="none" w:sz="0" w:space="0" w:color="auto"/>
            <w:left w:val="none" w:sz="0" w:space="0" w:color="auto"/>
            <w:bottom w:val="none" w:sz="0" w:space="0" w:color="auto"/>
            <w:right w:val="none" w:sz="0" w:space="0" w:color="auto"/>
          </w:divBdr>
          <w:divsChild>
            <w:div w:id="734819375">
              <w:marLeft w:val="0"/>
              <w:marRight w:val="0"/>
              <w:marTop w:val="0"/>
              <w:marBottom w:val="0"/>
              <w:divBdr>
                <w:top w:val="none" w:sz="0" w:space="0" w:color="auto"/>
                <w:left w:val="none" w:sz="0" w:space="0" w:color="auto"/>
                <w:bottom w:val="none" w:sz="0" w:space="0" w:color="auto"/>
                <w:right w:val="none" w:sz="0" w:space="0" w:color="auto"/>
              </w:divBdr>
              <w:divsChild>
                <w:div w:id="233783582">
                  <w:marLeft w:val="0"/>
                  <w:marRight w:val="0"/>
                  <w:marTop w:val="0"/>
                  <w:marBottom w:val="0"/>
                  <w:divBdr>
                    <w:top w:val="none" w:sz="0" w:space="0" w:color="auto"/>
                    <w:left w:val="none" w:sz="0" w:space="0" w:color="auto"/>
                    <w:bottom w:val="none" w:sz="0" w:space="0" w:color="auto"/>
                    <w:right w:val="none" w:sz="0" w:space="0" w:color="auto"/>
                  </w:divBdr>
                  <w:divsChild>
                    <w:div w:id="1054278500">
                      <w:marLeft w:val="0"/>
                      <w:marRight w:val="0"/>
                      <w:marTop w:val="0"/>
                      <w:marBottom w:val="0"/>
                      <w:divBdr>
                        <w:top w:val="none" w:sz="0" w:space="0" w:color="auto"/>
                        <w:left w:val="none" w:sz="0" w:space="0" w:color="auto"/>
                        <w:bottom w:val="none" w:sz="0" w:space="0" w:color="auto"/>
                        <w:right w:val="none" w:sz="0" w:space="0" w:color="auto"/>
                      </w:divBdr>
                      <w:divsChild>
                        <w:div w:id="961425183">
                          <w:marLeft w:val="0"/>
                          <w:marRight w:val="0"/>
                          <w:marTop w:val="0"/>
                          <w:marBottom w:val="0"/>
                          <w:divBdr>
                            <w:top w:val="none" w:sz="0" w:space="0" w:color="auto"/>
                            <w:left w:val="none" w:sz="0" w:space="0" w:color="auto"/>
                            <w:bottom w:val="none" w:sz="0" w:space="0" w:color="auto"/>
                            <w:right w:val="none" w:sz="0" w:space="0" w:color="auto"/>
                          </w:divBdr>
                          <w:divsChild>
                            <w:div w:id="49565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883456">
      <w:bodyDiv w:val="1"/>
      <w:marLeft w:val="0"/>
      <w:marRight w:val="0"/>
      <w:marTop w:val="0"/>
      <w:marBottom w:val="0"/>
      <w:divBdr>
        <w:top w:val="none" w:sz="0" w:space="0" w:color="auto"/>
        <w:left w:val="none" w:sz="0" w:space="0" w:color="auto"/>
        <w:bottom w:val="none" w:sz="0" w:space="0" w:color="auto"/>
        <w:right w:val="none" w:sz="0" w:space="0" w:color="auto"/>
      </w:divBdr>
    </w:div>
    <w:div w:id="1618946127">
      <w:bodyDiv w:val="1"/>
      <w:marLeft w:val="0"/>
      <w:marRight w:val="0"/>
      <w:marTop w:val="0"/>
      <w:marBottom w:val="0"/>
      <w:divBdr>
        <w:top w:val="none" w:sz="0" w:space="0" w:color="auto"/>
        <w:left w:val="none" w:sz="0" w:space="0" w:color="auto"/>
        <w:bottom w:val="none" w:sz="0" w:space="0" w:color="auto"/>
        <w:right w:val="none" w:sz="0" w:space="0" w:color="auto"/>
      </w:divBdr>
    </w:div>
    <w:div w:id="1658192109">
      <w:bodyDiv w:val="1"/>
      <w:marLeft w:val="0"/>
      <w:marRight w:val="0"/>
      <w:marTop w:val="0"/>
      <w:marBottom w:val="0"/>
      <w:divBdr>
        <w:top w:val="none" w:sz="0" w:space="0" w:color="auto"/>
        <w:left w:val="none" w:sz="0" w:space="0" w:color="auto"/>
        <w:bottom w:val="none" w:sz="0" w:space="0" w:color="auto"/>
        <w:right w:val="none" w:sz="0" w:space="0" w:color="auto"/>
      </w:divBdr>
    </w:div>
    <w:div w:id="17934011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6.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oleObject" Target="embeddings/oleObject2.bin"/><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emf"/><Relationship Id="rId28"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oleObject" Target="embeddings/oleObject1.bin"/><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61E12-B857-4DAA-9789-36E538489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1851</Words>
  <Characters>10557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SDI PC New 16</cp:lastModifiedBy>
  <cp:revision>5</cp:revision>
  <dcterms:created xsi:type="dcterms:W3CDTF">2025-09-10T19:27:00Z</dcterms:created>
  <dcterms:modified xsi:type="dcterms:W3CDTF">2025-09-15T09:30:00Z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67a147ca-45ca-4f1b-bd9c-b0a03d17b50c</vt:lpwstr>
  </property>
</Properties>
</file>