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46939" w:rsidRDefault="005737FC" w:rsidP="008E6098">
      <w:pPr>
        <w:spacing w:after="38" w:line="259" w:lineRule="auto"/>
        <w:ind w:left="-5"/>
      </w:pPr>
      <w:r>
        <w:rPr>
          <w:rFonts w:ascii="Arial" w:eastAsia="Arial" w:hAnsi="Arial" w:cs="Arial"/>
          <w:color w:val="000000"/>
          <w:sz w:val="51"/>
        </w:rPr>
        <w:t>Bleeding beyond the heart: Alveolar</w:t>
      </w:r>
      <w:r w:rsidR="008E6098">
        <w:rPr>
          <w:rFonts w:ascii="Arial" w:eastAsia="Arial" w:hAnsi="Arial" w:cs="Arial"/>
          <w:color w:val="000000"/>
          <w:sz w:val="51"/>
        </w:rPr>
        <w:t xml:space="preserve"> </w:t>
      </w:r>
      <w:proofErr w:type="spellStart"/>
      <w:r>
        <w:rPr>
          <w:rFonts w:ascii="Arial" w:eastAsia="Arial" w:hAnsi="Arial" w:cs="Arial"/>
          <w:color w:val="000000"/>
          <w:sz w:val="51"/>
        </w:rPr>
        <w:t>Hemorrhage</w:t>
      </w:r>
      <w:proofErr w:type="spellEnd"/>
      <w:r>
        <w:rPr>
          <w:rFonts w:ascii="Arial" w:eastAsia="Arial" w:hAnsi="Arial" w:cs="Arial"/>
          <w:color w:val="000000"/>
          <w:sz w:val="51"/>
        </w:rPr>
        <w:t xml:space="preserve"> post thrombolysis</w:t>
      </w:r>
    </w:p>
    <w:p w:rsidR="008E6098" w:rsidRDefault="008E6098">
      <w:pPr>
        <w:spacing w:after="0" w:line="259" w:lineRule="auto"/>
        <w:ind w:left="0" w:firstLine="0"/>
        <w:rPr>
          <w:rFonts w:ascii="Arial" w:eastAsia="Arial" w:hAnsi="Arial" w:cs="Arial"/>
          <w:color w:val="000000"/>
          <w:sz w:val="35"/>
        </w:rPr>
      </w:pPr>
    </w:p>
    <w:p w:rsidR="00846939" w:rsidRDefault="005737FC">
      <w:pPr>
        <w:spacing w:after="0" w:line="259" w:lineRule="auto"/>
        <w:ind w:left="0" w:firstLine="0"/>
      </w:pPr>
      <w:r>
        <w:rPr>
          <w:rFonts w:ascii="Arial" w:eastAsia="Arial" w:hAnsi="Arial" w:cs="Arial"/>
          <w:color w:val="000000"/>
          <w:sz w:val="35"/>
        </w:rPr>
        <w:t>Abstract</w:t>
      </w:r>
    </w:p>
    <w:p w:rsidR="00846939" w:rsidRDefault="005737FC">
      <w:pPr>
        <w:spacing w:after="544"/>
        <w:ind w:left="-5"/>
      </w:pPr>
      <w:r>
        <w:t xml:space="preserve">Alveolar </w:t>
      </w:r>
      <w:proofErr w:type="spellStart"/>
      <w:r>
        <w:t>hemorrhage</w:t>
      </w:r>
      <w:proofErr w:type="spellEnd"/>
      <w:r>
        <w:t xml:space="preserve"> (AH) is a rare yet severe clinical condition marked by significant bleeding into the alveolar spaces, often leading to high mortality. AH can occur following systemic thrombolysis for acute myocardial infarction (AMI), a complication that is infrequent but potentially life-threatening and may result in acute respiratory failure.</w:t>
      </w:r>
      <w:r w:rsidR="008E6098">
        <w:t xml:space="preserve"> T</w:t>
      </w:r>
      <w:r>
        <w:t>his entity is rarely reported in the literature. This case report presents an instance of AH following intravenous thrombolysis for AMI in a 58-year-old male patient.</w:t>
      </w:r>
    </w:p>
    <w:p w:rsidR="008E6098" w:rsidRDefault="008E6098">
      <w:pPr>
        <w:spacing w:after="544"/>
        <w:ind w:left="-5"/>
      </w:pPr>
      <w:r>
        <w:t xml:space="preserve">Keywords: </w:t>
      </w:r>
      <w:r w:rsidRPr="008E6098">
        <w:t xml:space="preserve">Alveolar </w:t>
      </w:r>
      <w:r>
        <w:t>haemorrhage, T</w:t>
      </w:r>
      <w:r w:rsidRPr="008E6098">
        <w:t>hrombolysis</w:t>
      </w:r>
      <w:r>
        <w:t>, A</w:t>
      </w:r>
      <w:r w:rsidRPr="008E6098">
        <w:t>cute respiratory failure</w:t>
      </w:r>
      <w:r>
        <w:t xml:space="preserve">, </w:t>
      </w:r>
      <w:r w:rsidRPr="008E6098">
        <w:t>acute myocardial infarction</w:t>
      </w:r>
    </w:p>
    <w:p w:rsidR="00846939" w:rsidRDefault="005737FC">
      <w:pPr>
        <w:pStyle w:val="Heading1"/>
        <w:ind w:left="-5"/>
      </w:pPr>
      <w:r>
        <w:t>Introduction</w:t>
      </w:r>
    </w:p>
    <w:p w:rsidR="00846939" w:rsidRDefault="00575EA8">
      <w:pPr>
        <w:spacing w:after="552"/>
        <w:ind w:left="-5"/>
      </w:pPr>
      <w:r>
        <w:t>“</w:t>
      </w:r>
      <w:r w:rsidR="005737FC">
        <w:t xml:space="preserve">Alveolar </w:t>
      </w:r>
      <w:proofErr w:type="spellStart"/>
      <w:r w:rsidR="005737FC">
        <w:t>hemorrhage</w:t>
      </w:r>
      <w:proofErr w:type="spellEnd"/>
      <w:r w:rsidR="005737FC">
        <w:t xml:space="preserve"> is a clinical syndrome resulting from bleeding into the alveolar spaces secondary to disruption of the alveolar-capillary membrane. It is a rare and serious medical emergency potentially leading to fatal acute respiratory failure (ARF)</w:t>
      </w:r>
      <w:r>
        <w:t>”</w:t>
      </w:r>
      <w:r w:rsidR="005737FC">
        <w:t>.</w:t>
      </w:r>
      <w:r w:rsidR="005737FC">
        <w:rPr>
          <w:color w:val="005DA2"/>
          <w:sz w:val="21"/>
          <w:u w:val="single" w:color="005DA2"/>
          <w:vertAlign w:val="superscript"/>
        </w:rPr>
        <w:t>1</w:t>
      </w:r>
      <w:r>
        <w:rPr>
          <w:color w:val="005DA2"/>
          <w:sz w:val="21"/>
          <w:u w:val="single" w:color="005DA2"/>
          <w:vertAlign w:val="superscript"/>
        </w:rPr>
        <w:t>,23</w:t>
      </w:r>
    </w:p>
    <w:p w:rsidR="00846939" w:rsidRDefault="005737FC">
      <w:pPr>
        <w:spacing w:after="534"/>
        <w:ind w:left="-5"/>
      </w:pPr>
      <w:r>
        <w:rPr>
          <w:rFonts w:ascii="Calibri" w:eastAsia="Calibri" w:hAnsi="Calibri" w:cs="Calibri"/>
          <w:noProof/>
          <w:color w:val="000000"/>
          <w:sz w:val="22"/>
        </w:rPr>
        <mc:AlternateContent>
          <mc:Choice Requires="wpg">
            <w:drawing>
              <wp:anchor distT="0" distB="0" distL="114300" distR="114300" simplePos="0" relativeHeight="251658240" behindDoc="1" locked="0" layoutInCell="1" allowOverlap="1">
                <wp:simplePos x="0" y="0"/>
                <wp:positionH relativeFrom="column">
                  <wp:posOffset>1531646</wp:posOffset>
                </wp:positionH>
                <wp:positionV relativeFrom="paragraph">
                  <wp:posOffset>1101930</wp:posOffset>
                </wp:positionV>
                <wp:extent cx="108088" cy="198865"/>
                <wp:effectExtent l="0" t="0" r="0" b="0"/>
                <wp:wrapNone/>
                <wp:docPr id="6034" name="Group 6034"/>
                <wp:cNvGraphicFramePr/>
                <a:graphic xmlns:a="http://schemas.openxmlformats.org/drawingml/2006/main">
                  <a:graphicData uri="http://schemas.microsoft.com/office/word/2010/wordprocessingGroup">
                    <wpg:wgp>
                      <wpg:cNvGrpSpPr/>
                      <wpg:grpSpPr>
                        <a:xfrm>
                          <a:off x="0" y="0"/>
                          <a:ext cx="108088" cy="198865"/>
                          <a:chOff x="0" y="0"/>
                          <a:chExt cx="108088" cy="198865"/>
                        </a:xfrm>
                      </wpg:grpSpPr>
                      <wps:wsp>
                        <wps:cNvPr id="65" name="Shape 65"/>
                        <wps:cNvSpPr/>
                        <wps:spPr>
                          <a:xfrm>
                            <a:off x="0" y="125342"/>
                            <a:ext cx="43235" cy="0"/>
                          </a:xfrm>
                          <a:custGeom>
                            <a:avLst/>
                            <a:gdLst/>
                            <a:ahLst/>
                            <a:cxnLst/>
                            <a:rect l="0" t="0" r="0" b="0"/>
                            <a:pathLst>
                              <a:path w="43235">
                                <a:moveTo>
                                  <a:pt x="0" y="0"/>
                                </a:moveTo>
                                <a:lnTo>
                                  <a:pt x="43235" y="0"/>
                                </a:lnTo>
                              </a:path>
                            </a:pathLst>
                          </a:custGeom>
                          <a:ln w="8894" cap="flat">
                            <a:miter lim="100000"/>
                          </a:ln>
                        </wps:spPr>
                        <wps:style>
                          <a:lnRef idx="1">
                            <a:srgbClr val="005DA2"/>
                          </a:lnRef>
                          <a:fillRef idx="0">
                            <a:srgbClr val="000000">
                              <a:alpha val="0"/>
                            </a:srgbClr>
                          </a:fillRef>
                          <a:effectRef idx="0">
                            <a:scrgbClr r="0" g="0" b="0"/>
                          </a:effectRef>
                          <a:fontRef idx="none"/>
                        </wps:style>
                        <wps:bodyPr/>
                      </wps:wsp>
                      <wps:wsp>
                        <wps:cNvPr id="7142" name="Shape 7142"/>
                        <wps:cNvSpPr/>
                        <wps:spPr>
                          <a:xfrm>
                            <a:off x="43235" y="0"/>
                            <a:ext cx="27794" cy="198865"/>
                          </a:xfrm>
                          <a:custGeom>
                            <a:avLst/>
                            <a:gdLst/>
                            <a:ahLst/>
                            <a:cxnLst/>
                            <a:rect l="0" t="0" r="0" b="0"/>
                            <a:pathLst>
                              <a:path w="27794" h="198865">
                                <a:moveTo>
                                  <a:pt x="0" y="0"/>
                                </a:moveTo>
                                <a:lnTo>
                                  <a:pt x="27794" y="0"/>
                                </a:lnTo>
                                <a:lnTo>
                                  <a:pt x="27794" y="198865"/>
                                </a:lnTo>
                                <a:lnTo>
                                  <a:pt x="0" y="198865"/>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70" name="Shape 70"/>
                        <wps:cNvSpPr/>
                        <wps:spPr>
                          <a:xfrm>
                            <a:off x="64853" y="125342"/>
                            <a:ext cx="43235" cy="0"/>
                          </a:xfrm>
                          <a:custGeom>
                            <a:avLst/>
                            <a:gdLst/>
                            <a:ahLst/>
                            <a:cxnLst/>
                            <a:rect l="0" t="0" r="0" b="0"/>
                            <a:pathLst>
                              <a:path w="43235">
                                <a:moveTo>
                                  <a:pt x="0" y="0"/>
                                </a:moveTo>
                                <a:lnTo>
                                  <a:pt x="43235" y="0"/>
                                </a:lnTo>
                              </a:path>
                            </a:pathLst>
                          </a:custGeom>
                          <a:ln w="8894" cap="flat">
                            <a:miter lim="100000"/>
                          </a:ln>
                        </wps:spPr>
                        <wps:style>
                          <a:lnRef idx="1">
                            <a:srgbClr val="005DA2"/>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6034" style="width:8.51088pt;height:15.6587pt;position:absolute;z-index:-2147483619;mso-position-horizontal-relative:text;mso-position-horizontal:absolute;margin-left:120.602pt;mso-position-vertical-relative:text;margin-top:86.7662pt;" coordsize="1080,1988">
                <v:shape id="Shape 65" style="position:absolute;width:432;height:0;left:0;top:1253;" coordsize="43235,0" path="m0,0l43235,0">
                  <v:stroke weight="0.700324pt" endcap="flat" joinstyle="miter" miterlimit="4" on="true" color="#005da2"/>
                  <v:fill on="false" color="#000000" opacity="0"/>
                </v:shape>
                <v:shape id="Shape 7143" style="position:absolute;width:277;height:1988;left:432;top:0;" coordsize="27794,198865" path="m0,0l27794,0l27794,198865l0,198865l0,0">
                  <v:stroke weight="0pt" endcap="flat" joinstyle="miter" miterlimit="4" on="false" color="#000000" opacity="0"/>
                  <v:fill on="true" color="#ffffff"/>
                </v:shape>
                <v:shape id="Shape 70" style="position:absolute;width:432;height:0;left:648;top:1253;" coordsize="43235,0" path="m0,0l43235,0">
                  <v:stroke weight="0.700324pt" endcap="flat" joinstyle="miter" miterlimit="4" on="true" color="#005da2"/>
                  <v:fill on="false" color="#000000" opacity="0"/>
                </v:shape>
              </v:group>
            </w:pict>
          </mc:Fallback>
        </mc:AlternateContent>
      </w:r>
      <w:r w:rsidR="00575EA8">
        <w:t>“</w:t>
      </w:r>
      <w:r>
        <w:t>Systemic thrombolysis in the setting of acute myocardial infarction (AMI) remains, in the absence of contraindications, an effective treatment</w:t>
      </w:r>
      <w:r w:rsidR="00575EA8">
        <w:t>”</w:t>
      </w:r>
      <w:r>
        <w:t>.</w:t>
      </w:r>
      <w:r>
        <w:rPr>
          <w:color w:val="005DA2"/>
          <w:sz w:val="21"/>
          <w:u w:val="single" w:color="005DA2"/>
          <w:vertAlign w:val="superscript"/>
        </w:rPr>
        <w:t>2</w:t>
      </w:r>
      <w:r>
        <w:rPr>
          <w:shd w:val="clear" w:color="auto" w:fill="FFFFFF"/>
        </w:rPr>
        <w:t xml:space="preserve"> However, </w:t>
      </w:r>
      <w:r w:rsidR="00575EA8">
        <w:rPr>
          <w:shd w:val="clear" w:color="auto" w:fill="FFFFFF"/>
        </w:rPr>
        <w:t>“</w:t>
      </w:r>
      <w:r>
        <w:rPr>
          <w:shd w:val="clear" w:color="auto" w:fill="FFFFFF"/>
        </w:rPr>
        <w:t xml:space="preserve">it exposes to </w:t>
      </w:r>
      <w:r>
        <w:t>a non-negligible bleeding risk that remains its major adverse event. Most of the latter occur at sites of vascular access and are mild, though patients may also present with other locations such as gastrointestinal, retroperitoneal, genitourinary, and cerebral bleeding</w:t>
      </w:r>
      <w:r w:rsidR="00575EA8">
        <w:t>”</w:t>
      </w:r>
      <w:r>
        <w:t>.</w:t>
      </w:r>
      <w:r>
        <w:rPr>
          <w:color w:val="005DA2"/>
          <w:sz w:val="21"/>
          <w:vertAlign w:val="superscript"/>
        </w:rPr>
        <w:t>3</w:t>
      </w:r>
      <w:r>
        <w:rPr>
          <w:sz w:val="21"/>
          <w:vertAlign w:val="superscript"/>
        </w:rPr>
        <w:t>,</w:t>
      </w:r>
      <w:r>
        <w:rPr>
          <w:color w:val="005DA2"/>
          <w:sz w:val="21"/>
          <w:vertAlign w:val="superscript"/>
        </w:rPr>
        <w:t>4</w:t>
      </w:r>
      <w:r w:rsidR="00575EA8">
        <w:rPr>
          <w:color w:val="005DA2"/>
          <w:sz w:val="21"/>
          <w:vertAlign w:val="superscript"/>
        </w:rPr>
        <w:t>,23</w:t>
      </w:r>
    </w:p>
    <w:p w:rsidR="00846939" w:rsidRDefault="00575EA8">
      <w:pPr>
        <w:spacing w:after="627"/>
        <w:ind w:left="-5"/>
      </w:pPr>
      <w:r>
        <w:lastRenderedPageBreak/>
        <w:t>“</w:t>
      </w:r>
      <w:r w:rsidR="005737FC">
        <w:t xml:space="preserve">Pulmonary alveolar </w:t>
      </w:r>
      <w:proofErr w:type="spellStart"/>
      <w:r w:rsidR="005737FC">
        <w:t>hemorrhage</w:t>
      </w:r>
      <w:proofErr w:type="spellEnd"/>
      <w:r w:rsidR="005737FC">
        <w:t xml:space="preserve"> is an extremely uncommon and potentially fatal complication of intravenous thrombolytic therapy. So far, only few cases have been reported in the literature</w:t>
      </w:r>
      <w:r>
        <w:t>”</w:t>
      </w:r>
      <w:r w:rsidR="005737FC">
        <w:t>.</w:t>
      </w:r>
      <w:r w:rsidR="005737FC">
        <w:rPr>
          <w:color w:val="005DA2"/>
          <w:sz w:val="21"/>
          <w:u w:val="single" w:color="005DA2"/>
          <w:vertAlign w:val="superscript"/>
        </w:rPr>
        <w:t>5–21</w:t>
      </w:r>
      <w:r>
        <w:rPr>
          <w:color w:val="005DA2"/>
          <w:sz w:val="21"/>
          <w:u w:val="single" w:color="005DA2"/>
          <w:vertAlign w:val="superscript"/>
        </w:rPr>
        <w:t>,23</w:t>
      </w:r>
    </w:p>
    <w:p w:rsidR="00846939" w:rsidRDefault="005737FC">
      <w:pPr>
        <w:pStyle w:val="Heading1"/>
        <w:ind w:left="-5"/>
      </w:pPr>
      <w:r>
        <w:t>Case Presentation</w:t>
      </w:r>
    </w:p>
    <w:p w:rsidR="00846939" w:rsidRDefault="005737FC">
      <w:pPr>
        <w:ind w:left="-5"/>
      </w:pPr>
      <w:r>
        <w:t xml:space="preserve">A 58-year-old male patient was referred to us from another peripheral hospital where he was diagnosed with acute ST elevation MI. Patient had received loading dose with aspirin, clopidogrel and statin and was </w:t>
      </w:r>
      <w:proofErr w:type="spellStart"/>
      <w:r>
        <w:t>thrombolysed</w:t>
      </w:r>
      <w:proofErr w:type="spellEnd"/>
      <w:r>
        <w:t xml:space="preserve"> with Streptokinase as primary PCI was not available in that hospital.</w:t>
      </w:r>
    </w:p>
    <w:p w:rsidR="00846939" w:rsidRDefault="005737FC">
      <w:pPr>
        <w:ind w:left="-5"/>
      </w:pPr>
      <w:r>
        <w:t xml:space="preserve">Approximately three to four hours after the thrombolytic treatment, the patient began experiencing moderate </w:t>
      </w:r>
      <w:proofErr w:type="spellStart"/>
      <w:r>
        <w:t>hemoptysis</w:t>
      </w:r>
      <w:proofErr w:type="spellEnd"/>
      <w:r>
        <w:t xml:space="preserve"> and was transferred to our hospital. Upon examination, his blood pressure was 90/60 mmHg, and his heart rate was 102 beats per minute. His respiratory rate was 30 breaths per minute, and his oxygen saturation (SaO2) on room air was 81%. Pulmonary auscultation revealed crackles primarily at the lung bases, especially on the left side. No other signs of heart failure were observed.</w:t>
      </w:r>
    </w:p>
    <w:p w:rsidR="00846939" w:rsidRDefault="005737FC">
      <w:pPr>
        <w:ind w:left="-5"/>
      </w:pPr>
      <w:r>
        <w:t>The chest X-ray revealed bilateral alveolar infiltrates (</w:t>
      </w:r>
      <w:r>
        <w:rPr>
          <w:color w:val="005DA2"/>
          <w:u w:val="single" w:color="005DA2"/>
        </w:rPr>
        <w:t>Figure 1</w:t>
      </w:r>
      <w:r>
        <w:rPr>
          <w:shd w:val="clear" w:color="auto" w:fill="FFFFFF"/>
        </w:rPr>
        <w:t>).</w:t>
      </w:r>
    </w:p>
    <w:p w:rsidR="00846939" w:rsidRDefault="005737FC">
      <w:pPr>
        <w:spacing w:after="560" w:line="259" w:lineRule="auto"/>
        <w:ind w:left="0" w:firstLine="0"/>
      </w:pPr>
      <w:r>
        <w:rPr>
          <w:noProof/>
        </w:rPr>
        <w:lastRenderedPageBreak/>
        <w:drawing>
          <wp:inline distT="0" distB="0" distL="0" distR="0">
            <wp:extent cx="3810001" cy="4029456"/>
            <wp:effectExtent l="0" t="0" r="0" b="0"/>
            <wp:docPr id="6987" name="Picture 6987"/>
            <wp:cNvGraphicFramePr/>
            <a:graphic xmlns:a="http://schemas.openxmlformats.org/drawingml/2006/main">
              <a:graphicData uri="http://schemas.openxmlformats.org/drawingml/2006/picture">
                <pic:pic xmlns:pic="http://schemas.openxmlformats.org/drawingml/2006/picture">
                  <pic:nvPicPr>
                    <pic:cNvPr id="6987" name="Picture 6987"/>
                    <pic:cNvPicPr/>
                  </pic:nvPicPr>
                  <pic:blipFill>
                    <a:blip r:embed="rId7"/>
                    <a:stretch>
                      <a:fillRect/>
                    </a:stretch>
                  </pic:blipFill>
                  <pic:spPr>
                    <a:xfrm>
                      <a:off x="0" y="0"/>
                      <a:ext cx="3810001" cy="4029456"/>
                    </a:xfrm>
                    <a:prstGeom prst="rect">
                      <a:avLst/>
                    </a:prstGeom>
                  </pic:spPr>
                </pic:pic>
              </a:graphicData>
            </a:graphic>
          </wp:inline>
        </w:drawing>
      </w:r>
    </w:p>
    <w:p w:rsidR="00846939" w:rsidRDefault="005737FC">
      <w:pPr>
        <w:ind w:left="-5"/>
      </w:pPr>
      <w:r>
        <w:t xml:space="preserve">Fig. 1: Chest </w:t>
      </w:r>
      <w:proofErr w:type="spellStart"/>
      <w:r>
        <w:t>Xray</w:t>
      </w:r>
      <w:proofErr w:type="spellEnd"/>
      <w:r>
        <w:t xml:space="preserve"> suggestive of bilateral alveolar lung infiltrates in lung parenchyma.</w:t>
      </w:r>
    </w:p>
    <w:p w:rsidR="00846939" w:rsidRDefault="005737FC">
      <w:pPr>
        <w:ind w:left="-5"/>
      </w:pPr>
      <w:r>
        <w:t xml:space="preserve"> The transthoracic echocardiography showed a reduced ejection fraction of 25–30%, with anterior wall hypokinesia. Initially, acute pulmonary </w:t>
      </w:r>
      <w:proofErr w:type="spellStart"/>
      <w:r>
        <w:t>edema</w:t>
      </w:r>
      <w:proofErr w:type="spellEnd"/>
      <w:r>
        <w:t xml:space="preserve"> was suspected, and intravenous furosemide was administered, but it had no effect.</w:t>
      </w:r>
    </w:p>
    <w:p w:rsidR="00846939" w:rsidRDefault="005737FC">
      <w:pPr>
        <w:ind w:left="-5"/>
      </w:pPr>
      <w:r>
        <w:t xml:space="preserve">Biological tests revealed a significant decrease in </w:t>
      </w:r>
      <w:proofErr w:type="spellStart"/>
      <w:r>
        <w:t>hemoglobin</w:t>
      </w:r>
      <w:proofErr w:type="spellEnd"/>
      <w:r>
        <w:t xml:space="preserve"> from 15.8 g/dL to 13.8 g/dL, with a normal platelet count and slightly elevated white blood cell count. Given the presence of </w:t>
      </w:r>
      <w:proofErr w:type="spellStart"/>
      <w:r>
        <w:t>hemoptysis</w:t>
      </w:r>
      <w:proofErr w:type="spellEnd"/>
      <w:r>
        <w:t xml:space="preserve">, the drop in </w:t>
      </w:r>
      <w:proofErr w:type="spellStart"/>
      <w:r>
        <w:t>hemoglobin</w:t>
      </w:r>
      <w:proofErr w:type="spellEnd"/>
      <w:r>
        <w:t xml:space="preserve">, and bilateral alveolar infiltrates on the chest X-ray, the diagnosis of alveolar </w:t>
      </w:r>
      <w:proofErr w:type="spellStart"/>
      <w:r>
        <w:t>hemorrhage</w:t>
      </w:r>
      <w:proofErr w:type="spellEnd"/>
      <w:r>
        <w:t xml:space="preserve"> (AH) was considered.</w:t>
      </w:r>
    </w:p>
    <w:p w:rsidR="00846939" w:rsidRDefault="005737FC">
      <w:pPr>
        <w:spacing w:after="950"/>
        <w:ind w:left="-5"/>
      </w:pPr>
      <w:r>
        <w:lastRenderedPageBreak/>
        <w:t xml:space="preserve"> A high-resolution computed tomography (HRCT) of the chest, including pulmonary angiography, revealed bilateral patchy condensations and micro nodules, strongly indicating AH.</w:t>
      </w:r>
    </w:p>
    <w:p w:rsidR="00846939" w:rsidRDefault="005737FC">
      <w:pPr>
        <w:spacing w:after="560" w:line="259" w:lineRule="auto"/>
        <w:ind w:left="0" w:firstLine="0"/>
      </w:pPr>
      <w:r>
        <w:rPr>
          <w:noProof/>
        </w:rPr>
        <w:drawing>
          <wp:inline distT="0" distB="0" distL="0" distR="0">
            <wp:extent cx="3563112" cy="2532889"/>
            <wp:effectExtent l="0" t="0" r="0" b="0"/>
            <wp:docPr id="6988" name="Picture 6988"/>
            <wp:cNvGraphicFramePr/>
            <a:graphic xmlns:a="http://schemas.openxmlformats.org/drawingml/2006/main">
              <a:graphicData uri="http://schemas.openxmlformats.org/drawingml/2006/picture">
                <pic:pic xmlns:pic="http://schemas.openxmlformats.org/drawingml/2006/picture">
                  <pic:nvPicPr>
                    <pic:cNvPr id="6988" name="Picture 6988"/>
                    <pic:cNvPicPr/>
                  </pic:nvPicPr>
                  <pic:blipFill>
                    <a:blip r:embed="rId8"/>
                    <a:stretch>
                      <a:fillRect/>
                    </a:stretch>
                  </pic:blipFill>
                  <pic:spPr>
                    <a:xfrm>
                      <a:off x="0" y="0"/>
                      <a:ext cx="3563112" cy="2532889"/>
                    </a:xfrm>
                    <a:prstGeom prst="rect">
                      <a:avLst/>
                    </a:prstGeom>
                  </pic:spPr>
                </pic:pic>
              </a:graphicData>
            </a:graphic>
          </wp:inline>
        </w:drawing>
      </w:r>
    </w:p>
    <w:p w:rsidR="00846939" w:rsidRDefault="005737FC">
      <w:pPr>
        <w:ind w:left="-5"/>
      </w:pPr>
      <w:r>
        <w:t>Fig 2: HRCT Chest image suggestive of patchy consolidation and micronodules.</w:t>
      </w:r>
    </w:p>
    <w:p w:rsidR="00846939" w:rsidRDefault="005737FC">
      <w:pPr>
        <w:ind w:left="-5"/>
      </w:pPr>
      <w:r>
        <w:t xml:space="preserve">In this case, we faced a dilemma regarding whether to continue anticoagulation and dual antiplatelet therapy (DAPT), given the patient's concurrent conditions: diffuse alveolar </w:t>
      </w:r>
      <w:proofErr w:type="spellStart"/>
      <w:r>
        <w:t>hemorrhage</w:t>
      </w:r>
      <w:proofErr w:type="spellEnd"/>
      <w:r>
        <w:t xml:space="preserve"> (DAH) and acute anterior wall myocardial infarction (AWMI). Additionally, the patient required coronary angiography and revascularization for acute MI.</w:t>
      </w:r>
    </w:p>
    <w:p w:rsidR="00846939" w:rsidRDefault="005737FC">
      <w:pPr>
        <w:ind w:left="-5"/>
      </w:pPr>
      <w:r>
        <w:t xml:space="preserve">Considering the patient was hemodynamically stable, not in cardiogenic shock, and had no arrhythmic events, we decided to delay coronary intervention to allow time for the resolution of DAH and improvement in respiratory function. The decision was made to withdraw anticoagulation and maintain the patient on a single antiplatelet agent in view of ongoing </w:t>
      </w:r>
      <w:proofErr w:type="spellStart"/>
      <w:r>
        <w:t>hemoptysis</w:t>
      </w:r>
      <w:proofErr w:type="spellEnd"/>
      <w:r>
        <w:t>. Also patient was given short course of IV steroids.</w:t>
      </w:r>
    </w:p>
    <w:p w:rsidR="00846939" w:rsidRDefault="005737FC">
      <w:pPr>
        <w:ind w:left="-5"/>
      </w:pPr>
      <w:r>
        <w:lastRenderedPageBreak/>
        <w:t xml:space="preserve">Over the following 20-25 days, the patient’s respiratory function improved, and </w:t>
      </w:r>
      <w:proofErr w:type="spellStart"/>
      <w:r>
        <w:t>hemoptysis</w:t>
      </w:r>
      <w:proofErr w:type="spellEnd"/>
      <w:r>
        <w:t xml:space="preserve"> gradually ceased. After this stabilization, the patient was successfully posted for coronary angiography and subsequent revascularization in light of the acute myocardial infarction diagnosis.</w:t>
      </w:r>
    </w:p>
    <w:p w:rsidR="00846939" w:rsidRDefault="005737FC">
      <w:pPr>
        <w:spacing w:after="142"/>
        <w:ind w:left="-5"/>
      </w:pPr>
      <w:r>
        <w:t xml:space="preserve">Coronary angiogram revealed tight </w:t>
      </w:r>
      <w:proofErr w:type="gramStart"/>
      <w:r>
        <w:t>lesion  in</w:t>
      </w:r>
      <w:proofErr w:type="gramEnd"/>
      <w:r>
        <w:t xml:space="preserve"> LAD and RCA total occlusion ( CTO) filling retrogradely from LAD.</w:t>
      </w:r>
    </w:p>
    <w:p w:rsidR="00846939" w:rsidRDefault="005737FC">
      <w:pPr>
        <w:spacing w:after="560" w:line="259" w:lineRule="auto"/>
        <w:ind w:left="0" w:firstLine="0"/>
      </w:pPr>
      <w:r>
        <w:rPr>
          <w:noProof/>
        </w:rPr>
        <w:drawing>
          <wp:inline distT="0" distB="0" distL="0" distR="0">
            <wp:extent cx="4466313" cy="4160402"/>
            <wp:effectExtent l="0" t="0" r="0" b="0"/>
            <wp:docPr id="207" name="Picture 207"/>
            <wp:cNvGraphicFramePr/>
            <a:graphic xmlns:a="http://schemas.openxmlformats.org/drawingml/2006/main">
              <a:graphicData uri="http://schemas.openxmlformats.org/drawingml/2006/picture">
                <pic:pic xmlns:pic="http://schemas.openxmlformats.org/drawingml/2006/picture">
                  <pic:nvPicPr>
                    <pic:cNvPr id="207" name="Picture 207"/>
                    <pic:cNvPicPr/>
                  </pic:nvPicPr>
                  <pic:blipFill>
                    <a:blip r:embed="rId9"/>
                    <a:stretch>
                      <a:fillRect/>
                    </a:stretch>
                  </pic:blipFill>
                  <pic:spPr>
                    <a:xfrm>
                      <a:off x="0" y="0"/>
                      <a:ext cx="4466313" cy="4160402"/>
                    </a:xfrm>
                    <a:prstGeom prst="rect">
                      <a:avLst/>
                    </a:prstGeom>
                  </pic:spPr>
                </pic:pic>
              </a:graphicData>
            </a:graphic>
          </wp:inline>
        </w:drawing>
      </w:r>
    </w:p>
    <w:p w:rsidR="00846939" w:rsidRDefault="005737FC">
      <w:pPr>
        <w:ind w:left="-5"/>
      </w:pPr>
      <w:r>
        <w:t>Fig 3: Coronary angiography showing tight lesion in proximal LAD.</w:t>
      </w:r>
    </w:p>
    <w:p w:rsidR="00846939" w:rsidRDefault="005737FC">
      <w:pPr>
        <w:spacing w:after="560" w:line="259" w:lineRule="auto"/>
        <w:ind w:left="0" w:firstLine="0"/>
      </w:pPr>
      <w:r>
        <w:rPr>
          <w:noProof/>
        </w:rPr>
        <w:lastRenderedPageBreak/>
        <w:drawing>
          <wp:inline distT="0" distB="0" distL="0" distR="0">
            <wp:extent cx="4702067" cy="3238015"/>
            <wp:effectExtent l="0" t="0" r="0" b="0"/>
            <wp:docPr id="217" name="Picture 217"/>
            <wp:cNvGraphicFramePr/>
            <a:graphic xmlns:a="http://schemas.openxmlformats.org/drawingml/2006/main">
              <a:graphicData uri="http://schemas.openxmlformats.org/drawingml/2006/picture">
                <pic:pic xmlns:pic="http://schemas.openxmlformats.org/drawingml/2006/picture">
                  <pic:nvPicPr>
                    <pic:cNvPr id="217" name="Picture 217"/>
                    <pic:cNvPicPr/>
                  </pic:nvPicPr>
                  <pic:blipFill>
                    <a:blip r:embed="rId10"/>
                    <a:stretch>
                      <a:fillRect/>
                    </a:stretch>
                  </pic:blipFill>
                  <pic:spPr>
                    <a:xfrm>
                      <a:off x="0" y="0"/>
                      <a:ext cx="4702067" cy="3238015"/>
                    </a:xfrm>
                    <a:prstGeom prst="rect">
                      <a:avLst/>
                    </a:prstGeom>
                  </pic:spPr>
                </pic:pic>
              </a:graphicData>
            </a:graphic>
          </wp:inline>
        </w:drawing>
      </w:r>
    </w:p>
    <w:p w:rsidR="00846939" w:rsidRDefault="005737FC">
      <w:pPr>
        <w:ind w:left="-5"/>
      </w:pPr>
      <w:r>
        <w:t>Fig 4: Coronary angiography showing significant proximal LAD lesion.</w:t>
      </w:r>
    </w:p>
    <w:p w:rsidR="00846939" w:rsidRDefault="005737FC">
      <w:pPr>
        <w:ind w:left="-5"/>
      </w:pPr>
      <w:r>
        <w:t>Patient underwent PTCA to LAD and RCA using two drug eluting stents and was discharged thereafter on dual antiplatelets.</w:t>
      </w:r>
    </w:p>
    <w:p w:rsidR="00846939" w:rsidRDefault="005737FC">
      <w:pPr>
        <w:spacing w:after="581"/>
        <w:ind w:left="-5"/>
      </w:pPr>
      <w:r>
        <w:t xml:space="preserve">On follow up, patient was vitally stable and had no complaints of </w:t>
      </w:r>
      <w:proofErr w:type="spellStart"/>
      <w:r>
        <w:t>hemoptysis</w:t>
      </w:r>
      <w:proofErr w:type="spellEnd"/>
      <w:r>
        <w:t xml:space="preserve"> episodes thereafter.</w:t>
      </w:r>
    </w:p>
    <w:p w:rsidR="00846939" w:rsidRDefault="005737FC">
      <w:pPr>
        <w:pStyle w:val="Heading1"/>
        <w:spacing w:after="353" w:line="259" w:lineRule="auto"/>
        <w:ind w:left="0" w:firstLine="0"/>
      </w:pPr>
      <w:r>
        <w:rPr>
          <w:sz w:val="39"/>
        </w:rPr>
        <w:t>Discussion</w:t>
      </w:r>
      <w:r>
        <w:rPr>
          <w:sz w:val="39"/>
          <w:vertAlign w:val="subscript"/>
        </w:rPr>
        <w:t xml:space="preserve"> </w:t>
      </w:r>
    </w:p>
    <w:p w:rsidR="00846939" w:rsidRDefault="00575EA8">
      <w:pPr>
        <w:ind w:left="-5"/>
      </w:pPr>
      <w:r>
        <w:t>“</w:t>
      </w:r>
      <w:r w:rsidR="005737FC">
        <w:t xml:space="preserve">Thrombolytic therapy is a well proven strategy for reperfusion in acute myocardial infarction and has been proven to decrease the morbidity and mortality related to this condition. However, it can lead to </w:t>
      </w:r>
      <w:proofErr w:type="spellStart"/>
      <w:r w:rsidR="005737FC">
        <w:t>hemorrhagic</w:t>
      </w:r>
      <w:proofErr w:type="spellEnd"/>
      <w:r w:rsidR="005737FC">
        <w:t xml:space="preserve"> complications</w:t>
      </w:r>
      <w:r>
        <w:t>” (</w:t>
      </w:r>
      <w:r w:rsidRPr="00575EA8">
        <w:t>Ben</w:t>
      </w:r>
      <w:r>
        <w:t xml:space="preserve"> et al., 2021)</w:t>
      </w:r>
      <w:r w:rsidR="005737FC">
        <w:t xml:space="preserve">. </w:t>
      </w:r>
    </w:p>
    <w:p w:rsidR="00846939" w:rsidRDefault="00575EA8">
      <w:pPr>
        <w:ind w:left="-5"/>
      </w:pPr>
      <w:r>
        <w:t>“</w:t>
      </w:r>
      <w:r w:rsidR="005737FC">
        <w:t xml:space="preserve">Diffuse alveolar </w:t>
      </w:r>
      <w:proofErr w:type="spellStart"/>
      <w:r w:rsidR="005737FC">
        <w:t>hemorrhage</w:t>
      </w:r>
      <w:proofErr w:type="spellEnd"/>
      <w:r w:rsidR="005737FC">
        <w:t xml:space="preserve"> (DAH) syndrome is a very unusual complication of intravenous thrombolytic treatment for acute myocardial infarction with a high </w:t>
      </w:r>
      <w:r w:rsidR="005737FC">
        <w:lastRenderedPageBreak/>
        <w:t xml:space="preserve">mortality rate and can go unnoticed. DAH usually occurs within a few hours to 5 days after </w:t>
      </w:r>
      <w:proofErr w:type="spellStart"/>
      <w:proofErr w:type="gramStart"/>
      <w:r w:rsidR="005737FC">
        <w:t>thrombolysis.This</w:t>
      </w:r>
      <w:proofErr w:type="spellEnd"/>
      <w:proofErr w:type="gramEnd"/>
      <w:r w:rsidR="005737FC">
        <w:t xml:space="preserve"> pathology is defined by bleeding within the alveoli, which is due to dislocation of the alveolar-capillary membrane caused by injury or acute inflammation of the arterioles, venules, or alveolar capillaries</w:t>
      </w:r>
      <w:r>
        <w:t>”</w:t>
      </w:r>
      <w:r w:rsidR="005737FC">
        <w:t>.</w:t>
      </w:r>
      <w:r w:rsidR="005737FC">
        <w:rPr>
          <w:color w:val="005DA2"/>
          <w:sz w:val="21"/>
          <w:u w:val="single" w:color="005DA2"/>
          <w:vertAlign w:val="superscript"/>
        </w:rPr>
        <w:t>1</w:t>
      </w:r>
      <w:r>
        <w:rPr>
          <w:color w:val="005DA2"/>
          <w:sz w:val="21"/>
          <w:u w:val="single" w:color="005DA2"/>
          <w:vertAlign w:val="superscript"/>
        </w:rPr>
        <w:t>,23</w:t>
      </w:r>
      <w:r w:rsidR="005737FC">
        <w:rPr>
          <w:shd w:val="clear" w:color="auto" w:fill="FFFFFF"/>
        </w:rPr>
        <w:t xml:space="preserve"> The available </w:t>
      </w:r>
      <w:r w:rsidR="005737FC">
        <w:t>literature does not cover the exact incidence of this complication, but it rather consists of few case reports.</w:t>
      </w:r>
    </w:p>
    <w:p w:rsidR="00846939" w:rsidRDefault="00575EA8">
      <w:pPr>
        <w:ind w:left="-5"/>
      </w:pPr>
      <w:r>
        <w:t>“</w:t>
      </w:r>
      <w:r w:rsidR="005737FC">
        <w:t xml:space="preserve">The pathogenesis of DAH attributable to thrombolytic therapy remains uncertain and may be explained by the pre-existing fibrinolytic </w:t>
      </w:r>
      <w:proofErr w:type="spellStart"/>
      <w:r w:rsidR="005737FC">
        <w:t>states,the</w:t>
      </w:r>
      <w:proofErr w:type="spellEnd"/>
      <w:r w:rsidR="005737FC">
        <w:t xml:space="preserve"> presence of parenchymal abnormalities or an immune reaction to streptokinase causing pulmonary </w:t>
      </w:r>
      <w:proofErr w:type="spellStart"/>
      <w:r w:rsidR="005737FC">
        <w:t>capillaritis</w:t>
      </w:r>
      <w:proofErr w:type="spellEnd"/>
      <w:r w:rsidR="005737FC">
        <w:t xml:space="preserve"> as it has been proposed</w:t>
      </w:r>
      <w:r>
        <w:t>”</w:t>
      </w:r>
      <w:r w:rsidR="005737FC">
        <w:t>.</w:t>
      </w:r>
      <w:r w:rsidR="005737FC">
        <w:rPr>
          <w:color w:val="005DA2"/>
          <w:sz w:val="21"/>
          <w:u w:val="single" w:color="005DA2"/>
          <w:vertAlign w:val="superscript"/>
        </w:rPr>
        <w:t>20</w:t>
      </w:r>
      <w:r>
        <w:rPr>
          <w:color w:val="005DA2"/>
          <w:sz w:val="21"/>
          <w:u w:val="single" w:color="005DA2"/>
          <w:vertAlign w:val="superscript"/>
        </w:rPr>
        <w:t>,23</w:t>
      </w:r>
      <w:r w:rsidR="005737FC">
        <w:rPr>
          <w:shd w:val="clear" w:color="auto" w:fill="FFFFFF"/>
        </w:rPr>
        <w:t xml:space="preserve"> It has been mentioned that </w:t>
      </w:r>
      <w:r>
        <w:rPr>
          <w:shd w:val="clear" w:color="auto" w:fill="FFFFFF"/>
        </w:rPr>
        <w:t>“</w:t>
      </w:r>
      <w:r w:rsidR="005737FC">
        <w:rPr>
          <w:shd w:val="clear" w:color="auto" w:fill="FFFFFF"/>
        </w:rPr>
        <w:t xml:space="preserve">certain </w:t>
      </w:r>
      <w:r w:rsidR="005737FC">
        <w:t>potential cofactors may predispose to this complication such as underlying lung diseases (chronic obstructive pulmonary disease, prior emphysema), recent pneumonia, cardiac catheterization, arrhythmias requiring defibrillation shock or cardiopulmonary resuscitation, heart failure, and substances abuse as cocaine and tobacco</w:t>
      </w:r>
      <w:r>
        <w:t>”</w:t>
      </w:r>
      <w:r w:rsidR="005737FC">
        <w:t>.</w:t>
      </w:r>
      <w:r w:rsidR="005737FC">
        <w:rPr>
          <w:color w:val="005DA2"/>
          <w:sz w:val="21"/>
          <w:u w:val="single" w:color="005DA2"/>
          <w:vertAlign w:val="superscript"/>
        </w:rPr>
        <w:t>21</w:t>
      </w:r>
      <w:r>
        <w:rPr>
          <w:color w:val="005DA2"/>
          <w:sz w:val="21"/>
          <w:u w:val="single" w:color="005DA2"/>
          <w:vertAlign w:val="superscript"/>
        </w:rPr>
        <w:t>,23</w:t>
      </w:r>
      <w:r w:rsidR="005737FC">
        <w:rPr>
          <w:shd w:val="clear" w:color="auto" w:fill="FFFFFF"/>
        </w:rPr>
        <w:t xml:space="preserve"> The clinical presentation of DAH is often marked by </w:t>
      </w:r>
      <w:proofErr w:type="spellStart"/>
      <w:r w:rsidR="005737FC">
        <w:rPr>
          <w:shd w:val="clear" w:color="auto" w:fill="FFFFFF"/>
        </w:rPr>
        <w:t>hemoptysis</w:t>
      </w:r>
      <w:proofErr w:type="spellEnd"/>
      <w:r w:rsidR="005737FC">
        <w:rPr>
          <w:shd w:val="clear" w:color="auto" w:fill="FFFFFF"/>
        </w:rPr>
        <w:t xml:space="preserve">, </w:t>
      </w:r>
      <w:proofErr w:type="spellStart"/>
      <w:r w:rsidR="005737FC">
        <w:t>anemia</w:t>
      </w:r>
      <w:proofErr w:type="spellEnd"/>
      <w:r w:rsidR="005737FC">
        <w:t xml:space="preserve">, and radiographic infiltrates, frequently accompanied by acute respiratory failure. </w:t>
      </w:r>
    </w:p>
    <w:p w:rsidR="00846939" w:rsidRDefault="005737FC">
      <w:pPr>
        <w:ind w:left="-5"/>
      </w:pPr>
      <w:r>
        <w:t xml:space="preserve">In cases of myocardial infarction with acute pulmonary distress and alveolar opacities on chest X-ray, acute pulmonary </w:t>
      </w:r>
      <w:proofErr w:type="spellStart"/>
      <w:r>
        <w:t>edema</w:t>
      </w:r>
      <w:proofErr w:type="spellEnd"/>
      <w:r>
        <w:t xml:space="preserve"> is typically suspected. This can lead to inappropriate treatment with diuretics. Therefore, it is crucial to also consider DAH, especially when </w:t>
      </w:r>
      <w:proofErr w:type="spellStart"/>
      <w:r>
        <w:t>hemoptysis</w:t>
      </w:r>
      <w:proofErr w:type="spellEnd"/>
      <w:r>
        <w:t xml:space="preserve"> and/or a sudden drop in </w:t>
      </w:r>
      <w:proofErr w:type="spellStart"/>
      <w:r>
        <w:t>hemoglobin</w:t>
      </w:r>
      <w:proofErr w:type="spellEnd"/>
      <w:r>
        <w:t xml:space="preserve"> occur without a clear bleeding source.</w:t>
      </w:r>
    </w:p>
    <w:p w:rsidR="00846939" w:rsidRDefault="00575EA8">
      <w:pPr>
        <w:spacing w:after="903"/>
        <w:ind w:left="-5"/>
      </w:pPr>
      <w:r>
        <w:t>“</w:t>
      </w:r>
      <w:r w:rsidR="005737FC">
        <w:t>When the diagnosis is suggested, bronchial endoscopy with bronchoalveolar lavage (BAL) is the gold standard exam to confirm the diagnosis</w:t>
      </w:r>
      <w:r>
        <w:t>”</w:t>
      </w:r>
      <w:r w:rsidR="005737FC">
        <w:t>.</w:t>
      </w:r>
      <w:r w:rsidR="005737FC">
        <w:rPr>
          <w:color w:val="005DA2"/>
          <w:sz w:val="21"/>
          <w:u w:val="single" w:color="005DA2"/>
          <w:vertAlign w:val="superscript"/>
        </w:rPr>
        <w:t>18</w:t>
      </w:r>
      <w:r>
        <w:rPr>
          <w:color w:val="005DA2"/>
          <w:sz w:val="21"/>
          <w:u w:val="single" w:color="005DA2"/>
          <w:vertAlign w:val="superscript"/>
        </w:rPr>
        <w:t>,23</w:t>
      </w:r>
      <w:r w:rsidR="005737FC">
        <w:rPr>
          <w:shd w:val="clear" w:color="auto" w:fill="FFFFFF"/>
        </w:rPr>
        <w:t xml:space="preserve"> However, it is </w:t>
      </w:r>
      <w:r w:rsidR="005737FC">
        <w:t>not usually possible, mainly depending on the patient’s condition. In our case, these exams were not performed.</w:t>
      </w:r>
    </w:p>
    <w:p w:rsidR="00846939" w:rsidRDefault="00575EA8">
      <w:pPr>
        <w:spacing w:after="1829"/>
        <w:ind w:left="-5"/>
      </w:pPr>
      <w:r>
        <w:t>“</w:t>
      </w:r>
      <w:r w:rsidR="005737FC">
        <w:t xml:space="preserve">The management of DAH is based on two pillars: the treatment of respiratory failure and the correction of the </w:t>
      </w:r>
      <w:proofErr w:type="spellStart"/>
      <w:r w:rsidR="005737FC">
        <w:t>anemia</w:t>
      </w:r>
      <w:proofErr w:type="spellEnd"/>
      <w:r w:rsidR="005737FC">
        <w:t xml:space="preserve"> with packed red cell transfusions</w:t>
      </w:r>
      <w:r>
        <w:t>” (</w:t>
      </w:r>
      <w:r w:rsidRPr="00575EA8">
        <w:t>Ben</w:t>
      </w:r>
      <w:r>
        <w:t xml:space="preserve"> et al., 2021)</w:t>
      </w:r>
      <w:r w:rsidR="005737FC">
        <w:t xml:space="preserve">. Discontinuing or deescalating antiplatelet and anticoagulation </w:t>
      </w:r>
      <w:r w:rsidR="005737FC">
        <w:lastRenderedPageBreak/>
        <w:t xml:space="preserve">medication is necessary and may be </w:t>
      </w:r>
      <w:proofErr w:type="spellStart"/>
      <w:r w:rsidR="005737FC">
        <w:t>life saving</w:t>
      </w:r>
      <w:proofErr w:type="spellEnd"/>
      <w:r w:rsidR="005737FC">
        <w:t xml:space="preserve"> to allow for resolution of </w:t>
      </w:r>
      <w:proofErr w:type="spellStart"/>
      <w:r w:rsidR="005737FC">
        <w:t>hemorrhage</w:t>
      </w:r>
      <w:proofErr w:type="spellEnd"/>
      <w:r w:rsidR="005737FC">
        <w:t xml:space="preserve"> and improvement of lung function. </w:t>
      </w:r>
      <w:r w:rsidR="005737FC">
        <w:rPr>
          <w:color w:val="005DA2"/>
          <w:sz w:val="21"/>
          <w:u w:val="single" w:color="005DA2"/>
          <w:vertAlign w:val="superscript"/>
        </w:rPr>
        <w:t>22</w:t>
      </w:r>
      <w:r w:rsidR="005737FC">
        <w:t xml:space="preserve"> </w:t>
      </w:r>
    </w:p>
    <w:p w:rsidR="00846939" w:rsidRDefault="005737FC">
      <w:pPr>
        <w:pStyle w:val="Heading2"/>
      </w:pPr>
      <w:r>
        <w:t>Conclusion</w:t>
      </w:r>
    </w:p>
    <w:p w:rsidR="0010478B" w:rsidRPr="0010478B" w:rsidRDefault="0010478B" w:rsidP="0010478B">
      <w:pPr>
        <w:spacing w:after="0" w:line="240" w:lineRule="auto"/>
        <w:ind w:left="0" w:firstLine="0"/>
        <w:rPr>
          <w:color w:val="auto"/>
          <w:sz w:val="24"/>
          <w:szCs w:val="24"/>
          <w:lang w:val="en-US" w:eastAsia="en-US"/>
        </w:rPr>
      </w:pPr>
      <w:r w:rsidRPr="0010478B">
        <w:rPr>
          <w:color w:val="auto"/>
          <w:sz w:val="24"/>
          <w:szCs w:val="24"/>
          <w:lang w:val="en-US" w:eastAsia="en-US"/>
        </w:rPr>
        <w:t xml:space="preserve">An uncommon side effect of fibrinolytic treatment for MI, particularly when streptokinase is used, is diffuse alveolar bleeding. A high level of suspicion is necessary for the diagnosis of diffuse alveolar hemorrhage because the symptoms and indicators are vague and could cause a delay. Patients with acute pulmonary discomfort linked to hemoptysis, acute anemia with a sharp decline in hemoglobin, and lung infiltrates following thrombolysis should be evaluated for the diagnosis. To prevent acute respiratory failure and death, early diagnosis and therapeutic intervention are essential. </w:t>
      </w:r>
    </w:p>
    <w:p w:rsidR="0010478B" w:rsidRDefault="0010478B" w:rsidP="008E6098">
      <w:pPr>
        <w:spacing w:after="200" w:line="276" w:lineRule="auto"/>
        <w:ind w:left="0" w:firstLine="0"/>
        <w:rPr>
          <w:rFonts w:ascii="Calibri" w:eastAsia="Calibri" w:hAnsi="Calibri"/>
          <w:b/>
          <w:color w:val="auto"/>
          <w:kern w:val="2"/>
          <w:sz w:val="22"/>
          <w:lang w:val="en-US" w:eastAsia="en-US"/>
          <w14:ligatures w14:val="standardContextual"/>
        </w:rPr>
      </w:pPr>
    </w:p>
    <w:p w:rsidR="008E6098" w:rsidRPr="008E6098" w:rsidRDefault="008E6098" w:rsidP="008E6098">
      <w:pPr>
        <w:spacing w:after="200" w:line="276" w:lineRule="auto"/>
        <w:ind w:left="0" w:firstLine="0"/>
        <w:rPr>
          <w:rFonts w:ascii="Calibri" w:eastAsia="Calibri" w:hAnsi="Calibri"/>
          <w:b/>
          <w:color w:val="auto"/>
          <w:kern w:val="2"/>
          <w:sz w:val="22"/>
          <w:lang w:val="en-US" w:eastAsia="en-US"/>
          <w14:ligatures w14:val="standardContextual"/>
        </w:rPr>
      </w:pPr>
      <w:r w:rsidRPr="008E6098">
        <w:rPr>
          <w:rFonts w:ascii="Calibri" w:eastAsia="Calibri" w:hAnsi="Calibri"/>
          <w:b/>
          <w:color w:val="auto"/>
          <w:kern w:val="2"/>
          <w:sz w:val="22"/>
          <w:lang w:val="en-US" w:eastAsia="en-US"/>
          <w14:ligatures w14:val="standardContextual"/>
        </w:rPr>
        <w:t xml:space="preserve">Consent </w:t>
      </w:r>
    </w:p>
    <w:p w:rsidR="008E6098" w:rsidRPr="008E6098" w:rsidRDefault="008E6098" w:rsidP="008E6098">
      <w:pPr>
        <w:spacing w:after="200" w:line="276" w:lineRule="auto"/>
        <w:ind w:left="0" w:firstLine="0"/>
        <w:rPr>
          <w:rFonts w:ascii="Calibri" w:eastAsia="Calibri" w:hAnsi="Calibri"/>
          <w:color w:val="auto"/>
          <w:kern w:val="2"/>
          <w:sz w:val="22"/>
          <w:lang w:val="en-US" w:eastAsia="en-US"/>
          <w14:ligatures w14:val="standardContextual"/>
        </w:rPr>
      </w:pPr>
      <w:r w:rsidRPr="008E6098">
        <w:rPr>
          <w:rFonts w:ascii="Calibri" w:eastAsia="Calibri" w:hAnsi="Calibri"/>
          <w:color w:val="auto"/>
          <w:kern w:val="2"/>
          <w:sz w:val="22"/>
          <w:lang w:val="en-US" w:eastAsia="en-US"/>
          <w14:ligatures w14:val="standardContextual"/>
        </w:rPr>
        <w:t>As per international standards or university standards, patient(s) written consent has been collected and preserved by the author(s).</w:t>
      </w:r>
      <w:bookmarkStart w:id="0" w:name="_GoBack"/>
      <w:bookmarkEnd w:id="0"/>
    </w:p>
    <w:p w:rsidR="008E6098" w:rsidRDefault="008E6098" w:rsidP="008E6098">
      <w:pPr>
        <w:spacing w:after="200" w:line="276" w:lineRule="auto"/>
        <w:ind w:left="0" w:firstLine="0"/>
        <w:rPr>
          <w:rFonts w:ascii="Calibri" w:eastAsia="Calibri" w:hAnsi="Calibri"/>
          <w:b/>
          <w:color w:val="auto"/>
          <w:kern w:val="2"/>
          <w:sz w:val="22"/>
          <w:lang w:val="en-US" w:eastAsia="en-US"/>
          <w14:ligatures w14:val="standardContextual"/>
        </w:rPr>
      </w:pPr>
    </w:p>
    <w:p w:rsidR="008E6098" w:rsidRPr="008E6098" w:rsidRDefault="008E6098" w:rsidP="008E6098">
      <w:pPr>
        <w:spacing w:after="200" w:line="276" w:lineRule="auto"/>
        <w:ind w:left="0" w:firstLine="0"/>
        <w:rPr>
          <w:rFonts w:ascii="Calibri" w:eastAsia="Calibri" w:hAnsi="Calibri"/>
          <w:b/>
          <w:color w:val="auto"/>
          <w:kern w:val="2"/>
          <w:sz w:val="22"/>
          <w:lang w:val="en-US" w:eastAsia="en-US"/>
          <w14:ligatures w14:val="standardContextual"/>
        </w:rPr>
      </w:pPr>
      <w:r w:rsidRPr="008E6098">
        <w:rPr>
          <w:rFonts w:ascii="Calibri" w:eastAsia="Calibri" w:hAnsi="Calibri"/>
          <w:b/>
          <w:color w:val="auto"/>
          <w:kern w:val="2"/>
          <w:sz w:val="22"/>
          <w:lang w:val="en-US" w:eastAsia="en-US"/>
          <w14:ligatures w14:val="standardContextual"/>
        </w:rPr>
        <w:t>Disclaimer (Artificial intelligence)</w:t>
      </w:r>
    </w:p>
    <w:p w:rsidR="008E6098" w:rsidRPr="008E6098" w:rsidRDefault="008E6098" w:rsidP="008E6098">
      <w:pPr>
        <w:spacing w:after="200" w:line="276" w:lineRule="auto"/>
        <w:ind w:left="0" w:firstLine="0"/>
        <w:rPr>
          <w:rFonts w:ascii="Calibri" w:eastAsia="Calibri" w:hAnsi="Calibri"/>
          <w:color w:val="auto"/>
          <w:kern w:val="2"/>
          <w:sz w:val="22"/>
          <w:lang w:val="en-US" w:eastAsia="en-US"/>
          <w14:ligatures w14:val="standardContextual"/>
        </w:rPr>
      </w:pPr>
      <w:r w:rsidRPr="008E6098">
        <w:rPr>
          <w:rFonts w:ascii="Calibri" w:eastAsia="Calibri" w:hAnsi="Calibri"/>
          <w:color w:val="auto"/>
          <w:kern w:val="2"/>
          <w:sz w:val="22"/>
          <w:lang w:val="en-US" w:eastAsia="en-US"/>
          <w14:ligatures w14:val="standardContextual"/>
        </w:rPr>
        <w:t xml:space="preserve">Option 1: </w:t>
      </w:r>
    </w:p>
    <w:p w:rsidR="008E6098" w:rsidRPr="008E6098" w:rsidRDefault="008E6098" w:rsidP="008E6098">
      <w:pPr>
        <w:spacing w:after="200" w:line="276" w:lineRule="auto"/>
        <w:ind w:left="0" w:firstLine="0"/>
        <w:rPr>
          <w:rFonts w:ascii="Calibri" w:eastAsia="Calibri" w:hAnsi="Calibri"/>
          <w:color w:val="auto"/>
          <w:kern w:val="2"/>
          <w:sz w:val="22"/>
          <w:lang w:val="en-US" w:eastAsia="en-US"/>
          <w14:ligatures w14:val="standardContextual"/>
        </w:rPr>
      </w:pPr>
      <w:r w:rsidRPr="008E6098">
        <w:rPr>
          <w:rFonts w:ascii="Calibri" w:eastAsia="Calibri" w:hAnsi="Calibri"/>
          <w:color w:val="auto"/>
          <w:kern w:val="2"/>
          <w:sz w:val="22"/>
          <w:lang w:val="en-US" w:eastAsia="en-US"/>
          <w14:ligatures w14:val="standardContextual"/>
        </w:rPr>
        <w:t>Author(s) hereby declare that NO generative AI technologies such as Large Language Models (</w:t>
      </w:r>
      <w:proofErr w:type="spellStart"/>
      <w:r w:rsidRPr="008E6098">
        <w:rPr>
          <w:rFonts w:ascii="Calibri" w:eastAsia="Calibri" w:hAnsi="Calibri"/>
          <w:color w:val="auto"/>
          <w:kern w:val="2"/>
          <w:sz w:val="22"/>
          <w:lang w:val="en-US" w:eastAsia="en-US"/>
          <w14:ligatures w14:val="standardContextual"/>
        </w:rPr>
        <w:t>ChatGPT</w:t>
      </w:r>
      <w:proofErr w:type="spellEnd"/>
      <w:r w:rsidRPr="008E6098">
        <w:rPr>
          <w:rFonts w:ascii="Calibri" w:eastAsia="Calibri" w:hAnsi="Calibri"/>
          <w:color w:val="auto"/>
          <w:kern w:val="2"/>
          <w:sz w:val="22"/>
          <w:lang w:val="en-US" w:eastAsia="en-US"/>
          <w14:ligatures w14:val="standardContextual"/>
        </w:rPr>
        <w:t xml:space="preserve">, COPILOT, etc.) and text-to-image generators have been used during the writing or editing of this manuscript. </w:t>
      </w:r>
    </w:p>
    <w:p w:rsidR="008E6098" w:rsidRPr="008E6098" w:rsidRDefault="008E6098" w:rsidP="008E6098">
      <w:pPr>
        <w:spacing w:after="200" w:line="276" w:lineRule="auto"/>
        <w:ind w:left="0" w:firstLine="0"/>
        <w:rPr>
          <w:rFonts w:ascii="Calibri" w:eastAsia="Calibri" w:hAnsi="Calibri"/>
          <w:color w:val="auto"/>
          <w:kern w:val="2"/>
          <w:sz w:val="22"/>
          <w:lang w:val="en-US" w:eastAsia="en-US"/>
          <w14:ligatures w14:val="standardContextual"/>
        </w:rPr>
      </w:pPr>
      <w:r w:rsidRPr="008E6098">
        <w:rPr>
          <w:rFonts w:ascii="Calibri" w:eastAsia="Calibri" w:hAnsi="Calibri"/>
          <w:color w:val="auto"/>
          <w:kern w:val="2"/>
          <w:sz w:val="22"/>
          <w:lang w:val="en-US" w:eastAsia="en-US"/>
          <w14:ligatures w14:val="standardContextual"/>
        </w:rPr>
        <w:t xml:space="preserve">Option 2: </w:t>
      </w:r>
    </w:p>
    <w:p w:rsidR="008E6098" w:rsidRPr="008E6098" w:rsidRDefault="008E6098" w:rsidP="008E6098">
      <w:pPr>
        <w:spacing w:after="200" w:line="276" w:lineRule="auto"/>
        <w:ind w:left="0" w:firstLine="0"/>
        <w:rPr>
          <w:rFonts w:ascii="Calibri" w:eastAsia="Calibri" w:hAnsi="Calibri"/>
          <w:color w:val="auto"/>
          <w:kern w:val="2"/>
          <w:sz w:val="22"/>
          <w:lang w:val="en-US" w:eastAsia="en-US"/>
          <w14:ligatures w14:val="standardContextual"/>
        </w:rPr>
      </w:pPr>
      <w:r w:rsidRPr="008E6098">
        <w:rPr>
          <w:rFonts w:ascii="Calibri" w:eastAsia="Calibri" w:hAnsi="Calibri"/>
          <w:color w:val="auto"/>
          <w:kern w:val="2"/>
          <w:sz w:val="22"/>
          <w:lang w:val="en-US" w:eastAsia="en-US"/>
          <w14:ligatures w14:val="standardContextual"/>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rsidR="008E6098" w:rsidRPr="008E6098" w:rsidRDefault="008E6098" w:rsidP="008E6098">
      <w:pPr>
        <w:spacing w:after="200" w:line="276" w:lineRule="auto"/>
        <w:ind w:left="0" w:firstLine="0"/>
        <w:rPr>
          <w:rFonts w:ascii="Calibri" w:eastAsia="Calibri" w:hAnsi="Calibri"/>
          <w:color w:val="auto"/>
          <w:kern w:val="2"/>
          <w:sz w:val="22"/>
          <w:lang w:val="en-US" w:eastAsia="en-US"/>
          <w14:ligatures w14:val="standardContextual"/>
        </w:rPr>
      </w:pPr>
      <w:r w:rsidRPr="008E6098">
        <w:rPr>
          <w:rFonts w:ascii="Calibri" w:eastAsia="Calibri" w:hAnsi="Calibri"/>
          <w:color w:val="auto"/>
          <w:kern w:val="2"/>
          <w:sz w:val="22"/>
          <w:lang w:val="en-US" w:eastAsia="en-US"/>
          <w14:ligatures w14:val="standardContextual"/>
        </w:rPr>
        <w:t>Details of the AI usage are given below:</w:t>
      </w:r>
    </w:p>
    <w:p w:rsidR="008E6098" w:rsidRPr="008E6098" w:rsidRDefault="008E6098" w:rsidP="008E6098">
      <w:pPr>
        <w:spacing w:after="200" w:line="276" w:lineRule="auto"/>
        <w:ind w:left="0" w:firstLine="0"/>
        <w:rPr>
          <w:rFonts w:ascii="Calibri" w:eastAsia="Calibri" w:hAnsi="Calibri"/>
          <w:color w:val="auto"/>
          <w:kern w:val="2"/>
          <w:sz w:val="22"/>
          <w:lang w:val="en-US" w:eastAsia="en-US"/>
          <w14:ligatures w14:val="standardContextual"/>
        </w:rPr>
      </w:pPr>
      <w:r w:rsidRPr="008E6098">
        <w:rPr>
          <w:rFonts w:ascii="Calibri" w:eastAsia="Calibri" w:hAnsi="Calibri"/>
          <w:color w:val="auto"/>
          <w:kern w:val="2"/>
          <w:sz w:val="22"/>
          <w:lang w:val="en-US" w:eastAsia="en-US"/>
          <w14:ligatures w14:val="standardContextual"/>
        </w:rPr>
        <w:t>1.</w:t>
      </w:r>
    </w:p>
    <w:p w:rsidR="008E6098" w:rsidRPr="008E6098" w:rsidRDefault="008E6098" w:rsidP="008E6098">
      <w:pPr>
        <w:spacing w:after="200" w:line="276" w:lineRule="auto"/>
        <w:ind w:left="0" w:firstLine="0"/>
        <w:rPr>
          <w:rFonts w:ascii="Calibri" w:eastAsia="Calibri" w:hAnsi="Calibri"/>
          <w:color w:val="auto"/>
          <w:kern w:val="2"/>
          <w:sz w:val="22"/>
          <w:lang w:val="en-US" w:eastAsia="en-US"/>
          <w14:ligatures w14:val="standardContextual"/>
        </w:rPr>
      </w:pPr>
      <w:r w:rsidRPr="008E6098">
        <w:rPr>
          <w:rFonts w:ascii="Calibri" w:eastAsia="Calibri" w:hAnsi="Calibri"/>
          <w:color w:val="auto"/>
          <w:kern w:val="2"/>
          <w:sz w:val="22"/>
          <w:lang w:val="en-US" w:eastAsia="en-US"/>
          <w14:ligatures w14:val="standardContextual"/>
        </w:rPr>
        <w:lastRenderedPageBreak/>
        <w:t>2.</w:t>
      </w:r>
    </w:p>
    <w:p w:rsidR="008E6098" w:rsidRPr="008E6098" w:rsidRDefault="008E6098" w:rsidP="008E6098">
      <w:pPr>
        <w:spacing w:after="200" w:line="276" w:lineRule="auto"/>
        <w:ind w:left="0" w:firstLine="0"/>
        <w:rPr>
          <w:rFonts w:ascii="Calibri" w:eastAsia="Calibri" w:hAnsi="Calibri"/>
          <w:color w:val="auto"/>
          <w:kern w:val="2"/>
          <w:sz w:val="22"/>
          <w:lang w:val="en-US" w:eastAsia="en-US"/>
          <w14:ligatures w14:val="standardContextual"/>
        </w:rPr>
      </w:pPr>
      <w:r w:rsidRPr="008E6098">
        <w:rPr>
          <w:rFonts w:ascii="Calibri" w:eastAsia="Calibri" w:hAnsi="Calibri"/>
          <w:color w:val="auto"/>
          <w:kern w:val="2"/>
          <w:sz w:val="22"/>
          <w:lang w:val="en-US" w:eastAsia="en-US"/>
          <w14:ligatures w14:val="standardContextual"/>
        </w:rPr>
        <w:t>3.</w:t>
      </w:r>
    </w:p>
    <w:p w:rsidR="008E6098" w:rsidRDefault="008E6098">
      <w:pPr>
        <w:pStyle w:val="Heading2"/>
        <w:spacing w:after="559" w:line="265" w:lineRule="auto"/>
        <w:ind w:left="-5" w:hanging="10"/>
        <w:rPr>
          <w:rFonts w:ascii="Times New Roman" w:eastAsia="Times New Roman" w:hAnsi="Times New Roman" w:cs="Times New Roman"/>
          <w:sz w:val="35"/>
        </w:rPr>
      </w:pPr>
    </w:p>
    <w:p w:rsidR="00846939" w:rsidRDefault="005737FC">
      <w:pPr>
        <w:pStyle w:val="Heading2"/>
        <w:spacing w:after="559" w:line="265" w:lineRule="auto"/>
        <w:ind w:left="-5" w:hanging="10"/>
      </w:pPr>
      <w:r>
        <w:rPr>
          <w:rFonts w:ascii="Times New Roman" w:eastAsia="Times New Roman" w:hAnsi="Times New Roman" w:cs="Times New Roman"/>
          <w:sz w:val="35"/>
        </w:rPr>
        <w:t>References</w:t>
      </w:r>
    </w:p>
    <w:p w:rsidR="00846939" w:rsidRDefault="005737FC">
      <w:pPr>
        <w:spacing w:after="11" w:line="270" w:lineRule="auto"/>
        <w:ind w:left="170"/>
      </w:pPr>
      <w:r>
        <w:rPr>
          <w:sz w:val="21"/>
        </w:rPr>
        <w:t xml:space="preserve">1.Parrot A, </w:t>
      </w:r>
      <w:proofErr w:type="spellStart"/>
      <w:r>
        <w:rPr>
          <w:sz w:val="21"/>
        </w:rPr>
        <w:t>Voiriot</w:t>
      </w:r>
      <w:proofErr w:type="spellEnd"/>
      <w:r>
        <w:rPr>
          <w:sz w:val="21"/>
        </w:rPr>
        <w:t xml:space="preserve"> G, Canellas A, et al. Pulmonary alveolar </w:t>
      </w:r>
      <w:proofErr w:type="spellStart"/>
      <w:r>
        <w:rPr>
          <w:sz w:val="21"/>
        </w:rPr>
        <w:t>hemorrhage</w:t>
      </w:r>
      <w:proofErr w:type="spellEnd"/>
      <w:r>
        <w:rPr>
          <w:sz w:val="21"/>
        </w:rPr>
        <w:t xml:space="preserve">. </w:t>
      </w:r>
      <w:r>
        <w:rPr>
          <w:i/>
          <w:sz w:val="21"/>
        </w:rPr>
        <w:t xml:space="preserve">Med Intensive </w:t>
      </w:r>
      <w:proofErr w:type="spellStart"/>
      <w:r>
        <w:rPr>
          <w:i/>
          <w:sz w:val="21"/>
        </w:rPr>
        <w:t>Reanim</w:t>
      </w:r>
      <w:proofErr w:type="spellEnd"/>
      <w:r>
        <w:rPr>
          <w:sz w:val="21"/>
        </w:rPr>
        <w:t xml:space="preserve">. </w:t>
      </w:r>
    </w:p>
    <w:p w:rsidR="00846939" w:rsidRDefault="005737FC">
      <w:pPr>
        <w:spacing w:after="50" w:line="270" w:lineRule="auto"/>
        <w:ind w:left="170"/>
      </w:pPr>
      <w:r>
        <w:rPr>
          <w:sz w:val="21"/>
        </w:rPr>
        <w:t xml:space="preserve">2018;27(4):331–343. </w:t>
      </w:r>
      <w:proofErr w:type="spellStart"/>
      <w:r>
        <w:rPr>
          <w:sz w:val="21"/>
        </w:rPr>
        <w:t>doi</w:t>
      </w:r>
      <w:proofErr w:type="spellEnd"/>
      <w:r>
        <w:rPr>
          <w:sz w:val="21"/>
        </w:rPr>
        <w:t>: 10.3166/rea-2018-0060 [</w:t>
      </w:r>
      <w:r>
        <w:rPr>
          <w:color w:val="005DA2"/>
          <w:sz w:val="21"/>
          <w:u w:val="single" w:color="005DA2"/>
        </w:rPr>
        <w:t>DOI</w:t>
      </w:r>
      <w:r>
        <w:rPr>
          <w:sz w:val="21"/>
          <w:shd w:val="clear" w:color="auto" w:fill="FFFFFF"/>
        </w:rPr>
        <w:t>] [</w:t>
      </w:r>
      <w:r>
        <w:rPr>
          <w:color w:val="005DA2"/>
          <w:sz w:val="21"/>
          <w:u w:val="single" w:color="005DA2"/>
        </w:rPr>
        <w:t>Google Scholar</w:t>
      </w:r>
      <w:r>
        <w:rPr>
          <w:sz w:val="21"/>
        </w:rPr>
        <w:t>]</w:t>
      </w:r>
    </w:p>
    <w:p w:rsidR="00846939" w:rsidRDefault="005737FC">
      <w:pPr>
        <w:spacing w:after="11" w:line="270" w:lineRule="auto"/>
        <w:ind w:left="170"/>
      </w:pPr>
      <w:r>
        <w:rPr>
          <w:sz w:val="21"/>
        </w:rPr>
        <w:t xml:space="preserve">2.Ibanez B, James S, </w:t>
      </w:r>
      <w:proofErr w:type="spellStart"/>
      <w:r>
        <w:rPr>
          <w:sz w:val="21"/>
        </w:rPr>
        <w:t>Agewall</w:t>
      </w:r>
      <w:proofErr w:type="spellEnd"/>
      <w:r>
        <w:rPr>
          <w:sz w:val="21"/>
        </w:rPr>
        <w:t xml:space="preserve"> S, et al. 2017 ESC Guidelines for the management of acute myocardial infarction in patients presenting with ST-segment elevation. </w:t>
      </w:r>
      <w:r>
        <w:rPr>
          <w:i/>
          <w:sz w:val="21"/>
        </w:rPr>
        <w:t>Eur Heart J</w:t>
      </w:r>
      <w:r>
        <w:rPr>
          <w:sz w:val="21"/>
        </w:rPr>
        <w:t xml:space="preserve">. 2018;39(2):119–177. </w:t>
      </w:r>
      <w:proofErr w:type="spellStart"/>
      <w:r>
        <w:rPr>
          <w:sz w:val="21"/>
        </w:rPr>
        <w:t>doi</w:t>
      </w:r>
      <w:proofErr w:type="spellEnd"/>
      <w:r>
        <w:rPr>
          <w:sz w:val="21"/>
        </w:rPr>
        <w:t xml:space="preserve">: </w:t>
      </w:r>
    </w:p>
    <w:p w:rsidR="00846939" w:rsidRDefault="005737FC">
      <w:pPr>
        <w:spacing w:after="51" w:line="270" w:lineRule="auto"/>
        <w:ind w:left="170"/>
      </w:pPr>
      <w:r>
        <w:rPr>
          <w:sz w:val="21"/>
        </w:rPr>
        <w:t>10.1093/</w:t>
      </w:r>
      <w:proofErr w:type="spellStart"/>
      <w:r>
        <w:rPr>
          <w:sz w:val="21"/>
        </w:rPr>
        <w:t>eurheartj</w:t>
      </w:r>
      <w:proofErr w:type="spellEnd"/>
      <w:r>
        <w:rPr>
          <w:sz w:val="21"/>
        </w:rPr>
        <w:t>/ehx393 [</w:t>
      </w:r>
      <w:r>
        <w:rPr>
          <w:color w:val="005DA2"/>
          <w:sz w:val="21"/>
          <w:u w:val="single" w:color="005DA2"/>
        </w:rPr>
        <w:t>DOI</w:t>
      </w:r>
      <w:r>
        <w:rPr>
          <w:sz w:val="21"/>
          <w:shd w:val="clear" w:color="auto" w:fill="FFFFFF"/>
        </w:rPr>
        <w:t>] [</w:t>
      </w:r>
      <w:r>
        <w:rPr>
          <w:color w:val="005DA2"/>
          <w:sz w:val="21"/>
          <w:u w:val="single" w:color="005DA2"/>
        </w:rPr>
        <w:t>PubMed</w:t>
      </w:r>
      <w:r>
        <w:rPr>
          <w:sz w:val="21"/>
          <w:shd w:val="clear" w:color="auto" w:fill="FFFFFF"/>
        </w:rPr>
        <w:t>] [</w:t>
      </w:r>
      <w:r>
        <w:rPr>
          <w:color w:val="005DA2"/>
          <w:sz w:val="21"/>
          <w:u w:val="single" w:color="005DA2"/>
        </w:rPr>
        <w:t>Google Scholar</w:t>
      </w:r>
      <w:r>
        <w:rPr>
          <w:sz w:val="21"/>
          <w:shd w:val="clear" w:color="auto" w:fill="FFFFFF"/>
        </w:rPr>
        <w:t>]</w:t>
      </w:r>
    </w:p>
    <w:p w:rsidR="00846939" w:rsidRDefault="005737FC">
      <w:pPr>
        <w:spacing w:after="11" w:line="270" w:lineRule="auto"/>
        <w:ind w:left="170"/>
      </w:pPr>
      <w:r>
        <w:rPr>
          <w:sz w:val="21"/>
        </w:rPr>
        <w:t xml:space="preserve">3.Califf RM, Fortin DF, Tenaglia AN. Clinical risks of thrombolytic therapy. </w:t>
      </w:r>
      <w:r>
        <w:rPr>
          <w:i/>
          <w:sz w:val="21"/>
        </w:rPr>
        <w:t xml:space="preserve">Am J </w:t>
      </w:r>
      <w:proofErr w:type="spellStart"/>
      <w:r>
        <w:rPr>
          <w:i/>
          <w:sz w:val="21"/>
        </w:rPr>
        <w:t>Cardiol</w:t>
      </w:r>
      <w:proofErr w:type="spellEnd"/>
      <w:r>
        <w:rPr>
          <w:sz w:val="21"/>
        </w:rPr>
        <w:t xml:space="preserve">. </w:t>
      </w:r>
    </w:p>
    <w:p w:rsidR="00846939" w:rsidRDefault="005737FC">
      <w:pPr>
        <w:spacing w:after="50" w:line="270" w:lineRule="auto"/>
        <w:ind w:left="170"/>
      </w:pPr>
      <w:r>
        <w:rPr>
          <w:sz w:val="21"/>
        </w:rPr>
        <w:t xml:space="preserve">1992;68(2):12–20. </w:t>
      </w:r>
      <w:proofErr w:type="spellStart"/>
      <w:r>
        <w:rPr>
          <w:sz w:val="21"/>
        </w:rPr>
        <w:t>doi</w:t>
      </w:r>
      <w:proofErr w:type="spellEnd"/>
      <w:r>
        <w:rPr>
          <w:sz w:val="21"/>
        </w:rPr>
        <w:t>: 10.1016/0002-9149(92)91168-4 [</w:t>
      </w:r>
      <w:r>
        <w:rPr>
          <w:color w:val="005DA2"/>
          <w:sz w:val="21"/>
          <w:u w:val="single" w:color="005DA2"/>
        </w:rPr>
        <w:t>DOI</w:t>
      </w:r>
      <w:r>
        <w:rPr>
          <w:sz w:val="21"/>
          <w:shd w:val="clear" w:color="auto" w:fill="FFFFFF"/>
        </w:rPr>
        <w:t>] [</w:t>
      </w:r>
      <w:r>
        <w:rPr>
          <w:color w:val="005DA2"/>
          <w:sz w:val="21"/>
          <w:u w:val="single" w:color="005DA2"/>
        </w:rPr>
        <w:t>PubMed</w:t>
      </w:r>
      <w:r>
        <w:rPr>
          <w:sz w:val="21"/>
          <w:shd w:val="clear" w:color="auto" w:fill="FFFFFF"/>
        </w:rPr>
        <w:t>] [</w:t>
      </w:r>
      <w:r>
        <w:rPr>
          <w:color w:val="005DA2"/>
          <w:sz w:val="21"/>
          <w:u w:val="single" w:color="005DA2"/>
        </w:rPr>
        <w:t>Google Scholar</w:t>
      </w:r>
      <w:r>
        <w:rPr>
          <w:sz w:val="21"/>
          <w:shd w:val="clear" w:color="auto" w:fill="FFFFFF"/>
        </w:rPr>
        <w:t>]</w:t>
      </w:r>
    </w:p>
    <w:p w:rsidR="00846939" w:rsidRDefault="005737FC">
      <w:pPr>
        <w:spacing w:after="48" w:line="270" w:lineRule="auto"/>
        <w:ind w:left="170"/>
      </w:pPr>
      <w:r>
        <w:rPr>
          <w:sz w:val="21"/>
        </w:rPr>
        <w:t xml:space="preserve">4.Disler LJRA. Pulmonary </w:t>
      </w:r>
      <w:proofErr w:type="spellStart"/>
      <w:r>
        <w:rPr>
          <w:sz w:val="21"/>
        </w:rPr>
        <w:t>hemorrhage</w:t>
      </w:r>
      <w:proofErr w:type="spellEnd"/>
      <w:r>
        <w:rPr>
          <w:sz w:val="21"/>
        </w:rPr>
        <w:t xml:space="preserve"> following intravenous streptokinase for acute myocardial infarction. </w:t>
      </w:r>
      <w:r>
        <w:rPr>
          <w:i/>
          <w:sz w:val="21"/>
        </w:rPr>
        <w:t xml:space="preserve">Int J </w:t>
      </w:r>
      <w:proofErr w:type="spellStart"/>
      <w:r>
        <w:rPr>
          <w:i/>
          <w:sz w:val="21"/>
        </w:rPr>
        <w:t>Cardiol</w:t>
      </w:r>
      <w:proofErr w:type="spellEnd"/>
      <w:r>
        <w:rPr>
          <w:sz w:val="21"/>
        </w:rPr>
        <w:t xml:space="preserve">. 1990;29(3):387–390. </w:t>
      </w:r>
      <w:proofErr w:type="spellStart"/>
      <w:r>
        <w:rPr>
          <w:sz w:val="21"/>
        </w:rPr>
        <w:t>doi</w:t>
      </w:r>
      <w:proofErr w:type="spellEnd"/>
      <w:r>
        <w:rPr>
          <w:sz w:val="21"/>
        </w:rPr>
        <w:t>: 10.1378/chest.101.4.1150 [</w:t>
      </w:r>
      <w:r>
        <w:rPr>
          <w:color w:val="005DA2"/>
          <w:sz w:val="21"/>
          <w:u w:val="single" w:color="005DA2"/>
        </w:rPr>
        <w:t>DOI</w:t>
      </w:r>
      <w:r>
        <w:rPr>
          <w:sz w:val="21"/>
          <w:shd w:val="clear" w:color="auto" w:fill="FFFFFF"/>
        </w:rPr>
        <w:t>] [</w:t>
      </w:r>
      <w:r>
        <w:rPr>
          <w:color w:val="005DA2"/>
          <w:sz w:val="21"/>
          <w:u w:val="single" w:color="005DA2"/>
        </w:rPr>
        <w:t>PubMed</w:t>
      </w:r>
      <w:r>
        <w:rPr>
          <w:sz w:val="21"/>
          <w:shd w:val="clear" w:color="auto" w:fill="FFFFFF"/>
        </w:rPr>
        <w:t>] [</w:t>
      </w:r>
      <w:r>
        <w:rPr>
          <w:color w:val="005DA2"/>
          <w:sz w:val="21"/>
          <w:u w:val="single" w:color="005DA2"/>
        </w:rPr>
        <w:t>Google Scholar</w:t>
      </w:r>
      <w:r>
        <w:rPr>
          <w:sz w:val="21"/>
        </w:rPr>
        <w:t>]</w:t>
      </w:r>
    </w:p>
    <w:p w:rsidR="00846939" w:rsidRDefault="005737FC">
      <w:pPr>
        <w:spacing w:after="11" w:line="270" w:lineRule="auto"/>
        <w:ind w:left="170"/>
      </w:pPr>
      <w:r>
        <w:rPr>
          <w:sz w:val="21"/>
        </w:rPr>
        <w:t xml:space="preserve">5.Nathan PE, Torres AV, Smith AJ, Gagliardi AJRK, </w:t>
      </w:r>
      <w:proofErr w:type="spellStart"/>
      <w:r>
        <w:rPr>
          <w:sz w:val="21"/>
        </w:rPr>
        <w:t>Rapeport</w:t>
      </w:r>
      <w:proofErr w:type="spellEnd"/>
      <w:r>
        <w:rPr>
          <w:sz w:val="21"/>
        </w:rPr>
        <w:t xml:space="preserve"> KB. Spontaneous pulmonary </w:t>
      </w:r>
      <w:proofErr w:type="spellStart"/>
      <w:r>
        <w:rPr>
          <w:sz w:val="21"/>
        </w:rPr>
        <w:t>hemorrhage</w:t>
      </w:r>
      <w:proofErr w:type="spellEnd"/>
      <w:r>
        <w:rPr>
          <w:sz w:val="21"/>
        </w:rPr>
        <w:t xml:space="preserve"> following coronary thrombolysis. </w:t>
      </w:r>
      <w:r>
        <w:rPr>
          <w:i/>
          <w:sz w:val="21"/>
        </w:rPr>
        <w:t>Chest</w:t>
      </w:r>
      <w:r>
        <w:rPr>
          <w:sz w:val="21"/>
        </w:rPr>
        <w:t xml:space="preserve">. 1992;101(4):1150–1152. </w:t>
      </w:r>
      <w:proofErr w:type="spellStart"/>
      <w:r>
        <w:rPr>
          <w:sz w:val="21"/>
        </w:rPr>
        <w:t>doi</w:t>
      </w:r>
      <w:proofErr w:type="spellEnd"/>
      <w:r>
        <w:rPr>
          <w:sz w:val="21"/>
        </w:rPr>
        <w:t xml:space="preserve">: </w:t>
      </w:r>
    </w:p>
    <w:p w:rsidR="00846939" w:rsidRDefault="005737FC">
      <w:pPr>
        <w:spacing w:after="50" w:line="270" w:lineRule="auto"/>
        <w:ind w:left="170"/>
      </w:pPr>
      <w:r>
        <w:rPr>
          <w:sz w:val="21"/>
        </w:rPr>
        <w:t>10.1378/chest.101.4.1150 [</w:t>
      </w:r>
      <w:r>
        <w:rPr>
          <w:color w:val="005DA2"/>
          <w:sz w:val="21"/>
          <w:u w:val="single" w:color="005DA2"/>
        </w:rPr>
        <w:t>DOI</w:t>
      </w:r>
      <w:r>
        <w:rPr>
          <w:sz w:val="21"/>
        </w:rPr>
        <w:t>] [</w:t>
      </w:r>
      <w:r>
        <w:rPr>
          <w:color w:val="005DA2"/>
          <w:sz w:val="21"/>
          <w:u w:val="single" w:color="005DA2"/>
        </w:rPr>
        <w:t>PubMed</w:t>
      </w:r>
      <w:r>
        <w:rPr>
          <w:sz w:val="21"/>
          <w:shd w:val="clear" w:color="auto" w:fill="FFFFFF"/>
        </w:rPr>
        <w:t>] [</w:t>
      </w:r>
      <w:r>
        <w:rPr>
          <w:color w:val="005DA2"/>
          <w:sz w:val="21"/>
          <w:u w:val="single" w:color="005DA2"/>
        </w:rPr>
        <w:t>Google Scholar</w:t>
      </w:r>
      <w:r>
        <w:rPr>
          <w:sz w:val="21"/>
          <w:shd w:val="clear" w:color="auto" w:fill="FFFFFF"/>
        </w:rPr>
        <w:t>]</w:t>
      </w:r>
    </w:p>
    <w:p w:rsidR="00846939" w:rsidRDefault="005737FC">
      <w:pPr>
        <w:spacing w:after="11" w:line="270" w:lineRule="auto"/>
        <w:ind w:left="170"/>
      </w:pPr>
      <w:r>
        <w:rPr>
          <w:sz w:val="21"/>
        </w:rPr>
        <w:t xml:space="preserve">6.Cuéllar Obispo E, </w:t>
      </w:r>
      <w:proofErr w:type="spellStart"/>
      <w:r>
        <w:rPr>
          <w:sz w:val="21"/>
        </w:rPr>
        <w:t>Torrado</w:t>
      </w:r>
      <w:proofErr w:type="spellEnd"/>
      <w:r>
        <w:rPr>
          <w:sz w:val="21"/>
        </w:rPr>
        <w:t xml:space="preserve"> González E, Alvarez Bueno M, et al. A diffuse pulmonary </w:t>
      </w:r>
      <w:proofErr w:type="spellStart"/>
      <w:r>
        <w:rPr>
          <w:sz w:val="21"/>
        </w:rPr>
        <w:t>hemorrhage</w:t>
      </w:r>
      <w:proofErr w:type="spellEnd"/>
      <w:r>
        <w:rPr>
          <w:sz w:val="21"/>
        </w:rPr>
        <w:t xml:space="preserve"> following thrombolytic therapy in an acute myocardial infarct. </w:t>
      </w:r>
      <w:r>
        <w:rPr>
          <w:i/>
          <w:sz w:val="21"/>
        </w:rPr>
        <w:t xml:space="preserve">Rev </w:t>
      </w:r>
      <w:proofErr w:type="spellStart"/>
      <w:r>
        <w:rPr>
          <w:i/>
          <w:sz w:val="21"/>
        </w:rPr>
        <w:t>Esp</w:t>
      </w:r>
      <w:proofErr w:type="spellEnd"/>
      <w:r>
        <w:rPr>
          <w:i/>
          <w:sz w:val="21"/>
        </w:rPr>
        <w:t xml:space="preserve"> </w:t>
      </w:r>
      <w:proofErr w:type="spellStart"/>
      <w:r>
        <w:rPr>
          <w:i/>
          <w:sz w:val="21"/>
        </w:rPr>
        <w:t>Cardiol</w:t>
      </w:r>
      <w:proofErr w:type="spellEnd"/>
      <w:r>
        <w:rPr>
          <w:sz w:val="21"/>
        </w:rPr>
        <w:t xml:space="preserve">. 1992;45(6):421–424. </w:t>
      </w:r>
    </w:p>
    <w:p w:rsidR="00846939" w:rsidRDefault="005737FC">
      <w:pPr>
        <w:spacing w:after="57" w:line="259" w:lineRule="auto"/>
        <w:ind w:left="170"/>
      </w:pPr>
      <w:r>
        <w:rPr>
          <w:sz w:val="21"/>
        </w:rPr>
        <w:t>[</w:t>
      </w:r>
      <w:r>
        <w:rPr>
          <w:color w:val="005DA2"/>
          <w:sz w:val="21"/>
          <w:u w:val="single" w:color="005DA2"/>
        </w:rPr>
        <w:t>PubMed</w:t>
      </w:r>
      <w:r>
        <w:rPr>
          <w:sz w:val="21"/>
          <w:shd w:val="clear" w:color="auto" w:fill="FFFFFF"/>
        </w:rPr>
        <w:t>] [</w:t>
      </w:r>
      <w:r>
        <w:rPr>
          <w:color w:val="005DA2"/>
          <w:sz w:val="21"/>
          <w:u w:val="single" w:color="005DA2"/>
        </w:rPr>
        <w:t>Google Scholar</w:t>
      </w:r>
      <w:r>
        <w:rPr>
          <w:sz w:val="21"/>
          <w:shd w:val="clear" w:color="auto" w:fill="FFFFFF"/>
        </w:rPr>
        <w:t>]</w:t>
      </w:r>
    </w:p>
    <w:p w:rsidR="00846939" w:rsidRDefault="005737FC">
      <w:pPr>
        <w:spacing w:after="11" w:line="270" w:lineRule="auto"/>
        <w:ind w:left="170"/>
      </w:pPr>
      <w:r>
        <w:rPr>
          <w:sz w:val="21"/>
        </w:rPr>
        <w:t xml:space="preserve">7.Tio RA, </w:t>
      </w:r>
      <w:proofErr w:type="spellStart"/>
      <w:r>
        <w:rPr>
          <w:sz w:val="21"/>
        </w:rPr>
        <w:t>Voorbij</w:t>
      </w:r>
      <w:proofErr w:type="spellEnd"/>
      <w:r>
        <w:rPr>
          <w:sz w:val="21"/>
        </w:rPr>
        <w:t xml:space="preserve"> RH, </w:t>
      </w:r>
      <w:proofErr w:type="spellStart"/>
      <w:r>
        <w:rPr>
          <w:sz w:val="21"/>
        </w:rPr>
        <w:t>Enthoven</w:t>
      </w:r>
      <w:proofErr w:type="spellEnd"/>
      <w:r>
        <w:rPr>
          <w:sz w:val="21"/>
        </w:rPr>
        <w:t xml:space="preserve"> R. Adult respiratory distress syndrome after streptokinase. </w:t>
      </w:r>
      <w:r>
        <w:rPr>
          <w:i/>
          <w:sz w:val="21"/>
        </w:rPr>
        <w:t xml:space="preserve">Am J </w:t>
      </w:r>
    </w:p>
    <w:p w:rsidR="00846939" w:rsidRDefault="005737FC">
      <w:pPr>
        <w:spacing w:after="48" w:line="270" w:lineRule="auto"/>
        <w:ind w:left="170"/>
      </w:pPr>
      <w:proofErr w:type="spellStart"/>
      <w:r>
        <w:rPr>
          <w:i/>
          <w:sz w:val="21"/>
        </w:rPr>
        <w:t>Cardiol</w:t>
      </w:r>
      <w:proofErr w:type="spellEnd"/>
      <w:r>
        <w:rPr>
          <w:sz w:val="21"/>
        </w:rPr>
        <w:t xml:space="preserve">. 1992;70(20):1632–1633. </w:t>
      </w:r>
      <w:proofErr w:type="spellStart"/>
      <w:r>
        <w:rPr>
          <w:sz w:val="21"/>
        </w:rPr>
        <w:t>doi</w:t>
      </w:r>
      <w:proofErr w:type="spellEnd"/>
      <w:r>
        <w:rPr>
          <w:sz w:val="21"/>
        </w:rPr>
        <w:t>: 10.1016/0002-9149(92)90477-g [</w:t>
      </w:r>
      <w:r>
        <w:rPr>
          <w:color w:val="005DA2"/>
          <w:sz w:val="21"/>
          <w:u w:val="single" w:color="005DA2"/>
        </w:rPr>
        <w:t>DOI</w:t>
      </w:r>
      <w:r>
        <w:rPr>
          <w:sz w:val="21"/>
          <w:shd w:val="clear" w:color="auto" w:fill="FFFFFF"/>
        </w:rPr>
        <w:t>] [</w:t>
      </w:r>
      <w:r>
        <w:rPr>
          <w:color w:val="005DA2"/>
          <w:sz w:val="21"/>
          <w:u w:val="single" w:color="005DA2"/>
        </w:rPr>
        <w:t>PubMed</w:t>
      </w:r>
      <w:r>
        <w:rPr>
          <w:sz w:val="21"/>
          <w:shd w:val="clear" w:color="auto" w:fill="FFFFFF"/>
        </w:rPr>
        <w:t>] [</w:t>
      </w:r>
      <w:r>
        <w:rPr>
          <w:color w:val="005DA2"/>
          <w:sz w:val="21"/>
          <w:u w:val="single" w:color="005DA2"/>
        </w:rPr>
        <w:t>Google Scholar</w:t>
      </w:r>
      <w:r>
        <w:rPr>
          <w:sz w:val="21"/>
        </w:rPr>
        <w:t>]</w:t>
      </w:r>
    </w:p>
    <w:p w:rsidR="00846939" w:rsidRDefault="005737FC">
      <w:pPr>
        <w:spacing w:after="11" w:line="270" w:lineRule="auto"/>
        <w:ind w:left="170"/>
      </w:pPr>
      <w:r>
        <w:rPr>
          <w:sz w:val="21"/>
        </w:rPr>
        <w:t xml:space="preserve">8.Awadh N, </w:t>
      </w:r>
      <w:proofErr w:type="spellStart"/>
      <w:r>
        <w:rPr>
          <w:sz w:val="21"/>
        </w:rPr>
        <w:t>Ronco</w:t>
      </w:r>
      <w:proofErr w:type="spellEnd"/>
      <w:r>
        <w:rPr>
          <w:sz w:val="21"/>
        </w:rPr>
        <w:t xml:space="preserve"> JJ, Bernstein V, </w:t>
      </w:r>
      <w:proofErr w:type="spellStart"/>
      <w:r>
        <w:rPr>
          <w:sz w:val="21"/>
        </w:rPr>
        <w:t>Gilks</w:t>
      </w:r>
      <w:proofErr w:type="spellEnd"/>
      <w:r>
        <w:rPr>
          <w:sz w:val="21"/>
        </w:rPr>
        <w:t xml:space="preserve"> BWP, Wilcox P. Spontaneous pulmonary </w:t>
      </w:r>
      <w:proofErr w:type="spellStart"/>
      <w:r>
        <w:rPr>
          <w:sz w:val="21"/>
        </w:rPr>
        <w:t>hemorrhage</w:t>
      </w:r>
      <w:proofErr w:type="spellEnd"/>
      <w:r>
        <w:rPr>
          <w:sz w:val="21"/>
        </w:rPr>
        <w:t xml:space="preserve"> after thrombolytic therapy for acute myocardial infarction. </w:t>
      </w:r>
      <w:r>
        <w:rPr>
          <w:i/>
          <w:sz w:val="21"/>
        </w:rPr>
        <w:t>Chest</w:t>
      </w:r>
      <w:r>
        <w:rPr>
          <w:sz w:val="21"/>
        </w:rPr>
        <w:t xml:space="preserve">. 1994;106(5):1622–1624. </w:t>
      </w:r>
      <w:proofErr w:type="spellStart"/>
      <w:r>
        <w:rPr>
          <w:sz w:val="21"/>
        </w:rPr>
        <w:t>doi</w:t>
      </w:r>
      <w:proofErr w:type="spellEnd"/>
      <w:r>
        <w:rPr>
          <w:sz w:val="21"/>
        </w:rPr>
        <w:t xml:space="preserve">: </w:t>
      </w:r>
    </w:p>
    <w:p w:rsidR="00846939" w:rsidRDefault="005737FC">
      <w:pPr>
        <w:spacing w:after="50" w:line="270" w:lineRule="auto"/>
        <w:ind w:left="170"/>
      </w:pPr>
      <w:r>
        <w:rPr>
          <w:sz w:val="21"/>
        </w:rPr>
        <w:t>10.1378/chest.106.5.1622 [</w:t>
      </w:r>
      <w:r>
        <w:rPr>
          <w:color w:val="005DA2"/>
          <w:sz w:val="21"/>
          <w:u w:val="single" w:color="005DA2"/>
        </w:rPr>
        <w:t>DOI</w:t>
      </w:r>
      <w:r>
        <w:rPr>
          <w:sz w:val="21"/>
        </w:rPr>
        <w:t>] [</w:t>
      </w:r>
      <w:r>
        <w:rPr>
          <w:color w:val="005DA2"/>
          <w:sz w:val="21"/>
          <w:u w:val="single" w:color="005DA2"/>
        </w:rPr>
        <w:t>PubMed</w:t>
      </w:r>
      <w:r>
        <w:rPr>
          <w:sz w:val="21"/>
          <w:shd w:val="clear" w:color="auto" w:fill="FFFFFF"/>
        </w:rPr>
        <w:t>] [</w:t>
      </w:r>
      <w:r>
        <w:rPr>
          <w:color w:val="005DA2"/>
          <w:sz w:val="21"/>
          <w:u w:val="single" w:color="005DA2"/>
        </w:rPr>
        <w:t>Google Scholar</w:t>
      </w:r>
      <w:r>
        <w:rPr>
          <w:sz w:val="21"/>
          <w:shd w:val="clear" w:color="auto" w:fill="FFFFFF"/>
        </w:rPr>
        <w:t>]</w:t>
      </w:r>
    </w:p>
    <w:p w:rsidR="00846939" w:rsidRDefault="005737FC">
      <w:pPr>
        <w:spacing w:after="11" w:line="270" w:lineRule="auto"/>
        <w:ind w:left="170"/>
      </w:pPr>
      <w:r>
        <w:rPr>
          <w:sz w:val="21"/>
        </w:rPr>
        <w:t xml:space="preserve">9.Hammoudeh AJ, Haft JI, </w:t>
      </w:r>
      <w:proofErr w:type="spellStart"/>
      <w:r>
        <w:rPr>
          <w:sz w:val="21"/>
        </w:rPr>
        <w:t>Eichman</w:t>
      </w:r>
      <w:proofErr w:type="spellEnd"/>
      <w:r>
        <w:rPr>
          <w:sz w:val="21"/>
        </w:rPr>
        <w:t xml:space="preserve"> GT. </w:t>
      </w:r>
      <w:proofErr w:type="spellStart"/>
      <w:r>
        <w:rPr>
          <w:sz w:val="21"/>
        </w:rPr>
        <w:t>Hemoptysis</w:t>
      </w:r>
      <w:proofErr w:type="spellEnd"/>
      <w:r>
        <w:rPr>
          <w:sz w:val="21"/>
        </w:rPr>
        <w:t xml:space="preserve"> and unilateral intra- alveolar </w:t>
      </w:r>
      <w:proofErr w:type="spellStart"/>
      <w:r>
        <w:rPr>
          <w:sz w:val="21"/>
        </w:rPr>
        <w:t>hemorrhage</w:t>
      </w:r>
      <w:proofErr w:type="spellEnd"/>
      <w:r>
        <w:rPr>
          <w:sz w:val="21"/>
        </w:rPr>
        <w:t xml:space="preserve"> complicating intravenous thrombolysis for myocardial infarction. </w:t>
      </w:r>
      <w:r>
        <w:rPr>
          <w:i/>
          <w:sz w:val="21"/>
        </w:rPr>
        <w:t xml:space="preserve">Clin </w:t>
      </w:r>
      <w:proofErr w:type="spellStart"/>
      <w:r>
        <w:rPr>
          <w:i/>
          <w:sz w:val="21"/>
        </w:rPr>
        <w:t>Cardiol</w:t>
      </w:r>
      <w:proofErr w:type="spellEnd"/>
      <w:r>
        <w:rPr>
          <w:sz w:val="21"/>
        </w:rPr>
        <w:t xml:space="preserve">. 1996;19(7):595–596. </w:t>
      </w:r>
    </w:p>
    <w:p w:rsidR="00846939" w:rsidRDefault="005737FC">
      <w:pPr>
        <w:spacing w:after="51" w:line="270" w:lineRule="auto"/>
        <w:ind w:left="170"/>
      </w:pPr>
      <w:proofErr w:type="spellStart"/>
      <w:r>
        <w:rPr>
          <w:sz w:val="21"/>
        </w:rPr>
        <w:t>doi</w:t>
      </w:r>
      <w:proofErr w:type="spellEnd"/>
      <w:r>
        <w:rPr>
          <w:sz w:val="21"/>
        </w:rPr>
        <w:t>: 10.1002/clc.4960190714 [</w:t>
      </w:r>
      <w:r>
        <w:rPr>
          <w:color w:val="005DA2"/>
          <w:sz w:val="21"/>
          <w:u w:val="single" w:color="005DA2"/>
        </w:rPr>
        <w:t>DOI</w:t>
      </w:r>
      <w:r>
        <w:rPr>
          <w:sz w:val="21"/>
          <w:shd w:val="clear" w:color="auto" w:fill="FFFFFF"/>
        </w:rPr>
        <w:t>] [</w:t>
      </w:r>
      <w:r>
        <w:rPr>
          <w:color w:val="005DA2"/>
          <w:sz w:val="21"/>
          <w:u w:val="single" w:color="005DA2"/>
        </w:rPr>
        <w:t>PubMed</w:t>
      </w:r>
      <w:r>
        <w:rPr>
          <w:sz w:val="21"/>
          <w:shd w:val="clear" w:color="auto" w:fill="FFFFFF"/>
        </w:rPr>
        <w:t>] [</w:t>
      </w:r>
      <w:r>
        <w:rPr>
          <w:color w:val="005DA2"/>
          <w:sz w:val="21"/>
          <w:u w:val="single" w:color="005DA2"/>
        </w:rPr>
        <w:t>Google Scholar</w:t>
      </w:r>
      <w:r>
        <w:rPr>
          <w:sz w:val="21"/>
        </w:rPr>
        <w:t>]</w:t>
      </w:r>
    </w:p>
    <w:p w:rsidR="00846939" w:rsidRDefault="005737FC">
      <w:pPr>
        <w:spacing w:after="11" w:line="270" w:lineRule="auto"/>
        <w:ind w:left="170"/>
      </w:pPr>
      <w:r>
        <w:rPr>
          <w:sz w:val="21"/>
        </w:rPr>
        <w:t xml:space="preserve">10.Basher A, </w:t>
      </w:r>
      <w:proofErr w:type="spellStart"/>
      <w:r>
        <w:rPr>
          <w:sz w:val="21"/>
        </w:rPr>
        <w:t>Oduwole</w:t>
      </w:r>
      <w:proofErr w:type="spellEnd"/>
      <w:r>
        <w:rPr>
          <w:sz w:val="21"/>
        </w:rPr>
        <w:t xml:space="preserve"> A, </w:t>
      </w:r>
      <w:proofErr w:type="spellStart"/>
      <w:r>
        <w:rPr>
          <w:sz w:val="21"/>
        </w:rPr>
        <w:t>Bhalodkar</w:t>
      </w:r>
      <w:proofErr w:type="spellEnd"/>
      <w:r>
        <w:rPr>
          <w:sz w:val="21"/>
        </w:rPr>
        <w:t xml:space="preserve"> N, et al. Fatal </w:t>
      </w:r>
      <w:proofErr w:type="spellStart"/>
      <w:r>
        <w:rPr>
          <w:sz w:val="21"/>
        </w:rPr>
        <w:t>hemoptysis</w:t>
      </w:r>
      <w:proofErr w:type="spellEnd"/>
      <w:r>
        <w:rPr>
          <w:sz w:val="21"/>
        </w:rPr>
        <w:t xml:space="preserve"> during coronary thrombolysis. </w:t>
      </w:r>
      <w:r>
        <w:rPr>
          <w:i/>
          <w:sz w:val="21"/>
        </w:rPr>
        <w:t xml:space="preserve">J </w:t>
      </w:r>
    </w:p>
    <w:p w:rsidR="00846939" w:rsidRDefault="005737FC">
      <w:pPr>
        <w:spacing w:after="50" w:line="270" w:lineRule="auto"/>
        <w:ind w:left="170"/>
      </w:pPr>
      <w:proofErr w:type="spellStart"/>
      <w:r>
        <w:rPr>
          <w:i/>
          <w:sz w:val="21"/>
        </w:rPr>
        <w:t>Thromb</w:t>
      </w:r>
      <w:proofErr w:type="spellEnd"/>
      <w:r>
        <w:rPr>
          <w:i/>
          <w:sz w:val="21"/>
        </w:rPr>
        <w:t xml:space="preserve"> Thrombolysis</w:t>
      </w:r>
      <w:r>
        <w:rPr>
          <w:sz w:val="21"/>
        </w:rPr>
        <w:t xml:space="preserve">. 1996;3(1):87–89. </w:t>
      </w:r>
      <w:proofErr w:type="spellStart"/>
      <w:r>
        <w:rPr>
          <w:sz w:val="21"/>
        </w:rPr>
        <w:t>doi</w:t>
      </w:r>
      <w:proofErr w:type="spellEnd"/>
      <w:r>
        <w:rPr>
          <w:sz w:val="21"/>
        </w:rPr>
        <w:t>: 10.1007/bf00226416 [</w:t>
      </w:r>
      <w:r>
        <w:rPr>
          <w:color w:val="005DA2"/>
          <w:sz w:val="21"/>
          <w:u w:val="single" w:color="005DA2"/>
        </w:rPr>
        <w:t>DOI</w:t>
      </w:r>
      <w:r>
        <w:rPr>
          <w:sz w:val="21"/>
          <w:shd w:val="clear" w:color="auto" w:fill="FFFFFF"/>
        </w:rPr>
        <w:t>] [</w:t>
      </w:r>
      <w:r>
        <w:rPr>
          <w:color w:val="005DA2"/>
          <w:sz w:val="21"/>
          <w:u w:val="single" w:color="005DA2"/>
        </w:rPr>
        <w:t>PubMed</w:t>
      </w:r>
      <w:r>
        <w:rPr>
          <w:sz w:val="21"/>
          <w:shd w:val="clear" w:color="auto" w:fill="FFFFFF"/>
        </w:rPr>
        <w:t>] [</w:t>
      </w:r>
      <w:r>
        <w:rPr>
          <w:color w:val="005DA2"/>
          <w:sz w:val="21"/>
          <w:u w:val="single" w:color="005DA2"/>
        </w:rPr>
        <w:t>Google Scholar</w:t>
      </w:r>
      <w:r>
        <w:rPr>
          <w:sz w:val="21"/>
          <w:shd w:val="clear" w:color="auto" w:fill="FFFFFF"/>
        </w:rPr>
        <w:t>]</w:t>
      </w:r>
    </w:p>
    <w:p w:rsidR="00846939" w:rsidRDefault="005737FC">
      <w:pPr>
        <w:spacing w:after="11" w:line="270" w:lineRule="auto"/>
        <w:ind w:left="170"/>
      </w:pPr>
      <w:r>
        <w:rPr>
          <w:sz w:val="21"/>
        </w:rPr>
        <w:t xml:space="preserve">11.Chang YC, Patz EF Jr, Goodman PC, Granger CB. Significance of </w:t>
      </w:r>
      <w:proofErr w:type="spellStart"/>
      <w:r>
        <w:rPr>
          <w:sz w:val="21"/>
        </w:rPr>
        <w:t>hemoptysis</w:t>
      </w:r>
      <w:proofErr w:type="spellEnd"/>
      <w:r>
        <w:rPr>
          <w:sz w:val="21"/>
        </w:rPr>
        <w:t xml:space="preserve"> following thrombolytic therapy for acute myocardial infarction. </w:t>
      </w:r>
      <w:r>
        <w:rPr>
          <w:i/>
          <w:sz w:val="21"/>
        </w:rPr>
        <w:t>Chest</w:t>
      </w:r>
      <w:r>
        <w:rPr>
          <w:sz w:val="21"/>
        </w:rPr>
        <w:t xml:space="preserve">. 1996;109(3):727–729. </w:t>
      </w:r>
      <w:proofErr w:type="spellStart"/>
      <w:r>
        <w:rPr>
          <w:sz w:val="21"/>
        </w:rPr>
        <w:t>doi</w:t>
      </w:r>
      <w:proofErr w:type="spellEnd"/>
      <w:r>
        <w:rPr>
          <w:sz w:val="21"/>
        </w:rPr>
        <w:t xml:space="preserve">: </w:t>
      </w:r>
    </w:p>
    <w:p w:rsidR="00846939" w:rsidRDefault="005737FC">
      <w:pPr>
        <w:spacing w:after="50" w:line="270" w:lineRule="auto"/>
        <w:ind w:left="170"/>
      </w:pPr>
      <w:r>
        <w:rPr>
          <w:sz w:val="21"/>
        </w:rPr>
        <w:t>10.1378/chest.109.3.727 [</w:t>
      </w:r>
      <w:r>
        <w:rPr>
          <w:color w:val="005DA2"/>
          <w:sz w:val="21"/>
          <w:u w:val="single" w:color="005DA2"/>
        </w:rPr>
        <w:t>DOI</w:t>
      </w:r>
      <w:r>
        <w:rPr>
          <w:sz w:val="21"/>
          <w:shd w:val="clear" w:color="auto" w:fill="FFFFFF"/>
        </w:rPr>
        <w:t>] [</w:t>
      </w:r>
      <w:r>
        <w:rPr>
          <w:color w:val="005DA2"/>
          <w:sz w:val="21"/>
          <w:u w:val="single" w:color="005DA2"/>
        </w:rPr>
        <w:t>PubMed</w:t>
      </w:r>
      <w:r>
        <w:rPr>
          <w:sz w:val="21"/>
          <w:shd w:val="clear" w:color="auto" w:fill="FFFFFF"/>
        </w:rPr>
        <w:t>] [</w:t>
      </w:r>
      <w:r>
        <w:rPr>
          <w:color w:val="005DA2"/>
          <w:sz w:val="21"/>
          <w:u w:val="single" w:color="005DA2"/>
        </w:rPr>
        <w:t>Google Scholar</w:t>
      </w:r>
      <w:r>
        <w:rPr>
          <w:sz w:val="21"/>
          <w:shd w:val="clear" w:color="auto" w:fill="FFFFFF"/>
        </w:rPr>
        <w:t>]</w:t>
      </w:r>
    </w:p>
    <w:p w:rsidR="00846939" w:rsidRDefault="005737FC">
      <w:pPr>
        <w:spacing w:after="47" w:line="270" w:lineRule="auto"/>
        <w:ind w:left="170"/>
      </w:pPr>
      <w:r>
        <w:rPr>
          <w:sz w:val="21"/>
        </w:rPr>
        <w:t xml:space="preserve">12.Swanson GA, </w:t>
      </w:r>
      <w:proofErr w:type="spellStart"/>
      <w:r>
        <w:rPr>
          <w:sz w:val="21"/>
        </w:rPr>
        <w:t>Kaeley</w:t>
      </w:r>
      <w:proofErr w:type="spellEnd"/>
      <w:r>
        <w:rPr>
          <w:sz w:val="21"/>
        </w:rPr>
        <w:t xml:space="preserve"> GGS. Diffuse pulmonary </w:t>
      </w:r>
      <w:proofErr w:type="spellStart"/>
      <w:r>
        <w:rPr>
          <w:sz w:val="21"/>
        </w:rPr>
        <w:t>hemorrhage</w:t>
      </w:r>
      <w:proofErr w:type="spellEnd"/>
      <w:r>
        <w:rPr>
          <w:sz w:val="21"/>
        </w:rPr>
        <w:t xml:space="preserve"> after streptokinase administration for acute myocardial infarction. </w:t>
      </w:r>
      <w:r>
        <w:rPr>
          <w:i/>
          <w:sz w:val="21"/>
        </w:rPr>
        <w:t>Pharmacotherapy</w:t>
      </w:r>
      <w:r>
        <w:rPr>
          <w:sz w:val="21"/>
        </w:rPr>
        <w:t>. 1997;17(2):390–394. [</w:t>
      </w:r>
      <w:r>
        <w:rPr>
          <w:color w:val="005DA2"/>
          <w:sz w:val="21"/>
          <w:u w:val="single" w:color="005DA2"/>
        </w:rPr>
        <w:t>PubMed</w:t>
      </w:r>
      <w:r>
        <w:rPr>
          <w:sz w:val="21"/>
          <w:shd w:val="clear" w:color="auto" w:fill="FFFFFF"/>
        </w:rPr>
        <w:t>] [</w:t>
      </w:r>
      <w:r>
        <w:rPr>
          <w:color w:val="005DA2"/>
          <w:sz w:val="21"/>
          <w:u w:val="single" w:color="005DA2"/>
        </w:rPr>
        <w:t>Google Scholar</w:t>
      </w:r>
      <w:r>
        <w:rPr>
          <w:sz w:val="21"/>
          <w:shd w:val="clear" w:color="auto" w:fill="FFFFFF"/>
        </w:rPr>
        <w:t>]</w:t>
      </w:r>
    </w:p>
    <w:p w:rsidR="00846939" w:rsidRDefault="005737FC">
      <w:pPr>
        <w:spacing w:after="11" w:line="270" w:lineRule="auto"/>
        <w:ind w:left="170"/>
      </w:pPr>
      <w:r>
        <w:rPr>
          <w:sz w:val="21"/>
        </w:rPr>
        <w:lastRenderedPageBreak/>
        <w:t xml:space="preserve">13.Gopalakrishnan D, </w:t>
      </w:r>
      <w:proofErr w:type="spellStart"/>
      <w:r>
        <w:rPr>
          <w:sz w:val="21"/>
        </w:rPr>
        <w:t>Tioran</w:t>
      </w:r>
      <w:proofErr w:type="spellEnd"/>
      <w:r>
        <w:rPr>
          <w:sz w:val="21"/>
        </w:rPr>
        <w:t xml:space="preserve"> T, Emanuel C, Clark VL. Diffuse pulmonary </w:t>
      </w:r>
      <w:proofErr w:type="spellStart"/>
      <w:r>
        <w:rPr>
          <w:sz w:val="21"/>
        </w:rPr>
        <w:t>hemorrhage</w:t>
      </w:r>
      <w:proofErr w:type="spellEnd"/>
      <w:r>
        <w:rPr>
          <w:sz w:val="21"/>
        </w:rPr>
        <w:t xml:space="preserve"> complicating thrombolytic therapy for acute myocardial infarction. </w:t>
      </w:r>
      <w:r>
        <w:rPr>
          <w:i/>
          <w:sz w:val="21"/>
        </w:rPr>
        <w:t xml:space="preserve">Clin </w:t>
      </w:r>
      <w:proofErr w:type="spellStart"/>
      <w:r>
        <w:rPr>
          <w:i/>
          <w:sz w:val="21"/>
        </w:rPr>
        <w:t>Cardiol</w:t>
      </w:r>
      <w:proofErr w:type="spellEnd"/>
      <w:r>
        <w:rPr>
          <w:sz w:val="21"/>
        </w:rPr>
        <w:t xml:space="preserve">. 1997;20(3):298–300. </w:t>
      </w:r>
      <w:proofErr w:type="spellStart"/>
      <w:r>
        <w:rPr>
          <w:sz w:val="21"/>
        </w:rPr>
        <w:t>doi</w:t>
      </w:r>
      <w:proofErr w:type="spellEnd"/>
      <w:r>
        <w:rPr>
          <w:sz w:val="21"/>
        </w:rPr>
        <w:t xml:space="preserve">: </w:t>
      </w:r>
    </w:p>
    <w:p w:rsidR="00846939" w:rsidRDefault="005737FC">
      <w:pPr>
        <w:spacing w:after="57" w:line="259" w:lineRule="auto"/>
        <w:ind w:left="170"/>
      </w:pPr>
      <w:r>
        <w:rPr>
          <w:sz w:val="21"/>
        </w:rPr>
        <w:t>10.1002/clc.4960200321 [</w:t>
      </w:r>
      <w:r>
        <w:rPr>
          <w:color w:val="005DA2"/>
          <w:sz w:val="21"/>
          <w:u w:val="single" w:color="005DA2"/>
        </w:rPr>
        <w:t>DOI</w:t>
      </w:r>
      <w:r>
        <w:rPr>
          <w:sz w:val="21"/>
        </w:rPr>
        <w:t>] [</w:t>
      </w:r>
      <w:r>
        <w:rPr>
          <w:color w:val="005DA2"/>
          <w:sz w:val="21"/>
          <w:u w:val="single" w:color="005DA2"/>
        </w:rPr>
        <w:t>PMC free article</w:t>
      </w:r>
      <w:r>
        <w:rPr>
          <w:sz w:val="21"/>
          <w:shd w:val="clear" w:color="auto" w:fill="FFFFFF"/>
        </w:rPr>
        <w:t>] [</w:t>
      </w:r>
      <w:r>
        <w:rPr>
          <w:color w:val="005DA2"/>
          <w:sz w:val="21"/>
          <w:u w:val="single" w:color="005DA2"/>
        </w:rPr>
        <w:t>PubMed</w:t>
      </w:r>
      <w:r>
        <w:rPr>
          <w:sz w:val="21"/>
          <w:shd w:val="clear" w:color="auto" w:fill="FFFFFF"/>
        </w:rPr>
        <w:t>] [</w:t>
      </w:r>
      <w:r>
        <w:rPr>
          <w:color w:val="005DA2"/>
          <w:sz w:val="21"/>
          <w:u w:val="single" w:color="005DA2"/>
        </w:rPr>
        <w:t>Google Scholar</w:t>
      </w:r>
      <w:r>
        <w:rPr>
          <w:sz w:val="21"/>
          <w:shd w:val="clear" w:color="auto" w:fill="FFFFFF"/>
        </w:rPr>
        <w:t>]</w:t>
      </w:r>
    </w:p>
    <w:p w:rsidR="00846939" w:rsidRDefault="005737FC">
      <w:pPr>
        <w:spacing w:after="48" w:line="270" w:lineRule="auto"/>
        <w:ind w:left="170"/>
      </w:pPr>
      <w:r>
        <w:rPr>
          <w:sz w:val="21"/>
        </w:rPr>
        <w:t xml:space="preserve">14.Masip J, </w:t>
      </w:r>
      <w:proofErr w:type="spellStart"/>
      <w:r>
        <w:rPr>
          <w:sz w:val="21"/>
        </w:rPr>
        <w:t>Vecilla</w:t>
      </w:r>
      <w:proofErr w:type="spellEnd"/>
      <w:r>
        <w:rPr>
          <w:sz w:val="21"/>
        </w:rPr>
        <w:t xml:space="preserve"> FPJ. Diffuse pulmonary </w:t>
      </w:r>
      <w:proofErr w:type="spellStart"/>
      <w:r>
        <w:rPr>
          <w:sz w:val="21"/>
        </w:rPr>
        <w:t>hemorrhage</w:t>
      </w:r>
      <w:proofErr w:type="spellEnd"/>
      <w:r>
        <w:rPr>
          <w:sz w:val="21"/>
        </w:rPr>
        <w:t xml:space="preserve"> after fibrinolytic therapy for acute myocardial infarction. </w:t>
      </w:r>
      <w:r>
        <w:rPr>
          <w:i/>
          <w:sz w:val="21"/>
        </w:rPr>
        <w:t xml:space="preserve">Int J </w:t>
      </w:r>
      <w:proofErr w:type="spellStart"/>
      <w:r>
        <w:rPr>
          <w:i/>
          <w:sz w:val="21"/>
        </w:rPr>
        <w:t>Cardiol</w:t>
      </w:r>
      <w:proofErr w:type="spellEnd"/>
      <w:r>
        <w:rPr>
          <w:sz w:val="21"/>
        </w:rPr>
        <w:t xml:space="preserve">. 1998;63(1):95–97. </w:t>
      </w:r>
      <w:proofErr w:type="spellStart"/>
      <w:r>
        <w:rPr>
          <w:sz w:val="21"/>
        </w:rPr>
        <w:t>doi</w:t>
      </w:r>
      <w:proofErr w:type="spellEnd"/>
      <w:r>
        <w:rPr>
          <w:sz w:val="21"/>
        </w:rPr>
        <w:t>: 10.1016/s0167-5273(97)00285-4 [</w:t>
      </w:r>
      <w:r>
        <w:rPr>
          <w:color w:val="005DA2"/>
          <w:sz w:val="21"/>
          <w:u w:val="single" w:color="005DA2"/>
        </w:rPr>
        <w:t>DOI</w:t>
      </w:r>
      <w:r>
        <w:rPr>
          <w:sz w:val="21"/>
          <w:shd w:val="clear" w:color="auto" w:fill="FFFFFF"/>
        </w:rPr>
        <w:t>] [</w:t>
      </w:r>
      <w:r>
        <w:rPr>
          <w:color w:val="005DA2"/>
          <w:sz w:val="21"/>
          <w:u w:val="single" w:color="005DA2"/>
        </w:rPr>
        <w:t>PubMed</w:t>
      </w:r>
      <w:r>
        <w:rPr>
          <w:sz w:val="21"/>
        </w:rPr>
        <w:t>] [</w:t>
      </w:r>
      <w:r>
        <w:rPr>
          <w:color w:val="005DA2"/>
          <w:sz w:val="21"/>
          <w:u w:val="single" w:color="005DA2"/>
        </w:rPr>
        <w:t>Google Scholar</w:t>
      </w:r>
      <w:r>
        <w:rPr>
          <w:sz w:val="21"/>
          <w:shd w:val="clear" w:color="auto" w:fill="FFFFFF"/>
        </w:rPr>
        <w:t>]</w:t>
      </w:r>
    </w:p>
    <w:p w:rsidR="00846939" w:rsidRDefault="005737FC">
      <w:pPr>
        <w:spacing w:after="11" w:line="270" w:lineRule="auto"/>
        <w:ind w:left="170"/>
      </w:pPr>
      <w:r>
        <w:rPr>
          <w:sz w:val="21"/>
        </w:rPr>
        <w:t xml:space="preserve">15.Yigla M, Sprecher E, Azzam Z, </w:t>
      </w:r>
      <w:proofErr w:type="spellStart"/>
      <w:r>
        <w:rPr>
          <w:sz w:val="21"/>
        </w:rPr>
        <w:t>Guralnik</w:t>
      </w:r>
      <w:proofErr w:type="spellEnd"/>
      <w:r>
        <w:rPr>
          <w:sz w:val="21"/>
        </w:rPr>
        <w:t xml:space="preserve"> L, </w:t>
      </w:r>
      <w:proofErr w:type="spellStart"/>
      <w:r>
        <w:rPr>
          <w:sz w:val="21"/>
        </w:rPr>
        <w:t>Kapeliovich</w:t>
      </w:r>
      <w:proofErr w:type="spellEnd"/>
      <w:r>
        <w:rPr>
          <w:sz w:val="21"/>
        </w:rPr>
        <w:t xml:space="preserve"> MKN, </w:t>
      </w:r>
      <w:proofErr w:type="spellStart"/>
      <w:r>
        <w:rPr>
          <w:sz w:val="21"/>
        </w:rPr>
        <w:t>Krivoy</w:t>
      </w:r>
      <w:proofErr w:type="spellEnd"/>
      <w:r>
        <w:rPr>
          <w:sz w:val="21"/>
        </w:rPr>
        <w:t xml:space="preserve"> N. Diffuse alveolar </w:t>
      </w:r>
      <w:proofErr w:type="spellStart"/>
      <w:r>
        <w:rPr>
          <w:sz w:val="21"/>
        </w:rPr>
        <w:t>hemorrhage</w:t>
      </w:r>
      <w:proofErr w:type="spellEnd"/>
      <w:r>
        <w:rPr>
          <w:sz w:val="21"/>
        </w:rPr>
        <w:t xml:space="preserve"> following thrombolytic therapy for acute myocardial infarction. </w:t>
      </w:r>
      <w:r>
        <w:rPr>
          <w:i/>
          <w:sz w:val="21"/>
        </w:rPr>
        <w:t>Respiration</w:t>
      </w:r>
      <w:r>
        <w:rPr>
          <w:sz w:val="21"/>
        </w:rPr>
        <w:t xml:space="preserve">. </w:t>
      </w:r>
    </w:p>
    <w:p w:rsidR="00846939" w:rsidRDefault="005737FC">
      <w:pPr>
        <w:spacing w:after="50" w:line="270" w:lineRule="auto"/>
        <w:ind w:left="170"/>
      </w:pPr>
      <w:r>
        <w:rPr>
          <w:sz w:val="21"/>
        </w:rPr>
        <w:t xml:space="preserve">2000;67(4):445–448. </w:t>
      </w:r>
      <w:proofErr w:type="spellStart"/>
      <w:r>
        <w:rPr>
          <w:sz w:val="21"/>
        </w:rPr>
        <w:t>doi</w:t>
      </w:r>
      <w:proofErr w:type="spellEnd"/>
      <w:r>
        <w:rPr>
          <w:sz w:val="21"/>
        </w:rPr>
        <w:t>: 10.1159/000029546 [</w:t>
      </w:r>
      <w:r>
        <w:rPr>
          <w:color w:val="005DA2"/>
          <w:sz w:val="21"/>
          <w:u w:val="single" w:color="005DA2"/>
        </w:rPr>
        <w:t>DOI</w:t>
      </w:r>
      <w:r>
        <w:rPr>
          <w:sz w:val="21"/>
          <w:shd w:val="clear" w:color="auto" w:fill="FFFFFF"/>
        </w:rPr>
        <w:t>] [</w:t>
      </w:r>
      <w:r>
        <w:rPr>
          <w:color w:val="005DA2"/>
          <w:sz w:val="21"/>
          <w:u w:val="single" w:color="005DA2"/>
        </w:rPr>
        <w:t>PubMed</w:t>
      </w:r>
      <w:r>
        <w:rPr>
          <w:sz w:val="21"/>
          <w:shd w:val="clear" w:color="auto" w:fill="FFFFFF"/>
        </w:rPr>
        <w:t>] [</w:t>
      </w:r>
      <w:r>
        <w:rPr>
          <w:color w:val="005DA2"/>
          <w:sz w:val="21"/>
          <w:u w:val="single" w:color="005DA2"/>
        </w:rPr>
        <w:t>Google Scholar</w:t>
      </w:r>
      <w:r>
        <w:rPr>
          <w:sz w:val="21"/>
          <w:shd w:val="clear" w:color="auto" w:fill="FFFFFF"/>
        </w:rPr>
        <w:t>]</w:t>
      </w:r>
    </w:p>
    <w:p w:rsidR="00846939" w:rsidRDefault="005737FC">
      <w:pPr>
        <w:spacing w:after="11" w:line="270" w:lineRule="auto"/>
        <w:ind w:left="170"/>
      </w:pPr>
      <w:r>
        <w:rPr>
          <w:sz w:val="21"/>
        </w:rPr>
        <w:t xml:space="preserve">16.Ayyub M, </w:t>
      </w:r>
      <w:proofErr w:type="spellStart"/>
      <w:r>
        <w:rPr>
          <w:sz w:val="21"/>
        </w:rPr>
        <w:t>Barlas</w:t>
      </w:r>
      <w:proofErr w:type="spellEnd"/>
      <w:r>
        <w:rPr>
          <w:sz w:val="21"/>
        </w:rPr>
        <w:t xml:space="preserve"> S, Iqbal M, Khurshid SM. Diffuse alveolar </w:t>
      </w:r>
      <w:proofErr w:type="spellStart"/>
      <w:r>
        <w:rPr>
          <w:sz w:val="21"/>
        </w:rPr>
        <w:t>hemorrhages</w:t>
      </w:r>
      <w:proofErr w:type="spellEnd"/>
      <w:r>
        <w:rPr>
          <w:sz w:val="21"/>
        </w:rPr>
        <w:t xml:space="preserve"> and </w:t>
      </w:r>
      <w:proofErr w:type="spellStart"/>
      <w:r>
        <w:rPr>
          <w:sz w:val="21"/>
        </w:rPr>
        <w:t>hemorrhagic</w:t>
      </w:r>
      <w:proofErr w:type="spellEnd"/>
      <w:r>
        <w:rPr>
          <w:sz w:val="21"/>
        </w:rPr>
        <w:t xml:space="preserve"> pleural effusion after thrombolytic therapy with streptokinase for acute myocardial infarction. </w:t>
      </w:r>
      <w:r>
        <w:rPr>
          <w:i/>
          <w:sz w:val="21"/>
        </w:rPr>
        <w:t>Saudi Med J</w:t>
      </w:r>
      <w:r>
        <w:rPr>
          <w:sz w:val="21"/>
        </w:rPr>
        <w:t xml:space="preserve">. </w:t>
      </w:r>
    </w:p>
    <w:p w:rsidR="00846939" w:rsidRDefault="005737FC">
      <w:pPr>
        <w:spacing w:after="50" w:line="270" w:lineRule="auto"/>
        <w:ind w:left="170"/>
      </w:pPr>
      <w:r>
        <w:rPr>
          <w:sz w:val="21"/>
        </w:rPr>
        <w:t>2003;24(2):217–220. [</w:t>
      </w:r>
      <w:r>
        <w:rPr>
          <w:color w:val="005DA2"/>
          <w:sz w:val="21"/>
          <w:u w:val="single" w:color="005DA2"/>
        </w:rPr>
        <w:t>PubMed</w:t>
      </w:r>
      <w:r>
        <w:rPr>
          <w:sz w:val="21"/>
        </w:rPr>
        <w:t>] [</w:t>
      </w:r>
      <w:r>
        <w:rPr>
          <w:color w:val="005DA2"/>
          <w:sz w:val="21"/>
          <w:u w:val="single" w:color="005DA2"/>
        </w:rPr>
        <w:t>Google Scholar</w:t>
      </w:r>
      <w:r>
        <w:rPr>
          <w:sz w:val="21"/>
          <w:shd w:val="clear" w:color="auto" w:fill="FFFFFF"/>
        </w:rPr>
        <w:t>]</w:t>
      </w:r>
    </w:p>
    <w:p w:rsidR="00846939" w:rsidRDefault="005737FC">
      <w:pPr>
        <w:spacing w:after="48" w:line="270" w:lineRule="auto"/>
        <w:ind w:left="170"/>
      </w:pPr>
      <w:r>
        <w:rPr>
          <w:sz w:val="21"/>
        </w:rPr>
        <w:t xml:space="preserve">17.González A, </w:t>
      </w:r>
      <w:proofErr w:type="spellStart"/>
      <w:r>
        <w:rPr>
          <w:sz w:val="21"/>
        </w:rPr>
        <w:t>Sagardía</w:t>
      </w:r>
      <w:proofErr w:type="spellEnd"/>
      <w:r>
        <w:rPr>
          <w:sz w:val="21"/>
        </w:rPr>
        <w:t xml:space="preserve"> J, Redondo A, </w:t>
      </w:r>
      <w:proofErr w:type="spellStart"/>
      <w:r>
        <w:rPr>
          <w:sz w:val="21"/>
        </w:rPr>
        <w:t>Villaverde</w:t>
      </w:r>
      <w:proofErr w:type="spellEnd"/>
      <w:r>
        <w:rPr>
          <w:sz w:val="21"/>
        </w:rPr>
        <w:t xml:space="preserve"> M, Monteverde A. </w:t>
      </w:r>
      <w:proofErr w:type="spellStart"/>
      <w:r>
        <w:rPr>
          <w:sz w:val="21"/>
        </w:rPr>
        <w:t>Hemorragia</w:t>
      </w:r>
      <w:proofErr w:type="spellEnd"/>
      <w:r>
        <w:rPr>
          <w:sz w:val="21"/>
        </w:rPr>
        <w:t xml:space="preserve"> alveolar </w:t>
      </w:r>
      <w:proofErr w:type="spellStart"/>
      <w:r>
        <w:rPr>
          <w:sz w:val="21"/>
        </w:rPr>
        <w:t>como</w:t>
      </w:r>
      <w:proofErr w:type="spellEnd"/>
      <w:r>
        <w:rPr>
          <w:sz w:val="21"/>
        </w:rPr>
        <w:t xml:space="preserve"> </w:t>
      </w:r>
      <w:proofErr w:type="spellStart"/>
      <w:r>
        <w:rPr>
          <w:sz w:val="21"/>
        </w:rPr>
        <w:t>complicación</w:t>
      </w:r>
      <w:proofErr w:type="spellEnd"/>
      <w:r>
        <w:rPr>
          <w:sz w:val="21"/>
        </w:rPr>
        <w:t xml:space="preserve"> del </w:t>
      </w:r>
      <w:proofErr w:type="spellStart"/>
      <w:r>
        <w:rPr>
          <w:sz w:val="21"/>
        </w:rPr>
        <w:t>uso</w:t>
      </w:r>
      <w:proofErr w:type="spellEnd"/>
      <w:r>
        <w:rPr>
          <w:sz w:val="21"/>
        </w:rPr>
        <w:t xml:space="preserve"> de </w:t>
      </w:r>
      <w:proofErr w:type="spellStart"/>
      <w:r>
        <w:rPr>
          <w:sz w:val="21"/>
        </w:rPr>
        <w:t>trombolíticos</w:t>
      </w:r>
      <w:proofErr w:type="spellEnd"/>
      <w:r>
        <w:rPr>
          <w:sz w:val="21"/>
        </w:rPr>
        <w:t xml:space="preserve">. </w:t>
      </w:r>
      <w:proofErr w:type="spellStart"/>
      <w:r>
        <w:rPr>
          <w:i/>
          <w:sz w:val="21"/>
        </w:rPr>
        <w:t>Medicina</w:t>
      </w:r>
      <w:proofErr w:type="spellEnd"/>
      <w:r>
        <w:rPr>
          <w:i/>
          <w:sz w:val="21"/>
        </w:rPr>
        <w:t xml:space="preserve"> (B Aires)</w:t>
      </w:r>
      <w:r>
        <w:rPr>
          <w:sz w:val="21"/>
        </w:rPr>
        <w:t>. 2011;71(6):547–549. [</w:t>
      </w:r>
      <w:r>
        <w:rPr>
          <w:color w:val="005DA2"/>
          <w:sz w:val="21"/>
          <w:u w:val="single" w:color="005DA2"/>
        </w:rPr>
        <w:t>PubMed</w:t>
      </w:r>
      <w:r>
        <w:rPr>
          <w:sz w:val="21"/>
          <w:shd w:val="clear" w:color="auto" w:fill="FFFFFF"/>
        </w:rPr>
        <w:t>] [</w:t>
      </w:r>
      <w:r>
        <w:rPr>
          <w:color w:val="005DA2"/>
          <w:sz w:val="21"/>
          <w:u w:val="single" w:color="005DA2"/>
        </w:rPr>
        <w:t>Google Scholar</w:t>
      </w:r>
      <w:r>
        <w:rPr>
          <w:sz w:val="21"/>
        </w:rPr>
        <w:t>]</w:t>
      </w:r>
    </w:p>
    <w:p w:rsidR="00846939" w:rsidRDefault="005737FC">
      <w:pPr>
        <w:spacing w:after="11" w:line="270" w:lineRule="auto"/>
        <w:ind w:left="170"/>
      </w:pPr>
      <w:r>
        <w:rPr>
          <w:sz w:val="21"/>
        </w:rPr>
        <w:t xml:space="preserve">18.Kinsara A, </w:t>
      </w:r>
      <w:proofErr w:type="spellStart"/>
      <w:r>
        <w:rPr>
          <w:sz w:val="21"/>
        </w:rPr>
        <w:t>Abuosa</w:t>
      </w:r>
      <w:proofErr w:type="spellEnd"/>
      <w:r>
        <w:rPr>
          <w:sz w:val="21"/>
        </w:rPr>
        <w:t xml:space="preserve"> A, </w:t>
      </w:r>
      <w:proofErr w:type="spellStart"/>
      <w:r>
        <w:rPr>
          <w:sz w:val="21"/>
        </w:rPr>
        <w:t>EL-Sheikh</w:t>
      </w:r>
      <w:proofErr w:type="spellEnd"/>
      <w:r>
        <w:rPr>
          <w:sz w:val="21"/>
        </w:rPr>
        <w:t xml:space="preserve"> A. Abnormal chest x-ray </w:t>
      </w:r>
      <w:proofErr w:type="spellStart"/>
      <w:r>
        <w:rPr>
          <w:sz w:val="21"/>
        </w:rPr>
        <w:t>postmyocardial</w:t>
      </w:r>
      <w:proofErr w:type="spellEnd"/>
      <w:r>
        <w:rPr>
          <w:sz w:val="21"/>
        </w:rPr>
        <w:t xml:space="preserve"> infarction. </w:t>
      </w:r>
      <w:r>
        <w:rPr>
          <w:i/>
          <w:sz w:val="21"/>
        </w:rPr>
        <w:t>Hear Views</w:t>
      </w:r>
      <w:r>
        <w:rPr>
          <w:sz w:val="21"/>
        </w:rPr>
        <w:t xml:space="preserve">. </w:t>
      </w:r>
    </w:p>
    <w:p w:rsidR="00846939" w:rsidRDefault="005737FC">
      <w:pPr>
        <w:spacing w:after="50" w:line="270" w:lineRule="auto"/>
        <w:ind w:left="170"/>
      </w:pPr>
      <w:r>
        <w:rPr>
          <w:sz w:val="21"/>
        </w:rPr>
        <w:t xml:space="preserve">2014;15(4):121. </w:t>
      </w:r>
      <w:proofErr w:type="spellStart"/>
      <w:r>
        <w:rPr>
          <w:sz w:val="21"/>
        </w:rPr>
        <w:t>doi</w:t>
      </w:r>
      <w:proofErr w:type="spellEnd"/>
      <w:r>
        <w:rPr>
          <w:sz w:val="21"/>
        </w:rPr>
        <w:t>: 10.4103/1995-705x.151086 [</w:t>
      </w:r>
      <w:r>
        <w:rPr>
          <w:color w:val="005DA2"/>
          <w:sz w:val="21"/>
          <w:u w:val="single" w:color="005DA2"/>
        </w:rPr>
        <w:t>DOI</w:t>
      </w:r>
      <w:r>
        <w:rPr>
          <w:sz w:val="21"/>
          <w:shd w:val="clear" w:color="auto" w:fill="FFFFFF"/>
        </w:rPr>
        <w:t>] [</w:t>
      </w:r>
      <w:r>
        <w:rPr>
          <w:color w:val="005DA2"/>
          <w:sz w:val="21"/>
          <w:u w:val="single" w:color="005DA2"/>
        </w:rPr>
        <w:t>PMC free article</w:t>
      </w:r>
      <w:r>
        <w:rPr>
          <w:sz w:val="21"/>
          <w:shd w:val="clear" w:color="auto" w:fill="FFFFFF"/>
        </w:rPr>
        <w:t>] [</w:t>
      </w:r>
      <w:r>
        <w:rPr>
          <w:color w:val="005DA2"/>
          <w:sz w:val="21"/>
          <w:u w:val="single" w:color="005DA2"/>
        </w:rPr>
        <w:t>PubMed</w:t>
      </w:r>
      <w:r>
        <w:rPr>
          <w:sz w:val="21"/>
          <w:shd w:val="clear" w:color="auto" w:fill="FFFFFF"/>
        </w:rPr>
        <w:t>] [</w:t>
      </w:r>
      <w:r>
        <w:rPr>
          <w:color w:val="005DA2"/>
          <w:sz w:val="21"/>
          <w:u w:val="single" w:color="005DA2"/>
        </w:rPr>
        <w:t>Google Scholar</w:t>
      </w:r>
      <w:r>
        <w:rPr>
          <w:sz w:val="21"/>
        </w:rPr>
        <w:t>]</w:t>
      </w:r>
    </w:p>
    <w:p w:rsidR="00846939" w:rsidRDefault="005737FC">
      <w:pPr>
        <w:spacing w:after="11" w:line="270" w:lineRule="auto"/>
        <w:ind w:left="170"/>
      </w:pPr>
      <w:r>
        <w:rPr>
          <w:sz w:val="21"/>
        </w:rPr>
        <w:t xml:space="preserve">19.Khaheshi I, </w:t>
      </w:r>
      <w:proofErr w:type="spellStart"/>
      <w:r>
        <w:rPr>
          <w:sz w:val="21"/>
        </w:rPr>
        <w:t>Paydary</w:t>
      </w:r>
      <w:proofErr w:type="spellEnd"/>
      <w:r>
        <w:rPr>
          <w:sz w:val="21"/>
        </w:rPr>
        <w:t xml:space="preserve"> K, </w:t>
      </w:r>
      <w:proofErr w:type="spellStart"/>
      <w:r>
        <w:rPr>
          <w:sz w:val="21"/>
        </w:rPr>
        <w:t>Mahjoob</w:t>
      </w:r>
      <w:proofErr w:type="spellEnd"/>
      <w:r>
        <w:rPr>
          <w:sz w:val="21"/>
        </w:rPr>
        <w:t xml:space="preserve"> M. Diffuse pulmonary </w:t>
      </w:r>
      <w:proofErr w:type="spellStart"/>
      <w:r>
        <w:rPr>
          <w:sz w:val="21"/>
        </w:rPr>
        <w:t>hemorrhage</w:t>
      </w:r>
      <w:proofErr w:type="spellEnd"/>
      <w:r>
        <w:rPr>
          <w:sz w:val="21"/>
        </w:rPr>
        <w:t xml:space="preserve"> after fibrinolytic therapy for acute myocardial infarction in a cocaine abuser patient. </w:t>
      </w:r>
      <w:r>
        <w:rPr>
          <w:i/>
          <w:sz w:val="21"/>
        </w:rPr>
        <w:t>Hear Views</w:t>
      </w:r>
      <w:r>
        <w:rPr>
          <w:sz w:val="21"/>
        </w:rPr>
        <w:t xml:space="preserve">. 2014;15(3):83. </w:t>
      </w:r>
      <w:proofErr w:type="spellStart"/>
      <w:r>
        <w:rPr>
          <w:sz w:val="21"/>
        </w:rPr>
        <w:t>doi</w:t>
      </w:r>
      <w:proofErr w:type="spellEnd"/>
      <w:r>
        <w:rPr>
          <w:sz w:val="21"/>
        </w:rPr>
        <w:t>: 10.4103/1995-</w:t>
      </w:r>
    </w:p>
    <w:p w:rsidR="00846939" w:rsidRDefault="005737FC">
      <w:pPr>
        <w:spacing w:after="57" w:line="259" w:lineRule="auto"/>
        <w:ind w:left="170"/>
      </w:pPr>
      <w:r>
        <w:rPr>
          <w:sz w:val="21"/>
        </w:rPr>
        <w:t>705x.144797 [</w:t>
      </w:r>
      <w:r>
        <w:rPr>
          <w:color w:val="005DA2"/>
          <w:sz w:val="21"/>
          <w:u w:val="single" w:color="005DA2"/>
        </w:rPr>
        <w:t>DOI</w:t>
      </w:r>
      <w:r>
        <w:rPr>
          <w:sz w:val="21"/>
        </w:rPr>
        <w:t>] [</w:t>
      </w:r>
      <w:r>
        <w:rPr>
          <w:color w:val="005DA2"/>
          <w:sz w:val="21"/>
          <w:u w:val="single" w:color="005DA2"/>
        </w:rPr>
        <w:t>PMC free article</w:t>
      </w:r>
      <w:r>
        <w:rPr>
          <w:sz w:val="21"/>
          <w:shd w:val="clear" w:color="auto" w:fill="FFFFFF"/>
        </w:rPr>
        <w:t>] [</w:t>
      </w:r>
      <w:r>
        <w:rPr>
          <w:color w:val="005DA2"/>
          <w:sz w:val="21"/>
          <w:u w:val="single" w:color="005DA2"/>
        </w:rPr>
        <w:t>PubMed</w:t>
      </w:r>
      <w:r>
        <w:rPr>
          <w:sz w:val="21"/>
          <w:shd w:val="clear" w:color="auto" w:fill="FFFFFF"/>
        </w:rPr>
        <w:t>] [</w:t>
      </w:r>
      <w:r>
        <w:rPr>
          <w:color w:val="005DA2"/>
          <w:sz w:val="21"/>
          <w:u w:val="single" w:color="005DA2"/>
        </w:rPr>
        <w:t>Google Scholar</w:t>
      </w:r>
      <w:r>
        <w:rPr>
          <w:sz w:val="21"/>
          <w:shd w:val="clear" w:color="auto" w:fill="FFFFFF"/>
        </w:rPr>
        <w:t>]</w:t>
      </w:r>
    </w:p>
    <w:p w:rsidR="00846939" w:rsidRDefault="005737FC">
      <w:pPr>
        <w:spacing w:after="11" w:line="270" w:lineRule="auto"/>
        <w:ind w:left="170"/>
      </w:pPr>
      <w:r>
        <w:rPr>
          <w:sz w:val="21"/>
        </w:rPr>
        <w:t xml:space="preserve">20.Narayanan S, </w:t>
      </w:r>
      <w:proofErr w:type="spellStart"/>
      <w:r>
        <w:rPr>
          <w:sz w:val="21"/>
        </w:rPr>
        <w:t>Thulaseedharan</w:t>
      </w:r>
      <w:proofErr w:type="spellEnd"/>
      <w:r>
        <w:rPr>
          <w:sz w:val="21"/>
        </w:rPr>
        <w:t xml:space="preserve"> NK, Subramaniam G, </w:t>
      </w:r>
      <w:proofErr w:type="spellStart"/>
      <w:r>
        <w:rPr>
          <w:sz w:val="21"/>
        </w:rPr>
        <w:t>Panarkandy</w:t>
      </w:r>
      <w:proofErr w:type="spellEnd"/>
      <w:r>
        <w:rPr>
          <w:sz w:val="21"/>
        </w:rPr>
        <w:t xml:space="preserve"> G, </w:t>
      </w:r>
      <w:proofErr w:type="spellStart"/>
      <w:r>
        <w:rPr>
          <w:sz w:val="21"/>
        </w:rPr>
        <w:t>Arathi</w:t>
      </w:r>
      <w:proofErr w:type="spellEnd"/>
      <w:r>
        <w:rPr>
          <w:sz w:val="21"/>
        </w:rPr>
        <w:t xml:space="preserve"> N. Pulmonary alveolar </w:t>
      </w:r>
      <w:proofErr w:type="spellStart"/>
      <w:r>
        <w:rPr>
          <w:sz w:val="21"/>
        </w:rPr>
        <w:t>hemorrhage</w:t>
      </w:r>
      <w:proofErr w:type="spellEnd"/>
      <w:r>
        <w:rPr>
          <w:sz w:val="21"/>
        </w:rPr>
        <w:t xml:space="preserve"> following thrombolytic therapy. </w:t>
      </w:r>
      <w:r>
        <w:rPr>
          <w:i/>
          <w:sz w:val="21"/>
        </w:rPr>
        <w:t>Int Med Case Rep J</w:t>
      </w:r>
      <w:r>
        <w:rPr>
          <w:sz w:val="21"/>
        </w:rPr>
        <w:t xml:space="preserve">. </w:t>
      </w:r>
      <w:proofErr w:type="gramStart"/>
      <w:r>
        <w:rPr>
          <w:sz w:val="21"/>
        </w:rPr>
        <w:t>2017;10:123</w:t>
      </w:r>
      <w:proofErr w:type="gramEnd"/>
      <w:r>
        <w:rPr>
          <w:sz w:val="21"/>
        </w:rPr>
        <w:t xml:space="preserve">–125. </w:t>
      </w:r>
      <w:proofErr w:type="spellStart"/>
      <w:r>
        <w:rPr>
          <w:sz w:val="21"/>
        </w:rPr>
        <w:t>doi</w:t>
      </w:r>
      <w:proofErr w:type="spellEnd"/>
      <w:r>
        <w:rPr>
          <w:sz w:val="21"/>
        </w:rPr>
        <w:t xml:space="preserve">: </w:t>
      </w:r>
    </w:p>
    <w:p w:rsidR="00846939" w:rsidRDefault="005737FC">
      <w:pPr>
        <w:spacing w:after="57" w:line="259" w:lineRule="auto"/>
        <w:ind w:left="170"/>
      </w:pPr>
      <w:r>
        <w:rPr>
          <w:sz w:val="21"/>
        </w:rPr>
        <w:t>10.2147/</w:t>
      </w:r>
      <w:proofErr w:type="gramStart"/>
      <w:r>
        <w:rPr>
          <w:sz w:val="21"/>
        </w:rPr>
        <w:t>imcrj.s</w:t>
      </w:r>
      <w:proofErr w:type="gramEnd"/>
      <w:r>
        <w:rPr>
          <w:sz w:val="21"/>
        </w:rPr>
        <w:t>129087 [</w:t>
      </w:r>
      <w:r>
        <w:rPr>
          <w:color w:val="005DA2"/>
          <w:sz w:val="21"/>
          <w:u w:val="single" w:color="005DA2"/>
        </w:rPr>
        <w:t>DOI</w:t>
      </w:r>
      <w:r>
        <w:rPr>
          <w:sz w:val="21"/>
          <w:shd w:val="clear" w:color="auto" w:fill="FFFFFF"/>
        </w:rPr>
        <w:t>] [</w:t>
      </w:r>
      <w:r>
        <w:rPr>
          <w:color w:val="005DA2"/>
          <w:sz w:val="21"/>
          <w:u w:val="single" w:color="005DA2"/>
        </w:rPr>
        <w:t>PMC free article</w:t>
      </w:r>
      <w:r>
        <w:rPr>
          <w:sz w:val="21"/>
          <w:shd w:val="clear" w:color="auto" w:fill="FFFFFF"/>
        </w:rPr>
        <w:t>] [</w:t>
      </w:r>
      <w:r>
        <w:rPr>
          <w:color w:val="005DA2"/>
          <w:sz w:val="21"/>
          <w:u w:val="single" w:color="005DA2"/>
        </w:rPr>
        <w:t>PubMed</w:t>
      </w:r>
      <w:r>
        <w:rPr>
          <w:sz w:val="21"/>
          <w:shd w:val="clear" w:color="auto" w:fill="FFFFFF"/>
        </w:rPr>
        <w:t>] [</w:t>
      </w:r>
      <w:r>
        <w:rPr>
          <w:color w:val="005DA2"/>
          <w:sz w:val="21"/>
          <w:u w:val="single" w:color="005DA2"/>
        </w:rPr>
        <w:t>Google Scholar</w:t>
      </w:r>
      <w:r>
        <w:rPr>
          <w:sz w:val="21"/>
          <w:shd w:val="clear" w:color="auto" w:fill="FFFFFF"/>
        </w:rPr>
        <w:t>]</w:t>
      </w:r>
    </w:p>
    <w:p w:rsidR="00846939" w:rsidRDefault="005737FC">
      <w:pPr>
        <w:spacing w:after="11" w:line="270" w:lineRule="auto"/>
        <w:ind w:left="170"/>
      </w:pPr>
      <w:r>
        <w:rPr>
          <w:sz w:val="21"/>
        </w:rPr>
        <w:t xml:space="preserve">21.Prasad K, Singh P, </w:t>
      </w:r>
      <w:proofErr w:type="spellStart"/>
      <w:r>
        <w:rPr>
          <w:sz w:val="21"/>
        </w:rPr>
        <w:t>Kanabar</w:t>
      </w:r>
      <w:proofErr w:type="spellEnd"/>
      <w:r>
        <w:rPr>
          <w:sz w:val="21"/>
        </w:rPr>
        <w:t xml:space="preserve"> KVR. Pulmonary haemorrhage following thrombolysis with streptokinase in myocardial infarction. </w:t>
      </w:r>
      <w:r>
        <w:rPr>
          <w:i/>
          <w:sz w:val="21"/>
        </w:rPr>
        <w:t>BMJ Case Rep</w:t>
      </w:r>
      <w:r>
        <w:rPr>
          <w:sz w:val="21"/>
        </w:rPr>
        <w:t xml:space="preserve">. 2020;13(1):232–308. </w:t>
      </w:r>
      <w:proofErr w:type="spellStart"/>
      <w:r>
        <w:rPr>
          <w:sz w:val="21"/>
        </w:rPr>
        <w:t>doi</w:t>
      </w:r>
      <w:proofErr w:type="spellEnd"/>
      <w:r>
        <w:rPr>
          <w:sz w:val="21"/>
        </w:rPr>
        <w:t>: 10.1136/bcr-2019-</w:t>
      </w:r>
    </w:p>
    <w:p w:rsidR="00846939" w:rsidRDefault="005737FC">
      <w:pPr>
        <w:spacing w:after="57" w:line="259" w:lineRule="auto"/>
        <w:ind w:left="170"/>
      </w:pPr>
      <w:r>
        <w:rPr>
          <w:sz w:val="21"/>
        </w:rPr>
        <w:t>232308 [</w:t>
      </w:r>
      <w:r>
        <w:rPr>
          <w:color w:val="005DA2"/>
          <w:sz w:val="21"/>
          <w:u w:val="single" w:color="005DA2"/>
        </w:rPr>
        <w:t>DOI</w:t>
      </w:r>
      <w:r>
        <w:rPr>
          <w:sz w:val="21"/>
          <w:shd w:val="clear" w:color="auto" w:fill="FFFFFF"/>
        </w:rPr>
        <w:t>] [</w:t>
      </w:r>
      <w:r>
        <w:rPr>
          <w:color w:val="005DA2"/>
          <w:sz w:val="21"/>
          <w:u w:val="single" w:color="005DA2"/>
        </w:rPr>
        <w:t>PMC free article</w:t>
      </w:r>
      <w:r>
        <w:rPr>
          <w:sz w:val="21"/>
          <w:shd w:val="clear" w:color="auto" w:fill="FFFFFF"/>
        </w:rPr>
        <w:t>] [</w:t>
      </w:r>
      <w:r>
        <w:rPr>
          <w:color w:val="005DA2"/>
          <w:sz w:val="21"/>
          <w:u w:val="single" w:color="005DA2"/>
        </w:rPr>
        <w:t>PubMed</w:t>
      </w:r>
      <w:r>
        <w:rPr>
          <w:sz w:val="21"/>
          <w:shd w:val="clear" w:color="auto" w:fill="FFFFFF"/>
        </w:rPr>
        <w:t>] [</w:t>
      </w:r>
      <w:r>
        <w:rPr>
          <w:color w:val="005DA2"/>
          <w:sz w:val="21"/>
          <w:u w:val="single" w:color="005DA2"/>
        </w:rPr>
        <w:t>Google Scholar</w:t>
      </w:r>
      <w:r>
        <w:rPr>
          <w:sz w:val="21"/>
        </w:rPr>
        <w:t>]</w:t>
      </w:r>
    </w:p>
    <w:p w:rsidR="00846939" w:rsidRDefault="005737FC" w:rsidP="00575EA8">
      <w:pPr>
        <w:spacing w:after="11" w:line="270" w:lineRule="auto"/>
        <w:ind w:left="0" w:firstLine="0"/>
      </w:pPr>
      <w:r>
        <w:rPr>
          <w:sz w:val="21"/>
        </w:rPr>
        <w:t xml:space="preserve">22.Green RJ, </w:t>
      </w:r>
      <w:proofErr w:type="spellStart"/>
      <w:r>
        <w:rPr>
          <w:sz w:val="21"/>
        </w:rPr>
        <w:t>Ruoss</w:t>
      </w:r>
      <w:proofErr w:type="spellEnd"/>
      <w:r>
        <w:rPr>
          <w:sz w:val="21"/>
        </w:rPr>
        <w:t xml:space="preserve"> SJ, Kraft SA, Berry GJ, </w:t>
      </w:r>
      <w:proofErr w:type="spellStart"/>
      <w:r>
        <w:rPr>
          <w:sz w:val="21"/>
        </w:rPr>
        <w:t>Raffan</w:t>
      </w:r>
      <w:proofErr w:type="spellEnd"/>
      <w:r>
        <w:rPr>
          <w:sz w:val="21"/>
        </w:rPr>
        <w:t xml:space="preserve"> TA. Pulmonary </w:t>
      </w:r>
      <w:proofErr w:type="spellStart"/>
      <w:r>
        <w:rPr>
          <w:sz w:val="21"/>
        </w:rPr>
        <w:t>capillaritis</w:t>
      </w:r>
      <w:proofErr w:type="spellEnd"/>
      <w:r>
        <w:rPr>
          <w:sz w:val="21"/>
        </w:rPr>
        <w:t xml:space="preserve"> and alveolar </w:t>
      </w:r>
      <w:proofErr w:type="spellStart"/>
      <w:r>
        <w:rPr>
          <w:sz w:val="21"/>
        </w:rPr>
        <w:t>hemorrhage</w:t>
      </w:r>
      <w:proofErr w:type="spellEnd"/>
      <w:r>
        <w:rPr>
          <w:sz w:val="21"/>
        </w:rPr>
        <w:t xml:space="preserve">. </w:t>
      </w:r>
      <w:r>
        <w:rPr>
          <w:i/>
          <w:sz w:val="21"/>
        </w:rPr>
        <w:t>Chest</w:t>
      </w:r>
      <w:r>
        <w:rPr>
          <w:sz w:val="21"/>
        </w:rPr>
        <w:t xml:space="preserve">. </w:t>
      </w:r>
      <w:proofErr w:type="gramStart"/>
      <w:r>
        <w:rPr>
          <w:sz w:val="21"/>
        </w:rPr>
        <w:t>1996;110:1305</w:t>
      </w:r>
      <w:proofErr w:type="gramEnd"/>
      <w:r>
        <w:rPr>
          <w:sz w:val="21"/>
        </w:rPr>
        <w:t xml:space="preserve">–1316. </w:t>
      </w:r>
      <w:proofErr w:type="spellStart"/>
      <w:r>
        <w:rPr>
          <w:sz w:val="21"/>
        </w:rPr>
        <w:t>doi</w:t>
      </w:r>
      <w:proofErr w:type="spellEnd"/>
      <w:r>
        <w:rPr>
          <w:sz w:val="21"/>
        </w:rPr>
        <w:t>: 10.1378/chest.110.5.1305 [</w:t>
      </w:r>
      <w:r>
        <w:rPr>
          <w:color w:val="005DA2"/>
          <w:sz w:val="21"/>
          <w:u w:val="single" w:color="005DA2"/>
        </w:rPr>
        <w:t>DOI</w:t>
      </w:r>
      <w:r>
        <w:rPr>
          <w:sz w:val="21"/>
          <w:shd w:val="clear" w:color="auto" w:fill="FFFFFF"/>
        </w:rPr>
        <w:t>] [</w:t>
      </w:r>
      <w:r>
        <w:rPr>
          <w:color w:val="005DA2"/>
          <w:sz w:val="21"/>
          <w:u w:val="single" w:color="005DA2"/>
        </w:rPr>
        <w:t>PubMed</w:t>
      </w:r>
      <w:r>
        <w:rPr>
          <w:sz w:val="21"/>
        </w:rPr>
        <w:t xml:space="preserve">] </w:t>
      </w:r>
    </w:p>
    <w:p w:rsidR="00846939" w:rsidRDefault="005737FC">
      <w:pPr>
        <w:spacing w:after="57" w:line="259" w:lineRule="auto"/>
        <w:ind w:left="710"/>
        <w:rPr>
          <w:sz w:val="21"/>
          <w:shd w:val="clear" w:color="auto" w:fill="FFFFFF"/>
        </w:rPr>
      </w:pPr>
      <w:r>
        <w:rPr>
          <w:sz w:val="21"/>
        </w:rPr>
        <w:t>[</w:t>
      </w:r>
      <w:r>
        <w:rPr>
          <w:color w:val="005DA2"/>
          <w:sz w:val="21"/>
          <w:u w:val="single" w:color="005DA2"/>
        </w:rPr>
        <w:t>Google Scholar</w:t>
      </w:r>
      <w:r>
        <w:rPr>
          <w:sz w:val="21"/>
          <w:shd w:val="clear" w:color="auto" w:fill="FFFFFF"/>
        </w:rPr>
        <w:t>]</w:t>
      </w:r>
    </w:p>
    <w:p w:rsidR="00575EA8" w:rsidRDefault="00575EA8" w:rsidP="00575EA8">
      <w:pPr>
        <w:spacing w:after="57" w:line="259" w:lineRule="auto"/>
      </w:pPr>
      <w:r>
        <w:t>23.</w:t>
      </w:r>
      <w:r w:rsidRPr="00575EA8">
        <w:t xml:space="preserve">Ben </w:t>
      </w:r>
      <w:proofErr w:type="spellStart"/>
      <w:r w:rsidRPr="00575EA8">
        <w:t>Mrad</w:t>
      </w:r>
      <w:proofErr w:type="spellEnd"/>
      <w:r w:rsidRPr="00575EA8">
        <w:t xml:space="preserve">, I., Ben </w:t>
      </w:r>
      <w:proofErr w:type="spellStart"/>
      <w:r w:rsidRPr="00575EA8">
        <w:t>Mrad</w:t>
      </w:r>
      <w:proofErr w:type="spellEnd"/>
      <w:r w:rsidRPr="00575EA8">
        <w:t xml:space="preserve">, M., </w:t>
      </w:r>
      <w:proofErr w:type="spellStart"/>
      <w:r w:rsidRPr="00575EA8">
        <w:t>Oumaya</w:t>
      </w:r>
      <w:proofErr w:type="spellEnd"/>
      <w:r w:rsidRPr="00575EA8">
        <w:t xml:space="preserve">, Z., </w:t>
      </w:r>
      <w:proofErr w:type="spellStart"/>
      <w:r w:rsidRPr="00575EA8">
        <w:t>Zairi</w:t>
      </w:r>
      <w:proofErr w:type="spellEnd"/>
      <w:r w:rsidRPr="00575EA8">
        <w:t xml:space="preserve">, I., </w:t>
      </w:r>
      <w:proofErr w:type="spellStart"/>
      <w:r w:rsidRPr="00575EA8">
        <w:t>Besbes</w:t>
      </w:r>
      <w:proofErr w:type="spellEnd"/>
      <w:r w:rsidRPr="00575EA8">
        <w:t xml:space="preserve">, B., </w:t>
      </w:r>
      <w:proofErr w:type="spellStart"/>
      <w:r w:rsidRPr="00575EA8">
        <w:t>Ouaghlani</w:t>
      </w:r>
      <w:proofErr w:type="spellEnd"/>
      <w:r w:rsidRPr="00575EA8">
        <w:t xml:space="preserve">, K., ... &amp; </w:t>
      </w:r>
      <w:proofErr w:type="spellStart"/>
      <w:r w:rsidRPr="00575EA8">
        <w:t>Kraiem</w:t>
      </w:r>
      <w:proofErr w:type="spellEnd"/>
      <w:r w:rsidRPr="00575EA8">
        <w:t xml:space="preserve">, S. (2021). Alveolar </w:t>
      </w:r>
      <w:proofErr w:type="spellStart"/>
      <w:r w:rsidRPr="00575EA8">
        <w:t>hemorrhage</w:t>
      </w:r>
      <w:proofErr w:type="spellEnd"/>
      <w:r w:rsidRPr="00575EA8">
        <w:t xml:space="preserve"> following thrombolytic therapy for acute myocardial infarction: Two case reports and literature review. Open Access Emergency Medicine, 399-405.</w:t>
      </w:r>
    </w:p>
    <w:sectPr w:rsidR="00575EA8">
      <w:headerReference w:type="even" r:id="rId11"/>
      <w:headerReference w:type="default" r:id="rId12"/>
      <w:headerReference w:type="first" r:id="rId13"/>
      <w:pgSz w:w="11906" w:h="16838"/>
      <w:pgMar w:top="2116" w:right="1406" w:bottom="2187" w:left="1401" w:header="92"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6256E" w:rsidRDefault="0086256E">
      <w:pPr>
        <w:spacing w:after="0" w:line="240" w:lineRule="auto"/>
      </w:pPr>
      <w:r>
        <w:separator/>
      </w:r>
    </w:p>
  </w:endnote>
  <w:endnote w:type="continuationSeparator" w:id="0">
    <w:p w:rsidR="0086256E" w:rsidRDefault="008625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6256E" w:rsidRDefault="0086256E">
      <w:pPr>
        <w:spacing w:after="0" w:line="240" w:lineRule="auto"/>
      </w:pPr>
      <w:r>
        <w:separator/>
      </w:r>
    </w:p>
  </w:footnote>
  <w:footnote w:type="continuationSeparator" w:id="0">
    <w:p w:rsidR="0086256E" w:rsidRDefault="0086256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46939" w:rsidRDefault="005737FC">
    <w:pPr>
      <w:spacing w:after="0" w:line="259" w:lineRule="auto"/>
      <w:ind w:left="-1401" w:firstLine="0"/>
    </w:pPr>
    <w:r>
      <w:rPr>
        <w:rFonts w:ascii="Courier New" w:eastAsia="Courier New" w:hAnsi="Courier New" w:cs="Courier New"/>
        <w:color w:val="000000"/>
        <w:sz w:val="24"/>
      </w:rPr>
      <w:t>UNDER PEER REVIEW</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46939" w:rsidRDefault="005737FC">
    <w:pPr>
      <w:spacing w:after="0" w:line="259" w:lineRule="auto"/>
      <w:ind w:left="-1401" w:firstLine="0"/>
    </w:pPr>
    <w:r>
      <w:rPr>
        <w:rFonts w:ascii="Courier New" w:eastAsia="Courier New" w:hAnsi="Courier New" w:cs="Courier New"/>
        <w:color w:val="000000"/>
        <w:sz w:val="24"/>
      </w:rPr>
      <w:t>UNDER PEER REVIEW</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46939" w:rsidRDefault="005737FC">
    <w:pPr>
      <w:spacing w:after="0" w:line="259" w:lineRule="auto"/>
      <w:ind w:left="-1401" w:firstLine="0"/>
    </w:pPr>
    <w:r>
      <w:rPr>
        <w:rFonts w:ascii="Courier New" w:eastAsia="Courier New" w:hAnsi="Courier New" w:cs="Courier New"/>
        <w:color w:val="000000"/>
        <w:sz w:val="24"/>
      </w:rPr>
      <w:t>UNDER PEER REVIEW</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MLQwNzc3MTE2tjCzNDZR0lEKTi0uzszPAykwrAUAEnWVJSwAAAA="/>
  </w:docVars>
  <w:rsids>
    <w:rsidRoot w:val="00846939"/>
    <w:rsid w:val="00072A4D"/>
    <w:rsid w:val="0010478B"/>
    <w:rsid w:val="00125AA5"/>
    <w:rsid w:val="0024494A"/>
    <w:rsid w:val="005737FC"/>
    <w:rsid w:val="00575EA8"/>
    <w:rsid w:val="00705068"/>
    <w:rsid w:val="00846939"/>
    <w:rsid w:val="0086256E"/>
    <w:rsid w:val="008E6098"/>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DE4E8B2"/>
  <w15:docId w15:val="{33FC5B6F-A327-4A01-86EC-C471C97939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457" w:line="267" w:lineRule="auto"/>
      <w:ind w:left="10" w:hanging="10"/>
    </w:pPr>
    <w:rPr>
      <w:rFonts w:ascii="Times New Roman" w:eastAsia="Times New Roman" w:hAnsi="Times New Roman" w:cs="Times New Roman"/>
      <w:color w:val="1B1B1B"/>
      <w:sz w:val="27"/>
    </w:rPr>
  </w:style>
  <w:style w:type="paragraph" w:styleId="Heading1">
    <w:name w:val="heading 1"/>
    <w:next w:val="Normal"/>
    <w:link w:val="Heading1Char"/>
    <w:uiPriority w:val="9"/>
    <w:unhideWhenUsed/>
    <w:qFormat/>
    <w:pPr>
      <w:keepNext/>
      <w:keepLines/>
      <w:spacing w:after="391" w:line="265" w:lineRule="auto"/>
      <w:ind w:left="10" w:hanging="10"/>
      <w:outlineLvl w:val="0"/>
    </w:pPr>
    <w:rPr>
      <w:rFonts w:ascii="Times New Roman" w:eastAsia="Times New Roman" w:hAnsi="Times New Roman" w:cs="Times New Roman"/>
      <w:color w:val="1B1B1B"/>
      <w:sz w:val="35"/>
    </w:rPr>
  </w:style>
  <w:style w:type="paragraph" w:styleId="Heading2">
    <w:name w:val="heading 2"/>
    <w:next w:val="Normal"/>
    <w:link w:val="Heading2Char"/>
    <w:uiPriority w:val="9"/>
    <w:unhideWhenUsed/>
    <w:qFormat/>
    <w:pPr>
      <w:keepNext/>
      <w:keepLines/>
      <w:spacing w:after="0"/>
      <w:outlineLvl w:val="1"/>
    </w:pPr>
    <w:rPr>
      <w:rFonts w:ascii="Calibri" w:eastAsia="Calibri" w:hAnsi="Calibri" w:cs="Calibri"/>
      <w:color w:val="1B1B1B"/>
      <w:sz w:val="3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Calibri" w:eastAsia="Calibri" w:hAnsi="Calibri" w:cs="Calibri"/>
      <w:color w:val="1B1B1B"/>
      <w:sz w:val="33"/>
    </w:rPr>
  </w:style>
  <w:style w:type="character" w:customStyle="1" w:styleId="Heading1Char">
    <w:name w:val="Heading 1 Char"/>
    <w:link w:val="Heading1"/>
    <w:rPr>
      <w:rFonts w:ascii="Times New Roman" w:eastAsia="Times New Roman" w:hAnsi="Times New Roman" w:cs="Times New Roman"/>
      <w:color w:val="1B1B1B"/>
      <w:sz w:val="3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3655568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E8078F-39DF-4F10-897C-A8328A3A0B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10</Pages>
  <Words>1911</Words>
  <Characters>12202</Characters>
  <Application>Microsoft Office Word</Application>
  <DocSecurity>0</DocSecurity>
  <Lines>101</Lines>
  <Paragraphs>28</Paragraphs>
  <ScaleCrop>false</ScaleCrop>
  <Company/>
  <LinksUpToDate>false</LinksUpToDate>
  <CharactersWithSpaces>14085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Bleeding%20beyond%20the%20heart%20:%20Alveolar%20Hemorrhage%20post%20thrombolysis.pdf</dc:title>
  <dc:subject/>
  <dc:creator>Admin</dc:creator>
  <cp:keywords/>
  <cp:lastModifiedBy>SDI PC New 16</cp:lastModifiedBy>
  <cp:revision>7</cp:revision>
  <dcterms:created xsi:type="dcterms:W3CDTF">2025-09-04T11:52:00Z</dcterms:created>
  <dcterms:modified xsi:type="dcterms:W3CDTF">2025-09-09T07:51:00Z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a96ebc57-821c-480a-a3e4-918454b7441d</vt:lpwstr>
  </property>
</Properties>
</file>