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A2434" w14:textId="77777777" w:rsidR="00754C9A" w:rsidRDefault="00754C9A" w:rsidP="00441B6F">
      <w:pPr>
        <w:pStyle w:val="Title"/>
        <w:spacing w:after="0"/>
        <w:jc w:val="both"/>
        <w:rPr>
          <w:rFonts w:ascii="Arial" w:hAnsi="Arial" w:cs="Arial"/>
        </w:rPr>
      </w:pPr>
    </w:p>
    <w:p w14:paraId="4609A64B" w14:textId="57560A94" w:rsidR="00A258C3" w:rsidRPr="00B06723" w:rsidRDefault="005715ED" w:rsidP="00441B6F">
      <w:pPr>
        <w:pStyle w:val="Author"/>
        <w:spacing w:line="240" w:lineRule="auto"/>
        <w:jc w:val="both"/>
        <w:rPr>
          <w:rFonts w:ascii="Arial" w:hAnsi="Arial" w:cs="Arial"/>
          <w:sz w:val="36"/>
        </w:rPr>
      </w:pPr>
      <w:r w:rsidRPr="00B06723">
        <w:rPr>
          <w:rFonts w:ascii="Arial" w:hAnsi="Arial" w:cs="Arial"/>
          <w:bCs/>
          <w:iCs/>
          <w:kern w:val="28"/>
          <w:sz w:val="36"/>
        </w:rPr>
        <w:t>Urinary and Blood microRNAs miR-21, miR-141</w:t>
      </w:r>
      <w:r w:rsidR="00CF6BCB">
        <w:rPr>
          <w:rFonts w:ascii="Arial" w:hAnsi="Arial" w:cs="Arial"/>
          <w:bCs/>
          <w:iCs/>
          <w:kern w:val="28"/>
          <w:sz w:val="36"/>
        </w:rPr>
        <w:t xml:space="preserve"> </w:t>
      </w:r>
      <w:bookmarkStart w:id="0" w:name="_GoBack"/>
      <w:bookmarkEnd w:id="0"/>
      <w:r w:rsidRPr="00B06723">
        <w:rPr>
          <w:rFonts w:ascii="Arial" w:hAnsi="Arial" w:cs="Arial"/>
          <w:bCs/>
          <w:iCs/>
          <w:kern w:val="28"/>
          <w:sz w:val="36"/>
        </w:rPr>
        <w:t>and miR-375 as Potential Diagnostic Biomarkers for Prostate Cancer: A Systematic Rev</w:t>
      </w:r>
      <w:r w:rsidR="004E216A" w:rsidRPr="00B06723">
        <w:rPr>
          <w:rFonts w:ascii="Arial" w:hAnsi="Arial" w:cs="Arial"/>
          <w:bCs/>
          <w:iCs/>
          <w:kern w:val="28"/>
          <w:sz w:val="36"/>
        </w:rPr>
        <w:t>iew</w:t>
      </w:r>
      <w:r w:rsidRPr="00B06723">
        <w:rPr>
          <w:rFonts w:ascii="Arial" w:hAnsi="Arial" w:cs="Arial"/>
          <w:bCs/>
          <w:iCs/>
          <w:kern w:val="28"/>
          <w:sz w:val="36"/>
        </w:rPr>
        <w:t xml:space="preserve"> and Meta-Analysis</w:t>
      </w:r>
    </w:p>
    <w:p w14:paraId="3EE7514B" w14:textId="77777777" w:rsidR="00DA1151" w:rsidRPr="00B06723" w:rsidRDefault="00DA1151" w:rsidP="004A428E">
      <w:pPr>
        <w:spacing w:line="360" w:lineRule="auto"/>
        <w:jc w:val="both"/>
        <w:rPr>
          <w:rFonts w:ascii="Times New Roman" w:hAnsi="Times New Roman"/>
          <w:bCs/>
          <w:sz w:val="24"/>
        </w:rPr>
      </w:pPr>
    </w:p>
    <w:p w14:paraId="5FA35946" w14:textId="77777777" w:rsidR="004A428E" w:rsidRPr="00B06723" w:rsidRDefault="004A428E" w:rsidP="004A428E">
      <w:pPr>
        <w:rPr>
          <w:rFonts w:ascii="Arial" w:hAnsi="Arial" w:cs="Arial"/>
        </w:rPr>
      </w:pPr>
    </w:p>
    <w:p w14:paraId="26EDE59A" w14:textId="77E2FCC8" w:rsidR="00B01FCD" w:rsidRPr="00B06723" w:rsidRDefault="00B01FCD" w:rsidP="00441B6F">
      <w:pPr>
        <w:pStyle w:val="AbstHead"/>
        <w:spacing w:after="0"/>
        <w:jc w:val="both"/>
        <w:rPr>
          <w:rFonts w:ascii="Arial" w:hAnsi="Arial" w:cs="Arial"/>
        </w:rPr>
      </w:pPr>
      <w:r w:rsidRPr="00B06723">
        <w:rPr>
          <w:rFonts w:ascii="Arial" w:hAnsi="Arial" w:cs="Arial"/>
        </w:rPr>
        <w:t>ABSTRACT</w:t>
      </w:r>
      <w:r w:rsidR="0066510A" w:rsidRPr="00B06723">
        <w:rPr>
          <w:rFonts w:ascii="Arial" w:hAnsi="Arial" w:cs="Arial"/>
        </w:rPr>
        <w:t xml:space="preserve"> </w:t>
      </w:r>
    </w:p>
    <w:p w14:paraId="0F8E0B88" w14:textId="77777777" w:rsidR="00790ADA" w:rsidRPr="00B0672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06723" w14:paraId="65212CCD" w14:textId="77777777" w:rsidTr="001E44FE">
        <w:tc>
          <w:tcPr>
            <w:tcW w:w="9576" w:type="dxa"/>
            <w:shd w:val="clear" w:color="auto" w:fill="F2F2F2"/>
          </w:tcPr>
          <w:p w14:paraId="242D1B2D" w14:textId="77777777" w:rsidR="005715ED" w:rsidRPr="00B06723" w:rsidRDefault="005715ED" w:rsidP="005715ED">
            <w:pPr>
              <w:pStyle w:val="Body"/>
              <w:rPr>
                <w:rFonts w:ascii="Arial" w:eastAsia="Calibri" w:hAnsi="Arial" w:cs="Arial"/>
                <w:bCs/>
                <w:szCs w:val="22"/>
              </w:rPr>
            </w:pPr>
            <w:r w:rsidRPr="00B06723">
              <w:rPr>
                <w:rFonts w:ascii="Arial" w:eastAsia="Calibri" w:hAnsi="Arial" w:cs="Arial"/>
                <w:b/>
                <w:szCs w:val="22"/>
              </w:rPr>
              <w:t xml:space="preserve">Aims: </w:t>
            </w:r>
            <w:r w:rsidRPr="00B06723">
              <w:rPr>
                <w:rFonts w:ascii="Arial" w:eastAsia="Calibri" w:hAnsi="Arial" w:cs="Arial"/>
                <w:bCs/>
                <w:szCs w:val="22"/>
              </w:rPr>
              <w:t>To evaluate, compare, and accurately synthesize the diagnostic performance of circulating microRNAs miR-21, miR-141, and miR-375 as non-invasive biomarkers for prostate cancer, both individually and in combination, to determine their added value compared to conventional methods (PSA and biopsy) and to provide robust conclusions from heterogeneous literature data.</w:t>
            </w:r>
          </w:p>
          <w:p w14:paraId="71784252" w14:textId="24DC58EC" w:rsidR="005715ED" w:rsidRPr="00B06723" w:rsidRDefault="005715ED" w:rsidP="005715ED">
            <w:pPr>
              <w:pStyle w:val="Body"/>
              <w:rPr>
                <w:rFonts w:ascii="Arial" w:eastAsia="Calibri" w:hAnsi="Arial" w:cs="Arial"/>
                <w:bCs/>
                <w:szCs w:val="22"/>
              </w:rPr>
            </w:pPr>
            <w:r w:rsidRPr="00B06723">
              <w:rPr>
                <w:rFonts w:ascii="Arial" w:eastAsia="Calibri" w:hAnsi="Arial" w:cs="Arial"/>
                <w:b/>
                <w:szCs w:val="22"/>
              </w:rPr>
              <w:t xml:space="preserve">Background: </w:t>
            </w:r>
            <w:r w:rsidRPr="00B06723">
              <w:rPr>
                <w:rFonts w:ascii="Arial" w:eastAsia="Calibri" w:hAnsi="Arial" w:cs="Arial"/>
                <w:bCs/>
                <w:szCs w:val="22"/>
              </w:rPr>
              <w:t xml:space="preserve">Prostate cancer represents a major public health challenge, with diagnostic limitations related to prostate-specific antigen (PSA) testing. In response to these challenges, circulating microRNAs, particularly miR-21, miR-141, and miR-375, emerge as promising non-invasive biomarkers that could improve early </w:t>
            </w:r>
            <w:r w:rsidR="00BF1214" w:rsidRPr="00B06723">
              <w:rPr>
                <w:rFonts w:ascii="Arial" w:eastAsia="Calibri" w:hAnsi="Arial" w:cs="Arial"/>
                <w:bCs/>
                <w:szCs w:val="22"/>
              </w:rPr>
              <w:t>prostate cancer</w:t>
            </w:r>
            <w:r w:rsidRPr="00B06723">
              <w:rPr>
                <w:rFonts w:ascii="Arial" w:eastAsia="Calibri" w:hAnsi="Arial" w:cs="Arial"/>
                <w:bCs/>
                <w:szCs w:val="22"/>
              </w:rPr>
              <w:t xml:space="preserve"> detection.</w:t>
            </w:r>
          </w:p>
          <w:p w14:paraId="2D952DBD" w14:textId="2FD9F8E4" w:rsidR="005715ED" w:rsidRPr="00B06723" w:rsidRDefault="005715ED" w:rsidP="005715ED">
            <w:pPr>
              <w:pStyle w:val="Body"/>
              <w:rPr>
                <w:rFonts w:ascii="Arial" w:eastAsia="Calibri" w:hAnsi="Arial" w:cs="Arial"/>
                <w:bCs/>
                <w:szCs w:val="22"/>
              </w:rPr>
            </w:pPr>
            <w:r w:rsidRPr="00B06723">
              <w:rPr>
                <w:rFonts w:ascii="Arial" w:eastAsia="Calibri" w:hAnsi="Arial" w:cs="Arial"/>
                <w:b/>
                <w:szCs w:val="22"/>
              </w:rPr>
              <w:t xml:space="preserve">Methods: </w:t>
            </w:r>
            <w:r w:rsidRPr="00B06723">
              <w:rPr>
                <w:rFonts w:ascii="Arial" w:eastAsia="Calibri" w:hAnsi="Arial" w:cs="Arial"/>
                <w:bCs/>
                <w:szCs w:val="22"/>
              </w:rPr>
              <w:t xml:space="preserve">A meta-analysis was conducted, and publications from January 2008 to April 2025 were selected from PubMed, Embase, ScienceDirect, and Scopus databases. </w:t>
            </w:r>
            <w:r w:rsidR="008D247F" w:rsidRPr="00B06723">
              <w:rPr>
                <w:rFonts w:ascii="Arial" w:eastAsia="Calibri" w:hAnsi="Arial" w:cs="Arial"/>
                <w:bCs/>
                <w:szCs w:val="22"/>
              </w:rPr>
              <w:t>This meta-analysis included studies on the diagnostic performance of circulating microRNAs -21, -141, and -375 in patients with prostate cancer and in control subjects (healthy or with benign prostatic hyperplasia), whose diagnosis had been confirmed or ruled out by prostate biopsy.</w:t>
            </w:r>
            <w:r w:rsidR="008C59AD" w:rsidRPr="00B06723">
              <w:rPr>
                <w:rFonts w:ascii="Arial" w:eastAsia="Calibri" w:hAnsi="Arial" w:cs="Arial"/>
                <w:bCs/>
                <w:szCs w:val="22"/>
              </w:rPr>
              <w:t xml:space="preserve"> </w:t>
            </w:r>
            <w:r w:rsidRPr="00B06723">
              <w:rPr>
                <w:rFonts w:ascii="Arial" w:eastAsia="Calibri" w:hAnsi="Arial" w:cs="Arial"/>
                <w:bCs/>
                <w:szCs w:val="22"/>
              </w:rPr>
              <w:t>Pooled measures of sensitivity, specificity, area under the ROC curve (AUC), likelihood ratios, and diagnostic odds ratios (DOR) were calculated using a bivariate random-effects model. A subgroup analysis was performed to explore sources of heterogeneity.</w:t>
            </w:r>
          </w:p>
          <w:p w14:paraId="4F087F81" w14:textId="599C6623" w:rsidR="005715ED" w:rsidRPr="00B06723" w:rsidRDefault="005715ED" w:rsidP="005715ED">
            <w:pPr>
              <w:pStyle w:val="Body"/>
              <w:rPr>
                <w:rFonts w:ascii="Arial" w:eastAsia="Calibri" w:hAnsi="Arial" w:cs="Arial"/>
                <w:b/>
                <w:szCs w:val="22"/>
              </w:rPr>
            </w:pPr>
            <w:r w:rsidRPr="00B06723">
              <w:rPr>
                <w:rFonts w:ascii="Arial" w:eastAsia="Calibri" w:hAnsi="Arial" w:cs="Arial"/>
                <w:b/>
                <w:szCs w:val="22"/>
              </w:rPr>
              <w:t xml:space="preserve">Results: </w:t>
            </w:r>
            <w:r w:rsidRPr="00B06723">
              <w:rPr>
                <w:rFonts w:ascii="Arial" w:eastAsia="Calibri" w:hAnsi="Arial" w:cs="Arial"/>
                <w:bCs/>
                <w:szCs w:val="22"/>
              </w:rPr>
              <w:t xml:space="preserve">A total of 25 eligible studies, with 27 datasets, comprising 2,697 participants (1,525 </w:t>
            </w:r>
            <w:r w:rsidR="00BF1214" w:rsidRPr="00B06723">
              <w:rPr>
                <w:rFonts w:ascii="Arial" w:eastAsia="Calibri" w:hAnsi="Arial" w:cs="Arial"/>
                <w:bCs/>
                <w:szCs w:val="22"/>
              </w:rPr>
              <w:t>prostate cancer</w:t>
            </w:r>
            <w:r w:rsidRPr="00B06723">
              <w:rPr>
                <w:rFonts w:ascii="Arial" w:eastAsia="Calibri" w:hAnsi="Arial" w:cs="Arial"/>
                <w:bCs/>
                <w:szCs w:val="22"/>
              </w:rPr>
              <w:t xml:space="preserve"> patients and 1,172 controls) were analyzed. miR-21 demonstrated the highest diagnostic performance, with pooled sensitivity and specificity of 0.87 and 0.86, respectively, and an AUC of 0.92. miR-141 showed slightly lower performance, with an AUC of 0.87. Although less robust, miR-375 still exhibited moderate diagnostic value, yielding an AUC of 0.88. The combination of all three miRNAs achieved an overall diagnostic accuracy of 0.82 for sensitivity and 0.86 for specificity, with an AUC of 0.91. Subgroup analyses revealed that whole blood performed best (AUC = 0.91), albeit with substantial heterogeneity (I² = 91.8%).</w:t>
            </w:r>
            <w:r w:rsidRPr="00B06723">
              <w:rPr>
                <w:rFonts w:ascii="Arial" w:eastAsia="Calibri" w:hAnsi="Arial" w:cs="Arial"/>
                <w:b/>
                <w:szCs w:val="22"/>
              </w:rPr>
              <w:t xml:space="preserve"> </w:t>
            </w:r>
          </w:p>
          <w:p w14:paraId="281FC04E" w14:textId="14105B85" w:rsidR="00505F06" w:rsidRPr="00B06723" w:rsidRDefault="005715ED" w:rsidP="005715ED">
            <w:pPr>
              <w:pStyle w:val="Body"/>
              <w:spacing w:after="0"/>
              <w:rPr>
                <w:rFonts w:ascii="Arial" w:eastAsia="Calibri" w:hAnsi="Arial" w:cs="Arial"/>
                <w:szCs w:val="22"/>
              </w:rPr>
            </w:pPr>
            <w:r w:rsidRPr="00B06723">
              <w:rPr>
                <w:rFonts w:ascii="Arial" w:eastAsia="Calibri" w:hAnsi="Arial" w:cs="Arial"/>
                <w:b/>
                <w:szCs w:val="22"/>
              </w:rPr>
              <w:t xml:space="preserve">Conclusion: </w:t>
            </w:r>
            <w:r w:rsidRPr="00B06723">
              <w:rPr>
                <w:rFonts w:ascii="Arial" w:eastAsia="Calibri" w:hAnsi="Arial" w:cs="Arial"/>
                <w:bCs/>
                <w:szCs w:val="22"/>
              </w:rPr>
              <w:t>These findings highlight the strong potential of circulating miRNAs as promising diagnostic tools for prostate cancer, outperforming conventional PSA testing. However, standardized prospective studies remain necessary before clinical implementation can be recommended.</w:t>
            </w:r>
          </w:p>
        </w:tc>
      </w:tr>
    </w:tbl>
    <w:p w14:paraId="44C0A4B7" w14:textId="77777777" w:rsidR="00636EB2" w:rsidRPr="00B06723" w:rsidRDefault="00636EB2" w:rsidP="00441B6F">
      <w:pPr>
        <w:pStyle w:val="Body"/>
        <w:spacing w:after="0"/>
        <w:rPr>
          <w:rFonts w:ascii="Arial" w:hAnsi="Arial" w:cs="Arial"/>
          <w:i/>
        </w:rPr>
      </w:pPr>
    </w:p>
    <w:p w14:paraId="470E733E" w14:textId="6011554E" w:rsidR="0024282C" w:rsidRPr="00B06723" w:rsidRDefault="00A24E7E" w:rsidP="00441B6F">
      <w:pPr>
        <w:pStyle w:val="Body"/>
        <w:spacing w:after="0"/>
        <w:rPr>
          <w:rFonts w:ascii="Arial" w:hAnsi="Arial" w:cs="Arial"/>
          <w:i/>
        </w:rPr>
      </w:pPr>
      <w:r w:rsidRPr="00B06723">
        <w:rPr>
          <w:rFonts w:ascii="Arial" w:hAnsi="Arial" w:cs="Arial"/>
          <w:i/>
        </w:rPr>
        <w:t xml:space="preserve">Keywords: </w:t>
      </w:r>
      <w:r w:rsidR="005715ED" w:rsidRPr="00B06723">
        <w:rPr>
          <w:rFonts w:ascii="Arial" w:hAnsi="Arial" w:cs="Arial"/>
          <w:i/>
        </w:rPr>
        <w:t>Prostate cancer; microRNA; liquid biopsy; diagnosis; meta-analysis.</w:t>
      </w:r>
    </w:p>
    <w:p w14:paraId="1067FA47" w14:textId="77777777" w:rsidR="00505F06" w:rsidRPr="00B06723" w:rsidRDefault="00505F06" w:rsidP="00441B6F">
      <w:pPr>
        <w:pStyle w:val="Body"/>
        <w:spacing w:after="0"/>
        <w:rPr>
          <w:rFonts w:ascii="Arial" w:hAnsi="Arial" w:cs="Arial"/>
          <w:i/>
        </w:rPr>
      </w:pPr>
    </w:p>
    <w:p w14:paraId="7FF926B8" w14:textId="7C66EF74" w:rsidR="007F7B32" w:rsidRPr="00B06723" w:rsidRDefault="00902823" w:rsidP="00441B6F">
      <w:pPr>
        <w:pStyle w:val="AbstHead"/>
        <w:spacing w:after="0"/>
        <w:jc w:val="both"/>
        <w:rPr>
          <w:rFonts w:ascii="Arial" w:hAnsi="Arial" w:cs="Arial"/>
        </w:rPr>
      </w:pPr>
      <w:r w:rsidRPr="00B06723">
        <w:rPr>
          <w:rFonts w:ascii="Arial" w:hAnsi="Arial" w:cs="Arial"/>
        </w:rPr>
        <w:lastRenderedPageBreak/>
        <w:t xml:space="preserve">1. </w:t>
      </w:r>
      <w:r w:rsidR="00B01FCD" w:rsidRPr="00B06723">
        <w:rPr>
          <w:rFonts w:ascii="Arial" w:hAnsi="Arial" w:cs="Arial"/>
        </w:rPr>
        <w:t>INTRODUCTION</w:t>
      </w:r>
    </w:p>
    <w:p w14:paraId="144F5223" w14:textId="77777777" w:rsidR="00790ADA" w:rsidRPr="00B06723" w:rsidRDefault="00790ADA" w:rsidP="00441B6F">
      <w:pPr>
        <w:pStyle w:val="AbstHead"/>
        <w:spacing w:after="0"/>
        <w:jc w:val="both"/>
        <w:rPr>
          <w:rFonts w:ascii="Arial" w:hAnsi="Arial" w:cs="Arial"/>
        </w:rPr>
      </w:pPr>
    </w:p>
    <w:p w14:paraId="4B57F34E" w14:textId="1946F1FF" w:rsidR="008F5B7F" w:rsidRPr="00B06723" w:rsidRDefault="008F5B7F" w:rsidP="008F5B7F">
      <w:pPr>
        <w:pStyle w:val="Body"/>
        <w:rPr>
          <w:rFonts w:ascii="Arial" w:hAnsi="Arial" w:cs="Arial"/>
        </w:rPr>
      </w:pPr>
      <w:r w:rsidRPr="00B06723">
        <w:rPr>
          <w:rFonts w:ascii="Arial" w:hAnsi="Arial" w:cs="Arial"/>
        </w:rPr>
        <w:t>Prostate cancer (</w:t>
      </w:r>
      <w:proofErr w:type="spellStart"/>
      <w:r w:rsidRPr="00B06723">
        <w:rPr>
          <w:rFonts w:ascii="Arial" w:hAnsi="Arial" w:cs="Arial"/>
        </w:rPr>
        <w:t>PCa</w:t>
      </w:r>
      <w:proofErr w:type="spellEnd"/>
      <w:r w:rsidRPr="00B06723">
        <w:rPr>
          <w:rFonts w:ascii="Arial" w:hAnsi="Arial" w:cs="Arial"/>
        </w:rPr>
        <w:t xml:space="preserve">) is one of the most common malignancies in men, with marked geographical disparities in incidence and outcomes. In contrast, mortality rates are particularly high in the Caribbean and sub-Saharan Africa, highlighting disparities in access to screening and early treatment </w:t>
      </w:r>
      <w:r w:rsidR="00C12CF0" w:rsidRPr="00B06723">
        <w:rPr>
          <w:rFonts w:ascii="Arial" w:hAnsi="Arial" w:cs="Arial"/>
        </w:rPr>
        <w:fldChar w:fldCharType="begin"/>
      </w:r>
      <w:r w:rsidR="00F669DC" w:rsidRPr="00B06723">
        <w:rPr>
          <w:rFonts w:ascii="Arial" w:hAnsi="Arial" w:cs="Arial"/>
        </w:rPr>
        <w:instrText xml:space="preserve"> ADDIN ZOTERO_ITEM CSL_CITATION {"citationID":"a2i0dlj9jd9","properties":{"formattedCitation":"(Bray et al., 2024)","plainCitation":"(Bray et al., 2024)","noteIndex":0},"citationItems":[{"id":575,"uris":["http://zotero.org/users/3583561/items/NSSP9MCJ"],"itemData":{"id":575,"type":"article-journal","abstract":"Abstract\n            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w:instrText>
      </w:r>
      <w:r w:rsidR="00F669DC" w:rsidRPr="00B06723">
        <w:rPr>
          <w:rFonts w:ascii="Cambria Math" w:hAnsi="Cambria Math" w:cs="Cambria Math"/>
        </w:rPr>
        <w:instrText>‐</w:instrText>
      </w:r>
      <w:r w:rsidR="00F669DC" w:rsidRPr="00B06723">
        <w:rPr>
          <w:rFonts w:ascii="Arial" w:hAnsi="Arial" w:cs="Arial"/>
        </w:rPr>
        <w:instrText>fold to five</w:instrText>
      </w:r>
      <w:r w:rsidR="00F669DC" w:rsidRPr="00B06723">
        <w:rPr>
          <w:rFonts w:ascii="Cambria Math" w:hAnsi="Cambria Math" w:cs="Cambria Math"/>
        </w:rPr>
        <w:instrText>‐</w:instrText>
      </w:r>
      <w:r w:rsidR="00F669DC" w:rsidRPr="00B06723">
        <w:rPr>
          <w:rFonts w:ascii="Arial" w:hAnsi="Arial" w:cs="Arial"/>
        </w:rPr>
        <w:instrText>fold across world regions, from over 500 in Australia/New Zealand (507.9 per 100,000) to under 100 in Western Africa (97.1 per 100,000) among men, and from over 400 in Australia/New Zealand (410.5 per 100,000) to close to 100 in South</w:instrText>
      </w:r>
      <w:r w:rsidR="00F669DC" w:rsidRPr="00B06723">
        <w:rPr>
          <w:rFonts w:ascii="Cambria Math" w:hAnsi="Cambria Math" w:cs="Cambria Math"/>
        </w:rPr>
        <w:instrText>‐</w:instrText>
      </w:r>
      <w:r w:rsidR="00F669DC" w:rsidRPr="00B06723">
        <w:rPr>
          <w:rFonts w:ascii="Arial" w:hAnsi="Arial" w:cs="Arial"/>
        </w:rPr>
        <w:instrText>Central Asia (103.3 per 100,000) among women. The authors examine the geographic variability across 20 world regions for the 10 leading cancer types, discussing recent trends, the underlying determinants, and the prospects for global cancer prevention and control. With demographics</w:instrText>
      </w:r>
      <w:r w:rsidR="00F669DC" w:rsidRPr="00B06723">
        <w:rPr>
          <w:rFonts w:ascii="Cambria Math" w:hAnsi="Cambria Math" w:cs="Cambria Math"/>
        </w:rPr>
        <w:instrText>‐</w:instrText>
      </w:r>
      <w:r w:rsidR="00F669DC" w:rsidRPr="00B06723">
        <w:rPr>
          <w:rFonts w:ascii="Arial" w:hAnsi="Arial" w:cs="Arial"/>
        </w:rPr>
        <w:instrText xml:space="preserve">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decades.","container-title":"CA: A Cancer Journal for Clinicians","DOI":"10.3322/caac.21834","ISSN":"0007-9235, 1542-4863","journalAbbreviation":"CA A Cancer J Clinicians","language":"en","page":"caac.21834","source":"DOI.org (Crossref)","title":"Global cancer statistics 2022: GLOBOCAN estimates of incidence and mortality worldwide for 36 cancers in 185 countries","title-short":"Global cancer statistics 2022","URL":"https://acsjournals.onlinelibrary.wiley.com/doi/10.3322/caac.21834","author":[{"family":"Bray","given":"Freddie"},{"family":"Laversanne","given":"Mathieu"},{"family":"Sung","given":"Hyuna"},{"family":"Ferlay","given":"Jacques"},{"family":"Siegel","given":"Rebecca L."},{"family":"Soerjomataram","given":"Isabelle"},{"family":"Jemal","given":"Ahmedin"}],"accessed":{"date-parts":[["2024",4,28]]},"issued":{"date-parts":[["2024",4,4]]}}}],"schema":"https://github.com/citation-style-language/schema/raw/master/csl-citation.json"} </w:instrText>
      </w:r>
      <w:r w:rsidR="00C12CF0" w:rsidRPr="00B06723">
        <w:rPr>
          <w:rFonts w:ascii="Arial" w:hAnsi="Arial" w:cs="Arial"/>
        </w:rPr>
        <w:fldChar w:fldCharType="separate"/>
      </w:r>
      <w:r w:rsidR="00F669DC" w:rsidRPr="00B06723">
        <w:rPr>
          <w:rFonts w:ascii="Arial" w:hAnsi="Arial" w:cs="Arial"/>
        </w:rPr>
        <w:t>(Bray et al., 2024)</w:t>
      </w:r>
      <w:r w:rsidR="00C12CF0" w:rsidRPr="00B06723">
        <w:rPr>
          <w:rFonts w:ascii="Arial" w:hAnsi="Arial" w:cs="Arial"/>
        </w:rPr>
        <w:fldChar w:fldCharType="end"/>
      </w:r>
      <w:r w:rsidRPr="00B06723">
        <w:rPr>
          <w:rFonts w:ascii="Arial" w:hAnsi="Arial" w:cs="Arial"/>
        </w:rPr>
        <w:t xml:space="preserve">. When diagnosed at a localized stage, </w:t>
      </w:r>
      <w:proofErr w:type="spellStart"/>
      <w:r w:rsidRPr="00B06723">
        <w:rPr>
          <w:rFonts w:ascii="Arial" w:hAnsi="Arial" w:cs="Arial"/>
        </w:rPr>
        <w:t>PCa</w:t>
      </w:r>
      <w:proofErr w:type="spellEnd"/>
      <w:r w:rsidRPr="00B06723">
        <w:rPr>
          <w:rFonts w:ascii="Arial" w:hAnsi="Arial" w:cs="Arial"/>
        </w:rPr>
        <w:t xml:space="preserve"> demonstrates a five-year relative survival rate approaching 100%, </w:t>
      </w:r>
      <w:r w:rsidR="00797A6E" w:rsidRPr="00B06723">
        <w:rPr>
          <w:rFonts w:ascii="Arial" w:hAnsi="Arial" w:cs="Arial"/>
        </w:rPr>
        <w:t xml:space="preserve">with hormone therapy treatment (chemical or surgical castration) </w:t>
      </w:r>
      <w:r w:rsidR="00421B97" w:rsidRPr="00B06723">
        <w:rPr>
          <w:rFonts w:ascii="Arial" w:hAnsi="Arial" w:cs="Arial"/>
        </w:rPr>
        <w:fldChar w:fldCharType="begin"/>
      </w:r>
      <w:r w:rsidR="00647EC3" w:rsidRPr="00B06723">
        <w:rPr>
          <w:rFonts w:ascii="Arial" w:hAnsi="Arial" w:cs="Arial"/>
        </w:rPr>
        <w:instrText xml:space="preserve"> ADDIN ZOTERO_ITEM CSL_CITATION {"citationID":"a1lauetm688","properties":{"formattedCitation":"(Babalola et al., 2023)","plainCitation":"(Babalola et al., 2023)","noteIndex":0},"citationItems":[{"id":8228,"uris":["http://zotero.org/users/3583561/items/NVZJHPKQ"],"itemData":{"id":8228,"type":"article-journal","container-title":"Journal of Advances in Medical and Pharmaceutical Sciences","DOI":"10.9734/jamps/2023/v25i6624","ISSN":"2394-1111","issue":"6","language":"en","page":"34-44","source":"journaljamps.com","title":"The Treatment of Metastatic Prostate Cancer Using Hormonal Therapy: A Narrative Review","title-short":"The Treatment of Metastatic Prostate Cancer Using Hormonal Therapy","URL":"https://journaljamps.com/index.php/JAMPS/article/view/624","volume":"25","author":[{"family":"Babalola","given":"Isaac Olamide"},{"family":"Ikechukwu","given":"Edeh Fidelis"},{"family":"David","given":"Obiyenwa"},{"family":"Emmanuel","given":"Kimto Oche"},{"family":"Daniel","given":"Afolabi"},{"family":"Olamide","given":"Folaranmi Precious"},{"family":"Effiong","given":"Fortune"}],"accessed":{"date-parts":[["2025",8,30]]},"issued":{"date-parts":[["2023",8,12]]}}}],"schema":"https://github.com/citation-style-language/schema/raw/master/csl-citation.json"} </w:instrText>
      </w:r>
      <w:r w:rsidR="00421B97" w:rsidRPr="00B06723">
        <w:rPr>
          <w:rFonts w:ascii="Arial" w:hAnsi="Arial" w:cs="Arial"/>
        </w:rPr>
        <w:fldChar w:fldCharType="separate"/>
      </w:r>
      <w:r w:rsidR="00647EC3" w:rsidRPr="00B06723">
        <w:rPr>
          <w:rFonts w:ascii="Arial" w:hAnsi="Arial" w:cs="Arial"/>
        </w:rPr>
        <w:t>(Babalola et al., 2023)</w:t>
      </w:r>
      <w:r w:rsidR="00421B97" w:rsidRPr="00B06723">
        <w:rPr>
          <w:rFonts w:ascii="Arial" w:hAnsi="Arial" w:cs="Arial"/>
        </w:rPr>
        <w:fldChar w:fldCharType="end"/>
      </w:r>
      <w:r w:rsidR="00797A6E" w:rsidRPr="00B06723">
        <w:rPr>
          <w:rFonts w:ascii="Arial" w:hAnsi="Arial" w:cs="Arial"/>
        </w:rPr>
        <w:t xml:space="preserve">, </w:t>
      </w:r>
      <w:r w:rsidRPr="00B06723">
        <w:rPr>
          <w:rFonts w:ascii="Arial" w:hAnsi="Arial" w:cs="Arial"/>
        </w:rPr>
        <w:t xml:space="preserve">underscoring the critical importance of early screening for improving both survival outcomes and quality of life </w:t>
      </w:r>
      <w:r w:rsidR="00C12CF0" w:rsidRPr="00B06723">
        <w:rPr>
          <w:rFonts w:ascii="Arial" w:hAnsi="Arial" w:cs="Arial"/>
        </w:rPr>
        <w:fldChar w:fldCharType="begin"/>
      </w:r>
      <w:r w:rsidR="00F669DC" w:rsidRPr="00B06723">
        <w:rPr>
          <w:rFonts w:ascii="Arial" w:hAnsi="Arial" w:cs="Arial"/>
        </w:rPr>
        <w:instrText xml:space="preserve"> ADDIN ZOTERO_ITEM CSL_CITATION {"citationID":"a1i5i16r6aq","properties":{"formattedCitation":"(Bryzgunova et al., 2019)","plainCitation":"(Bryzgunova et al., 2019)","noteIndex":0},"citationItems":[{"id":496,"uris":["http://zotero.org/users/3583561/items/FP5UPTAX"],"itemData":{"id":496,"type":"article-journal","abstract":"Urine of prostate cancer (PCa) carries miRNAs originated from prostate cancer cells as a part of both nucleoprotein complexes and cell-secreted extracellular vesicles. The analysis of such miRNA-markers in urine can be a convenient option for PCa screening. The aims of this study were to reveal miRNA-markers of PCa in urine and design a robust and precise diagnostic test, based on miRNA expression analysis. The expression analysis of the 84 miRNAs in paired urine extracellular vesicles (EVs) and cell free urine supernatant samples from healthy donors, patients with benign and malignant prostate tumours was done using miRCURY LNA miRNA qPCR Panels (Exiqon, Denmark). Sets of miRNAs differentially expressed between the donor groups were found in urine EVs and urine supernatant. Diagnostically significant miRNAs were selected and algorithm of data analysis, based on expression data on 24-miRNA in urine and obtained using 17 analytical systems, was designed. The developed algorithm of data analysis describes a series of steps necessary to define cut-off values and sequentially analyze miRNA expression data according to the cut-offs to facilitate classification of subjects in case/control groups and allows to detect PCa patients with 97.5% accuracy.","container-title":"PloS One","DOI":"10.1371/journal.pone.0215003","ISSN":"1932-6203","issue":"4","journalAbbreviation":"PLoS One","language":"eng","note":"PMID: 30970027\nPMCID: PMC6457524","page":"e0215003","source":"PubMed","title":"Data analysis algorithm for the development of extracellular miRNA-based diagnostic systems for prostate cancer","volume":"14","author":[{"family":"Bryzgunova","given":"O. E."},{"family":"Zaporozhchenko","given":"I. A."},{"family":"Lekchnov","given":"E. A."},{"family":"Amelina","given":"E. V."},{"family":"Konoshenko","given":"M. Yu"},{"family":"Yarmoschuk","given":"S. V."},{"family":"Pashkovskaya","given":"O. A."},{"family":"Zheravin","given":"A. A."},{"family":"Pak","given":"S. V."},{"family":"Rykova","given":"E. Yu"},{"family":"Laktionov","given":"P. P."}],"issued":{"date-parts":[["2019"]]}}}],"schema":"https://github.com/citation-style-language/schema/raw/master/csl-citation.json"} </w:instrText>
      </w:r>
      <w:r w:rsidR="00C12CF0" w:rsidRPr="00B06723">
        <w:rPr>
          <w:rFonts w:ascii="Arial" w:hAnsi="Arial" w:cs="Arial"/>
        </w:rPr>
        <w:fldChar w:fldCharType="separate"/>
      </w:r>
      <w:r w:rsidR="00F669DC" w:rsidRPr="00B06723">
        <w:rPr>
          <w:rFonts w:ascii="Arial" w:hAnsi="Arial" w:cs="Arial"/>
        </w:rPr>
        <w:t>(Bryzgunova et al., 2019)</w:t>
      </w:r>
      <w:r w:rsidR="00C12CF0" w:rsidRPr="00B06723">
        <w:rPr>
          <w:rFonts w:ascii="Arial" w:hAnsi="Arial" w:cs="Arial"/>
        </w:rPr>
        <w:fldChar w:fldCharType="end"/>
      </w:r>
      <w:r w:rsidRPr="00B06723">
        <w:rPr>
          <w:rFonts w:ascii="Arial" w:hAnsi="Arial" w:cs="Arial"/>
        </w:rPr>
        <w:t>.</w:t>
      </w:r>
    </w:p>
    <w:p w14:paraId="0CA78924" w14:textId="3E8C7A01" w:rsidR="00D84949" w:rsidRPr="00B06723" w:rsidRDefault="00BF62CF" w:rsidP="008F5B7F">
      <w:pPr>
        <w:pStyle w:val="Body"/>
        <w:rPr>
          <w:rFonts w:ascii="Arial" w:hAnsi="Arial" w:cs="Arial"/>
        </w:rPr>
      </w:pPr>
      <w:r w:rsidRPr="00B06723">
        <w:rPr>
          <w:rFonts w:ascii="Arial" w:hAnsi="Arial" w:cs="Arial"/>
        </w:rPr>
        <w:t xml:space="preserve">Current screening relies mainly on digital rectal examinations, ultrasound, and, above all, prostate-specific antigen (PSA) testing. Although widely used since the 1990s, measuring serum PSA level for the diagnosis of </w:t>
      </w:r>
      <w:proofErr w:type="spellStart"/>
      <w:r w:rsidRPr="00B06723">
        <w:rPr>
          <w:rFonts w:ascii="Arial" w:hAnsi="Arial" w:cs="Arial"/>
        </w:rPr>
        <w:t>PCa</w:t>
      </w:r>
      <w:proofErr w:type="spellEnd"/>
      <w:r w:rsidRPr="00B06723">
        <w:rPr>
          <w:rFonts w:ascii="Arial" w:hAnsi="Arial" w:cs="Arial"/>
        </w:rPr>
        <w:t xml:space="preserve"> is not considered a reliable diagnostic and prognostic tool due to its low sensitivity and predictive score, leading to overdiagnosis of 22 to 43%, unnecessary biopsies, and overtreatment </w:t>
      </w:r>
      <w:r w:rsidRPr="00B06723">
        <w:rPr>
          <w:rFonts w:ascii="Arial" w:hAnsi="Arial" w:cs="Arial"/>
        </w:rPr>
        <w:fldChar w:fldCharType="begin"/>
      </w:r>
      <w:r w:rsidR="00647EC3" w:rsidRPr="00B06723">
        <w:rPr>
          <w:rFonts w:ascii="Arial" w:hAnsi="Arial" w:cs="Arial"/>
        </w:rPr>
        <w:instrText xml:space="preserve"> ADDIN ZOTERO_ITEM CSL_CITATION {"citationID":"a8uf1468id","properties":{"formattedCitation":"(Jain et al., 2023)","plainCitation":"(Jain et al., 2023)","noteIndex":0},"citationItems":[{"id":8230,"uris":["http://zotero.org/users/3583561/items/69WQAVYE"],"itemData":{"id":8230,"type":"article-journal","abstract":"Prostate cancer is the second most common male cancer worldwide showing the highest rates of incidence in Western Europe. Although the measurement of serum prostate-specific antigen levels is the current gold standard in PCa diagnosis, PSA-based screening is not considered a reliable diagnosis and prognosis tool due to its lower sensitivity and poor predictive score which lead to a 22%-43% overdiagnosis, unnecessary biopsies, and over-treatment. These major limitations along with the heterogeneous nature of the disease have made PCa a very unappreciative subject for diagnostics, resulting in poor patient management; thus, it urges to identify and validate new reliable PCa biomarkers that can provide accurate information in regard to disease diagnosis and prognosis. Researchers have explored the analysis of microRNAs (miRNAs), messenger RNAs (mRNAs), small proteins, genomic rearrangements, and gene expression in body fluids and non-solid tissues in search of lesser invasive yet efficient PCa biomarkers. Although the presence of miRNAs in body fluids like blood, urine, and saliva initially sparked great interest among the scientific community; their potential use as liquid biopsy biomarkers in PCa is still at a very nascent stage with respect to other well-established diagnostics and prognosis tools. Up to date, numerous studies have been conducted in search of PCa miRNA-based biomarkers in whole blood or blood serum; however, only a few studies have investigated their presence in urine samples of which less than two tens involve the detection of miRNAs in extracellular vesicles isolated from urine. In addition, there exists some discrepancy around the identification of miRNAs in PCa urine samples due to the diversity of the urine fractions that can be targeted for analysis such as urine circulating cells, cell-free fractions, and exosomes. In this review, we aim to discuss research output from the most recent studies involving the analysis of urinary EVs for the identification of miRNA-based PCa-specific biomarkers.","container-title":"Frontiers in Genetics","DOI":"10.3389/fgene.2023.1065757","ISSN":"1664-8021","journalAbbreviation":"Front Genet","language":"eng","note":"PMID: 36741322\nPMCID: PMC9895092","page":"1065757","source":"PubMed","title":"Urinary extracellular vesicles miRNA-A new era of prostate cancer biomarkers","volume":"14","author":[{"family":"Jain","given":"Garima"},{"family":"Das","given":"Parimal"},{"family":"Ranjan","given":"Prashant"},{"family":"Neha","given":"null"},{"family":"Valderrama","given":"Ferran"},{"family":"Cieza-Borrella","given":"Clara"}],"issued":{"date-parts":[["2023"]]}}}],"schema":"https://github.com/citation-style-language/schema/raw/master/csl-citation.json"} </w:instrText>
      </w:r>
      <w:r w:rsidRPr="00B06723">
        <w:rPr>
          <w:rFonts w:ascii="Arial" w:hAnsi="Arial" w:cs="Arial"/>
        </w:rPr>
        <w:fldChar w:fldCharType="separate"/>
      </w:r>
      <w:r w:rsidR="00647EC3" w:rsidRPr="00B06723">
        <w:rPr>
          <w:rFonts w:ascii="Arial" w:hAnsi="Arial" w:cs="Arial"/>
        </w:rPr>
        <w:t>(Jain et al., 2023)</w:t>
      </w:r>
      <w:r w:rsidRPr="00B06723">
        <w:rPr>
          <w:rFonts w:ascii="Arial" w:hAnsi="Arial" w:cs="Arial"/>
        </w:rPr>
        <w:fldChar w:fldCharType="end"/>
      </w:r>
      <w:r w:rsidR="008F5B7F" w:rsidRPr="00B06723">
        <w:rPr>
          <w:rFonts w:ascii="Arial" w:hAnsi="Arial" w:cs="Arial"/>
        </w:rPr>
        <w:t xml:space="preserve">. At the conventional 4 ng/mL threshold, its sensitivity drops to 20.5%, resulting in a high false-positive rate, an estimated 75% overdiagnosis rate, and frequent unnecessary invasive biopsies </w:t>
      </w:r>
      <w:r w:rsidR="00C12CF0" w:rsidRPr="00B06723">
        <w:rPr>
          <w:rFonts w:ascii="Arial" w:hAnsi="Arial" w:cs="Arial"/>
        </w:rPr>
        <w:fldChar w:fldCharType="begin"/>
      </w:r>
      <w:r w:rsidR="00F669DC" w:rsidRPr="00B06723">
        <w:rPr>
          <w:rFonts w:ascii="Arial" w:hAnsi="Arial" w:cs="Arial"/>
        </w:rPr>
        <w:instrText xml:space="preserve"> ADDIN ZOTERO_ITEM CSL_CITATION {"citationID":"a42l96jdl1","properties":{"formattedCitation":"(Bill-Axelson et al., 2008; Nogueira et al., 2009)","plainCitation":"(Bill-Axelson et al., 2008; Nogueira et al., 2009)","noteIndex":0},"citationItems":[{"id":90,"uris":["http://zotero.org/users/3583561/items/IIN7R9W8"],"itemData":{"id":90,"type":"article-journal","abstract":"Background\nThe benefit of radical prostatectomy in patients with early prostate cancer has been assessed in only one randomized trial. In 2005, we reported that radical prostatectomy improved prostate cancer survival compared with watchful waiting after a median of 8.2 years of follow-up. We now report results after 3 more years of follow-up.\n\nMethods\nFrom October 1, 1989, through February 28, 1999, 695 men with clinically localized prostate cancer were randomly assigned to radical prostatectomy (n = 347) or watchful waiting (n = 348). Follow-up was complete through December 31, 2006, with histopathologic review and blinded evaluation of causes of death. Relative risks (RRs) were estimated using the Cox proportional hazards model. Statistical tests were two-sided.\n\nResults\nDuring a median of 10.8 years of follow-up (range = 3 weeks to 17.2 years), 137 men in the surgery group and 156 in the watchful waiting group died (P = .09). For 47 of the 347 men (13.5%) who were randomly assigned to surgery and 68 of the 348 men (19.5%) who were not, death was due to prostate cancer. The difference in cumulative incidence of death due to prostate cancer remained stable after about 10 years of follow-up. At 12 years, 12.5% of the surgery group and 17.9% of the watchful waiting group had died of prostate cancer (difference = 5.4%, 95% confidence interval [CI] = 0.2 to 11.1%), for a relative risk of 0.65 (95% CI = 0.45 to 0.94; P = .03). The difference in cumulative incidence of distant metastases did not increase beyond 10 years of follow-up. At 12 years, 19.3% of men in the surgery group and 26% of men in the watchful waiting group had been diagnosed with distant metastases (difference = 6.7%, 95% CI = 0.2 to 13.2%), for a relative risk of 0.65 (95% CI = 0.47 to 0.88; P = .006). Among men who underwent radical prostatectomy, those with extracapsular tumor growth had 14 times the risk of prostate cancer death as those without it (RR = 14.2, 95% CI = 3.3 to 61.8; P &lt; .001).\n\nConclusion\nRadical prostatectomy reduces prostate cancer mortality and risk of metastases with little or no further increase in benefit 10 or more years after surgery.","container-title":"JNCI Journal of the National Cancer Institute","DOI":"10.1093/jnci/djn255","ISSN":"0027-8874","issue":"16","journalAbbreviation":"J Natl Cancer Inst","note":"PMID: 18695132\nPMCID: PMC2518167","page":"1144-1154","source":"PubMed Central","title":"Radical Prostatectomy Versus Watchful Waiting in Localized Prostate Cancer: the Scandinavian Prostate Cancer Group-4 Randomized Trial","title-short":"Radical Prostatectomy Versus Watchful Waiting in Localized Prostate Cancer","URL":"https://www.ncbi.nlm.nih.gov/pmc/articles/PMC2518167/","volume":"100","author":[{"family":"Bill-Axelson","given":"Anna"},{"family":"Holmberg","given":"Lars"},{"family":"Filén","given":"Frej"},{"family":"Ruutu","given":"Mirja"},{"family":"Garmo","given":"Hans"},{"family":"Busch","given":"Christer"},{"family":"Nordling","given":"Stig"},{"family":"Häggman","given":"Michael"},{"family":"Andersson","given":"Swen-Olof"},{"family":"Bratell","given":"Stefan"},{"family":"Spångberg","given":"Anders"},{"family":"Palmgren","given":"Juni"},{"family":"Adami","given":"Hans-Olov"},{"family":"Johansson","given":"Jan-Erik"}],"accessed":{"date-parts":[["2023",1,13]]},"issued":{"date-parts":[["2008",8,20]]}}},{"id":40,"uris":["http://zotero.org/users/3583561/items/SGF66W8K"],"itemData":{"id":40,"type":"article-journal","abstract":"Prostate-specific antigen (PSA) has been used for prostate cancer detection since 1994. PSA testing has revolutionized our ability to diagnose, treat, and follow-up patients. In the last two decades, PSA screening has led to a substantial increase in the incidence of prostate cancer (PC). This increased detection caused the incidence of advanced-stage disease to decrease at a dramatic rate, and most newly diagnosed PC today are localized tumors with a high probability of cure. PSA screening is associated with a 75% reduction in the proportion of men who now present with metastatic disease and a 32.5% reduction in the age-adjusted prostate cancer mortality rate through 2003. Although PSA is not a perfect marker, PSA testing has limited specificity for prostate cancer detection, and its appropriate clinical application remains a topic of debate. Due to its widespread use and increased over-detection, the result has been the occurrence of over-treatment of indolent cancers. Accordingly, several variations as regards PSA measurement have emerged as useful adjuncts for prostate cancer screening. These procedures take into consideration additional factors, such as the proportion of different PSA isoforms (free PSA, complexed PSA, pro-PSA and B PSA), the prostate volume (PSA density), and the rate of change in PSA levels over time (PSA velocity or PSA doubling time). The history and evidence underlying each of these parameters are reviewed in the following article.","container-title":"International Braz J Urol: Official Journal of the Brazilian Society of Urology","DOI":"10.1590/s1677-55382009000500003","ISSN":"1677-6119","issue":"5","journalAbbreviation":"Int Braz J Urol","language":"eng","note":"PMID: 19860930","page":"521-529; discussion 530-532","source":"PubMed","title":"Prostatic specific antigen for prostate cancer detection","volume":"35","author":[{"family":"Nogueira","given":"Lucas"},{"family":"Corradi","given":"Renato"},{"family":"Eastham","given":"James A."}],"issued":{"date-parts":[["2009"]]}}}],"schema":"https://github.com/citation-style-language/schema/raw/master/csl-citation.json"} </w:instrText>
      </w:r>
      <w:r w:rsidR="00C12CF0" w:rsidRPr="00B06723">
        <w:rPr>
          <w:rFonts w:ascii="Arial" w:hAnsi="Arial" w:cs="Arial"/>
        </w:rPr>
        <w:fldChar w:fldCharType="separate"/>
      </w:r>
      <w:r w:rsidR="00F669DC" w:rsidRPr="00B06723">
        <w:rPr>
          <w:rFonts w:ascii="Arial" w:hAnsi="Arial" w:cs="Arial"/>
        </w:rPr>
        <w:t>(Bill-Axelson et al., 2008; Nogueira et al., 2009)</w:t>
      </w:r>
      <w:r w:rsidR="00C12CF0" w:rsidRPr="00B06723">
        <w:rPr>
          <w:rFonts w:ascii="Arial" w:hAnsi="Arial" w:cs="Arial"/>
        </w:rPr>
        <w:fldChar w:fldCharType="end"/>
      </w:r>
      <w:r w:rsidR="008F5B7F" w:rsidRPr="00B06723">
        <w:rPr>
          <w:rFonts w:ascii="Arial" w:hAnsi="Arial" w:cs="Arial"/>
        </w:rPr>
        <w:t xml:space="preserve">. These procedures may lead to complications </w:t>
      </w:r>
      <w:r w:rsidR="005E119D" w:rsidRPr="00B06723">
        <w:rPr>
          <w:rFonts w:ascii="Arial" w:hAnsi="Arial" w:cs="Arial"/>
        </w:rPr>
        <w:t>(bleeding, infections, and, in some extreme case, even death and psychological manifestations such as anxiety and depression)</w:t>
      </w:r>
      <w:r w:rsidR="008F5B7F" w:rsidRPr="00B06723">
        <w:rPr>
          <w:rFonts w:ascii="Arial" w:hAnsi="Arial" w:cs="Arial"/>
        </w:rPr>
        <w:t xml:space="preserve"> and significantly impact quality of life </w:t>
      </w:r>
      <w:r w:rsidR="00C12CF0" w:rsidRPr="00B06723">
        <w:rPr>
          <w:rFonts w:ascii="Arial" w:hAnsi="Arial" w:cs="Arial"/>
        </w:rPr>
        <w:fldChar w:fldCharType="begin"/>
      </w:r>
      <w:r w:rsidR="005E119D" w:rsidRPr="00B06723">
        <w:rPr>
          <w:rFonts w:ascii="Arial" w:hAnsi="Arial" w:cs="Arial"/>
        </w:rPr>
        <w:instrText xml:space="preserve"> ADDIN ZOTERO_ITEM CSL_CITATION {"citationID":"a2gucjvdsmm","properties":{"formattedCitation":"(Bal\\uc0\\u225{}zs et al., 2021; Byun et al., 2022; Rosario et al., 2012)","plainCitation":"(Balázs et al., 2021; Byun et al., 2022; Rosario et al., 2012)","noteIndex":0},"citationItems":[{"id":35,"uris":["http://zotero.org/users/3583561/items/UE49RFG5"],"itemData":{"id":35,"type":"article-journal","abstract":"Prostate cancer is among the most frequent cancers in men worldwide. Despite the fact that multiple therapeutic alternatives are available for its treatment, it is often discovered in an advanced stage as a metastatic disease. Prostate cancer screening is based on physical examination of prostate size and prostate-specific antigen (PSA) level in the blood as well as biopsy in suspect cases. However, these markers often fail to correctly identify the presence of cancer, or their positivity might lead to overdiagnosis and consequent overtreatment of an otherwise silent non-progressing disease. Moreover, these markers have very limited if any predictive value regarding therapy response or individual risk for therapy-related toxicities. Therefore, novel, optimally liquid biopsy-based (blood-derived) markers or marker panels are needed, which have better prognostic and predictive value than the ones currently used in the everyday routine. In this review the role of circulating tumour cells, extracellular vesicles and their microRNA content, as well as cellular and soluble immunological and inflammation- related blood markers for prostate cancer diagnosis, prognosis and prediction of therapy response is discussed. A special emphasis is placed on markers predicting response to radiotherapy and radiotherapy-related late side effects.","container-title":"Journal of Personalized Medicine","DOI":"10.3390/jpm11040296","ISSN":"2075-4426","issue":"4","journalAbbreviation":"J Pers Med","note":"PMID: 33924671\nPMCID: PMC8070149","page":"296","source":"PubMed Central","title":"Blood-Derived Biomarkers of Diagnosis, Prognosis and Therapy Response in Prostate Cancer Patients","URL":"https://www.ncbi.nlm.nih.gov/pmc/articles/PMC8070149/","volume":"11","author":[{"family":"Balázs","given":"Katalin"},{"family":"Antal","given":"Lilla"},{"family":"Sáfrány","given":"Géza"},{"family":"Lumniczky","given":"Katalin"}],"accessed":{"date-parts":[["2023",4,30]]},"issued":{"date-parts":[["2021",4,13]]}}},{"id":8233,"uris":["http://zotero.org/users/3583561/items/56PAGI5G"],"itemData":{"id":8233,"type":"article-journal","abstract":"Background\nProstate-specific antigen (PSA) is a marker of prostate cancer (PCa), although its efficacy as a diagnostic marker remains controversial. A high false-positive rate leads to repeat biopsy in approximately 70% of patients, which may not be necessary. Epigenetic biomarkers of field cancerization have been investigated widely as promising tools for the diagnosis of patients with suspected tumors. In the current study, we examined the diagnostic value of two microRNA (miRNA) candidates, hsv1-miR-H18 and hsv2-miR-H9, using formalin-fixed paraffin-embedded (FFPE) tissues from patients with PCa or benign prostate hyperplasia (BPH) (as controls) to determine the usefulness of these markers for detecting the presence of cancer.\nMethods\nExpression of hsv1-miR-H18 and hsv2-miR-H9 in 201 FFPE tissues, including 52 primary tumors, 73 surrounding noncancerous tissues, and 90 BPH nontumor controls was examined by real-time PCR.\nResults\nExpression of hsv1-miR-H18 and hsv2-miR-H9 was significantly higher in primary tumors from PCa patients than in BPH controls (P &lt; 0.0001). In patients within the PSA gray zone, the two viral miRNAs could distinguish PCa from controls with appropriate sensitivity and specificity. Expression of the two miRNAs did not differ between primary tumors and noncancerous surrounding tissues.\nConclusions\nThe viral miRNAs hsv1-miR-H18 and hsv2-miR-H9 may be associated with field cancerization of PCa and could be promising supplemental biomarkers to the PSA assay to decrease the rate of unnecessary biopsy, particularly in patients within the PSA gray zone.","container-title":"Prostate International","DOI":"10.1016/j.prnil.2021.11.003","ISSN":"2287-8882","issue":"1","journalAbbreviation":"Prostate International","page":"1-6","source":"ScienceDirect","title":"Expression of hsv1-miR-H18 and hsv2-miR-H9 as a field defect marker for detecting prostate cancer","URL":"https://www.sciencedirect.com/science/article/pii/S2287888221000611","volume":"10","author":[{"family":"Byun","given":"Young Joon"},{"family":"Kang","given":"Ho Won"},{"family":"Piao","given":"Xuan-Mei"},{"family":"Zheng","given":"Chuang-Ming"},{"family":"Moon","given":"Sung-Kwon"},{"family":"Choi","given":"Yung Hyun"},{"family":"Kim","given":"Won Tae"},{"family":"Lee","given":"Sang-Cheol"},{"family":"Yun","given":"Seok Joong"},{"family":"Kim","given":"Wun-Jae"}],"accessed":{"date-parts":[["2025",8,30]]},"issued":{"date-parts":[["2022",3,1]]}}},{"id":89,"uris":["http://zotero.org/users/3583561/items/CMIBTUAT"],"itemData":{"id":89,"type":"article-journal","abstract":"Objectives To measure the effect of the adverse events within 35 days of transrectal ultrasound guided biopsy from the perspective of asymptomatic men having prostate specific antigen (PSA) testing; to assess early attitude to re-biopsy; to estimate healthcare resource use associated with adverse events due to biopsy; and to develop a classification scheme for reporting adverse events after prostate biopsy., Design Prospective cohort study (Prostate Biopsy Effects: ProBE) nested within Prostate Testing for Cancer and Treatment (ProtecT) study., Participants Between 1999 and 2008, 227 000 community dwelling men aged 50­69 years were identified at 352 practices and invited to counselling about PSA testing. 111 148 attended a nurse led clinic in the community, and 10 297 with PSA concentrations of 3-20 ng/mL were offered biopsy within ProtecT. Between February 2006 and May 2008, 1147/1753 (65%) eligible men (mean age 62.1 years, mean PSA 5.4 ng/mL) having 10 core transrectal ultrasound guided biopsy under antibiotic cover in the context of ProtecT were recruited to the ProBE study., Outcome measures Purpose designed questionnaire administered at biopsy and 7 and 35 days after the procedure to measure frequency and effect of symptoms related to pain, infection, and bleeding; patients’ attitude to repeat biopsy assessed immediately after biopsy and 7 days later; participants’ healthcare resource use within 35 days of biopsy evaluated by questionnaire, telephone follow-up, and medical note review; each man’s adverse event profile graded according to symptoms and healthcare use., Results Pain was reported by 429/984 (43.6%), fever by 172/985 (17.5%), haematuria by 642/976 (65.8%), haematochezia by 356/967 (36.8%), and haemoejaculate by 605/653 (92.6%) men during the 35 days after biopsy. Fewer men rated these symptoms as a major/moderate problem—71/977 (7.3%) for pain, 54/981 (5.5%) for fever, 59/958 (6.2%) for haematuria, 24/951 (2.5%) for haematochezia, and 172/646 (26.6%) for haemoejaculate. Immediately after biopsy, 124/1142 (10.9%, 95% confidence interval 9.2 to 12.8) men reported that they would consider further biopsy a major or moderate problem: seven days after biopsy, this proportion had increased to 213/1085 (19.6%, 17.4% to 22.1%). A negative attitude to repeat biopsy was associated with unfavourable experience after the first biopsy, particularly pain at biopsy (odds ratio 8.2, P&lt;0.001) and symptoms related to infection (7.9, P&lt;0.001) and bleeding (4.2, P&lt;0.001); differences were evident between centres (P&lt;0.001). 119/1147 (10.4%, 8.7% to 12.3%) men reported consultation with a healthcare professional (usually their general practitioner), most commonly for infective symptoms. Complete data for all index symptoms at all time points were available in 851 participants. Symptoms and healthcare use could be used to grade these men as follows: grade 0 (no symptoms/contact) 18 (2.1%, 1.3% to 3.3%); grade 1 (minor problem/no contact) 550 (64.6%, 61.4% to 67.8%); grade 2 (moderate/major problem or contact) 271 (31.8%, 28.8% to 35.1%); grade 3 (hospital admission) 12 (1.4%, 0.8% to 2.4%); and grade 4 (death) 0. Grade of adverse event was associated with an unfavourable attitude to repeat biopsy (Kendall’s τ-b ordinal by ordinal 0.29, P&lt;0.001)., Conclusion This study with a high response rate of 89% at 35 days in men undergoing biopsy in the context of a randomised controlled trial has shown that although prostate biopsy is well tolerated by most men, it is associated with significant symptoms in a minority and affects attitudes to repeat biopsy and primary care resource use. These findings will inform men who seek PSA testing for detection of prostate cancer and assist their physicians during counselling about the potential risks and effect of biopsy. Variability in the adverse event profile between centres suggests that patients’ outcomes could be improved and healthcare use reduced with more effective administration of local anaesthetic and antibiotics., Trial registration Current Controlled Trials ISRCTN20141297.","container-title":"The BMJ","DOI":"10.1136/bmj.d7894","ISSN":"0959-8138","journalAbbreviation":"BMJ","note":"PMID: 22232535\nPMCID: PMC3253765","page":"d7894","source":"PubMed Central","title":"Short term outcomes of prostate biopsy in men tested for cancer by prostate specific antigen: prospective evaluation within ProtecT study","title-short":"Short term outcomes of prostate biopsy in men tested for cancer by prostate specific antigen","URL":"https://www.ncbi.nlm.nih.gov/pmc/articles/PMC3253765/","volume":"344","author":[{"family":"Rosario","given":"Derek J"},{"family":"Lane","given":"J Athene"},{"family":"Metcalfe","given":"Chris"},{"family":"Donovan","given":"Jenny L"},{"family":"Doble","given":"Andy"},{"family":"Goodwin","given":"Louise"},{"family":"Davis","given":"Michael"},{"family":"Catto","given":"James W F"},{"family":"Avery","given":"Kerry"},{"family":"Neal","given":"David E"},{"family":"Hamdy","given":"Freddie C"}],"accessed":{"date-parts":[["2023",1,13]]},"issued":{"date-parts":[["2012",1,9]]}}}],"schema":"https://github.com/citation-style-language/schema/raw/master/csl-citation.json"} </w:instrText>
      </w:r>
      <w:r w:rsidR="00C12CF0" w:rsidRPr="00B06723">
        <w:rPr>
          <w:rFonts w:ascii="Arial" w:hAnsi="Arial" w:cs="Arial"/>
        </w:rPr>
        <w:fldChar w:fldCharType="separate"/>
      </w:r>
      <w:r w:rsidR="005E119D" w:rsidRPr="00B06723">
        <w:rPr>
          <w:rFonts w:ascii="Arial" w:hAnsi="Arial" w:cs="Arial"/>
        </w:rPr>
        <w:t>(Balázs et al., 2021; Byun et al., 2022; Rosario et al., 2012)</w:t>
      </w:r>
      <w:r w:rsidR="00C12CF0" w:rsidRPr="00B06723">
        <w:rPr>
          <w:rFonts w:ascii="Arial" w:hAnsi="Arial" w:cs="Arial"/>
        </w:rPr>
        <w:fldChar w:fldCharType="end"/>
      </w:r>
      <w:r w:rsidR="008F5B7F" w:rsidRPr="00B06723">
        <w:rPr>
          <w:rFonts w:ascii="Arial" w:hAnsi="Arial" w:cs="Arial"/>
        </w:rPr>
        <w:t>.</w:t>
      </w:r>
    </w:p>
    <w:p w14:paraId="7DC2DC6D" w14:textId="3D870265" w:rsidR="008F5B7F" w:rsidRPr="00B06723" w:rsidRDefault="008F5B7F" w:rsidP="008F5B7F">
      <w:pPr>
        <w:pStyle w:val="Body"/>
        <w:rPr>
          <w:rFonts w:ascii="Arial" w:hAnsi="Arial" w:cs="Arial"/>
        </w:rPr>
      </w:pPr>
      <w:r w:rsidRPr="00B06723">
        <w:rPr>
          <w:rFonts w:ascii="Arial" w:hAnsi="Arial" w:cs="Arial"/>
        </w:rPr>
        <w:t xml:space="preserve">To develop more accurate and less invasive diagnostic approaches, research has focused on molecular biomarkers, particularly microRNAs (miRNAs). These small non-coding RNA molecules play a key role in post-transcriptional gene expression regulation and are involved in biological processes such as cell proliferation, apoptosis, and differentiation. </w:t>
      </w:r>
      <w:r w:rsidR="00827094" w:rsidRPr="00B06723">
        <w:rPr>
          <w:rFonts w:ascii="Arial" w:hAnsi="Arial" w:cs="Arial"/>
        </w:rPr>
        <w:t xml:space="preserve">The deregulation or alteration of microRNAs is one of the crucial causes of human diseases, including cancer </w:t>
      </w:r>
      <w:r w:rsidR="00827094" w:rsidRPr="00B06723">
        <w:rPr>
          <w:rFonts w:ascii="Arial" w:hAnsi="Arial" w:cs="Arial"/>
        </w:rPr>
        <w:fldChar w:fldCharType="begin"/>
      </w:r>
      <w:r w:rsidR="00827094" w:rsidRPr="00B06723">
        <w:rPr>
          <w:rFonts w:ascii="Arial" w:hAnsi="Arial" w:cs="Arial"/>
        </w:rPr>
        <w:instrText xml:space="preserve"> ADDIN ZOTERO_ITEM CSL_CITATION {"citationID":"a24ui7q8le5","properties":{"formattedCitation":"(Di Leva et al., 2014)","plainCitation":"(Di Leva et al., 2014)","noteIndex":0},"citationItems":[{"id":95,"uris":["http://zotero.org/users/3583561/items/DNSIP2ZQ"],"itemData":{"id":95,"type":"article-journal","abstract":"MicroRNAs are small non coding RNAs that typically inhibit the translation and stability of messanger RNAs (mRNAs), controlling genes involved in cellular processes such as inflammation, cell cycle regulation, stress response, differentiation, apoptosis, and migration. Thus, miRNAs have been implicated in the regulation of virtually all signaling circuits within a cell and their dysregulation has been shown to play an essential role in the development and progression of cancer. Here, after a brief description of the miRNA genomics, biogenesis and function, we discuss the effects of miRNA deregulation in the cellular pathways that lead to the progressive conversion of normal cells into cancer cells and the potential to develop new molecular miRNA-targeted therapies.","container-title":"Annual review of pathology","DOI":"10.1146/annurev-pathol-012513-104715","ISSN":"1553-4006","journalAbbreviation":"Annu Rev Pathol","note":"PMID: 24079833\nPMCID: PMC4009396","page":"287-314","source":"PubMed Central","title":"microRNAs in cancer","URL":"https://www.ncbi.nlm.nih.gov/pmc/articles/PMC4009396/","volume":"9","author":[{"family":"Di Leva","given":"Gianpiero"},{"family":"Garofalo","given":"Michela"},{"family":"Croce","given":"Carlo M."}],"accessed":{"date-parts":[["2023",1,12]]},"issued":{"date-parts":[["2014"]]}}}],"schema":"https://github.com/citation-style-language/schema/raw/master/csl-citation.json"} </w:instrText>
      </w:r>
      <w:r w:rsidR="00827094" w:rsidRPr="00B06723">
        <w:rPr>
          <w:rFonts w:ascii="Arial" w:hAnsi="Arial" w:cs="Arial"/>
        </w:rPr>
        <w:fldChar w:fldCharType="separate"/>
      </w:r>
      <w:r w:rsidR="00827094" w:rsidRPr="00B06723">
        <w:rPr>
          <w:rFonts w:ascii="Arial" w:hAnsi="Arial" w:cs="Arial"/>
        </w:rPr>
        <w:t>(Di Leva et al., 2014)</w:t>
      </w:r>
      <w:r w:rsidR="00827094" w:rsidRPr="00B06723">
        <w:rPr>
          <w:rFonts w:ascii="Arial" w:hAnsi="Arial" w:cs="Arial"/>
        </w:rPr>
        <w:fldChar w:fldCharType="end"/>
      </w:r>
      <w:r w:rsidR="00827094" w:rsidRPr="00B06723">
        <w:rPr>
          <w:rFonts w:ascii="Arial" w:hAnsi="Arial" w:cs="Arial"/>
        </w:rPr>
        <w:t xml:space="preserve">. A growing number of studies suggest that the deregulation of microRNAs (miRNAs) and miRNA-mediated genes </w:t>
      </w:r>
      <w:r w:rsidR="00DD324D" w:rsidRPr="00B06723">
        <w:rPr>
          <w:rFonts w:ascii="Arial" w:hAnsi="Arial" w:cs="Arial"/>
        </w:rPr>
        <w:t>are</w:t>
      </w:r>
      <w:r w:rsidR="00827094" w:rsidRPr="00B06723">
        <w:rPr>
          <w:rFonts w:ascii="Arial" w:hAnsi="Arial" w:cs="Arial"/>
        </w:rPr>
        <w:t xml:space="preserve"> involved in the pathogenesis of various cancers, including prostate, lung, breast, colon, head and neck, liver, thyroid, endometrial, brain, ovarian, and hematological cancers </w:t>
      </w:r>
      <w:r w:rsidR="00827094" w:rsidRPr="00B06723">
        <w:rPr>
          <w:rFonts w:ascii="Arial" w:hAnsi="Arial" w:cs="Arial"/>
        </w:rPr>
        <w:fldChar w:fldCharType="begin"/>
      </w:r>
      <w:r w:rsidR="00647EC3" w:rsidRPr="00B06723">
        <w:rPr>
          <w:rFonts w:ascii="Arial" w:hAnsi="Arial" w:cs="Arial"/>
        </w:rPr>
        <w:instrText xml:space="preserve"> ADDIN ZOTERO_ITEM CSL_CITATION {"citationID":"a22r4pcv0k8","properties":{"formattedCitation":"(Gujrati et al., 2023)","plainCitation":"(Gujrati et al., 2023)","noteIndex":0},"citationItems":[{"id":8224,"uris":["http://zotero.org/users/3583561/items/GH84P4T8"],"itemData":{"id":8224,"type":"article-journal","abstract":"Prostate cancer (PCa) is the most frequently diagnosed cancer and the second leading cause of cancer deaths among American men. Complex genetic and epigenetic mechanisms are involved in the development and progression of PCa. MicroRNAs (miRNAs) are short noncoding RNAs that regulate protein expression at the post-transcriptional level by targeting mRNAs for degradation or inhibiting protein translation. In the past two decades, the field of miRNA research has rapidly expanded, and emerging evidence has revealed miRNA dysfunction to be an important epigenetic mechanism underlying a wide range of diseases, including cancers. This review article focuses on understanding the functional roles and molecular mechanisms of deregulated miRNAs in PCa aggressiveness and drug resistance based on the existing literature. Specifically, the miRNAs differentially expressed (upregulated or downregulated) in PCa vs. normal tissues, advanced vs. low-grade PCa, and treatment-responsive vs. non-responsive PCa are discussed. In particular, the oncogenic and tumor-suppressive miRNAs involved in the regulation of (1) the synthesis of the androgen receptor (AR) and its AR-V7 splice variant, (2) PTEN expression and PTEN-mediated signaling, (3) RNA splicing mechanisms, (4) chemo- and hormone-therapy resistance, and (5) racial disparities in PCa are discussed and summarized. We further provide an overview of the current advances and challenges of miRNA-based biomarkers and therapeutics in clinical practice for PCa diagnosis/prognosis and treatment.","container-title":"Cancers","DOI":"10.3390/cancers15123140","ISSN":"2072-6694","issue":"12","language":"en","license":"http://creativecommons.org/licenses/by/3.0/","note":"publisher: Multidisciplinary Digital Publishing Institute","page":"3140","source":"www.mdpi.com","title":"Deregulated microRNAs Involved in Prostate Cancer Aggressiveness and Treatment Resistance Mechanisms","URL":"https://www.mdpi.com/2072-6694/15/12/3140","volume":"15","author":[{"family":"Gujrati","given":"Himali"},{"family":"Ha","given":"Siyoung"},{"family":"Wang","given":"Bi-Dar"}],"accessed":{"date-parts":[["2025",8,30]]},"issued":{"date-parts":[["2023",1]]}}}],"schema":"https://github.com/citation-style-language/schema/raw/master/csl-citation.json"} </w:instrText>
      </w:r>
      <w:r w:rsidR="00827094" w:rsidRPr="00B06723">
        <w:rPr>
          <w:rFonts w:ascii="Arial" w:hAnsi="Arial" w:cs="Arial"/>
        </w:rPr>
        <w:fldChar w:fldCharType="separate"/>
      </w:r>
      <w:r w:rsidR="00647EC3" w:rsidRPr="00B06723">
        <w:rPr>
          <w:rFonts w:ascii="Arial" w:hAnsi="Arial" w:cs="Arial"/>
        </w:rPr>
        <w:t>(Gujrati et al., 2023</w:t>
      </w:r>
      <w:r w:rsidR="00DD324D" w:rsidRPr="00B06723">
        <w:rPr>
          <w:rFonts w:ascii="Arial" w:hAnsi="Arial" w:cs="Arial"/>
        </w:rPr>
        <w:t xml:space="preserve">; </w:t>
      </w:r>
      <w:r w:rsidR="00DD324D" w:rsidRPr="00B06723">
        <w:rPr>
          <w:rFonts w:ascii="Arial" w:hAnsi="Arial" w:cs="Arial"/>
          <w:lang w:val="fr-FR"/>
        </w:rPr>
        <w:t>Joković et al., 2022</w:t>
      </w:r>
      <w:r w:rsidR="00647EC3" w:rsidRPr="00B06723">
        <w:rPr>
          <w:rFonts w:ascii="Arial" w:hAnsi="Arial" w:cs="Arial"/>
        </w:rPr>
        <w:t>)</w:t>
      </w:r>
      <w:r w:rsidR="00827094" w:rsidRPr="00B06723">
        <w:rPr>
          <w:rFonts w:ascii="Arial" w:hAnsi="Arial" w:cs="Arial"/>
        </w:rPr>
        <w:fldChar w:fldCharType="end"/>
      </w:r>
      <w:r w:rsidRPr="00B06723">
        <w:rPr>
          <w:rFonts w:ascii="Arial" w:hAnsi="Arial" w:cs="Arial"/>
        </w:rPr>
        <w:t>.</w:t>
      </w:r>
    </w:p>
    <w:p w14:paraId="378F3EA7" w14:textId="4C97252D" w:rsidR="008F5B7F" w:rsidRPr="00B06723" w:rsidRDefault="008F5B7F" w:rsidP="008F5B7F">
      <w:pPr>
        <w:pStyle w:val="Body"/>
        <w:rPr>
          <w:rFonts w:ascii="Arial" w:hAnsi="Arial" w:cs="Arial"/>
        </w:rPr>
      </w:pPr>
      <w:r w:rsidRPr="00B06723">
        <w:rPr>
          <w:rFonts w:ascii="Arial" w:hAnsi="Arial" w:cs="Arial"/>
        </w:rPr>
        <w:t>miRNAs play a dual role in tumor development: oncogenic miRNAs (</w:t>
      </w:r>
      <w:proofErr w:type="spellStart"/>
      <w:r w:rsidRPr="00B06723">
        <w:rPr>
          <w:rFonts w:ascii="Arial" w:hAnsi="Arial" w:cs="Arial"/>
        </w:rPr>
        <w:t>oncomiRs</w:t>
      </w:r>
      <w:proofErr w:type="spellEnd"/>
      <w:r w:rsidRPr="00B06723">
        <w:rPr>
          <w:rFonts w:ascii="Arial" w:hAnsi="Arial" w:cs="Arial"/>
        </w:rPr>
        <w:t>) and tumor-suppressor miRNAs (</w:t>
      </w:r>
      <w:proofErr w:type="spellStart"/>
      <w:r w:rsidRPr="00B06723">
        <w:rPr>
          <w:rFonts w:ascii="Arial" w:hAnsi="Arial" w:cs="Arial"/>
        </w:rPr>
        <w:t>tsmiRs</w:t>
      </w:r>
      <w:proofErr w:type="spellEnd"/>
      <w:r w:rsidRPr="00B06723">
        <w:rPr>
          <w:rFonts w:ascii="Arial" w:hAnsi="Arial" w:cs="Arial"/>
        </w:rPr>
        <w:t xml:space="preserve">). </w:t>
      </w:r>
      <w:proofErr w:type="spellStart"/>
      <w:r w:rsidRPr="00B06723">
        <w:rPr>
          <w:rFonts w:ascii="Arial" w:hAnsi="Arial" w:cs="Arial"/>
        </w:rPr>
        <w:t>OncomiRs</w:t>
      </w:r>
      <w:proofErr w:type="spellEnd"/>
      <w:r w:rsidRPr="00B06723">
        <w:rPr>
          <w:rFonts w:ascii="Arial" w:hAnsi="Arial" w:cs="Arial"/>
        </w:rPr>
        <w:t xml:space="preserve"> promote cancer development by upregulating oncogene expression and/or downregulating tumor suppressor genes </w:t>
      </w:r>
      <w:r w:rsidR="00C12CF0" w:rsidRPr="00B06723">
        <w:rPr>
          <w:rFonts w:ascii="Arial" w:hAnsi="Arial" w:cs="Arial"/>
        </w:rPr>
        <w:fldChar w:fldCharType="begin"/>
      </w:r>
      <w:r w:rsidR="00F669DC" w:rsidRPr="00B06723">
        <w:rPr>
          <w:rFonts w:ascii="Arial" w:hAnsi="Arial" w:cs="Arial"/>
        </w:rPr>
        <w:instrText xml:space="preserve"> ADDIN ZOTERO_ITEM CSL_CITATION {"citationID":"a26oikhdq9f","properties":{"formattedCitation":"(Liu et al., 2013)","plainCitation":"(Liu et al., 2013)","noteIndex":0},"citationItems":[{"id":64,"uris":["http://zotero.org/users/3583561/items/ZRSYXRPF"],"itemData":{"id":64,"type":"article-journal","abstract":"Similar to protein-coding genes, miRNAs are also susceptible to epigenetic modulation. Although numerous miRNAs have been shown to be affected by DNA methylation, the regulatory mechanism of histone modification on miRNA is not adequately understood. EZH2 and HDACs were recently identified as critical histone modifiers of deregulated miRNAs in cancer and can be recruited to a miRNA promoter by transcription factors such as MYC. Because miRNAs can modulate epigenetic architecture and can be regulated by epigenetic alteration, they could reasonably play an important role in mediating the crosstalk between epigenetic regulators. The complicated network between miRNAs and epigenetic machineries underlies the epigenetic–miRNA regulatory pathway, which is important in monitoring gene expression profiles. Regulation of miRNAs by inducing epigenetic changes reveals promising avenues for the design of innovative strategies in the fight against human cancer.","container-title":"Journal of Experimental &amp; Clinical Cancer Research","DOI":"10.1186/1756-9966-32-96","ISSN":"1756-9966","issue":"1","journalAbbreviation":"J Exp Clin Cancer Res","language":"en","page":"96","source":"Springer Link","title":"Regulation of microRNAs by epigenetics and their interplay involved in cancer","URL":"https://doi.org/10.1186/1756-9966-32-96","volume":"32","author":[{"family":"Liu","given":"Xiaolan"},{"family":"Chen","given":"Xiaoyan"},{"family":"Yu","given":"Xinfang"},{"family":"Tao","given":"Yongguang"},{"family":"Bode","given":"Ann M."},{"family":"Dong","given":"Zigang"},{"family":"Cao","given":"Ya"}],"accessed":{"date-parts":[["2023",4,26]]},"issued":{"date-parts":[["2013",11,22]]}}}],"schema":"https://github.com/citation-style-language/schema/raw/master/csl-citation.json"} </w:instrText>
      </w:r>
      <w:r w:rsidR="00C12CF0" w:rsidRPr="00B06723">
        <w:rPr>
          <w:rFonts w:ascii="Arial" w:hAnsi="Arial" w:cs="Arial"/>
        </w:rPr>
        <w:fldChar w:fldCharType="separate"/>
      </w:r>
      <w:r w:rsidR="00F669DC" w:rsidRPr="00B06723">
        <w:rPr>
          <w:rFonts w:ascii="Arial" w:hAnsi="Arial" w:cs="Arial"/>
        </w:rPr>
        <w:t>(Liu et al., 2013)</w:t>
      </w:r>
      <w:r w:rsidR="00C12CF0" w:rsidRPr="00B06723">
        <w:rPr>
          <w:rFonts w:ascii="Arial" w:hAnsi="Arial" w:cs="Arial"/>
        </w:rPr>
        <w:fldChar w:fldCharType="end"/>
      </w:r>
      <w:r w:rsidRPr="00B06723">
        <w:rPr>
          <w:rFonts w:ascii="Arial" w:hAnsi="Arial" w:cs="Arial"/>
        </w:rPr>
        <w:t xml:space="preserve">. miRNA expression profiling has revolutionized </w:t>
      </w:r>
      <w:proofErr w:type="spellStart"/>
      <w:r w:rsidRPr="00B06723">
        <w:rPr>
          <w:rFonts w:ascii="Arial" w:hAnsi="Arial" w:cs="Arial"/>
        </w:rPr>
        <w:t>PCa</w:t>
      </w:r>
      <w:proofErr w:type="spellEnd"/>
      <w:r w:rsidRPr="00B06723">
        <w:rPr>
          <w:rFonts w:ascii="Arial" w:hAnsi="Arial" w:cs="Arial"/>
        </w:rPr>
        <w:t xml:space="preserve"> diagnosis with improved specificity, as it provides insights into tumor lineage, cancer stage, and tumor grade </w:t>
      </w:r>
      <w:r w:rsidR="00C12CF0" w:rsidRPr="00B06723">
        <w:rPr>
          <w:rFonts w:ascii="Arial" w:hAnsi="Arial" w:cs="Arial"/>
        </w:rPr>
        <w:fldChar w:fldCharType="begin"/>
      </w:r>
      <w:r w:rsidR="00F669DC" w:rsidRPr="00B06723">
        <w:rPr>
          <w:rFonts w:ascii="Arial" w:hAnsi="Arial" w:cs="Arial"/>
        </w:rPr>
        <w:instrText xml:space="preserve"> ADDIN ZOTERO_ITEM CSL_CITATION {"citationID":"a1n6cpao4rr","properties":{"formattedCitation":"(Lu et al., 2005)","plainCitation":"(Lu et al., 2005)","noteIndex":0},"citationItems":[{"id":56,"uris":["http://zotero.org/users/3583561/items/XCLG3FJP"],"itemData":{"id":56,"type":"article-journal","abstract":"MicroRNAs are regulatory, non-coding RNAs about 22 nucleotides in length: over 200 have been identified in humans, and their functions are beginning to be pinned down. It has been suggested that like other regulatory molecules they might be involved in tumour formation, and three papers in this issue confirm that this is the case. One cluster of microRNAs, known as mir-17–92, is shown to be a potential oncogene by its action in an in vivo model of human B-cell lymphoma. A cluster of microRNAs on human chromosome 13 has been found to be regulated by c-Myc, an important transcription factor that is overexpressed in many human cancers. And analysis of microRNA expression in over 300 individuals shows that microRNA profiles could be of value in cancer diagnosis. There is a global downregulation of microRNA in tumours, and the microRNA profile also reflects the origin and differentiation state of the tumours.","container-title":"Nature","DOI":"10.1038/nature03702","ISSN":"1476-4687","issue":"7043","language":"en","license":"2005 Macmillan Magazines Ltd.","note":"number: 7043\npublisher: Nature Publishing Group","page":"834-838","source":"www.nature.com","title":"MicroRNA expression profiles classify human cancers","URL":"https://www.nature.com/articles/nature03702","volume":"435","author":[{"family":"Lu","given":"Jun"},{"family":"Getz","given":"Gad"},{"family":"Miska","given":"Eric A."},{"family":"Alvarez-Saavedra","given":"Ezequiel"},{"family":"Lamb","given":"Justin"},{"family":"Peck","given":"David"},{"family":"Sweet-Cordero","given":"Alejandro"},{"family":"Ebert","given":"Benjamin L."},{"family":"Mak","given":"Raymond H."},{"family":"Ferrando","given":"Adolfo A."},{"family":"Downing","given":"James R."},{"family":"Jacks","given":"Tyler"},{"family":"Horvitz","given":"H. Robert"},{"family":"Golub","given":"Todd R."}],"accessed":{"date-parts":[["2023",4,28]]},"issued":{"date-parts":[["2005",6]]}}}],"schema":"https://github.com/citation-style-language/schema/raw/master/csl-citation.json"} </w:instrText>
      </w:r>
      <w:r w:rsidR="00C12CF0" w:rsidRPr="00B06723">
        <w:rPr>
          <w:rFonts w:ascii="Arial" w:hAnsi="Arial" w:cs="Arial"/>
        </w:rPr>
        <w:fldChar w:fldCharType="separate"/>
      </w:r>
      <w:r w:rsidR="00F669DC" w:rsidRPr="00B06723">
        <w:rPr>
          <w:rFonts w:ascii="Arial" w:hAnsi="Arial" w:cs="Arial"/>
        </w:rPr>
        <w:t>(Lu et al., 2005)</w:t>
      </w:r>
      <w:r w:rsidR="00C12CF0" w:rsidRPr="00B06723">
        <w:rPr>
          <w:rFonts w:ascii="Arial" w:hAnsi="Arial" w:cs="Arial"/>
        </w:rPr>
        <w:fldChar w:fldCharType="end"/>
      </w:r>
      <w:r w:rsidRPr="00B06723">
        <w:rPr>
          <w:rFonts w:ascii="Arial" w:hAnsi="Arial" w:cs="Arial"/>
        </w:rPr>
        <w:t xml:space="preserve">. </w:t>
      </w:r>
    </w:p>
    <w:p w14:paraId="0D636CA8" w14:textId="3CD68E38" w:rsidR="008F5B7F" w:rsidRPr="00B06723" w:rsidRDefault="008F5B7F" w:rsidP="008F5B7F">
      <w:pPr>
        <w:pStyle w:val="Body"/>
        <w:rPr>
          <w:rFonts w:ascii="Arial" w:hAnsi="Arial" w:cs="Arial"/>
        </w:rPr>
      </w:pPr>
      <w:r w:rsidRPr="00B06723">
        <w:rPr>
          <w:rFonts w:ascii="Arial" w:hAnsi="Arial" w:cs="Arial"/>
        </w:rPr>
        <w:t xml:space="preserve">miRNAs are detectable in biological fluids (blood, urine, saliva) in three distinct forms: as free circulating molecules, bound to protein complexes, or encapsulated within exosomes. These extracellular vesicles enhance miRNA stability, reinforcing their potential as liquid biopsy biomarkers. Furthermore, miRNA expression patterns appear to be cancer-type and stage-specific, providing added value for diagnostic stratification </w:t>
      </w:r>
      <w:r w:rsidR="00C12CF0" w:rsidRPr="00B06723">
        <w:rPr>
          <w:rFonts w:ascii="Arial" w:hAnsi="Arial" w:cs="Arial"/>
        </w:rPr>
        <w:fldChar w:fldCharType="begin"/>
      </w:r>
      <w:r w:rsidR="00F669DC" w:rsidRPr="00B06723">
        <w:rPr>
          <w:rFonts w:ascii="Arial" w:hAnsi="Arial" w:cs="Arial"/>
        </w:rPr>
        <w:instrText xml:space="preserve"> ADDIN ZOTERO_ITEM CSL_CITATION {"citationID":"a2otc0lp711","properties":{"formattedCitation":"(Bilal et al., 2022)","plainCitation":"(Bilal et al., 2022)","noteIndex":0},"citationItems":[{"id":65,"uris":["http://zotero.org/users/3583561/items/W4CE6EVZ"],"itemData":{"id":65,"type":"article-journal","abstract":"Prostate cancer is the second most frequently diagnosed cancer among men worldwide, with the estimated sixth leading cause of cancer death. Despite major advancements in clinical biology and imaging, digital rectal examination (DRE), prostate-specific antigen (PSA), and biopsies indication remain the keystone for screening. Several kits are used to detect genomic changes and non-coding RNAs in the sample. However, its indication remains controversial for screening purposes. There is an urged need for non-invasive biomarkers to implement precision medicine. Recent research shows that miRNAs have an important role in the diagnostic, prognostic, and therapeutic agents as non-invasive biomarkers. Though prostate cancer data remains controversial in other cancer types, such as breast cancer, miR-21 expression is upregulated. Here, we reported a prolonged revision of miRNAs as prostate cancer prognostic, diagnostic, and predictive tools, including data on androgen receptor (AR) signaling, epithelial-mesenchymal transition (EMT) process, and cancer stem cells (CSCs) regulation. The combined utilization of miRNAs with other tests will help patients and clinicians to select the most appropriate personalized treatment and to avoid overdiagnosis and unnecessary biopsies. Future clinical applications of our reported novel miRNAs have a substantial role in the primary diagnosis of prostate cancer to help treatment decisions.","container-title":"Translational Oncology","DOI":"10.1016/j.tranon.2022.101542","ISSN":"1936-5233","journalAbbreviation":"Translational Oncology","language":"en","page":"101542","source":"ScienceDirect","title":"An overview of prostate cancer (PCa) diagnosis: Potential role of miRNAs","title-short":"An overview of prostate cancer (PCa) diagnosis","URL":"https://www.sciencedirect.com/science/article/pii/S1936523322002017","volume":"26","author":[{"family":"Bilal","given":"Muhammad"},{"family":"Javaid","given":"Aqsa"},{"family":"Amjad","given":"Farhat"},{"family":"Youssif","given":"Tamer Abou"},{"family":"Afzal","given":"Samia"}],"accessed":{"date-parts":[["2023",4,26]]},"issued":{"date-parts":[["2022",12,1]]}}}],"schema":"https://github.com/citation-style-language/schema/raw/master/csl-citation.json"} </w:instrText>
      </w:r>
      <w:r w:rsidR="00C12CF0" w:rsidRPr="00B06723">
        <w:rPr>
          <w:rFonts w:ascii="Arial" w:hAnsi="Arial" w:cs="Arial"/>
        </w:rPr>
        <w:fldChar w:fldCharType="separate"/>
      </w:r>
      <w:r w:rsidR="00F669DC" w:rsidRPr="00B06723">
        <w:rPr>
          <w:rFonts w:ascii="Arial" w:hAnsi="Arial" w:cs="Arial"/>
        </w:rPr>
        <w:t>(Bilal et al., 2022)</w:t>
      </w:r>
      <w:r w:rsidR="00C12CF0" w:rsidRPr="00B06723">
        <w:rPr>
          <w:rFonts w:ascii="Arial" w:hAnsi="Arial" w:cs="Arial"/>
        </w:rPr>
        <w:fldChar w:fldCharType="end"/>
      </w:r>
      <w:r w:rsidRPr="00B06723">
        <w:rPr>
          <w:rFonts w:ascii="Arial" w:hAnsi="Arial" w:cs="Arial"/>
        </w:rPr>
        <w:t xml:space="preserve">.  </w:t>
      </w:r>
    </w:p>
    <w:p w14:paraId="3A4C104B" w14:textId="01188B8D" w:rsidR="008F5B7F" w:rsidRPr="00B06723" w:rsidRDefault="008F5B7F" w:rsidP="008F5B7F">
      <w:pPr>
        <w:pStyle w:val="Body"/>
        <w:rPr>
          <w:rFonts w:ascii="Arial" w:hAnsi="Arial" w:cs="Arial"/>
        </w:rPr>
      </w:pPr>
      <w:r w:rsidRPr="00B06723">
        <w:rPr>
          <w:rFonts w:ascii="Arial" w:hAnsi="Arial" w:cs="Arial"/>
        </w:rPr>
        <w:t xml:space="preserve">However, despite their potential, findings regarding certain miRNAs remain inconsistent. Persistent challenges include the standardization of sampling methods, quantification procedures, and data normalization. Among the numerous miRNAs studied, miR-21, miR-141, and miR-375 have been most frequently identified as being dysregulated in </w:t>
      </w:r>
      <w:proofErr w:type="spellStart"/>
      <w:r w:rsidRPr="00B06723">
        <w:rPr>
          <w:rFonts w:ascii="Arial" w:hAnsi="Arial" w:cs="Arial"/>
        </w:rPr>
        <w:t>PCa</w:t>
      </w:r>
      <w:proofErr w:type="spellEnd"/>
      <w:r w:rsidRPr="00B06723">
        <w:rPr>
          <w:rFonts w:ascii="Arial" w:hAnsi="Arial" w:cs="Arial"/>
        </w:rPr>
        <w:t xml:space="preserve"> </w:t>
      </w:r>
      <w:r w:rsidR="00C12CF0" w:rsidRPr="00B06723">
        <w:rPr>
          <w:rFonts w:ascii="Arial" w:hAnsi="Arial" w:cs="Arial"/>
        </w:rPr>
        <w:fldChar w:fldCharType="begin"/>
      </w:r>
      <w:r w:rsidR="00F669DC" w:rsidRPr="00B06723">
        <w:rPr>
          <w:rFonts w:ascii="Arial" w:hAnsi="Arial" w:cs="Arial"/>
        </w:rPr>
        <w:instrText xml:space="preserve"> ADDIN ZOTERO_ITEM CSL_CITATION {"citationID":"al5m9gq6r7","properties":{"formattedCitation":"(Gao et al., 2016; Guan et al., 2016; Huang et al., 2015; Ibrahim et al., 2019; Jokovi\\uc0\\u263{} et al., 2022; Kotb et al., 2014; Li et al., 2016; Nitusca et al., 2022b, 2022a; Osipov et al., 2016; Porzycki et al., 2018; Ye et al., 2020)","plainCitation":"(Gao et al., 2016; Guan et al., 2016; Huang et al., 2015; Ibrahim et al., 2019; Joković et al., 2022; Kotb et al., 2014; Li et al., 2016; Nitusca et al., 2022b, 2022a; Osipov et al., 2016; Porzycki et al., 2018; Ye et al., 2020)","noteIndex":0},"citationItems":[{"id":694,"uris":["http://zotero.org/users/3583561/items/ATU2QLD2"],"itemData":{"id":694,"type":"article-journal","abstract":"To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id":617,"uris":["http://zotero.org/users/3583561/items/Y77KQ4JE"],"itemData":{"id":617,"type":"article-journal","abstract":"BACKGROUND Despite androgen deprivation therapy (ADT) remains the mainstay therapy for advanced prostate cancer (PCa), the patients have widely variable durations of response to ADT. Unfortunately, there is limited knowledge of pre-treatment prognostic factors for response to ADT. Recently, microRNA-21 (miR-21) has been reported to play an important role in development of castration resistance of CaP. However, little is known about the expression of miR-21 in advanced PCa biopsy tissues, and data on its potential predictive value in advanced PCa are completely lacking. METHODS In this study, paraffin-embedded prostate carcinoma tissues obtained by needle biopsy from 85 advanced PCa patients were evaluated for the expression levels of miR-21 by quantitative real-time PCR (qRT-PCR). In situ hybridization (ISH) analysis was performed to further confirm the qRT-PCR results. Kaplan–Meier analysis and Cox proportional hazards regression models were performed to investigate the correlation between miR-21 expression and time to progression of advanced PCa patients. RESULTS Compared with adjacent non-cancerous prostate tissues, the expression level of miR-21 was significantly increased in PCa tissues (PCa vs. non-cancerous prostate: 1.3273 ± 0.3207 vs. 0.9970 ± 0.2054, P &lt; 0.001). By and large, in ISH analysis miR-21 was expressed at a higher level in tumor areas than in adjacent non­cancerous areas. Additionally, PCa patients with higher expression of miR-21 were significantly more likely to be of high Gleason score and high clinical stage (P &lt; 0.05). There was no significant association between miR-21 expression and the initial prostate-specific antigen (PSA) level or age at diagnosis. Moreover, Kaplan–Meier survival analysis found that PCa patients with high miR-21 expression have shorter progression-free survival than those with low miR-21 expression. Furthermore, Multivariate Cox analysis revealed both miR-21 expression status (P = 0.040) and clinical stage (P = 0.042) were all independent predictive factor for progression-free survival for advanced PCa. CONCLUSION These findings suggest for the first time that the up-regulation of miR-21 may serve as an independent predictor of progress-free survival in patients with advanced PCa. Prostate 76:986–993, 2016. © 2016 Wiley Periodicals, Inc.","container-title":"The Prostate","DOI":"10.1002/pros.23187","ISSN":"1097-0045","issue":"11","language":"en","note":"_eprint: https://onlinelibrary.wiley.com/doi/pdf/10.1002/pros.23187","page":"986-993","source":"Wiley Online Library","title":"Association of microRNA-21 expression with clinicopathological characteristics and the risk of progression in advanced prostate cancer patients receiving androgen deprivation therapy","URL":"https://onlinelibrary.wiley.com/doi/abs/10.1002/pros.23187","volume":"76","author":[{"family":"Guan","given":"Yangbo"},{"family":"Wu","given":"You"},{"family":"Liu","given":"Yifei"},{"family":"Ni","given":"Jian"},{"family":"Nong","given":"Shaojun"}],"accessed":{"date-parts":[["2023",5,23]]},"issued":{"date-parts":[["2016"]]}}},{"id":645,"uris":["http://zotero.org/users/3583561/items/F9FWFC3K"],"itemData":{"id":645,"type":"article-journal","abstract":"AIMS: Our study aimed to evaluate the diagnostic and prognostic values of microRNA-21 (miR-21) expression levels in peripheral blood mononuclear cells (PBMCs) for prostate cancer (PCa).\nMETHODS: Between February 2010 and June 2014, 75 consecutive patients with localized PCa confirmed by radical prostatectomy and biopsy were enrolled as the case group. Among them, 25 patients were confirmed with recurrence or metastasis (R/M) (PCa with R/M group) and 50 patients without R/M (PCa without R/M group). During the same period, 75 healthy volunteers were enrolled as the control group. Blood was collected from all subjects, and PBMCs were isolated. Relative miR-21 expression levels from the PBMCs were determined by fluorescence real-time quantitative polymerase chain reaction (RT-qPCR).\nRESULTS: The relative miR-21 expression levels in the preoperative case group was significantly higher than that in the postoperative case group and the control group (both p&lt;0.001). miR-21 expression levels were associated with tumor differentiation, clinical stage, and lymph node metastasis (all p&lt;0.001). Furthermore, miR-21 expression levels in PCa patients with R/M were significantly higher than that in PCa patients without R/M and healthy controls (both p&lt;0.001). Receiver operating characteristic (ROC) curve analysis revealed that the cut-off point of miR-21 for diagnosis of PCa was 0.9 with a sensitivity of 87.5% and a specificity of 85.7%.\nCONCLUSIONS: Our study demonstrates that high miR-21 expression levels in PBMCs were correlated with the presence, recurrence, and metastasis of PCa and that this may be a useful biomarker for screening PCa and monitoring the risk of PCa recurrence and metastasis.","container-title":"Genetic Testing and Molecular Biomarkers","DOI":"10.1089/gtmb.2015.0088","ISSN":"1945-0257","issue":"9","journalAbbreviation":"Genet Test Mol Biomarkers","language":"eng","note":"PMID: 26247873","page":"469-475","source":"PubMed","title":"High-Level Expression of microRNA-21 in Peripheral Blood Mononuclear Cells Is a Diagnostic and Prognostic Marker in Prostate Cancer","volume":"19","author":[{"family":"Huang","given":"Wei"},{"family":"Kang","given":"Xin-Li"},{"family":"Cen","given":"Son"},{"family":"Wang","given":"Yang"},{"family":"Chen","given":"Xiang"}],"issued":{"date-parts":[["2015",9]]}}},{"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M."}],"issued":{"date-parts":[["2019",11]]}}},{"id":34,"uris":["http://zotero.org/users/3583561/items/YL3SS75Z"],"itemData":{"id":34,"type":"article-journal","abstract":"MiR-21 and miR-375 have been reported as dysregulated in prostate cancer (PCa) in multiple previous studies. Still, variable or even opposing data for the expression of these microRNAs in PCa were found, and their potential biomarker properties remain elusive. In an attempt to clarify their significance as PCa biomarkers, as well as to compare different types of specimens as a source of relevant microRNAs, we used plasma and matching plasma-derived exosomes from patients with PCa and patients with benign prostatic hyperplasia (BPH). Plasma and exosomes were obtained from 34 patients with PCa and 34 patients with BPH, and their levels of expression of miR-21 and miR-375 were determined by RT-qPCR. We found no significant difference in the level of expression of these microRNAs in plasma and exosomes between patients with PCa and BPH. The level of exosomal miR-21 was elevated in PCa patients with high serum PSA values, as well as in patients with aggressive PCa, while for plasma samples, the results remained insignificant. For miR-375, we did not find an association with the values of standard prognostic parameters of PCa, nor with cancer aggressiveness. Therefore, our results support the potential prognostic role of exosomal miR-21 expression levels in PCa.","container-title":"Genes","DOI":"10.3390/genes13122320","ISSN":"2073-4425","issue":"12","journalAbbreviation":"Genes (Basel)","note":"PMID: 36553586\nPMCID: PMC9778022","page":"2320","source":"PubMed Central","title":"MiR-375 and miR-21 as Potential Biomarkers of Prostate Cancer: Comparison of Matching Samples of Plasma and Exosomes","title-short":"MiR-375 and miR-21 as Potential Biomarkers of Prostate Cancer","URL":"https://www.ncbi.nlm.nih.gov/pmc/articles/PMC9778022/","volume":"13","author":[{"family":"Joković","given":"Suzana Matijašević"},{"family":"Dobrijević","given":"Zorana"},{"family":"Kotarac","given":"Nevena"},{"family":"Filipović","given":"Lidija"},{"family":"Popović","given":"Milica"},{"family":"Korać","given":"Aleksandra"},{"family":"Vuković","given":"Ivan"},{"family":"Savić-Pavićević","given":"Dušanka"},{"family":"Brajušković","given":"Goran"}],"accessed":{"date-parts":[["2023",5,1]]},"issued":{"date-parts":[["2022",12,9]]}}},{"id":777,"uris":["http://zotero.org/users/3583561/items/A4CXYGJC"],"itemData":{"id":777,"type":"article-journal","abstract":"To compare the expression of two promising circulating micro-ribonucleic acids (miRNAs 21 and 221) in patients with prostate cancer to subjects without cancer and to evaluate their potential role as specific noninvasive molecular biomarkers for prostate cancer diagnosis, circulating miRNAs 21 and 221 expression profiles were analyzed in 20 men aged 50-75 years, presenting with lower urinary tract symptoms (LUTSs) and undergoing transrectal ultrasound (TRUS)-guided prostate biopsy based on either elevated serum prostate-specific antigen (PSA) (&gt;4.0 ng/ml) or suspicious digital rectal examination (DRE). The performance of miRNAs 21 and 221 in differentiating prostate cancer from nonmalignant cases was evaluated and compared to DRE and elevated PSA. miRNA 21 was overexpressed in 90 % of group A vs. 10 % of group B, while miRNA 221 was overexpressed in 80 % of group A vs. 20 % of group B (p = 0.001). MiRNA 21 overexpression had the highest performance as a diagnostic test with a sensitivity of 90 % and a specificity 90 % (p = 0.02). No correlations were noted between Gleason score of prostate cancer cases and relative quantity (RQ) 21 (r = -0.355, p = 0.292) or RQ 221 (r = -0.044, p = 0.892). Our study showed that serum miRNAs 21 and 221 expression profiling tests may be used as specific noninvasive molecular biomarkers for prostate cancer diagnosis due to their higher sensitivity and specificity with a high negative predictive value leading to a decrease in the biopsies taken for patients with elevated serum PSA values.","container-title":"Tumour Biology: The Journal of the International Society for Oncodevelopmental Biology and Medicine","DOI":"10.1007/s13277-014-2584-7","ISSN":"1423-0380","issue":"12","journalAbbreviation":"Tumour Biol","language":"eng","note":"PMID: 25190021","page":"12613-12617","source":"PubMed","title":"Circulating miRNAs 21 and 221 as biomarkers for early diagnosis of prostate cancer","volume":"35","author":[{"family":"Kotb","given":"Sameh"},{"family":"Mosharafa","given":"Ashraf"},{"family":"Essawi","given":"Mona"},{"family":"Hassan","given":"Heba"},{"family":"Meshref","given":"Alaa"},{"family":"Morsy","given":"Ahmed"}],"issued":{"date-parts":[["2014",12]]}}},{"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w:instrText>
      </w:r>
      <w:r w:rsidR="00F669DC" w:rsidRPr="00B06723">
        <w:rPr>
          <w:rFonts w:ascii="Arial" w:hAnsi="Arial" w:cs="Arial"/>
          <w:lang w:val="fr-FR"/>
        </w:rPr>
        <w:instrText xml:space="preserve">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C12CF0" w:rsidRPr="00B06723">
        <w:rPr>
          <w:rFonts w:ascii="Arial" w:hAnsi="Arial" w:cs="Arial"/>
        </w:rPr>
        <w:fldChar w:fldCharType="separate"/>
      </w:r>
      <w:r w:rsidR="00F669DC" w:rsidRPr="00B06723">
        <w:rPr>
          <w:rFonts w:ascii="Arial" w:hAnsi="Arial" w:cs="Arial"/>
          <w:lang w:val="fr-FR"/>
        </w:rPr>
        <w:t>(Gao et al., 2016; Guan et al., 2016; Huang et al., 2015; Ibrahim et al., 2019; Joković et al., 2022; Kotb et al., 2014; Li et al., 2016; Nitusca et al., 2022b, 2022a; Osipov et al., 2016; Porzycki et al., 2018; Ye et al., 2020)</w:t>
      </w:r>
      <w:r w:rsidR="00C12CF0" w:rsidRPr="00B06723">
        <w:rPr>
          <w:rFonts w:ascii="Arial" w:hAnsi="Arial" w:cs="Arial"/>
        </w:rPr>
        <w:fldChar w:fldCharType="end"/>
      </w:r>
      <w:r w:rsidRPr="00B06723">
        <w:rPr>
          <w:rFonts w:ascii="Arial" w:hAnsi="Arial" w:cs="Arial"/>
          <w:lang w:val="fr-FR"/>
        </w:rPr>
        <w:t xml:space="preserve">. </w:t>
      </w:r>
      <w:r w:rsidRPr="00B06723">
        <w:rPr>
          <w:rFonts w:ascii="Arial" w:hAnsi="Arial" w:cs="Arial"/>
        </w:rPr>
        <w:t xml:space="preserve">Their variable expression patterns across different sample types and </w:t>
      </w:r>
      <w:r w:rsidRPr="00B06723">
        <w:rPr>
          <w:rFonts w:ascii="Arial" w:hAnsi="Arial" w:cs="Arial"/>
        </w:rPr>
        <w:lastRenderedPageBreak/>
        <w:t>populations underscore the need for a critical synthesis of the scientific literature.</w:t>
      </w:r>
      <w:r w:rsidR="009001FB" w:rsidRPr="00B06723">
        <w:t xml:space="preserve"> </w:t>
      </w:r>
      <w:r w:rsidR="009001FB" w:rsidRPr="00B06723">
        <w:rPr>
          <w:rFonts w:ascii="Arial" w:hAnsi="Arial" w:cs="Arial"/>
        </w:rPr>
        <w:t xml:space="preserve">MicroRNAs miR-21, miR-141, and miR-375 have been described as oncogenes that are upregulated in various cancers, including prostate cancer </w:t>
      </w:r>
      <w:r w:rsidR="009001FB" w:rsidRPr="00B06723">
        <w:rPr>
          <w:rFonts w:ascii="Arial" w:hAnsi="Arial" w:cs="Arial"/>
        </w:rPr>
        <w:fldChar w:fldCharType="begin"/>
      </w:r>
      <w:r w:rsidR="00647EC3" w:rsidRPr="00B06723">
        <w:rPr>
          <w:rFonts w:ascii="Arial" w:hAnsi="Arial" w:cs="Arial"/>
        </w:rPr>
        <w:instrText xml:space="preserve"> ADDIN ZOTERO_ITEM CSL_CITATION {"citationID":"a2c3dm7rbqt","properties":{"formattedCitation":"(Li et al., 2025)","plainCitation":"(Li et al., 2025)","noteIndex":0},"citationItems":[{"id":8217,"uris":["http://zotero.org/users/3583561/items/NRPDFDYM"],"itemData":{"id":8217,"type":"article-journal","abstract":"In this review, the role of microRNA</w:instrText>
      </w:r>
      <w:r w:rsidR="00647EC3" w:rsidRPr="00B06723">
        <w:rPr>
          <w:rFonts w:ascii="Cambria Math" w:hAnsi="Cambria Math" w:cs="Cambria Math"/>
        </w:rPr>
        <w:instrText>‑</w:instrText>
      </w:r>
      <w:r w:rsidR="00647EC3" w:rsidRPr="00B06723">
        <w:rPr>
          <w:rFonts w:ascii="Arial" w:hAnsi="Arial" w:cs="Arial"/>
        </w:rPr>
        <w:instrText>21 (miRNA</w:instrText>
      </w:r>
      <w:r w:rsidR="00647EC3" w:rsidRPr="00B06723">
        <w:rPr>
          <w:rFonts w:ascii="Cambria Math" w:hAnsi="Cambria Math" w:cs="Cambria Math"/>
        </w:rPr>
        <w:instrText>‑</w:instrText>
      </w:r>
      <w:r w:rsidR="00647EC3" w:rsidRPr="00B06723">
        <w:rPr>
          <w:rFonts w:ascii="Arial" w:hAnsi="Arial" w:cs="Arial"/>
        </w:rPr>
        <w:instrText>21) as an oncogene in lung cancer was investigated. Studies have shown that miRNA</w:instrText>
      </w:r>
      <w:r w:rsidR="00647EC3" w:rsidRPr="00B06723">
        <w:rPr>
          <w:rFonts w:ascii="Cambria Math" w:hAnsi="Cambria Math" w:cs="Cambria Math"/>
        </w:rPr>
        <w:instrText>‑</w:instrText>
      </w:r>
      <w:r w:rsidR="00647EC3" w:rsidRPr="00B06723">
        <w:rPr>
          <w:rFonts w:ascii="Arial" w:hAnsi="Arial" w:cs="Arial"/>
        </w:rPr>
        <w:instrText>21 can promote the progression of lung cancer by targeting downstream target genes, and its expression can be modulated by transcription factors, DNA methylation or competitive endogenous RNA as an upstream regulator. This review highlights that miRNA</w:instrText>
      </w:r>
      <w:r w:rsidR="00647EC3" w:rsidRPr="00B06723">
        <w:rPr>
          <w:rFonts w:ascii="Cambria Math" w:hAnsi="Cambria Math" w:cs="Cambria Math"/>
        </w:rPr>
        <w:instrText>‑</w:instrText>
      </w:r>
      <w:r w:rsidR="00647EC3" w:rsidRPr="00B06723">
        <w:rPr>
          <w:rFonts w:ascii="Arial" w:hAnsi="Arial" w:cs="Arial"/>
        </w:rPr>
        <w:instrText>21 can promote the progression of lung cancer through multiple signaling pathways, with a focus on the PI3K/AKT, MEK/ERK, TGF</w:instrText>
      </w:r>
      <w:r w:rsidR="00647EC3" w:rsidRPr="00B06723">
        <w:rPr>
          <w:rFonts w:ascii="Cambria Math" w:hAnsi="Cambria Math" w:cs="Cambria Math"/>
        </w:rPr>
        <w:instrText>‑</w:instrText>
      </w:r>
      <w:r w:rsidR="00647EC3" w:rsidRPr="00B06723">
        <w:rPr>
          <w:rFonts w:ascii="Arial" w:hAnsi="Arial" w:cs="Arial"/>
        </w:rPr>
        <w:instrText>&amp;beta;/SMAD, Hippo, NF</w:instrText>
      </w:r>
      <w:r w:rsidR="00647EC3" w:rsidRPr="00B06723">
        <w:rPr>
          <w:rFonts w:ascii="Cambria Math" w:hAnsi="Cambria Math" w:cs="Cambria Math"/>
        </w:rPr>
        <w:instrText>‑</w:instrText>
      </w:r>
      <w:r w:rsidR="00647EC3" w:rsidRPr="00B06723">
        <w:rPr>
          <w:rFonts w:ascii="Arial" w:hAnsi="Arial" w:cs="Arial"/>
        </w:rPr>
        <w:instrText>&amp;kappa;B and STAT3 signaling pathways. Mechanistically, miRNA</w:instrText>
      </w:r>
      <w:r w:rsidR="00647EC3" w:rsidRPr="00B06723">
        <w:rPr>
          <w:rFonts w:ascii="Cambria Math" w:hAnsi="Cambria Math" w:cs="Cambria Math"/>
        </w:rPr>
        <w:instrText>‑</w:instrText>
      </w:r>
      <w:r w:rsidR="00647EC3" w:rsidRPr="00B06723">
        <w:rPr>
          <w:rFonts w:ascii="Arial" w:hAnsi="Arial" w:cs="Arial"/>
        </w:rPr>
        <w:instrText>21 plays an important role in the progression of lung cancer by regulating multiple biological processes, such as proliferation, invasion, metastasis, apoptosis and angiogenesis in lung cancer cells. Higher expression of miRNA</w:instrText>
      </w:r>
      <w:r w:rsidR="00647EC3" w:rsidRPr="00B06723">
        <w:rPr>
          <w:rFonts w:ascii="Cambria Math" w:hAnsi="Cambria Math" w:cs="Cambria Math"/>
        </w:rPr>
        <w:instrText>‑</w:instrText>
      </w:r>
      <w:r w:rsidR="00647EC3" w:rsidRPr="00B06723">
        <w:rPr>
          <w:rFonts w:ascii="Arial" w:hAnsi="Arial" w:cs="Arial"/>
        </w:rPr>
        <w:instrText>21 is associated with chemotherapy, radiotherapy and immune resistance in lung cancer. Targeting these molecular pathways may be a novel therapeutic strategy for treating lung cancer. Additionally, miRNA</w:instrText>
      </w:r>
      <w:r w:rsidR="00647EC3" w:rsidRPr="00B06723">
        <w:rPr>
          <w:rFonts w:ascii="Cambria Math" w:hAnsi="Cambria Math" w:cs="Cambria Math"/>
        </w:rPr>
        <w:instrText>‑</w:instrText>
      </w:r>
      <w:r w:rsidR="00647EC3" w:rsidRPr="00B06723">
        <w:rPr>
          <w:rFonts w:ascii="Arial" w:hAnsi="Arial" w:cs="Arial"/>
        </w:rPr>
        <w:instrText>21 can serve as a biomarker for lung cancer diagnosis, prognosis and treatment response. This review also summarized the following: i) Current methods employed to inhibit the expression of miRNA</w:instrText>
      </w:r>
      <w:r w:rsidR="00647EC3" w:rsidRPr="00B06723">
        <w:rPr>
          <w:rFonts w:ascii="Cambria Math" w:hAnsi="Cambria Math" w:cs="Cambria Math"/>
        </w:rPr>
        <w:instrText>‑</w:instrText>
      </w:r>
      <w:r w:rsidR="00647EC3" w:rsidRPr="00B06723">
        <w:rPr>
          <w:rFonts w:ascii="Arial" w:hAnsi="Arial" w:cs="Arial"/>
        </w:rPr>
        <w:instrText>21 in lung cancer, including CRISPR/Cas9 technology; ii) the application of natural anticancer agents, oligonucleotides, small molecules and miRNA sponges; and iii) the nano</w:instrText>
      </w:r>
      <w:r w:rsidR="00647EC3" w:rsidRPr="00B06723">
        <w:rPr>
          <w:rFonts w:ascii="Cambria Math" w:hAnsi="Cambria Math" w:cs="Cambria Math"/>
        </w:rPr>
        <w:instrText>‑</w:instrText>
      </w:r>
      <w:r w:rsidR="00647EC3" w:rsidRPr="00B06723">
        <w:rPr>
          <w:rFonts w:ascii="Arial" w:hAnsi="Arial" w:cs="Arial"/>
        </w:rPr>
        <w:instrText>delivery systems developed for miRNA</w:instrText>
      </w:r>
      <w:r w:rsidR="00647EC3" w:rsidRPr="00B06723">
        <w:rPr>
          <w:rFonts w:ascii="Cambria Math" w:hAnsi="Cambria Math" w:cs="Cambria Math"/>
        </w:rPr>
        <w:instrText>‑</w:instrText>
      </w:r>
      <w:r w:rsidR="00647EC3" w:rsidRPr="00B06723">
        <w:rPr>
          <w:rFonts w:ascii="Arial" w:hAnsi="Arial" w:cs="Arial"/>
        </w:rPr>
        <w:instrText>21 inhibitors. Finally, the advancements in research on miRNA mimics and inhibitors in clinical trials, which may promote the application of miRNA</w:instrText>
      </w:r>
      <w:r w:rsidR="00647EC3" w:rsidRPr="00B06723">
        <w:rPr>
          <w:rFonts w:ascii="Cambria Math" w:hAnsi="Cambria Math" w:cs="Cambria Math"/>
        </w:rPr>
        <w:instrText>‑</w:instrText>
      </w:r>
      <w:r w:rsidR="00647EC3" w:rsidRPr="00B06723">
        <w:rPr>
          <w:rFonts w:ascii="Arial" w:hAnsi="Arial" w:cs="Arial"/>
        </w:rPr>
        <w:instrText>21 in clinical trials in lung cancer, were discussed. Given that lung cancer is a considerable public health challenge, these studies provide new ways of treating patients with lung cancer.","container-title":"International Journal of Oncology","DOI":"10.3892/ijo.2025.5773","ISSN":"1019-6439","issue":"2","note":"publisher: Spandidos Publications","page":"1-16","source":"www.spandidos-publications.com","title":"MicroRNA</w:instrText>
      </w:r>
      <w:r w:rsidR="00647EC3" w:rsidRPr="00B06723">
        <w:rPr>
          <w:rFonts w:ascii="Cambria Math" w:hAnsi="Cambria Math" w:cs="Cambria Math"/>
        </w:rPr>
        <w:instrText>‑</w:instrText>
      </w:r>
      <w:r w:rsidR="00647EC3" w:rsidRPr="00B06723">
        <w:rPr>
          <w:rFonts w:ascii="Arial" w:hAnsi="Arial" w:cs="Arial"/>
        </w:rPr>
        <w:instrText>21: A potential therapeutic target in lung cancer (Review)","title-short":"MicroRNA</w:instrText>
      </w:r>
      <w:r w:rsidR="00647EC3" w:rsidRPr="00B06723">
        <w:rPr>
          <w:rFonts w:ascii="Cambria Math" w:hAnsi="Cambria Math" w:cs="Cambria Math"/>
        </w:rPr>
        <w:instrText>‑</w:instrText>
      </w:r>
      <w:r w:rsidR="00647EC3" w:rsidRPr="00B06723">
        <w:rPr>
          <w:rFonts w:ascii="Arial" w:hAnsi="Arial" w:cs="Arial"/>
        </w:rPr>
        <w:instrText xml:space="preserve">21","URL":"https://www.spandidos-publications.com/10.3892/ijo.2025.5773","volume":"67","author":[{"family":"Li","given":"Zhouqiang"},{"family":"Zhang","given":"Hualing"},{"family":"Chen","given":"Zeshan"},{"family":"Wu","given":"Guanzhu"},{"family":"Guo","given":"Weixing"},{"family":"Li","given":"Yun"}],"accessed":{"date-parts":[["2025",8,30]]},"issued":{"date-parts":[["2025",8,1]]}}}],"schema":"https://github.com/citation-style-language/schema/raw/master/csl-citation.json"} </w:instrText>
      </w:r>
      <w:r w:rsidR="009001FB" w:rsidRPr="00B06723">
        <w:rPr>
          <w:rFonts w:ascii="Arial" w:hAnsi="Arial" w:cs="Arial"/>
        </w:rPr>
        <w:fldChar w:fldCharType="separate"/>
      </w:r>
      <w:r w:rsidR="00647EC3" w:rsidRPr="00B06723">
        <w:rPr>
          <w:rFonts w:ascii="Arial" w:hAnsi="Arial" w:cs="Arial"/>
        </w:rPr>
        <w:t>(Li et al., 2025)</w:t>
      </w:r>
      <w:r w:rsidR="009001FB" w:rsidRPr="00B06723">
        <w:rPr>
          <w:rFonts w:ascii="Arial" w:hAnsi="Arial" w:cs="Arial"/>
        </w:rPr>
        <w:fldChar w:fldCharType="end"/>
      </w:r>
      <w:r w:rsidR="009001FB" w:rsidRPr="00B06723">
        <w:rPr>
          <w:rFonts w:ascii="Arial" w:hAnsi="Arial" w:cs="Arial"/>
        </w:rPr>
        <w:t>.</w:t>
      </w:r>
    </w:p>
    <w:p w14:paraId="45A6F311" w14:textId="32D4D231" w:rsidR="00790ADA" w:rsidRPr="00B06723" w:rsidRDefault="008F5B7F" w:rsidP="00441B6F">
      <w:pPr>
        <w:pStyle w:val="Body"/>
        <w:spacing w:after="0"/>
        <w:rPr>
          <w:rFonts w:ascii="Arial" w:hAnsi="Arial" w:cs="Arial"/>
        </w:rPr>
      </w:pPr>
      <w:r w:rsidRPr="00B06723">
        <w:rPr>
          <w:rFonts w:ascii="Arial" w:hAnsi="Arial" w:cs="Arial"/>
        </w:rPr>
        <w:t>In this context, the present study conducts a systematic review and meta-analysis of available data on miR-21, miR-141, and miR-375 to evaluate their diagnostic performance in prostate cancer both individually and in combination across different biological fluids. The objective was to assess the added value of these miRNAs as non-invasive biomarkers compared to conventional diagnostic approaches, particularly PSA testing and biopsy.</w:t>
      </w:r>
    </w:p>
    <w:p w14:paraId="503C8C13" w14:textId="77777777" w:rsidR="00C12CF0" w:rsidRPr="00B06723" w:rsidRDefault="00C12CF0" w:rsidP="00441B6F">
      <w:pPr>
        <w:pStyle w:val="Body"/>
        <w:spacing w:after="0"/>
        <w:rPr>
          <w:rFonts w:ascii="Arial" w:hAnsi="Arial" w:cs="Arial"/>
        </w:rPr>
      </w:pPr>
    </w:p>
    <w:p w14:paraId="30C79ABC" w14:textId="3E3231FB" w:rsidR="007F7B32" w:rsidRPr="00B06723" w:rsidRDefault="00902823" w:rsidP="00441B6F">
      <w:pPr>
        <w:pStyle w:val="AbstHead"/>
        <w:spacing w:after="0"/>
        <w:jc w:val="both"/>
        <w:rPr>
          <w:rFonts w:ascii="Arial" w:hAnsi="Arial" w:cs="Arial"/>
        </w:rPr>
      </w:pPr>
      <w:r w:rsidRPr="00B06723">
        <w:rPr>
          <w:rFonts w:ascii="Arial" w:hAnsi="Arial" w:cs="Arial"/>
        </w:rPr>
        <w:t xml:space="preserve">2. </w:t>
      </w:r>
      <w:r w:rsidR="00BF1214" w:rsidRPr="00B06723">
        <w:rPr>
          <w:rFonts w:ascii="Arial" w:hAnsi="Arial" w:cs="Arial"/>
        </w:rPr>
        <w:t>Methodology</w:t>
      </w:r>
    </w:p>
    <w:p w14:paraId="7487E3AD" w14:textId="77777777" w:rsidR="00790ADA" w:rsidRPr="00B06723" w:rsidRDefault="00790ADA" w:rsidP="00441B6F">
      <w:pPr>
        <w:pStyle w:val="AbstHead"/>
        <w:spacing w:after="0"/>
        <w:jc w:val="both"/>
        <w:rPr>
          <w:rFonts w:ascii="Arial" w:hAnsi="Arial" w:cs="Arial"/>
        </w:rPr>
      </w:pPr>
    </w:p>
    <w:p w14:paraId="1840D904" w14:textId="7690EB36" w:rsidR="00B8131E" w:rsidRPr="00B06723" w:rsidRDefault="00B8131E" w:rsidP="00B8131E">
      <w:pPr>
        <w:pStyle w:val="Body"/>
        <w:rPr>
          <w:rFonts w:ascii="Arial" w:hAnsi="Arial" w:cs="Arial"/>
        </w:rPr>
      </w:pPr>
      <w:r w:rsidRPr="00B06723">
        <w:rPr>
          <w:rFonts w:ascii="Arial" w:hAnsi="Arial" w:cs="Arial"/>
        </w:rPr>
        <w:t xml:space="preserve">This meta-analysis was conducted in accordance with the PRISMA (Preferred Reporting Items for Systematic Reviews and Meta-Analyses) guidelines </w:t>
      </w:r>
      <w:r w:rsidR="00C12CF0" w:rsidRPr="00B06723">
        <w:rPr>
          <w:rFonts w:ascii="Arial" w:hAnsi="Arial" w:cs="Arial"/>
        </w:rPr>
        <w:fldChar w:fldCharType="begin"/>
      </w:r>
      <w:r w:rsidR="00F669DC" w:rsidRPr="00B06723">
        <w:rPr>
          <w:rFonts w:ascii="Arial" w:hAnsi="Arial" w:cs="Arial"/>
        </w:rPr>
        <w:instrText xml:space="preserve"> ADDIN ZOTERO_ITEM CSL_CITATION {"citationID":"ajk95aiug9","properties":{"formattedCitation":"(Page et al., 2021)","plainCitation":"(Page et al., 2021)","noteIndex":0},"citationItems":[{"id":8077,"uris":["http://zotero.org/users/3583561/items/QHT58UY3"],"itemData":{"id":8077,"type":"article-journal","abstract":"Matthew Page and co-authors describe PRISMA 2020, an updated reporting guideline for systematic reviews and meta-analyses.","container-title":"PLOS Medicine","DOI":"10.1371/journal.pmed.1003583","ISSN":"1549-1676","issue":"3","journalAbbreviation":"PLOS Medicine","language":"en","note":"publisher: Public Library of Science","page":"e1003583","source":"PLoS Journals","title":"The PRISMA 2020 statement: An updated guideline for reporting systematic reviews","title-short":"The PRISMA 2020 statement","URL":"https://journals.plos.org/plosmedicine/article?id=10.1371/journal.pmed.1003583","volume":"18","author":[{"family":"Page","given":"Matthew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A."},{"family":"Whiting","given":"Penny"},{"family":"Moher","given":"David"}],"accessed":{"date-parts":[["2025",6,14]]},"issued":{"date-parts":[["2021",3,29]]}}}],"schema":"https://github.com/citation-style-language/schema/raw/master/csl-citation.json"} </w:instrText>
      </w:r>
      <w:r w:rsidR="00C12CF0" w:rsidRPr="00B06723">
        <w:rPr>
          <w:rFonts w:ascii="Arial" w:hAnsi="Arial" w:cs="Arial"/>
        </w:rPr>
        <w:fldChar w:fldCharType="separate"/>
      </w:r>
      <w:r w:rsidR="00F669DC" w:rsidRPr="00B06723">
        <w:rPr>
          <w:rFonts w:ascii="Arial" w:hAnsi="Arial" w:cs="Arial"/>
        </w:rPr>
        <w:t>(Page et al., 2021)</w:t>
      </w:r>
      <w:r w:rsidR="00C12CF0" w:rsidRPr="00B06723">
        <w:rPr>
          <w:rFonts w:ascii="Arial" w:hAnsi="Arial" w:cs="Arial"/>
        </w:rPr>
        <w:fldChar w:fldCharType="end"/>
      </w:r>
      <w:r w:rsidRPr="00B06723">
        <w:rPr>
          <w:rFonts w:ascii="Arial" w:hAnsi="Arial" w:cs="Arial"/>
        </w:rPr>
        <w:t>.</w:t>
      </w:r>
    </w:p>
    <w:p w14:paraId="68A71565" w14:textId="0AD2345E" w:rsidR="00BF1214" w:rsidRPr="00B06723" w:rsidRDefault="00B8131E" w:rsidP="00B8131E">
      <w:pPr>
        <w:pStyle w:val="Body"/>
        <w:spacing w:after="0"/>
        <w:rPr>
          <w:rFonts w:ascii="Arial" w:hAnsi="Arial" w:cs="Arial"/>
        </w:rPr>
      </w:pPr>
      <w:r w:rsidRPr="00B06723">
        <w:rPr>
          <w:rFonts w:ascii="Arial" w:hAnsi="Arial" w:cs="Arial"/>
        </w:rPr>
        <w:t>To avoid duplication, we first verified the existence of similar systematic reviews and meta-analyses by searching the Cochrane Library and the PROSPERO registry. As our protocol was not prospectively registered in PROSPERO, this step also ensured transparency in the research process.</w:t>
      </w:r>
    </w:p>
    <w:p w14:paraId="4FF5F6AD" w14:textId="77777777" w:rsidR="00B8131E" w:rsidRPr="00B06723" w:rsidRDefault="00B8131E" w:rsidP="00B8131E">
      <w:pPr>
        <w:pStyle w:val="Body"/>
        <w:spacing w:after="0"/>
        <w:rPr>
          <w:rFonts w:ascii="Arial" w:hAnsi="Arial" w:cs="Arial"/>
        </w:rPr>
      </w:pPr>
    </w:p>
    <w:p w14:paraId="7347AE8D" w14:textId="0C407C39" w:rsidR="00BF1214" w:rsidRPr="00B06723" w:rsidRDefault="00AA74E0" w:rsidP="00BF1214">
      <w:pPr>
        <w:pStyle w:val="Body"/>
        <w:rPr>
          <w:rFonts w:ascii="Arial" w:hAnsi="Arial" w:cs="Arial"/>
          <w:b/>
          <w:sz w:val="22"/>
        </w:rPr>
      </w:pPr>
      <w:r w:rsidRPr="00B06723">
        <w:rPr>
          <w:rFonts w:ascii="Arial" w:hAnsi="Arial" w:cs="Arial"/>
          <w:b/>
          <w:caps/>
          <w:sz w:val="22"/>
        </w:rPr>
        <w:t xml:space="preserve">2.1 </w:t>
      </w:r>
      <w:r w:rsidR="00BF1214" w:rsidRPr="00B06723">
        <w:rPr>
          <w:rFonts w:ascii="Arial" w:hAnsi="Arial" w:cs="Arial"/>
          <w:b/>
          <w:sz w:val="22"/>
        </w:rPr>
        <w:t>Search Strategy</w:t>
      </w:r>
    </w:p>
    <w:p w14:paraId="75B3A2AB" w14:textId="2000545B" w:rsidR="00505F06" w:rsidRPr="00B06723" w:rsidRDefault="00BF1214" w:rsidP="00BF1214">
      <w:pPr>
        <w:pStyle w:val="Body"/>
        <w:spacing w:after="0"/>
        <w:rPr>
          <w:rFonts w:ascii="Arial" w:hAnsi="Arial" w:cs="Arial"/>
          <w:bCs/>
        </w:rPr>
      </w:pPr>
      <w:r w:rsidRPr="00B06723">
        <w:rPr>
          <w:rFonts w:ascii="Arial" w:hAnsi="Arial" w:cs="Arial"/>
          <w:bCs/>
        </w:rPr>
        <w:t>A systematic literature search was conducted in PubMed, ScienceDirect, Embase, and Scopus for articles published between January 1, 2008, and April 30, 2025. The search strategy combined Medical Subject Headings (</w:t>
      </w:r>
      <w:proofErr w:type="spellStart"/>
      <w:r w:rsidRPr="00B06723">
        <w:rPr>
          <w:rFonts w:ascii="Arial" w:hAnsi="Arial" w:cs="Arial"/>
          <w:bCs/>
        </w:rPr>
        <w:t>MeSH</w:t>
      </w:r>
      <w:proofErr w:type="spellEnd"/>
      <w:r w:rsidRPr="00B06723">
        <w:rPr>
          <w:rFonts w:ascii="Arial" w:hAnsi="Arial" w:cs="Arial"/>
          <w:bCs/>
        </w:rPr>
        <w:t>) terms and keywords: "microRNA" OR "miRNA" OR "</w:t>
      </w:r>
      <w:proofErr w:type="spellStart"/>
      <w:r w:rsidRPr="00B06723">
        <w:rPr>
          <w:rFonts w:ascii="Arial" w:hAnsi="Arial" w:cs="Arial"/>
          <w:bCs/>
        </w:rPr>
        <w:t>miR</w:t>
      </w:r>
      <w:proofErr w:type="spellEnd"/>
      <w:r w:rsidRPr="00B06723">
        <w:rPr>
          <w:rFonts w:ascii="Arial" w:hAnsi="Arial" w:cs="Arial"/>
          <w:bCs/>
        </w:rPr>
        <w:t>" OR "</w:t>
      </w:r>
      <w:proofErr w:type="spellStart"/>
      <w:r w:rsidRPr="00B06723">
        <w:rPr>
          <w:rFonts w:ascii="Arial" w:hAnsi="Arial" w:cs="Arial"/>
          <w:bCs/>
        </w:rPr>
        <w:t>hsa-miR</w:t>
      </w:r>
      <w:proofErr w:type="spellEnd"/>
      <w:r w:rsidRPr="00B06723">
        <w:rPr>
          <w:rFonts w:ascii="Arial" w:hAnsi="Arial" w:cs="Arial"/>
          <w:bCs/>
        </w:rPr>
        <w:t>"; "circulating" OR "plasma" OR "exosomes" OR "serum" OR "urine"; Disease terms: "prostate cancer" OR "prostate carcinoma"; Diagnostic parameters: "diagnosis" OR "sensitivity" OR "specificity".</w:t>
      </w:r>
    </w:p>
    <w:p w14:paraId="4E358BC4" w14:textId="77777777" w:rsidR="00D26E02" w:rsidRPr="00B06723" w:rsidRDefault="00D26E02" w:rsidP="00BF1214">
      <w:pPr>
        <w:pStyle w:val="Body"/>
        <w:spacing w:after="0"/>
        <w:rPr>
          <w:rFonts w:ascii="Arial" w:hAnsi="Arial" w:cs="Arial"/>
          <w:bCs/>
        </w:rPr>
      </w:pPr>
    </w:p>
    <w:p w14:paraId="73C2D4C6" w14:textId="2A8924B8" w:rsidR="00D26E02" w:rsidRPr="00B06723" w:rsidRDefault="00D26E02" w:rsidP="00D26E02">
      <w:pPr>
        <w:pStyle w:val="Body"/>
        <w:rPr>
          <w:rFonts w:ascii="Arial" w:hAnsi="Arial" w:cs="Arial"/>
          <w:b/>
          <w:sz w:val="22"/>
        </w:rPr>
      </w:pPr>
      <w:r w:rsidRPr="00B06723">
        <w:rPr>
          <w:rFonts w:ascii="Arial" w:hAnsi="Arial" w:cs="Arial"/>
          <w:b/>
          <w:sz w:val="22"/>
        </w:rPr>
        <w:t>2.2.</w:t>
      </w:r>
      <w:r w:rsidRPr="00B06723">
        <w:rPr>
          <w:rFonts w:ascii="Arial" w:hAnsi="Arial" w:cs="Arial"/>
          <w:b/>
          <w:sz w:val="22"/>
        </w:rPr>
        <w:tab/>
        <w:t>Eligibility criteria</w:t>
      </w:r>
    </w:p>
    <w:p w14:paraId="00E40A91" w14:textId="77777777" w:rsidR="00D26E02" w:rsidRPr="00B06723" w:rsidRDefault="00D26E02" w:rsidP="00312231">
      <w:pPr>
        <w:pStyle w:val="Body"/>
        <w:spacing w:after="0"/>
        <w:rPr>
          <w:rFonts w:ascii="Arial" w:hAnsi="Arial" w:cs="Arial"/>
          <w:bCs/>
        </w:rPr>
      </w:pPr>
      <w:r w:rsidRPr="00B06723">
        <w:rPr>
          <w:rFonts w:ascii="Arial" w:hAnsi="Arial" w:cs="Arial"/>
          <w:bCs/>
        </w:rPr>
        <w:t>This meta-analysis included studies involving patients with prostate cancer (</w:t>
      </w:r>
      <w:proofErr w:type="spellStart"/>
      <w:r w:rsidRPr="00B06723">
        <w:rPr>
          <w:rFonts w:ascii="Arial" w:hAnsi="Arial" w:cs="Arial"/>
          <w:bCs/>
        </w:rPr>
        <w:t>PCa</w:t>
      </w:r>
      <w:proofErr w:type="spellEnd"/>
      <w:r w:rsidRPr="00B06723">
        <w:rPr>
          <w:rFonts w:ascii="Arial" w:hAnsi="Arial" w:cs="Arial"/>
          <w:bCs/>
        </w:rPr>
        <w:t>) that met the following criteria:</w:t>
      </w:r>
    </w:p>
    <w:p w14:paraId="1AC18547" w14:textId="77777777" w:rsidR="00D26E02" w:rsidRPr="00B06723" w:rsidRDefault="00D26E02" w:rsidP="008667F4">
      <w:pPr>
        <w:pStyle w:val="Body"/>
        <w:numPr>
          <w:ilvl w:val="0"/>
          <w:numId w:val="2"/>
        </w:numPr>
        <w:spacing w:after="0"/>
        <w:rPr>
          <w:rFonts w:ascii="Arial" w:hAnsi="Arial" w:cs="Arial"/>
          <w:bCs/>
        </w:rPr>
      </w:pPr>
      <w:r w:rsidRPr="00B06723">
        <w:rPr>
          <w:rFonts w:ascii="Arial" w:hAnsi="Arial" w:cs="Arial"/>
          <w:bCs/>
        </w:rPr>
        <w:t>Population: Studies involving patients diagnosed with prostate cancer (</w:t>
      </w:r>
      <w:proofErr w:type="spellStart"/>
      <w:r w:rsidRPr="00B06723">
        <w:rPr>
          <w:rFonts w:ascii="Arial" w:hAnsi="Arial" w:cs="Arial"/>
          <w:bCs/>
        </w:rPr>
        <w:t>PCa</w:t>
      </w:r>
      <w:proofErr w:type="spellEnd"/>
      <w:r w:rsidRPr="00B06723">
        <w:rPr>
          <w:rFonts w:ascii="Arial" w:hAnsi="Arial" w:cs="Arial"/>
          <w:bCs/>
        </w:rPr>
        <w:t>), with diagnosis confirmed by prostate biopsy (reference standard).</w:t>
      </w:r>
    </w:p>
    <w:p w14:paraId="4240B572" w14:textId="77777777" w:rsidR="00D26E02" w:rsidRPr="00B06723" w:rsidRDefault="00D26E02" w:rsidP="008667F4">
      <w:pPr>
        <w:pStyle w:val="Body"/>
        <w:numPr>
          <w:ilvl w:val="0"/>
          <w:numId w:val="2"/>
        </w:numPr>
        <w:spacing w:after="0"/>
        <w:rPr>
          <w:rFonts w:ascii="Arial" w:hAnsi="Arial" w:cs="Arial"/>
          <w:bCs/>
        </w:rPr>
      </w:pPr>
      <w:r w:rsidRPr="00B06723">
        <w:rPr>
          <w:rFonts w:ascii="Arial" w:hAnsi="Arial" w:cs="Arial"/>
          <w:bCs/>
        </w:rPr>
        <w:t>Index test: Evaluation of circulating microRNAs miR-21, miR-141, and miR-375 using quantitative real-time PCR (</w:t>
      </w:r>
      <w:proofErr w:type="spellStart"/>
      <w:r w:rsidRPr="00B06723">
        <w:rPr>
          <w:rFonts w:ascii="Arial" w:hAnsi="Arial" w:cs="Arial"/>
          <w:bCs/>
        </w:rPr>
        <w:t>qRT</w:t>
      </w:r>
      <w:proofErr w:type="spellEnd"/>
      <w:r w:rsidRPr="00B06723">
        <w:rPr>
          <w:rFonts w:ascii="Arial" w:hAnsi="Arial" w:cs="Arial"/>
          <w:bCs/>
        </w:rPr>
        <w:t>-PCR) from biological fluids (serum, plasma, urine), exosomes, or whole blood cells.</w:t>
      </w:r>
    </w:p>
    <w:p w14:paraId="3170CB39" w14:textId="77777777" w:rsidR="00D26E02" w:rsidRPr="00B06723" w:rsidRDefault="00D26E02" w:rsidP="008667F4">
      <w:pPr>
        <w:pStyle w:val="Body"/>
        <w:numPr>
          <w:ilvl w:val="0"/>
          <w:numId w:val="2"/>
        </w:numPr>
        <w:spacing w:after="0"/>
        <w:rPr>
          <w:rFonts w:ascii="Arial" w:hAnsi="Arial" w:cs="Arial"/>
          <w:bCs/>
        </w:rPr>
      </w:pPr>
      <w:r w:rsidRPr="00B06723">
        <w:rPr>
          <w:rFonts w:ascii="Arial" w:hAnsi="Arial" w:cs="Arial"/>
          <w:bCs/>
        </w:rPr>
        <w:t>Comparator: Studies including control groups composed of healthy individuals or patients with benign prostatic hyperplasia (BPH) (case–control design).</w:t>
      </w:r>
    </w:p>
    <w:p w14:paraId="49DE7D0C" w14:textId="77777777" w:rsidR="00D26E02" w:rsidRPr="00B06723" w:rsidRDefault="00D26E02" w:rsidP="008667F4">
      <w:pPr>
        <w:pStyle w:val="Body"/>
        <w:numPr>
          <w:ilvl w:val="0"/>
          <w:numId w:val="2"/>
        </w:numPr>
        <w:spacing w:after="0"/>
        <w:rPr>
          <w:rFonts w:ascii="Arial" w:hAnsi="Arial" w:cs="Arial"/>
          <w:bCs/>
        </w:rPr>
      </w:pPr>
      <w:r w:rsidRPr="00B06723">
        <w:rPr>
          <w:rFonts w:ascii="Arial" w:hAnsi="Arial" w:cs="Arial"/>
          <w:bCs/>
        </w:rPr>
        <w:t xml:space="preserve">Reference standard: Histopathological confirmation of </w:t>
      </w:r>
      <w:proofErr w:type="spellStart"/>
      <w:r w:rsidRPr="00B06723">
        <w:rPr>
          <w:rFonts w:ascii="Arial" w:hAnsi="Arial" w:cs="Arial"/>
          <w:bCs/>
        </w:rPr>
        <w:t>PCa</w:t>
      </w:r>
      <w:proofErr w:type="spellEnd"/>
      <w:r w:rsidRPr="00B06723">
        <w:rPr>
          <w:rFonts w:ascii="Arial" w:hAnsi="Arial" w:cs="Arial"/>
          <w:bCs/>
        </w:rPr>
        <w:t xml:space="preserve"> based on prostate biopsy, consistent with international urology guidelines (AFU, EAU, AUA, NCCN).</w:t>
      </w:r>
    </w:p>
    <w:p w14:paraId="55EA8CD8" w14:textId="5D20CA49" w:rsidR="00D26E02" w:rsidRPr="00B06723" w:rsidRDefault="00D26E02" w:rsidP="008667F4">
      <w:pPr>
        <w:pStyle w:val="Body"/>
        <w:numPr>
          <w:ilvl w:val="0"/>
          <w:numId w:val="2"/>
        </w:numPr>
        <w:spacing w:after="0"/>
        <w:rPr>
          <w:rFonts w:ascii="Arial" w:hAnsi="Arial" w:cs="Arial"/>
          <w:bCs/>
        </w:rPr>
      </w:pPr>
      <w:r w:rsidRPr="00B06723">
        <w:rPr>
          <w:rFonts w:ascii="Arial" w:hAnsi="Arial" w:cs="Arial"/>
          <w:bCs/>
        </w:rPr>
        <w:t>Outcomes: Studies reporting sufficient data to construct 2×2 contingency tables (TP, FP, TN, FN) for diagnostic accuracy analysis with explicitly defined case criteria.</w:t>
      </w:r>
    </w:p>
    <w:p w14:paraId="2C30913D" w14:textId="4F67A324" w:rsidR="00D26E02" w:rsidRPr="00B06723" w:rsidRDefault="00D26E02" w:rsidP="008667F4">
      <w:pPr>
        <w:pStyle w:val="Body"/>
        <w:numPr>
          <w:ilvl w:val="0"/>
          <w:numId w:val="2"/>
        </w:numPr>
        <w:spacing w:after="0"/>
        <w:rPr>
          <w:rFonts w:ascii="Arial" w:hAnsi="Arial" w:cs="Arial"/>
          <w:bCs/>
        </w:rPr>
      </w:pPr>
      <w:r w:rsidRPr="00B06723">
        <w:rPr>
          <w:rFonts w:ascii="Arial" w:hAnsi="Arial" w:cs="Arial"/>
          <w:bCs/>
        </w:rPr>
        <w:t>Study types: Original, peer-reviewed articles published in English or French.</w:t>
      </w:r>
    </w:p>
    <w:p w14:paraId="41482816" w14:textId="77777777" w:rsidR="00D26E02" w:rsidRPr="00B06723" w:rsidRDefault="00D26E02" w:rsidP="00D26E02">
      <w:pPr>
        <w:pStyle w:val="Body"/>
        <w:spacing w:after="0"/>
        <w:rPr>
          <w:rFonts w:ascii="Arial" w:hAnsi="Arial" w:cs="Arial"/>
          <w:bCs/>
        </w:rPr>
      </w:pPr>
    </w:p>
    <w:p w14:paraId="71285F3C" w14:textId="3E3C3495" w:rsidR="00D26E02" w:rsidRPr="00B06723" w:rsidRDefault="00D26E02" w:rsidP="00BF1214">
      <w:pPr>
        <w:pStyle w:val="Body"/>
        <w:spacing w:after="0"/>
        <w:rPr>
          <w:rFonts w:ascii="Arial" w:hAnsi="Arial" w:cs="Arial"/>
          <w:b/>
          <w:sz w:val="22"/>
          <w:szCs w:val="22"/>
        </w:rPr>
      </w:pPr>
      <w:r w:rsidRPr="00B06723">
        <w:rPr>
          <w:rFonts w:ascii="Arial" w:hAnsi="Arial" w:cs="Arial"/>
          <w:b/>
          <w:sz w:val="22"/>
          <w:szCs w:val="22"/>
        </w:rPr>
        <w:t>2.3.</w:t>
      </w:r>
      <w:r w:rsidRPr="00B06723">
        <w:rPr>
          <w:rFonts w:ascii="Arial" w:hAnsi="Arial" w:cs="Arial"/>
          <w:b/>
          <w:sz w:val="22"/>
          <w:szCs w:val="22"/>
        </w:rPr>
        <w:tab/>
        <w:t xml:space="preserve">Exclusion Criteria </w:t>
      </w:r>
    </w:p>
    <w:p w14:paraId="67333531" w14:textId="77777777" w:rsidR="00D26E02" w:rsidRPr="00B06723" w:rsidRDefault="00D26E02" w:rsidP="00BF1214">
      <w:pPr>
        <w:pStyle w:val="Body"/>
        <w:spacing w:after="0"/>
        <w:rPr>
          <w:rFonts w:ascii="Arial" w:hAnsi="Arial" w:cs="Arial"/>
          <w:b/>
          <w:sz w:val="22"/>
          <w:szCs w:val="22"/>
        </w:rPr>
      </w:pPr>
    </w:p>
    <w:p w14:paraId="6E9FD708" w14:textId="77777777" w:rsidR="00D26E02" w:rsidRPr="00B06723" w:rsidRDefault="00D26E02" w:rsidP="00312231">
      <w:pPr>
        <w:pStyle w:val="Body"/>
        <w:spacing w:after="0"/>
        <w:rPr>
          <w:rFonts w:ascii="Arial" w:hAnsi="Arial" w:cs="Arial"/>
          <w:bCs/>
        </w:rPr>
      </w:pPr>
      <w:r w:rsidRPr="00B06723">
        <w:rPr>
          <w:rFonts w:ascii="Arial" w:hAnsi="Arial" w:cs="Arial"/>
          <w:bCs/>
        </w:rPr>
        <w:t>The following studies were excluded:</w:t>
      </w:r>
    </w:p>
    <w:p w14:paraId="4B38FB7F" w14:textId="77777777" w:rsidR="00D26E02" w:rsidRPr="00B06723" w:rsidRDefault="00D26E02" w:rsidP="008667F4">
      <w:pPr>
        <w:pStyle w:val="Body"/>
        <w:numPr>
          <w:ilvl w:val="0"/>
          <w:numId w:val="3"/>
        </w:numPr>
        <w:spacing w:after="0"/>
        <w:rPr>
          <w:rFonts w:ascii="Arial" w:hAnsi="Arial" w:cs="Arial"/>
          <w:bCs/>
        </w:rPr>
      </w:pPr>
      <w:r w:rsidRPr="00B06723">
        <w:rPr>
          <w:rFonts w:ascii="Arial" w:hAnsi="Arial" w:cs="Arial"/>
          <w:bCs/>
        </w:rPr>
        <w:t>Animal studies.</w:t>
      </w:r>
    </w:p>
    <w:p w14:paraId="1F5F0052" w14:textId="77777777" w:rsidR="00D26E02" w:rsidRPr="00B06723" w:rsidRDefault="00D26E02" w:rsidP="008667F4">
      <w:pPr>
        <w:pStyle w:val="Body"/>
        <w:numPr>
          <w:ilvl w:val="0"/>
          <w:numId w:val="3"/>
        </w:numPr>
        <w:spacing w:after="0"/>
        <w:rPr>
          <w:rFonts w:ascii="Arial" w:hAnsi="Arial" w:cs="Arial"/>
          <w:bCs/>
        </w:rPr>
      </w:pPr>
      <w:r w:rsidRPr="00B06723">
        <w:rPr>
          <w:rFonts w:ascii="Arial" w:hAnsi="Arial" w:cs="Arial"/>
          <w:bCs/>
        </w:rPr>
        <w:t>Studies with insufficient data for calculating sensitivity and specificity.</w:t>
      </w:r>
    </w:p>
    <w:p w14:paraId="49090433" w14:textId="77777777" w:rsidR="00D26E02" w:rsidRPr="00B06723" w:rsidRDefault="00D26E02" w:rsidP="008667F4">
      <w:pPr>
        <w:pStyle w:val="Body"/>
        <w:numPr>
          <w:ilvl w:val="0"/>
          <w:numId w:val="3"/>
        </w:numPr>
        <w:spacing w:after="0"/>
        <w:rPr>
          <w:rFonts w:ascii="Arial" w:hAnsi="Arial" w:cs="Arial"/>
          <w:bCs/>
        </w:rPr>
      </w:pPr>
      <w:r w:rsidRPr="00B06723">
        <w:rPr>
          <w:rFonts w:ascii="Arial" w:hAnsi="Arial" w:cs="Arial"/>
          <w:bCs/>
        </w:rPr>
        <w:t xml:space="preserve"> Redundant publications, including:</w:t>
      </w:r>
    </w:p>
    <w:p w14:paraId="5CC08CE6" w14:textId="77777777" w:rsidR="00D26E02" w:rsidRPr="00B06723" w:rsidRDefault="00D26E02" w:rsidP="008667F4">
      <w:pPr>
        <w:pStyle w:val="Body"/>
        <w:numPr>
          <w:ilvl w:val="0"/>
          <w:numId w:val="3"/>
        </w:numPr>
        <w:spacing w:after="0"/>
        <w:rPr>
          <w:rFonts w:ascii="Arial" w:hAnsi="Arial" w:cs="Arial"/>
          <w:bCs/>
        </w:rPr>
      </w:pPr>
      <w:r w:rsidRPr="00B06723">
        <w:rPr>
          <w:rFonts w:ascii="Arial" w:hAnsi="Arial" w:cs="Arial"/>
          <w:bCs/>
        </w:rPr>
        <w:t>Studies reporting data already described in other articles</w:t>
      </w:r>
    </w:p>
    <w:p w14:paraId="7F791FD1" w14:textId="77777777" w:rsidR="00D26E02" w:rsidRPr="00B06723" w:rsidRDefault="00D26E02" w:rsidP="008667F4">
      <w:pPr>
        <w:pStyle w:val="Body"/>
        <w:numPr>
          <w:ilvl w:val="0"/>
          <w:numId w:val="3"/>
        </w:numPr>
        <w:spacing w:after="0"/>
        <w:rPr>
          <w:rFonts w:ascii="Arial" w:hAnsi="Arial" w:cs="Arial"/>
          <w:bCs/>
        </w:rPr>
      </w:pPr>
      <w:r w:rsidRPr="00B06723">
        <w:rPr>
          <w:rFonts w:ascii="Arial" w:hAnsi="Arial" w:cs="Arial"/>
          <w:bCs/>
        </w:rPr>
        <w:lastRenderedPageBreak/>
        <w:t>Systematic reviews and meta-analyses.</w:t>
      </w:r>
    </w:p>
    <w:p w14:paraId="05B87597" w14:textId="77777777" w:rsidR="00D26E02" w:rsidRPr="00B06723" w:rsidRDefault="00D26E02" w:rsidP="008667F4">
      <w:pPr>
        <w:pStyle w:val="Body"/>
        <w:numPr>
          <w:ilvl w:val="0"/>
          <w:numId w:val="3"/>
        </w:numPr>
        <w:spacing w:after="0"/>
        <w:rPr>
          <w:rFonts w:ascii="Arial" w:hAnsi="Arial" w:cs="Arial"/>
          <w:bCs/>
        </w:rPr>
      </w:pPr>
      <w:r w:rsidRPr="00B06723">
        <w:rPr>
          <w:rFonts w:ascii="Arial" w:hAnsi="Arial" w:cs="Arial"/>
          <w:bCs/>
        </w:rPr>
        <w:t>Incomplete datasets.</w:t>
      </w:r>
    </w:p>
    <w:p w14:paraId="5D696571" w14:textId="4FD76CDF" w:rsidR="00D26E02" w:rsidRPr="00B06723" w:rsidRDefault="00D26E02" w:rsidP="008667F4">
      <w:pPr>
        <w:pStyle w:val="Body"/>
        <w:numPr>
          <w:ilvl w:val="0"/>
          <w:numId w:val="3"/>
        </w:numPr>
        <w:spacing w:after="0"/>
        <w:rPr>
          <w:rFonts w:ascii="Arial" w:hAnsi="Arial" w:cs="Arial"/>
          <w:bCs/>
        </w:rPr>
      </w:pPr>
      <w:r w:rsidRPr="00B06723">
        <w:rPr>
          <w:rFonts w:ascii="Arial" w:hAnsi="Arial" w:cs="Arial"/>
          <w:bCs/>
        </w:rPr>
        <w:t xml:space="preserve">Studies with sample sizes &lt;25 (to minimize bias in pooled analyses) </w:t>
      </w:r>
      <w:r w:rsidR="00C12CF0" w:rsidRPr="00B06723">
        <w:rPr>
          <w:rFonts w:ascii="Arial" w:hAnsi="Arial" w:cs="Arial"/>
          <w:bCs/>
        </w:rPr>
        <w:fldChar w:fldCharType="begin"/>
      </w:r>
      <w:r w:rsidR="00F669DC" w:rsidRPr="00B06723">
        <w:rPr>
          <w:rFonts w:ascii="Arial" w:hAnsi="Arial" w:cs="Arial"/>
          <w:bCs/>
        </w:rPr>
        <w:instrText xml:space="preserve"> ADDIN ZOTERO_ITEM CSL_CITATION {"citationID":"a2or1sjkapi","properties":{"formattedCitation":"(Beets et al., 2023)","plainCitation":"(Beets et al., 2023)","noteIndex":0},"citationItems":[{"id":8083,"uris":["http://zotero.org/groups/5148055/items/INNDYT7T"],"itemData":{"id":8083,"type":"article-journal","abstract":"Pilot/feasibility or studies with small sample sizes may be associated with inflated effects. This study explores the vibration of effect sizes (VoE) in meta-analyses when considering different inclusion criteria based upon sample size or pilot/feasibility status.","container-title":"Systematic Reviews","DOI":"10.1186/s13643-023-02184-7","ISSN":"2046-4053","issue":"1","journalAbbreviation":"Systematic Reviews","page":"21","source":"BioMed Central","title":"Influence of pilot and small trials in meta-analyses of behavioral interventions: a meta-epidemiological study","title-short":"Influence of pilot and small trials in meta-analyses of behavioral interventions","URL":"https://doi.org/10.1186/s13643-023-02184-7","volume":"12","author":[{"family":"Beets","given":"Michael W."},{"family":"Weaver","given":"R. Glenn"},{"family":"Ioannidis","given":"John P. A."},{"family":"Pfledderer","given":"Christopher D."},{"family":"Jones","given":"Alexis"},{"family":"Klinggraeff","given":"Lauren","non-dropping-particle":"von"},{"family":"Armstrong","given":"Bridget"}],"accessed":{"date-parts":[["2025",6,14]]},"issued":{"date-parts":[["2023",2,18]]}}}],"schema":"https://github.com/citation-style-language/schema/raw/master/csl-citation.json"} </w:instrText>
      </w:r>
      <w:r w:rsidR="00C12CF0" w:rsidRPr="00B06723">
        <w:rPr>
          <w:rFonts w:ascii="Arial" w:hAnsi="Arial" w:cs="Arial"/>
          <w:bCs/>
        </w:rPr>
        <w:fldChar w:fldCharType="separate"/>
      </w:r>
      <w:r w:rsidR="00F669DC" w:rsidRPr="00B06723">
        <w:rPr>
          <w:rFonts w:ascii="Arial" w:hAnsi="Arial" w:cs="Arial"/>
        </w:rPr>
        <w:t>(Beets et al., 2023)</w:t>
      </w:r>
      <w:r w:rsidR="00C12CF0" w:rsidRPr="00B06723">
        <w:rPr>
          <w:rFonts w:ascii="Arial" w:hAnsi="Arial" w:cs="Arial"/>
          <w:bCs/>
        </w:rPr>
        <w:fldChar w:fldCharType="end"/>
      </w:r>
      <w:r w:rsidR="00312231" w:rsidRPr="00B06723">
        <w:rPr>
          <w:rFonts w:ascii="Arial" w:hAnsi="Arial" w:cs="Arial"/>
          <w:bCs/>
        </w:rPr>
        <w:t xml:space="preserve">. </w:t>
      </w:r>
    </w:p>
    <w:p w14:paraId="2E79F083" w14:textId="77777777" w:rsidR="00312231" w:rsidRPr="00B06723" w:rsidRDefault="00312231" w:rsidP="00312231">
      <w:pPr>
        <w:pStyle w:val="Body"/>
        <w:spacing w:after="0"/>
        <w:ind w:left="502"/>
        <w:rPr>
          <w:rFonts w:ascii="Arial" w:hAnsi="Arial" w:cs="Arial"/>
          <w:bCs/>
        </w:rPr>
      </w:pPr>
    </w:p>
    <w:p w14:paraId="2F658C06" w14:textId="16E8C145" w:rsidR="00D26E02" w:rsidRPr="00B06723" w:rsidRDefault="00D26E02" w:rsidP="00D26E02">
      <w:pPr>
        <w:pStyle w:val="Body"/>
        <w:spacing w:after="0"/>
        <w:rPr>
          <w:rFonts w:ascii="Arial" w:hAnsi="Arial" w:cs="Arial"/>
          <w:b/>
          <w:sz w:val="22"/>
          <w:szCs w:val="22"/>
        </w:rPr>
      </w:pPr>
      <w:r w:rsidRPr="00B06723">
        <w:rPr>
          <w:rFonts w:ascii="Arial" w:hAnsi="Arial" w:cs="Arial"/>
          <w:b/>
          <w:sz w:val="22"/>
          <w:szCs w:val="22"/>
        </w:rPr>
        <w:t>2.4.</w:t>
      </w:r>
      <w:r w:rsidRPr="00B06723">
        <w:rPr>
          <w:rFonts w:ascii="Arial" w:hAnsi="Arial" w:cs="Arial"/>
          <w:b/>
          <w:sz w:val="22"/>
          <w:szCs w:val="22"/>
        </w:rPr>
        <w:tab/>
        <w:t>Data Extraction Procedures</w:t>
      </w:r>
    </w:p>
    <w:p w14:paraId="56C44240" w14:textId="77777777" w:rsidR="00D26E02" w:rsidRPr="00B06723" w:rsidRDefault="00D26E02" w:rsidP="00BF1214">
      <w:pPr>
        <w:pStyle w:val="Body"/>
        <w:spacing w:after="0"/>
        <w:rPr>
          <w:rFonts w:ascii="Arial" w:hAnsi="Arial" w:cs="Arial"/>
          <w:b/>
          <w:sz w:val="22"/>
          <w:szCs w:val="22"/>
        </w:rPr>
      </w:pPr>
    </w:p>
    <w:p w14:paraId="0F2F64DB" w14:textId="77777777" w:rsidR="00312231" w:rsidRPr="00B06723" w:rsidRDefault="00312231" w:rsidP="00312231">
      <w:pPr>
        <w:pStyle w:val="Body"/>
        <w:spacing w:after="0"/>
        <w:rPr>
          <w:rFonts w:ascii="Arial" w:hAnsi="Arial" w:cs="Arial"/>
          <w:bCs/>
        </w:rPr>
      </w:pPr>
      <w:r w:rsidRPr="00B06723">
        <w:rPr>
          <w:rFonts w:ascii="Arial" w:hAnsi="Arial" w:cs="Arial"/>
          <w:bCs/>
        </w:rPr>
        <w:t>The following data were systematically extracted from the selected studies:</w:t>
      </w:r>
    </w:p>
    <w:p w14:paraId="7D671D90" w14:textId="77777777" w:rsidR="00312231" w:rsidRPr="00B06723" w:rsidRDefault="00312231" w:rsidP="008667F4">
      <w:pPr>
        <w:pStyle w:val="Body"/>
        <w:numPr>
          <w:ilvl w:val="0"/>
          <w:numId w:val="4"/>
        </w:numPr>
        <w:spacing w:after="0"/>
        <w:rPr>
          <w:rFonts w:ascii="Arial" w:hAnsi="Arial" w:cs="Arial"/>
          <w:bCs/>
        </w:rPr>
      </w:pPr>
      <w:r w:rsidRPr="00B06723">
        <w:rPr>
          <w:rFonts w:ascii="Arial" w:hAnsi="Arial" w:cs="Arial"/>
          <w:bCs/>
        </w:rPr>
        <w:t>Study identification: First author, publication year, country of participant recruitment.</w:t>
      </w:r>
    </w:p>
    <w:p w14:paraId="60B5C5D1" w14:textId="48329802" w:rsidR="00312231" w:rsidRPr="00B06723" w:rsidRDefault="00312231" w:rsidP="008667F4">
      <w:pPr>
        <w:pStyle w:val="Body"/>
        <w:numPr>
          <w:ilvl w:val="0"/>
          <w:numId w:val="4"/>
        </w:numPr>
        <w:spacing w:after="0"/>
        <w:rPr>
          <w:rFonts w:ascii="Arial" w:hAnsi="Arial" w:cs="Arial"/>
          <w:bCs/>
        </w:rPr>
      </w:pPr>
      <w:r w:rsidRPr="00B06723">
        <w:rPr>
          <w:rFonts w:ascii="Arial" w:hAnsi="Arial" w:cs="Arial"/>
          <w:bCs/>
        </w:rPr>
        <w:t xml:space="preserve">Study design: Sample type (serum, plasma, urine, exosomes, </w:t>
      </w:r>
      <w:r w:rsidR="00DD324D" w:rsidRPr="00B06723">
        <w:rPr>
          <w:rFonts w:ascii="Arial" w:hAnsi="Arial" w:cs="Arial"/>
          <w:bCs/>
        </w:rPr>
        <w:t>Peripheral Bood Mononuclear Cells</w:t>
      </w:r>
      <w:r w:rsidRPr="00B06723">
        <w:rPr>
          <w:rFonts w:ascii="Arial" w:hAnsi="Arial" w:cs="Arial"/>
          <w:bCs/>
        </w:rPr>
        <w:t>), control group composition (healthy individuals or BPH patients), sample size.</w:t>
      </w:r>
    </w:p>
    <w:p w14:paraId="3944475F" w14:textId="77777777" w:rsidR="00312231" w:rsidRPr="00B06723" w:rsidRDefault="00312231" w:rsidP="008667F4">
      <w:pPr>
        <w:pStyle w:val="Body"/>
        <w:numPr>
          <w:ilvl w:val="0"/>
          <w:numId w:val="4"/>
        </w:numPr>
        <w:spacing w:after="0"/>
        <w:rPr>
          <w:rFonts w:ascii="Arial" w:hAnsi="Arial" w:cs="Arial"/>
          <w:bCs/>
        </w:rPr>
      </w:pPr>
      <w:r w:rsidRPr="00B06723">
        <w:rPr>
          <w:rFonts w:ascii="Arial" w:hAnsi="Arial" w:cs="Arial"/>
          <w:bCs/>
        </w:rPr>
        <w:t>miRNA analysis: Investigated biomarker miRNAs (miR-21, miR-141, miR-375),</w:t>
      </w:r>
    </w:p>
    <w:p w14:paraId="05C93168" w14:textId="3E9A1C81" w:rsidR="00312231" w:rsidRPr="00B06723" w:rsidRDefault="00312231" w:rsidP="008667F4">
      <w:pPr>
        <w:pStyle w:val="Body"/>
        <w:numPr>
          <w:ilvl w:val="0"/>
          <w:numId w:val="4"/>
        </w:numPr>
        <w:spacing w:after="0"/>
        <w:rPr>
          <w:rFonts w:ascii="Arial" w:hAnsi="Arial" w:cs="Arial"/>
          <w:bCs/>
        </w:rPr>
      </w:pPr>
      <w:r w:rsidRPr="00B06723">
        <w:rPr>
          <w:rFonts w:ascii="Arial" w:hAnsi="Arial" w:cs="Arial"/>
          <w:bCs/>
        </w:rPr>
        <w:t>Diagnostic performance metrics:</w:t>
      </w:r>
    </w:p>
    <w:p w14:paraId="0FE13EE0" w14:textId="77777777" w:rsidR="00312231" w:rsidRPr="00B06723" w:rsidRDefault="00312231" w:rsidP="008667F4">
      <w:pPr>
        <w:pStyle w:val="Body"/>
        <w:numPr>
          <w:ilvl w:val="0"/>
          <w:numId w:val="5"/>
        </w:numPr>
        <w:spacing w:after="0"/>
        <w:rPr>
          <w:rFonts w:ascii="Arial" w:hAnsi="Arial" w:cs="Arial"/>
          <w:bCs/>
        </w:rPr>
      </w:pPr>
      <w:r w:rsidRPr="00B06723">
        <w:rPr>
          <w:rFonts w:ascii="Arial" w:hAnsi="Arial" w:cs="Arial"/>
          <w:bCs/>
        </w:rPr>
        <w:t>Sensitivity (SEN) and specificity (SPE),</w:t>
      </w:r>
    </w:p>
    <w:p w14:paraId="67B16A91" w14:textId="77777777" w:rsidR="00312231" w:rsidRPr="00B06723" w:rsidRDefault="00312231" w:rsidP="008667F4">
      <w:pPr>
        <w:pStyle w:val="Body"/>
        <w:numPr>
          <w:ilvl w:val="0"/>
          <w:numId w:val="5"/>
        </w:numPr>
        <w:spacing w:after="0"/>
        <w:rPr>
          <w:rFonts w:ascii="Arial" w:hAnsi="Arial" w:cs="Arial"/>
          <w:bCs/>
        </w:rPr>
      </w:pPr>
      <w:r w:rsidRPr="00B06723">
        <w:rPr>
          <w:rFonts w:ascii="Arial" w:hAnsi="Arial" w:cs="Arial"/>
          <w:bCs/>
        </w:rPr>
        <w:t>Area under the curve (AUC),</w:t>
      </w:r>
    </w:p>
    <w:p w14:paraId="50065412" w14:textId="3FA7EE70" w:rsidR="00312231" w:rsidRPr="00B06723" w:rsidRDefault="00312231" w:rsidP="008667F4">
      <w:pPr>
        <w:pStyle w:val="Body"/>
        <w:numPr>
          <w:ilvl w:val="0"/>
          <w:numId w:val="5"/>
        </w:numPr>
        <w:spacing w:after="0"/>
        <w:rPr>
          <w:rFonts w:ascii="Arial" w:hAnsi="Arial" w:cs="Arial"/>
          <w:bCs/>
        </w:rPr>
      </w:pPr>
      <w:r w:rsidRPr="00B06723">
        <w:rPr>
          <w:rFonts w:ascii="Arial" w:hAnsi="Arial" w:cs="Arial"/>
          <w:bCs/>
        </w:rPr>
        <w:t>Contingency table data: true positives (TP), false positives (FP), false negatives (FN), true negatives (TN).</w:t>
      </w:r>
    </w:p>
    <w:p w14:paraId="42626E31" w14:textId="77777777" w:rsidR="00312231" w:rsidRPr="00B06723" w:rsidRDefault="00312231" w:rsidP="00312231">
      <w:pPr>
        <w:pStyle w:val="Body"/>
        <w:spacing w:after="0"/>
        <w:ind w:left="928"/>
        <w:rPr>
          <w:rFonts w:ascii="Arial" w:hAnsi="Arial" w:cs="Arial"/>
          <w:bCs/>
        </w:rPr>
      </w:pPr>
    </w:p>
    <w:p w14:paraId="536ECDB3" w14:textId="30D1954E" w:rsidR="00312231" w:rsidRPr="00B06723" w:rsidRDefault="00312231" w:rsidP="00312231">
      <w:pPr>
        <w:pStyle w:val="Body"/>
        <w:spacing w:after="0"/>
        <w:rPr>
          <w:rFonts w:ascii="Arial" w:hAnsi="Arial" w:cs="Arial"/>
          <w:b/>
          <w:sz w:val="22"/>
          <w:szCs w:val="22"/>
        </w:rPr>
      </w:pPr>
      <w:r w:rsidRPr="00B06723">
        <w:rPr>
          <w:rFonts w:ascii="Arial" w:hAnsi="Arial" w:cs="Arial"/>
          <w:b/>
          <w:sz w:val="22"/>
          <w:szCs w:val="22"/>
        </w:rPr>
        <w:t>2.5.</w:t>
      </w:r>
      <w:r w:rsidRPr="00B06723">
        <w:rPr>
          <w:rFonts w:ascii="Arial" w:hAnsi="Arial" w:cs="Arial"/>
          <w:b/>
          <w:sz w:val="22"/>
          <w:szCs w:val="22"/>
        </w:rPr>
        <w:tab/>
        <w:t xml:space="preserve">Assessment of Methodological Quality </w:t>
      </w:r>
    </w:p>
    <w:p w14:paraId="49878D3A" w14:textId="77777777" w:rsidR="00312231" w:rsidRPr="00B06723" w:rsidRDefault="00312231" w:rsidP="00312231">
      <w:pPr>
        <w:pStyle w:val="Body"/>
        <w:spacing w:after="0"/>
        <w:rPr>
          <w:rFonts w:ascii="Arial" w:hAnsi="Arial" w:cs="Arial"/>
          <w:bCs/>
        </w:rPr>
      </w:pPr>
    </w:p>
    <w:p w14:paraId="002FE3B8" w14:textId="27BC20B3" w:rsidR="00312231" w:rsidRPr="00B06723" w:rsidRDefault="00B8131E" w:rsidP="00312231">
      <w:pPr>
        <w:pStyle w:val="Body"/>
        <w:spacing w:after="0"/>
        <w:rPr>
          <w:rFonts w:ascii="Arial" w:hAnsi="Arial" w:cs="Arial"/>
          <w:bCs/>
        </w:rPr>
      </w:pPr>
      <w:r w:rsidRPr="00B06723">
        <w:rPr>
          <w:rFonts w:ascii="Arial" w:hAnsi="Arial" w:cs="Arial"/>
          <w:bCs/>
        </w:rPr>
        <w:t xml:space="preserve">The methodological quality of included studies was assessed using the QUADAS-2 tool (Quality Assessment of Diagnostic Accuracy Studies) </w:t>
      </w:r>
      <w:r w:rsidR="00C12CF0" w:rsidRPr="00B06723">
        <w:rPr>
          <w:rFonts w:ascii="Arial" w:hAnsi="Arial" w:cs="Arial"/>
          <w:bCs/>
        </w:rPr>
        <w:fldChar w:fldCharType="begin"/>
      </w:r>
      <w:r w:rsidR="00F669DC" w:rsidRPr="00B06723">
        <w:rPr>
          <w:rFonts w:ascii="Arial" w:hAnsi="Arial" w:cs="Arial"/>
          <w:bCs/>
        </w:rPr>
        <w:instrText xml:space="preserve"> ADDIN ZOTERO_ITEM CSL_CITATION {"citationID":"a1r9k8m0o2p","properties":{"formattedCitation":"(Whiting et al., 2011)","plainCitation":"(Whiting et al., 2011)","noteIndex":0},"citationItems":[{"id":579,"uris":["http://zotero.org/users/3583561/items/8B2R4QC2"],"itemData":{"id":579,"type":"article-journal","abstract":"In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The QUADAS-2 tool is applied in 4 phases: summarize the review question, tailor the tool and produce review-specific guidance, construct a flow diagram for the primary study, and judge bias and applicability. This tool will allow for more transparent rating of bias and applicability of primary diagnostic accuracy studies.","container-title":"Annals of Internal Medicine","DOI":"10.7326/0003-4819-155-8-201110180-00009","ISSN":"1539-3704","issue":"8","journalAbbreviation":"Ann Intern Med","language":"eng","note":"PMID: 22007046","page":"529-536","source":"PubMed","title":"QUADAS-2: a revised tool for the quality assessment of diagnostic accuracy studies","title-short":"QUADAS-2","volume":"155","author":[{"family":"Whiting","given":"Penny F."},{"family":"Rutjes","given":"Anne W. S."},{"family":"Westwood","given":"Marie E."},{"family":"Mallett","given":"Susan"},{"family":"Deeks","given":"Jonathan J."},{"family":"Reitsma","given":"Johannes B."},{"family":"Leeflang","given":"Mariska M. G."},{"family":"Sterne","given":"Jonathan A. C."},{"family":"Bossuyt","given":"Patrick M. M."},{"literal":"QUADAS-2 Group"}],"issued":{"date-parts":[["2011",10,18]]}}}],"schema":"https://github.com/citation-style-language/schema/raw/master/csl-citation.json"} </w:instrText>
      </w:r>
      <w:r w:rsidR="00C12CF0" w:rsidRPr="00B06723">
        <w:rPr>
          <w:rFonts w:ascii="Arial" w:hAnsi="Arial" w:cs="Arial"/>
          <w:bCs/>
        </w:rPr>
        <w:fldChar w:fldCharType="separate"/>
      </w:r>
      <w:r w:rsidR="00F669DC" w:rsidRPr="00B06723">
        <w:rPr>
          <w:rFonts w:ascii="Arial" w:hAnsi="Arial" w:cs="Arial"/>
        </w:rPr>
        <w:t>(Whiting et al., 2011)</w:t>
      </w:r>
      <w:r w:rsidR="00C12CF0" w:rsidRPr="00B06723">
        <w:rPr>
          <w:rFonts w:ascii="Arial" w:hAnsi="Arial" w:cs="Arial"/>
          <w:bCs/>
        </w:rPr>
        <w:fldChar w:fldCharType="end"/>
      </w:r>
      <w:r w:rsidRPr="00B06723">
        <w:rPr>
          <w:rFonts w:ascii="Arial" w:hAnsi="Arial" w:cs="Arial"/>
          <w:bCs/>
        </w:rPr>
        <w:t xml:space="preserve"> through Cochrane's Review Manager software version 5.4.1 (review file format .rm5) </w:t>
      </w:r>
      <w:r w:rsidR="00C12CF0" w:rsidRPr="00B06723">
        <w:rPr>
          <w:rFonts w:ascii="Arial" w:hAnsi="Arial" w:cs="Arial"/>
          <w:bCs/>
        </w:rPr>
        <w:fldChar w:fldCharType="begin"/>
      </w:r>
      <w:r w:rsidR="00F669DC" w:rsidRPr="00B06723">
        <w:rPr>
          <w:rFonts w:ascii="Arial" w:hAnsi="Arial" w:cs="Arial"/>
          <w:bCs/>
        </w:rPr>
        <w:instrText xml:space="preserve"> ADDIN ZOTERO_ITEM CSL_CITATION {"citationID":"a1o5anorbu7","properties":{"formattedCitation":"\\uldash{(RevMan, n.d.)}","plainCitation":"(RevMan, n.d.)","dontUpdate":true,"noteIndex":0},"citationItems":[{"id":8146,"uris":["http://zotero.org/users/3583561/items/5P49AHCL"],"itemData":{"id":8146,"type":"webpage","title":"Review Manager Version 5.3. Copenhagen: The Nordic Cochrane Centre, The Cochrane Collaboration).","URL":"https://www.cochrane.org/authors/handbooks-and-manuals/style-manual/references/reference-types/software?utm_source=chatgpt.com","author":[{"family":"RevMan","given":""}],"accessed":{"date-parts":[["2025",7,7]]}}}],"schema":"https://github.com/citation-style-language/schema/raw/master/csl-citation.json"} </w:instrText>
      </w:r>
      <w:r w:rsidR="00C12CF0" w:rsidRPr="00B06723">
        <w:rPr>
          <w:rFonts w:ascii="Arial" w:hAnsi="Arial" w:cs="Arial"/>
          <w:bCs/>
        </w:rPr>
        <w:fldChar w:fldCharType="separate"/>
      </w:r>
      <w:r w:rsidR="00C12CF0" w:rsidRPr="00B06723">
        <w:rPr>
          <w:rFonts w:ascii="Arial" w:hAnsi="Arial" w:cs="Arial"/>
          <w:u w:val="dash"/>
        </w:rPr>
        <w:t>(RevMan</w:t>
      </w:r>
      <w:r w:rsidR="00E84D7D" w:rsidRPr="00B06723">
        <w:rPr>
          <w:rFonts w:ascii="Arial" w:hAnsi="Arial" w:cs="Arial"/>
          <w:u w:val="dash"/>
        </w:rPr>
        <w:t>, 2024</w:t>
      </w:r>
      <w:r w:rsidR="00C12CF0" w:rsidRPr="00B06723">
        <w:rPr>
          <w:rFonts w:ascii="Arial" w:hAnsi="Arial" w:cs="Arial"/>
          <w:u w:val="dash"/>
        </w:rPr>
        <w:t>)</w:t>
      </w:r>
      <w:r w:rsidR="00C12CF0" w:rsidRPr="00B06723">
        <w:rPr>
          <w:rFonts w:ascii="Arial" w:hAnsi="Arial" w:cs="Arial"/>
          <w:bCs/>
        </w:rPr>
        <w:fldChar w:fldCharType="end"/>
      </w:r>
      <w:r w:rsidRPr="00B06723">
        <w:rPr>
          <w:rFonts w:ascii="Arial" w:hAnsi="Arial" w:cs="Arial"/>
          <w:bCs/>
        </w:rPr>
        <w:t>. The QUADAS-2 evaluation covered four key domains: patient selection, the index test, the reference standard, and flow/timing, which collectively determine risk of bias. The first three domains were additionally used to assess review applicability. Studies were classified as having low risk of bias when all signaling questions received "yes" responses, while any "no" response indicated potential bias. An "unclear" risk designation was applied when insufficient or ambiguously reported data prevented definitive judgment, ensuring appropriate methodological appraisal. The first three domains (selection, index test, reference standard) were additionally used to evaluate review applicability.</w:t>
      </w:r>
    </w:p>
    <w:p w14:paraId="5E0016E4" w14:textId="77777777" w:rsidR="00B8131E" w:rsidRPr="00B06723" w:rsidRDefault="00B8131E" w:rsidP="00312231">
      <w:pPr>
        <w:pStyle w:val="Body"/>
        <w:spacing w:after="0"/>
        <w:rPr>
          <w:rFonts w:ascii="Arial" w:hAnsi="Arial" w:cs="Arial"/>
          <w:bCs/>
        </w:rPr>
      </w:pPr>
    </w:p>
    <w:p w14:paraId="469053EB" w14:textId="4A111694" w:rsidR="00312231" w:rsidRPr="00B06723" w:rsidRDefault="00312231" w:rsidP="00312231">
      <w:pPr>
        <w:pStyle w:val="Body"/>
        <w:rPr>
          <w:rFonts w:ascii="Arial" w:hAnsi="Arial" w:cs="Arial"/>
          <w:bCs/>
        </w:rPr>
      </w:pPr>
      <w:r w:rsidRPr="00B06723">
        <w:rPr>
          <w:rFonts w:ascii="Arial" w:hAnsi="Arial" w:cs="Arial"/>
          <w:b/>
          <w:sz w:val="22"/>
          <w:szCs w:val="22"/>
        </w:rPr>
        <w:t>2.6.</w:t>
      </w:r>
      <w:r w:rsidRPr="00B06723">
        <w:rPr>
          <w:rFonts w:ascii="Arial" w:hAnsi="Arial" w:cs="Arial"/>
          <w:b/>
          <w:sz w:val="22"/>
          <w:szCs w:val="22"/>
        </w:rPr>
        <w:tab/>
        <w:t>Statistical Analyses</w:t>
      </w:r>
      <w:r w:rsidR="00F45D2A" w:rsidRPr="00B06723">
        <w:rPr>
          <w:rFonts w:ascii="Arial" w:hAnsi="Arial" w:cs="Arial"/>
          <w:b/>
          <w:sz w:val="22"/>
          <w:szCs w:val="22"/>
        </w:rPr>
        <w:t xml:space="preserve">  </w:t>
      </w:r>
    </w:p>
    <w:p w14:paraId="157FD51A" w14:textId="4862D116" w:rsidR="00312231" w:rsidRPr="00B06723" w:rsidRDefault="00312231" w:rsidP="00312231">
      <w:pPr>
        <w:pStyle w:val="Body"/>
        <w:rPr>
          <w:rFonts w:ascii="Arial" w:hAnsi="Arial" w:cs="Arial"/>
          <w:bCs/>
        </w:rPr>
      </w:pPr>
      <w:r w:rsidRPr="00B06723">
        <w:rPr>
          <w:rFonts w:ascii="Arial" w:hAnsi="Arial" w:cs="Arial"/>
          <w:bCs/>
        </w:rPr>
        <w:t>Current diagnostic guidelines for prostate cancer, as established by leading professional societies</w:t>
      </w:r>
      <w:r w:rsidR="00C12CF0" w:rsidRPr="00B06723">
        <w:rPr>
          <w:rFonts w:ascii="Arial" w:hAnsi="Arial" w:cs="Arial"/>
          <w:bCs/>
        </w:rPr>
        <w:t xml:space="preserve"> </w:t>
      </w:r>
      <w:r w:rsidRPr="00B06723">
        <w:rPr>
          <w:rFonts w:ascii="Arial" w:hAnsi="Arial" w:cs="Arial"/>
          <w:bCs/>
        </w:rPr>
        <w:t>including the French Association of Urology (AFU), European Association of Urology (EAU), American Urological Association (AUA), and National Comprehensive Cancer Network (NCCN)</w:t>
      </w:r>
      <w:r w:rsidR="00EC07D0" w:rsidRPr="00B06723">
        <w:rPr>
          <w:rFonts w:ascii="Arial" w:hAnsi="Arial" w:cs="Arial"/>
          <w:bCs/>
        </w:rPr>
        <w:t xml:space="preserve"> </w:t>
      </w:r>
      <w:r w:rsidRPr="00B06723">
        <w:rPr>
          <w:rFonts w:ascii="Arial" w:hAnsi="Arial" w:cs="Arial"/>
          <w:bCs/>
        </w:rPr>
        <w:t>define a prostate cancer case based on the following diagnostic tests: prostate-specific antigen (PSA) levels, digital rectal examination (DRE), free/total PSA ratio, multiparametric magnetic resonance imaging (</w:t>
      </w:r>
      <w:proofErr w:type="spellStart"/>
      <w:r w:rsidRPr="00B06723">
        <w:rPr>
          <w:rFonts w:ascii="Arial" w:hAnsi="Arial" w:cs="Arial"/>
          <w:bCs/>
        </w:rPr>
        <w:t>mpMRI</w:t>
      </w:r>
      <w:proofErr w:type="spellEnd"/>
      <w:r w:rsidRPr="00B06723">
        <w:rPr>
          <w:rFonts w:ascii="Arial" w:hAnsi="Arial" w:cs="Arial"/>
          <w:bCs/>
        </w:rPr>
        <w:t xml:space="preserve">), and biopsy with Gleason score and ISUP grade classification </w:t>
      </w:r>
      <w:r w:rsidR="00C12CF0" w:rsidRPr="00B06723">
        <w:rPr>
          <w:rFonts w:ascii="Arial" w:hAnsi="Arial" w:cs="Arial"/>
          <w:bCs/>
        </w:rPr>
        <w:fldChar w:fldCharType="begin"/>
      </w:r>
      <w:r w:rsidR="00F669DC" w:rsidRPr="00B06723">
        <w:rPr>
          <w:rFonts w:ascii="Arial" w:hAnsi="Arial" w:cs="Arial"/>
          <w:bCs/>
        </w:rPr>
        <w:instrText xml:space="preserve"> ADDIN ZOTERO_ITEM CSL_CITATION {"citationID":"a23c4j5ogdo","properties":{"formattedCitation":"(Merriel et al., 2019; Poppel et al., 2021; Wei et al., 2023)","plainCitation":"(Merriel et al., 2019; Poppel et al., 2021; Wei et al., 2023)","noteIndex":0},"citationItems":[{"id":8131,"uris":["http://zotero.org/users/3583561/items/4RD9DX4J"],"itemData":{"id":8131,"type":"article-journal","abstract":"Objectives\nTo develop a consensus statement on current best practice of active surveillance (AS) in the UK, informed by patients and clinical experts.\n\nSubjects and Methods\nA consensus statement was drafted on the basis of three sources of data: systematic literature search of national and international guidelines; data arising from a Freedom of Information Act request to UK urology departments regarding their current practice of AS; and survey and interview responses from men with localized prostate cancer regarding their experiences and views of AS. The Prostate Cancer UK Expert Reference Group (ERG) on AS was then convened to discuss and refine the statement.\n\nResults\nGuidelines and protocols for AS varied significantly in terms of risk stratification, criteria for offering AS, and protocols for AS between and within countries. Patients and healthcare professionals identified clinical, emotional and process needs for AS to be effective. Men with prostate cancer wanted more information and psychological support at the time of discussing AS with the treating team and in the first 2 years of AS, and a named healthcare professional to discuss any questions or concerns they had. The ERG agreed 30 consensus statements regarding best practice for AS. Statements were grouped under headings: ‘Inclusion/Exclusion Criteria’; ‘AS follow</w:instrText>
      </w:r>
      <w:r w:rsidR="00F669DC" w:rsidRPr="00B06723">
        <w:rPr>
          <w:rFonts w:ascii="Cambria Math" w:hAnsi="Cambria Math" w:cs="Cambria Math"/>
          <w:bCs/>
        </w:rPr>
        <w:instrText>‐</w:instrText>
      </w:r>
      <w:r w:rsidR="00F669DC" w:rsidRPr="00B06723">
        <w:rPr>
          <w:rFonts w:ascii="Arial" w:hAnsi="Arial" w:cs="Arial"/>
          <w:bCs/>
        </w:rPr>
        <w:instrText xml:space="preserve">up protocol’ and ‘When to stop AS’.\n\nConclusion\nSignificant variation currently exists in the practice of AS in the UK and internationally. Men have clear views on the level of involvement in treatment decisions and support from their treating professionals when receiving AS. The Prostate Cancer UK AS ERG has developed a set of consensus statements for best practice in AS. Evidence for best practice in AS, and the use of multiparametric magnetic resonance imaging in AS, is still evolving, and further studies are needed to determine how to optimize AS outcomes.","container-title":"Bju International","DOI":"10.1111/bju.14707","ISSN":"1464-4096","issue":"1","journalAbbreviation":"BJU Int","note":"PMID: 30742733\nPMCID: PMC6617751","page":"47-54","source":"PubMed Central","title":"Best practice in active surveillance for men with prostate cancer: a Prostate Cancer UK consensus statement","title-short":"Best practice in active surveillance for men with prostate cancer","URL":"https://www.ncbi.nlm.nih.gov/pmc/articles/PMC6617751/","volume":"124","author":[{"family":"Merriel","given":"Samuel W.D."},{"family":"Hetherington","given":"Liz"},{"family":"Seggie","given":"Andrew"},{"family":"Castle","given":"Joanna T."},{"family":"Cross","given":"William"},{"family":"Roobol","given":"Monique J."},{"family":"Gnanapragasam","given":"Vincent"},{"family":"Moore","given":"Caroline M."}],"accessed":{"date-parts":[["2025",7,6]]},"issued":{"date-parts":[["2019",7]]}}},{"id":8144,"uris":["http://zotero.org/users/3583561/items/8WLP9GMH"],"itemData":{"id":8144,"type":"article-journal","container-title":"European Urology","DOI":"10.1016/j.eururo.2021.07.024","ISSN":"0302-2838, 1873-7560","issue":"6","journalAbbreviation":"European Urology","language":"English","note":"publisher: Elsevier\nPMID: 34407909","page":"703-711","source":"www.europeanurology.com","title":"Prostate-specific Antigen Testing as Part of a Risk-Adapted Early Detection Strategy for Prostate Cancer: European Association of Urology Position and Recommendations for 2021","title-short":"Prostate-specific Antigen Testing as Part of a Risk-Adapted Early Detection Strategy for Prostate Cancer","URL":"https://www.europeanurology.com/article/S0302-2838(21)01927-8/abstract?utm_source=chatgpt.com","volume":"80","author":[{"family":"Poppel","given":"Hendrik Van"},{"family":"Roobol","given":"Monique J."},{"family":"Chapple","given":"Christopher R."},{"family":"Catto","given":"James W. F."},{"family":"N’Dow","given":"James"},{"family":"Sønksen","given":"Jens"},{"family":"Stenzl","given":"Arnulf"},{"family":"Wirth","given":"Manfred"}],"accessed":{"date-parts":[["2025",7,6]]},"issued":{"date-parts":[["2021",12,1]]}}},{"id":8139,"uris":["http://zotero.org/users/3583561/items/VMNZPPQV"],"itemData":{"id":8139,"type":"article-journal","abstract":"PURPOSE: The summary presented herein covers recommendations on the early detection of prostate cancer and provides a framework to facilitate clinical decision-making in the implementation of prostate cancer screening, biopsy, and follow-up. This is Part I of a two-part series that focuses on prostate cancer screening. Please refer to Part II for discussion of initial and repeat biopsies as well as biopsy technique.\nMATERIALS AND METHODS: The systematic review utilized to inform this guideline was conducted by an independent methodological consultant. The systematic review was based on searches in Ovid MEDLINE and Embase and Cochrane Database of Systematic Reviews (January 1, 2000-November 21, 2022). Searches were supplemented by reviewing reference lists of relevant articles.\nRESULTS: The Early Detection of Prostate Cancer Panel developed evidence- and consensus-based guideline statements to provide guidance in prostate cancer screening, initial and repeat biopsy, and biopsy technique.\nCONCLUSIONS: Prostate-specific antigen (PSA)-based prostate cancer screening in combination with shared decision-making (SDM) is recommended. Current data regarding risk from population-based cohorts provide a basis for longer screening intervals and tailored screening, and the use of available online risk calculators is encouraged.","container-title":"The Journal of Urology","DOI":"10.1097/JU.0000000000003491","ISSN":"1527-3792","issue":"1","journalAbbreviation":"J Urol","language":"eng","note":"PMID: 37096582\nPMCID: PMC11060750","page":"46-53","source":"PubMed","title":"Early Detection of Prostate Cancer: AUA/SUO Guideline Part I: Prostate Cancer Screening","title-short":"Early Detection of Prostate Cancer","volume":"210","author":[{"family":"Wei","given":"John T."},{"family":"Barocas","given":"Daniel"},{"family":"Carlsson","given":"Sigrid"},{"family":"Coakley","given":"Fergus"},{"family":"Eggener","given":"Scott"},{"family":"Etzioni","given":"Ruth"},{"family":"Fine","given":"Samson W."},{"family":"Han","given":"Misop"},{"family":"Kim","given":"Sennett K."},{"family":"Kirkby","given":"Erin"},{"family":"Konety","given":"Badrinath R."},{"family":"Miner","given":"Martin"},{"family":"Moses","given":"Kelvin"},{"family":"Nissenberg","given":"Merel G."},{"family":"Pinto","given":"Peter A."},{"family":"Salami","given":"Simpa S."},{"family":"Souter","given":"Lesley"},{"family":"Thompson","given":"Ian M."},{"family":"Lin","given":"Daniel W."}],"issued":{"date-parts":[["2023",7]]}}}],"schema":"https://github.com/citation-style-language/schema/raw/master/csl-citation.json"} </w:instrText>
      </w:r>
      <w:r w:rsidR="00C12CF0" w:rsidRPr="00B06723">
        <w:rPr>
          <w:rFonts w:ascii="Arial" w:hAnsi="Arial" w:cs="Arial"/>
          <w:bCs/>
        </w:rPr>
        <w:fldChar w:fldCharType="separate"/>
      </w:r>
      <w:r w:rsidR="00F669DC" w:rsidRPr="00B06723">
        <w:rPr>
          <w:rFonts w:ascii="Arial" w:hAnsi="Arial" w:cs="Arial"/>
        </w:rPr>
        <w:t>(Merriel et al., 2019; Poppel et al., 2021; Wei et al., 2023)</w:t>
      </w:r>
      <w:r w:rsidR="00C12CF0" w:rsidRPr="00B06723">
        <w:rPr>
          <w:rFonts w:ascii="Arial" w:hAnsi="Arial" w:cs="Arial"/>
          <w:bCs/>
        </w:rPr>
        <w:fldChar w:fldCharType="end"/>
      </w:r>
      <w:r w:rsidRPr="00B06723">
        <w:rPr>
          <w:rFonts w:ascii="Arial" w:hAnsi="Arial" w:cs="Arial"/>
          <w:bCs/>
        </w:rPr>
        <w:t xml:space="preserve">. </w:t>
      </w:r>
    </w:p>
    <w:p w14:paraId="641EFD37" w14:textId="77777777" w:rsidR="00312231" w:rsidRPr="00B06723" w:rsidRDefault="00312231" w:rsidP="00312231">
      <w:pPr>
        <w:pStyle w:val="Body"/>
        <w:rPr>
          <w:rFonts w:ascii="Arial" w:hAnsi="Arial" w:cs="Arial"/>
          <w:bCs/>
        </w:rPr>
      </w:pPr>
      <w:r w:rsidRPr="00B06723">
        <w:rPr>
          <w:rFonts w:ascii="Arial" w:hAnsi="Arial" w:cs="Arial"/>
          <w:bCs/>
        </w:rPr>
        <w:t xml:space="preserve">We evaluated the diagnostic performance of prostate cancer biomarkers miR-21, miR-141, and miR-375 using the tests (PSA, DRE, free/total PSA ratio, </w:t>
      </w:r>
      <w:proofErr w:type="spellStart"/>
      <w:r w:rsidRPr="00B06723">
        <w:rPr>
          <w:rFonts w:ascii="Arial" w:hAnsi="Arial" w:cs="Arial"/>
          <w:bCs/>
        </w:rPr>
        <w:t>mpMRI</w:t>
      </w:r>
      <w:proofErr w:type="spellEnd"/>
      <w:r w:rsidRPr="00B06723">
        <w:rPr>
          <w:rFonts w:ascii="Arial" w:hAnsi="Arial" w:cs="Arial"/>
          <w:bCs/>
        </w:rPr>
        <w:t>, and biopsy) as the reference standard.</w:t>
      </w:r>
    </w:p>
    <w:p w14:paraId="13E51EB8" w14:textId="2A22E60B" w:rsidR="00312231" w:rsidRPr="00B06723" w:rsidRDefault="00312231" w:rsidP="00312231">
      <w:pPr>
        <w:pStyle w:val="Body"/>
        <w:rPr>
          <w:rFonts w:ascii="Arial" w:hAnsi="Arial" w:cs="Arial"/>
          <w:bCs/>
        </w:rPr>
      </w:pPr>
      <w:r w:rsidRPr="00B06723">
        <w:rPr>
          <w:rFonts w:ascii="Arial" w:hAnsi="Arial" w:cs="Arial"/>
          <w:bCs/>
        </w:rPr>
        <w:t>Multiple miRNA quantification techniques were examined across biological fluids (serum, plasma, urine). RT-qPCR emerged as the most suitable method for miRNA analysis, valued for its sensitivity, specificity, and applicability in targeted clinical assays. While NGS sequencing and microarrays provide comprehensive miRNA profiling, digital droplet PCR (</w:t>
      </w:r>
      <w:proofErr w:type="spellStart"/>
      <w:r w:rsidRPr="00B06723">
        <w:rPr>
          <w:rFonts w:ascii="Arial" w:hAnsi="Arial" w:cs="Arial"/>
          <w:bCs/>
        </w:rPr>
        <w:t>ddPCR</w:t>
      </w:r>
      <w:proofErr w:type="spellEnd"/>
      <w:r w:rsidRPr="00B06723">
        <w:rPr>
          <w:rFonts w:ascii="Arial" w:hAnsi="Arial" w:cs="Arial"/>
          <w:bCs/>
        </w:rPr>
        <w:t xml:space="preserve">) enables absolute quantification particularly advantageous for low-abundance biomarkers. The selection of analytical methodology directly influences result robustness and </w:t>
      </w:r>
      <w:r w:rsidRPr="00B06723">
        <w:rPr>
          <w:rFonts w:ascii="Arial" w:hAnsi="Arial" w:cs="Arial"/>
          <w:bCs/>
        </w:rPr>
        <w:lastRenderedPageBreak/>
        <w:t xml:space="preserve">must be carefully considered when interpreting data for meta-analytic synthesis </w:t>
      </w:r>
      <w:r w:rsidR="00C12CF0" w:rsidRPr="00B06723">
        <w:rPr>
          <w:rFonts w:ascii="Arial" w:hAnsi="Arial" w:cs="Arial"/>
          <w:bCs/>
        </w:rPr>
        <w:fldChar w:fldCharType="begin"/>
      </w:r>
      <w:r w:rsidR="00F669DC" w:rsidRPr="00B06723">
        <w:rPr>
          <w:rFonts w:ascii="Arial" w:hAnsi="Arial" w:cs="Arial"/>
          <w:bCs/>
        </w:rPr>
        <w:instrText xml:space="preserve"> ADDIN ZOTERO_ITEM CSL_CITATION {"citationID":"abtm16o387","properties":{"formattedCitation":"(Moldovan et al., 2014)","plainCitation":"(Moldovan et al., 2014)","noteIndex":0},"citationItems":[{"id":8091,"uris":["http://zotero.org/users/3583561/items/DDGA8UC4"],"itemData":{"id":8091,"type":"article-journal","abstract":"MicroRNAs (miRNAs) have emerged as important regulators in the post-transcriptional control of gene expression. The discovery of their presence not only in tissues but also in extratissular fluids, including blood, urine and cerebro-spinal fluid, together with their changes in expression in various pathological conditions, has implicated these extracellular miRNAs as informative biomarkers of disease. However, exploiting miRNAs in this capacity requires methodological rigour. Here, we report several key procedural aspects of miRNA isolation from plasma and serum, as exemplified by research in cardiovascular and pulmonary diseases. We also highlight the advantages and disadvantages of various profiling methods to determine the expression levels of plasma- and serum-derived miRNAs. Attention to such methodological details is critical, as circulating miRNAs become diagnostic tools for various human diseases.","container-title":"Journal of Cellular and Molecular Medicine","DOI":"10.1111/jcmm.12236","ISSN":"1582-4934","issue":"3","language":"en","license":"© 2014 The Authors. Journal of Cellular and Molecular Medicine published by John Wiley &amp; Sons Ltd and Foundation for Cellular and Molecular Medicine.","note":"_eprint: https://onlinelibrary.wiley.com/doi/pdf/10.1111/jcmm.12236","page":"371-390","source":"Wiley Online Library","title":"Methodological challenges in utilizing miRNAs as circulating biomarkers","URL":"https://onlinelibrary.wiley.com/doi/abs/10.1111/jcmm.12236","volume":"18","author":[{"family":"Moldovan","given":"Leni"},{"family":"Batte","given":"Kara E."},{"family":"Trgovcich","given":"Joanne"},{"family":"Wisler","given":"Jon"},{"family":"Marsh","given":"Clay B."},{"family":"Piper","given":"Melissa"}],"accessed":{"date-parts":[["2025",6,18]]},"issued":{"date-parts":[["2014"]]}}}],"schema":"https://github.com/citation-style-language/schema/raw/master/csl-citation.json"} </w:instrText>
      </w:r>
      <w:r w:rsidR="00C12CF0" w:rsidRPr="00B06723">
        <w:rPr>
          <w:rFonts w:ascii="Arial" w:hAnsi="Arial" w:cs="Arial"/>
          <w:bCs/>
        </w:rPr>
        <w:fldChar w:fldCharType="separate"/>
      </w:r>
      <w:r w:rsidR="00F669DC" w:rsidRPr="00B06723">
        <w:rPr>
          <w:rFonts w:ascii="Arial" w:hAnsi="Arial" w:cs="Arial"/>
        </w:rPr>
        <w:t>(Moldovan et al., 2014)</w:t>
      </w:r>
      <w:r w:rsidR="00C12CF0" w:rsidRPr="00B06723">
        <w:rPr>
          <w:rFonts w:ascii="Arial" w:hAnsi="Arial" w:cs="Arial"/>
          <w:bCs/>
        </w:rPr>
        <w:fldChar w:fldCharType="end"/>
      </w:r>
      <w:r w:rsidRPr="00B06723">
        <w:rPr>
          <w:rFonts w:ascii="Arial" w:hAnsi="Arial" w:cs="Arial"/>
          <w:bCs/>
        </w:rPr>
        <w:t xml:space="preserve">. </w:t>
      </w:r>
    </w:p>
    <w:p w14:paraId="57D8365C" w14:textId="48B9A7D4" w:rsidR="00312231" w:rsidRPr="00B06723" w:rsidRDefault="00312231" w:rsidP="00312231">
      <w:pPr>
        <w:pStyle w:val="Body"/>
        <w:rPr>
          <w:rFonts w:ascii="Arial" w:hAnsi="Arial" w:cs="Arial"/>
          <w:bCs/>
        </w:rPr>
      </w:pPr>
      <w:r w:rsidRPr="00B06723">
        <w:rPr>
          <w:rFonts w:ascii="Arial" w:hAnsi="Arial" w:cs="Arial"/>
          <w:bCs/>
        </w:rPr>
        <w:t>All statistical analyses were performed using Stata version 17.0 (</w:t>
      </w:r>
      <w:proofErr w:type="spellStart"/>
      <w:r w:rsidRPr="00B06723">
        <w:rPr>
          <w:rFonts w:ascii="Arial" w:hAnsi="Arial" w:cs="Arial"/>
          <w:bCs/>
        </w:rPr>
        <w:t>StataCorp</w:t>
      </w:r>
      <w:proofErr w:type="spellEnd"/>
      <w:r w:rsidRPr="00B06723">
        <w:rPr>
          <w:rFonts w:ascii="Arial" w:hAnsi="Arial" w:cs="Arial"/>
          <w:bCs/>
        </w:rPr>
        <w:t xml:space="preserve">, College Station, Texas, USA) with the </w:t>
      </w:r>
      <w:proofErr w:type="spellStart"/>
      <w:r w:rsidRPr="00B06723">
        <w:rPr>
          <w:rFonts w:ascii="Arial" w:hAnsi="Arial" w:cs="Arial"/>
          <w:bCs/>
        </w:rPr>
        <w:t>metandi</w:t>
      </w:r>
      <w:proofErr w:type="spellEnd"/>
      <w:r w:rsidRPr="00B06723">
        <w:rPr>
          <w:rFonts w:ascii="Arial" w:hAnsi="Arial" w:cs="Arial"/>
          <w:bCs/>
        </w:rPr>
        <w:t xml:space="preserve">, meta, and </w:t>
      </w:r>
      <w:proofErr w:type="spellStart"/>
      <w:r w:rsidRPr="00B06723">
        <w:rPr>
          <w:rFonts w:ascii="Arial" w:hAnsi="Arial" w:cs="Arial"/>
          <w:bCs/>
        </w:rPr>
        <w:t>midas</w:t>
      </w:r>
      <w:proofErr w:type="spellEnd"/>
      <w:r w:rsidRPr="00B06723">
        <w:rPr>
          <w:rFonts w:ascii="Arial" w:hAnsi="Arial" w:cs="Arial"/>
          <w:bCs/>
        </w:rPr>
        <w:t xml:space="preserve"> commands. Study outcomes were extracted into 2×2 contingency tables (true positives, false positives, true negatives, false negatives). We employed a random-effects model to calculate pooled positive and negative likelihood ratios (LR+ and LR-, respectively) with corresponding 95% confidence intervals. Here, LR+ indicates the probability of a positive test result in patients with </w:t>
      </w:r>
      <w:proofErr w:type="spellStart"/>
      <w:r w:rsidRPr="00B06723">
        <w:rPr>
          <w:rFonts w:ascii="Arial" w:hAnsi="Arial" w:cs="Arial"/>
          <w:bCs/>
        </w:rPr>
        <w:t>PCa</w:t>
      </w:r>
      <w:proofErr w:type="spellEnd"/>
      <w:r w:rsidRPr="00B06723">
        <w:rPr>
          <w:rFonts w:ascii="Arial" w:hAnsi="Arial" w:cs="Arial"/>
          <w:bCs/>
        </w:rPr>
        <w:t xml:space="preserve">, while LR- reflects this probability in disease-free individuals </w:t>
      </w:r>
      <w:r w:rsidR="00F64948" w:rsidRPr="00B06723">
        <w:rPr>
          <w:rFonts w:ascii="Arial" w:hAnsi="Arial" w:cs="Arial"/>
          <w:bCs/>
        </w:rPr>
        <w:fldChar w:fldCharType="begin"/>
      </w:r>
      <w:r w:rsidR="00F669DC" w:rsidRPr="00B06723">
        <w:rPr>
          <w:rFonts w:ascii="Arial" w:hAnsi="Arial" w:cs="Arial"/>
          <w:bCs/>
        </w:rPr>
        <w:instrText xml:space="preserve"> ADDIN ZOTERO_ITEM CSL_CITATION {"citationID":"a1keaac8uka","properties":{"formattedCitation":"(Nitusca et al., 2022a)","plainCitation":"(Nitusca et al., 2022a)","noteIndex":0},"citationItems":[{"id":8105,"uris":["http://zotero.org/users/3583561/items/MMCBGPYZ"],"itemData":{"id":8105,"type":"article-journal","abstract":"(1)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Ioana"},{"family":"Ursoniu","given":"Sorin"},{"family":"Marian","given":"Catalin"}],"accessed":{"date-parts":[["2025",6,26]]},"issued":{"date-parts":[["2022",9]]}}}],"schema":"https://github.com/citation-style-language/schema/raw/master/csl-citation.json"} </w:instrText>
      </w:r>
      <w:r w:rsidR="00F64948" w:rsidRPr="00B06723">
        <w:rPr>
          <w:rFonts w:ascii="Arial" w:hAnsi="Arial" w:cs="Arial"/>
          <w:bCs/>
        </w:rPr>
        <w:fldChar w:fldCharType="separate"/>
      </w:r>
      <w:r w:rsidR="00F669DC" w:rsidRPr="00B06723">
        <w:rPr>
          <w:rFonts w:ascii="Arial" w:hAnsi="Arial" w:cs="Arial"/>
        </w:rPr>
        <w:t>(Nitusca et al., 2022a)</w:t>
      </w:r>
      <w:r w:rsidR="00F64948" w:rsidRPr="00B06723">
        <w:rPr>
          <w:rFonts w:ascii="Arial" w:hAnsi="Arial" w:cs="Arial"/>
          <w:bCs/>
        </w:rPr>
        <w:fldChar w:fldCharType="end"/>
      </w:r>
      <w:r w:rsidRPr="00B06723">
        <w:rPr>
          <w:rFonts w:ascii="Arial" w:hAnsi="Arial" w:cs="Arial"/>
          <w:bCs/>
        </w:rPr>
        <w:t xml:space="preserve">. Between-study heterogeneity was assessed using Cochrane's Q test and quantified via the I² statistic </w:t>
      </w:r>
      <w:r w:rsidR="00F64948" w:rsidRPr="00B06723">
        <w:rPr>
          <w:rFonts w:ascii="Arial" w:hAnsi="Arial" w:cs="Arial"/>
          <w:bCs/>
        </w:rPr>
        <w:fldChar w:fldCharType="begin"/>
      </w:r>
      <w:r w:rsidR="00F669DC" w:rsidRPr="00B06723">
        <w:rPr>
          <w:rFonts w:ascii="Arial" w:hAnsi="Arial" w:cs="Arial"/>
          <w:bCs/>
        </w:rPr>
        <w:instrText xml:space="preserve"> ADDIN ZOTERO_ITEM CSL_CITATION {"citationID":"anfvp0kvip","properties":{"formattedCitation":"(Higgins &amp; Thompson, 2002)","plainCitation":"(Higgins &amp; Thompson, 2002)","noteIndex":0},"citationItems":[{"id":572,"uris":["http://zotero.org/users/3583561/items/QBFJF8ZZ"],"itemData":{"id":572,"type":"article-journal","abstract":"The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chi2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heterogeneity.","container-title":"Statistics in Medicine","DOI":"10.1002/sim.1186","ISSN":"0277-6715","issue":"11","journalAbbreviation":"Stat Med","language":"eng","note":"PMID: 12111919","page":"1539-1558","source":"PubMed","title":"Quantifying heterogeneity in a meta-analysis","volume":"21","author":[{"family":"Higgins","given":"Julian P. T."},{"family":"Thompson","given":"Simon G."}],"issued":{"date-parts":[["2002",6,15]]}}}],"schema":"https://github.com/citation-style-language/schema/raw/master/csl-citation.json"} </w:instrText>
      </w:r>
      <w:r w:rsidR="00F64948" w:rsidRPr="00B06723">
        <w:rPr>
          <w:rFonts w:ascii="Arial" w:hAnsi="Arial" w:cs="Arial"/>
          <w:bCs/>
        </w:rPr>
        <w:fldChar w:fldCharType="separate"/>
      </w:r>
      <w:r w:rsidR="00F669DC" w:rsidRPr="00B06723">
        <w:rPr>
          <w:rFonts w:ascii="Arial" w:hAnsi="Arial" w:cs="Arial"/>
        </w:rPr>
        <w:t>(Higgins &amp; Thompson, 2002)</w:t>
      </w:r>
      <w:r w:rsidR="00F64948" w:rsidRPr="00B06723">
        <w:rPr>
          <w:rFonts w:ascii="Arial" w:hAnsi="Arial" w:cs="Arial"/>
          <w:bCs/>
        </w:rPr>
        <w:fldChar w:fldCharType="end"/>
      </w:r>
      <w:r w:rsidRPr="00B06723">
        <w:rPr>
          <w:rFonts w:ascii="Arial" w:hAnsi="Arial" w:cs="Arial"/>
          <w:bCs/>
        </w:rPr>
        <w:t>. Heterogeneity levels were categorized as: very low (I² &lt; 25%), low (I² = 25-50%), moderate-to-high (I² = 50-75%), very high (I² &gt; 75%).</w:t>
      </w:r>
    </w:p>
    <w:p w14:paraId="1CAA4622" w14:textId="4606F1C3" w:rsidR="00312231" w:rsidRPr="00B06723" w:rsidRDefault="00312231" w:rsidP="00312231">
      <w:pPr>
        <w:pStyle w:val="Body"/>
        <w:rPr>
          <w:rFonts w:ascii="Arial" w:hAnsi="Arial" w:cs="Arial"/>
          <w:bCs/>
        </w:rPr>
      </w:pPr>
      <w:r w:rsidRPr="00B06723">
        <w:rPr>
          <w:rFonts w:ascii="Arial" w:hAnsi="Arial" w:cs="Arial"/>
          <w:bCs/>
        </w:rPr>
        <w:t xml:space="preserve">Pooled sensitivity (SEN) and specificity (SPE), diagnostic odds ratio (DOR), and the area under the summary receiver operating characteristic curve (SROC-AUC) with 95% confidence intervals were estimated using a bivariate mixed-effects binomial model </w:t>
      </w:r>
      <w:r w:rsidR="00F64948" w:rsidRPr="00B06723">
        <w:rPr>
          <w:rFonts w:ascii="Arial" w:hAnsi="Arial" w:cs="Arial"/>
          <w:bCs/>
        </w:rPr>
        <w:fldChar w:fldCharType="begin"/>
      </w:r>
      <w:r w:rsidR="00F669DC" w:rsidRPr="00B06723">
        <w:rPr>
          <w:rFonts w:ascii="Arial" w:hAnsi="Arial" w:cs="Arial"/>
          <w:bCs/>
        </w:rPr>
        <w:instrText xml:space="preserve"> ADDIN ZOTERO_ITEM CSL_CITATION {"citationID":"a1u2jpunn0q","properties":{"formattedCitation":"(Reitsma et al., 2005)","plainCitation":"(Reitsma et al., 2005)","noteIndex":0},"citationItems":[{"id":8089,"uris":["http://zotero.org/users/3583561/items/9DSJ2REN"],"itemData":{"id":8089,"type":"article-journal","container-title":"Journal of Clinical Epidemiology","DOI":"10.1016/j.jclinepi.2005.02.022","ISSN":"0895-4356, 1878-5921","issue":"10","journalAbbreviation":"Journal of Clinical Epidemiology","language":"English","note":"publisher: Elsevier\nPMID: 16168343","page":"982-990","source":"www.jclinepi.com","title":"Bivariate analysis of sensitivity and specificity produces informative summary measures in diagnostic reviews","URL":"https://www.jclinepi.com/article/S0895-4356(05)00162-9/abstract","volume":"58","author":[{"family":"Reitsma","given":"Johannes B."},{"family":"Glas","given":"Afina S."},{"family":"Rutjes","given":"Anne W. S."},{"family":"Scholten","given":"Rob J. P. M."},{"family":"Bossuyt","given":"Patrick M."},{"family":"Zwinderman","given":"Aeilko H."}],"accessed":{"date-parts":[["2025",6,16]]},"issued":{"date-parts":[["2005",10,1]]}}}],"schema":"https://github.com/citation-style-language/schema/raw/master/csl-citation.json"} </w:instrText>
      </w:r>
      <w:r w:rsidR="00F64948" w:rsidRPr="00B06723">
        <w:rPr>
          <w:rFonts w:ascii="Arial" w:hAnsi="Arial" w:cs="Arial"/>
          <w:bCs/>
        </w:rPr>
        <w:fldChar w:fldCharType="separate"/>
      </w:r>
      <w:r w:rsidR="00F669DC" w:rsidRPr="00B06723">
        <w:rPr>
          <w:rFonts w:ascii="Arial" w:hAnsi="Arial" w:cs="Arial"/>
        </w:rPr>
        <w:t>(Reitsma et al., 2005)</w:t>
      </w:r>
      <w:r w:rsidR="00F64948" w:rsidRPr="00B06723">
        <w:rPr>
          <w:rFonts w:ascii="Arial" w:hAnsi="Arial" w:cs="Arial"/>
          <w:bCs/>
        </w:rPr>
        <w:fldChar w:fldCharType="end"/>
      </w:r>
      <w:r w:rsidR="001058A7" w:rsidRPr="00B06723">
        <w:rPr>
          <w:rFonts w:ascii="Arial" w:hAnsi="Arial" w:cs="Arial"/>
          <w:bCs/>
        </w:rPr>
        <w:t xml:space="preserve">. </w:t>
      </w:r>
      <w:r w:rsidRPr="00B06723">
        <w:rPr>
          <w:rFonts w:ascii="Arial" w:hAnsi="Arial" w:cs="Arial"/>
          <w:bCs/>
        </w:rPr>
        <w:t>This model enables simultaneous analysis of SEN and SPE while accounting for their inherent correlation and between-study variability, making it particularly suitable for diagnostic accuracy meta-analyses. Higher AUC values indicate superior discrimination between high-risk and low-risk patients. Diagnostic performance was categorized into three tiers based on AUC values: low accuracy (AUC &lt; 0.70), moderate accuracy (AUC = 0.70–0.90), high accuracy (AUC = 0.90–1.00).</w:t>
      </w:r>
    </w:p>
    <w:p w14:paraId="4B51509B" w14:textId="7C0FF00B" w:rsidR="00312231" w:rsidRPr="00B06723" w:rsidRDefault="00312231" w:rsidP="00312231">
      <w:pPr>
        <w:pStyle w:val="Body"/>
        <w:rPr>
          <w:rFonts w:ascii="Arial" w:hAnsi="Arial" w:cs="Arial"/>
          <w:bCs/>
        </w:rPr>
      </w:pPr>
      <w:r w:rsidRPr="00B06723">
        <w:rPr>
          <w:rFonts w:ascii="Arial" w:hAnsi="Arial" w:cs="Arial"/>
          <w:bCs/>
        </w:rPr>
        <w:t xml:space="preserve">The diagnostic odds ratio (DOR) serves as a comprehensive metric of test performance, incorporating both sensitivity (SEN) and specificity (SPE). A DOR of 1 indicates no diagnostic value, reflecting the test's inability to discriminate between affected and unaffected patients. Values between 1 and 10 suggest limited discriminatory capacity, while DOR &gt;10 demonstrates moderate-to-high diagnostic utility with more reliable differentiation between positive and negative cases. Specifically, DOR &gt;20 indicates good diagnostic performance and DOR &gt;100, reflects excellent accuracy. </w:t>
      </w:r>
      <w:r w:rsidR="001058A7" w:rsidRPr="00B06723">
        <w:rPr>
          <w:rFonts w:ascii="Arial" w:hAnsi="Arial" w:cs="Arial"/>
          <w:bCs/>
        </w:rPr>
        <w:t xml:space="preserve">Notably, DOR interpretation must consider clinical context and disease prevalence, as these factors significantly influence its clinical applicability </w:t>
      </w:r>
      <w:r w:rsidR="00F64948" w:rsidRPr="00B06723">
        <w:rPr>
          <w:rFonts w:ascii="Arial" w:hAnsi="Arial" w:cs="Arial"/>
          <w:bCs/>
        </w:rPr>
        <w:fldChar w:fldCharType="begin"/>
      </w:r>
      <w:r w:rsidR="00F669DC" w:rsidRPr="00B06723">
        <w:rPr>
          <w:rFonts w:ascii="Arial" w:hAnsi="Arial" w:cs="Arial"/>
          <w:bCs/>
        </w:rPr>
        <w:instrText xml:space="preserve"> ADDIN ZOTERO_ITEM CSL_CITATION {"citationID":"a2ce82ht9sn","properties":{"formattedCitation":"(Reitsma et al., 2005)","plainCitation":"(Reitsma et al., 2005)","noteIndex":0},"citationItems":[{"id":8089,"uris":["http://zotero.org/users/3583561/items/9DSJ2REN"],"itemData":{"id":8089,"type":"article-journal","container-title":"Journal of Clinical Epidemiology","DOI":"10.1016/j.jclinepi.2005.02.022","ISSN":"0895-4356, 1878-5921","issue":"10","journalAbbreviation":"Journal of Clinical Epidemiology","language":"English","note":"publisher: Elsevier\nPMID: 16168343","page":"982-990","source":"www.jclinepi.com","title":"Bivariate analysis of sensitivity and specificity produces informative summary measures in diagnostic reviews","URL":"https://www.jclinepi.com/article/S0895-4356(05)00162-9/abstract","volume":"58","author":[{"family":"Reitsma","given":"Johannes B."},{"family":"Glas","given":"Afina S."},{"family":"Rutjes","given":"Anne W. S."},{"family":"Scholten","given":"Rob J. P. M."},{"family":"Bossuyt","given":"Patrick M."},{"family":"Zwinderman","given":"Aeilko H."}],"accessed":{"date-parts":[["2025",6,16]]},"issued":{"date-parts":[["2005",10,1]]}}}],"schema":"https://github.com/citation-style-language/schema/raw/master/csl-citation.json"} </w:instrText>
      </w:r>
      <w:r w:rsidR="00F64948" w:rsidRPr="00B06723">
        <w:rPr>
          <w:rFonts w:ascii="Arial" w:hAnsi="Arial" w:cs="Arial"/>
          <w:bCs/>
        </w:rPr>
        <w:fldChar w:fldCharType="separate"/>
      </w:r>
      <w:r w:rsidR="00F669DC" w:rsidRPr="00B06723">
        <w:rPr>
          <w:rFonts w:ascii="Arial" w:hAnsi="Arial" w:cs="Arial"/>
        </w:rPr>
        <w:t>(Reitsma et al., 2005)</w:t>
      </w:r>
      <w:r w:rsidR="00F64948" w:rsidRPr="00B06723">
        <w:rPr>
          <w:rFonts w:ascii="Arial" w:hAnsi="Arial" w:cs="Arial"/>
          <w:bCs/>
        </w:rPr>
        <w:fldChar w:fldCharType="end"/>
      </w:r>
      <w:r w:rsidR="001058A7" w:rsidRPr="00B06723">
        <w:rPr>
          <w:rFonts w:ascii="Arial" w:hAnsi="Arial" w:cs="Arial"/>
          <w:bCs/>
        </w:rPr>
        <w:t xml:space="preserve">. To investigate potential sources of heterogeneity, we performed subgroup analyses. Publication bias was assessed using Deeks' funnel plot asymmetry test </w:t>
      </w:r>
      <w:r w:rsidR="00F64948" w:rsidRPr="00B06723">
        <w:rPr>
          <w:rFonts w:ascii="Arial" w:hAnsi="Arial" w:cs="Arial"/>
          <w:bCs/>
        </w:rPr>
        <w:fldChar w:fldCharType="begin"/>
      </w:r>
      <w:r w:rsidR="00F669DC" w:rsidRPr="00B06723">
        <w:rPr>
          <w:rFonts w:ascii="Arial" w:hAnsi="Arial" w:cs="Arial"/>
          <w:bCs/>
        </w:rPr>
        <w:instrText xml:space="preserve"> ADDIN ZOTERO_ITEM CSL_CITATION {"citationID":"ag554pln09","properties":{"formattedCitation":"(Deeks et al., 2005)","plainCitation":"(Deeks et al., 2005)","noteIndex":0},"citationItems":[{"id":8087,"uris":["http://zotero.org/users/3583561/items/EG26ID2M"],"itemData":{"id":8087,"type":"article-journal","container-title":"Journal of Clinical Epidemiology","DOI":"10.1016/j.jclinepi.2005.01.016","ISSN":"0895-4356, 1878-5921","issue":"9","journalAbbreviation":"Journal of Clinical Epidemiology","language":"English","note":"publisher: Elsevier\nPMID: 16085191","page":"882-893","source":"www.jclinepi.com","title":"The performance of tests of publication bias and other sample size effects in systematic reviews of diagnostic test accuracy was assessed","URL":"https://www.jclinepi.com/article/S0895-4356(05)00142-3/abstract","volume":"58","author":[{"family":"Deeks","given":"Jonathan J."},{"family":"Macaskill","given":"Petra"},{"family":"Irwig","given":"Les"}],"accessed":{"date-parts":[["2025",6,16]]},"issued":{"date-parts":[["2005",9,1]]}}}],"schema":"https://github.com/citation-style-language/schema/raw/master/csl-citation.json"} </w:instrText>
      </w:r>
      <w:r w:rsidR="00F64948" w:rsidRPr="00B06723">
        <w:rPr>
          <w:rFonts w:ascii="Arial" w:hAnsi="Arial" w:cs="Arial"/>
          <w:bCs/>
        </w:rPr>
        <w:fldChar w:fldCharType="separate"/>
      </w:r>
      <w:r w:rsidR="00F669DC" w:rsidRPr="00B06723">
        <w:rPr>
          <w:rFonts w:ascii="Arial" w:hAnsi="Arial" w:cs="Arial"/>
        </w:rPr>
        <w:t>(Deeks et al., 2005)</w:t>
      </w:r>
      <w:r w:rsidR="00F64948" w:rsidRPr="00B06723">
        <w:rPr>
          <w:rFonts w:ascii="Arial" w:hAnsi="Arial" w:cs="Arial"/>
          <w:bCs/>
        </w:rPr>
        <w:fldChar w:fldCharType="end"/>
      </w:r>
      <w:r w:rsidR="001058A7" w:rsidRPr="00B06723">
        <w:rPr>
          <w:rFonts w:ascii="Arial" w:hAnsi="Arial" w:cs="Arial"/>
          <w:bCs/>
        </w:rPr>
        <w:t xml:space="preserve">. Additionally, Fagan's nomogram was employed to quantify post-test probability </w:t>
      </w:r>
      <w:r w:rsidR="00F64948" w:rsidRPr="00B06723">
        <w:rPr>
          <w:rFonts w:ascii="Arial" w:hAnsi="Arial" w:cs="Arial"/>
          <w:bCs/>
        </w:rPr>
        <w:fldChar w:fldCharType="begin"/>
      </w:r>
      <w:r w:rsidR="00F669DC" w:rsidRPr="00B06723">
        <w:rPr>
          <w:rFonts w:ascii="Arial" w:hAnsi="Arial" w:cs="Arial"/>
          <w:bCs/>
        </w:rPr>
        <w:instrText xml:space="preserve"> ADDIN ZOTERO_ITEM CSL_CITATION {"citationID":"a1ik87931r","properties":{"formattedCitation":"(Fagan, 1975)","plainCitation":"(Fagan, 1975)","noteIndex":0},"citationItems":[{"id":571,"uris":["http://zotero.org/users/3583561/items/3YKDGU3R"],"itemData":{"id":571,"type":"article-journal","container-title":"The New England Journal of Medicine","DOI":"10.1056/NEJM197507312930513","ISSN":"0028-4793","issue":"5","journalAbbreviation":"N Engl J Med","language":"eng","note":"PMID: 1143310","page":"257","source":"PubMed","title":"Letter: Nomogram for Bayes's theorem","title-short":"Letter","volume":"293","author":[{"family":"Fagan","given":"T. J."}],"issued":{"date-parts":[["1975",7,31]]}}}],"schema":"https://github.com/citation-style-language/schema/raw/master/csl-citation.json"} </w:instrText>
      </w:r>
      <w:r w:rsidR="00F64948" w:rsidRPr="00B06723">
        <w:rPr>
          <w:rFonts w:ascii="Arial" w:hAnsi="Arial" w:cs="Arial"/>
          <w:bCs/>
        </w:rPr>
        <w:fldChar w:fldCharType="separate"/>
      </w:r>
      <w:r w:rsidR="00F669DC" w:rsidRPr="00B06723">
        <w:rPr>
          <w:rFonts w:ascii="Arial" w:hAnsi="Arial" w:cs="Arial"/>
        </w:rPr>
        <w:t>(Fagan, 1975)</w:t>
      </w:r>
      <w:r w:rsidR="00F64948" w:rsidRPr="00B06723">
        <w:rPr>
          <w:rFonts w:ascii="Arial" w:hAnsi="Arial" w:cs="Arial"/>
          <w:bCs/>
        </w:rPr>
        <w:fldChar w:fldCharType="end"/>
      </w:r>
      <w:r w:rsidR="001058A7" w:rsidRPr="00B06723">
        <w:rPr>
          <w:rFonts w:ascii="Arial" w:hAnsi="Arial" w:cs="Arial"/>
          <w:bCs/>
        </w:rPr>
        <w:t>.</w:t>
      </w:r>
    </w:p>
    <w:p w14:paraId="0AEFD1EA" w14:textId="77777777" w:rsidR="00F45D2A" w:rsidRPr="00B06723" w:rsidRDefault="00000F8F" w:rsidP="00441B6F">
      <w:pPr>
        <w:pStyle w:val="Head1"/>
        <w:spacing w:after="0"/>
        <w:jc w:val="both"/>
        <w:rPr>
          <w:rFonts w:ascii="Arial" w:hAnsi="Arial" w:cs="Arial"/>
        </w:rPr>
      </w:pPr>
      <w:r w:rsidRPr="00B06723">
        <w:rPr>
          <w:rFonts w:ascii="Arial" w:hAnsi="Arial" w:cs="Arial"/>
        </w:rPr>
        <w:t>3</w:t>
      </w:r>
      <w:r w:rsidR="00902823" w:rsidRPr="00B06723">
        <w:rPr>
          <w:rFonts w:ascii="Arial" w:hAnsi="Arial" w:cs="Arial"/>
        </w:rPr>
        <w:t xml:space="preserve">. </w:t>
      </w:r>
      <w:r w:rsidRPr="00B06723">
        <w:rPr>
          <w:rFonts w:ascii="Arial" w:hAnsi="Arial" w:cs="Arial"/>
        </w:rPr>
        <w:t xml:space="preserve">results </w:t>
      </w:r>
    </w:p>
    <w:p w14:paraId="4CB52755" w14:textId="77777777" w:rsidR="00F45D2A" w:rsidRPr="00B06723" w:rsidRDefault="00F45D2A" w:rsidP="00441B6F">
      <w:pPr>
        <w:pStyle w:val="Head1"/>
        <w:spacing w:after="0"/>
        <w:jc w:val="both"/>
        <w:rPr>
          <w:rFonts w:ascii="Arial" w:hAnsi="Arial" w:cs="Arial"/>
        </w:rPr>
      </w:pPr>
    </w:p>
    <w:p w14:paraId="0E9D62DA" w14:textId="1D3BD4FA" w:rsidR="00790ADA" w:rsidRPr="00B06723" w:rsidRDefault="00F45D2A" w:rsidP="00F45D2A">
      <w:pPr>
        <w:pStyle w:val="Body"/>
        <w:rPr>
          <w:rFonts w:ascii="Arial" w:hAnsi="Arial" w:cs="Arial"/>
        </w:rPr>
      </w:pPr>
      <w:r w:rsidRPr="00B06723">
        <w:rPr>
          <w:rFonts w:ascii="Arial" w:hAnsi="Arial" w:cs="Arial"/>
          <w:b/>
          <w:sz w:val="22"/>
          <w:szCs w:val="22"/>
        </w:rPr>
        <w:t>3.1. Documentary research and study characteristics</w:t>
      </w:r>
      <w:r w:rsidR="00B00B61" w:rsidRPr="00B06723">
        <w:rPr>
          <w:rFonts w:ascii="Arial" w:hAnsi="Arial" w:cs="Arial"/>
          <w:b/>
          <w:sz w:val="22"/>
          <w:szCs w:val="22"/>
        </w:rPr>
        <w:t xml:space="preserve">  </w:t>
      </w:r>
    </w:p>
    <w:p w14:paraId="1E5E3A9A" w14:textId="2A9EC578" w:rsidR="00F45D2A" w:rsidRPr="00B06723" w:rsidRDefault="00F45D2A" w:rsidP="00F45D2A">
      <w:pPr>
        <w:pStyle w:val="Body"/>
        <w:rPr>
          <w:rFonts w:ascii="Arial" w:hAnsi="Arial" w:cs="Arial"/>
        </w:rPr>
      </w:pPr>
      <w:r w:rsidRPr="00B06723">
        <w:rPr>
          <w:rFonts w:ascii="Arial" w:hAnsi="Arial" w:cs="Arial"/>
        </w:rPr>
        <w:t>The initial database search identified 2,427 articles. Following duplicate removal and title/abstract screening, 127 articles were selected for full-text assessment. Of these, 37 articles qualified for qualitative analysis. Among the 90 excluded studies: 24 were reviews/meta-analyses, 41 involved animal/cell line research, and 25 lacked sufficient diagnostic accuracy data. After full-text evaluation, 12 additional articles were excluded from quantitative meta-analysis due to insufficient data for calculating true positives (TP), false positives (FP), true negatives (TN), and false negatives (FN). The final analysis included 25 articles encompassing 27 studies (two articles investigated two distinct populations). The PRISMA flowchart (</w:t>
      </w:r>
      <w:r w:rsidRPr="00B06723">
        <w:rPr>
          <w:rFonts w:ascii="Arial" w:hAnsi="Arial" w:cs="Arial"/>
          <w:b/>
          <w:bCs/>
        </w:rPr>
        <w:t>Fig. 1</w:t>
      </w:r>
      <w:r w:rsidRPr="00B06723">
        <w:rPr>
          <w:rFonts w:ascii="Arial" w:hAnsi="Arial" w:cs="Arial"/>
        </w:rPr>
        <w:t>) details the selection process, while Table 1 summarizes: Key study characteristics, contingency data (TP, FP, FN, TN), corresponding sensitivity (SEN) and specificity (SPE) values.</w:t>
      </w:r>
    </w:p>
    <w:p w14:paraId="1FFAF1B3" w14:textId="77777777" w:rsidR="00F45D2A" w:rsidRPr="00B06723" w:rsidRDefault="00F45D2A" w:rsidP="00F45D2A">
      <w:pPr>
        <w:pStyle w:val="Body"/>
        <w:rPr>
          <w:rFonts w:ascii="Arial" w:hAnsi="Arial" w:cs="Arial"/>
        </w:rPr>
      </w:pPr>
      <w:r w:rsidRPr="00B06723">
        <w:rPr>
          <w:rFonts w:ascii="Arial" w:hAnsi="Arial" w:cs="Arial"/>
        </w:rPr>
        <w:lastRenderedPageBreak/>
        <w:t xml:space="preserve">The 27 included studies comprised a total of 2,697 participants (1,525 </w:t>
      </w:r>
      <w:proofErr w:type="spellStart"/>
      <w:r w:rsidRPr="00B06723">
        <w:rPr>
          <w:rFonts w:ascii="Arial" w:hAnsi="Arial" w:cs="Arial"/>
        </w:rPr>
        <w:t>PCa</w:t>
      </w:r>
      <w:proofErr w:type="spellEnd"/>
      <w:r w:rsidRPr="00B06723">
        <w:rPr>
          <w:rFonts w:ascii="Arial" w:hAnsi="Arial" w:cs="Arial"/>
        </w:rPr>
        <w:t xml:space="preserve"> patients and 1,172 controls). The number of studies evaluating miR-21, miR-141, and miR-375 were 12, 12, and 11, respectively.</w:t>
      </w:r>
    </w:p>
    <w:p w14:paraId="3197CBCE" w14:textId="77777777" w:rsidR="00F45D2A" w:rsidRPr="00B06723" w:rsidRDefault="00F45D2A" w:rsidP="00F45D2A">
      <w:pPr>
        <w:pStyle w:val="Body"/>
        <w:spacing w:after="0"/>
        <w:rPr>
          <w:rFonts w:ascii="Arial" w:hAnsi="Arial" w:cs="Arial"/>
        </w:rPr>
      </w:pPr>
      <w:r w:rsidRPr="00B06723">
        <w:rPr>
          <w:rFonts w:ascii="Arial" w:hAnsi="Arial" w:cs="Arial"/>
        </w:rPr>
        <w:t xml:space="preserve">Most studies reported significantly higher expression levels of miR-21, miR-141, and miR-375 in </w:t>
      </w:r>
      <w:proofErr w:type="spellStart"/>
      <w:r w:rsidRPr="00B06723">
        <w:rPr>
          <w:rFonts w:ascii="Arial" w:hAnsi="Arial" w:cs="Arial"/>
        </w:rPr>
        <w:t>PCa</w:t>
      </w:r>
      <w:proofErr w:type="spellEnd"/>
      <w:r w:rsidRPr="00B06723">
        <w:rPr>
          <w:rFonts w:ascii="Arial" w:hAnsi="Arial" w:cs="Arial"/>
        </w:rPr>
        <w:t xml:space="preserve"> patients compared to controls. These miRNAs were primarily analyzed in urine, plasma, peripheral blood mononuclear cells (PBMCs), and serum samples from both </w:t>
      </w:r>
      <w:proofErr w:type="spellStart"/>
      <w:r w:rsidRPr="00B06723">
        <w:rPr>
          <w:rFonts w:ascii="Arial" w:hAnsi="Arial" w:cs="Arial"/>
        </w:rPr>
        <w:t>PCa</w:t>
      </w:r>
      <w:proofErr w:type="spellEnd"/>
      <w:r w:rsidRPr="00B06723">
        <w:rPr>
          <w:rFonts w:ascii="Arial" w:hAnsi="Arial" w:cs="Arial"/>
        </w:rPr>
        <w:t xml:space="preserve"> patients and control groups. The studies investigating these miRNAs were published between 2008 and 2025. </w:t>
      </w:r>
    </w:p>
    <w:p w14:paraId="56502B6E" w14:textId="77777777" w:rsidR="00F45D2A" w:rsidRPr="00B06723" w:rsidRDefault="00F45D2A" w:rsidP="00F45D2A">
      <w:pPr>
        <w:pStyle w:val="Body"/>
        <w:spacing w:after="0"/>
        <w:rPr>
          <w:rFonts w:ascii="Arial" w:hAnsi="Arial" w:cs="Arial"/>
        </w:rPr>
      </w:pPr>
    </w:p>
    <w:p w14:paraId="5A7B95AE" w14:textId="027C2BEC" w:rsidR="00F45D2A" w:rsidRPr="00B06723" w:rsidRDefault="006D7CAE" w:rsidP="00F45D2A">
      <w:pPr>
        <w:pStyle w:val="Body"/>
        <w:spacing w:after="0"/>
        <w:rPr>
          <w:rFonts w:ascii="Arial" w:hAnsi="Arial" w:cs="Arial"/>
        </w:rPr>
      </w:pPr>
      <w:r w:rsidRPr="00B06723">
        <w:rPr>
          <w:rFonts w:ascii="Arial" w:hAnsi="Arial" w:cs="Arial"/>
          <w:noProof/>
        </w:rPr>
        <w:drawing>
          <wp:inline distT="0" distB="0" distL="0" distR="0" wp14:anchorId="46AB7F9C" wp14:editId="6D47EBA2">
            <wp:extent cx="5213350" cy="6153150"/>
            <wp:effectExtent l="0" t="0" r="0" b="0"/>
            <wp:docPr id="1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3350" cy="6153150"/>
                    </a:xfrm>
                    <a:prstGeom prst="rect">
                      <a:avLst/>
                    </a:prstGeom>
                    <a:noFill/>
                    <a:ln>
                      <a:noFill/>
                    </a:ln>
                  </pic:spPr>
                </pic:pic>
              </a:graphicData>
            </a:graphic>
          </wp:inline>
        </w:drawing>
      </w:r>
    </w:p>
    <w:p w14:paraId="080BEE61" w14:textId="77777777" w:rsidR="00F45D2A" w:rsidRPr="00B06723" w:rsidRDefault="00F45D2A" w:rsidP="00F45D2A">
      <w:pPr>
        <w:pStyle w:val="Body"/>
        <w:spacing w:after="0"/>
        <w:rPr>
          <w:rFonts w:ascii="Arial" w:hAnsi="Arial" w:cs="Arial"/>
        </w:rPr>
      </w:pPr>
    </w:p>
    <w:p w14:paraId="3336F53A" w14:textId="53CE4AEF" w:rsidR="00F45D2A" w:rsidRPr="00B06723" w:rsidRDefault="00F45D2A" w:rsidP="00F45D2A">
      <w:pPr>
        <w:autoSpaceDE w:val="0"/>
        <w:autoSpaceDN w:val="0"/>
        <w:adjustRightInd w:val="0"/>
        <w:jc w:val="both"/>
        <w:rPr>
          <w:rFonts w:ascii="Arial" w:hAnsi="Arial" w:cs="Arial"/>
          <w:b/>
          <w:bCs/>
          <w:szCs w:val="22"/>
        </w:rPr>
      </w:pPr>
      <w:r w:rsidRPr="00B06723">
        <w:rPr>
          <w:rFonts w:ascii="Arial" w:hAnsi="Arial" w:cs="Arial"/>
          <w:b/>
          <w:bCs/>
          <w:szCs w:val="22"/>
        </w:rPr>
        <w:lastRenderedPageBreak/>
        <w:t>Fig. 1.</w:t>
      </w:r>
      <w:r w:rsidR="00A00A98" w:rsidRPr="00B06723">
        <w:rPr>
          <w:rFonts w:ascii="Arial" w:hAnsi="Arial" w:cs="Arial"/>
          <w:b/>
          <w:bCs/>
          <w:szCs w:val="22"/>
        </w:rPr>
        <w:t xml:space="preserve"> </w:t>
      </w:r>
      <w:r w:rsidRPr="00B06723">
        <w:rPr>
          <w:rFonts w:ascii="Arial" w:hAnsi="Arial" w:cs="Arial"/>
          <w:b/>
          <w:bCs/>
          <w:szCs w:val="22"/>
        </w:rPr>
        <w:t>PRISMA diagram for study selectio</w:t>
      </w:r>
      <w:r w:rsidR="009B2787" w:rsidRPr="00B06723">
        <w:rPr>
          <w:rFonts w:ascii="Arial" w:hAnsi="Arial" w:cs="Arial"/>
          <w:b/>
          <w:bCs/>
          <w:szCs w:val="22"/>
        </w:rPr>
        <w:t>n</w:t>
      </w:r>
      <w:r w:rsidRPr="00B06723">
        <w:rPr>
          <w:rFonts w:ascii="Arial" w:hAnsi="Arial" w:cs="Arial"/>
          <w:b/>
          <w:bCs/>
          <w:szCs w:val="22"/>
        </w:rPr>
        <w:t>.</w:t>
      </w:r>
    </w:p>
    <w:p w14:paraId="59283AE3" w14:textId="1402682E" w:rsidR="001058A7" w:rsidRPr="00B06723" w:rsidRDefault="00DB6BB5" w:rsidP="00647EC3">
      <w:pPr>
        <w:autoSpaceDE w:val="0"/>
        <w:autoSpaceDN w:val="0"/>
        <w:adjustRightInd w:val="0"/>
        <w:jc w:val="both"/>
        <w:rPr>
          <w:rFonts w:ascii="Arial" w:hAnsi="Arial" w:cs="Arial"/>
          <w:i/>
          <w:sz w:val="18"/>
        </w:rPr>
      </w:pPr>
      <w:r w:rsidRPr="00B06723">
        <w:rPr>
          <w:rFonts w:ascii="Arial" w:hAnsi="Arial" w:cs="Arial"/>
          <w:i/>
          <w:sz w:val="18"/>
        </w:rPr>
        <w:t>PRISMA (Preferred Reporting Items for Systematic Reviews and Meta-Analyses</w:t>
      </w:r>
      <w:r w:rsidR="009B2787" w:rsidRPr="00B06723">
        <w:rPr>
          <w:rFonts w:ascii="Arial" w:hAnsi="Arial" w:cs="Arial"/>
          <w:i/>
          <w:sz w:val="18"/>
        </w:rPr>
        <w:t>).</w:t>
      </w:r>
      <w:r w:rsidRPr="00B06723">
        <w:rPr>
          <w:rFonts w:ascii="Arial" w:hAnsi="Arial" w:cs="Arial"/>
          <w:i/>
          <w:sz w:val="18"/>
        </w:rPr>
        <w:t xml:space="preserve"> </w:t>
      </w:r>
    </w:p>
    <w:p w14:paraId="6C0490BE" w14:textId="77777777" w:rsidR="001058A7" w:rsidRPr="00B06723" w:rsidRDefault="001058A7" w:rsidP="00441B6F">
      <w:pPr>
        <w:tabs>
          <w:tab w:val="left" w:pos="1080"/>
        </w:tabs>
        <w:jc w:val="both"/>
        <w:rPr>
          <w:rFonts w:ascii="Arial" w:hAnsi="Arial"/>
          <w:b/>
        </w:rPr>
      </w:pPr>
    </w:p>
    <w:p w14:paraId="2993AB56" w14:textId="77777777" w:rsidR="001058A7" w:rsidRPr="00B06723" w:rsidRDefault="001058A7" w:rsidP="00441B6F">
      <w:pPr>
        <w:tabs>
          <w:tab w:val="left" w:pos="1080"/>
        </w:tabs>
        <w:jc w:val="both"/>
        <w:rPr>
          <w:rFonts w:ascii="Arial" w:hAnsi="Arial"/>
          <w:b/>
        </w:rPr>
      </w:pPr>
    </w:p>
    <w:p w14:paraId="2F68E1C1" w14:textId="77777777" w:rsidR="001058A7" w:rsidRPr="00B06723" w:rsidRDefault="001058A7" w:rsidP="00441B6F">
      <w:pPr>
        <w:tabs>
          <w:tab w:val="left" w:pos="1080"/>
        </w:tabs>
        <w:jc w:val="both"/>
        <w:rPr>
          <w:rFonts w:ascii="Arial" w:hAnsi="Arial"/>
          <w:b/>
        </w:rPr>
        <w:sectPr w:rsidR="001058A7" w:rsidRPr="00B06723" w:rsidSect="00DA1151">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2016" w:bottom="2016" w:left="2016" w:header="720" w:footer="1123" w:gutter="0"/>
          <w:cols w:space="720"/>
          <w:docGrid w:linePitch="272"/>
        </w:sectPr>
      </w:pPr>
    </w:p>
    <w:p w14:paraId="47C7527F" w14:textId="062C10E0" w:rsidR="00863BD3" w:rsidRPr="00B06723" w:rsidRDefault="009500A6" w:rsidP="00441B6F">
      <w:pPr>
        <w:tabs>
          <w:tab w:val="left" w:pos="1080"/>
        </w:tabs>
        <w:jc w:val="both"/>
        <w:rPr>
          <w:rFonts w:ascii="Arial" w:hAnsi="Arial"/>
          <w:b/>
        </w:rPr>
      </w:pPr>
      <w:r w:rsidRPr="00B06723">
        <w:rPr>
          <w:rFonts w:ascii="Arial" w:hAnsi="Arial"/>
          <w:b/>
        </w:rPr>
        <w:lastRenderedPageBreak/>
        <w:t>Table 1.</w:t>
      </w:r>
      <w:r w:rsidR="00863BD3" w:rsidRPr="00B06723">
        <w:rPr>
          <w:rFonts w:ascii="Arial" w:hAnsi="Arial"/>
          <w:b/>
        </w:rPr>
        <w:tab/>
      </w:r>
      <w:r w:rsidR="001058A7" w:rsidRPr="00B06723">
        <w:rPr>
          <w:rFonts w:ascii="Arial" w:hAnsi="Arial"/>
          <w:b/>
        </w:rPr>
        <w:t>Characteristics of included studies</w:t>
      </w:r>
      <w:r w:rsidR="00DD38EA" w:rsidRPr="00B06723">
        <w:rPr>
          <w:rFonts w:ascii="Arial" w:hAnsi="Arial"/>
          <w:b/>
        </w:rPr>
        <w:t xml:space="preserve">  </w:t>
      </w:r>
    </w:p>
    <w:p w14:paraId="44B4A96E" w14:textId="77777777" w:rsidR="00863BD3" w:rsidRPr="00B06723" w:rsidRDefault="00863BD3" w:rsidP="00441B6F">
      <w:pPr>
        <w:tabs>
          <w:tab w:val="left" w:pos="1080"/>
        </w:tabs>
        <w:jc w:val="both"/>
        <w:rPr>
          <w:rFonts w:ascii="Arial" w:hAnsi="Arial"/>
          <w:b/>
        </w:rPr>
      </w:pPr>
    </w:p>
    <w:tbl>
      <w:tblPr>
        <w:tblStyle w:val="PlainTable2"/>
        <w:tblpPr w:leftFromText="141" w:rightFromText="141" w:bottomFromText="160" w:vertAnchor="text" w:horzAnchor="margin" w:tblpX="-703" w:tblpY="74"/>
        <w:tblW w:w="13250" w:type="dxa"/>
        <w:tblLook w:val="04A0" w:firstRow="1" w:lastRow="0" w:firstColumn="1" w:lastColumn="0" w:noHBand="0" w:noVBand="1"/>
      </w:tblPr>
      <w:tblGrid>
        <w:gridCol w:w="1806"/>
        <w:gridCol w:w="1084"/>
        <w:gridCol w:w="927"/>
        <w:gridCol w:w="695"/>
        <w:gridCol w:w="927"/>
        <w:gridCol w:w="1361"/>
        <w:gridCol w:w="1172"/>
        <w:gridCol w:w="1206"/>
        <w:gridCol w:w="717"/>
        <w:gridCol w:w="717"/>
        <w:gridCol w:w="550"/>
        <w:gridCol w:w="472"/>
        <w:gridCol w:w="483"/>
        <w:gridCol w:w="483"/>
        <w:gridCol w:w="650"/>
      </w:tblGrid>
      <w:tr w:rsidR="00E84D7D" w:rsidRPr="00B06723" w14:paraId="62A77E84" w14:textId="77777777" w:rsidTr="00E84D7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noWrap/>
            <w:hideMark/>
          </w:tcPr>
          <w:p w14:paraId="4696C239" w14:textId="285070E6" w:rsidR="00E84D7D" w:rsidRPr="00B06723" w:rsidRDefault="00E84D7D" w:rsidP="0000574D">
            <w:pPr>
              <w:spacing w:before="240"/>
              <w:jc w:val="both"/>
              <w:rPr>
                <w:rFonts w:ascii="Arial" w:eastAsia="Times New Roman" w:hAnsi="Arial" w:cs="Arial"/>
                <w:b w:val="0"/>
                <w:bCs w:val="0"/>
                <w:color w:val="000000"/>
                <w:sz w:val="20"/>
                <w:szCs w:val="20"/>
                <w:lang w:val="en-US" w:eastAsia="fr-FR"/>
              </w:rPr>
            </w:pPr>
            <w:bookmarkStart w:id="1" w:name="_Hlk189062301"/>
            <w:r w:rsidRPr="00B06723">
              <w:rPr>
                <w:rFonts w:ascii="Arial" w:eastAsia="Times New Roman" w:hAnsi="Arial" w:cs="Arial"/>
                <w:color w:val="000000"/>
                <w:sz w:val="20"/>
                <w:szCs w:val="20"/>
                <w:lang w:val="en-US" w:eastAsia="fr-FR"/>
              </w:rPr>
              <w:t>Author Year</w:t>
            </w:r>
          </w:p>
        </w:tc>
        <w:tc>
          <w:tcPr>
            <w:tcW w:w="1084" w:type="dxa"/>
            <w:noWrap/>
            <w:hideMark/>
          </w:tcPr>
          <w:p w14:paraId="13E1EEDB"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Country</w:t>
            </w:r>
          </w:p>
        </w:tc>
        <w:tc>
          <w:tcPr>
            <w:tcW w:w="927" w:type="dxa"/>
          </w:tcPr>
          <w:p w14:paraId="5D950EBD"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Control group</w:t>
            </w:r>
          </w:p>
        </w:tc>
        <w:tc>
          <w:tcPr>
            <w:tcW w:w="695" w:type="dxa"/>
            <w:noWrap/>
            <w:hideMark/>
          </w:tcPr>
          <w:p w14:paraId="3A6357EE"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Case size</w:t>
            </w:r>
          </w:p>
        </w:tc>
        <w:tc>
          <w:tcPr>
            <w:tcW w:w="927" w:type="dxa"/>
            <w:noWrap/>
            <w:hideMark/>
          </w:tcPr>
          <w:p w14:paraId="10311530"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Control size</w:t>
            </w:r>
          </w:p>
        </w:tc>
        <w:tc>
          <w:tcPr>
            <w:tcW w:w="1361" w:type="dxa"/>
            <w:noWrap/>
            <w:hideMark/>
          </w:tcPr>
          <w:p w14:paraId="4606901A"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Sample</w:t>
            </w:r>
          </w:p>
        </w:tc>
        <w:tc>
          <w:tcPr>
            <w:tcW w:w="1172" w:type="dxa"/>
          </w:tcPr>
          <w:p w14:paraId="04D32218"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Diagnosis Method</w:t>
            </w:r>
          </w:p>
        </w:tc>
        <w:tc>
          <w:tcPr>
            <w:tcW w:w="1206" w:type="dxa"/>
            <w:noWrap/>
            <w:hideMark/>
          </w:tcPr>
          <w:p w14:paraId="32CFB4BB"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Biomarker (test index)</w:t>
            </w:r>
          </w:p>
        </w:tc>
        <w:tc>
          <w:tcPr>
            <w:tcW w:w="717" w:type="dxa"/>
            <w:noWrap/>
            <w:hideMark/>
          </w:tcPr>
          <w:p w14:paraId="655544BF"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SEN (%)</w:t>
            </w:r>
          </w:p>
        </w:tc>
        <w:tc>
          <w:tcPr>
            <w:tcW w:w="717" w:type="dxa"/>
            <w:noWrap/>
            <w:hideMark/>
          </w:tcPr>
          <w:p w14:paraId="133B32EC"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SPE (%)</w:t>
            </w:r>
          </w:p>
        </w:tc>
        <w:tc>
          <w:tcPr>
            <w:tcW w:w="550" w:type="dxa"/>
            <w:noWrap/>
            <w:hideMark/>
          </w:tcPr>
          <w:p w14:paraId="611D51E9"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TP</w:t>
            </w:r>
          </w:p>
        </w:tc>
        <w:tc>
          <w:tcPr>
            <w:tcW w:w="472" w:type="dxa"/>
            <w:noWrap/>
            <w:hideMark/>
          </w:tcPr>
          <w:p w14:paraId="3CDC511B"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FP</w:t>
            </w:r>
          </w:p>
        </w:tc>
        <w:tc>
          <w:tcPr>
            <w:tcW w:w="483" w:type="dxa"/>
            <w:noWrap/>
            <w:hideMark/>
          </w:tcPr>
          <w:p w14:paraId="6B203D24"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TN</w:t>
            </w:r>
          </w:p>
        </w:tc>
        <w:tc>
          <w:tcPr>
            <w:tcW w:w="483" w:type="dxa"/>
            <w:noWrap/>
            <w:hideMark/>
          </w:tcPr>
          <w:p w14:paraId="4ED68118"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FN</w:t>
            </w:r>
          </w:p>
        </w:tc>
        <w:tc>
          <w:tcPr>
            <w:tcW w:w="650" w:type="dxa"/>
          </w:tcPr>
          <w:p w14:paraId="162348AB" w14:textId="77777777" w:rsidR="00E84D7D" w:rsidRPr="00B06723"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B06723">
              <w:rPr>
                <w:rFonts w:ascii="Arial" w:eastAsia="Times New Roman" w:hAnsi="Arial" w:cs="Arial"/>
                <w:color w:val="000000"/>
                <w:sz w:val="20"/>
                <w:szCs w:val="20"/>
                <w:lang w:val="en-US" w:eastAsia="fr-FR"/>
              </w:rPr>
              <w:t>AUC</w:t>
            </w:r>
          </w:p>
        </w:tc>
      </w:tr>
      <w:tr w:rsidR="00E84D7D" w:rsidRPr="00B06723" w14:paraId="6E3E95C2"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bottom w:val="nil"/>
            </w:tcBorders>
            <w:noWrap/>
          </w:tcPr>
          <w:p w14:paraId="4EAD8936" w14:textId="3FC55591" w:rsidR="00E84D7D" w:rsidRPr="00B06723" w:rsidRDefault="00E84D7D" w:rsidP="0000574D">
            <w:pPr>
              <w:spacing w:before="240"/>
              <w:jc w:val="both"/>
              <w:rPr>
                <w:rFonts w:ascii="Arial" w:hAnsi="Arial" w:cs="Arial"/>
                <w:sz w:val="20"/>
                <w:szCs w:val="20"/>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{"citationID":"a7ur9ofjtc","properties":{"formattedCitation":"\\uldash{(Nobrega et al., 2025)}","plainCitation":"(Nobrega et al., 2025)","dontUpdate":true,"noteIndex":0},"citationItems":[{"id":8044,"uris":["http://zotero.org/users/3583561/items/8PCIWI7G"],"itemData":{"id":8044,"type":"article-journal","abstract":"MicroRNAs can be found intracellularly incorporated into extracellular vesicles (EV-miRNAs) or extracellularly as cell-free miRNAs (cf-miRNAs). This study aimed to compare the diagnostic and prognostic potential of four miRNAs with recognized roles in prostate cancer as cf-miRNAs and EV-miRNAs, obtained from liquid biopsies (LB). Total RNA was isolated from whole plasma and plasma EVs from 15 controls (CTR) and 30 patients (20 with localized prostate cancer (PCa), 10 with metastatic prostate cancer (mPCa)). The miRNAs were quantified by RT-qPCR and the relative expression of these miRNAs was compared between the three groups, and their associations with clinicopathological parameters were assessed. Receiver operating characteristic (ROC) curves were performed to evaluate the diagnostic potential of the miRNAs in discriminating different groups. Overall, EV-miRNAs showed higher expression compared to cf-miRNAs. All EV-miRNAs analyzed showed diagnostic potential with an area under the curve (AUC) above 0.744. EV-miR-21-5p, EV-miR-375-3p, and EV-miR-1290-3p were overexpressed in PCa and mPCa compared to CTR, while EV-miR-200c-3p was overexpressed only in mPCa in comparison to CTR. Remarkably, EV-miR-375-3p and EV-miR-1290-3p could differentiate mPCa with ISUP ≥ 3, demonstrating their prognostic potential. In addition, EV-miR-1290-3p and EV-4-miR-panel detected patients with PSA &gt; 10 ng/mL. Cf-miRNAs performed lower than EV-miRNAs, which can be explained by the greater stability and specificity of EV-miRNAs, making them superior to cf-miRNA. The results show that LB, a non-invasive strategy, is clinically feasible to identify EV-miRNAs as biomarkers for PCa and may provide additional information for assessing PCa risk stratification.","container-title":"Gene","DOI":"10.1016/j.gene.2024.149186","ISSN":"0378-1119","journalAbbreviation":"Gene","page":"149186","source":"ScienceDirect","title":"Comparative analysis of extracellular vesicles miRNAs (EV-miRNAs) and cell-free microRNAs (cf-miRNAs) reveals that EV-miRNAs are more promising as diagnostic and prognostic biomarkers for prostate cancer","URL":"https://www.sciencedirect.com/science/article/pii/S0378111924010679","volume":"939","author":[{"family":"Nobrega","given":"Monyse"},{"family":"Reis","given":"Mariana Bisarro","dropping-particle":"dos"},{"family":"Souza","given":"Marilesia Ferreira","dropping-particle":"de"},{"family":"Furini","given":"Hector Hugo"},{"family":"Costa Brandão Berti","given":"Fernanda"},{"family":"Souza","given":"Ingrid Larissa Melo"},{"family":"Mingorance Carvalho","given":"Tamyres"},{"family":"Zanata","given":"Silvio M."},{"family":"Fuganti","given":"Paulo Emilio"},{"family":"Malheiros","given":"Danielle"},{"family":"Ribeiro","given":"Enilze Maria de Souza Fonseca"},{"family":"Cólus","given":"Ilce Mara de Syllos"}],"accessed":{"date-parts":[["2025",5,21]]},"issued":{"date-parts":[["2025",3,5]]}}}],"schema":"https://github.com/citation-style-language/schema/raw/master/csl-citation.json"}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Nobrega et al., 2025</w:t>
            </w:r>
            <w:r w:rsidRPr="00B06723">
              <w:rPr>
                <w:rFonts w:ascii="Arial" w:hAnsi="Arial" w:cs="Arial"/>
                <w:color w:val="000000"/>
                <w:lang w:eastAsia="fr-FR"/>
              </w:rPr>
              <w:fldChar w:fldCharType="end"/>
            </w:r>
          </w:p>
        </w:tc>
        <w:tc>
          <w:tcPr>
            <w:tcW w:w="1084" w:type="dxa"/>
            <w:tcBorders>
              <w:bottom w:val="nil"/>
            </w:tcBorders>
            <w:noWrap/>
          </w:tcPr>
          <w:p w14:paraId="27BD658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Brazil</w:t>
            </w:r>
          </w:p>
        </w:tc>
        <w:tc>
          <w:tcPr>
            <w:tcW w:w="927" w:type="dxa"/>
            <w:tcBorders>
              <w:bottom w:val="nil"/>
            </w:tcBorders>
          </w:tcPr>
          <w:p w14:paraId="27EB951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HP</w:t>
            </w:r>
          </w:p>
        </w:tc>
        <w:tc>
          <w:tcPr>
            <w:tcW w:w="695" w:type="dxa"/>
            <w:tcBorders>
              <w:bottom w:val="nil"/>
            </w:tcBorders>
            <w:noWrap/>
          </w:tcPr>
          <w:p w14:paraId="13C2CEE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30</w:t>
            </w:r>
          </w:p>
        </w:tc>
        <w:tc>
          <w:tcPr>
            <w:tcW w:w="927" w:type="dxa"/>
            <w:tcBorders>
              <w:bottom w:val="nil"/>
            </w:tcBorders>
            <w:noWrap/>
          </w:tcPr>
          <w:p w14:paraId="33871A1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15</w:t>
            </w:r>
          </w:p>
        </w:tc>
        <w:tc>
          <w:tcPr>
            <w:tcW w:w="1361" w:type="dxa"/>
            <w:tcBorders>
              <w:bottom w:val="nil"/>
            </w:tcBorders>
            <w:noWrap/>
          </w:tcPr>
          <w:p w14:paraId="6101302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Plasma</w:t>
            </w:r>
          </w:p>
        </w:tc>
        <w:tc>
          <w:tcPr>
            <w:tcW w:w="1172" w:type="dxa"/>
            <w:tcBorders>
              <w:bottom w:val="nil"/>
            </w:tcBorders>
          </w:tcPr>
          <w:p w14:paraId="05A1712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bottom w:val="nil"/>
            </w:tcBorders>
            <w:noWrap/>
          </w:tcPr>
          <w:p w14:paraId="1D7DEFD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miR</w:t>
            </w:r>
            <w:proofErr w:type="gramEnd"/>
            <w:r w:rsidRPr="00B06723">
              <w:rPr>
                <w:rFonts w:ascii="Arial" w:eastAsia="Times New Roman" w:hAnsi="Arial" w:cs="Arial"/>
                <w:color w:val="000000"/>
                <w:sz w:val="20"/>
                <w:szCs w:val="20"/>
                <w:lang w:eastAsia="fr-FR"/>
              </w:rPr>
              <w:t>-21</w:t>
            </w:r>
          </w:p>
        </w:tc>
        <w:tc>
          <w:tcPr>
            <w:tcW w:w="717" w:type="dxa"/>
            <w:tcBorders>
              <w:bottom w:val="nil"/>
            </w:tcBorders>
            <w:noWrap/>
          </w:tcPr>
          <w:p w14:paraId="036686F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78.00</w:t>
            </w:r>
          </w:p>
        </w:tc>
        <w:tc>
          <w:tcPr>
            <w:tcW w:w="717" w:type="dxa"/>
            <w:tcBorders>
              <w:bottom w:val="nil"/>
            </w:tcBorders>
            <w:noWrap/>
          </w:tcPr>
          <w:p w14:paraId="0F554BC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64.00</w:t>
            </w:r>
          </w:p>
        </w:tc>
        <w:tc>
          <w:tcPr>
            <w:tcW w:w="550" w:type="dxa"/>
            <w:tcBorders>
              <w:bottom w:val="nil"/>
            </w:tcBorders>
            <w:noWrap/>
          </w:tcPr>
          <w:p w14:paraId="564845F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23</w:t>
            </w:r>
          </w:p>
        </w:tc>
        <w:tc>
          <w:tcPr>
            <w:tcW w:w="472" w:type="dxa"/>
            <w:tcBorders>
              <w:bottom w:val="nil"/>
            </w:tcBorders>
            <w:noWrap/>
          </w:tcPr>
          <w:p w14:paraId="2DB1E60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5</w:t>
            </w:r>
          </w:p>
        </w:tc>
        <w:tc>
          <w:tcPr>
            <w:tcW w:w="483" w:type="dxa"/>
            <w:tcBorders>
              <w:bottom w:val="nil"/>
            </w:tcBorders>
            <w:noWrap/>
          </w:tcPr>
          <w:p w14:paraId="1CD39D8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10</w:t>
            </w:r>
          </w:p>
        </w:tc>
        <w:tc>
          <w:tcPr>
            <w:tcW w:w="483" w:type="dxa"/>
            <w:tcBorders>
              <w:bottom w:val="nil"/>
            </w:tcBorders>
            <w:noWrap/>
          </w:tcPr>
          <w:p w14:paraId="7D4FE45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7</w:t>
            </w:r>
          </w:p>
        </w:tc>
        <w:tc>
          <w:tcPr>
            <w:tcW w:w="650" w:type="dxa"/>
            <w:tcBorders>
              <w:bottom w:val="nil"/>
            </w:tcBorders>
          </w:tcPr>
          <w:p w14:paraId="7CF8C23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0.74</w:t>
            </w:r>
          </w:p>
        </w:tc>
      </w:tr>
      <w:tr w:rsidR="00E84D7D" w:rsidRPr="00B06723" w14:paraId="5454D70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2042A16" w14:textId="1C84BB8C" w:rsidR="00E84D7D" w:rsidRPr="00B06723" w:rsidRDefault="00E84D7D" w:rsidP="0000574D">
            <w:pPr>
              <w:spacing w:before="240"/>
              <w:jc w:val="both"/>
              <w:rPr>
                <w:rFonts w:ascii="Arial" w:eastAsia="Times New Roman" w:hAnsi="Arial" w:cs="Arial"/>
                <w:b w:val="0"/>
                <w:bCs w:val="0"/>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{"citationID":"au5e3sppbp","properties":{"formattedCitation":"\\uldash{(Gunawan et al., 2023)}","plainCitation":"(Gunawan et al., 2023)","dontUpdate":true,"noteIndex":0},"citationItems":[{"id":54,"uris":["http://zotero.org/users/local/Wg7jwtUt/items/FUUKQGT5","http://zotero.org/users/3583561/items/FUUKQGT5"],"itemData":{"id":54,"type":"article-journal","abstract":"OBJECTIVE: This study aimed to explore the diagnostic performance of miRNA-21 to differentiate between Prostate Cancer (PCa) and Benign Prostatic Hyperplasia (BPH) patients in Indonesia.\nMETHODS: Urine samples were collected from each PCa and BPH patient. miRNA-21 relative expression against the reference gene was analyzed and compared between the two. miRNA expression was then analyzed using the comparative quantification method to find the fold change. miR-21 validity in identifying PCa patients was performed by quantifying the sensitivity and specificity using samples in this study.\nRESULT: The results of this study indicated that miRNA-21 relative expression against miRNA-16 in PCa and BPH showed 12.95 differences in fold change. Moreover, using prostate biopsy as the gold standard to differentiate PCa and BPH, miRNA-21 Cq expression has 100% sensitivity and 75% specificity in differentiating the two.\nCONCLUSION: miRNA-21 relative expression can be used to discriminate PCa from BPH by using a urine sample. Furthermore, the expression of miR-21 has higher sensitivity than PSA; therefore, miR-21 has a high potential to be analyzed and developed further for clinical diagnosis of prostate cancer.","container-title":"Asian Pacific journal of cancer prevention: APJCP","DOI":"10.31557/APJCP.2023.24.3.1095","ISSN":"2476-762X","issue":"3","journalAbbreviation":"Asian Pac J Cancer Prev","language":"eng","note":"PMID: 36974566","page":"1095-1099","source":"PubMed","title":"miRNA-21 as High Potential Prostate Cancer Biomarker in Prostate Cancer Patients in Indonesia","volume":"24","author":[{"family":"Gunawan","given":"Regina R."},{"family":"Astuti","given":"Indwiani"},{"family":"Danarto","given":"H. Raden"}],"issued":{"date-parts":[["2023",3,1]]}}}],"schema":"https://github.com/citation-style-language/schema/raw/master/csl-citation.json"}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Gunawan et al., 2023</w:t>
            </w:r>
            <w:r w:rsidRPr="00B06723">
              <w:rPr>
                <w:rFonts w:ascii="Arial" w:hAnsi="Arial" w:cs="Arial"/>
                <w:color w:val="000000"/>
                <w:lang w:eastAsia="fr-FR"/>
              </w:rPr>
              <w:fldChar w:fldCharType="end"/>
            </w:r>
          </w:p>
        </w:tc>
        <w:tc>
          <w:tcPr>
            <w:tcW w:w="1084" w:type="dxa"/>
            <w:tcBorders>
              <w:top w:val="nil"/>
              <w:bottom w:val="nil"/>
            </w:tcBorders>
            <w:noWrap/>
          </w:tcPr>
          <w:p w14:paraId="46E8846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Indonesia</w:t>
            </w:r>
          </w:p>
        </w:tc>
        <w:tc>
          <w:tcPr>
            <w:tcW w:w="927" w:type="dxa"/>
            <w:tcBorders>
              <w:top w:val="nil"/>
              <w:bottom w:val="nil"/>
            </w:tcBorders>
          </w:tcPr>
          <w:p w14:paraId="612D5DC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24748C9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927" w:type="dxa"/>
            <w:tcBorders>
              <w:top w:val="nil"/>
              <w:bottom w:val="nil"/>
            </w:tcBorders>
            <w:noWrap/>
          </w:tcPr>
          <w:p w14:paraId="264348A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1361" w:type="dxa"/>
            <w:tcBorders>
              <w:top w:val="nil"/>
              <w:bottom w:val="nil"/>
            </w:tcBorders>
            <w:noWrap/>
          </w:tcPr>
          <w:p w14:paraId="7E467AB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Urinary (exosomes)</w:t>
            </w:r>
          </w:p>
        </w:tc>
        <w:tc>
          <w:tcPr>
            <w:tcW w:w="1172" w:type="dxa"/>
            <w:tcBorders>
              <w:top w:val="nil"/>
              <w:bottom w:val="nil"/>
            </w:tcBorders>
          </w:tcPr>
          <w:p w14:paraId="70DFA99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4F799BF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0760F65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100</w:t>
            </w:r>
          </w:p>
        </w:tc>
        <w:tc>
          <w:tcPr>
            <w:tcW w:w="717" w:type="dxa"/>
            <w:tcBorders>
              <w:top w:val="nil"/>
              <w:bottom w:val="nil"/>
            </w:tcBorders>
            <w:noWrap/>
          </w:tcPr>
          <w:p w14:paraId="2DD68C5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75.00</w:t>
            </w:r>
          </w:p>
        </w:tc>
        <w:tc>
          <w:tcPr>
            <w:tcW w:w="550" w:type="dxa"/>
            <w:tcBorders>
              <w:top w:val="nil"/>
              <w:bottom w:val="nil"/>
            </w:tcBorders>
            <w:noWrap/>
          </w:tcPr>
          <w:p w14:paraId="1AD2DCA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472" w:type="dxa"/>
            <w:tcBorders>
              <w:top w:val="nil"/>
              <w:bottom w:val="nil"/>
            </w:tcBorders>
            <w:noWrap/>
          </w:tcPr>
          <w:p w14:paraId="266857A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5</w:t>
            </w:r>
          </w:p>
        </w:tc>
        <w:tc>
          <w:tcPr>
            <w:tcW w:w="483" w:type="dxa"/>
            <w:tcBorders>
              <w:top w:val="nil"/>
              <w:bottom w:val="nil"/>
            </w:tcBorders>
            <w:noWrap/>
          </w:tcPr>
          <w:p w14:paraId="0BF758B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15</w:t>
            </w:r>
          </w:p>
        </w:tc>
        <w:tc>
          <w:tcPr>
            <w:tcW w:w="483" w:type="dxa"/>
            <w:tcBorders>
              <w:top w:val="nil"/>
              <w:bottom w:val="nil"/>
            </w:tcBorders>
            <w:noWrap/>
          </w:tcPr>
          <w:p w14:paraId="2B1437E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0</w:t>
            </w:r>
          </w:p>
        </w:tc>
        <w:tc>
          <w:tcPr>
            <w:tcW w:w="650" w:type="dxa"/>
            <w:tcBorders>
              <w:top w:val="nil"/>
              <w:bottom w:val="nil"/>
            </w:tcBorders>
          </w:tcPr>
          <w:p w14:paraId="41B192A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r>
      <w:tr w:rsidR="00E84D7D" w:rsidRPr="00B06723" w14:paraId="4A0A53C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5CB169E" w14:textId="72705515"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{"citationID":"a2b47fdd9f0","properties":{"formattedCitation":"\\uldash{(Giglio et al., 2021)}","plainCitation":"(Giglio et al., 2021)","dontUpdate":true,"noteIndex":0},"citationItems":[{"id":696,"uris":["http://zotero.org/users/3583561/items/CXU578V5"],"itemData":{"id":696,"type":"article-journal","abstract":"BACKGROUND: A prostate cancer diagnosis is based on biopsy sampling that is an invasive, expensive procedure, and doesn't accurately represent multifocal disease.\nMETHODS: To establish a model using plasma miRs to distinguish Prostate cancer patients from non-cancer controls, we enrolled 600 patients histologically diagnosed as having or not prostate cancer at biopsy. Two hundred ninety patients were eligible for the analysis. Samples were randomly divided into discovery and validation cohorts.\nRESULTS: NGS-miR-expression profiling revealed a miRs signature able to distinguish prostate cancer from non-cancer plasma samples. Of 51 miRs selected in the discovery cohort, we successfully validated 5 miRs (4732-3p, 98-5p, let-7a-5p, 26b-5p, and 21-5p) deregulated in prostate cancer samples compared to controls (p ≤ 0.05). Multivariate and ROC analyses show miR-26b-5p as a strong predictor of PCa, with an AUC of 0.89 (CI = 0.83-0.95;p &lt; 0.001). Combining miRs 26b-5p and 98-5p, we developed a model that has the best predictive power in discriminating prostate cancer from non-cancer (AUC = 0.94; CI: 0,835-0,954). To distinguish between low and high-grade prostate cancer, we found that miR-4732-3p levels were significantly higher; instead, miR-26b-5p and miR-98-5p levels were lower in low-grade compared to the high-grade group (p ≤ 0.05). Combining miR-26b-5p and miR-4732-3p we have the highest diagnostic accuracy for high-grade prostate cancer patients, (AUC = 0.80; CI 0,69-0,873).\nCONCLUSIONS: Noninvasive diagnostic tests may reduce the number of unnecessary prostate biopsies. The 2-miRs-diagnostic model (miR-26b-5p and miR-98-5p) and the 2-miRs-grade model (miR-26b-5p and miR-4732-3p) are promising minimally invasive tools in prostate cancer clinical management.","container-title":"Journal of experimental &amp; clinical cancer research: CR","DOI":"10.1186/s13046-021-01875-0","ISSN":"1756-9966","issue":"1","journalAbbreviation":"J Exp Clin Cancer Res","language":"eng","note":"PMID: 33622375\nPMCID: PMC7903618","page":"79","source":"PubMed","title":"A preliminary study of micro-RNAs as minimally invasive biomarkers for the diagnosis of prostate cancer patients","volume":"40","author":[{"family":"Giglio","given":"Simona"},{"family":"De Nunzio","given":"Cosimo"},{"family":"Cirombella","given":"Roberto"},{"family":"Stoppacciaro","given":"Antonella"},{"family":"Faruq","given":"Omar"},{"family":"Volinia","given":"Stefano"},{"family":"Baldassarre","given":"Gustavo"},{"family":"Tubaro","given":"Andrea"},{"family":"Ishii","given":"Hideshi"},{"family":"Croce","given":"Carlo M."},{"family":"Vecchione","given":"Andrea"}],"issued":{"date-parts":[["2021",2,23]]}}}],"schema":"https://github.com/citation-style-language/schema/raw/master/csl-citation.json"}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Giglio et al., 2021</w:t>
            </w:r>
            <w:r w:rsidRPr="00B06723">
              <w:rPr>
                <w:rFonts w:ascii="Arial" w:hAnsi="Arial" w:cs="Arial"/>
                <w:color w:val="000000"/>
                <w:lang w:eastAsia="fr-FR"/>
              </w:rPr>
              <w:fldChar w:fldCharType="end"/>
            </w:r>
          </w:p>
        </w:tc>
        <w:tc>
          <w:tcPr>
            <w:tcW w:w="1084" w:type="dxa"/>
            <w:tcBorders>
              <w:top w:val="nil"/>
              <w:bottom w:val="nil"/>
            </w:tcBorders>
            <w:noWrap/>
          </w:tcPr>
          <w:p w14:paraId="1845704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B06723">
              <w:rPr>
                <w:rFonts w:ascii="Arial" w:eastAsia="Times New Roman" w:hAnsi="Arial" w:cs="Arial"/>
                <w:color w:val="000000"/>
                <w:sz w:val="20"/>
                <w:szCs w:val="20"/>
                <w:lang w:eastAsia="fr-FR"/>
              </w:rPr>
              <w:t>Italiy</w:t>
            </w:r>
            <w:proofErr w:type="spellEnd"/>
          </w:p>
        </w:tc>
        <w:tc>
          <w:tcPr>
            <w:tcW w:w="927" w:type="dxa"/>
            <w:tcBorders>
              <w:top w:val="nil"/>
              <w:bottom w:val="nil"/>
            </w:tcBorders>
          </w:tcPr>
          <w:p w14:paraId="3AF100D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BPH</w:t>
            </w:r>
          </w:p>
        </w:tc>
        <w:tc>
          <w:tcPr>
            <w:tcW w:w="695" w:type="dxa"/>
            <w:tcBorders>
              <w:top w:val="nil"/>
              <w:bottom w:val="nil"/>
            </w:tcBorders>
            <w:noWrap/>
          </w:tcPr>
          <w:p w14:paraId="4AB97ED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45</w:t>
            </w:r>
          </w:p>
        </w:tc>
        <w:tc>
          <w:tcPr>
            <w:tcW w:w="927" w:type="dxa"/>
            <w:tcBorders>
              <w:top w:val="nil"/>
              <w:bottom w:val="nil"/>
            </w:tcBorders>
            <w:noWrap/>
          </w:tcPr>
          <w:p w14:paraId="4944A07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65</w:t>
            </w:r>
          </w:p>
        </w:tc>
        <w:tc>
          <w:tcPr>
            <w:tcW w:w="1361" w:type="dxa"/>
            <w:tcBorders>
              <w:top w:val="nil"/>
              <w:bottom w:val="nil"/>
            </w:tcBorders>
            <w:noWrap/>
          </w:tcPr>
          <w:p w14:paraId="68CC568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Plasma</w:t>
            </w:r>
          </w:p>
        </w:tc>
        <w:tc>
          <w:tcPr>
            <w:tcW w:w="1172" w:type="dxa"/>
            <w:tcBorders>
              <w:top w:val="nil"/>
              <w:bottom w:val="nil"/>
            </w:tcBorders>
          </w:tcPr>
          <w:p w14:paraId="021FA74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B06723">
              <w:rPr>
                <w:rFonts w:ascii="Arial" w:eastAsia="Times New Roman" w:hAnsi="Arial" w:cs="Arial"/>
                <w:color w:val="000000"/>
                <w:sz w:val="20"/>
                <w:szCs w:val="20"/>
                <w:lang w:eastAsia="fr-FR"/>
              </w:rPr>
              <w:t>ddPCR</w:t>
            </w:r>
            <w:proofErr w:type="spellEnd"/>
            <w:proofErr w:type="gramEnd"/>
          </w:p>
        </w:tc>
        <w:tc>
          <w:tcPr>
            <w:tcW w:w="1206" w:type="dxa"/>
            <w:tcBorders>
              <w:top w:val="nil"/>
              <w:bottom w:val="nil"/>
            </w:tcBorders>
            <w:noWrap/>
          </w:tcPr>
          <w:p w14:paraId="1361E1E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miR</w:t>
            </w:r>
            <w:proofErr w:type="gramEnd"/>
            <w:r w:rsidRPr="00B06723">
              <w:rPr>
                <w:rFonts w:ascii="Arial" w:eastAsia="Times New Roman" w:hAnsi="Arial" w:cs="Arial"/>
                <w:color w:val="000000"/>
                <w:sz w:val="20"/>
                <w:szCs w:val="20"/>
                <w:lang w:eastAsia="fr-FR"/>
              </w:rPr>
              <w:t>-21</w:t>
            </w:r>
          </w:p>
        </w:tc>
        <w:tc>
          <w:tcPr>
            <w:tcW w:w="717" w:type="dxa"/>
            <w:tcBorders>
              <w:top w:val="nil"/>
              <w:bottom w:val="nil"/>
            </w:tcBorders>
            <w:noWrap/>
          </w:tcPr>
          <w:p w14:paraId="2D2540B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717" w:type="dxa"/>
            <w:tcBorders>
              <w:top w:val="nil"/>
              <w:bottom w:val="nil"/>
            </w:tcBorders>
            <w:noWrap/>
          </w:tcPr>
          <w:p w14:paraId="093010B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550" w:type="dxa"/>
            <w:tcBorders>
              <w:top w:val="nil"/>
              <w:bottom w:val="nil"/>
            </w:tcBorders>
            <w:noWrap/>
          </w:tcPr>
          <w:p w14:paraId="13FCD48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72" w:type="dxa"/>
            <w:tcBorders>
              <w:top w:val="nil"/>
              <w:bottom w:val="nil"/>
            </w:tcBorders>
            <w:noWrap/>
          </w:tcPr>
          <w:p w14:paraId="657124E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83" w:type="dxa"/>
            <w:tcBorders>
              <w:top w:val="nil"/>
              <w:bottom w:val="nil"/>
            </w:tcBorders>
            <w:noWrap/>
          </w:tcPr>
          <w:p w14:paraId="40A20CD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83" w:type="dxa"/>
            <w:tcBorders>
              <w:top w:val="nil"/>
              <w:bottom w:val="nil"/>
            </w:tcBorders>
            <w:noWrap/>
          </w:tcPr>
          <w:p w14:paraId="23D4245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650" w:type="dxa"/>
            <w:tcBorders>
              <w:top w:val="nil"/>
              <w:bottom w:val="nil"/>
            </w:tcBorders>
          </w:tcPr>
          <w:p w14:paraId="1C8233C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0.68</w:t>
            </w:r>
          </w:p>
        </w:tc>
      </w:tr>
      <w:tr w:rsidR="00E84D7D" w:rsidRPr="00B06723" w14:paraId="7825ED45"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93BFEDD" w14:textId="64E9F5AA"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{"citationID":"afvs286505","properties":{"formattedCitation":"\\uldash{(Kim et al., 2021)}","plainCitation":"(Kim et al., 2021)","dontUpdate":true,"noteIndex":0},"citationItems":[{"id":702,"uris":["http://zotero.org/users/3583561/items/GL5QSYHK"],"itemData":{"id":702,"type":"article-journal","abstract":"Extracellular vesicles (EVs) contain various types of molecules including micro-RNAs, so isolating EVs can be an effective way to analyze and diagnose diseases. A lot of micro-RNAs have been known in relation to prostate cancer (PCa), and we evaluate miR-21, miR-141, and miR-221 in EVs and compare them with prostate-specific antigen (PSA). EVs were isolated from plasma of 38 patients with prostate cancer and 8 patients with benign prostatic hyperplasia (BPH), using a method that showed the highest recovery of RNA. Isolation of EVs concentrated micro-RNAs, reducing the cycle threshold (Ct) value of RT-qPCR amplification of micro-RNA such as miR-16 by 5.12 and miR-191 by 4.65, compared to the values before EV isolation. Normalization of target micro-RNAs was done using miR-191. For miR-221, the mean expression level of patients with localized PCa was significantly higher than that of the control group, having 33.45 times higher expression than the control group (p &lt; 0.01). Area under curve (AUC) between BPH and PCa for miR-221 was 0.98 (p &lt; 0.0001), which was better than AUC for prostate-specific antigen (PSA) level in serum for the same patients. The levels of miR-21 and miR-141 in EVs did not show significant changes in patients with PCa compared to the control group in this study. This study suggests isolating EVs can be a helpful approach in analyzing micro-RNAs with regard to disease.","container-title":"PloS One","DOI":"10.1371/journal.pone.0262017","ISSN":"1932-6203","issue":"12","journalAbbreviation":"PLoS One","language":"eng","note":"PMID: 34972164\nPMCID: PMC8719659","page":"e0262017","source":"PubMed","title":"Evaluation of micro-RNA in extracellular vesicles from blood of patients with prostate cancer","volume":"16","author":[{"family":"Kim","given":"Jiyoon"},{"family":"Cho","given":"Siwoo"},{"family":"Park","given":"Yonghyun"},{"family":"Lee","given":"Jiyoul"},{"family":"Park","given":"Jaesung"}],"issued":{"date-parts":[["2021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Kim et al., 2021</w:t>
            </w:r>
            <w:r w:rsidRPr="00B06723">
              <w:rPr>
                <w:rFonts w:ascii="Arial" w:hAnsi="Arial" w:cs="Arial"/>
                <w:color w:val="000000"/>
                <w:lang w:eastAsia="fr-FR"/>
              </w:rPr>
              <w:fldChar w:fldCharType="end"/>
            </w:r>
          </w:p>
        </w:tc>
        <w:tc>
          <w:tcPr>
            <w:tcW w:w="1084" w:type="dxa"/>
            <w:tcBorders>
              <w:top w:val="nil"/>
              <w:bottom w:val="nil"/>
            </w:tcBorders>
            <w:noWrap/>
          </w:tcPr>
          <w:p w14:paraId="559A985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Korea</w:t>
            </w:r>
          </w:p>
        </w:tc>
        <w:tc>
          <w:tcPr>
            <w:tcW w:w="927" w:type="dxa"/>
            <w:tcBorders>
              <w:top w:val="nil"/>
              <w:bottom w:val="nil"/>
            </w:tcBorders>
          </w:tcPr>
          <w:p w14:paraId="26D25CD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6F3FFF1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38</w:t>
            </w:r>
          </w:p>
        </w:tc>
        <w:tc>
          <w:tcPr>
            <w:tcW w:w="927" w:type="dxa"/>
            <w:tcBorders>
              <w:top w:val="nil"/>
              <w:bottom w:val="nil"/>
            </w:tcBorders>
            <w:noWrap/>
          </w:tcPr>
          <w:p w14:paraId="0529F98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w:t>
            </w:r>
          </w:p>
        </w:tc>
        <w:tc>
          <w:tcPr>
            <w:tcW w:w="1361" w:type="dxa"/>
            <w:tcBorders>
              <w:top w:val="nil"/>
              <w:bottom w:val="nil"/>
            </w:tcBorders>
            <w:noWrap/>
          </w:tcPr>
          <w:p w14:paraId="3656D11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 (</w:t>
            </w:r>
            <w:proofErr w:type="spellStart"/>
            <w:r w:rsidRPr="00B06723">
              <w:rPr>
                <w:rFonts w:ascii="Arial" w:eastAsia="Times New Roman" w:hAnsi="Arial" w:cs="Arial"/>
                <w:color w:val="000000"/>
                <w:sz w:val="20"/>
                <w:szCs w:val="20"/>
                <w:lang w:val="en-US" w:eastAsia="fr-FR"/>
              </w:rPr>
              <w:t>exsosomes</w:t>
            </w:r>
            <w:proofErr w:type="spellEnd"/>
            <w:r w:rsidRPr="00B06723">
              <w:rPr>
                <w:rFonts w:ascii="Arial" w:eastAsia="Times New Roman" w:hAnsi="Arial" w:cs="Arial"/>
                <w:color w:val="000000"/>
                <w:sz w:val="20"/>
                <w:szCs w:val="20"/>
                <w:lang w:val="en-US" w:eastAsia="fr-FR"/>
              </w:rPr>
              <w:t>)</w:t>
            </w:r>
          </w:p>
        </w:tc>
        <w:tc>
          <w:tcPr>
            <w:tcW w:w="1172" w:type="dxa"/>
            <w:tcBorders>
              <w:top w:val="nil"/>
              <w:bottom w:val="nil"/>
            </w:tcBorders>
          </w:tcPr>
          <w:p w14:paraId="3B9F39E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667D9D7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7C0E1DA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449406C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7DD3DC6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43BC11E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210859C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58693FB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58BD7B0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0.64</w:t>
            </w:r>
          </w:p>
        </w:tc>
      </w:tr>
      <w:tr w:rsidR="00E84D7D" w:rsidRPr="00B06723" w14:paraId="5570E52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20C6A93" w14:textId="3CDBC724" w:rsidR="00E84D7D" w:rsidRPr="00B06723" w:rsidRDefault="00E84D7D" w:rsidP="0000574D">
            <w:pPr>
              <w:spacing w:before="240"/>
              <w:jc w:val="both"/>
              <w:rPr>
                <w:rFonts w:ascii="Arial" w:eastAsia="Times New Roman" w:hAnsi="Arial" w:cs="Arial"/>
                <w:b w:val="0"/>
                <w:bCs w:val="0"/>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{"citationID":"a15vqo7qtfn","properties":{"formattedCitation":"\\uldash{(Ciszkowicz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Ciszkowicz et al., 2020</w:t>
            </w:r>
            <w:r w:rsidRPr="00B06723">
              <w:rPr>
                <w:rFonts w:ascii="Arial" w:hAnsi="Arial" w:cs="Arial"/>
                <w:color w:val="000000"/>
                <w:lang w:eastAsia="fr-FR"/>
              </w:rPr>
              <w:fldChar w:fldCharType="end"/>
            </w:r>
          </w:p>
        </w:tc>
        <w:tc>
          <w:tcPr>
            <w:tcW w:w="1084" w:type="dxa"/>
            <w:tcBorders>
              <w:top w:val="nil"/>
              <w:bottom w:val="nil"/>
            </w:tcBorders>
            <w:noWrap/>
          </w:tcPr>
          <w:p w14:paraId="6012143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Poland</w:t>
            </w:r>
          </w:p>
        </w:tc>
        <w:tc>
          <w:tcPr>
            <w:tcW w:w="927" w:type="dxa"/>
            <w:tcBorders>
              <w:top w:val="nil"/>
              <w:bottom w:val="nil"/>
            </w:tcBorders>
          </w:tcPr>
          <w:p w14:paraId="309EEF6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5C541A3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40</w:t>
            </w:r>
          </w:p>
        </w:tc>
        <w:tc>
          <w:tcPr>
            <w:tcW w:w="927" w:type="dxa"/>
            <w:tcBorders>
              <w:top w:val="nil"/>
              <w:bottom w:val="nil"/>
            </w:tcBorders>
            <w:noWrap/>
          </w:tcPr>
          <w:p w14:paraId="217D8B5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62</w:t>
            </w:r>
          </w:p>
        </w:tc>
        <w:tc>
          <w:tcPr>
            <w:tcW w:w="1361" w:type="dxa"/>
            <w:tcBorders>
              <w:top w:val="nil"/>
              <w:bottom w:val="nil"/>
            </w:tcBorders>
            <w:noWrap/>
          </w:tcPr>
          <w:p w14:paraId="6858462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1D88181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09100C1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47AD500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50.00</w:t>
            </w:r>
          </w:p>
        </w:tc>
        <w:tc>
          <w:tcPr>
            <w:tcW w:w="717" w:type="dxa"/>
            <w:tcBorders>
              <w:top w:val="nil"/>
              <w:bottom w:val="nil"/>
            </w:tcBorders>
            <w:noWrap/>
          </w:tcPr>
          <w:p w14:paraId="5EE4362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92.00</w:t>
            </w:r>
          </w:p>
        </w:tc>
        <w:tc>
          <w:tcPr>
            <w:tcW w:w="550" w:type="dxa"/>
            <w:tcBorders>
              <w:top w:val="nil"/>
              <w:bottom w:val="nil"/>
            </w:tcBorders>
            <w:noWrap/>
          </w:tcPr>
          <w:p w14:paraId="73FE113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472" w:type="dxa"/>
            <w:tcBorders>
              <w:top w:val="nil"/>
              <w:bottom w:val="nil"/>
            </w:tcBorders>
            <w:noWrap/>
          </w:tcPr>
          <w:p w14:paraId="74E75AC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5</w:t>
            </w:r>
          </w:p>
        </w:tc>
        <w:tc>
          <w:tcPr>
            <w:tcW w:w="483" w:type="dxa"/>
            <w:tcBorders>
              <w:top w:val="nil"/>
              <w:bottom w:val="nil"/>
            </w:tcBorders>
            <w:noWrap/>
          </w:tcPr>
          <w:p w14:paraId="6A92381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57</w:t>
            </w:r>
          </w:p>
        </w:tc>
        <w:tc>
          <w:tcPr>
            <w:tcW w:w="483" w:type="dxa"/>
            <w:tcBorders>
              <w:top w:val="nil"/>
              <w:bottom w:val="nil"/>
            </w:tcBorders>
            <w:noWrap/>
          </w:tcPr>
          <w:p w14:paraId="067DD1C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650" w:type="dxa"/>
            <w:tcBorders>
              <w:top w:val="nil"/>
              <w:bottom w:val="nil"/>
            </w:tcBorders>
          </w:tcPr>
          <w:p w14:paraId="23E64EF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0.75</w:t>
            </w:r>
          </w:p>
        </w:tc>
      </w:tr>
      <w:tr w:rsidR="00E84D7D" w:rsidRPr="00B06723" w14:paraId="5534039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713C735" w14:textId="42C44A5F"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{"citationID":"a2bkindookn","properties":{"formattedCitation":"\\uldash{(Ghorbanmehr et al., 2019)}","plainCitation":"(Ghorbanmehr et al., 2019)","dontUpdate":true,"noteIndex":0},"citationItems":[{"id":635,"uris":["http://zotero.org/users/3583561/items/F7D6GAQP"],"itemData":{"id":635,"type":"article-journal","abstract":"BACKGROUND: Early detection of cancers improves patients' survival and decreases the treatment cost. Unfortunately, the current methods for diagnosis of bladder and prostate cancers, two most common urothelial malignancies, suffer from a low sensitivity and specificity. MicroRNAs, as a group of endogenously produced non-coding RNAs, regulate gene expression and their expression is observed to be altered in many cancers and cancer progression phenomena. The remarkable stability of microRNAs in biofluids and their unique expression pattern in different pathological conditions make them an appealing, noninvasive diagnostic method in cancer diagnosis. Our objective is to identify microRNAs as biomarkers in urine samples of bladder and prostate cancers to improve the existing diagnostic methods in this field.\nMATERIALS AND METHODS: In this study, urine samples from 110 men with either bladder (n = 45) or prostate (n = 23) cancer, benign prostatic hyperplasia (n = 22) and healthy controls (n = 20) were collected. qPCR was used to evaluate the expression level of miR-21-5p, miR-141-3p, and miR-205-5p in these samples. The sensitivity and specificity of these microRNAs were determined using ROC curve analysis.\nRESULTS: The analysis of the data revealed that miR-21-5p, miR-141-3p, and miR-205-5p are differentially expressed in urine of bladder and prostate cancer patients. All these three microRNAs were upregulated in these samples and they were also able to differentiate benign prostatic hyperplasia from malignant cases. The statistical analyses revealed a good specificity for each individual microRNA.\nCONCLUSION: The results show that these three urine-based microRNAs might be a good choice to implement a specific and non-invasive diagnostic tool for bladder and prostate cancer. The expression pattern of all three microRNAs was particularly useful to distinguish benign and invasive tumors in prostate cases. From the patients' perspective the improvement of the diagnostic situation is awaited eagerly.","container-title":"The Prostate","DOI":"10.1002/pros.23714","ISSN":"1097-0045","issue":"1","journalAbbreviation":"Prostate","language":"eng","note":"PMID: 30194772","page":"88-95","source":"PubMed","title":"miR-21-5p, miR-141-3p, and miR-205-5p levels in urine-promising biomarkers for the identification of prostate and bladder cancer","volume":"79","author":[{"family":"Ghorbanmehr","given":"Nassim"},{"family":"Gharbi","given":"Sedigheh"},{"family":"Korsching","given":"Eberhard"},{"family":"Tavallaei","given":"Mahmood"},{"family":"Einollahi","given":"Behzad"},{"family":"Mowla","given":"Seyed Javad"}],"issued":{"date-parts":[["2019",1]]}}}],"schema":"https://github.com/citation-style-language/schema/raw/master/csl-citation.json"}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Ghorbanmehr et al., 2019</w:t>
            </w:r>
            <w:r w:rsidRPr="00B06723">
              <w:rPr>
                <w:rFonts w:ascii="Arial" w:hAnsi="Arial" w:cs="Arial"/>
                <w:color w:val="000000"/>
                <w:lang w:eastAsia="fr-FR"/>
              </w:rPr>
              <w:fldChar w:fldCharType="end"/>
            </w:r>
          </w:p>
        </w:tc>
        <w:tc>
          <w:tcPr>
            <w:tcW w:w="1084" w:type="dxa"/>
            <w:tcBorders>
              <w:top w:val="nil"/>
              <w:bottom w:val="nil"/>
            </w:tcBorders>
            <w:noWrap/>
          </w:tcPr>
          <w:p w14:paraId="0B7CCE0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Iran</w:t>
            </w:r>
          </w:p>
        </w:tc>
        <w:tc>
          <w:tcPr>
            <w:tcW w:w="927" w:type="dxa"/>
            <w:tcBorders>
              <w:top w:val="nil"/>
              <w:bottom w:val="nil"/>
            </w:tcBorders>
          </w:tcPr>
          <w:p w14:paraId="4DF7FF9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BPH;</w:t>
            </w:r>
            <w:proofErr w:type="gramEnd"/>
            <w:r w:rsidRPr="00B06723">
              <w:rPr>
                <w:rFonts w:ascii="Arial" w:eastAsia="Times New Roman" w:hAnsi="Arial" w:cs="Arial"/>
                <w:color w:val="000000"/>
                <w:sz w:val="20"/>
                <w:szCs w:val="20"/>
                <w:lang w:eastAsia="fr-FR"/>
              </w:rPr>
              <w:t xml:space="preserve"> HP</w:t>
            </w:r>
          </w:p>
        </w:tc>
        <w:tc>
          <w:tcPr>
            <w:tcW w:w="695" w:type="dxa"/>
            <w:tcBorders>
              <w:top w:val="nil"/>
              <w:bottom w:val="nil"/>
            </w:tcBorders>
            <w:noWrap/>
          </w:tcPr>
          <w:p w14:paraId="3E14132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23</w:t>
            </w:r>
          </w:p>
        </w:tc>
        <w:tc>
          <w:tcPr>
            <w:tcW w:w="927" w:type="dxa"/>
            <w:tcBorders>
              <w:top w:val="nil"/>
              <w:bottom w:val="nil"/>
            </w:tcBorders>
            <w:noWrap/>
          </w:tcPr>
          <w:p w14:paraId="2330735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42</w:t>
            </w:r>
          </w:p>
        </w:tc>
        <w:tc>
          <w:tcPr>
            <w:tcW w:w="1361" w:type="dxa"/>
            <w:tcBorders>
              <w:top w:val="nil"/>
              <w:bottom w:val="nil"/>
            </w:tcBorders>
            <w:noWrap/>
          </w:tcPr>
          <w:p w14:paraId="14C5FA8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Urine</w:t>
            </w:r>
          </w:p>
        </w:tc>
        <w:tc>
          <w:tcPr>
            <w:tcW w:w="1172" w:type="dxa"/>
            <w:tcBorders>
              <w:top w:val="nil"/>
              <w:bottom w:val="nil"/>
            </w:tcBorders>
          </w:tcPr>
          <w:p w14:paraId="0A297ED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4F3B77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miR</w:t>
            </w:r>
            <w:proofErr w:type="gramEnd"/>
            <w:r w:rsidRPr="00B06723">
              <w:rPr>
                <w:rFonts w:ascii="Arial" w:eastAsia="Times New Roman" w:hAnsi="Arial" w:cs="Arial"/>
                <w:color w:val="000000"/>
                <w:sz w:val="20"/>
                <w:szCs w:val="20"/>
                <w:lang w:eastAsia="fr-FR"/>
              </w:rPr>
              <w:t xml:space="preserve">-21 </w:t>
            </w:r>
          </w:p>
        </w:tc>
        <w:tc>
          <w:tcPr>
            <w:tcW w:w="717" w:type="dxa"/>
            <w:tcBorders>
              <w:top w:val="nil"/>
              <w:bottom w:val="nil"/>
            </w:tcBorders>
            <w:noWrap/>
          </w:tcPr>
          <w:p w14:paraId="44D3889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81.00</w:t>
            </w:r>
          </w:p>
        </w:tc>
        <w:tc>
          <w:tcPr>
            <w:tcW w:w="717" w:type="dxa"/>
            <w:tcBorders>
              <w:top w:val="nil"/>
              <w:bottom w:val="nil"/>
            </w:tcBorders>
            <w:noWrap/>
          </w:tcPr>
          <w:p w14:paraId="022BA94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88.00</w:t>
            </w:r>
          </w:p>
        </w:tc>
        <w:tc>
          <w:tcPr>
            <w:tcW w:w="550" w:type="dxa"/>
            <w:tcBorders>
              <w:top w:val="nil"/>
              <w:bottom w:val="nil"/>
            </w:tcBorders>
            <w:noWrap/>
          </w:tcPr>
          <w:p w14:paraId="600ABB6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19</w:t>
            </w:r>
          </w:p>
        </w:tc>
        <w:tc>
          <w:tcPr>
            <w:tcW w:w="472" w:type="dxa"/>
            <w:tcBorders>
              <w:top w:val="nil"/>
              <w:bottom w:val="nil"/>
            </w:tcBorders>
            <w:noWrap/>
          </w:tcPr>
          <w:p w14:paraId="16C41C6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5</w:t>
            </w:r>
          </w:p>
        </w:tc>
        <w:tc>
          <w:tcPr>
            <w:tcW w:w="483" w:type="dxa"/>
            <w:tcBorders>
              <w:top w:val="nil"/>
              <w:bottom w:val="nil"/>
            </w:tcBorders>
            <w:noWrap/>
          </w:tcPr>
          <w:p w14:paraId="7C81D4C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37</w:t>
            </w:r>
          </w:p>
        </w:tc>
        <w:tc>
          <w:tcPr>
            <w:tcW w:w="483" w:type="dxa"/>
            <w:tcBorders>
              <w:top w:val="nil"/>
              <w:bottom w:val="nil"/>
            </w:tcBorders>
            <w:noWrap/>
          </w:tcPr>
          <w:p w14:paraId="1BCC0BA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w:t>
            </w:r>
          </w:p>
        </w:tc>
        <w:tc>
          <w:tcPr>
            <w:tcW w:w="650" w:type="dxa"/>
            <w:tcBorders>
              <w:top w:val="nil"/>
              <w:bottom w:val="nil"/>
            </w:tcBorders>
          </w:tcPr>
          <w:p w14:paraId="7DE855E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0.76</w:t>
            </w:r>
          </w:p>
        </w:tc>
      </w:tr>
      <w:tr w:rsidR="00E84D7D" w:rsidRPr="00B06723" w14:paraId="32F123D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7798F57" w14:textId="5DD84BE9" w:rsidR="00E84D7D" w:rsidRPr="00B06723" w:rsidRDefault="00E84D7D" w:rsidP="0000574D">
            <w:pPr>
              <w:spacing w:before="240"/>
              <w:jc w:val="both"/>
              <w:rPr>
                <w:rFonts w:ascii="Arial" w:hAnsi="Arial" w:cs="Arial"/>
                <w:sz w:val="20"/>
                <w:szCs w:val="20"/>
                <w:lang w:val="en-US"/>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{"citationID":"a15sq33rbb6","properties":{"formattedCitation":"\\uldash{(Ibrahim et al., 2019)}","plainCitation":"(Ibrahim et al., 2019)","dontUpdate":true,"noteIndex":0},"citationItems":[{"id":486,"uris":["http://zotero.org/users/3583561/items/RYSV9JFV","http://zotero.org/users/3583561/items/UYDERLUC"],"itemData":{"id":486,"type":"article-journal","abstract":"Prostate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Ibrahim et al., 2019</w:t>
            </w:r>
            <w:r w:rsidRPr="00B06723">
              <w:rPr>
                <w:rFonts w:ascii="Arial" w:hAnsi="Arial" w:cs="Arial"/>
                <w:color w:val="000000"/>
                <w:lang w:eastAsia="fr-FR"/>
              </w:rPr>
              <w:fldChar w:fldCharType="end"/>
            </w:r>
          </w:p>
        </w:tc>
        <w:tc>
          <w:tcPr>
            <w:tcW w:w="1084" w:type="dxa"/>
            <w:tcBorders>
              <w:top w:val="nil"/>
              <w:bottom w:val="nil"/>
            </w:tcBorders>
            <w:noWrap/>
          </w:tcPr>
          <w:p w14:paraId="5C0D24A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Egypt</w:t>
            </w:r>
          </w:p>
        </w:tc>
        <w:tc>
          <w:tcPr>
            <w:tcW w:w="927" w:type="dxa"/>
            <w:tcBorders>
              <w:top w:val="nil"/>
              <w:bottom w:val="nil"/>
            </w:tcBorders>
          </w:tcPr>
          <w:p w14:paraId="7F42E8E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 HP</w:t>
            </w:r>
          </w:p>
        </w:tc>
        <w:tc>
          <w:tcPr>
            <w:tcW w:w="695" w:type="dxa"/>
            <w:tcBorders>
              <w:top w:val="nil"/>
              <w:bottom w:val="nil"/>
            </w:tcBorders>
            <w:noWrap/>
          </w:tcPr>
          <w:p w14:paraId="44EF1EB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50</w:t>
            </w:r>
          </w:p>
        </w:tc>
        <w:tc>
          <w:tcPr>
            <w:tcW w:w="927" w:type="dxa"/>
            <w:tcBorders>
              <w:top w:val="nil"/>
              <w:bottom w:val="nil"/>
            </w:tcBorders>
            <w:noWrap/>
          </w:tcPr>
          <w:p w14:paraId="247A697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80</w:t>
            </w:r>
          </w:p>
        </w:tc>
        <w:tc>
          <w:tcPr>
            <w:tcW w:w="1361" w:type="dxa"/>
            <w:tcBorders>
              <w:top w:val="nil"/>
              <w:bottom w:val="nil"/>
            </w:tcBorders>
            <w:noWrap/>
          </w:tcPr>
          <w:p w14:paraId="072CADE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58196A0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6205CEA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13D5F8B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95.50</w:t>
            </w:r>
          </w:p>
        </w:tc>
        <w:tc>
          <w:tcPr>
            <w:tcW w:w="717" w:type="dxa"/>
            <w:tcBorders>
              <w:top w:val="nil"/>
              <w:bottom w:val="nil"/>
            </w:tcBorders>
            <w:noWrap/>
          </w:tcPr>
          <w:p w14:paraId="12B4789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90.00</w:t>
            </w:r>
          </w:p>
        </w:tc>
        <w:tc>
          <w:tcPr>
            <w:tcW w:w="550" w:type="dxa"/>
            <w:tcBorders>
              <w:top w:val="nil"/>
              <w:bottom w:val="nil"/>
            </w:tcBorders>
            <w:noWrap/>
          </w:tcPr>
          <w:p w14:paraId="30827A4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48</w:t>
            </w:r>
          </w:p>
        </w:tc>
        <w:tc>
          <w:tcPr>
            <w:tcW w:w="472" w:type="dxa"/>
            <w:tcBorders>
              <w:top w:val="nil"/>
              <w:bottom w:val="nil"/>
            </w:tcBorders>
            <w:noWrap/>
          </w:tcPr>
          <w:p w14:paraId="189A4F6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w:t>
            </w:r>
          </w:p>
        </w:tc>
        <w:tc>
          <w:tcPr>
            <w:tcW w:w="483" w:type="dxa"/>
            <w:tcBorders>
              <w:top w:val="nil"/>
              <w:bottom w:val="nil"/>
            </w:tcBorders>
            <w:noWrap/>
          </w:tcPr>
          <w:p w14:paraId="72E44F0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72</w:t>
            </w:r>
          </w:p>
        </w:tc>
        <w:tc>
          <w:tcPr>
            <w:tcW w:w="483" w:type="dxa"/>
            <w:tcBorders>
              <w:top w:val="nil"/>
              <w:bottom w:val="nil"/>
            </w:tcBorders>
            <w:noWrap/>
          </w:tcPr>
          <w:p w14:paraId="3BB86CA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w:t>
            </w:r>
          </w:p>
        </w:tc>
        <w:tc>
          <w:tcPr>
            <w:tcW w:w="650" w:type="dxa"/>
            <w:tcBorders>
              <w:top w:val="nil"/>
              <w:bottom w:val="nil"/>
            </w:tcBorders>
          </w:tcPr>
          <w:p w14:paraId="2D2D03A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0.96</w:t>
            </w:r>
          </w:p>
        </w:tc>
      </w:tr>
      <w:tr w:rsidR="00E84D7D" w:rsidRPr="00B06723" w14:paraId="6512BE46"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7F8953E" w14:textId="6ED2DF49"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{"citationID":"a17046pv70g","properties":{"formattedCitation":"\\uldash{(Porzycki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Porzycki et al., 2018</w:t>
            </w:r>
            <w:r w:rsidRPr="00B06723">
              <w:rPr>
                <w:rFonts w:ascii="Arial" w:hAnsi="Arial" w:cs="Arial"/>
                <w:color w:val="000000"/>
                <w:lang w:eastAsia="fr-FR"/>
              </w:rPr>
              <w:fldChar w:fldCharType="end"/>
            </w:r>
          </w:p>
        </w:tc>
        <w:tc>
          <w:tcPr>
            <w:tcW w:w="1084" w:type="dxa"/>
            <w:tcBorders>
              <w:top w:val="nil"/>
              <w:bottom w:val="nil"/>
            </w:tcBorders>
            <w:noWrap/>
          </w:tcPr>
          <w:p w14:paraId="1149945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Poland</w:t>
            </w:r>
          </w:p>
        </w:tc>
        <w:tc>
          <w:tcPr>
            <w:tcW w:w="927" w:type="dxa"/>
            <w:tcBorders>
              <w:top w:val="nil"/>
              <w:bottom w:val="nil"/>
            </w:tcBorders>
          </w:tcPr>
          <w:p w14:paraId="4ECC0C6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05053DA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927" w:type="dxa"/>
            <w:tcBorders>
              <w:top w:val="nil"/>
              <w:bottom w:val="nil"/>
            </w:tcBorders>
            <w:noWrap/>
          </w:tcPr>
          <w:p w14:paraId="351B5F9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w:t>
            </w:r>
          </w:p>
        </w:tc>
        <w:tc>
          <w:tcPr>
            <w:tcW w:w="1361" w:type="dxa"/>
            <w:tcBorders>
              <w:top w:val="nil"/>
              <w:bottom w:val="nil"/>
            </w:tcBorders>
            <w:noWrap/>
          </w:tcPr>
          <w:p w14:paraId="762F5D4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121B425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3ACBF44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3D66C28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90.00</w:t>
            </w:r>
          </w:p>
        </w:tc>
        <w:tc>
          <w:tcPr>
            <w:tcW w:w="717" w:type="dxa"/>
            <w:tcBorders>
              <w:top w:val="nil"/>
              <w:bottom w:val="nil"/>
            </w:tcBorders>
            <w:noWrap/>
          </w:tcPr>
          <w:p w14:paraId="2A4259A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75.00</w:t>
            </w:r>
          </w:p>
        </w:tc>
        <w:tc>
          <w:tcPr>
            <w:tcW w:w="550" w:type="dxa"/>
            <w:tcBorders>
              <w:top w:val="nil"/>
              <w:bottom w:val="nil"/>
            </w:tcBorders>
            <w:noWrap/>
          </w:tcPr>
          <w:p w14:paraId="4E75A7D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18</w:t>
            </w:r>
          </w:p>
        </w:tc>
        <w:tc>
          <w:tcPr>
            <w:tcW w:w="472" w:type="dxa"/>
            <w:tcBorders>
              <w:top w:val="nil"/>
              <w:bottom w:val="nil"/>
            </w:tcBorders>
            <w:noWrap/>
          </w:tcPr>
          <w:p w14:paraId="12B3E27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w:t>
            </w:r>
          </w:p>
        </w:tc>
        <w:tc>
          <w:tcPr>
            <w:tcW w:w="483" w:type="dxa"/>
            <w:tcBorders>
              <w:top w:val="nil"/>
              <w:bottom w:val="nil"/>
            </w:tcBorders>
            <w:noWrap/>
          </w:tcPr>
          <w:p w14:paraId="1A035AB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w:t>
            </w:r>
          </w:p>
        </w:tc>
        <w:tc>
          <w:tcPr>
            <w:tcW w:w="483" w:type="dxa"/>
            <w:tcBorders>
              <w:top w:val="nil"/>
              <w:bottom w:val="nil"/>
            </w:tcBorders>
            <w:noWrap/>
          </w:tcPr>
          <w:p w14:paraId="0DBB67B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w:t>
            </w:r>
          </w:p>
        </w:tc>
        <w:tc>
          <w:tcPr>
            <w:tcW w:w="650" w:type="dxa"/>
            <w:tcBorders>
              <w:top w:val="nil"/>
              <w:bottom w:val="nil"/>
            </w:tcBorders>
          </w:tcPr>
          <w:p w14:paraId="69866D0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0.86</w:t>
            </w:r>
          </w:p>
        </w:tc>
      </w:tr>
      <w:tr w:rsidR="00E84D7D" w:rsidRPr="00B06723" w14:paraId="37E46ABC"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1B1A7DDD" w14:textId="00CC80DB"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{"citationID":"a1jqipjr00u","properties":{"formattedCitation":"\\uldash{(Endzeli\\uc0\\u326{}\\uc0\\u353{} et al., 2017)}","plainCitation":"(Endzeliņš et al., 2017)","dontUpdate":true,"noteIndex":0},"citationItems":[{"id":681,"uris":["http://zotero.org/users/3583561/items/8KUUU6GK"],"itemData":{"id":681,"type":"article-journal","abstract":"BACKGROUND: Circulating cell-free miRNAs have emerged as promising minimally-invasive biomarkers for early detection, prognosis and monitoring of cancer. They can exist in the bloodstream incorporated into extracellular vesicles (EVs) and ribonucleoprotein complexes. However, it is still debated if EVs contain biologically meaningful amounts of miRNAs and may provide a better source of miRNA biomarkers than whole plasma. The aim of this study was to systematically compare the diagnostic potential of prostate cancer-associated miRNAs in whole plasma and in plasma EVs.\nMETHODS: RNA was isolated from whole plasma and plasma EV samples from a well characterised cohort of 50 patient with prostate cancer (PC) and 22 patients with benign prostatic hyperplasia (BPH). Nine miRNAs known to have a diagnostic potential for PC in cell-free blood were quantified by RT-qPCR and the relative quantities were compared between patients with PC and BPH and between PC patients with Gleason score ≥ 8 and ≤6.\nRESULTS: Only a small fraction of the total cell-free miRNA was recovered from the plasma EVs, however the EV-incorporated and whole plasma cell-free miRNA profiles were clearly different. Four of the miRNAs analysed showed a diagnostic potential in our patient cohort. MiR-375 could differentiate between PC and BPH patients when analysed in the whole plasma, while miR-200c-3p and miR-21-5p performed better when analysed in plasma EVs. EV-incorporated but not whole plasma Let-7a-5p level could distinguish PC patients with Gleason score ≥ 8 vs ≤6.\nCONCLUSIONS: This study demonstrates that for some miRNA biomarkers EVs provide a more consistent source of RNA than whole plasma, while other miRNAs show better diagnostic performance when tested in the whole plasma.","container-title":"BMC cancer","DOI":"10.1186/s12885-017-3737-z","ISSN":"1471-2407","issue":"1","journalAbbreviation":"BMC Cancer","language":"eng","note":"PMID: 29121858\nPMCID: PMC5679326","page":"730","source":"PubMed","title":"Detection of circulating miRNAs: comparative analysis of extracellular vesicle-incorporated miRNAs and cell-free miRNAs in whole plasma of prostate cancer patients","title-short":"Detection of circulating miRNAs","volume":"17","author":[{"family":"Endzeliņš","given":"Edgars"},{"family":"Berger","given":"Andreas"},{"family":"Melne","given":"Vita"},{"family":"Bajo-Santos","given":"Cristina"},{"family":"Soboļevska","given":"Kristīne"},{"family":"Ābols","given":"Artūrs"},{"family":"Rodriguez","given":"Marta"},{"family":"Šantare","given":"Daiga"},{"family":"Rudņickiha","given":"Anastasija"},{"family":"Lietuvietis","given":"Vilnis"},{"family":"Llorente","given":"Alicia"},{"family":"Linē","given":"Aija"}],"issued":{"date-parts":[["2017",11,9]]}}}],"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Endzeliņš et al., 2017</w:t>
            </w:r>
            <w:r w:rsidRPr="00B06723">
              <w:rPr>
                <w:rFonts w:ascii="Arial" w:hAnsi="Arial" w:cs="Arial"/>
                <w:color w:val="000000"/>
                <w:lang w:eastAsia="fr-FR"/>
              </w:rPr>
              <w:fldChar w:fldCharType="end"/>
            </w:r>
          </w:p>
        </w:tc>
        <w:tc>
          <w:tcPr>
            <w:tcW w:w="1084" w:type="dxa"/>
            <w:tcBorders>
              <w:top w:val="nil"/>
              <w:bottom w:val="nil"/>
            </w:tcBorders>
            <w:noWrap/>
          </w:tcPr>
          <w:p w14:paraId="6584A77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B06723">
              <w:rPr>
                <w:rFonts w:ascii="Arial" w:eastAsia="Times New Roman" w:hAnsi="Arial" w:cs="Arial"/>
                <w:color w:val="000000"/>
                <w:sz w:val="20"/>
                <w:szCs w:val="20"/>
                <w:lang w:eastAsia="fr-FR"/>
              </w:rPr>
              <w:t>Latvia</w:t>
            </w:r>
            <w:proofErr w:type="spellEnd"/>
          </w:p>
        </w:tc>
        <w:tc>
          <w:tcPr>
            <w:tcW w:w="927" w:type="dxa"/>
            <w:tcBorders>
              <w:top w:val="nil"/>
              <w:bottom w:val="nil"/>
            </w:tcBorders>
          </w:tcPr>
          <w:p w14:paraId="2D1A3E2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BPH</w:t>
            </w:r>
          </w:p>
        </w:tc>
        <w:tc>
          <w:tcPr>
            <w:tcW w:w="695" w:type="dxa"/>
            <w:tcBorders>
              <w:top w:val="nil"/>
              <w:bottom w:val="nil"/>
            </w:tcBorders>
            <w:noWrap/>
          </w:tcPr>
          <w:p w14:paraId="62CF2C8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50</w:t>
            </w:r>
          </w:p>
        </w:tc>
        <w:tc>
          <w:tcPr>
            <w:tcW w:w="927" w:type="dxa"/>
            <w:tcBorders>
              <w:top w:val="nil"/>
              <w:bottom w:val="nil"/>
            </w:tcBorders>
            <w:noWrap/>
          </w:tcPr>
          <w:p w14:paraId="40ECAA2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22</w:t>
            </w:r>
          </w:p>
        </w:tc>
        <w:tc>
          <w:tcPr>
            <w:tcW w:w="1361" w:type="dxa"/>
            <w:tcBorders>
              <w:top w:val="nil"/>
              <w:bottom w:val="nil"/>
            </w:tcBorders>
            <w:noWrap/>
          </w:tcPr>
          <w:p w14:paraId="5249B72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Plasma (</w:t>
            </w:r>
            <w:proofErr w:type="spellStart"/>
            <w:r w:rsidRPr="00B06723">
              <w:rPr>
                <w:rFonts w:ascii="Arial" w:eastAsia="Times New Roman" w:hAnsi="Arial" w:cs="Arial"/>
                <w:color w:val="000000"/>
                <w:sz w:val="20"/>
                <w:szCs w:val="20"/>
                <w:lang w:eastAsia="fr-FR"/>
              </w:rPr>
              <w:t>exsosomes</w:t>
            </w:r>
            <w:proofErr w:type="spellEnd"/>
            <w:r w:rsidRPr="00B06723">
              <w:rPr>
                <w:rFonts w:ascii="Arial" w:eastAsia="Times New Roman" w:hAnsi="Arial" w:cs="Arial"/>
                <w:color w:val="000000"/>
                <w:sz w:val="20"/>
                <w:szCs w:val="20"/>
                <w:lang w:eastAsia="fr-FR"/>
              </w:rPr>
              <w:t>)</w:t>
            </w:r>
          </w:p>
        </w:tc>
        <w:tc>
          <w:tcPr>
            <w:tcW w:w="1172" w:type="dxa"/>
            <w:tcBorders>
              <w:top w:val="nil"/>
              <w:bottom w:val="nil"/>
            </w:tcBorders>
          </w:tcPr>
          <w:p w14:paraId="7104F49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66291ED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MiR-21</w:t>
            </w:r>
          </w:p>
        </w:tc>
        <w:tc>
          <w:tcPr>
            <w:tcW w:w="717" w:type="dxa"/>
            <w:tcBorders>
              <w:top w:val="nil"/>
              <w:bottom w:val="nil"/>
            </w:tcBorders>
            <w:noWrap/>
          </w:tcPr>
          <w:p w14:paraId="52924A5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717" w:type="dxa"/>
            <w:tcBorders>
              <w:top w:val="nil"/>
              <w:bottom w:val="nil"/>
            </w:tcBorders>
            <w:noWrap/>
          </w:tcPr>
          <w:p w14:paraId="513A088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550" w:type="dxa"/>
            <w:tcBorders>
              <w:top w:val="nil"/>
              <w:bottom w:val="nil"/>
            </w:tcBorders>
            <w:noWrap/>
          </w:tcPr>
          <w:p w14:paraId="3A66DE1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72" w:type="dxa"/>
            <w:tcBorders>
              <w:top w:val="nil"/>
              <w:bottom w:val="nil"/>
            </w:tcBorders>
            <w:noWrap/>
          </w:tcPr>
          <w:p w14:paraId="1763F70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83" w:type="dxa"/>
            <w:tcBorders>
              <w:top w:val="nil"/>
              <w:bottom w:val="nil"/>
            </w:tcBorders>
            <w:noWrap/>
          </w:tcPr>
          <w:p w14:paraId="710857A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83" w:type="dxa"/>
            <w:tcBorders>
              <w:top w:val="nil"/>
              <w:bottom w:val="nil"/>
            </w:tcBorders>
            <w:noWrap/>
          </w:tcPr>
          <w:p w14:paraId="68177D8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650" w:type="dxa"/>
            <w:tcBorders>
              <w:top w:val="nil"/>
              <w:bottom w:val="nil"/>
            </w:tcBorders>
          </w:tcPr>
          <w:p w14:paraId="6837988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0.67</w:t>
            </w:r>
          </w:p>
        </w:tc>
      </w:tr>
      <w:tr w:rsidR="00E84D7D" w:rsidRPr="00B06723" w14:paraId="6F94058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0DF7E65" w14:textId="15D9D877"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lastRenderedPageBreak/>
              <w:fldChar w:fldCharType="begin"/>
            </w:r>
            <w:r w:rsidRPr="00B06723">
              <w:rPr>
                <w:rFonts w:ascii="Arial" w:eastAsia="Times New Roman" w:hAnsi="Arial" w:cs="Arial"/>
                <w:color w:val="000000"/>
                <w:sz w:val="20"/>
                <w:szCs w:val="20"/>
                <w:lang w:eastAsia="fr-FR"/>
              </w:rPr>
              <w:instrText xml:space="preserve"> ADDIN ZOTERO_ITEM CSL_CITATION {"citationID":"a2m6u4dchhu","properties":{"formattedCitation":"\\uldash{(Foj et al., 2017)}","plainCitation":"(Foj et al., 2017)","dontUpdate":true,"noteIndex":0},"citationItems":[{"id":704,"uris":["http://zotero.org/users/3583561/items/MDGVUG48"],"itemData":{"id":704,"type":"article-journal","abstract":"BACKGROUND: MicroRNAs (miRNAs) are non-coding small RNAs, involved in post-transcriptional regulation of many target genes.\nMETHODS: Five miRNAs that have been consistently found deregulated in PCa (miR-21, miR-141, miR-214, miR-375, and let-7c) were analyzed in urinary pellets from 60 prostate cancer (PCa) patients and 10 healthy subjects by qRT-PCR. Besides, urinary exosomes were isolated by differential centrifugation and analyzed for those miRNAs.\nRESULTS: Significant upregulation of miR-21, miR-141, and miR-375 was found comparing PCa patients with healthy subjects in urinary pellets, while miR-214 was found significantly downregulated. Regarding urinary exosomes, miR-21 and miR-375 were also significantly upregulated in PCa but no differences were found for miR-141. Significant differences were found for let-7c in PCa in urinary exosomes while no differences were observed in urinary pellets. A panel combining miR-21 and miR-375 is suggested as the best combination to distinguish PCa patients and healthy subjects, with an AUC of 0.872. Furthermore, the association of miRNAs with clinicopathological characteristics was investigated. MiR-141 resulted significantly correlated with Gleason score in urinary pellets and let-7c with clinical stage in urinary exosomes. Additionally, miR-21, miR-141, and miR-214 were found significantly deregulated in intermediate/high-risk PCa versus low-risk/healthy subjects in urinary pellets. Significant differences between both groups were found in urinary exosomes for miR-21, miR-375, and let-7c.\nCONCLUSIONS: These findings suggest that the analysis of miRNAs-especially miRNA-21 and miR-375- in urine could be useful as biomarkers in PCa. Prostate 77: 573-583, 2017. © 2016 Wiley Periodicals, Inc.","container-title":"The Prostate","DOI":"10.1002/pros.23295","ISSN":"1097-0045","issue":"6","journalAbbreviation":"Prostate","language":"eng","note":"PMID: 27990656","page":"573-583","source":"PubMed","title":"Exosomal and Non-Exosomal Urinary miRNAs in Prostate Cancer Detection and Prognosis","volume":"77","author":[{"family":"Foj","given":"Laura"},{"family":"Ferrer","given":"Ferran"},{"family":"Serra","given":"Marta"},{"family":"Arévalo","given":"Antonio"},{"family":"Gavagnach","given":"Montserrat"},{"family":"Giménez","given":"Nuria"},{"family":"Filella","given":"Xavier"}],"issued":{"date-parts":[["2017",5]]}}}],"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Foj et al., 2017</w:t>
            </w:r>
            <w:r w:rsidRPr="00B06723">
              <w:rPr>
                <w:rFonts w:ascii="Arial" w:hAnsi="Arial" w:cs="Arial"/>
                <w:color w:val="000000"/>
                <w:lang w:eastAsia="fr-FR"/>
              </w:rPr>
              <w:fldChar w:fldCharType="end"/>
            </w:r>
          </w:p>
        </w:tc>
        <w:tc>
          <w:tcPr>
            <w:tcW w:w="1084" w:type="dxa"/>
            <w:tcBorders>
              <w:top w:val="nil"/>
              <w:bottom w:val="nil"/>
            </w:tcBorders>
            <w:noWrap/>
          </w:tcPr>
          <w:p w14:paraId="1E33819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Spain</w:t>
            </w:r>
          </w:p>
        </w:tc>
        <w:tc>
          <w:tcPr>
            <w:tcW w:w="927" w:type="dxa"/>
            <w:tcBorders>
              <w:top w:val="nil"/>
              <w:bottom w:val="nil"/>
            </w:tcBorders>
          </w:tcPr>
          <w:p w14:paraId="38FE81E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16CB2A4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60</w:t>
            </w:r>
          </w:p>
        </w:tc>
        <w:tc>
          <w:tcPr>
            <w:tcW w:w="927" w:type="dxa"/>
            <w:tcBorders>
              <w:top w:val="nil"/>
              <w:bottom w:val="nil"/>
            </w:tcBorders>
            <w:noWrap/>
          </w:tcPr>
          <w:p w14:paraId="0B22B79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w:t>
            </w:r>
          </w:p>
        </w:tc>
        <w:tc>
          <w:tcPr>
            <w:tcW w:w="1361" w:type="dxa"/>
            <w:tcBorders>
              <w:top w:val="nil"/>
              <w:bottom w:val="nil"/>
            </w:tcBorders>
            <w:noWrap/>
          </w:tcPr>
          <w:p w14:paraId="4DE92F9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Urine (exosomes)</w:t>
            </w:r>
          </w:p>
        </w:tc>
        <w:tc>
          <w:tcPr>
            <w:tcW w:w="1172" w:type="dxa"/>
            <w:tcBorders>
              <w:top w:val="nil"/>
              <w:bottom w:val="nil"/>
            </w:tcBorders>
          </w:tcPr>
          <w:p w14:paraId="05D3554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177B38B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6D3BBFF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2840276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40341E3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2A78EE1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7C53B43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3235681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45E7FAF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0.71</w:t>
            </w:r>
          </w:p>
        </w:tc>
      </w:tr>
      <w:tr w:rsidR="00E84D7D" w:rsidRPr="00B06723" w14:paraId="56DE37E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1CA45160" w14:textId="705468C3"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{"citationID":"aubp7qnugr","properties":{"formattedCitation":"\\uldash{(Stuopelyt\\uc0\\u279{} et al., 2016)}","plainCitation":"(Stuopelytė et al., 2016)","dontUpdate":true,"noteIndex":0},"citationItems":[{"id":77,"uris":["http://zotero.org/users/3583561/items/QPFBX3X4"],"itemData":{"id":77,"type":"article-journal","abstract":"BACKGROUND AND AIM: Prostate cancer (PCa) is the second most prevalent oncologic disease among men worldwide. Expression of various transcripts, including miRNAs, is markedly deregulated in cancerous prostate tissue. This study aimed at identifying a PCa-specific expression profile of miRNAs for subsequent use in noninvasive diagnostics.\nMATERIALS AND METHODS: MiRNA expression was profiled in 13 PCa tissues using human miRNA microarrays. Highly expressed miRNAs were selected for the analysis in urine of patients with PCa (N=143) and benign prostate hyperplasia (BPH; N=23) by means of real time PCR, while miRNAs showing the expression differences in relation to clinical variables were further analyzed in 52 PCa and 12 noncancerous prostate tissues (NPT) on TaqMan Low Density Arrays (TLDA).\nRESULTS: Analysis of miRNA expression in prostate tissue linked miR-95 to aggressive form of PCa. This miRNA was up-regulated in high grade (P=0.041), the TMPRSS2-ERG fusion-positive tumors (P=0.026), and in patients with subsequently developed biochemical recurrence (BCR; P=0.054) after radical prostatectomy. MiRNAs highly expressed in PCa tissues were also detectable in urine from PCa patients. Moreover, the urinary levels of miR-21 had significant discriminatory power (P=0.010) to separate PCa patients from BPH, while the combined analysis of urinary miR-19a and miR-19b was prognostic for BCR. In PCa, the diagnostic potential of urinary miRNA panel (miR-21, miR-19a, and miR-19b) was higher than that of the PSA test (AUC=0.738 vs. AUC=0.514).\nCONCLUSIONS: Measurement of urinary levels of PCa-specific miRNAs could assist in more specific detection of PCa and prediction of BCR.","container-title":"Medicina (Kaunas, Lithuania)","DOI":"10.1016/j.medici.2016.02.007","ISSN":"1648-9144","issue":"2","journalAbbreviation":"Medicina (Kaunas)","language":"eng","note":"PMID: 27170485","page":"116-124","source":"PubMed","title":"Detection of miRNAs in urine of prostate cancer patients","volume":"52","author":[{"family":"Stuopelytė","given":"Kristina"},{"family":"Daniūnaitė","given":"Kristina"},{"family":"Jankevičius","given":"Feliksas"},{"family":"Jarmalaitė","given":"Sonata"}],"issued":{"date-parts":[["2016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Stuopelytė et al., 2016</w:t>
            </w:r>
            <w:r w:rsidRPr="00B06723">
              <w:rPr>
                <w:rFonts w:ascii="Arial" w:hAnsi="Arial" w:cs="Arial"/>
                <w:color w:val="000000"/>
                <w:lang w:eastAsia="fr-FR"/>
              </w:rPr>
              <w:fldChar w:fldCharType="end"/>
            </w:r>
          </w:p>
        </w:tc>
        <w:tc>
          <w:tcPr>
            <w:tcW w:w="1084" w:type="dxa"/>
            <w:tcBorders>
              <w:top w:val="nil"/>
              <w:bottom w:val="nil"/>
            </w:tcBorders>
            <w:noWrap/>
          </w:tcPr>
          <w:p w14:paraId="397DF1E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Lithuania</w:t>
            </w:r>
          </w:p>
        </w:tc>
        <w:tc>
          <w:tcPr>
            <w:tcW w:w="927" w:type="dxa"/>
            <w:tcBorders>
              <w:top w:val="nil"/>
              <w:bottom w:val="nil"/>
            </w:tcBorders>
          </w:tcPr>
          <w:p w14:paraId="2FB5C10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6ABACD0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143</w:t>
            </w:r>
          </w:p>
        </w:tc>
        <w:tc>
          <w:tcPr>
            <w:tcW w:w="927" w:type="dxa"/>
            <w:tcBorders>
              <w:top w:val="nil"/>
              <w:bottom w:val="nil"/>
            </w:tcBorders>
            <w:noWrap/>
          </w:tcPr>
          <w:p w14:paraId="1B59960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23</w:t>
            </w:r>
          </w:p>
        </w:tc>
        <w:tc>
          <w:tcPr>
            <w:tcW w:w="1361" w:type="dxa"/>
            <w:tcBorders>
              <w:top w:val="nil"/>
              <w:bottom w:val="nil"/>
            </w:tcBorders>
            <w:noWrap/>
          </w:tcPr>
          <w:p w14:paraId="56DDAC1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Urine</w:t>
            </w:r>
          </w:p>
        </w:tc>
        <w:tc>
          <w:tcPr>
            <w:tcW w:w="1172" w:type="dxa"/>
            <w:tcBorders>
              <w:top w:val="nil"/>
              <w:bottom w:val="nil"/>
            </w:tcBorders>
          </w:tcPr>
          <w:p w14:paraId="111FB98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091C913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27FA939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47.83</w:t>
            </w:r>
          </w:p>
        </w:tc>
        <w:tc>
          <w:tcPr>
            <w:tcW w:w="717" w:type="dxa"/>
            <w:tcBorders>
              <w:top w:val="nil"/>
              <w:bottom w:val="nil"/>
            </w:tcBorders>
            <w:noWrap/>
          </w:tcPr>
          <w:p w14:paraId="52FBCCD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76.22</w:t>
            </w:r>
          </w:p>
        </w:tc>
        <w:tc>
          <w:tcPr>
            <w:tcW w:w="550" w:type="dxa"/>
            <w:tcBorders>
              <w:top w:val="nil"/>
              <w:bottom w:val="nil"/>
            </w:tcBorders>
            <w:noWrap/>
          </w:tcPr>
          <w:p w14:paraId="20EDF93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68</w:t>
            </w:r>
          </w:p>
        </w:tc>
        <w:tc>
          <w:tcPr>
            <w:tcW w:w="472" w:type="dxa"/>
            <w:tcBorders>
              <w:top w:val="nil"/>
              <w:bottom w:val="nil"/>
            </w:tcBorders>
            <w:noWrap/>
          </w:tcPr>
          <w:p w14:paraId="647DC9A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w:t>
            </w:r>
          </w:p>
        </w:tc>
        <w:tc>
          <w:tcPr>
            <w:tcW w:w="483" w:type="dxa"/>
            <w:tcBorders>
              <w:top w:val="nil"/>
              <w:bottom w:val="nil"/>
            </w:tcBorders>
            <w:noWrap/>
          </w:tcPr>
          <w:p w14:paraId="48AD16D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18</w:t>
            </w:r>
          </w:p>
        </w:tc>
        <w:tc>
          <w:tcPr>
            <w:tcW w:w="483" w:type="dxa"/>
            <w:tcBorders>
              <w:top w:val="nil"/>
              <w:bottom w:val="nil"/>
            </w:tcBorders>
            <w:noWrap/>
          </w:tcPr>
          <w:p w14:paraId="3352A29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w:t>
            </w:r>
          </w:p>
        </w:tc>
        <w:tc>
          <w:tcPr>
            <w:tcW w:w="650" w:type="dxa"/>
            <w:tcBorders>
              <w:top w:val="nil"/>
              <w:bottom w:val="nil"/>
            </w:tcBorders>
          </w:tcPr>
          <w:p w14:paraId="0433EB8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0.63</w:t>
            </w:r>
          </w:p>
        </w:tc>
      </w:tr>
      <w:tr w:rsidR="00E84D7D" w:rsidRPr="00B06723" w14:paraId="0B7E600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613B824" w14:textId="275BC471"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{"citationID":"a1edhhp433j","properties":{"formattedCitation":"\\uldash{(Yang et al., 2016)}","plainCitation":"(Yang et al., 2016)","dontUpdate":true,"noteIndex":0},"citationItems":[{"id":354,"uris":["http://zotero.org/users/3583561/items/L25E4I8R","http://zotero.org/users/3583561/items/25T8E7SX"],"itemData":{"id":354,"type":"article-journal","abstract":"OBJECTIVE: To evaluate the effects of microRNA-21 (miR-21) in peripheral blood mononuclear cells (PBMC) in the diagnosis and prognosis of prostate cancer (PCa).\nMETHODS: Proved by pathologic biopsy, 92 patients diagnosed with PCa and also underwent resection operation and 85 patients with benign prostatic hyperplasia (BPH) were selected in this study, as well as 97 healthy volunteers were chosen as the control group. PBMC were extracted to examine the relative expression of miR-21 by real time reverse transcriptase-polymerase chain reaction (RT-PCR). The relative operating characteristic (ROC) curves were drew to analyze the diagnosis value of PCa. The survival function curves were made by Kaplan-Meier method to show the miR-21 expression levels of PCa patients. The Log-rank test was adopted to compare the differences among the different groups. The Cox proportional hazard risk regression analysis was used to screen the independent factors affected the PCa patients.\nRESULTS: The expression levels of miR-21 in PCa group were increased compared to BPH and control group (P &lt; 0.05). The expression of miR-21 was significantly correlated with the Gleason score, clinical stages, bone metastasis and tumor recurrence (all P &lt; 0.05). ROC curves demonstrated that the area under the curve of PCa and BPH distinguished by the miR-21 were 0.974 and 95% confidence intervals (95% CI) were 0.956</w:instrText>
            </w:r>
            <w:r w:rsidRPr="00B06723">
              <w:rPr>
                <w:rFonts w:ascii="Cambria Math" w:eastAsia="Times New Roman" w:hAnsi="Cambria Math" w:cs="Cambria Math"/>
                <w:color w:val="000000"/>
                <w:sz w:val="20"/>
                <w:szCs w:val="20"/>
                <w:lang w:eastAsia="fr-FR"/>
              </w:rPr>
              <w:instrText>∼</w:instrText>
            </w:r>
            <w:r w:rsidRPr="00B06723">
              <w:rPr>
                <w:rFonts w:ascii="Arial" w:eastAsia="Times New Roman" w:hAnsi="Arial" w:cs="Arial"/>
                <w:color w:val="000000"/>
                <w:sz w:val="20"/>
                <w:szCs w:val="20"/>
                <w:lang w:eastAsia="fr-FR"/>
              </w:rPr>
              <w:instrText xml:space="preserve"> 0.993. The sensitivity and specificity were 93.5% and 92.9%. ROC curves demonstrated that the area und</w:instrText>
            </w:r>
            <w:r w:rsidRPr="00B06723">
              <w:rPr>
                <w:rFonts w:ascii="Arial" w:eastAsia="Times New Roman" w:hAnsi="Arial" w:cs="Arial"/>
                <w:color w:val="000000"/>
                <w:sz w:val="20"/>
                <w:szCs w:val="20"/>
                <w:lang w:val="en-US" w:eastAsia="fr-FR"/>
              </w:rPr>
              <w:instrText>er the curve of PCa and control group distinguished by the miR-21 were 0.984 and 95% CI were 0.972</w:instrText>
            </w:r>
            <w:r w:rsidRPr="00B06723">
              <w:rPr>
                <w:rFonts w:ascii="Cambria Math" w:eastAsia="Times New Roman" w:hAnsi="Cambria Math" w:cs="Cambria Math"/>
                <w:color w:val="000000"/>
                <w:sz w:val="20"/>
                <w:szCs w:val="20"/>
                <w:lang w:val="en-US" w:eastAsia="fr-FR"/>
              </w:rPr>
              <w:instrText>∼</w:instrText>
            </w:r>
            <w:r w:rsidRPr="00B06723">
              <w:rPr>
                <w:rFonts w:ascii="Arial" w:eastAsia="Times New Roman" w:hAnsi="Arial" w:cs="Arial"/>
                <w:color w:val="000000"/>
                <w:sz w:val="20"/>
                <w:szCs w:val="20"/>
                <w:lang w:val="en-US" w:eastAsia="fr-FR"/>
              </w:rPr>
              <w:instrText xml:space="preserve"> 0.997. The sensitivity and specificity were 94.6% and 92.8%. The results of Kaplan-Meier Method demonstrated that the miR-21 expression levels were related to the prognosis of PCa (all P &lt; 0.05). The results of the COX analysis suggested that the miR-21 expression level, tumor recurrence and bone metastasis could be the independent factors affected the prognosis of PCa patients (all P &lt; 0.05).\nCONCLUSION: miR-21 is highly expressed in the PCa patients, which could be the molecule biomarker of diagnosis and prognosis of PCa.","container-title":"Cancer Biomarkers: Section A of Disease Markers","DOI":"10.3233/CBM-160634","ISSN":"1875-8592","issue":"2","journalAbbreviation":"Cancer Biomark","language":"eng","note":"PMID: 27434290","page":"223-230","source":"PubMed","title":"MicroRNA-21 in peripheral blood mononuclear cells as a novel biomarker in the diagnosis and prognosis of prostate cancer","volume":"17","author":[{"family":"Yang","given":"Bing"},{"family":"Liu","given":"Zheng"},{"family":"Ning","given":"Hao"},{"family":"Zhang","given":"Kai"},{"family":"Pan","given":"Dongliang"},{"family":"Ding","given":"Kejia"},{"family":"Huang","given":"Wei"},{"family":"Kang","given":"Xin-Li"},{"family":"Wang","given":"Yang"},{"family":"Chen","given":"Xiang"}],"issued":{"date-parts":[["2016",7,8]]}}}],"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lang w:val="en-US"/>
              </w:rPr>
              <w:t>Yang et al., 2016</w:t>
            </w:r>
            <w:r w:rsidRPr="00B06723">
              <w:rPr>
                <w:rFonts w:ascii="Arial" w:hAnsi="Arial" w:cs="Arial"/>
                <w:color w:val="000000"/>
                <w:lang w:eastAsia="fr-FR"/>
              </w:rPr>
              <w:fldChar w:fldCharType="end"/>
            </w:r>
          </w:p>
        </w:tc>
        <w:tc>
          <w:tcPr>
            <w:tcW w:w="1084" w:type="dxa"/>
            <w:tcBorders>
              <w:top w:val="nil"/>
              <w:bottom w:val="nil"/>
            </w:tcBorders>
            <w:noWrap/>
          </w:tcPr>
          <w:p w14:paraId="6243E7F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6226252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6C6C14C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92</w:t>
            </w:r>
          </w:p>
        </w:tc>
        <w:tc>
          <w:tcPr>
            <w:tcW w:w="927" w:type="dxa"/>
            <w:tcBorders>
              <w:top w:val="nil"/>
              <w:bottom w:val="nil"/>
            </w:tcBorders>
            <w:noWrap/>
          </w:tcPr>
          <w:p w14:paraId="0965ADF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85</w:t>
            </w:r>
          </w:p>
        </w:tc>
        <w:tc>
          <w:tcPr>
            <w:tcW w:w="1361" w:type="dxa"/>
            <w:tcBorders>
              <w:top w:val="nil"/>
              <w:bottom w:val="nil"/>
            </w:tcBorders>
            <w:noWrap/>
          </w:tcPr>
          <w:p w14:paraId="1CCFEC3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Whole blood</w:t>
            </w:r>
          </w:p>
        </w:tc>
        <w:tc>
          <w:tcPr>
            <w:tcW w:w="1172" w:type="dxa"/>
            <w:tcBorders>
              <w:top w:val="nil"/>
              <w:bottom w:val="nil"/>
            </w:tcBorders>
          </w:tcPr>
          <w:p w14:paraId="6FA5F41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4C92D93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38A42DB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93.50</w:t>
            </w:r>
          </w:p>
        </w:tc>
        <w:tc>
          <w:tcPr>
            <w:tcW w:w="717" w:type="dxa"/>
            <w:tcBorders>
              <w:top w:val="nil"/>
              <w:bottom w:val="nil"/>
            </w:tcBorders>
            <w:noWrap/>
          </w:tcPr>
          <w:p w14:paraId="0D7A55F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92.90</w:t>
            </w:r>
          </w:p>
        </w:tc>
        <w:tc>
          <w:tcPr>
            <w:tcW w:w="550" w:type="dxa"/>
            <w:tcBorders>
              <w:top w:val="nil"/>
              <w:bottom w:val="nil"/>
            </w:tcBorders>
            <w:noWrap/>
          </w:tcPr>
          <w:p w14:paraId="2940BD1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86</w:t>
            </w:r>
          </w:p>
        </w:tc>
        <w:tc>
          <w:tcPr>
            <w:tcW w:w="472" w:type="dxa"/>
            <w:tcBorders>
              <w:top w:val="nil"/>
              <w:bottom w:val="nil"/>
            </w:tcBorders>
            <w:noWrap/>
          </w:tcPr>
          <w:p w14:paraId="33A23B4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w:t>
            </w:r>
          </w:p>
        </w:tc>
        <w:tc>
          <w:tcPr>
            <w:tcW w:w="483" w:type="dxa"/>
            <w:tcBorders>
              <w:top w:val="nil"/>
              <w:bottom w:val="nil"/>
            </w:tcBorders>
            <w:noWrap/>
          </w:tcPr>
          <w:p w14:paraId="71C9B1B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79</w:t>
            </w:r>
          </w:p>
        </w:tc>
        <w:tc>
          <w:tcPr>
            <w:tcW w:w="483" w:type="dxa"/>
            <w:tcBorders>
              <w:top w:val="nil"/>
              <w:bottom w:val="nil"/>
            </w:tcBorders>
            <w:noWrap/>
          </w:tcPr>
          <w:p w14:paraId="61B2C06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w:t>
            </w:r>
          </w:p>
        </w:tc>
        <w:tc>
          <w:tcPr>
            <w:tcW w:w="650" w:type="dxa"/>
            <w:tcBorders>
              <w:top w:val="nil"/>
              <w:bottom w:val="nil"/>
            </w:tcBorders>
          </w:tcPr>
          <w:p w14:paraId="218BCE8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0.97</w:t>
            </w:r>
          </w:p>
        </w:tc>
      </w:tr>
      <w:tr w:rsidR="00E84D7D" w:rsidRPr="00B06723" w14:paraId="637C95F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A37416B" w14:textId="3EF4E679"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val="en-US" w:eastAsia="fr-FR"/>
              </w:rPr>
              <w:instrText xml:space="preserve"> ADDIN ZOTERO_ITEM CSL_CITATION {"citationID":"a1e6ug9gekp","properties":{"formattedCitation":"\\uldash{(Yang et al., 2016)}","plainCitation":"(Yang et al., 2016)","dontUpdate":true,"noteIndex":0},"citationItems":[{"id":354,"uris":["http://zotero.org/users/3583561/items/L25E4I8R","http://zotero.org/users/3583561/items/25T8E7SX"],"itemData":{"id":354,"type":"article-journal","abstract":"OBJECTIVE: To evaluate the effects of microRNA-21 (miR-21) in peripheral blood mononuclear cells (PBMC) in the diagnosis and prognosis of prostate cancer (PCa).\nMETHODS: Proved by pathologic biopsy, 92 patients diagnosed with PCa and also underwent resection operation and 85 patients with benign prostatic hyperplasia (BPH) were selected in this study, as well as 97 healthy volunteers were chosen as the control group. PBMC were extracted to examine the relative expression of miR-21 by real time reverse transcriptase-polymerase chain reaction (RT-PCR). The relative operating characteristic (ROC) curves were drew to analyze the diagnosis value of PCa. The survival function curves were made by Kaplan-Meier method to show the miR-21 expression levels of PCa patients. The Log-rank test was adopted to compare the differences among the different groups. The Cox proportional hazard risk regression analysis was used to screen the independent factors affected the PCa patients.\nRESULTS: The expression levels of miR-21 in PCa group were increased compared to BPH and control group (P &lt; 0.05). The expression of miR-21 was significantly correlated with the Gleason score, clinical stages, bone metastasis and tumor recurrence (all P &lt; 0.05). ROC curves demonstrated that the area under the curve of PCa and BPH distinguished by the miR-21 were 0.974 and 95% confidence intervals (95% CI) were 0.956</w:instrText>
            </w:r>
            <w:r w:rsidRPr="00B06723">
              <w:rPr>
                <w:rFonts w:ascii="Cambria Math" w:eastAsia="Times New Roman" w:hAnsi="Cambria Math" w:cs="Cambria Math"/>
                <w:color w:val="000000"/>
                <w:sz w:val="20"/>
                <w:szCs w:val="20"/>
                <w:lang w:val="en-US" w:eastAsia="fr-FR"/>
              </w:rPr>
              <w:instrText>∼</w:instrText>
            </w:r>
            <w:r w:rsidRPr="00B06723">
              <w:rPr>
                <w:rFonts w:ascii="Arial" w:eastAsia="Times New Roman" w:hAnsi="Arial" w:cs="Arial"/>
                <w:color w:val="000000"/>
                <w:sz w:val="20"/>
                <w:szCs w:val="20"/>
                <w:lang w:val="en-US" w:eastAsia="fr-FR"/>
              </w:rPr>
              <w:instrText xml:space="preserve"> 0.993. The sensitivity and specificity were 93.5% and 92.9%. ROC curves demonstrated that the area under the curve of PCa and control group distinguished by the miR-21 were 0.984 and 95% CI were 0.972</w:instrText>
            </w:r>
            <w:r w:rsidRPr="00B06723">
              <w:rPr>
                <w:rFonts w:ascii="Cambria Math" w:eastAsia="Times New Roman" w:hAnsi="Cambria Math" w:cs="Cambria Math"/>
                <w:color w:val="000000"/>
                <w:sz w:val="20"/>
                <w:szCs w:val="20"/>
                <w:lang w:val="en-US" w:eastAsia="fr-FR"/>
              </w:rPr>
              <w:instrText>∼</w:instrText>
            </w:r>
            <w:r w:rsidRPr="00B06723">
              <w:rPr>
                <w:rFonts w:ascii="Arial" w:eastAsia="Times New Roman" w:hAnsi="Arial" w:cs="Arial"/>
                <w:color w:val="000000"/>
                <w:sz w:val="20"/>
                <w:szCs w:val="20"/>
                <w:lang w:val="en-US" w:eastAsia="fr-FR"/>
              </w:rPr>
              <w:instrText xml:space="preserve"> 0.997. The sensitivity and specificity were 94.6% and 92.8%. The results of Kaplan-Meier Method demonstrated that the miR-21 expression levels were related to the prognosis of PCa (all P &lt; 0.05). The results of the COX analysis suggested that the miR-21 expression level, tumor recurrence and bone metastasis could be the independent factors affected the prognosis of PCa patients (all P &lt; 0.05).\nCONCLUSION: miR-21 is highly expressed in the PCa patients, which could be the molecule biomarker of diagnosis and prognosis of PCa.","container-title":"Cancer Biomarkers: Section A of Disease Markers","DOI":"10.3233/CBM-160634","ISSN":"1875-8592","issue":"2","journalAbbreviation":"Cancer Biomark","language":"eng","note":"PMID: 27434290","page":"223-230","source":"PubMed","title":"MicroRNA-21 in peripheral blood mononuclear cells as a novel biomarker in the diagnosis and prognosis of prostate cancer","volume":"17","author":[{"family":"Yang","given":"Bing"},{"family":"Liu","given":"Zheng"},{"family":"Ning","given":"Hao"},{"family":"Zhang","given":"Kai"},{"family":"Pan","given":"Dongliang"},{"family":"Ding","given":"Kejia"},{"family":"Huang","given":"Wei"},{"family":"Kang","given":"Xin-Li"},{"family":"Wang","given":"Yang"},{"family":"Chen","given":"Xiang"}],"issued":{"date-parts":[["2016",7,8]]}}}],"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lang w:val="en-US"/>
              </w:rPr>
              <w:t>Yang et al., 2016</w:t>
            </w:r>
            <w:r w:rsidRPr="00B06723">
              <w:rPr>
                <w:rFonts w:ascii="Arial" w:hAnsi="Arial" w:cs="Arial"/>
                <w:color w:val="000000"/>
                <w:lang w:eastAsia="fr-FR"/>
              </w:rPr>
              <w:fldChar w:fldCharType="end"/>
            </w:r>
            <w:r w:rsidRPr="00B06723">
              <w:rPr>
                <w:rFonts w:ascii="Arial" w:eastAsia="Times New Roman" w:hAnsi="Arial" w:cs="Arial"/>
                <w:color w:val="000000"/>
                <w:sz w:val="20"/>
                <w:szCs w:val="20"/>
                <w:lang w:val="en-US" w:eastAsia="fr-FR"/>
              </w:rPr>
              <w:t xml:space="preserve"> </w:t>
            </w:r>
          </w:p>
        </w:tc>
        <w:tc>
          <w:tcPr>
            <w:tcW w:w="1084" w:type="dxa"/>
            <w:tcBorders>
              <w:top w:val="nil"/>
              <w:bottom w:val="nil"/>
            </w:tcBorders>
            <w:noWrap/>
          </w:tcPr>
          <w:p w14:paraId="080DDA4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167C187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31C3169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92</w:t>
            </w:r>
          </w:p>
        </w:tc>
        <w:tc>
          <w:tcPr>
            <w:tcW w:w="927" w:type="dxa"/>
            <w:tcBorders>
              <w:top w:val="nil"/>
              <w:bottom w:val="nil"/>
            </w:tcBorders>
            <w:noWrap/>
          </w:tcPr>
          <w:p w14:paraId="2446BA1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97</w:t>
            </w:r>
          </w:p>
        </w:tc>
        <w:tc>
          <w:tcPr>
            <w:tcW w:w="1361" w:type="dxa"/>
            <w:tcBorders>
              <w:top w:val="nil"/>
              <w:bottom w:val="nil"/>
            </w:tcBorders>
            <w:noWrap/>
          </w:tcPr>
          <w:p w14:paraId="485E856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Whole blood</w:t>
            </w:r>
          </w:p>
        </w:tc>
        <w:tc>
          <w:tcPr>
            <w:tcW w:w="1172" w:type="dxa"/>
            <w:tcBorders>
              <w:top w:val="nil"/>
              <w:bottom w:val="nil"/>
            </w:tcBorders>
          </w:tcPr>
          <w:p w14:paraId="6D31D52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2BCC281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522AE73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94.60</w:t>
            </w:r>
          </w:p>
        </w:tc>
        <w:tc>
          <w:tcPr>
            <w:tcW w:w="717" w:type="dxa"/>
            <w:tcBorders>
              <w:top w:val="nil"/>
              <w:bottom w:val="nil"/>
            </w:tcBorders>
            <w:noWrap/>
          </w:tcPr>
          <w:p w14:paraId="52F572F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92.80</w:t>
            </w:r>
          </w:p>
        </w:tc>
        <w:tc>
          <w:tcPr>
            <w:tcW w:w="550" w:type="dxa"/>
            <w:tcBorders>
              <w:top w:val="nil"/>
              <w:bottom w:val="nil"/>
            </w:tcBorders>
            <w:noWrap/>
          </w:tcPr>
          <w:p w14:paraId="2D49225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87</w:t>
            </w:r>
          </w:p>
        </w:tc>
        <w:tc>
          <w:tcPr>
            <w:tcW w:w="472" w:type="dxa"/>
            <w:tcBorders>
              <w:top w:val="nil"/>
              <w:bottom w:val="nil"/>
            </w:tcBorders>
            <w:noWrap/>
          </w:tcPr>
          <w:p w14:paraId="69B8041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483" w:type="dxa"/>
            <w:tcBorders>
              <w:top w:val="nil"/>
              <w:bottom w:val="nil"/>
            </w:tcBorders>
            <w:noWrap/>
          </w:tcPr>
          <w:p w14:paraId="5381593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90</w:t>
            </w:r>
          </w:p>
        </w:tc>
        <w:tc>
          <w:tcPr>
            <w:tcW w:w="483" w:type="dxa"/>
            <w:tcBorders>
              <w:top w:val="nil"/>
              <w:bottom w:val="nil"/>
            </w:tcBorders>
            <w:noWrap/>
          </w:tcPr>
          <w:p w14:paraId="2449818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w:t>
            </w:r>
          </w:p>
        </w:tc>
        <w:tc>
          <w:tcPr>
            <w:tcW w:w="650" w:type="dxa"/>
            <w:tcBorders>
              <w:top w:val="nil"/>
              <w:bottom w:val="nil"/>
            </w:tcBorders>
          </w:tcPr>
          <w:p w14:paraId="32FB085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0.98</w:t>
            </w:r>
          </w:p>
        </w:tc>
      </w:tr>
      <w:tr w:rsidR="00E84D7D" w:rsidRPr="00B06723" w14:paraId="144D426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D926885" w14:textId="158F3125"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val="en-US" w:eastAsia="fr-FR"/>
              </w:rPr>
              <w:instrText xml:space="preserve"> ADDIN ZOTERO_ITEM CSL_CITATION {"citationID":"a8jd0bqun4","properties":{"formattedCitation":"\\uldash{(Gao et al., 2016)}","plainCitation":"(Gao et al., 2016)","dontUpdate":true,"noteIndex":0},"citationItems":[{"id":694,"uris":["http://zotero.org/users/3583561/items/ATU2QLD2"],"itemData":{"id":694,"type":"article-journal","abstract":"To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Gao et al., 2016</w:t>
            </w:r>
            <w:r w:rsidRPr="00B06723">
              <w:rPr>
                <w:rFonts w:ascii="Arial" w:hAnsi="Arial" w:cs="Arial"/>
                <w:color w:val="000000"/>
                <w:lang w:eastAsia="fr-FR"/>
              </w:rPr>
              <w:fldChar w:fldCharType="end"/>
            </w:r>
          </w:p>
        </w:tc>
        <w:tc>
          <w:tcPr>
            <w:tcW w:w="1084" w:type="dxa"/>
            <w:tcBorders>
              <w:top w:val="nil"/>
              <w:bottom w:val="nil"/>
            </w:tcBorders>
            <w:noWrap/>
          </w:tcPr>
          <w:p w14:paraId="584218E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7AC2432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099775A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57</w:t>
            </w:r>
          </w:p>
        </w:tc>
        <w:tc>
          <w:tcPr>
            <w:tcW w:w="927" w:type="dxa"/>
            <w:tcBorders>
              <w:top w:val="nil"/>
              <w:bottom w:val="nil"/>
            </w:tcBorders>
            <w:noWrap/>
          </w:tcPr>
          <w:p w14:paraId="128967F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28</w:t>
            </w:r>
          </w:p>
        </w:tc>
        <w:tc>
          <w:tcPr>
            <w:tcW w:w="1361" w:type="dxa"/>
            <w:tcBorders>
              <w:top w:val="nil"/>
              <w:bottom w:val="nil"/>
            </w:tcBorders>
            <w:noWrap/>
          </w:tcPr>
          <w:p w14:paraId="3C65BEC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2654A88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18D2A49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6400919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87.70</w:t>
            </w:r>
          </w:p>
        </w:tc>
        <w:tc>
          <w:tcPr>
            <w:tcW w:w="717" w:type="dxa"/>
            <w:tcBorders>
              <w:top w:val="nil"/>
              <w:bottom w:val="nil"/>
            </w:tcBorders>
            <w:noWrap/>
          </w:tcPr>
          <w:p w14:paraId="04DD2C5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75.00</w:t>
            </w:r>
          </w:p>
        </w:tc>
        <w:tc>
          <w:tcPr>
            <w:tcW w:w="550" w:type="dxa"/>
            <w:tcBorders>
              <w:top w:val="nil"/>
              <w:bottom w:val="nil"/>
            </w:tcBorders>
            <w:noWrap/>
          </w:tcPr>
          <w:p w14:paraId="33F9BB3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50</w:t>
            </w:r>
          </w:p>
        </w:tc>
        <w:tc>
          <w:tcPr>
            <w:tcW w:w="472" w:type="dxa"/>
            <w:tcBorders>
              <w:top w:val="nil"/>
              <w:bottom w:val="nil"/>
            </w:tcBorders>
            <w:noWrap/>
          </w:tcPr>
          <w:p w14:paraId="0E90627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483" w:type="dxa"/>
            <w:tcBorders>
              <w:top w:val="nil"/>
              <w:bottom w:val="nil"/>
            </w:tcBorders>
            <w:noWrap/>
          </w:tcPr>
          <w:p w14:paraId="541DF9C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21</w:t>
            </w:r>
          </w:p>
        </w:tc>
        <w:tc>
          <w:tcPr>
            <w:tcW w:w="483" w:type="dxa"/>
            <w:tcBorders>
              <w:top w:val="nil"/>
              <w:bottom w:val="nil"/>
            </w:tcBorders>
            <w:noWrap/>
          </w:tcPr>
          <w:p w14:paraId="1D04D20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650" w:type="dxa"/>
            <w:tcBorders>
              <w:top w:val="nil"/>
              <w:bottom w:val="nil"/>
            </w:tcBorders>
          </w:tcPr>
          <w:p w14:paraId="5CFA95A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0.80</w:t>
            </w:r>
          </w:p>
        </w:tc>
      </w:tr>
      <w:tr w:rsidR="00E84D7D" w:rsidRPr="00B06723" w14:paraId="55BE62D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2FA1FFE" w14:textId="6707CFBF"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{"citationID":"a1eniahjg5q","properties":{"formattedCitation":"\\uldash{(Huang et al., 2015)}","plainCitation":"(Huang et al., 2015)","dontUpdate":true,"noteIndex":0},"citationItems":[{"id":645,"uris":["http://zotero.org/users/3583561/items/F9FWFC3K"],"itemData":{"id":645,"type":"article-journal","abstract":"AIMS: Our study aimed to evaluate the diagnostic and prognostic values of microRNA-21 (miR-21) expression levels in peripheral blood mononuclear cells (PBMCs) for prostate cancer (PCa).\nMETHODS: Between February 2010 and June 2014, 75 consecutive patients with localized PCa confirmed by radical prostatectomy and biopsy were enrolled as the case group. Among them, 25 patients were confirmed with recurrence or metastasis (R/M) (PCa with R/M group) and 50 patients without R/M (PCa without R/M group). During the same period, 75 healthy volunteers were enrolled as the control group. Blood was collected from all subjects, and PBMCs were isolated. Relative miR-21 expression levels from the PBMCs were determined by fluorescence real-time quantitative polymerase chain reaction (RT-qPCR).\nRESULTS: The relative miR-21 expression levels in the preoperative case group was significantly higher than that in the postoperative case group and the control group (both p&lt;0.001). miR-21 expression levels were associated with tumor differentiation, clinical stage, and lymph node metastasis (all p&lt;0.001). Furthermore, miR-21 expression levels in PCa patients with R/M were significantly higher than that in PCa patients without R/M and healthy controls (both p&lt;0.001). Receiver operating characteristic (ROC) curve analysis revealed that the cut-off point of miR-21 for diagnosis of PCa was 0.9 with a sensitivity of 87.5% and a specificity of 85.7%.\nCONCLUSIONS: Our study demonstrates that high miR-21 expression levels in PBMCs were correlated with the presence, recurrence, and metastasis of PCa and that this may be a useful biomarker for screening PCa and monitoring the risk of PCa recurrence and metastasis.","container-title":"Genetic Testing and Molecular Biomarkers","DOI":"10.1089/gtmb.2015.0088","ISSN":"1945-0257","issue":"9","journalAbbreviation":"Genet Test Mol Biomarkers","language":"eng","note":"PMID: 26247873","page":"469-475","source":"PubMed","title":"High-Level Expression of microRNA-21 in Peripheral Blood Mononuclear Cells Is a Diagnostic and Prognostic Marker in Prostate Cancer","volume":"19","author":[{"family":"Huang","given":"Wei"},{"family":"Kang","given":"Xin-Li"},{"family":"Cen","given":"Son"},{"family":"Wang","given":"Yang"},{"family":"Chen","given":"Xiang"}],"issued":{"date-parts":[["2015",9]]}}}],"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Huang et al., 2015</w:t>
            </w:r>
            <w:r w:rsidRPr="00B06723">
              <w:rPr>
                <w:rFonts w:ascii="Arial" w:hAnsi="Arial" w:cs="Arial"/>
                <w:color w:val="000000"/>
                <w:lang w:eastAsia="fr-FR"/>
              </w:rPr>
              <w:fldChar w:fldCharType="end"/>
            </w:r>
          </w:p>
        </w:tc>
        <w:tc>
          <w:tcPr>
            <w:tcW w:w="1084" w:type="dxa"/>
            <w:tcBorders>
              <w:top w:val="nil"/>
              <w:bottom w:val="nil"/>
            </w:tcBorders>
            <w:noWrap/>
          </w:tcPr>
          <w:p w14:paraId="20BEA79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4D30113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48123E2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w:t>
            </w:r>
          </w:p>
        </w:tc>
        <w:tc>
          <w:tcPr>
            <w:tcW w:w="927" w:type="dxa"/>
            <w:tcBorders>
              <w:top w:val="nil"/>
              <w:bottom w:val="nil"/>
            </w:tcBorders>
            <w:noWrap/>
          </w:tcPr>
          <w:p w14:paraId="7EE6DFA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w:t>
            </w:r>
          </w:p>
        </w:tc>
        <w:tc>
          <w:tcPr>
            <w:tcW w:w="1361" w:type="dxa"/>
            <w:tcBorders>
              <w:top w:val="nil"/>
              <w:bottom w:val="nil"/>
            </w:tcBorders>
            <w:noWrap/>
          </w:tcPr>
          <w:p w14:paraId="7A1F6ED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Whole blood</w:t>
            </w:r>
          </w:p>
        </w:tc>
        <w:tc>
          <w:tcPr>
            <w:tcW w:w="1172" w:type="dxa"/>
            <w:tcBorders>
              <w:top w:val="nil"/>
              <w:bottom w:val="nil"/>
            </w:tcBorders>
          </w:tcPr>
          <w:p w14:paraId="22ED536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05A6648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5B6B400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87.50</w:t>
            </w:r>
          </w:p>
        </w:tc>
        <w:tc>
          <w:tcPr>
            <w:tcW w:w="717" w:type="dxa"/>
            <w:tcBorders>
              <w:top w:val="nil"/>
              <w:bottom w:val="nil"/>
            </w:tcBorders>
            <w:noWrap/>
          </w:tcPr>
          <w:p w14:paraId="3C84DE4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85.70</w:t>
            </w:r>
          </w:p>
        </w:tc>
        <w:tc>
          <w:tcPr>
            <w:tcW w:w="550" w:type="dxa"/>
            <w:tcBorders>
              <w:top w:val="nil"/>
              <w:bottom w:val="nil"/>
            </w:tcBorders>
            <w:noWrap/>
          </w:tcPr>
          <w:p w14:paraId="504F51E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66</w:t>
            </w:r>
          </w:p>
        </w:tc>
        <w:tc>
          <w:tcPr>
            <w:tcW w:w="472" w:type="dxa"/>
            <w:tcBorders>
              <w:top w:val="nil"/>
              <w:bottom w:val="nil"/>
            </w:tcBorders>
            <w:noWrap/>
          </w:tcPr>
          <w:p w14:paraId="0E06198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11</w:t>
            </w:r>
          </w:p>
        </w:tc>
        <w:tc>
          <w:tcPr>
            <w:tcW w:w="483" w:type="dxa"/>
            <w:tcBorders>
              <w:top w:val="nil"/>
              <w:bottom w:val="nil"/>
            </w:tcBorders>
            <w:noWrap/>
          </w:tcPr>
          <w:p w14:paraId="1B0D5D1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64</w:t>
            </w:r>
          </w:p>
        </w:tc>
        <w:tc>
          <w:tcPr>
            <w:tcW w:w="483" w:type="dxa"/>
            <w:tcBorders>
              <w:top w:val="nil"/>
              <w:bottom w:val="nil"/>
            </w:tcBorders>
            <w:noWrap/>
          </w:tcPr>
          <w:p w14:paraId="6AB9963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w:t>
            </w:r>
          </w:p>
        </w:tc>
        <w:tc>
          <w:tcPr>
            <w:tcW w:w="650" w:type="dxa"/>
            <w:tcBorders>
              <w:top w:val="nil"/>
              <w:bottom w:val="nil"/>
            </w:tcBorders>
          </w:tcPr>
          <w:p w14:paraId="6CC4D22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0.83</w:t>
            </w:r>
          </w:p>
        </w:tc>
      </w:tr>
      <w:tr w:rsidR="00E84D7D" w:rsidRPr="00B06723" w14:paraId="05E4EA0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3E332D2" w14:textId="6CEE1073"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{"citationID":"a1hi70bs3mc","properties":{"formattedCitation":"\\uldash{(Emamvirdizadeh et al., 2015)}","plainCitation":"(Emamvirdizadeh et al., 2015)","dontUpdate":true,"noteIndex":0},"citationItems":[{"id":613,"uris":["http://zotero.org/users/3583561/items/ZIAUMHEN"],"itemData":{"id":613,"type":"article-journal","abstract":"Background: Prostate cancer is the most prevalent cancer among men worldwide. Diagnosis in this cancer is primarily done, using aggressive methods such as biopsy. Laboratory methods, such as the measurement of prostate-specific antigen (PSA) in the blood, do not have high sensitivity and specificity. MicroRNAs (miRNAs), a group of diagnostic biomarkers, can diagnose diseases such as cancer. MicroRNA (miRNA) is a small, non-coding, single-stranded RNA with a length of 21 to 23 nucleotides. Objectives: This study was designed to investigate the changes in the expression level of miR-21 and miR-214 in the urine of patients with prostate cancer compared with healthy controls. Methods: A total of 70 urine samples from prostate cancer patients (32 metastatic and 38 non-metastatic) and 30 from healthy subjects with negative biopsy reports were collected. The expression level of miR-21 and miR-214 in the urine were detected by quantitative reverse transcription-polymerase chain reaction (qRT-PCR). Results: miR-21 showed a significant increase in expression (P = 0.003) and miR-214 showed a significant decrease in expression (P = 0.000) compared with the control group. The specificity, sensitivity, and area under the curve (AUC) were 100, 72.14, and 0.721% for combined panels of miR-21 and miR-214 and 63.33, 61.43, and 0.620%, respectively, for PSA. Conclusions: miR-21 and miR-214 showed significant change in expression in patients with prostate cancer compared with healthy subjects. It is hoped that, with further research, a combined panel of miR-21 and miR-214 can be used as a non-invasive method for detecting prostate cancer with higher sensitivity and specificity than the PSA test.","container-title":"International Journal of Cancer Management","DOI":"10.5812/ijcm.110014","ISSN":"2538-497X","issue":"6","journalAbbreviation":"Int J Cancer Manag","language":"en","license":"This is an open-access article distributed under the terms of the Creative Commons Attribution-NonCommercial 4.0 International License (http://creativecommons.org/licenses/by-nc/4.0/) which permits copy and redistribute the material just in noncommercial usages, provided the original work is properly cited.","note":"number: 6\npublisher: Brieflands","source":"brieflands.com","title":"Non-invasive Prostate Cancer Detection by Measuring Expression Level of miR-21 and miR-214 in Urine","URL":"https://brieflands.com/articles/ijcm-110014.html#abstract","volume":"14","author":[{"family":"Emamvirdizadeh","given":"Alireza"},{"family":"Jamshidian","given":"Faranak"},{"family":"Entezari","given":"Maliheh"},{"family":"Nooraei","given":"Saghi"},{"family":"Hashemi","given":"Mehrdad"}],"accessed":{"date-parts":[["2023",5,23]]},"issued":{"date-parts":[["2015"]]}}}],"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Emamvirdizadeh et al., 2015</w:t>
            </w:r>
            <w:r w:rsidRPr="00B06723">
              <w:rPr>
                <w:rFonts w:ascii="Arial" w:hAnsi="Arial" w:cs="Arial"/>
                <w:color w:val="000000"/>
                <w:lang w:eastAsia="fr-FR"/>
              </w:rPr>
              <w:fldChar w:fldCharType="end"/>
            </w:r>
          </w:p>
        </w:tc>
        <w:tc>
          <w:tcPr>
            <w:tcW w:w="1084" w:type="dxa"/>
            <w:tcBorders>
              <w:top w:val="nil"/>
              <w:bottom w:val="nil"/>
            </w:tcBorders>
            <w:noWrap/>
          </w:tcPr>
          <w:p w14:paraId="1E65C31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Iran</w:t>
            </w:r>
          </w:p>
        </w:tc>
        <w:tc>
          <w:tcPr>
            <w:tcW w:w="927" w:type="dxa"/>
            <w:tcBorders>
              <w:top w:val="nil"/>
              <w:bottom w:val="nil"/>
            </w:tcBorders>
          </w:tcPr>
          <w:p w14:paraId="40F9944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HP</w:t>
            </w:r>
          </w:p>
        </w:tc>
        <w:tc>
          <w:tcPr>
            <w:tcW w:w="695" w:type="dxa"/>
            <w:tcBorders>
              <w:top w:val="nil"/>
              <w:bottom w:val="nil"/>
            </w:tcBorders>
            <w:noWrap/>
          </w:tcPr>
          <w:p w14:paraId="41BB5D7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70</w:t>
            </w:r>
          </w:p>
        </w:tc>
        <w:tc>
          <w:tcPr>
            <w:tcW w:w="927" w:type="dxa"/>
            <w:tcBorders>
              <w:top w:val="nil"/>
              <w:bottom w:val="nil"/>
            </w:tcBorders>
            <w:noWrap/>
          </w:tcPr>
          <w:p w14:paraId="4BFD4BA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30</w:t>
            </w:r>
          </w:p>
        </w:tc>
        <w:tc>
          <w:tcPr>
            <w:tcW w:w="1361" w:type="dxa"/>
            <w:tcBorders>
              <w:top w:val="nil"/>
              <w:bottom w:val="nil"/>
            </w:tcBorders>
            <w:noWrap/>
          </w:tcPr>
          <w:p w14:paraId="4F4B88E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Urine</w:t>
            </w:r>
          </w:p>
        </w:tc>
        <w:tc>
          <w:tcPr>
            <w:tcW w:w="1172" w:type="dxa"/>
            <w:tcBorders>
              <w:top w:val="nil"/>
              <w:bottom w:val="nil"/>
            </w:tcBorders>
          </w:tcPr>
          <w:p w14:paraId="1FCFD3D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02FEDBB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miR</w:t>
            </w:r>
            <w:proofErr w:type="gramEnd"/>
            <w:r w:rsidRPr="00B06723">
              <w:rPr>
                <w:rFonts w:ascii="Arial" w:eastAsia="Times New Roman" w:hAnsi="Arial" w:cs="Arial"/>
                <w:color w:val="000000"/>
                <w:sz w:val="20"/>
                <w:szCs w:val="20"/>
                <w:lang w:eastAsia="fr-FR"/>
              </w:rPr>
              <w:t>-21</w:t>
            </w:r>
          </w:p>
        </w:tc>
        <w:tc>
          <w:tcPr>
            <w:tcW w:w="717" w:type="dxa"/>
            <w:tcBorders>
              <w:top w:val="nil"/>
              <w:bottom w:val="nil"/>
            </w:tcBorders>
            <w:noWrap/>
          </w:tcPr>
          <w:p w14:paraId="063FB19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64.29</w:t>
            </w:r>
          </w:p>
        </w:tc>
        <w:tc>
          <w:tcPr>
            <w:tcW w:w="717" w:type="dxa"/>
            <w:tcBorders>
              <w:top w:val="nil"/>
              <w:bottom w:val="nil"/>
            </w:tcBorders>
            <w:noWrap/>
          </w:tcPr>
          <w:p w14:paraId="548C5A2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100</w:t>
            </w:r>
          </w:p>
        </w:tc>
        <w:tc>
          <w:tcPr>
            <w:tcW w:w="550" w:type="dxa"/>
            <w:tcBorders>
              <w:top w:val="nil"/>
              <w:bottom w:val="nil"/>
            </w:tcBorders>
            <w:noWrap/>
          </w:tcPr>
          <w:p w14:paraId="276B5D6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45</w:t>
            </w:r>
          </w:p>
        </w:tc>
        <w:tc>
          <w:tcPr>
            <w:tcW w:w="472" w:type="dxa"/>
            <w:tcBorders>
              <w:top w:val="nil"/>
              <w:bottom w:val="nil"/>
            </w:tcBorders>
            <w:noWrap/>
          </w:tcPr>
          <w:p w14:paraId="5CEB21C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w:t>
            </w:r>
          </w:p>
        </w:tc>
        <w:tc>
          <w:tcPr>
            <w:tcW w:w="483" w:type="dxa"/>
            <w:tcBorders>
              <w:top w:val="nil"/>
              <w:bottom w:val="nil"/>
            </w:tcBorders>
            <w:noWrap/>
          </w:tcPr>
          <w:p w14:paraId="437B44E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30</w:t>
            </w:r>
          </w:p>
        </w:tc>
        <w:tc>
          <w:tcPr>
            <w:tcW w:w="483" w:type="dxa"/>
            <w:tcBorders>
              <w:top w:val="nil"/>
              <w:bottom w:val="nil"/>
            </w:tcBorders>
            <w:noWrap/>
          </w:tcPr>
          <w:p w14:paraId="6B0E3C0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25</w:t>
            </w:r>
          </w:p>
        </w:tc>
        <w:tc>
          <w:tcPr>
            <w:tcW w:w="650" w:type="dxa"/>
            <w:tcBorders>
              <w:top w:val="nil"/>
              <w:bottom w:val="nil"/>
            </w:tcBorders>
          </w:tcPr>
          <w:p w14:paraId="1C2300D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0.64</w:t>
            </w:r>
          </w:p>
        </w:tc>
      </w:tr>
      <w:tr w:rsidR="00E84D7D" w:rsidRPr="00B06723" w14:paraId="70C7E0AB"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9F34D9C" w14:textId="690837A5"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{"citationID":"ajaskqieib","properties":{"formattedCitation":"\\uldash{(Kotb et al., 2014)}","plainCitation":"(Kotb et al., 2014)","dontUpdate":true,"noteIndex":0},"citationItems":[{"id":777,"uris":["http://zotero.org/users/3583561/items/A4CXYGJC"],"itemData":{"id":777,"type":"article-journal","abstract":"To compare the expression of two promising circulating micro-ribonucleic acids (miRNAs 21 and 221) in patients with prostate cancer to subjects without cancer and to evaluate their potential role as specific noninvasive molecular biomarkers for prostate cancer diagnosis, circulating miRNAs 21 and 221 expression profiles were analyzed in 20 men aged 50-75 years, presenting with lower urinary tract symptoms (LUTSs) and undergoing transrectal ultrasound (TRUS)-guided prostate biopsy based on either elevated serum prostate-specific antigen (PSA) (&gt;4.0 ng/ml) or suspicious digital rectal examination (DRE). The performance of miRNAs 21 and 221 in differentiating prostate cancer from nonmalignant cases was evaluated and compared to DRE and elevated PSA. miRNA 21 was overexpressed in 90 % of group A vs. 10 % of group B, while miRNA 221 was overexpressed in 80 % of group A vs. 20 % of group B (p = 0.001). MiRNA 21 overexpression had the highest performance as a diagnostic test with a sensitivity of 90 % and a specificity 90 % (p = 0.02). No correlations were noted between Gleason score of prostate cancer cases and relative quantity (RQ) 21 (r = -0.355, p = 0.292) or RQ 221 (r = -0.044, p = 0.892). Our study showed that serum miRNAs 21 and 221 expression profiling tests may be used as specific noninvasive molecular biomarkers for prostate cancer diagnosis due to their higher sensitivity and specificity with a high negative predictive value leading to a decrease in the biopsies taken for patients with elevated serum PSA values.","container-title":"Tumour Biology: The Journal of the International Society for Oncodevelopmental Biology and Medicine","DOI":"10.1007/s13277-014-2584-7","ISSN":"1423-0380","issue":"12","journalAbbreviation":"Tumour Biol","language":"eng","note":"PMID: 25190021","page":"12613-12617","source":"PubMed","title":"Circulating miRNAs 21 and 221 as biomarkers for early diagnosis of prostate cancer","volume":"35","author":[{"family":"Kotb","given":"Sameh"},{"family":"Mosharafa","given":"Ashraf"},{"family":"Essawi","given":"Mona"},{"family":"Hassan","given":"Heba"},{"family":"Meshref","given":"Alaa"},{"family":"Morsy","given":"Ahmed"}],"issued":{"date-parts":[["2014",12]]}}}],"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Kotb et al., 2014</w:t>
            </w:r>
            <w:r w:rsidRPr="00B06723">
              <w:rPr>
                <w:rFonts w:ascii="Arial" w:hAnsi="Arial" w:cs="Arial"/>
                <w:color w:val="000000"/>
                <w:lang w:eastAsia="fr-FR"/>
              </w:rPr>
              <w:fldChar w:fldCharType="end"/>
            </w:r>
          </w:p>
        </w:tc>
        <w:tc>
          <w:tcPr>
            <w:tcW w:w="1084" w:type="dxa"/>
            <w:tcBorders>
              <w:top w:val="nil"/>
              <w:bottom w:val="nil"/>
            </w:tcBorders>
            <w:noWrap/>
          </w:tcPr>
          <w:p w14:paraId="6BD42E1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B06723">
              <w:rPr>
                <w:rFonts w:ascii="Arial" w:eastAsia="Times New Roman" w:hAnsi="Arial" w:cs="Arial"/>
                <w:color w:val="000000"/>
                <w:sz w:val="20"/>
                <w:szCs w:val="20"/>
                <w:lang w:eastAsia="fr-FR"/>
              </w:rPr>
              <w:t>Egypt</w:t>
            </w:r>
            <w:proofErr w:type="spellEnd"/>
          </w:p>
        </w:tc>
        <w:tc>
          <w:tcPr>
            <w:tcW w:w="927" w:type="dxa"/>
            <w:tcBorders>
              <w:top w:val="nil"/>
              <w:bottom w:val="nil"/>
            </w:tcBorders>
          </w:tcPr>
          <w:p w14:paraId="45F9977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BPH</w:t>
            </w:r>
          </w:p>
        </w:tc>
        <w:tc>
          <w:tcPr>
            <w:tcW w:w="695" w:type="dxa"/>
            <w:tcBorders>
              <w:top w:val="nil"/>
              <w:bottom w:val="nil"/>
            </w:tcBorders>
            <w:noWrap/>
          </w:tcPr>
          <w:p w14:paraId="1334084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10</w:t>
            </w:r>
          </w:p>
        </w:tc>
        <w:tc>
          <w:tcPr>
            <w:tcW w:w="927" w:type="dxa"/>
            <w:tcBorders>
              <w:top w:val="nil"/>
              <w:bottom w:val="nil"/>
            </w:tcBorders>
            <w:noWrap/>
          </w:tcPr>
          <w:p w14:paraId="4E2F063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10</w:t>
            </w:r>
          </w:p>
        </w:tc>
        <w:tc>
          <w:tcPr>
            <w:tcW w:w="1361" w:type="dxa"/>
            <w:tcBorders>
              <w:top w:val="nil"/>
              <w:bottom w:val="nil"/>
            </w:tcBorders>
            <w:noWrap/>
          </w:tcPr>
          <w:p w14:paraId="7D0DD46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B06723">
              <w:rPr>
                <w:rFonts w:ascii="Arial" w:eastAsia="Times New Roman" w:hAnsi="Arial" w:cs="Arial"/>
                <w:color w:val="000000"/>
                <w:sz w:val="20"/>
                <w:szCs w:val="20"/>
                <w:lang w:eastAsia="fr-FR"/>
              </w:rPr>
              <w:t>Serum</w:t>
            </w:r>
            <w:proofErr w:type="spellEnd"/>
          </w:p>
        </w:tc>
        <w:tc>
          <w:tcPr>
            <w:tcW w:w="1172" w:type="dxa"/>
            <w:tcBorders>
              <w:top w:val="nil"/>
              <w:bottom w:val="nil"/>
            </w:tcBorders>
          </w:tcPr>
          <w:p w14:paraId="16995EC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14D52A4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miR</w:t>
            </w:r>
            <w:proofErr w:type="gramEnd"/>
            <w:r w:rsidRPr="00B06723">
              <w:rPr>
                <w:rFonts w:ascii="Arial" w:eastAsia="Times New Roman" w:hAnsi="Arial" w:cs="Arial"/>
                <w:color w:val="000000"/>
                <w:sz w:val="20"/>
                <w:szCs w:val="20"/>
                <w:lang w:eastAsia="fr-FR"/>
              </w:rPr>
              <w:t>-21</w:t>
            </w:r>
          </w:p>
        </w:tc>
        <w:tc>
          <w:tcPr>
            <w:tcW w:w="717" w:type="dxa"/>
            <w:tcBorders>
              <w:top w:val="nil"/>
              <w:bottom w:val="nil"/>
            </w:tcBorders>
            <w:noWrap/>
          </w:tcPr>
          <w:p w14:paraId="50C455B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90</w:t>
            </w:r>
          </w:p>
        </w:tc>
        <w:tc>
          <w:tcPr>
            <w:tcW w:w="717" w:type="dxa"/>
            <w:tcBorders>
              <w:top w:val="nil"/>
              <w:bottom w:val="nil"/>
            </w:tcBorders>
            <w:noWrap/>
          </w:tcPr>
          <w:p w14:paraId="1719187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90</w:t>
            </w:r>
          </w:p>
        </w:tc>
        <w:tc>
          <w:tcPr>
            <w:tcW w:w="550" w:type="dxa"/>
            <w:tcBorders>
              <w:top w:val="nil"/>
              <w:bottom w:val="nil"/>
            </w:tcBorders>
            <w:noWrap/>
          </w:tcPr>
          <w:p w14:paraId="38CD201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9</w:t>
            </w:r>
          </w:p>
        </w:tc>
        <w:tc>
          <w:tcPr>
            <w:tcW w:w="472" w:type="dxa"/>
            <w:tcBorders>
              <w:top w:val="nil"/>
              <w:bottom w:val="nil"/>
            </w:tcBorders>
            <w:noWrap/>
          </w:tcPr>
          <w:p w14:paraId="30540FE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w:t>
            </w:r>
          </w:p>
        </w:tc>
        <w:tc>
          <w:tcPr>
            <w:tcW w:w="483" w:type="dxa"/>
            <w:tcBorders>
              <w:top w:val="nil"/>
              <w:bottom w:val="nil"/>
            </w:tcBorders>
            <w:noWrap/>
          </w:tcPr>
          <w:p w14:paraId="23F3080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9</w:t>
            </w:r>
          </w:p>
        </w:tc>
        <w:tc>
          <w:tcPr>
            <w:tcW w:w="483" w:type="dxa"/>
            <w:tcBorders>
              <w:top w:val="nil"/>
              <w:bottom w:val="nil"/>
            </w:tcBorders>
            <w:noWrap/>
          </w:tcPr>
          <w:p w14:paraId="3D88D39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w:t>
            </w:r>
          </w:p>
        </w:tc>
        <w:tc>
          <w:tcPr>
            <w:tcW w:w="650" w:type="dxa"/>
            <w:tcBorders>
              <w:top w:val="nil"/>
              <w:bottom w:val="nil"/>
            </w:tcBorders>
          </w:tcPr>
          <w:p w14:paraId="4529D47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r>
      <w:tr w:rsidR="00E84D7D" w:rsidRPr="00B06723" w14:paraId="6CE7887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F02F65C" w14:textId="07433805"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{"citationID":"a2e3cla41cl","properties":{"formattedCitation":"\\uldash{(Yaman Agaoglu et al., 2011)}","plainCitation":"(Yaman Agaoglu et al., 2011)","dontUpdate":true,"noteIndex":0},"citationItems":[{"id":352,"uris":["http://zotero.org/users/3583561/items/M3XCR24F","http://zotero.org/users/3583561/items/IPD4CHAN"],"itemData":{"id":352,"type":"article-journal","abstract":"In addition to their potential as tissue-based markers for cancer classification and prognostication, the study of microRNAs (miRNAs) in blood circulation is also of interest. In the present study, we investigated the amounts of three cancer-related miRNAs, miR-21, -141, and -221 in blood plasma of prostate cancer (PCa) patients. A cohort of 51 patients with PCa was enrolled into the study, and miRNAs were measured in two subgroups, with localized/local advanced or metastatic PCa. A group of 20 healthy individuals served as the control group. miRNAs were quantified from the total RNA fraction using 200 μl plasma and the small RNA molecule RNU1A as a control for normalizing the miRNA amounts in circulation. We found similar levels of three miRNAs in healthy subjects with median values of 0.039, 0.033 and 0.04, respectively; (p = n.s.). In the patients, the miRNA levels were higher, with miR-21 being the highest (median, 1.51). The miR-221 levels were intermediate (median, 0.71) while the miR-141 displayed the lowest levels (median, 0.051). The differences between the control group and the patients were highly significant for the miR-21 (p &lt; 0.001; area under the curve (AUC), 88%) and -221 (p &lt; 0.001; AUC, 83%) but not for the miR-141 (p = 0.2). In patients diagnosed with metastatic PCa, levels of all three miRNAs were significantly higher than in patients with localized/local advanced disease where the difference for the miR-141 was most pronounced (p&lt; 0.001; AUC, 75.5%). In conclusion, analysis of miR-21, -141, and -221 in blood of PCa patients reveals varying patterns of these molecules in clinical subgroups of PCa.","container-title":"Tumour Biology: The Journal of the International Society for Oncodevelopmental Biology and Medicine","DOI":"10.1007/s13277-011-0154-9","ISSN":"1423-0380","issue":"3","journalAbbreviation":"Tumour Biol","language":"eng","note":"PMID: 21274675","page":"583-588","source":"PubMed","title":"Investigation of miR-21, miR-141, and miR-221 in blood circulation of patients with prostate cancer","volume":"32","author":[{"family":"Yaman Agaoglu","given":"Fulya"},{"family":"Kovancilar","given":"Müge"},{"family":"Dizdar","given":"Yavuz"},{"family":"Darendeliler","given":"Emin"},{"family":"Holdenrieder","given":"Stefan"},{"family":"Dalay","given":"Nejat"},{"family":"Gezer","given":"Ugur"}],"issued":{"date-parts":[["2011",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Yaman Agaoglu et al., 2011</w:t>
            </w:r>
            <w:r w:rsidRPr="00B06723">
              <w:rPr>
                <w:rFonts w:ascii="Arial" w:hAnsi="Arial" w:cs="Arial"/>
                <w:color w:val="000000"/>
                <w:lang w:eastAsia="fr-FR"/>
              </w:rPr>
              <w:fldChar w:fldCharType="end"/>
            </w:r>
          </w:p>
        </w:tc>
        <w:tc>
          <w:tcPr>
            <w:tcW w:w="1084" w:type="dxa"/>
            <w:tcBorders>
              <w:top w:val="nil"/>
              <w:bottom w:val="nil"/>
            </w:tcBorders>
            <w:noWrap/>
          </w:tcPr>
          <w:p w14:paraId="18CAD15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Turkey</w:t>
            </w:r>
          </w:p>
        </w:tc>
        <w:tc>
          <w:tcPr>
            <w:tcW w:w="927" w:type="dxa"/>
            <w:tcBorders>
              <w:top w:val="nil"/>
              <w:bottom w:val="nil"/>
            </w:tcBorders>
          </w:tcPr>
          <w:p w14:paraId="37CD3E2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57D7738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51</w:t>
            </w:r>
          </w:p>
        </w:tc>
        <w:tc>
          <w:tcPr>
            <w:tcW w:w="927" w:type="dxa"/>
            <w:tcBorders>
              <w:top w:val="nil"/>
              <w:bottom w:val="nil"/>
            </w:tcBorders>
            <w:noWrap/>
          </w:tcPr>
          <w:p w14:paraId="7F77F5C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1361" w:type="dxa"/>
            <w:tcBorders>
              <w:top w:val="nil"/>
              <w:bottom w:val="nil"/>
            </w:tcBorders>
            <w:noWrap/>
          </w:tcPr>
          <w:p w14:paraId="381DD20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6B0F297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3FB77D2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MiR-21</w:t>
            </w:r>
          </w:p>
        </w:tc>
        <w:tc>
          <w:tcPr>
            <w:tcW w:w="717" w:type="dxa"/>
            <w:tcBorders>
              <w:top w:val="nil"/>
              <w:bottom w:val="nil"/>
            </w:tcBorders>
            <w:noWrap/>
          </w:tcPr>
          <w:p w14:paraId="7D49D60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14A4AA9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0C31AAB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686E0C7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60E1D62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52E064B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05857BB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0.88</w:t>
            </w:r>
          </w:p>
        </w:tc>
      </w:tr>
      <w:tr w:rsidR="00E84D7D" w:rsidRPr="00B06723" w14:paraId="7EDF50FF"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96A7860" w14:textId="14E398F3"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{"citationID":"a2bu50ht2g","properties":{"formattedCitation":"\\uldash{(Canatan et al., 2022)}","plainCitation":"(Canatan et al., 2022)","dontUpdate":true,"noteIndex":0},"citationItems":[{"id":794,"uris":["http://zotero.org/users/3583561/items/8QTS8J57"],"itemData":{"id":794,"type":"article-journal","abstract":"INTRODUCTION: Prostate cancer (PCa) is a common type of cancer in western countries and prominent cause of mortality in men. The aim of the study was to analyze circulating miRNAs as biomarkers in the sera of healthy individuals and prostate cancer cases without biopsy.\nMATERIAL AND METHODS: Twenty prostate cases, age (mean and range) 61,4±12.1 (45-73), and twenty healthy men, age 59,3±11.2 (44-70) were included to the study. The mean and range of prostate spesific antigen (PSA) in cancer cases and healthy individuals were 6.79±2.84 ng/ml (2.25-14.7) and 3.8±2.2 ng/ml (1.3-7.8) respectively.\nRESULTS: Seven miRNAs including two internal controls (Let7c, miR125b, miR141, miR145, miR 155, miR181 ve miR192) were evaluated in two groups. The level of miR141 was significantly lower in PCa cases than healthy individuals (p=0,004), and miR155 was significantly higher (p=0,005) in PCa cases. Both miRNAs were explored sensitive and spesific in the ROC analysis. Tumor mass were found to be associated with the level of miR-125b and miR-145. Conclusion; validation studies are required in wider patient groups in the subject of tumor effect and miRNA biomarkers in prostate cancer.","container-title":"Acta Bio-Medica: Atenei Parmensis","DOI":"10.23750/abm.v93i3.11642","ISSN":"2531-6745","issue":"3","journalAbbreviation":"Acta Biomed","language":"eng","note":"PMID: 35775783\nPMCID: PMC9335414","page":"e2022089","source":"PubMed","title":"Use of MicroRNAs as biomarkers in the early diagnosis of prostate cancer","volume":"93","author":[{"family":"Canatan","given":"Duran"},{"family":"Yılmaz","given":"Ozlem"},{"family":"Sonmez","given":"Yonca"},{"family":"Cim","given":"Abdullah"},{"family":"Baykara","given":"Mehmet"},{"family":"Savas","given":"Murat"},{"family":"Coskun","given":"Hasan Senol"},{"family":"Goksu","given":"Sema Sezgin"},{"family":"Aktekin","given":"Mehmet Rıfkı"}],"issued":{"date-parts":[["2022",7,1]]}}}],"schema":"https://github.com/citation-style-language/schema/raw/master/csl-citation.json"}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Canatan et al., 2022</w:t>
            </w:r>
            <w:r w:rsidRPr="00B06723">
              <w:rPr>
                <w:rFonts w:ascii="Arial" w:hAnsi="Arial" w:cs="Arial"/>
                <w:color w:val="000000"/>
                <w:lang w:eastAsia="fr-FR"/>
              </w:rPr>
              <w:fldChar w:fldCharType="end"/>
            </w:r>
          </w:p>
        </w:tc>
        <w:tc>
          <w:tcPr>
            <w:tcW w:w="1084" w:type="dxa"/>
            <w:tcBorders>
              <w:top w:val="nil"/>
              <w:bottom w:val="nil"/>
            </w:tcBorders>
            <w:noWrap/>
          </w:tcPr>
          <w:p w14:paraId="00D2BF7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Georgia</w:t>
            </w:r>
          </w:p>
        </w:tc>
        <w:tc>
          <w:tcPr>
            <w:tcW w:w="927" w:type="dxa"/>
            <w:tcBorders>
              <w:top w:val="nil"/>
              <w:bottom w:val="nil"/>
            </w:tcBorders>
          </w:tcPr>
          <w:p w14:paraId="30079B6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2EE0DB1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927" w:type="dxa"/>
            <w:tcBorders>
              <w:top w:val="nil"/>
              <w:bottom w:val="nil"/>
            </w:tcBorders>
            <w:noWrap/>
          </w:tcPr>
          <w:p w14:paraId="0340DFB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1361" w:type="dxa"/>
            <w:tcBorders>
              <w:top w:val="nil"/>
              <w:bottom w:val="nil"/>
            </w:tcBorders>
            <w:noWrap/>
          </w:tcPr>
          <w:p w14:paraId="6AD2A0E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2D74332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5DDA1A0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132582B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100</w:t>
            </w:r>
          </w:p>
        </w:tc>
        <w:tc>
          <w:tcPr>
            <w:tcW w:w="717" w:type="dxa"/>
            <w:tcBorders>
              <w:top w:val="nil"/>
              <w:bottom w:val="nil"/>
            </w:tcBorders>
            <w:noWrap/>
          </w:tcPr>
          <w:p w14:paraId="2114903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83.30</w:t>
            </w:r>
          </w:p>
        </w:tc>
        <w:tc>
          <w:tcPr>
            <w:tcW w:w="550" w:type="dxa"/>
            <w:tcBorders>
              <w:top w:val="nil"/>
              <w:bottom w:val="nil"/>
            </w:tcBorders>
            <w:noWrap/>
          </w:tcPr>
          <w:p w14:paraId="2CED000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472" w:type="dxa"/>
            <w:tcBorders>
              <w:top w:val="nil"/>
              <w:bottom w:val="nil"/>
            </w:tcBorders>
            <w:noWrap/>
          </w:tcPr>
          <w:p w14:paraId="1B27881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w:t>
            </w:r>
          </w:p>
        </w:tc>
        <w:tc>
          <w:tcPr>
            <w:tcW w:w="483" w:type="dxa"/>
            <w:tcBorders>
              <w:top w:val="nil"/>
              <w:bottom w:val="nil"/>
            </w:tcBorders>
            <w:noWrap/>
          </w:tcPr>
          <w:p w14:paraId="569C383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w:t>
            </w:r>
          </w:p>
        </w:tc>
        <w:tc>
          <w:tcPr>
            <w:tcW w:w="483" w:type="dxa"/>
            <w:tcBorders>
              <w:top w:val="nil"/>
              <w:bottom w:val="nil"/>
            </w:tcBorders>
            <w:noWrap/>
          </w:tcPr>
          <w:p w14:paraId="422469D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17</w:t>
            </w:r>
          </w:p>
        </w:tc>
        <w:tc>
          <w:tcPr>
            <w:tcW w:w="650" w:type="dxa"/>
            <w:tcBorders>
              <w:top w:val="nil"/>
              <w:bottom w:val="nil"/>
            </w:tcBorders>
          </w:tcPr>
          <w:p w14:paraId="09FE611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0.92</w:t>
            </w:r>
          </w:p>
        </w:tc>
      </w:tr>
      <w:tr w:rsidR="00E84D7D" w:rsidRPr="00B06723" w14:paraId="2F6DE51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83335D4" w14:textId="567051CD"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{"citationID":"a12js65mikc","properties":{"formattedCitation":"\\uldash{(Zabegina et al., 2021)}","plainCitation":"(Zabegina et al., 2021)","dontUpdate":true,"noteIndex":0},"citationItems":[{"id":66,"uris":["http://zotero.org/users/3583561/items/WVK8J6GI"],"itemData":{"id":66,"type":"article-journal","abstract":"Vesicular miRNA has emerged as a promising marker for various types of cancer, including prostate cancer (PC). In the advanced stage of PC, the cancer-cell-derived small extracellular vesicles (SEVs) may constitute a significant portion of circulating vesicles and may mediate a detectable change in the plasma vesicular miRNA profile. However, SEVs secreted by small tumor in the prostate gland constitute a tiny fraction of circulating vesicles and cause undetectable miRNA pattern changes. Thus, the isolation and miRNA profiling of a specific prostate-derived fraction of SEVs can improve the diagnostic potency of the methods based on vesicular miRNA analysis. Prostate-specific membrane antigen (PSMA) was selected as a marker of prostate-derived SEVs. Super-paramagnetic beads (SPMBs) were functionalized by PSMA-binding DNA aptamer (PSMA–Apt) via a click reaction. The efficacy of SPMB–PSMA–Apt complex formation and PSMA(+)SEVs capture were assayed by flow cytometry. miRNA was isolated from the total population of SEVs and PSMA(+)SEVs of PC patients (n = 55) and healthy donors (n = 30). Four PC-related miRNAs (miR-145, miR-451a, miR-143, and miR-221) were assayed by RT-PCR. The click chemistry allowed fixing DNA aptamers onto the surface of SPMB with an efficacy of up to 89.9%. The developed method more effectively isolates PSMA(+)SEVs than relevant antibody-based technology. The analysis of PC-related miRNA in the fraction of PSMA(+)SEVs was more sensitive and revealed distinct diagnostic potency (AUC: miR-145, 0.76; miR-221, 0.7; miR-451a, 0.65; and miR-141, 0.64) than analysis of the total SEV population. Thus, isolation of prostate-specific SEVs followed by analysis of vesicular miRNA might be a promising PC diagnosis method.","container-title":"Cells","DOI":"10.3390/cells10092372","ISSN":"2073-4409","issue":"9","journalAbbreviation":"Cells","note":"PMID: 34572021\nPMCID: PMC8467918","page":"2372","source":"PubMed Central","title":"A New Approach for Prostate Cancer Diagnosis by miRNA Profiling of Prostate-Derived Plasma Small Extracellular Vesicles","URL":"https://www.ncbi.nlm.nih.gov/pmc/articles/PMC8467918/","volume":"10","author":[{"family":"Zabegina","given":"Lidia"},{"family":"Nazarova","given":"Inga"},{"family":"Nikiforova","given":"Nadezhda"},{"family":"Slyusarenko","given":"Maria"},{"family":"Sidina","given":"Elena"},{"family":"Knyazeva","given":"Margarita"},{"family":"Tsyrlina","given":"Evgenia"},{"family":"Novikov","given":"Sergey"},{"family":"Reva","given":"Sergey"},{"family":"Malek","given":"Anastasia"}],"accessed":{"date-parts":[["2023",4,25]]},"issued":{"date-parts":[["2021",9,9]]}}}],"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Zabegina et al., 2021</w:t>
            </w:r>
            <w:r w:rsidRPr="00B06723">
              <w:rPr>
                <w:rFonts w:ascii="Arial" w:hAnsi="Arial" w:cs="Arial"/>
                <w:color w:val="000000"/>
                <w:lang w:eastAsia="fr-FR"/>
              </w:rPr>
              <w:fldChar w:fldCharType="end"/>
            </w:r>
          </w:p>
        </w:tc>
        <w:tc>
          <w:tcPr>
            <w:tcW w:w="1084" w:type="dxa"/>
            <w:tcBorders>
              <w:top w:val="nil"/>
              <w:bottom w:val="nil"/>
            </w:tcBorders>
            <w:noWrap/>
          </w:tcPr>
          <w:p w14:paraId="365D018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B06723">
              <w:rPr>
                <w:rFonts w:ascii="Arial" w:eastAsia="Times New Roman" w:hAnsi="Arial" w:cs="Arial"/>
                <w:color w:val="000000"/>
                <w:sz w:val="20"/>
                <w:szCs w:val="20"/>
                <w:lang w:eastAsia="fr-FR"/>
              </w:rPr>
              <w:t>Russia</w:t>
            </w:r>
            <w:proofErr w:type="spellEnd"/>
          </w:p>
        </w:tc>
        <w:tc>
          <w:tcPr>
            <w:tcW w:w="927" w:type="dxa"/>
            <w:tcBorders>
              <w:top w:val="nil"/>
              <w:bottom w:val="nil"/>
            </w:tcBorders>
          </w:tcPr>
          <w:p w14:paraId="290F77C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HP</w:t>
            </w:r>
          </w:p>
        </w:tc>
        <w:tc>
          <w:tcPr>
            <w:tcW w:w="695" w:type="dxa"/>
            <w:tcBorders>
              <w:top w:val="nil"/>
              <w:bottom w:val="nil"/>
            </w:tcBorders>
            <w:noWrap/>
          </w:tcPr>
          <w:p w14:paraId="5172AC7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55</w:t>
            </w:r>
          </w:p>
        </w:tc>
        <w:tc>
          <w:tcPr>
            <w:tcW w:w="927" w:type="dxa"/>
            <w:tcBorders>
              <w:top w:val="nil"/>
              <w:bottom w:val="nil"/>
            </w:tcBorders>
            <w:noWrap/>
          </w:tcPr>
          <w:p w14:paraId="374F1A4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30</w:t>
            </w:r>
          </w:p>
        </w:tc>
        <w:tc>
          <w:tcPr>
            <w:tcW w:w="1361" w:type="dxa"/>
            <w:tcBorders>
              <w:top w:val="nil"/>
              <w:bottom w:val="nil"/>
            </w:tcBorders>
            <w:noWrap/>
          </w:tcPr>
          <w:p w14:paraId="70B0402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 xml:space="preserve">Plasma </w:t>
            </w:r>
          </w:p>
        </w:tc>
        <w:tc>
          <w:tcPr>
            <w:tcW w:w="1172" w:type="dxa"/>
            <w:tcBorders>
              <w:top w:val="nil"/>
              <w:bottom w:val="nil"/>
            </w:tcBorders>
          </w:tcPr>
          <w:p w14:paraId="349B008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396EF59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MiR-141</w:t>
            </w:r>
          </w:p>
        </w:tc>
        <w:tc>
          <w:tcPr>
            <w:tcW w:w="717" w:type="dxa"/>
            <w:tcBorders>
              <w:top w:val="nil"/>
              <w:bottom w:val="nil"/>
            </w:tcBorders>
            <w:noWrap/>
          </w:tcPr>
          <w:p w14:paraId="70D1239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74.55</w:t>
            </w:r>
          </w:p>
        </w:tc>
        <w:tc>
          <w:tcPr>
            <w:tcW w:w="717" w:type="dxa"/>
            <w:tcBorders>
              <w:top w:val="nil"/>
              <w:bottom w:val="nil"/>
            </w:tcBorders>
            <w:noWrap/>
          </w:tcPr>
          <w:p w14:paraId="224FEB8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60.00</w:t>
            </w:r>
          </w:p>
        </w:tc>
        <w:tc>
          <w:tcPr>
            <w:tcW w:w="550" w:type="dxa"/>
            <w:tcBorders>
              <w:top w:val="nil"/>
              <w:bottom w:val="nil"/>
            </w:tcBorders>
            <w:noWrap/>
          </w:tcPr>
          <w:p w14:paraId="6F0B0AA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41</w:t>
            </w:r>
          </w:p>
        </w:tc>
        <w:tc>
          <w:tcPr>
            <w:tcW w:w="472" w:type="dxa"/>
            <w:tcBorders>
              <w:top w:val="nil"/>
              <w:bottom w:val="nil"/>
            </w:tcBorders>
            <w:noWrap/>
          </w:tcPr>
          <w:p w14:paraId="15A5AC5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12</w:t>
            </w:r>
          </w:p>
        </w:tc>
        <w:tc>
          <w:tcPr>
            <w:tcW w:w="483" w:type="dxa"/>
            <w:tcBorders>
              <w:top w:val="nil"/>
              <w:bottom w:val="nil"/>
            </w:tcBorders>
            <w:noWrap/>
          </w:tcPr>
          <w:p w14:paraId="0FD1A4F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18</w:t>
            </w:r>
          </w:p>
        </w:tc>
        <w:tc>
          <w:tcPr>
            <w:tcW w:w="483" w:type="dxa"/>
            <w:tcBorders>
              <w:top w:val="nil"/>
              <w:bottom w:val="nil"/>
            </w:tcBorders>
            <w:noWrap/>
          </w:tcPr>
          <w:p w14:paraId="78B2F21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14</w:t>
            </w:r>
          </w:p>
        </w:tc>
        <w:tc>
          <w:tcPr>
            <w:tcW w:w="650" w:type="dxa"/>
            <w:tcBorders>
              <w:top w:val="nil"/>
              <w:bottom w:val="nil"/>
            </w:tcBorders>
          </w:tcPr>
          <w:p w14:paraId="03FD81E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0.64</w:t>
            </w:r>
          </w:p>
        </w:tc>
      </w:tr>
      <w:tr w:rsidR="00E84D7D" w:rsidRPr="00B06723" w14:paraId="7C1A06A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F9AF12" w14:textId="297191C7"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{"citationID":"a13gh5nn7n7","properties":{"formattedCitation":"\\uldash{(Kim et al., 2021)}","plainCitation":"(Kim et al., 2021)","dontUpdate":true,"noteIndex":0},"citationItems":[{"id":702,"uris":["http://zotero.org/users/3583561/items/GL5QSYHK"],"itemData":{"id":702,"type":"article-journal","abstract":"Extracellular vesicles (EVs) contain various types of molecules including micro-RNAs, so isolating EVs can be an effective way to analyze and diagnose diseases. A lot of micro-RNAs have been known in relation to prostate cancer (PCa), and we evaluate miR-21, miR-141, and miR-221 in EVs and compare them with prostate-specific antigen (PSA). EVs were isolated from plasma of 38 patients with prostate cancer and 8 patients with benign prostatic hyperplasia (BPH), using a method that showed the highest recovery of RNA. Isolation of EVs concentrated micro-RNAs, reducing the cycle threshold (Ct) value of RT-qPCR amplification of micro-RNA such as miR-16 by 5.12 and miR-191 by 4.65, compared to the values before EV isolation. Normalization of target micro-RNAs was done using miR-191. For miR-221, the mean expression level of patients with localized PCa was significantly higher than that of the control group, having 33.45 times higher expression than the control group (p &lt; 0.01). Area under curve (AUC) between BPH and PCa for miR-221 was 0.98 (p &lt; 0.0001), which was better than AUC for prostate-specific antigen (PSA) level in serum for the same patients. The levels of miR-21 and miR-141 in EVs did not show significant changes in patients with PCa compared to the control group in this study. This study suggests isolating EVs can be a helpful approach in analyzing micro-RNAs with regard to disease.","container-title":"PloS One","DOI":"10.1371/journal.pone.0262017","ISSN":"1932-6203","issue":"12","journalAbbreviation":"PLoS One","language":"eng","note":"PMID: 34972164\nPMCID: PMC8719659","page":"e0262017","source":"PubMed","title":"Evaluation of micro-RNA in extracellular vesicles from blood of patients with prostate cancer","volume":"16","author":[{"family":"Kim","given":"Jiyoon"},{"family":"Cho","given":"Siwoo"},{"family":"Park","given":"Yonghyun"},{"family":"Lee","given":"Jiyoul"},{"family":"Park","given":"Jaesung"}],"issued":{"date-parts":[["2021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Kim et al., 2021</w:t>
            </w:r>
            <w:r w:rsidRPr="00B06723">
              <w:rPr>
                <w:rFonts w:ascii="Arial" w:hAnsi="Arial" w:cs="Arial"/>
                <w:color w:val="000000"/>
                <w:lang w:eastAsia="fr-FR"/>
              </w:rPr>
              <w:fldChar w:fldCharType="end"/>
            </w:r>
          </w:p>
        </w:tc>
        <w:tc>
          <w:tcPr>
            <w:tcW w:w="1084" w:type="dxa"/>
            <w:tcBorders>
              <w:top w:val="nil"/>
              <w:bottom w:val="nil"/>
            </w:tcBorders>
            <w:noWrap/>
          </w:tcPr>
          <w:p w14:paraId="7190D9E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Korea</w:t>
            </w:r>
          </w:p>
        </w:tc>
        <w:tc>
          <w:tcPr>
            <w:tcW w:w="927" w:type="dxa"/>
            <w:tcBorders>
              <w:top w:val="nil"/>
              <w:bottom w:val="nil"/>
            </w:tcBorders>
          </w:tcPr>
          <w:p w14:paraId="5D04DFE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1F0F023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38</w:t>
            </w:r>
          </w:p>
        </w:tc>
        <w:tc>
          <w:tcPr>
            <w:tcW w:w="927" w:type="dxa"/>
            <w:tcBorders>
              <w:top w:val="nil"/>
              <w:bottom w:val="nil"/>
            </w:tcBorders>
            <w:noWrap/>
          </w:tcPr>
          <w:p w14:paraId="1DD54C5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w:t>
            </w:r>
          </w:p>
        </w:tc>
        <w:tc>
          <w:tcPr>
            <w:tcW w:w="1361" w:type="dxa"/>
            <w:tcBorders>
              <w:top w:val="nil"/>
              <w:bottom w:val="nil"/>
            </w:tcBorders>
            <w:noWrap/>
          </w:tcPr>
          <w:p w14:paraId="1ADE038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 (</w:t>
            </w:r>
            <w:proofErr w:type="spellStart"/>
            <w:r w:rsidRPr="00B06723">
              <w:rPr>
                <w:rFonts w:ascii="Arial" w:eastAsia="Times New Roman" w:hAnsi="Arial" w:cs="Arial"/>
                <w:color w:val="000000"/>
                <w:sz w:val="20"/>
                <w:szCs w:val="20"/>
                <w:lang w:val="en-US" w:eastAsia="fr-FR"/>
              </w:rPr>
              <w:t>exsosomes</w:t>
            </w:r>
            <w:proofErr w:type="spellEnd"/>
            <w:r w:rsidRPr="00B06723">
              <w:rPr>
                <w:rFonts w:ascii="Arial" w:eastAsia="Times New Roman" w:hAnsi="Arial" w:cs="Arial"/>
                <w:color w:val="000000"/>
                <w:sz w:val="20"/>
                <w:szCs w:val="20"/>
                <w:lang w:val="en-US" w:eastAsia="fr-FR"/>
              </w:rPr>
              <w:t>)</w:t>
            </w:r>
          </w:p>
        </w:tc>
        <w:tc>
          <w:tcPr>
            <w:tcW w:w="1172" w:type="dxa"/>
            <w:tcBorders>
              <w:top w:val="nil"/>
              <w:bottom w:val="nil"/>
            </w:tcBorders>
          </w:tcPr>
          <w:p w14:paraId="52399FF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07BBA03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43FE997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1951BC7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6FB7624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69429AE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3B3D910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43F1456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19FF8EE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0.52</w:t>
            </w:r>
          </w:p>
        </w:tc>
      </w:tr>
      <w:tr w:rsidR="00E84D7D" w:rsidRPr="00B06723" w14:paraId="737C3366"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D7D8970" w14:textId="0DDDBFB1"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{"citationID":"a2acjjaubn2","properties":{"formattedCitation":"\\uldash{(Ciszkowicz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Ciszkowicz et al., 2020</w:t>
            </w:r>
            <w:r w:rsidRPr="00B06723">
              <w:rPr>
                <w:rFonts w:ascii="Arial" w:hAnsi="Arial" w:cs="Arial"/>
                <w:color w:val="000000"/>
                <w:lang w:eastAsia="fr-FR"/>
              </w:rPr>
              <w:fldChar w:fldCharType="end"/>
            </w:r>
          </w:p>
        </w:tc>
        <w:tc>
          <w:tcPr>
            <w:tcW w:w="1084" w:type="dxa"/>
            <w:tcBorders>
              <w:top w:val="nil"/>
              <w:bottom w:val="nil"/>
            </w:tcBorders>
            <w:noWrap/>
          </w:tcPr>
          <w:p w14:paraId="53062CF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Poland</w:t>
            </w:r>
          </w:p>
        </w:tc>
        <w:tc>
          <w:tcPr>
            <w:tcW w:w="927" w:type="dxa"/>
            <w:tcBorders>
              <w:top w:val="nil"/>
              <w:bottom w:val="nil"/>
            </w:tcBorders>
          </w:tcPr>
          <w:p w14:paraId="2EF915E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24CAA5B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40</w:t>
            </w:r>
          </w:p>
        </w:tc>
        <w:tc>
          <w:tcPr>
            <w:tcW w:w="927" w:type="dxa"/>
            <w:tcBorders>
              <w:top w:val="nil"/>
              <w:bottom w:val="nil"/>
            </w:tcBorders>
            <w:noWrap/>
          </w:tcPr>
          <w:p w14:paraId="0D4388E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62</w:t>
            </w:r>
          </w:p>
        </w:tc>
        <w:tc>
          <w:tcPr>
            <w:tcW w:w="1361" w:type="dxa"/>
            <w:tcBorders>
              <w:top w:val="nil"/>
              <w:bottom w:val="nil"/>
            </w:tcBorders>
            <w:noWrap/>
          </w:tcPr>
          <w:p w14:paraId="72E7438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2D1694C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5657083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63E3D37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92.00</w:t>
            </w:r>
          </w:p>
        </w:tc>
        <w:tc>
          <w:tcPr>
            <w:tcW w:w="717" w:type="dxa"/>
            <w:tcBorders>
              <w:top w:val="nil"/>
              <w:bottom w:val="nil"/>
            </w:tcBorders>
            <w:noWrap/>
          </w:tcPr>
          <w:p w14:paraId="36355F9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66.00</w:t>
            </w:r>
          </w:p>
        </w:tc>
        <w:tc>
          <w:tcPr>
            <w:tcW w:w="550" w:type="dxa"/>
            <w:tcBorders>
              <w:top w:val="nil"/>
              <w:bottom w:val="nil"/>
            </w:tcBorders>
            <w:noWrap/>
          </w:tcPr>
          <w:p w14:paraId="38A1F7E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37</w:t>
            </w:r>
          </w:p>
        </w:tc>
        <w:tc>
          <w:tcPr>
            <w:tcW w:w="472" w:type="dxa"/>
            <w:tcBorders>
              <w:top w:val="nil"/>
              <w:bottom w:val="nil"/>
            </w:tcBorders>
            <w:noWrap/>
          </w:tcPr>
          <w:p w14:paraId="38AF578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21</w:t>
            </w:r>
          </w:p>
        </w:tc>
        <w:tc>
          <w:tcPr>
            <w:tcW w:w="483" w:type="dxa"/>
            <w:tcBorders>
              <w:top w:val="nil"/>
              <w:bottom w:val="nil"/>
            </w:tcBorders>
            <w:noWrap/>
          </w:tcPr>
          <w:p w14:paraId="39BD488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41</w:t>
            </w:r>
          </w:p>
        </w:tc>
        <w:tc>
          <w:tcPr>
            <w:tcW w:w="483" w:type="dxa"/>
            <w:tcBorders>
              <w:top w:val="nil"/>
              <w:bottom w:val="nil"/>
            </w:tcBorders>
            <w:noWrap/>
          </w:tcPr>
          <w:p w14:paraId="2D95551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w:t>
            </w:r>
          </w:p>
        </w:tc>
        <w:tc>
          <w:tcPr>
            <w:tcW w:w="650" w:type="dxa"/>
            <w:tcBorders>
              <w:top w:val="nil"/>
              <w:bottom w:val="nil"/>
            </w:tcBorders>
          </w:tcPr>
          <w:p w14:paraId="54EF181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0.85</w:t>
            </w:r>
          </w:p>
        </w:tc>
      </w:tr>
      <w:tr w:rsidR="00E84D7D" w:rsidRPr="00B06723" w14:paraId="73728FE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ECCB25B" w14:textId="03B21F77"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lastRenderedPageBreak/>
              <w:fldChar w:fldCharType="begin"/>
            </w:r>
            <w:r w:rsidRPr="00B06723">
              <w:rPr>
                <w:rFonts w:ascii="Arial" w:eastAsia="Times New Roman" w:hAnsi="Arial" w:cs="Arial"/>
                <w:color w:val="000000"/>
                <w:sz w:val="20"/>
                <w:szCs w:val="20"/>
                <w:lang w:eastAsia="fr-FR"/>
              </w:rPr>
              <w:instrText xml:space="preserve"> ADDIN ZOTERO_ITEM CSL_CITATION {"citationID":"a2hal1jeutk","properties":{"formattedCitation":"\\uldash{(Jin et al., 2020)}","plainCitation":"(Jin et al., 2020)","dontUpdate":true,"noteIndex":0},"citationItems":[{"id":790,"uris":["http://zotero.org/users/3583561/items/TY9SS6IY"],"itemData":{"id":790,"type":"article-journal","abstract":"Body fluids often contain freely circulating nucleic acids, many of which can be exploited as noninvasive tools for the diagnosis of cancer as well as for clinical prognostication. Identifying microRNAs (miRNAs) in subjects' blood with various malignancies means that they can serve as novel biomarkers for prostate cancer (PCa) diagnosis. This study analyzed serum-circulating miRNAs as a noninvasive biomarker in subjects with PCa and subjects with benign prostatic hyperplasia (BPH). In total, 31 PCa subjects and 31 BPH subjects were included, with the BPH group serving as the control group. RT-qPCR was used to quantify the levels of 10 miRNAs, which included miR-18a, miR-34a, miR-106b, miR-183, miR-200a, miR-301a, miR-141, miR-182, miR-200b, and miR-375 in serum. Statistical tests were used to assess the relationship between the levels of miRNAs and the clinicopathological data. A significant increase was observed in the relative expression ratios of miR-141, miR-182, miR-200b, and miR-375 (1.89-, 2.09-, 2.41-, and 2.27-folds, respectively) in the PCa group when compared to the BPH group. Based on the receiver operating characteristic (ROC) analysis, the largest area under the curve (AUC), 0.923, was associated with the miR-200b group, indicating effective diagnostic properties for this biomarker. A correlation was observed between total prostate-specific antigen (TPSA) and the relative levels of miR-141, miR-182, miR-200b, and miR-375. The Gleason score and the miR-200b expression level were also correlated. These results are consistent with previous studies regarding the possibility of differentiating between PCa subjects and healthy controls based on the detection of miRNA. The findings attest to a distinctive expression profile of miRNA that is detectable in the blood of PCa subjects, thereby confirming the role of miRNAs as diagnostic biomarkers for PCa.","container-title":"Journal of Immunology Research","DOI":"10.1155/2020/5873056","ISSN":"2314-7156","journalAbbreviation":"J Immunol Res","language":"eng","note":"PMID: 32455140\nPMCID: PMC7230987","page":"5873056","source":"PubMed","title":"Circulating miRNAs as Biomarkers for Prostate Cancer Diagnosis in Subjects with Benign Prostatic Hyperplasia","volume":"2020","author":[{"family":"Jin","given":"Wei"},{"family":"Fei","given":"Xiang"},{"family":"Wang","given":"Xia"},{"family":"Chen","given":"Fangjie"},{"family":"Song","given":"Yan"}],"issued":{"date-parts":[["2020"]]}}}],"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Jin et al., 2020</w:t>
            </w:r>
            <w:r w:rsidRPr="00B06723">
              <w:rPr>
                <w:rFonts w:ascii="Arial" w:hAnsi="Arial" w:cs="Arial"/>
                <w:color w:val="000000"/>
                <w:lang w:eastAsia="fr-FR"/>
              </w:rPr>
              <w:fldChar w:fldCharType="end"/>
            </w:r>
          </w:p>
        </w:tc>
        <w:tc>
          <w:tcPr>
            <w:tcW w:w="1084" w:type="dxa"/>
            <w:tcBorders>
              <w:top w:val="nil"/>
              <w:bottom w:val="nil"/>
            </w:tcBorders>
            <w:noWrap/>
          </w:tcPr>
          <w:p w14:paraId="65E3C06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6D58BBD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002BA03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31</w:t>
            </w:r>
          </w:p>
        </w:tc>
        <w:tc>
          <w:tcPr>
            <w:tcW w:w="927" w:type="dxa"/>
            <w:tcBorders>
              <w:top w:val="nil"/>
              <w:bottom w:val="nil"/>
            </w:tcBorders>
            <w:noWrap/>
          </w:tcPr>
          <w:p w14:paraId="24AF42B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31</w:t>
            </w:r>
          </w:p>
        </w:tc>
        <w:tc>
          <w:tcPr>
            <w:tcW w:w="1361" w:type="dxa"/>
            <w:tcBorders>
              <w:top w:val="nil"/>
              <w:bottom w:val="nil"/>
            </w:tcBorders>
            <w:noWrap/>
          </w:tcPr>
          <w:p w14:paraId="729F384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613FD7A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69423C3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2D0C526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4CC15BF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30F298F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65E3A52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6942DBE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44FBCD0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0AF4FBF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0.89</w:t>
            </w:r>
          </w:p>
        </w:tc>
      </w:tr>
      <w:tr w:rsidR="00E84D7D" w:rsidRPr="00B06723" w14:paraId="386D98B1" w14:textId="77777777" w:rsidTr="00E84D7D">
        <w:trPr>
          <w:trHeight w:val="556"/>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D06E5EA" w14:textId="170FFEC2"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{"citationID":"avaa3g7b7h","properties":{"formattedCitation":"\\uldash{(Ghorbanmehr et al., 2019)}","plainCitation":"(Ghorbanmehr et al., 2019)","dontUpdate":true,"noteIndex":0},"citationItems":[{"id":635,"uris":["http://zotero.org/users/3583561/items/F7D6GAQP"],"itemData":{"id":635,"type":"article-journal","abstract":"BACKGROUND: Early detection of cancers improves patients' survival and decreases the treatment cost. Unfortunately, the current methods for diagnosis of bladder and prostate cancers, two most common urothelial malignancies, suffer from a low sensitivity and specificity. MicroRNAs, as a group of endogenously produced non-coding RNAs, regulate gene expression and their expression is observed to be altered in many cancers and cancer progression phenomena. The remarkable stability of microRNAs in biofluids and their unique expression pattern in different pathological conditions make them an appealing, noninvasive diagnostic method in cancer diagnosis. Our objective is to identify microRNAs as biomarkers in urine samples of bladder and prostate cancers to improve the existing diagnostic methods in this field.\nMATERIALS AND METHODS: In this study, urine samples from 110 men with either bladder (n = 45) or prostate (n = 23) cancer, benign prostatic hyperplasia (n = 22) and healthy controls (n = 20) were collected. qPCR was used to evaluate the expression level of miR-21-5p, miR-141-3p, and miR-205-5p in these samples. The sensitivity and specificity of these microRNAs were determined using ROC curve analysis.\nRESULTS: The analysis of the data revealed that miR-21-5p, miR-141-3p, and miR-205-5p are differentially expressed in urine of bladder and prostate cancer patients. All these three microRNAs were upregulated in these samples and they were also able to differentiate benign prostatic hyperplasia from malignant cases. The statistical analyses revealed a good specificity for each individual microRNA.\nCONCLUSION: The results show that these three urine-based microRNAs might be a good choice to implement a specific and non-invasive diagnostic tool for bladder and prostate cancer. The expression pattern of all three microRNAs was particularly useful to distinguish benign and invasive tumors in prostate cases. From the patients' perspective the improvement of the diagnostic situation is awaited eagerly.","container-title":"The Prostate","DOI":"10.1002/pros.23714","ISSN":"1097-0045","issue":"1","journalAbbreviation":"Prostate","language":"eng","note":"PMID: 30194772","page":"88-95","source":"PubMed","title":"miR-21-5p, miR-141-3p, and miR-205-5p levels in urine-promising biomarkers for the identification of prostate and bladder cancer","volume":"79","author":[{"family":"Ghorbanmehr","given":"Nassim"},{"family":"Gharbi","given":"Sedigheh"},{"family":"Korsching","given":"Eberhard"},{"family":"Tavallaei","given":"Mahmood"},{"family":"Einollahi","given":"Behzad"},{"family":"Mowla","given":"Seyed Javad"}],"issued":{"date-parts":[["2019",1]]}}}],"schema":"https://github.com/citation-style-language/schema/raw/master/csl-citation.json"}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Ghorbanmehr et al., 2019</w:t>
            </w:r>
            <w:r w:rsidRPr="00B06723">
              <w:rPr>
                <w:rFonts w:ascii="Arial" w:hAnsi="Arial" w:cs="Arial"/>
                <w:color w:val="000000"/>
                <w:lang w:eastAsia="fr-FR"/>
              </w:rPr>
              <w:fldChar w:fldCharType="end"/>
            </w:r>
          </w:p>
        </w:tc>
        <w:tc>
          <w:tcPr>
            <w:tcW w:w="1084" w:type="dxa"/>
            <w:tcBorders>
              <w:top w:val="nil"/>
              <w:bottom w:val="nil"/>
            </w:tcBorders>
            <w:noWrap/>
          </w:tcPr>
          <w:p w14:paraId="3D90F8C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Iran</w:t>
            </w:r>
          </w:p>
        </w:tc>
        <w:tc>
          <w:tcPr>
            <w:tcW w:w="927" w:type="dxa"/>
            <w:tcBorders>
              <w:top w:val="nil"/>
              <w:bottom w:val="nil"/>
            </w:tcBorders>
          </w:tcPr>
          <w:p w14:paraId="7DA53DA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BPH;</w:t>
            </w:r>
            <w:proofErr w:type="gramEnd"/>
            <w:r w:rsidRPr="00B06723">
              <w:rPr>
                <w:rFonts w:ascii="Arial" w:eastAsia="Times New Roman" w:hAnsi="Arial" w:cs="Arial"/>
                <w:color w:val="000000"/>
                <w:sz w:val="20"/>
                <w:szCs w:val="20"/>
                <w:lang w:eastAsia="fr-FR"/>
              </w:rPr>
              <w:t xml:space="preserve"> HP </w:t>
            </w:r>
          </w:p>
        </w:tc>
        <w:tc>
          <w:tcPr>
            <w:tcW w:w="695" w:type="dxa"/>
            <w:tcBorders>
              <w:top w:val="nil"/>
              <w:bottom w:val="nil"/>
            </w:tcBorders>
            <w:noWrap/>
          </w:tcPr>
          <w:p w14:paraId="473B8C4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23</w:t>
            </w:r>
          </w:p>
        </w:tc>
        <w:tc>
          <w:tcPr>
            <w:tcW w:w="927" w:type="dxa"/>
            <w:tcBorders>
              <w:top w:val="nil"/>
              <w:bottom w:val="nil"/>
            </w:tcBorders>
            <w:noWrap/>
          </w:tcPr>
          <w:p w14:paraId="5280903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42</w:t>
            </w:r>
          </w:p>
        </w:tc>
        <w:tc>
          <w:tcPr>
            <w:tcW w:w="1361" w:type="dxa"/>
            <w:tcBorders>
              <w:top w:val="nil"/>
              <w:bottom w:val="nil"/>
            </w:tcBorders>
            <w:noWrap/>
          </w:tcPr>
          <w:p w14:paraId="2929C92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Urine</w:t>
            </w:r>
          </w:p>
        </w:tc>
        <w:tc>
          <w:tcPr>
            <w:tcW w:w="1172" w:type="dxa"/>
            <w:tcBorders>
              <w:top w:val="nil"/>
              <w:bottom w:val="nil"/>
            </w:tcBorders>
          </w:tcPr>
          <w:p w14:paraId="4316ACF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57F66AB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miR</w:t>
            </w:r>
            <w:proofErr w:type="gramEnd"/>
            <w:r w:rsidRPr="00B06723">
              <w:rPr>
                <w:rFonts w:ascii="Arial" w:eastAsia="Times New Roman" w:hAnsi="Arial" w:cs="Arial"/>
                <w:color w:val="000000"/>
                <w:sz w:val="20"/>
                <w:szCs w:val="20"/>
                <w:lang w:eastAsia="fr-FR"/>
              </w:rPr>
              <w:t>-141</w:t>
            </w:r>
          </w:p>
        </w:tc>
        <w:tc>
          <w:tcPr>
            <w:tcW w:w="717" w:type="dxa"/>
            <w:tcBorders>
              <w:top w:val="nil"/>
              <w:bottom w:val="nil"/>
            </w:tcBorders>
            <w:noWrap/>
          </w:tcPr>
          <w:p w14:paraId="23694A1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81.00</w:t>
            </w:r>
          </w:p>
        </w:tc>
        <w:tc>
          <w:tcPr>
            <w:tcW w:w="717" w:type="dxa"/>
            <w:tcBorders>
              <w:top w:val="nil"/>
              <w:bottom w:val="nil"/>
            </w:tcBorders>
            <w:noWrap/>
          </w:tcPr>
          <w:p w14:paraId="194C637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86.00</w:t>
            </w:r>
          </w:p>
        </w:tc>
        <w:tc>
          <w:tcPr>
            <w:tcW w:w="550" w:type="dxa"/>
            <w:tcBorders>
              <w:top w:val="nil"/>
              <w:bottom w:val="nil"/>
            </w:tcBorders>
            <w:noWrap/>
          </w:tcPr>
          <w:p w14:paraId="2290C9E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19</w:t>
            </w:r>
          </w:p>
        </w:tc>
        <w:tc>
          <w:tcPr>
            <w:tcW w:w="472" w:type="dxa"/>
            <w:tcBorders>
              <w:top w:val="nil"/>
              <w:bottom w:val="nil"/>
            </w:tcBorders>
            <w:noWrap/>
          </w:tcPr>
          <w:p w14:paraId="279DD46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6</w:t>
            </w:r>
          </w:p>
        </w:tc>
        <w:tc>
          <w:tcPr>
            <w:tcW w:w="483" w:type="dxa"/>
            <w:tcBorders>
              <w:top w:val="nil"/>
              <w:bottom w:val="nil"/>
            </w:tcBorders>
            <w:noWrap/>
          </w:tcPr>
          <w:p w14:paraId="6CE9F2B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36</w:t>
            </w:r>
          </w:p>
        </w:tc>
        <w:tc>
          <w:tcPr>
            <w:tcW w:w="483" w:type="dxa"/>
            <w:tcBorders>
              <w:top w:val="nil"/>
              <w:bottom w:val="nil"/>
            </w:tcBorders>
            <w:noWrap/>
          </w:tcPr>
          <w:p w14:paraId="66124AD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w:t>
            </w:r>
          </w:p>
        </w:tc>
        <w:tc>
          <w:tcPr>
            <w:tcW w:w="650" w:type="dxa"/>
            <w:tcBorders>
              <w:top w:val="nil"/>
              <w:bottom w:val="nil"/>
            </w:tcBorders>
          </w:tcPr>
          <w:p w14:paraId="66CF43E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0.85</w:t>
            </w:r>
          </w:p>
        </w:tc>
      </w:tr>
      <w:tr w:rsidR="00E84D7D" w:rsidRPr="00B06723" w14:paraId="4152EE7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F877D9D" w14:textId="63AE2055"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{"citationID":"a2dm4g77sr1","properties":{"formattedCitation":"\\uldash{(Ali et al., 2018)}","plainCitation":"(Ali et al., 2018)","dontUpdate":true,"noteIndex":0},"citationItems":[{"id":757,"uris":["http://zotero.org/users/3583561/items/G5WNTQNA"],"itemData":{"id":757,"type":"article-journal","abstract":"Introduction\nmicroRNAs are a family of small non protein-coding RNAs. They are involved in post-transcriptional gene regulation of their target genes. The deregulation of microRNAs has been linked to cancer development and tumor progression. The aim of out study was to look for microRNA-141 as a diagnostic and prognostic biomarker for prostate cancer.\nPatients and methods\nThe study prospectively recruited 30 patients newly diagnosed with prostate cancer; including 13 and 17 patients without and with metastases, respectively. Another 30 patients without prostate cancer diagnosis were included as a control group. Real-time polymerase chain reaction analysis was done for relative quantification of microRNA-141.\nResults\nThe present study showed that microRNA-141 was significantly upregulated in cancerous patients compared to control group. Also it was significantly upregulated in patients with metastatic disease compared to non-metastatic patients. Moreover, it was significantly correlating with serum PSA and Gleason score.\nConclusion\nSerum microRNA-141 could be a promising diagnostic and prognostic biomarker for prostate cancer and a good indicative of disease aggressiveness.","container-title":"African Journal of Urology","DOI":"10.1016/j.afju.2018.11.006","ISSN":"1110-5704","issue":"4","journalAbbreviation":"African Journal of Urology","language":"en","page":"347-352","source":"ScienceDirect","title":"microRNA-141 as a diagnostic and prognostic biomarker for prostate cancer in Egyptian population: Pilot study","title-short":"microRNA-141 as a diagnostic and prognostic biomarker for prostate cancer in Egyptian population","URL":"https://www.sciencedirect.com/science/article/pii/S1110570418301279","volume":"24","author":[{"family":"Ali","given":"R."},{"family":"El Tabbakh","given":"S."},{"family":"El Delgawy","given":"W."},{"family":"Kotb","given":"A."},{"family":"Desouky","given":"M. N."}],"accessed":{"date-parts":[["2023",5,20]]},"issued":{"date-parts":[["2018",12,1]]}}}],"schema":"https://github.com/citation-style-language/schema/raw/master/csl-citation.json"}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Ali et al., 2018</w:t>
            </w:r>
            <w:r w:rsidRPr="00B06723">
              <w:rPr>
                <w:rFonts w:ascii="Arial" w:hAnsi="Arial" w:cs="Arial"/>
                <w:color w:val="000000"/>
                <w:lang w:eastAsia="fr-FR"/>
              </w:rPr>
              <w:fldChar w:fldCharType="end"/>
            </w:r>
            <w:r w:rsidRPr="00B06723">
              <w:rPr>
                <w:rFonts w:ascii="Arial" w:eastAsia="Times New Roman" w:hAnsi="Arial" w:cs="Arial"/>
                <w:color w:val="000000"/>
                <w:sz w:val="20"/>
                <w:szCs w:val="20"/>
                <w:lang w:val="en-US" w:eastAsia="fr-FR"/>
              </w:rPr>
              <w:t xml:space="preserve"> </w:t>
            </w:r>
          </w:p>
        </w:tc>
        <w:tc>
          <w:tcPr>
            <w:tcW w:w="1084" w:type="dxa"/>
            <w:tcBorders>
              <w:top w:val="nil"/>
              <w:bottom w:val="nil"/>
            </w:tcBorders>
            <w:noWrap/>
          </w:tcPr>
          <w:p w14:paraId="2C1B27D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Egypt</w:t>
            </w:r>
          </w:p>
        </w:tc>
        <w:tc>
          <w:tcPr>
            <w:tcW w:w="927" w:type="dxa"/>
            <w:tcBorders>
              <w:top w:val="nil"/>
              <w:bottom w:val="nil"/>
            </w:tcBorders>
          </w:tcPr>
          <w:p w14:paraId="28D46C9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78570F5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30</w:t>
            </w:r>
          </w:p>
        </w:tc>
        <w:tc>
          <w:tcPr>
            <w:tcW w:w="927" w:type="dxa"/>
            <w:tcBorders>
              <w:top w:val="nil"/>
              <w:bottom w:val="nil"/>
            </w:tcBorders>
            <w:noWrap/>
          </w:tcPr>
          <w:p w14:paraId="3EF4235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30</w:t>
            </w:r>
          </w:p>
        </w:tc>
        <w:tc>
          <w:tcPr>
            <w:tcW w:w="1361" w:type="dxa"/>
            <w:tcBorders>
              <w:top w:val="nil"/>
              <w:bottom w:val="nil"/>
            </w:tcBorders>
            <w:noWrap/>
          </w:tcPr>
          <w:p w14:paraId="36FCBD5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18F95CD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316ABB6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66A54E5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93.33</w:t>
            </w:r>
          </w:p>
        </w:tc>
        <w:tc>
          <w:tcPr>
            <w:tcW w:w="717" w:type="dxa"/>
            <w:tcBorders>
              <w:top w:val="nil"/>
              <w:bottom w:val="nil"/>
            </w:tcBorders>
            <w:noWrap/>
          </w:tcPr>
          <w:p w14:paraId="6EBA4DB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80.00</w:t>
            </w:r>
          </w:p>
        </w:tc>
        <w:tc>
          <w:tcPr>
            <w:tcW w:w="550" w:type="dxa"/>
            <w:tcBorders>
              <w:top w:val="nil"/>
              <w:bottom w:val="nil"/>
            </w:tcBorders>
            <w:noWrap/>
          </w:tcPr>
          <w:p w14:paraId="7C4472F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28</w:t>
            </w:r>
          </w:p>
        </w:tc>
        <w:tc>
          <w:tcPr>
            <w:tcW w:w="472" w:type="dxa"/>
            <w:tcBorders>
              <w:top w:val="nil"/>
              <w:bottom w:val="nil"/>
            </w:tcBorders>
            <w:noWrap/>
          </w:tcPr>
          <w:p w14:paraId="68FA855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w:t>
            </w:r>
          </w:p>
        </w:tc>
        <w:tc>
          <w:tcPr>
            <w:tcW w:w="483" w:type="dxa"/>
            <w:tcBorders>
              <w:top w:val="nil"/>
              <w:bottom w:val="nil"/>
            </w:tcBorders>
            <w:noWrap/>
          </w:tcPr>
          <w:p w14:paraId="6DDACCF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24</w:t>
            </w:r>
          </w:p>
        </w:tc>
        <w:tc>
          <w:tcPr>
            <w:tcW w:w="483" w:type="dxa"/>
            <w:tcBorders>
              <w:top w:val="nil"/>
              <w:bottom w:val="nil"/>
            </w:tcBorders>
            <w:noWrap/>
          </w:tcPr>
          <w:p w14:paraId="7DF743C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w:t>
            </w:r>
          </w:p>
        </w:tc>
        <w:tc>
          <w:tcPr>
            <w:tcW w:w="650" w:type="dxa"/>
            <w:tcBorders>
              <w:top w:val="nil"/>
              <w:bottom w:val="nil"/>
            </w:tcBorders>
          </w:tcPr>
          <w:p w14:paraId="11F00DE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0.91</w:t>
            </w:r>
          </w:p>
        </w:tc>
      </w:tr>
      <w:tr w:rsidR="00E84D7D" w:rsidRPr="00B06723" w14:paraId="53A15C2D"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938CB2" w14:textId="24463DA8"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{"citationID":"a2ormlbsss7","properties":{"formattedCitation":"\\uldash{(Guo et al., 2018)}","plainCitation":"(Guo et al., 2018)","dontUpdate":true,"noteIndex":0},"citationItems":[{"id":664,"uris":["http://zotero.org/users/3583561/items/8W3Z5M3S"],"itemData":{"id":664,"type":"article-journal","abstract":"BACKGROUND: Prostate cancer (PCa) is a common malignant human tumor and one of the main causes of cancer-related deaths in men. At present, prostate-specific antigen levels are widely used to diagnose PCa in the clinic, but they are not sufficient for an accurate early diagnosis or prognosis.\nMETHODS: To identify potential molecular markers for PCa, we used real-time PCR to measure the expression levels of various microRNAs, including miR-1825, miR-484, miR-205, miR-141, and let-7b, in the serum of 72 PCa patients and 34 healthy controls.\nRESULTS: miR-1825, miR-484, miR-205, miR-141, and let-7b were shown to be highly specific for PCa, suggesting that they could be used as PCa tumor screening biomarkers. miR-205 may also be used as a biomarker for indicating bone metastasis in PCa patients, miR-1825 levels may help indicate tumor-node-metastasis classification, the evaluation of treatment effects, and determining prognosis, while let-7b levels may indicate potential tumor malignancy and the hormone resistance status and could be used as a basis to adjust individual treatments for the high-risk, early diagnosis of refractory PCa.\nCONCLUSION: This study identified possible PCa tumor markers to more accurately predict the occurrence, progression, and prognosis of PCa, and which could be used in the development of tumor drug therapy.","container-title":"International Urology and Nephrology","DOI":"10.1007/s11255-018-2009-4","ISSN":"1573-2584","issue":"12","journalAbbreviation":"Int Urol Nephrol","language":"eng","note":"PMID: 30324582\nPMCID: PMC6267169","page":"2193-2200","source":"PubMed","title":"Five microRNAs in serum as potential biomarkers for prostate cancer risk assessment and therapeutic intervention","volume":"50","author":[{"family":"Guo","given":"Xiaogang"},{"family":"Han","given":"Tao"},{"family":"Hu","given":"Pingping"},{"family":"Guo","given":"Xiaojun"},{"family":"Zhu","given":"Changming"},{"family":"Wang","given":"Youbao"},{"family":"Chang","given":"Shaoyan"}],"issued":{"date-parts":[["2018",12]]}}}],"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Guo et al., 2018</w:t>
            </w:r>
            <w:r w:rsidRPr="00B06723">
              <w:rPr>
                <w:rFonts w:ascii="Arial" w:hAnsi="Arial" w:cs="Arial"/>
                <w:color w:val="000000"/>
                <w:lang w:eastAsia="fr-FR"/>
              </w:rPr>
              <w:fldChar w:fldCharType="end"/>
            </w:r>
          </w:p>
        </w:tc>
        <w:tc>
          <w:tcPr>
            <w:tcW w:w="1084" w:type="dxa"/>
            <w:tcBorders>
              <w:top w:val="nil"/>
              <w:bottom w:val="nil"/>
            </w:tcBorders>
            <w:noWrap/>
          </w:tcPr>
          <w:p w14:paraId="398F00C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3E1E4D6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2B8B4FB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72</w:t>
            </w:r>
          </w:p>
        </w:tc>
        <w:tc>
          <w:tcPr>
            <w:tcW w:w="927" w:type="dxa"/>
            <w:tcBorders>
              <w:top w:val="nil"/>
              <w:bottom w:val="nil"/>
            </w:tcBorders>
            <w:noWrap/>
          </w:tcPr>
          <w:p w14:paraId="1A7DF24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34</w:t>
            </w:r>
          </w:p>
        </w:tc>
        <w:tc>
          <w:tcPr>
            <w:tcW w:w="1361" w:type="dxa"/>
            <w:tcBorders>
              <w:top w:val="nil"/>
              <w:bottom w:val="nil"/>
            </w:tcBorders>
            <w:noWrap/>
          </w:tcPr>
          <w:p w14:paraId="6CC45C9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4421F68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65FBB73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04B0A3D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87.50</w:t>
            </w:r>
          </w:p>
        </w:tc>
        <w:tc>
          <w:tcPr>
            <w:tcW w:w="717" w:type="dxa"/>
            <w:tcBorders>
              <w:top w:val="nil"/>
              <w:bottom w:val="nil"/>
            </w:tcBorders>
            <w:noWrap/>
          </w:tcPr>
          <w:p w14:paraId="0789D69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100</w:t>
            </w:r>
          </w:p>
        </w:tc>
        <w:tc>
          <w:tcPr>
            <w:tcW w:w="550" w:type="dxa"/>
            <w:tcBorders>
              <w:top w:val="nil"/>
              <w:bottom w:val="nil"/>
            </w:tcBorders>
            <w:noWrap/>
          </w:tcPr>
          <w:p w14:paraId="4DFAC2F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63</w:t>
            </w:r>
          </w:p>
        </w:tc>
        <w:tc>
          <w:tcPr>
            <w:tcW w:w="472" w:type="dxa"/>
            <w:tcBorders>
              <w:top w:val="nil"/>
              <w:bottom w:val="nil"/>
            </w:tcBorders>
            <w:noWrap/>
          </w:tcPr>
          <w:p w14:paraId="281547B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w:t>
            </w:r>
          </w:p>
        </w:tc>
        <w:tc>
          <w:tcPr>
            <w:tcW w:w="483" w:type="dxa"/>
            <w:tcBorders>
              <w:top w:val="nil"/>
              <w:bottom w:val="nil"/>
            </w:tcBorders>
            <w:noWrap/>
          </w:tcPr>
          <w:p w14:paraId="536DA2E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34</w:t>
            </w:r>
          </w:p>
        </w:tc>
        <w:tc>
          <w:tcPr>
            <w:tcW w:w="483" w:type="dxa"/>
            <w:tcBorders>
              <w:top w:val="nil"/>
              <w:bottom w:val="nil"/>
            </w:tcBorders>
            <w:noWrap/>
          </w:tcPr>
          <w:p w14:paraId="300F6D2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w:t>
            </w:r>
          </w:p>
        </w:tc>
        <w:tc>
          <w:tcPr>
            <w:tcW w:w="650" w:type="dxa"/>
            <w:tcBorders>
              <w:top w:val="nil"/>
              <w:bottom w:val="nil"/>
            </w:tcBorders>
          </w:tcPr>
          <w:p w14:paraId="5ADC61D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0.93</w:t>
            </w:r>
          </w:p>
        </w:tc>
      </w:tr>
      <w:tr w:rsidR="00E84D7D" w:rsidRPr="00B06723" w14:paraId="602DCB3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05A0E99" w14:textId="791DA50E"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{"citationID":"a797uil4h0","properties":{"formattedCitation":"\\uldash{(Porzycki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Porzycki et al., 2018</w:t>
            </w:r>
            <w:r w:rsidRPr="00B06723">
              <w:rPr>
                <w:rFonts w:ascii="Arial" w:hAnsi="Arial" w:cs="Arial"/>
                <w:color w:val="000000"/>
                <w:lang w:eastAsia="fr-FR"/>
              </w:rPr>
              <w:fldChar w:fldCharType="end"/>
            </w:r>
          </w:p>
        </w:tc>
        <w:tc>
          <w:tcPr>
            <w:tcW w:w="1084" w:type="dxa"/>
            <w:tcBorders>
              <w:top w:val="nil"/>
              <w:bottom w:val="nil"/>
            </w:tcBorders>
            <w:noWrap/>
          </w:tcPr>
          <w:p w14:paraId="71A4C57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Poland</w:t>
            </w:r>
          </w:p>
        </w:tc>
        <w:tc>
          <w:tcPr>
            <w:tcW w:w="927" w:type="dxa"/>
            <w:tcBorders>
              <w:top w:val="nil"/>
              <w:bottom w:val="nil"/>
            </w:tcBorders>
          </w:tcPr>
          <w:p w14:paraId="59373C9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371C641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927" w:type="dxa"/>
            <w:tcBorders>
              <w:top w:val="nil"/>
              <w:bottom w:val="nil"/>
            </w:tcBorders>
            <w:noWrap/>
          </w:tcPr>
          <w:p w14:paraId="5737B9A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w:t>
            </w:r>
          </w:p>
        </w:tc>
        <w:tc>
          <w:tcPr>
            <w:tcW w:w="1361" w:type="dxa"/>
            <w:tcBorders>
              <w:top w:val="nil"/>
              <w:bottom w:val="nil"/>
            </w:tcBorders>
            <w:noWrap/>
          </w:tcPr>
          <w:p w14:paraId="0FD99DC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2A867C9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04656CA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4206931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65.00</w:t>
            </w:r>
          </w:p>
        </w:tc>
        <w:tc>
          <w:tcPr>
            <w:tcW w:w="717" w:type="dxa"/>
            <w:tcBorders>
              <w:top w:val="nil"/>
              <w:bottom w:val="nil"/>
            </w:tcBorders>
            <w:noWrap/>
          </w:tcPr>
          <w:p w14:paraId="1146CC2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88.00</w:t>
            </w:r>
          </w:p>
        </w:tc>
        <w:tc>
          <w:tcPr>
            <w:tcW w:w="550" w:type="dxa"/>
            <w:tcBorders>
              <w:top w:val="nil"/>
              <w:bottom w:val="nil"/>
            </w:tcBorders>
            <w:noWrap/>
          </w:tcPr>
          <w:p w14:paraId="6413B1D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13</w:t>
            </w:r>
          </w:p>
        </w:tc>
        <w:tc>
          <w:tcPr>
            <w:tcW w:w="472" w:type="dxa"/>
            <w:tcBorders>
              <w:top w:val="nil"/>
              <w:bottom w:val="nil"/>
            </w:tcBorders>
            <w:noWrap/>
          </w:tcPr>
          <w:p w14:paraId="629B4B1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w:t>
            </w:r>
          </w:p>
        </w:tc>
        <w:tc>
          <w:tcPr>
            <w:tcW w:w="483" w:type="dxa"/>
            <w:tcBorders>
              <w:top w:val="nil"/>
              <w:bottom w:val="nil"/>
            </w:tcBorders>
            <w:noWrap/>
          </w:tcPr>
          <w:p w14:paraId="7A9DA3F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483" w:type="dxa"/>
            <w:tcBorders>
              <w:top w:val="nil"/>
              <w:bottom w:val="nil"/>
            </w:tcBorders>
            <w:noWrap/>
          </w:tcPr>
          <w:p w14:paraId="0CA78A4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650" w:type="dxa"/>
            <w:tcBorders>
              <w:top w:val="nil"/>
              <w:bottom w:val="nil"/>
            </w:tcBorders>
          </w:tcPr>
          <w:p w14:paraId="126FA58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0.83</w:t>
            </w:r>
          </w:p>
        </w:tc>
      </w:tr>
      <w:tr w:rsidR="00E84D7D" w:rsidRPr="00B06723" w14:paraId="298E7FAC"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7D9C609" w14:textId="13AD1BC6"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{"citationID":"a1kfs7unf09","properties":{"formattedCitation":"\\uldash{(Li et al., 2016)}","plainCitation":"(Li et al., 2016)","dontUpdate":true,"noteIndex":0},"citationItems":[{"id":795,"uris":["http://zotero.org/users/3583561/items/3ZAD7B5I","http://zotero.org/users/3583561/items/MNAIIMYK"],"itemData":{"id":795,"type":"article-journal","abstract":"PURPOSE: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Li et al., 2016</w:t>
            </w:r>
            <w:r w:rsidRPr="00B06723">
              <w:rPr>
                <w:rFonts w:ascii="Arial" w:hAnsi="Arial" w:cs="Arial"/>
                <w:color w:val="000000"/>
                <w:lang w:eastAsia="fr-FR"/>
              </w:rPr>
              <w:fldChar w:fldCharType="end"/>
            </w:r>
          </w:p>
        </w:tc>
        <w:tc>
          <w:tcPr>
            <w:tcW w:w="1084" w:type="dxa"/>
            <w:tcBorders>
              <w:top w:val="nil"/>
              <w:bottom w:val="nil"/>
            </w:tcBorders>
            <w:noWrap/>
          </w:tcPr>
          <w:p w14:paraId="06889A4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China</w:t>
            </w:r>
          </w:p>
        </w:tc>
        <w:tc>
          <w:tcPr>
            <w:tcW w:w="927" w:type="dxa"/>
            <w:tcBorders>
              <w:top w:val="nil"/>
              <w:bottom w:val="nil"/>
            </w:tcBorders>
          </w:tcPr>
          <w:p w14:paraId="4192504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HP</w:t>
            </w:r>
          </w:p>
        </w:tc>
        <w:tc>
          <w:tcPr>
            <w:tcW w:w="695" w:type="dxa"/>
            <w:tcBorders>
              <w:top w:val="nil"/>
              <w:bottom w:val="nil"/>
            </w:tcBorders>
            <w:noWrap/>
          </w:tcPr>
          <w:p w14:paraId="251EBB7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51</w:t>
            </w:r>
          </w:p>
        </w:tc>
        <w:tc>
          <w:tcPr>
            <w:tcW w:w="927" w:type="dxa"/>
            <w:tcBorders>
              <w:top w:val="nil"/>
              <w:bottom w:val="nil"/>
            </w:tcBorders>
            <w:noWrap/>
          </w:tcPr>
          <w:p w14:paraId="270B826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40</w:t>
            </w:r>
          </w:p>
        </w:tc>
        <w:tc>
          <w:tcPr>
            <w:tcW w:w="1361" w:type="dxa"/>
            <w:tcBorders>
              <w:top w:val="nil"/>
              <w:bottom w:val="nil"/>
            </w:tcBorders>
            <w:noWrap/>
          </w:tcPr>
          <w:p w14:paraId="7F95802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B06723">
              <w:rPr>
                <w:rFonts w:ascii="Arial" w:eastAsia="Times New Roman" w:hAnsi="Arial" w:cs="Arial"/>
                <w:color w:val="000000"/>
                <w:sz w:val="20"/>
                <w:szCs w:val="20"/>
                <w:lang w:eastAsia="fr-FR"/>
              </w:rPr>
              <w:t>Serum</w:t>
            </w:r>
            <w:proofErr w:type="spellEnd"/>
            <w:r w:rsidRPr="00B06723">
              <w:rPr>
                <w:rFonts w:ascii="Arial" w:eastAsia="Times New Roman" w:hAnsi="Arial" w:cs="Arial"/>
                <w:color w:val="000000"/>
                <w:sz w:val="20"/>
                <w:szCs w:val="20"/>
                <w:lang w:eastAsia="fr-FR"/>
              </w:rPr>
              <w:t xml:space="preserve"> (</w:t>
            </w:r>
            <w:proofErr w:type="spellStart"/>
            <w:r w:rsidRPr="00B06723">
              <w:rPr>
                <w:rFonts w:ascii="Arial" w:eastAsia="Times New Roman" w:hAnsi="Arial" w:cs="Arial"/>
                <w:color w:val="000000"/>
                <w:sz w:val="20"/>
                <w:szCs w:val="20"/>
                <w:lang w:eastAsia="fr-FR"/>
              </w:rPr>
              <w:t>exsosomes</w:t>
            </w:r>
            <w:proofErr w:type="spellEnd"/>
            <w:r w:rsidRPr="00B06723">
              <w:rPr>
                <w:rFonts w:ascii="Arial" w:eastAsia="Times New Roman" w:hAnsi="Arial" w:cs="Arial"/>
                <w:color w:val="000000"/>
                <w:sz w:val="20"/>
                <w:szCs w:val="20"/>
                <w:lang w:eastAsia="fr-FR"/>
              </w:rPr>
              <w:t>)</w:t>
            </w:r>
          </w:p>
        </w:tc>
        <w:tc>
          <w:tcPr>
            <w:tcW w:w="1172" w:type="dxa"/>
            <w:tcBorders>
              <w:top w:val="nil"/>
              <w:bottom w:val="nil"/>
            </w:tcBorders>
          </w:tcPr>
          <w:p w14:paraId="25624BD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4704FBC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miR</w:t>
            </w:r>
            <w:proofErr w:type="gramEnd"/>
            <w:r w:rsidRPr="00B06723">
              <w:rPr>
                <w:rFonts w:ascii="Arial" w:eastAsia="Times New Roman" w:hAnsi="Arial" w:cs="Arial"/>
                <w:color w:val="000000"/>
                <w:sz w:val="20"/>
                <w:szCs w:val="20"/>
                <w:lang w:eastAsia="fr-FR"/>
              </w:rPr>
              <w:t>-141</w:t>
            </w:r>
          </w:p>
        </w:tc>
        <w:tc>
          <w:tcPr>
            <w:tcW w:w="717" w:type="dxa"/>
            <w:tcBorders>
              <w:top w:val="nil"/>
              <w:bottom w:val="nil"/>
            </w:tcBorders>
            <w:noWrap/>
          </w:tcPr>
          <w:p w14:paraId="253BFEB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80.00</w:t>
            </w:r>
          </w:p>
        </w:tc>
        <w:tc>
          <w:tcPr>
            <w:tcW w:w="717" w:type="dxa"/>
            <w:tcBorders>
              <w:top w:val="nil"/>
              <w:bottom w:val="nil"/>
            </w:tcBorders>
            <w:noWrap/>
          </w:tcPr>
          <w:p w14:paraId="09A7DB9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70.97</w:t>
            </w:r>
          </w:p>
        </w:tc>
        <w:tc>
          <w:tcPr>
            <w:tcW w:w="550" w:type="dxa"/>
            <w:tcBorders>
              <w:top w:val="nil"/>
              <w:bottom w:val="nil"/>
            </w:tcBorders>
            <w:noWrap/>
          </w:tcPr>
          <w:p w14:paraId="07A02EA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41</w:t>
            </w:r>
          </w:p>
        </w:tc>
        <w:tc>
          <w:tcPr>
            <w:tcW w:w="472" w:type="dxa"/>
            <w:tcBorders>
              <w:top w:val="nil"/>
              <w:bottom w:val="nil"/>
            </w:tcBorders>
            <w:noWrap/>
          </w:tcPr>
          <w:p w14:paraId="2729E39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12</w:t>
            </w:r>
          </w:p>
        </w:tc>
        <w:tc>
          <w:tcPr>
            <w:tcW w:w="483" w:type="dxa"/>
            <w:tcBorders>
              <w:top w:val="nil"/>
              <w:bottom w:val="nil"/>
            </w:tcBorders>
            <w:noWrap/>
          </w:tcPr>
          <w:p w14:paraId="0D0C7FB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28</w:t>
            </w:r>
          </w:p>
        </w:tc>
        <w:tc>
          <w:tcPr>
            <w:tcW w:w="483" w:type="dxa"/>
            <w:tcBorders>
              <w:top w:val="nil"/>
              <w:bottom w:val="nil"/>
            </w:tcBorders>
            <w:noWrap/>
          </w:tcPr>
          <w:p w14:paraId="338CF00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10</w:t>
            </w:r>
          </w:p>
        </w:tc>
        <w:tc>
          <w:tcPr>
            <w:tcW w:w="650" w:type="dxa"/>
            <w:tcBorders>
              <w:top w:val="nil"/>
              <w:bottom w:val="nil"/>
            </w:tcBorders>
          </w:tcPr>
          <w:p w14:paraId="40E197E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0.87</w:t>
            </w:r>
          </w:p>
        </w:tc>
      </w:tr>
      <w:tr w:rsidR="00E84D7D" w:rsidRPr="00B06723" w14:paraId="04FC71E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AC4A6C6" w14:textId="0BB4A50C"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{"citationID":"a6af54o5le","properties":{"formattedCitation":"\\uldash{(Osipov et al., 2016)}","plainCitation":"(Osipov et al., 2016)","dontUpdate":true,"noteIndex":0},"citationItems":[{"id":577,"uris":["http://zotero.org/users/3583561/items/Y93ECYPB"],"itemData":{"id":577,"type":"article-journal","abstract":"Expression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Osipov et al., 2016)</w:t>
            </w:r>
            <w:r w:rsidRPr="00B06723">
              <w:rPr>
                <w:rFonts w:ascii="Arial" w:hAnsi="Arial" w:cs="Arial"/>
                <w:color w:val="000000"/>
                <w:lang w:eastAsia="fr-FR"/>
              </w:rPr>
              <w:fldChar w:fldCharType="end"/>
            </w:r>
          </w:p>
        </w:tc>
        <w:tc>
          <w:tcPr>
            <w:tcW w:w="1084" w:type="dxa"/>
            <w:tcBorders>
              <w:top w:val="nil"/>
              <w:bottom w:val="nil"/>
            </w:tcBorders>
            <w:noWrap/>
          </w:tcPr>
          <w:p w14:paraId="19A797B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Russia</w:t>
            </w:r>
          </w:p>
        </w:tc>
        <w:tc>
          <w:tcPr>
            <w:tcW w:w="927" w:type="dxa"/>
            <w:tcBorders>
              <w:top w:val="nil"/>
              <w:bottom w:val="nil"/>
            </w:tcBorders>
          </w:tcPr>
          <w:p w14:paraId="4D7386F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640DA2D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48</w:t>
            </w:r>
          </w:p>
        </w:tc>
        <w:tc>
          <w:tcPr>
            <w:tcW w:w="927" w:type="dxa"/>
            <w:tcBorders>
              <w:top w:val="nil"/>
              <w:bottom w:val="nil"/>
            </w:tcBorders>
            <w:noWrap/>
          </w:tcPr>
          <w:p w14:paraId="7A2E297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47</w:t>
            </w:r>
          </w:p>
        </w:tc>
        <w:tc>
          <w:tcPr>
            <w:tcW w:w="1361" w:type="dxa"/>
            <w:tcBorders>
              <w:top w:val="nil"/>
              <w:bottom w:val="nil"/>
            </w:tcBorders>
            <w:noWrap/>
          </w:tcPr>
          <w:p w14:paraId="57FA908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4286748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3B30A2A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53DCAB1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56.25</w:t>
            </w:r>
          </w:p>
        </w:tc>
        <w:tc>
          <w:tcPr>
            <w:tcW w:w="717" w:type="dxa"/>
            <w:tcBorders>
              <w:top w:val="nil"/>
              <w:bottom w:val="nil"/>
            </w:tcBorders>
            <w:noWrap/>
          </w:tcPr>
          <w:p w14:paraId="539BB98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100</w:t>
            </w:r>
          </w:p>
        </w:tc>
        <w:tc>
          <w:tcPr>
            <w:tcW w:w="550" w:type="dxa"/>
            <w:tcBorders>
              <w:top w:val="nil"/>
              <w:bottom w:val="nil"/>
            </w:tcBorders>
            <w:noWrap/>
          </w:tcPr>
          <w:p w14:paraId="1829C17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27</w:t>
            </w:r>
          </w:p>
        </w:tc>
        <w:tc>
          <w:tcPr>
            <w:tcW w:w="472" w:type="dxa"/>
            <w:tcBorders>
              <w:top w:val="nil"/>
              <w:bottom w:val="nil"/>
            </w:tcBorders>
            <w:noWrap/>
          </w:tcPr>
          <w:p w14:paraId="14EFE65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w:t>
            </w:r>
          </w:p>
        </w:tc>
        <w:tc>
          <w:tcPr>
            <w:tcW w:w="483" w:type="dxa"/>
            <w:tcBorders>
              <w:top w:val="nil"/>
              <w:bottom w:val="nil"/>
            </w:tcBorders>
            <w:noWrap/>
          </w:tcPr>
          <w:p w14:paraId="526592D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47</w:t>
            </w:r>
          </w:p>
        </w:tc>
        <w:tc>
          <w:tcPr>
            <w:tcW w:w="483" w:type="dxa"/>
            <w:tcBorders>
              <w:top w:val="nil"/>
              <w:bottom w:val="nil"/>
            </w:tcBorders>
            <w:noWrap/>
          </w:tcPr>
          <w:p w14:paraId="1DBE40A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21</w:t>
            </w:r>
          </w:p>
        </w:tc>
        <w:tc>
          <w:tcPr>
            <w:tcW w:w="650" w:type="dxa"/>
            <w:tcBorders>
              <w:top w:val="nil"/>
              <w:bottom w:val="nil"/>
            </w:tcBorders>
          </w:tcPr>
          <w:p w14:paraId="26C23F2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0.80</w:t>
            </w:r>
          </w:p>
        </w:tc>
      </w:tr>
      <w:tr w:rsidR="00E84D7D" w:rsidRPr="00B06723" w14:paraId="52B711B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3AAD5D4" w14:textId="41BCD45B"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{"citationID":"a1lvnkub09s","properties":{"formattedCitation":"\\uldash{(Kachakova et al., 2015)}","plainCitation":"(Kachakova et al., 2015)","dontUpdate":true,"noteIndex":0},"citationItems":[{"id":12,"uris":["http://zotero.org/users/3583561/items/6P4KDUPG"],"itemData":{"id":12,"type":"article-journal","abstract":"In the current study, expression levels of let-7c, miR-30c, miR-141, and miR-375 in plasma from 59 prostate cancer (PC) patients with different clinicopathological characteristics and two groups of controls: 16 benign prostatic hyperplasia (BPH) samples and 11 young asymptomatic men (YAM) were analyzed to evaluate their diagnostic and prognostic value in comparison to prostate-specific antigen (PSA). miR-375 was significantly downregulated in 83.5% of patients compared to BPH controls and showed stronger diagnostic accuracy (area under the curve [AUC]=0.809, 95% CI: 0.697–0.922, p=0.00016) compared with PSA (AUC=0.710, 95% CI: 0.559–0.861, p=0.013). Expression levels of let-7c showed potential to distinguish PC patients from BPH controls with AUC=0.757, but the result did not reach significance. Better discriminating performance was observed when combinations of studied biomarkers were used. Sensitivity of 86.8% and specificity of 81.8% were reached when all biomarkers were combined (AUC=0.877) and YAM were used as calibrators. None of the studied microRNAs (miRNAs) showed correlation with clinicopathological characteristics. PSA levels were significantly correlated with the Gleason score, tumor stage, and lymph node metastasis with Spearman correlation coefficients: 0.612, 0.576, and 0.458. In conclusion, the combination of the studied circulating plasma miRNAs and serum PSA has the potential to be used as a noninvasive diagnostic biomarker for PC screening outperforming the PSA testing alone.","container-title":"DNA and Cell Biology","DOI":"10.1089/dna.2014.2663","ISSN":"1044-5498","issue":"3","journalAbbreviation":"DNA Cell Biol","note":"PMID: 25521481\nPMCID: PMC4337462","page":"189-200","source":"PubMed Central","title":"Combinations of Serum Prostate-Specific Antigen and Plasma Expression Levels of let-7c, miR-30c, miR-141, and miR-375 as Potential Better Diagnostic Biomarkers for Prostate Cancer","URL":"https://www.ncbi.nlm.nih.gov/pmc/articles/PMC4337462/","volume":"34","author":[{"family":"Kachakova","given":"Darina"},{"family":"Mitkova","given":"Atanaska"},{"family":"Popov","given":"Elenko"},{"family":"Popov","given":"Ivan"},{"family":"Vlahova","given":"Alexandrina"},{"family":"Dikov","given":"Tihomir"},{"family":"Christova","given":"Svetlana"},{"family":"Mitev","given":"Vanio"},{"family":"Slavov","given":"Chavdar"},{"family":"Kaneva","given":"Radka"}],"accessed":{"date-parts":[["2023",5,2]]},"issued":{"date-parts":[["2015",3,1]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Kachakova et al., 2015</w:t>
            </w:r>
            <w:r w:rsidRPr="00B06723">
              <w:rPr>
                <w:rFonts w:ascii="Arial" w:hAnsi="Arial" w:cs="Arial"/>
                <w:color w:val="000000"/>
                <w:lang w:eastAsia="fr-FR"/>
              </w:rPr>
              <w:fldChar w:fldCharType="end"/>
            </w:r>
          </w:p>
        </w:tc>
        <w:tc>
          <w:tcPr>
            <w:tcW w:w="1084" w:type="dxa"/>
            <w:tcBorders>
              <w:top w:val="nil"/>
              <w:bottom w:val="nil"/>
            </w:tcBorders>
            <w:noWrap/>
          </w:tcPr>
          <w:p w14:paraId="671390E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Bulgaria</w:t>
            </w:r>
          </w:p>
        </w:tc>
        <w:tc>
          <w:tcPr>
            <w:tcW w:w="927" w:type="dxa"/>
            <w:tcBorders>
              <w:top w:val="nil"/>
              <w:bottom w:val="nil"/>
            </w:tcBorders>
          </w:tcPr>
          <w:p w14:paraId="74AA5EC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4703045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56</w:t>
            </w:r>
          </w:p>
        </w:tc>
        <w:tc>
          <w:tcPr>
            <w:tcW w:w="927" w:type="dxa"/>
            <w:tcBorders>
              <w:top w:val="nil"/>
              <w:bottom w:val="nil"/>
            </w:tcBorders>
            <w:noWrap/>
          </w:tcPr>
          <w:p w14:paraId="59CA1D7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12</w:t>
            </w:r>
          </w:p>
        </w:tc>
        <w:tc>
          <w:tcPr>
            <w:tcW w:w="1361" w:type="dxa"/>
            <w:tcBorders>
              <w:top w:val="nil"/>
              <w:bottom w:val="nil"/>
            </w:tcBorders>
            <w:noWrap/>
          </w:tcPr>
          <w:p w14:paraId="39D8A62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476C380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1DAD83E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24A9692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50.00</w:t>
            </w:r>
          </w:p>
        </w:tc>
        <w:tc>
          <w:tcPr>
            <w:tcW w:w="717" w:type="dxa"/>
            <w:tcBorders>
              <w:top w:val="nil"/>
              <w:bottom w:val="nil"/>
            </w:tcBorders>
            <w:noWrap/>
          </w:tcPr>
          <w:p w14:paraId="123457F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71.20</w:t>
            </w:r>
          </w:p>
        </w:tc>
        <w:tc>
          <w:tcPr>
            <w:tcW w:w="550" w:type="dxa"/>
            <w:tcBorders>
              <w:top w:val="nil"/>
              <w:bottom w:val="nil"/>
            </w:tcBorders>
            <w:noWrap/>
          </w:tcPr>
          <w:p w14:paraId="7D1F3AD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28</w:t>
            </w:r>
          </w:p>
        </w:tc>
        <w:tc>
          <w:tcPr>
            <w:tcW w:w="472" w:type="dxa"/>
            <w:tcBorders>
              <w:top w:val="nil"/>
              <w:bottom w:val="nil"/>
            </w:tcBorders>
            <w:noWrap/>
          </w:tcPr>
          <w:p w14:paraId="3220B54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w:t>
            </w:r>
          </w:p>
        </w:tc>
        <w:tc>
          <w:tcPr>
            <w:tcW w:w="483" w:type="dxa"/>
            <w:tcBorders>
              <w:top w:val="nil"/>
              <w:bottom w:val="nil"/>
            </w:tcBorders>
            <w:noWrap/>
          </w:tcPr>
          <w:p w14:paraId="2BD72BC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w:t>
            </w:r>
          </w:p>
        </w:tc>
        <w:tc>
          <w:tcPr>
            <w:tcW w:w="483" w:type="dxa"/>
            <w:tcBorders>
              <w:top w:val="nil"/>
              <w:bottom w:val="nil"/>
            </w:tcBorders>
            <w:noWrap/>
          </w:tcPr>
          <w:p w14:paraId="78B63F1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28</w:t>
            </w:r>
          </w:p>
        </w:tc>
        <w:tc>
          <w:tcPr>
            <w:tcW w:w="650" w:type="dxa"/>
            <w:tcBorders>
              <w:top w:val="nil"/>
              <w:bottom w:val="nil"/>
            </w:tcBorders>
          </w:tcPr>
          <w:p w14:paraId="02A017A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0.51</w:t>
            </w:r>
          </w:p>
        </w:tc>
      </w:tr>
      <w:tr w:rsidR="00E84D7D" w:rsidRPr="00B06723" w14:paraId="2E8FDD6C"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4307DD7" w14:textId="49C355CF"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val="en-US" w:eastAsia="fr-FR"/>
              </w:rPr>
              <w:instrText xml:space="preserve"> ADDIN ZOTERO_ITEM CSL_CITATION {"citationID":"a1vuqaadr8f","properties":{"formattedCitation":"\\uldash{(Kelly et al., 2015)}","plainCitation":"(Kelly et al., 2015)","dontUpdate":true,"noteIndex":0},"citationItems":[{"id":826,"uris":["http://zotero.org/users/3583561/items/ANHQ3CYQ","http://zotero.org/users/3583561/items/NAWIKKI4"],"itemData":{"id":826,"type":"article-journal","abstract":"INTRODUCTION: Mi(cro)RNAs are small non-coding RNAs whose differential expression in tissue has been implicated in the development and progression of many malignancies, including prostate cancer. The discovery of miRNAs in the blood of patients with a variety of malignancies makes them an ideal, novel biomarker for prostate cancer diagnosis. The aim of this study was to identify a unique expression profile of circulating miRNAs in patients with prostate cancer attending a rapid access prostate assessment clinic.\nMETHODS: To conduct this study blood and tissue samples were collected from 102 patients (75 with biopsy confirmed cancer and 27 benign samples) following ethical approval and informed consent. These patients were attending a prostate assessment clinic. Samples were reverse-transcribed using stem-loop primers and expression levels of each of 12 candidate miRNAs were determined using real-time quantitative polymerase chain reaction. miRNA expression levels were then correlated with clinicopathological data and subsequently analysed using qBasePlus software and Minitab.\nRESULTS: Circulating miRNAs were detected and quantified in all subjects. The analysis of miRNA mean expression levels revealed that four miRNAs were significantly dysregulated, including let-7a (p = 0.005) which has known tumour suppressor characteristics, along with miR-141 (p = 0.01) which has oncogenic characteristics. In 20 patients undergoing a radical retropubic-prostatectomy, the expression levels of miR-141 returned to normal at day 10 post-operatively. A panel of four miRNAs could be used in combination to detect prostate cancer with an area under the curve (AUC) of 0.783 and a PPV of 80%.\nCONCLUSION: These findings identify a unique expression profile of miRNA detectable in the blood of prostate cancer patients. This confirms their use as a novel, diagnostic biomarker for prostate cancer.","container-title":"Journal of Clinical Medicine","DOI":"10.3390/jcm4071369","ISSN":"2077-0383","issue":"7","journalAbbreviation":"J Clin Med","language":"eng","note":"PMID: 26239681\nPMCID: PMC4519795","page":"1369-1379","source":"PubMed","title":"A Circulating MicroRNA Signature as a Biomarker for Prostate Cancer in a High Risk Group","volume":"4","author":[{"family":"Kelly","given":"Brian D."},{"family":"Miller","given":"Nicola"},{"family":"Sweeney","given":"Karl J."},{"family":"Durkan","given":"Garrett C."},{"family":"Rogers","given":"Eamon"},{"family":"Walsh","given":"Killian"},{"family":"Kerin","given":"Michael J."}],"issued":{"date-parts":[["2015",7,7]]}}}],"schema":"https://github.com/citation-style-language/schema/raw/master/csl-citation.json"}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lang w:val="en-US"/>
              </w:rPr>
              <w:t>Kelly et al., 2015</w:t>
            </w:r>
            <w:r w:rsidRPr="00B06723">
              <w:rPr>
                <w:rFonts w:ascii="Arial" w:hAnsi="Arial" w:cs="Arial"/>
                <w:color w:val="000000"/>
                <w:lang w:eastAsia="fr-FR"/>
              </w:rPr>
              <w:fldChar w:fldCharType="end"/>
            </w:r>
          </w:p>
        </w:tc>
        <w:tc>
          <w:tcPr>
            <w:tcW w:w="1084" w:type="dxa"/>
            <w:tcBorders>
              <w:top w:val="nil"/>
              <w:bottom w:val="nil"/>
            </w:tcBorders>
            <w:noWrap/>
          </w:tcPr>
          <w:p w14:paraId="573767A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Irland</w:t>
            </w:r>
          </w:p>
        </w:tc>
        <w:tc>
          <w:tcPr>
            <w:tcW w:w="927" w:type="dxa"/>
            <w:tcBorders>
              <w:top w:val="nil"/>
              <w:bottom w:val="nil"/>
            </w:tcBorders>
          </w:tcPr>
          <w:p w14:paraId="038FE9E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430C146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w:t>
            </w:r>
          </w:p>
        </w:tc>
        <w:tc>
          <w:tcPr>
            <w:tcW w:w="927" w:type="dxa"/>
            <w:tcBorders>
              <w:top w:val="nil"/>
              <w:bottom w:val="nil"/>
            </w:tcBorders>
            <w:noWrap/>
          </w:tcPr>
          <w:p w14:paraId="4177D86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27</w:t>
            </w:r>
          </w:p>
        </w:tc>
        <w:tc>
          <w:tcPr>
            <w:tcW w:w="1361" w:type="dxa"/>
            <w:tcBorders>
              <w:top w:val="nil"/>
              <w:bottom w:val="nil"/>
            </w:tcBorders>
            <w:noWrap/>
          </w:tcPr>
          <w:p w14:paraId="2DB60CF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Whole blood</w:t>
            </w:r>
          </w:p>
        </w:tc>
        <w:tc>
          <w:tcPr>
            <w:tcW w:w="1172" w:type="dxa"/>
            <w:tcBorders>
              <w:top w:val="nil"/>
              <w:bottom w:val="nil"/>
            </w:tcBorders>
          </w:tcPr>
          <w:p w14:paraId="3C1B100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7542C94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1E2FFEB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94.00</w:t>
            </w:r>
          </w:p>
        </w:tc>
        <w:tc>
          <w:tcPr>
            <w:tcW w:w="717" w:type="dxa"/>
            <w:tcBorders>
              <w:top w:val="nil"/>
              <w:bottom w:val="nil"/>
            </w:tcBorders>
            <w:noWrap/>
          </w:tcPr>
          <w:p w14:paraId="324A566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73.00</w:t>
            </w:r>
          </w:p>
        </w:tc>
        <w:tc>
          <w:tcPr>
            <w:tcW w:w="550" w:type="dxa"/>
            <w:tcBorders>
              <w:top w:val="nil"/>
              <w:bottom w:val="nil"/>
            </w:tcBorders>
            <w:noWrap/>
          </w:tcPr>
          <w:p w14:paraId="68E20E5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70</w:t>
            </w:r>
          </w:p>
        </w:tc>
        <w:tc>
          <w:tcPr>
            <w:tcW w:w="472" w:type="dxa"/>
            <w:tcBorders>
              <w:top w:val="nil"/>
              <w:bottom w:val="nil"/>
            </w:tcBorders>
            <w:noWrap/>
          </w:tcPr>
          <w:p w14:paraId="434D777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483" w:type="dxa"/>
            <w:tcBorders>
              <w:top w:val="nil"/>
              <w:bottom w:val="nil"/>
            </w:tcBorders>
            <w:noWrap/>
          </w:tcPr>
          <w:p w14:paraId="0DED429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483" w:type="dxa"/>
            <w:tcBorders>
              <w:top w:val="nil"/>
              <w:bottom w:val="nil"/>
            </w:tcBorders>
            <w:noWrap/>
          </w:tcPr>
          <w:p w14:paraId="621F4D7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w:t>
            </w:r>
          </w:p>
        </w:tc>
        <w:tc>
          <w:tcPr>
            <w:tcW w:w="650" w:type="dxa"/>
            <w:tcBorders>
              <w:top w:val="nil"/>
              <w:bottom w:val="nil"/>
            </w:tcBorders>
          </w:tcPr>
          <w:p w14:paraId="65EC1FE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0.65</w:t>
            </w:r>
          </w:p>
        </w:tc>
      </w:tr>
      <w:tr w:rsidR="00E84D7D" w:rsidRPr="00B06723" w14:paraId="0D99B3A7"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02E342D" w14:textId="577976B1"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val="en-US" w:eastAsia="fr-FR"/>
              </w:rPr>
              <w:instrText xml:space="preserve"> ADDIN ZOTERO_ITEM CSL_CITATION {"citationID":"as93kdfruc","properties":{"formattedCitation":"\\uldash{(Cheng et al., 2013)}","plainCitation":"(Cheng et al., 2013)","dontUpdate":true,"noteIndex":0},"citationItems":[{"id":650,"uris":["http://zotero.org/users/3583561/items/LCSL4298"],"itemData":{"id":650,"type":"article-journal","abstract":"MicroRNAs (miRNAs) are small (</w:instrText>
            </w:r>
            <w:r w:rsidRPr="00B06723">
              <w:rPr>
                <w:rFonts w:ascii="Cambria Math" w:eastAsia="Times New Roman" w:hAnsi="Cambria Math" w:cs="Cambria Math"/>
                <w:color w:val="000000"/>
                <w:sz w:val="20"/>
                <w:szCs w:val="20"/>
                <w:lang w:val="en-US" w:eastAsia="fr-FR"/>
              </w:rPr>
              <w:instrText>∼</w:instrText>
            </w:r>
            <w:r w:rsidRPr="00B06723">
              <w:rPr>
                <w:rFonts w:ascii="Arial" w:eastAsia="Times New Roman" w:hAnsi="Arial" w:cs="Arial"/>
                <w:color w:val="000000"/>
                <w:sz w:val="20"/>
                <w:szCs w:val="20"/>
                <w:lang w:val="en-US" w:eastAsia="fr-FR"/>
              </w:rPr>
              <w:instrText xml:space="preserve">22 nucleotide) non-coding RNAs that regulate a myriad of biological processes and are frequently dysregulated in cancer. Cancer-associated microRNAs have been detected in serum and plasma and hold promise as minimally invasive cancer biomarkers, potentially for assessing disease characteristics in patients with metastatic disease that is difficult to biopsy. Here we used miRNA profiling to identify cancer-associated miRNAs that are differentially expressed in sera from patients with metastatic castration resistant prostate cancer (mCRPC) as compared to healthy controls. Of 365 miRNAs profiled, we identified five serum miRNAs (miR-141, miR-200a, miR-200c, miR-210 and miR-375) that were elevated in cases compared to controls across two independent cohorts. One of these, miR-210, is a known transcriptional target of the hypoxia-responsive HIF-1α signaling pathway. Exposure of cultured prostate cancer cells to hypoxia led to induction of miR-210 and its release into the extracellular environment. Moreover, we found that serum miR-210 levels varied widely amongst mCRPC patients undergoing therapy, and correlated with treatment response as assessed by change in PSA. Our results suggest that (i) cancer-associated hypoxia is a frequent, previously under-appreciated characteristic of mCRPC, and (ii) serum miR-210 may be further developed as a predictive biomarker in patients with this distinct disease biology.","container-title":"PloS One","DOI":"10.1371/journal.pone.0069239","ISSN":"1932-6203","issue":"7","journalAbbreviation":"PLoS One","language":"eng","note":"PMID: 23935962\nPMCID: PMC3728349","page":"e69239","source":"PubMed","title":"Circulating microRNA profiling identifies a subset of metastatic prostate cancer patients with evidence of cancer-associated hypoxia","volume":"8","author":[{"family":"Cheng","given":"Heather H."},{"family":"Mitchell","given":"Patrick S."},{"family":"Kroh","given":"Evan M."},{"family":"Dowell","given":"Alexander E."},{"family":"Chéry","given":"Lisly"},{"family":"Siddiqui","given":"Javed"},{"family":"Nelson","given":"Peter S."},{"family":"Vessella","given":"Robert L."},{"family":"Knudsen","given":"Beatrice S."},{"family":"Chinnaiyan","given":"Arul M."},{"family":"Pienta","given":"Kenneth J."},{"family":"Morrissey","given":"Colm"},{"family":"Tewari","given":"Muneesh"}],"issued":{"date-parts":[["2013"]]}}}],"schema":"https://github.com/citation-style-language/schema/raw/master/csl-citation.json"}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Cheng et al., 2013</w:t>
            </w:r>
            <w:r w:rsidRPr="00B06723">
              <w:rPr>
                <w:rFonts w:ascii="Arial" w:hAnsi="Arial" w:cs="Arial"/>
                <w:color w:val="000000"/>
                <w:lang w:eastAsia="fr-FR"/>
              </w:rPr>
              <w:fldChar w:fldCharType="end"/>
            </w:r>
          </w:p>
        </w:tc>
        <w:tc>
          <w:tcPr>
            <w:tcW w:w="1084" w:type="dxa"/>
            <w:tcBorders>
              <w:top w:val="nil"/>
              <w:bottom w:val="nil"/>
            </w:tcBorders>
            <w:noWrap/>
          </w:tcPr>
          <w:p w14:paraId="4838FA6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United States</w:t>
            </w:r>
          </w:p>
        </w:tc>
        <w:tc>
          <w:tcPr>
            <w:tcW w:w="927" w:type="dxa"/>
            <w:tcBorders>
              <w:top w:val="nil"/>
              <w:bottom w:val="nil"/>
            </w:tcBorders>
          </w:tcPr>
          <w:p w14:paraId="4CEBAD1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085B48F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927" w:type="dxa"/>
            <w:tcBorders>
              <w:top w:val="nil"/>
              <w:bottom w:val="nil"/>
            </w:tcBorders>
            <w:noWrap/>
          </w:tcPr>
          <w:p w14:paraId="310B9CE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1361" w:type="dxa"/>
            <w:tcBorders>
              <w:top w:val="nil"/>
              <w:bottom w:val="nil"/>
            </w:tcBorders>
            <w:noWrap/>
          </w:tcPr>
          <w:p w14:paraId="258FFE7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202241A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5D3D410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11F4FE4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7ECB442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57036B8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3940292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6D7694B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7934972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7198CA6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0.90</w:t>
            </w:r>
          </w:p>
        </w:tc>
      </w:tr>
      <w:tr w:rsidR="00E84D7D" w:rsidRPr="00B06723" w14:paraId="710D5FD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C8DC63D" w14:textId="07AB95AB"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{"citationID":"a2mb0gsq2kh","properties":{"formattedCitation":"\\uldash{(Yaman Agaoglu et al., 2011)}","plainCitation":"(Yaman Agaoglu et al., 2011)","dontUpdate":true,"noteIndex":0},"citationItems":[{"id":352,"uris":["http://zotero.org/users/3583561/items/M3XCR24F","http://zotero.org/users/3583561/items/IPD4CHAN"],"itemData":{"id":352,"type":"article-journal","abstract":"In addition to their potential as tissue-based markers for cancer classification and prognostication, the study of microRNAs (miRNAs) in blood circulation is also of interest. In the present study, we investigated the amounts of three cancer-related miRNAs, miR-21, -141, and -221 in blood plasma of prostate cancer (PCa) patients. A cohort of 51 patients with PCa was enrolled into the study, and miRNAs were measured in two subgroups, with localized/local advanced or metastatic PCa. A group of 20 healthy individuals served as the control group. miRNAs were quantified from the total RNA fraction using 200 μl plasma and the small RNA molecule RNU1A as a control for normalizing the miRNA amounts in circulation. We found similar levels of three miRNAs in healthy subjects with median values of 0.039, 0.033 and 0.04, respectively; (p = n.s.). In the patients, the miRNA levels were higher, with miR-21 being the highest (median, 1.51). The miR-221 levels were intermediate (median, 0.71) while the miR-141 displayed the lowest levels (median, 0.051). The differences between the control group and the patients were highly significant for the miR-21 (p &lt; 0.001; area under the curve (AUC), 88%) and -221 (p &lt; 0.001; AUC, 83%) but not for the miR-141 (p = 0.2). In patients diagnosed with metastatic PCa, levels of all three miRNAs were significantly higher than in patients with localized/local advanced disease where the difference for the miR-141 was most pronounced (p&lt; 0.001; AUC, 75.5%). In conclusion, analysis of miR-21, -141, and -221 in blood of PCa patients reveals varying patterns of these molecules in clinical subgroups of PCa.","container-title":"Tumour Biology: The Journal of the International Society for Oncodevelopmental Biology and Medicine","DOI":"10.1007/s13277-011-0154-9","ISSN":"1423-0380","issue":"3","journalAbbreviation":"Tumour Biol","language":"eng","note":"PMID: 21274675","page":"583-588","source":"PubMed","title":"Investigation of miR-21, miR-141, and miR-221 in blood circulation of patients with prostate cancer","volume":"32","author":[{"family":"Yaman Agaoglu","given":"Fulya"},{"family":"Kovancilar","given":"Müge"},{"family":"Dizdar","given":"Yavuz"},{"family":"Darendeliler","given":"Emin"},{"family":"Holdenrieder","given":"Stefan"},{"family":"Dalay","given":"Nejat"},{"family":"Gezer","given":"Ugur"}],"issued":{"date-parts":[["2011",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Yaman Agaoglu et al., 2011</w:t>
            </w:r>
            <w:r w:rsidRPr="00B06723">
              <w:rPr>
                <w:rFonts w:ascii="Arial" w:hAnsi="Arial" w:cs="Arial"/>
                <w:color w:val="000000"/>
                <w:lang w:eastAsia="fr-FR"/>
              </w:rPr>
              <w:fldChar w:fldCharType="end"/>
            </w:r>
          </w:p>
        </w:tc>
        <w:tc>
          <w:tcPr>
            <w:tcW w:w="1084" w:type="dxa"/>
            <w:tcBorders>
              <w:top w:val="nil"/>
              <w:bottom w:val="nil"/>
            </w:tcBorders>
            <w:noWrap/>
          </w:tcPr>
          <w:p w14:paraId="4708A47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Turkey</w:t>
            </w:r>
          </w:p>
        </w:tc>
        <w:tc>
          <w:tcPr>
            <w:tcW w:w="927" w:type="dxa"/>
            <w:tcBorders>
              <w:top w:val="nil"/>
              <w:bottom w:val="nil"/>
            </w:tcBorders>
          </w:tcPr>
          <w:p w14:paraId="319B371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2A9E160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51</w:t>
            </w:r>
          </w:p>
        </w:tc>
        <w:tc>
          <w:tcPr>
            <w:tcW w:w="927" w:type="dxa"/>
            <w:tcBorders>
              <w:top w:val="nil"/>
              <w:bottom w:val="nil"/>
            </w:tcBorders>
            <w:noWrap/>
          </w:tcPr>
          <w:p w14:paraId="0DBEB5E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1361" w:type="dxa"/>
            <w:tcBorders>
              <w:top w:val="nil"/>
              <w:bottom w:val="nil"/>
            </w:tcBorders>
            <w:noWrap/>
          </w:tcPr>
          <w:p w14:paraId="6854FF5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1FD55F3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57B27EF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75BCEC1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6BB9466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3DCFC65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66F91CD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7DD391F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3894476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2B838EE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0.56</w:t>
            </w:r>
          </w:p>
        </w:tc>
      </w:tr>
      <w:tr w:rsidR="00E84D7D" w:rsidRPr="00B06723" w14:paraId="23ED7B74"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922E951" w14:textId="42CCA120"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val="en-US" w:eastAsia="fr-FR"/>
              </w:rPr>
              <w:instrText xml:space="preserve"> ADDIN ZOTERO_ITEM CSL_CITATION {"citationID":"ae4v6rbchn","properties":{"formattedCitation":"\\uldash{(Mitchell et al., 2008)}","plainCitation":"(Mitchell et al., 2008)","dontUpdate":true,"noteIndex":0},"citationItems":[{"id":350,"uris":["http://zotero.org/users/local/Wg7jwtUt/items/U9I3VNB9","http://zotero.org/users/3583561/items/U9I3VNB9","http://zotero.org/users/3583561/items/7RAN7IVH"],"itemData":{"id":350,"type":"article-journal","container-title":"Proceedings of the National Academy of Sciences","DOI":"10.1073/pnas.0804549105","issue":"30","note":"publisher: Proceedings of the National Academy of Sciences","page":"10513-10518","source":"pnas.org (Atypon)","title":"Circulating microRNAs as stable blood-based markers for cancer detection","URL":"https://www.pnas.org/doi/10.1073/pnas.0804549105","volume":"105","author":[{"family":"Mitchell","given":"Patrick S."},{"family":"Parkin","given":"Rachael K."},{"family":"Kroh","given":"Evan M."},{"family":"Fritz","given":"Brian R."},{"family":"Wyman","given":"Stacia K."},{"family":"Pogosova-Agadjanyan","given":"époque L."},{"family":"Peterson","given":"Amélie"},{"family":"Noteboom","given":"Jennifer"},{"family":"O'Briant","given":"Kathy C."},{"family":"Allen","given":"avril"},{"family":"Lin","given":"Daniel W."},{"family":"Urbain","given":"Nicole"},{"family":"Drescher","given":"Charles W."},{"family":"Knudsen","given":"Béatrice S."},{"family":"Stirewalt","given":"Derek L."},{"family":"Gentilhomme","given":"Robert"},{"family":"Vessella","given":"Robert L."},{"family":"Nelson","given":"Peter S."},{"family":"Martin","given":"Daniel B."},{"family":"Tewari","given":"Muneesh"}],"accessed":{"date-parts":[["2022",6,9]]},"issued":{"date-parts":[["2008",7,29]]}}}],"schema":"https://github.com/citation-style-language/schema/raw/master/csl-citation.json"}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Mitchell et al., 2008</w:t>
            </w:r>
            <w:r w:rsidRPr="00B06723">
              <w:rPr>
                <w:rFonts w:ascii="Arial" w:hAnsi="Arial" w:cs="Arial"/>
                <w:color w:val="000000"/>
                <w:lang w:eastAsia="fr-FR"/>
              </w:rPr>
              <w:fldChar w:fldCharType="end"/>
            </w:r>
          </w:p>
        </w:tc>
        <w:tc>
          <w:tcPr>
            <w:tcW w:w="1084" w:type="dxa"/>
            <w:tcBorders>
              <w:top w:val="nil"/>
              <w:bottom w:val="nil"/>
            </w:tcBorders>
            <w:noWrap/>
          </w:tcPr>
          <w:p w14:paraId="0E38C9A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United States</w:t>
            </w:r>
          </w:p>
        </w:tc>
        <w:tc>
          <w:tcPr>
            <w:tcW w:w="927" w:type="dxa"/>
            <w:tcBorders>
              <w:top w:val="nil"/>
              <w:bottom w:val="nil"/>
            </w:tcBorders>
          </w:tcPr>
          <w:p w14:paraId="339C628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117CDFF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927" w:type="dxa"/>
            <w:tcBorders>
              <w:top w:val="nil"/>
              <w:bottom w:val="nil"/>
            </w:tcBorders>
            <w:noWrap/>
          </w:tcPr>
          <w:p w14:paraId="7EA8B11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1361" w:type="dxa"/>
            <w:tcBorders>
              <w:top w:val="nil"/>
              <w:bottom w:val="nil"/>
            </w:tcBorders>
            <w:noWrap/>
          </w:tcPr>
          <w:p w14:paraId="289DA4B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42C46AD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04430DE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miR-141</w:t>
            </w:r>
          </w:p>
        </w:tc>
        <w:tc>
          <w:tcPr>
            <w:tcW w:w="717" w:type="dxa"/>
            <w:tcBorders>
              <w:top w:val="nil"/>
              <w:bottom w:val="nil"/>
            </w:tcBorders>
            <w:noWrap/>
          </w:tcPr>
          <w:p w14:paraId="1B7903F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60.00</w:t>
            </w:r>
          </w:p>
        </w:tc>
        <w:tc>
          <w:tcPr>
            <w:tcW w:w="717" w:type="dxa"/>
            <w:tcBorders>
              <w:top w:val="nil"/>
              <w:bottom w:val="nil"/>
            </w:tcBorders>
            <w:noWrap/>
          </w:tcPr>
          <w:p w14:paraId="0C99617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100</w:t>
            </w:r>
          </w:p>
        </w:tc>
        <w:tc>
          <w:tcPr>
            <w:tcW w:w="550" w:type="dxa"/>
            <w:tcBorders>
              <w:top w:val="nil"/>
              <w:bottom w:val="nil"/>
            </w:tcBorders>
            <w:noWrap/>
          </w:tcPr>
          <w:p w14:paraId="733DB49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15</w:t>
            </w:r>
          </w:p>
        </w:tc>
        <w:tc>
          <w:tcPr>
            <w:tcW w:w="472" w:type="dxa"/>
            <w:tcBorders>
              <w:top w:val="nil"/>
              <w:bottom w:val="nil"/>
            </w:tcBorders>
            <w:noWrap/>
          </w:tcPr>
          <w:p w14:paraId="2145662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w:t>
            </w:r>
          </w:p>
        </w:tc>
        <w:tc>
          <w:tcPr>
            <w:tcW w:w="483" w:type="dxa"/>
            <w:tcBorders>
              <w:top w:val="nil"/>
              <w:bottom w:val="nil"/>
            </w:tcBorders>
            <w:noWrap/>
          </w:tcPr>
          <w:p w14:paraId="7E6C149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483" w:type="dxa"/>
            <w:tcBorders>
              <w:top w:val="nil"/>
              <w:bottom w:val="nil"/>
            </w:tcBorders>
            <w:noWrap/>
          </w:tcPr>
          <w:p w14:paraId="135E064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w:t>
            </w:r>
          </w:p>
        </w:tc>
        <w:tc>
          <w:tcPr>
            <w:tcW w:w="650" w:type="dxa"/>
            <w:tcBorders>
              <w:top w:val="nil"/>
              <w:bottom w:val="nil"/>
            </w:tcBorders>
          </w:tcPr>
          <w:p w14:paraId="192462C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0.91</w:t>
            </w:r>
          </w:p>
        </w:tc>
      </w:tr>
      <w:tr w:rsidR="00E84D7D" w:rsidRPr="00B06723" w14:paraId="556400B5"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8A5D5D9" w14:textId="25EA1103"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{"citationID":"a2lpv8mbmcn","properties":{"formattedCitation":"\\uldash{(Nobrega et al., 2025)}","plainCitation":"(Nobrega et al., 2025)","dontUpdate":true,"noteIndex":0},"citationItems":[{"id":8044,"uris":["http://zotero.org/users/3583561/items/8PCIWI7G"],"itemData":{"id":8044,"type":"article-journal","abstract":"MicroRNAs can be found intracellularly incorporated into extracellular vesicles (EV-miRNAs) or extracellularly as cell-free miRNAs (cf-miRNAs). This study aimed to compare the diagnostic and prognostic potential of four miRNAs with recognized roles in prostate cancer as cf-miRNAs and EV-miRNAs, obtained from liquid biopsies (LB). Total RNA was isolated from whole plasma and plasma EVs from 15 controls (CTR) and 30 patients (20 with localized prostate cancer (PCa), 10 with metastatic prostate cancer (mPCa)). The miRNAs were quantified by RT-qPCR and the relative expression of these miRNAs was compared between the three groups, and their associations with clinicopathological parameters were assessed. Receiver operating characteristic (ROC) curves were performed to evaluate the diagnostic potential of the miRNAs in discriminating different groups. Overall, EV-miRNAs showed higher expression compared to cf-miRNAs. All EV-miRNAs analyzed showed diagnostic potential with an area under the curve (AUC) above 0.744. EV-miR-21-5p, EV-miR-375-3p, and EV-miR-1290-3p were overexpressed in PCa and mPCa compared to CTR, while EV-miR-200c-3p was overexpressed only in mPCa in comparison to CTR. Remarkably, EV-miR-375-3p and EV-miR-1290-3p could differentiate mPCa with ISUP ≥ 3, demonstrating their prognostic potential. In addition, EV-miR-1290-3p and EV-4-miR-panel detected patients with PSA &gt; 10 ng/mL. Cf-miRNAs performed lower than EV-miRNAs, which can be explained by the greater stability and specificity of EV-miRNAs, making them superior to cf-miRNA. The results show that LB, a non-invasive strategy, is clinically feasible to identify EV-miRNAs as biomarkers for PCa and may provide additional information for assessing PCa risk stratification.","container-title":"Gene","DOI":"10.1016/j.gene.2024.149186","ISSN":"0378-1119","journalAbbreviation":"Gene","page":"149186","source":"ScienceDirect","title":"Comparative analysis of extracellular vesicles miRNAs (EV-miRNAs) and cell-free microRNAs (cf-miRNAs) reveals that EV-miRNAs are more promising as diagnostic and prognostic biomarkers for prostate cancer","URL":"https://www.sciencedirect.com/science/article/pii/S0378111924010679","volume":"939","author":[{"family":"Nobrega","given":"Monyse"},{"family":"Reis","given":"Mariana Bisarro","dropping-particle":"dos"},{"family":"Souza","given":"Marilesia Ferreira","dropping-particle":"de"},{"family":"Furini","given":"Hector Hugo"},{"family":"Costa Brandão Berti","given":"Fernanda"},{"family":"Souza","given":"Ingrid Larissa Melo"},{"family":"Mingorance Carvalho","given":"Tamyres"},{"family":"Zanata","given":"Silvio M."},{"family":"Fuganti","given":"Paulo Emilio"},{"family":"Malheiros","given":"Danielle"},{"family":"Ribeiro","given":"Enilze Maria de Souza Fonseca"},{"family":"Cólus","given":"Ilce Mara de Syllos"}],"accessed":{"date-parts":[["2025",5,21]]},"issued":{"date-parts":[["2025",3,5]]}}}],"schema":"https://github.com/citation-style-language/schema/raw/master/csl-citation.json"}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Nobrega et al., 2025</w:t>
            </w:r>
            <w:r w:rsidRPr="00B06723">
              <w:rPr>
                <w:rFonts w:ascii="Arial" w:hAnsi="Arial" w:cs="Arial"/>
                <w:color w:val="000000"/>
                <w:lang w:eastAsia="fr-FR"/>
              </w:rPr>
              <w:fldChar w:fldCharType="end"/>
            </w:r>
          </w:p>
        </w:tc>
        <w:tc>
          <w:tcPr>
            <w:tcW w:w="1084" w:type="dxa"/>
            <w:tcBorders>
              <w:top w:val="nil"/>
              <w:bottom w:val="nil"/>
            </w:tcBorders>
            <w:noWrap/>
          </w:tcPr>
          <w:p w14:paraId="3D49B5C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Brazil</w:t>
            </w:r>
          </w:p>
        </w:tc>
        <w:tc>
          <w:tcPr>
            <w:tcW w:w="927" w:type="dxa"/>
            <w:tcBorders>
              <w:top w:val="nil"/>
              <w:bottom w:val="nil"/>
            </w:tcBorders>
          </w:tcPr>
          <w:p w14:paraId="4FCF915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HP</w:t>
            </w:r>
          </w:p>
        </w:tc>
        <w:tc>
          <w:tcPr>
            <w:tcW w:w="695" w:type="dxa"/>
            <w:tcBorders>
              <w:top w:val="nil"/>
              <w:bottom w:val="nil"/>
            </w:tcBorders>
            <w:noWrap/>
          </w:tcPr>
          <w:p w14:paraId="6906E48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30</w:t>
            </w:r>
          </w:p>
        </w:tc>
        <w:tc>
          <w:tcPr>
            <w:tcW w:w="927" w:type="dxa"/>
            <w:tcBorders>
              <w:top w:val="nil"/>
              <w:bottom w:val="nil"/>
            </w:tcBorders>
            <w:noWrap/>
          </w:tcPr>
          <w:p w14:paraId="487B1FC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15</w:t>
            </w:r>
          </w:p>
        </w:tc>
        <w:tc>
          <w:tcPr>
            <w:tcW w:w="1361" w:type="dxa"/>
            <w:tcBorders>
              <w:top w:val="nil"/>
              <w:bottom w:val="nil"/>
            </w:tcBorders>
            <w:noWrap/>
          </w:tcPr>
          <w:p w14:paraId="367E3F3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Plasma</w:t>
            </w:r>
          </w:p>
        </w:tc>
        <w:tc>
          <w:tcPr>
            <w:tcW w:w="1172" w:type="dxa"/>
            <w:tcBorders>
              <w:top w:val="nil"/>
              <w:bottom w:val="nil"/>
            </w:tcBorders>
          </w:tcPr>
          <w:p w14:paraId="244B6CA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C95314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MiR-375</w:t>
            </w:r>
          </w:p>
        </w:tc>
        <w:tc>
          <w:tcPr>
            <w:tcW w:w="717" w:type="dxa"/>
            <w:tcBorders>
              <w:top w:val="nil"/>
              <w:bottom w:val="nil"/>
            </w:tcBorders>
            <w:noWrap/>
          </w:tcPr>
          <w:p w14:paraId="0290DB2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61.00</w:t>
            </w:r>
          </w:p>
        </w:tc>
        <w:tc>
          <w:tcPr>
            <w:tcW w:w="717" w:type="dxa"/>
            <w:tcBorders>
              <w:top w:val="nil"/>
              <w:bottom w:val="nil"/>
            </w:tcBorders>
            <w:noWrap/>
          </w:tcPr>
          <w:p w14:paraId="0A34E10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93.00</w:t>
            </w:r>
          </w:p>
        </w:tc>
        <w:tc>
          <w:tcPr>
            <w:tcW w:w="550" w:type="dxa"/>
            <w:tcBorders>
              <w:top w:val="nil"/>
              <w:bottom w:val="nil"/>
            </w:tcBorders>
            <w:noWrap/>
          </w:tcPr>
          <w:p w14:paraId="29AAA72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18</w:t>
            </w:r>
          </w:p>
        </w:tc>
        <w:tc>
          <w:tcPr>
            <w:tcW w:w="472" w:type="dxa"/>
            <w:tcBorders>
              <w:top w:val="nil"/>
              <w:bottom w:val="nil"/>
            </w:tcBorders>
            <w:noWrap/>
          </w:tcPr>
          <w:p w14:paraId="12DBAEE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w:t>
            </w:r>
          </w:p>
        </w:tc>
        <w:tc>
          <w:tcPr>
            <w:tcW w:w="483" w:type="dxa"/>
            <w:tcBorders>
              <w:top w:val="nil"/>
              <w:bottom w:val="nil"/>
            </w:tcBorders>
            <w:noWrap/>
          </w:tcPr>
          <w:p w14:paraId="10D15E1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14</w:t>
            </w:r>
          </w:p>
        </w:tc>
        <w:tc>
          <w:tcPr>
            <w:tcW w:w="483" w:type="dxa"/>
            <w:tcBorders>
              <w:top w:val="nil"/>
              <w:bottom w:val="nil"/>
            </w:tcBorders>
            <w:noWrap/>
          </w:tcPr>
          <w:p w14:paraId="4B12B6B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12</w:t>
            </w:r>
          </w:p>
        </w:tc>
        <w:tc>
          <w:tcPr>
            <w:tcW w:w="650" w:type="dxa"/>
            <w:tcBorders>
              <w:top w:val="nil"/>
              <w:bottom w:val="nil"/>
            </w:tcBorders>
          </w:tcPr>
          <w:p w14:paraId="27F74D7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0.82</w:t>
            </w:r>
          </w:p>
        </w:tc>
      </w:tr>
      <w:tr w:rsidR="00E84D7D" w:rsidRPr="00B06723" w14:paraId="4D901E69"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787C1337" w14:textId="2CBABDED"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lastRenderedPageBreak/>
              <w:fldChar w:fldCharType="begin"/>
            </w:r>
            <w:r w:rsidRPr="00B06723">
              <w:rPr>
                <w:rFonts w:ascii="Arial" w:eastAsia="Times New Roman" w:hAnsi="Arial" w:cs="Arial"/>
                <w:color w:val="000000"/>
                <w:sz w:val="20"/>
                <w:szCs w:val="20"/>
                <w:lang w:eastAsia="fr-FR"/>
              </w:rPr>
              <w:instrText xml:space="preserve"> ADDIN ZOTERO_ITEM CSL_CITATION {"citationID":"ad60g4kaab","properties":{"formattedCitation":"\\uldash{(Abramovic et al., 2021)}","plainCitation":"(Abramovic et al., 2021)","dontUpdate":true,"noteIndex":0},"citationItems":[{"id":800,"uris":["http://zotero.org/users/3583561/items/XFZNNLEM"],"itemData":{"id":800,"type":"article-journal","abstract":"Prostate cancer (PCa) is the most commonly diagnosed neoplasm among men. Since it often resembles benign prostate hyperplasia (BPH), biomarkers with a higher differential value than PSA are required. Epigenetic biomarkers in liquid biopsies, especially miRNA, could address this challenge. The absolute expression of miR-375-3p, miR-182-5p, miR-21-5p, and miR-148a-3p were quantified in blood plasma and seminal plasma of 65 PCa and 58 BPH patients by digital droplet PCR. The sensitivity and specificity of these microRNAs were determined using ROC curve analysis. The higher expression of miR-182-5p and miR-375-3p in the blood plasma of PCa patients was statistically significant as compared to BPH (p = 0.0363 and 0.0226, respectively). Their combination achieved a specificity of 90.2% for predicting positive or negative biopsy results, while PSA cut-off of 4 µg/L performed with only 1.7% specificity. In seminal plasma, miR-375-3p, miR-182-5p, and miR-21-5p showed a statistically significantly higher expression in PCa patients with PSA &gt;10 µg/L compared to ones with PSA ≤10 µg/L. MiR-182-5p and miR-375-3p in blood plasma show higher performance than PSA in discriminating PCa from BPH. Seminal plasma requires further investigation as it represents an obvious source for PCa biomarker identification.","container-title":"Cancers","DOI":"10.3390/cancers13092068","ISSN":"2072-6694","issue":"9","journalAbbreviation":"Cancers (Basel)","language":"eng","note":"PMID: 33922968\nPMCID: PMC8123314","page":"2068","source":"PubMed","title":"MiR-182-5p and miR-375-3p Have Higher Performance Than PSA in Discriminating Prostate Cancer from Benign Prostate Hyperplasia","volume":"13","author":[{"family":"Abramovic","given":"Irena"},{"family":"Vrhovec","given":"Borna"},{"family":"Skara","given":"Lucija"},{"family":"Vrtaric","given":"Alen"},{"family":"Nikolac Gabaj","given":"Nora"},{"family":"Kulis","given":"Tomislav"},{"family":"Stimac","given":"Goran"},{"family":"Ljiljak","given":"Dejan"},{"family":"Ruzic","given":"Boris"},{"family":"Kastelan","given":"Zeljko"},{"family":"Kruslin","given":"Bozo"},{"family":"Bulic-Jakus","given":"Floriana"},{"family":"Ulamec","given":"Monika"},{"family":"Katusic-Bojanac","given":"Ana"},{"family":"Sincic","given":"Nino"}],"issued":{"date-parts":[["2021",4,25]]}}}],"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Abramovic et al., 2021</w:t>
            </w:r>
            <w:r w:rsidRPr="00B06723">
              <w:rPr>
                <w:rFonts w:ascii="Arial" w:hAnsi="Arial" w:cs="Arial"/>
                <w:color w:val="000000"/>
                <w:lang w:eastAsia="fr-FR"/>
              </w:rPr>
              <w:fldChar w:fldCharType="end"/>
            </w:r>
          </w:p>
        </w:tc>
        <w:tc>
          <w:tcPr>
            <w:tcW w:w="1084" w:type="dxa"/>
            <w:tcBorders>
              <w:top w:val="nil"/>
              <w:bottom w:val="nil"/>
            </w:tcBorders>
            <w:noWrap/>
            <w:hideMark/>
          </w:tcPr>
          <w:p w14:paraId="78EA33D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proofErr w:type="spellStart"/>
            <w:r w:rsidRPr="00B06723">
              <w:rPr>
                <w:rFonts w:ascii="Arial" w:eastAsia="Times New Roman" w:hAnsi="Arial" w:cs="Arial"/>
                <w:color w:val="000000"/>
                <w:sz w:val="20"/>
                <w:szCs w:val="20"/>
                <w:lang w:val="en-US" w:eastAsia="fr-FR"/>
              </w:rPr>
              <w:t>Croatie</w:t>
            </w:r>
            <w:proofErr w:type="spellEnd"/>
          </w:p>
        </w:tc>
        <w:tc>
          <w:tcPr>
            <w:tcW w:w="927" w:type="dxa"/>
            <w:tcBorders>
              <w:top w:val="nil"/>
              <w:bottom w:val="nil"/>
            </w:tcBorders>
          </w:tcPr>
          <w:p w14:paraId="4BD300E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78D6F42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65</w:t>
            </w:r>
          </w:p>
        </w:tc>
        <w:tc>
          <w:tcPr>
            <w:tcW w:w="927" w:type="dxa"/>
            <w:tcBorders>
              <w:top w:val="nil"/>
              <w:bottom w:val="nil"/>
            </w:tcBorders>
            <w:noWrap/>
            <w:hideMark/>
          </w:tcPr>
          <w:p w14:paraId="6960C87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58</w:t>
            </w:r>
          </w:p>
        </w:tc>
        <w:tc>
          <w:tcPr>
            <w:tcW w:w="1361" w:type="dxa"/>
            <w:tcBorders>
              <w:top w:val="nil"/>
              <w:bottom w:val="nil"/>
            </w:tcBorders>
            <w:noWrap/>
            <w:hideMark/>
          </w:tcPr>
          <w:p w14:paraId="40F770D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6FB0F2B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proofErr w:type="spellStart"/>
            <w:r w:rsidRPr="00B06723">
              <w:rPr>
                <w:rFonts w:ascii="Arial" w:eastAsia="Times New Roman" w:hAnsi="Arial" w:cs="Arial"/>
                <w:color w:val="000000"/>
                <w:sz w:val="20"/>
                <w:szCs w:val="20"/>
                <w:lang w:val="en-US" w:eastAsia="fr-FR"/>
              </w:rPr>
              <w:t>ddPCR</w:t>
            </w:r>
            <w:proofErr w:type="spellEnd"/>
          </w:p>
        </w:tc>
        <w:tc>
          <w:tcPr>
            <w:tcW w:w="1206" w:type="dxa"/>
            <w:tcBorders>
              <w:top w:val="nil"/>
              <w:bottom w:val="nil"/>
            </w:tcBorders>
            <w:noWrap/>
            <w:hideMark/>
          </w:tcPr>
          <w:p w14:paraId="725C7E6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 xml:space="preserve">miR-375 </w:t>
            </w:r>
          </w:p>
        </w:tc>
        <w:tc>
          <w:tcPr>
            <w:tcW w:w="717" w:type="dxa"/>
            <w:tcBorders>
              <w:top w:val="nil"/>
              <w:bottom w:val="nil"/>
            </w:tcBorders>
            <w:noWrap/>
            <w:hideMark/>
          </w:tcPr>
          <w:p w14:paraId="6169C4C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40.00</w:t>
            </w:r>
          </w:p>
        </w:tc>
        <w:tc>
          <w:tcPr>
            <w:tcW w:w="717" w:type="dxa"/>
            <w:tcBorders>
              <w:top w:val="nil"/>
              <w:bottom w:val="nil"/>
            </w:tcBorders>
            <w:noWrap/>
            <w:hideMark/>
          </w:tcPr>
          <w:p w14:paraId="31AEE94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80.70</w:t>
            </w:r>
          </w:p>
        </w:tc>
        <w:tc>
          <w:tcPr>
            <w:tcW w:w="550" w:type="dxa"/>
            <w:tcBorders>
              <w:top w:val="nil"/>
              <w:bottom w:val="nil"/>
            </w:tcBorders>
            <w:noWrap/>
            <w:hideMark/>
          </w:tcPr>
          <w:p w14:paraId="1E37FA3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26</w:t>
            </w:r>
          </w:p>
        </w:tc>
        <w:tc>
          <w:tcPr>
            <w:tcW w:w="472" w:type="dxa"/>
            <w:tcBorders>
              <w:top w:val="nil"/>
              <w:bottom w:val="nil"/>
            </w:tcBorders>
            <w:noWrap/>
            <w:hideMark/>
          </w:tcPr>
          <w:p w14:paraId="6488183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11</w:t>
            </w:r>
          </w:p>
        </w:tc>
        <w:tc>
          <w:tcPr>
            <w:tcW w:w="483" w:type="dxa"/>
            <w:tcBorders>
              <w:top w:val="nil"/>
              <w:bottom w:val="nil"/>
            </w:tcBorders>
            <w:noWrap/>
            <w:hideMark/>
          </w:tcPr>
          <w:p w14:paraId="5416650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47</w:t>
            </w:r>
          </w:p>
        </w:tc>
        <w:tc>
          <w:tcPr>
            <w:tcW w:w="483" w:type="dxa"/>
            <w:tcBorders>
              <w:top w:val="nil"/>
              <w:bottom w:val="nil"/>
            </w:tcBorders>
            <w:noWrap/>
            <w:hideMark/>
          </w:tcPr>
          <w:p w14:paraId="7A2D9B7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39</w:t>
            </w:r>
          </w:p>
        </w:tc>
        <w:tc>
          <w:tcPr>
            <w:tcW w:w="650" w:type="dxa"/>
            <w:tcBorders>
              <w:top w:val="nil"/>
              <w:bottom w:val="nil"/>
            </w:tcBorders>
          </w:tcPr>
          <w:p w14:paraId="42B24F1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0.62</w:t>
            </w:r>
          </w:p>
        </w:tc>
      </w:tr>
      <w:tr w:rsidR="00E84D7D" w:rsidRPr="00B06723" w14:paraId="684A7C5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CEB76D1" w14:textId="00F87B08"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{"citationID":"a4humica1c","properties":{"formattedCitation":"\\uldash{(Li et al., 2021)}","plainCitation":"(Li et al., 2021)","dontUpdate":true,"noteIndex":0},"citationItems":[{"id":797,"uris":["http://zotero.org/users/3583561/items/MNX96SV7"],"itemData":{"id":797,"type":"article-journal","abstract":"BACKGROUND: Novel and non-invasive biomarkers with higher sensitivity and specificity for the diagnosis of prostate cancer (PCa) is urgently needed. In this study, we used next-generation sequencing (NGS) to characterize the genome-wide exosomal miRNA expression profiling in urine specimens and explored the diagnostic potential of urinary exosomal miRNAs for PCa.\nMETHODS: Urinary exosomal microRNA expression profiling was performed by next-generation sequencing (NGS) and then validated by quantitative real-time PCR.\nRESULTS: Significant downregulation of urinary exosomal miR-375 was observed in PCa patients compared with healthy controls, while the expression levels of urinary exosomal miR-451a, miR-486-3p and miR-486-5p were found to be significantly up-regulated in the PCa patients. Furthermore, the expression level of urinary exosomal miR-375 showed a significant correlation with the clinical T-stage and bone metastasis of patients with PCa (P&lt;0.05). Receiver operator characteristic curve demonstrated that the urinary exosomal miR-375, miR-451a, miR-486-3p and miR-486-5p levels can be used to differentiate PCa patients from healthy controls, with area under the curves (AUCs) of 0.788, 0.757, 0.704 and 0.796, respectively. The urinary exosomal miR-375 was found to be superior in discriminating between localized and metastatic PCa with an AUC of 0.806. Moreover, PCa patients can be distinguished from patients with benign prostatic hyperplasia by using a panel combining urinary exosomal miR-375 and miR-451a with an AUC of 0.726.\nCONCLUSION: These findings demonstrate that the urinary exosomal miRNAs can serve as novel and non-invasive biomarkers for diagnosing and predicting the progression of PCa.","container-title":"Cancer Management and Research","DOI":"10.2147/CMAR.S272140","ISSN":"1179-1322","journalAbbreviation":"Cancer Manag Res","language":"eng","note":"PMID: 33442291\nPMCID: PMC7797303","page":"25-35","source":"PubMed","title":"Identification of Urinary Exosomal miRNAs for the Non-Invasive Diagnosis of Prostate Cancer","volume":"13","author":[{"family":"Li","given":"Zhuo"},{"family":"Li","given":"La-Xiu"},{"family":"Diao","given":"Yan-Jun"},{"family":"Wang","given":"Juan"},{"family":"Ye","given":"Yun"},{"family":"Hao","given":"Xiao-Ke"}],"issued":{"date-parts":[["2021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Li et al., 2021</w:t>
            </w:r>
            <w:r w:rsidRPr="00B06723">
              <w:rPr>
                <w:rFonts w:ascii="Arial" w:hAnsi="Arial" w:cs="Arial"/>
                <w:color w:val="000000"/>
                <w:lang w:eastAsia="fr-FR"/>
              </w:rPr>
              <w:fldChar w:fldCharType="end"/>
            </w:r>
          </w:p>
        </w:tc>
        <w:tc>
          <w:tcPr>
            <w:tcW w:w="1084" w:type="dxa"/>
            <w:tcBorders>
              <w:top w:val="nil"/>
              <w:bottom w:val="nil"/>
            </w:tcBorders>
            <w:noWrap/>
          </w:tcPr>
          <w:p w14:paraId="294B674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4CC5E98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5F9CDEF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49</w:t>
            </w:r>
          </w:p>
        </w:tc>
        <w:tc>
          <w:tcPr>
            <w:tcW w:w="927" w:type="dxa"/>
            <w:tcBorders>
              <w:top w:val="nil"/>
              <w:bottom w:val="nil"/>
            </w:tcBorders>
            <w:noWrap/>
          </w:tcPr>
          <w:p w14:paraId="2022C4C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1361" w:type="dxa"/>
            <w:tcBorders>
              <w:top w:val="nil"/>
              <w:bottom w:val="nil"/>
            </w:tcBorders>
            <w:noWrap/>
          </w:tcPr>
          <w:p w14:paraId="70E3193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Urine (exosomes)</w:t>
            </w:r>
          </w:p>
        </w:tc>
        <w:tc>
          <w:tcPr>
            <w:tcW w:w="1172" w:type="dxa"/>
            <w:tcBorders>
              <w:top w:val="nil"/>
              <w:bottom w:val="nil"/>
            </w:tcBorders>
          </w:tcPr>
          <w:p w14:paraId="534A816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6C526DE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315041C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6EF8C5C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58C997D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48D25CC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493E4A6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75B96B3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6554263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0.79</w:t>
            </w:r>
          </w:p>
        </w:tc>
      </w:tr>
      <w:tr w:rsidR="00E84D7D" w:rsidRPr="00B06723" w14:paraId="67693D9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C90310E" w14:textId="3671FE8C"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{"citationID":"a15bk4irapk","properties":{"formattedCitation":"\\uldash{(Li et al., 2021)}","plainCitation":"(Li et al., 2021)","dontUpdate":true,"noteIndex":0},"citationItems":[{"id":797,"uris":["http://zotero.org/users/3583561/items/MNX96SV7"],"itemData":{"id":797,"type":"article-journal","abstract":"BACKGROUND: Novel and non-invasive biomarkers with higher sensitivity and specificity for the diagnosis of prostate cancer (PCa) is urgently needed. In this study, we used next-generation sequencing (NGS) to characterize the genome-wide exosomal miRNA expression profiling in urine specimens and explored the diagnostic potential of urinary exosomal miRNAs for PCa.\nMETHODS: Urinary exosomal microRNA expression profiling was performed by next-generation sequencing (NGS) and then validated by quantitative real-time PCR.\nRESULTS: Significant downregulation of urinary exosomal miR-375 was observed in PCa patients compared with healthy controls, while the expression levels of urinary exosomal miR-451a, miR-486-3p and miR-486-5p were found to be significantly up-regulated in the PCa patients. Furthermore, the expression level of urinary exosomal miR-375 showed a significant correlation with the clinical T-stage and bone metastasis of patients with PCa (P&lt;0.05). Receiver operator characteristic curve demonstrated that the urinary exosomal miR-375, miR-451a, miR-486-3p and miR-486-5p levels can be used to differentiate PCa patients from healthy controls, with area under the curves (AUCs) of 0.788, 0.757, 0.704 and 0.796, respectively. The urinary exosomal miR-375 was found to be superior in discriminating between localized and metastatic PCa with an AUC of 0.806. Moreover, PCa patients can be distinguished from patients with benign prostatic hyperplasia by using a panel combining urinary exosomal miR-375 and miR-451a with an AUC of 0.726.\nCONCLUSION: These findings demonstrate that the urinary exosomal miRNAs can serve as novel and non-invasive biomarkers for diagnosing and predicting the progression of PCa.","container-title":"Cancer Management and Research","DOI":"10.2147/CMAR.S272140","ISSN":"1179-1322","journalAbbreviation":"Cancer Manag Res","language":"eng","note":"PMID: 33442291\nPMCID: PMC7797303","page":"25-35","source":"PubMed","title":"Identification of Urinary Exosomal miRNAs for the Non-Invasive Diagnosis of Prostate Cancer","volume":"13","author":[{"family":"Li","given":"Zhuo"},{"family":"Li","given":"La-Xiu"},{"family":"Diao","given":"Yan-Jun"},{"family":"Wang","given":"Juan"},{"family":"Ye","given":"Yun"},{"family":"Hao","given":"Xiao-Ke"}],"issued":{"date-parts":[["2021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Li et al., 2021</w:t>
            </w:r>
            <w:r w:rsidRPr="00B06723">
              <w:rPr>
                <w:rFonts w:ascii="Arial" w:hAnsi="Arial" w:cs="Arial"/>
                <w:color w:val="000000"/>
                <w:lang w:eastAsia="fr-FR"/>
              </w:rPr>
              <w:fldChar w:fldCharType="end"/>
            </w:r>
          </w:p>
        </w:tc>
        <w:tc>
          <w:tcPr>
            <w:tcW w:w="1084" w:type="dxa"/>
            <w:tcBorders>
              <w:top w:val="nil"/>
              <w:bottom w:val="nil"/>
            </w:tcBorders>
            <w:noWrap/>
          </w:tcPr>
          <w:p w14:paraId="038CAB3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4690E59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3FC4F42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49</w:t>
            </w:r>
          </w:p>
        </w:tc>
        <w:tc>
          <w:tcPr>
            <w:tcW w:w="927" w:type="dxa"/>
            <w:tcBorders>
              <w:top w:val="nil"/>
              <w:bottom w:val="nil"/>
            </w:tcBorders>
            <w:noWrap/>
          </w:tcPr>
          <w:p w14:paraId="01D7404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29</w:t>
            </w:r>
          </w:p>
        </w:tc>
        <w:tc>
          <w:tcPr>
            <w:tcW w:w="1361" w:type="dxa"/>
            <w:tcBorders>
              <w:top w:val="nil"/>
              <w:bottom w:val="nil"/>
            </w:tcBorders>
            <w:noWrap/>
          </w:tcPr>
          <w:p w14:paraId="39C9C1E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Urine (exosomes)</w:t>
            </w:r>
          </w:p>
        </w:tc>
        <w:tc>
          <w:tcPr>
            <w:tcW w:w="1172" w:type="dxa"/>
            <w:tcBorders>
              <w:top w:val="nil"/>
              <w:bottom w:val="nil"/>
            </w:tcBorders>
          </w:tcPr>
          <w:p w14:paraId="0C209A2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59C6B5D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373AD39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66D53E6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1DC88FE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32453C2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2521769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0FCF513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1F6B034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0.70</w:t>
            </w:r>
          </w:p>
        </w:tc>
      </w:tr>
      <w:tr w:rsidR="00E84D7D" w:rsidRPr="00B06723" w14:paraId="078F5F1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4B6BB2CD" w14:textId="4EBD1197"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{"citationID":"a1fla5uj5ej","properties":{"formattedCitation":"\\uldash{(Ciszkowicz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Ciszkowicz et al., 2020</w:t>
            </w:r>
            <w:r w:rsidRPr="00B06723">
              <w:rPr>
                <w:rFonts w:ascii="Arial" w:hAnsi="Arial" w:cs="Arial"/>
                <w:color w:val="000000"/>
                <w:lang w:eastAsia="fr-FR"/>
              </w:rPr>
              <w:fldChar w:fldCharType="end"/>
            </w:r>
          </w:p>
        </w:tc>
        <w:tc>
          <w:tcPr>
            <w:tcW w:w="1084" w:type="dxa"/>
            <w:tcBorders>
              <w:top w:val="nil"/>
              <w:bottom w:val="nil"/>
            </w:tcBorders>
            <w:noWrap/>
            <w:hideMark/>
          </w:tcPr>
          <w:p w14:paraId="787DA72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Poland</w:t>
            </w:r>
          </w:p>
        </w:tc>
        <w:tc>
          <w:tcPr>
            <w:tcW w:w="927" w:type="dxa"/>
            <w:tcBorders>
              <w:top w:val="nil"/>
              <w:bottom w:val="nil"/>
            </w:tcBorders>
          </w:tcPr>
          <w:p w14:paraId="0782425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2B37958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40</w:t>
            </w:r>
          </w:p>
        </w:tc>
        <w:tc>
          <w:tcPr>
            <w:tcW w:w="927" w:type="dxa"/>
            <w:tcBorders>
              <w:top w:val="nil"/>
              <w:bottom w:val="nil"/>
            </w:tcBorders>
            <w:noWrap/>
            <w:hideMark/>
          </w:tcPr>
          <w:p w14:paraId="0E6FAC3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62</w:t>
            </w:r>
          </w:p>
        </w:tc>
        <w:tc>
          <w:tcPr>
            <w:tcW w:w="1361" w:type="dxa"/>
            <w:tcBorders>
              <w:top w:val="nil"/>
              <w:bottom w:val="nil"/>
            </w:tcBorders>
            <w:noWrap/>
            <w:hideMark/>
          </w:tcPr>
          <w:p w14:paraId="6D2F7E5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520EDC2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1F21548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5CB4C95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73.00</w:t>
            </w:r>
          </w:p>
        </w:tc>
        <w:tc>
          <w:tcPr>
            <w:tcW w:w="717" w:type="dxa"/>
            <w:tcBorders>
              <w:top w:val="nil"/>
              <w:bottom w:val="nil"/>
            </w:tcBorders>
            <w:noWrap/>
            <w:hideMark/>
          </w:tcPr>
          <w:p w14:paraId="1E9DB41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90.00</w:t>
            </w:r>
          </w:p>
        </w:tc>
        <w:tc>
          <w:tcPr>
            <w:tcW w:w="550" w:type="dxa"/>
            <w:tcBorders>
              <w:top w:val="nil"/>
              <w:bottom w:val="nil"/>
            </w:tcBorders>
            <w:noWrap/>
            <w:hideMark/>
          </w:tcPr>
          <w:p w14:paraId="23130F9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29</w:t>
            </w:r>
          </w:p>
        </w:tc>
        <w:tc>
          <w:tcPr>
            <w:tcW w:w="472" w:type="dxa"/>
            <w:tcBorders>
              <w:top w:val="nil"/>
              <w:bottom w:val="nil"/>
            </w:tcBorders>
            <w:noWrap/>
            <w:hideMark/>
          </w:tcPr>
          <w:p w14:paraId="2D497B3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w:t>
            </w:r>
          </w:p>
        </w:tc>
        <w:tc>
          <w:tcPr>
            <w:tcW w:w="483" w:type="dxa"/>
            <w:tcBorders>
              <w:top w:val="nil"/>
              <w:bottom w:val="nil"/>
            </w:tcBorders>
            <w:noWrap/>
            <w:hideMark/>
          </w:tcPr>
          <w:p w14:paraId="77085CF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56</w:t>
            </w:r>
          </w:p>
        </w:tc>
        <w:tc>
          <w:tcPr>
            <w:tcW w:w="483" w:type="dxa"/>
            <w:tcBorders>
              <w:top w:val="nil"/>
              <w:bottom w:val="nil"/>
            </w:tcBorders>
            <w:noWrap/>
            <w:hideMark/>
          </w:tcPr>
          <w:p w14:paraId="16E28EB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11</w:t>
            </w:r>
          </w:p>
        </w:tc>
        <w:tc>
          <w:tcPr>
            <w:tcW w:w="650" w:type="dxa"/>
            <w:tcBorders>
              <w:top w:val="nil"/>
              <w:bottom w:val="nil"/>
            </w:tcBorders>
          </w:tcPr>
          <w:p w14:paraId="0C893A5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0.78</w:t>
            </w:r>
          </w:p>
        </w:tc>
      </w:tr>
      <w:tr w:rsidR="00E84D7D" w:rsidRPr="00B06723" w14:paraId="2FCEEB9A"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23ECBA5" w14:textId="7CAC1315"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{"citationID":"a1qouft6kh","properties":{"formattedCitation":"\\uldash{(Jin et al., 2020)}","plainCitation":"(Jin et al., 2020)","dontUpdate":true,"noteIndex":0},"citationItems":[{"id":790,"uris":["http://zotero.org/users/3583561/items/TY9SS6IY"],"itemData":{"id":790,"type":"article-journal","abstract":"Body fluids often contain freely circulating nucleic acids, many of which can be exploited as noninvasive tools for the diagnosis of cancer as well as for clinical prognostication. Identifying microRNAs (miRNAs) in subjects' blood with various malignancies means that they can serve as novel biomarkers for prostate cancer (PCa) diagnosis. This study analyzed serum-circulating miRNAs as a noninvasive biomarker in subjects with PCa and subjects with benign prostatic hyperplasia (BPH). In total, 31 PCa subjects and 31 BPH subjects were included, with the BPH group serving as the control group. RT-qPCR was used to quantify the levels of 10 miRNAs, which included miR-18a, miR-34a, miR-106b, miR-183, miR-200a, miR-301a, miR-141, miR-182, miR-200b, and miR-375 in serum. Statistical tests were used to assess the relationship between the levels of miRNAs and the clinicopathological data. A significant increase was observed in the relative expression ratios of miR-141, miR-182, miR-200b, and miR-375 (1.89-, 2.09-, 2.41-, and 2.27-folds, respectively) in the PCa group when compared to the BPH group. Based on the receiver operating characteristic (ROC) analysis, the largest area under the curve (AUC), 0.923, was associated with the miR-200b group, indicating effective diagnostic properties for this biomarker. A correlation was observed between total prostate-specific antigen (TPSA) and the relative levels of miR-141, miR-182, miR-200b, and miR-375. The Gleason score and the miR-200b expression level were also correlated. These results are consistent with previous studies regarding the possibility of differentiating between PCa subjects and healthy controls based on the detection of miRNA. The findings attest to a distinctive expression profile of miRNA that is detectable in the blood of PCa subjects, thereby confirming the role of miRNAs as diagnostic biomarkers for PCa.","container-title":"Journal of Immunology Research","DOI":"10.1155/2020/5873056","ISSN":"2314-7156","journalAbbreviation":"J Immunol Res","language":"eng","note":"PMID: 32455140\nPMCID: PMC7230987","page":"5873056","source":"PubMed","title":"Circulating miRNAs as Biomarkers for Prostate Cancer Diagnosis in Subjects with Benign Prostatic Hyperplasia","volume":"2020","author":[{"family":"Jin","given":"Wei"},{"family":"Fei","given":"Xiang"},{"family":"Wang","given":"Xia"},{"family":"Chen","given":"Fangjie"},{"family":"Song","given":"Yan"}],"issued":{"date-parts":[["2020"]]}}}],"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Jin et al., 2020</w:t>
            </w:r>
            <w:r w:rsidRPr="00B06723">
              <w:rPr>
                <w:rFonts w:ascii="Arial" w:hAnsi="Arial" w:cs="Arial"/>
                <w:color w:val="000000"/>
                <w:lang w:eastAsia="fr-FR"/>
              </w:rPr>
              <w:fldChar w:fldCharType="end"/>
            </w:r>
          </w:p>
        </w:tc>
        <w:tc>
          <w:tcPr>
            <w:tcW w:w="1084" w:type="dxa"/>
            <w:tcBorders>
              <w:top w:val="nil"/>
              <w:bottom w:val="nil"/>
            </w:tcBorders>
            <w:noWrap/>
          </w:tcPr>
          <w:p w14:paraId="3D6B4FE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58E4193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41A75E5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31</w:t>
            </w:r>
          </w:p>
        </w:tc>
        <w:tc>
          <w:tcPr>
            <w:tcW w:w="927" w:type="dxa"/>
            <w:tcBorders>
              <w:top w:val="nil"/>
              <w:bottom w:val="nil"/>
            </w:tcBorders>
            <w:noWrap/>
          </w:tcPr>
          <w:p w14:paraId="4CDA2A6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31</w:t>
            </w:r>
          </w:p>
        </w:tc>
        <w:tc>
          <w:tcPr>
            <w:tcW w:w="1361" w:type="dxa"/>
            <w:tcBorders>
              <w:top w:val="nil"/>
              <w:bottom w:val="nil"/>
            </w:tcBorders>
            <w:noWrap/>
          </w:tcPr>
          <w:p w14:paraId="6898CD1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4900BCE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3C5ACF3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02CB614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4F5F5F1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18CF089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598850A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5D8C114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617FCA7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7E87838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0.88</w:t>
            </w:r>
          </w:p>
        </w:tc>
      </w:tr>
      <w:tr w:rsidR="00E84D7D" w:rsidRPr="00B06723" w14:paraId="7DB18B7E"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0314717" w14:textId="4B49866F"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{"citationID":"a1tl6u6h1jh","properties":{"formattedCitation":"\\uldash{(Mowayeiz et al., 2019)}","plainCitation":"(Mowayeiz et al., 2019)","dontUpdate":true,"noteIndex":0},"citationItems":[{"id":2710,"uris":["http://zotero.org/users/3583561/items/76XP6MAS"],"itemData":{"id":2710,"type":"article-journal","abstract":"Objective: quantify the level of miRNAs (375) in serum of men with prostatic carcinoma in relation to different Histopathological grade (Gleason score) Method: This case control study 140 of males with an age range of 40 - 85 years was conducted divided on Prostate cancer newly diagnostic 35 cases and 35 of Prostate cancer patients under hormonal therapy cases and 35 benign Prostate hyperplasia (BPH) newly diagnosed patients and 35 apparently healthy control subjects. Results: There were a statistical trend towards increased in serum levels of Prostate specific antigen (tPSA, fPSA) also decreased %FPSA ratio in both Pca patients and HT-Pca as compared with BPH, control samples (p&lt;0.001). And increased in miR-375 expression in both Pca patients and HT-Pca when compared with benign prostatic hyperplasia and control groups (p&lt;0.001). The median fold change level of serum exosomal miR-375 expression were significantly highly (up-regulated) in Pca patients when comparable whit BPH group and healthy control (p&lt;0.001). Conclusions: The miRNA levels are a direct reflection of their expression in Pca. There was Positive correlation between miRNAs expression in serum samples and clinicopathological parameters such as tumor TNM stage and Gleason score and biochemical marker as prostate specific antigen (tPSA and fPSA).","archive":"Embase","container-title":"Indian Journal of Public Health Research and Development","DOI":"10.5958/0976-5506.2019.01791.1","ISSN":"0976-5506","issue":"7","journalAbbreviation":"Indian J. Public Health Res. Dev.","language":"English","page":"1425-1430","title":"The Serum Micro RNA-375 utility to diagnosis of men with prostate cancer in Iraq","URL":"https://www.embase.com/search/results?subaction=viewrecord&amp;id=L2002832006&amp;from=export","volume":"10","author":[{"family":"Mowayeiz","given":"K.J."},{"family":"Hasan","given":"N.A."},{"family":"Hussein","given":"A.G."},{"family":"Al-Wasiti","given":"E.A.R."},{"family":"Al-Nasiri","given":"U.S."}],"issued":{"date-parts":[["2019"]]}}}],"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Mowayeiz et al., 2019</w:t>
            </w:r>
            <w:r w:rsidRPr="00B06723">
              <w:rPr>
                <w:rFonts w:ascii="Arial" w:hAnsi="Arial" w:cs="Arial"/>
                <w:color w:val="000000"/>
                <w:lang w:eastAsia="fr-FR"/>
              </w:rPr>
              <w:fldChar w:fldCharType="end"/>
            </w:r>
          </w:p>
        </w:tc>
        <w:tc>
          <w:tcPr>
            <w:tcW w:w="1084" w:type="dxa"/>
            <w:tcBorders>
              <w:top w:val="nil"/>
              <w:bottom w:val="nil"/>
            </w:tcBorders>
            <w:noWrap/>
          </w:tcPr>
          <w:p w14:paraId="0C49CC0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Iraq</w:t>
            </w:r>
          </w:p>
        </w:tc>
        <w:tc>
          <w:tcPr>
            <w:tcW w:w="927" w:type="dxa"/>
            <w:tcBorders>
              <w:top w:val="nil"/>
              <w:bottom w:val="nil"/>
            </w:tcBorders>
          </w:tcPr>
          <w:p w14:paraId="0623F43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2C5BCDA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70</w:t>
            </w:r>
          </w:p>
        </w:tc>
        <w:tc>
          <w:tcPr>
            <w:tcW w:w="927" w:type="dxa"/>
            <w:tcBorders>
              <w:top w:val="nil"/>
              <w:bottom w:val="nil"/>
            </w:tcBorders>
            <w:noWrap/>
          </w:tcPr>
          <w:p w14:paraId="58EC341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70</w:t>
            </w:r>
          </w:p>
        </w:tc>
        <w:tc>
          <w:tcPr>
            <w:tcW w:w="1361" w:type="dxa"/>
            <w:tcBorders>
              <w:top w:val="nil"/>
              <w:bottom w:val="nil"/>
            </w:tcBorders>
            <w:noWrap/>
          </w:tcPr>
          <w:p w14:paraId="78971C5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Whole blood</w:t>
            </w:r>
          </w:p>
        </w:tc>
        <w:tc>
          <w:tcPr>
            <w:tcW w:w="1172" w:type="dxa"/>
            <w:tcBorders>
              <w:top w:val="nil"/>
              <w:bottom w:val="nil"/>
            </w:tcBorders>
          </w:tcPr>
          <w:p w14:paraId="5827021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6B88B12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760216B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96.00</w:t>
            </w:r>
          </w:p>
        </w:tc>
        <w:tc>
          <w:tcPr>
            <w:tcW w:w="717" w:type="dxa"/>
            <w:tcBorders>
              <w:top w:val="nil"/>
              <w:bottom w:val="nil"/>
            </w:tcBorders>
            <w:noWrap/>
          </w:tcPr>
          <w:p w14:paraId="492E3EA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94.00</w:t>
            </w:r>
          </w:p>
        </w:tc>
        <w:tc>
          <w:tcPr>
            <w:tcW w:w="550" w:type="dxa"/>
            <w:tcBorders>
              <w:top w:val="nil"/>
              <w:bottom w:val="nil"/>
            </w:tcBorders>
            <w:noWrap/>
          </w:tcPr>
          <w:p w14:paraId="0E25595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67</w:t>
            </w:r>
          </w:p>
        </w:tc>
        <w:tc>
          <w:tcPr>
            <w:tcW w:w="472" w:type="dxa"/>
            <w:tcBorders>
              <w:top w:val="nil"/>
              <w:bottom w:val="nil"/>
            </w:tcBorders>
            <w:noWrap/>
          </w:tcPr>
          <w:p w14:paraId="49E22B7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w:t>
            </w:r>
          </w:p>
        </w:tc>
        <w:tc>
          <w:tcPr>
            <w:tcW w:w="483" w:type="dxa"/>
            <w:tcBorders>
              <w:top w:val="nil"/>
              <w:bottom w:val="nil"/>
            </w:tcBorders>
            <w:noWrap/>
          </w:tcPr>
          <w:p w14:paraId="04A93BB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66</w:t>
            </w:r>
          </w:p>
        </w:tc>
        <w:tc>
          <w:tcPr>
            <w:tcW w:w="483" w:type="dxa"/>
            <w:tcBorders>
              <w:top w:val="nil"/>
              <w:bottom w:val="nil"/>
            </w:tcBorders>
            <w:noWrap/>
          </w:tcPr>
          <w:p w14:paraId="6B6373C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w:t>
            </w:r>
          </w:p>
        </w:tc>
        <w:tc>
          <w:tcPr>
            <w:tcW w:w="650" w:type="dxa"/>
            <w:tcBorders>
              <w:top w:val="nil"/>
              <w:bottom w:val="nil"/>
            </w:tcBorders>
          </w:tcPr>
          <w:p w14:paraId="615E676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0.96</w:t>
            </w:r>
          </w:p>
        </w:tc>
      </w:tr>
      <w:tr w:rsidR="00E84D7D" w:rsidRPr="00B06723" w14:paraId="0CD02A67"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1F416001" w14:textId="32FA0E3A"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{"citationID":"a28vb8keth4","properties":{"formattedCitation":"\\uldash{(D\\uc0\\u252{}lgero\\uc0\\u287{}lu &amp; Ero\\uc0\\u287{}lu, 2019)}","plainCitation":"(Dülgeroğlu &amp; Eroğlu, 2019)","dontUpdate":true,"noteIndex":0},"citationItems":[{"id":827,"uris":["http://zotero.org/users/3583561/items/V84XW7LE"],"itemData":{"id":827,"type":"article-journal","abstract":"Background In this study, the objective was to evaluate the diagnostic performance of some miRNAs, which were shown to have a diagnostic value for prostate cancer (PCa), and the effect of chronic prostatitis in distinguishing benign prostatic hyperplasia (BPH) and PCa. Materials and methods Serum levels of 11 miRNAs were investigated in BPH, chronic prostatitis and PCa patients. Measurements were performed using qRT-PCR. Results In the analysis, serum levels of miR-375, -125b-5p, -30c-5p, -26b-5p, and let-7c-5p were downregulated in cancer compared with non-cancer group and AUCs of these miRNAs in distinguishing PCa group from non-cancer group were calculated as 0.781, 0.782, 0.762, 0.874, and 0.845, respectively. AUC of the combination of miR-375 and miR-26b-5p in distinguishing PCa group from non-cancer group was 0.891, AUC of these two miRNAs in distinguishing PCa group from BPH group was 0.944. Conclusion In our study, 11 miRNAs were studied and 5 of these miRNAs were considered as biomarker candidates as these miRNAs, individually or combined, could be used to distinguish PCa from benign conditions. Furthermore, a higher specificity and sensitivity were obtained in distinguishing BPH and PCa when data for diagnostic potential of miRNAs were analyzed without including chronic prostatic group.","container-title":"Turkish Journal of Biochemistry","DOI":"10.1515/tjb-2018-0198","ISSN":"1303-829X","issue":"4","language":"en","note":"publisher: De Gruyter","page":"417-425","source":"www.degruyter.com","title":"Diagnostic performance of microRNAs in the circulation in differential diagnosis of BPH, chronic prostatitis and prostate cancer","URL":"https://www.degruyter.com/document/doi/10.1515/tjb-2018-0198/html","volume":"44","author":[{"family":"Dülgeroğlu","given":"Yakup"},{"family":"Eroğlu","given":"Onur"}],"accessed":{"date-parts":[["2023",5,18]]},"issued":{"date-parts":[["2019",8,1]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Dülgeroğlu &amp; Eroğlu, 2019</w:t>
            </w:r>
            <w:r w:rsidRPr="00B06723">
              <w:rPr>
                <w:rFonts w:ascii="Arial" w:hAnsi="Arial" w:cs="Arial"/>
                <w:color w:val="000000"/>
                <w:lang w:eastAsia="fr-FR"/>
              </w:rPr>
              <w:fldChar w:fldCharType="end"/>
            </w:r>
          </w:p>
        </w:tc>
        <w:tc>
          <w:tcPr>
            <w:tcW w:w="1084" w:type="dxa"/>
            <w:tcBorders>
              <w:top w:val="nil"/>
              <w:bottom w:val="nil"/>
            </w:tcBorders>
            <w:noWrap/>
            <w:hideMark/>
          </w:tcPr>
          <w:p w14:paraId="47BAA25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Turkey</w:t>
            </w:r>
          </w:p>
        </w:tc>
        <w:tc>
          <w:tcPr>
            <w:tcW w:w="927" w:type="dxa"/>
            <w:tcBorders>
              <w:top w:val="nil"/>
              <w:bottom w:val="nil"/>
            </w:tcBorders>
          </w:tcPr>
          <w:p w14:paraId="5DF231A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 HP</w:t>
            </w:r>
          </w:p>
        </w:tc>
        <w:tc>
          <w:tcPr>
            <w:tcW w:w="695" w:type="dxa"/>
            <w:tcBorders>
              <w:top w:val="nil"/>
              <w:bottom w:val="nil"/>
            </w:tcBorders>
            <w:noWrap/>
            <w:hideMark/>
          </w:tcPr>
          <w:p w14:paraId="2F66C16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33</w:t>
            </w:r>
          </w:p>
        </w:tc>
        <w:tc>
          <w:tcPr>
            <w:tcW w:w="927" w:type="dxa"/>
            <w:tcBorders>
              <w:top w:val="nil"/>
              <w:bottom w:val="nil"/>
            </w:tcBorders>
            <w:noWrap/>
            <w:hideMark/>
          </w:tcPr>
          <w:p w14:paraId="14169D6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35</w:t>
            </w:r>
          </w:p>
        </w:tc>
        <w:tc>
          <w:tcPr>
            <w:tcW w:w="1361" w:type="dxa"/>
            <w:tcBorders>
              <w:top w:val="nil"/>
              <w:bottom w:val="nil"/>
            </w:tcBorders>
            <w:noWrap/>
            <w:hideMark/>
          </w:tcPr>
          <w:p w14:paraId="42A1647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4498003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164D602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316D882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76.00</w:t>
            </w:r>
          </w:p>
        </w:tc>
        <w:tc>
          <w:tcPr>
            <w:tcW w:w="717" w:type="dxa"/>
            <w:tcBorders>
              <w:top w:val="nil"/>
              <w:bottom w:val="nil"/>
            </w:tcBorders>
            <w:noWrap/>
            <w:hideMark/>
          </w:tcPr>
          <w:p w14:paraId="520D733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74.00</w:t>
            </w:r>
          </w:p>
        </w:tc>
        <w:tc>
          <w:tcPr>
            <w:tcW w:w="550" w:type="dxa"/>
            <w:tcBorders>
              <w:top w:val="nil"/>
              <w:bottom w:val="nil"/>
            </w:tcBorders>
            <w:noWrap/>
            <w:hideMark/>
          </w:tcPr>
          <w:p w14:paraId="690B165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472" w:type="dxa"/>
            <w:tcBorders>
              <w:top w:val="nil"/>
              <w:bottom w:val="nil"/>
            </w:tcBorders>
            <w:noWrap/>
            <w:hideMark/>
          </w:tcPr>
          <w:p w14:paraId="6966163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w:t>
            </w:r>
          </w:p>
        </w:tc>
        <w:tc>
          <w:tcPr>
            <w:tcW w:w="483" w:type="dxa"/>
            <w:tcBorders>
              <w:top w:val="nil"/>
              <w:bottom w:val="nil"/>
            </w:tcBorders>
            <w:noWrap/>
            <w:hideMark/>
          </w:tcPr>
          <w:p w14:paraId="0C6F6F2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26</w:t>
            </w:r>
          </w:p>
        </w:tc>
        <w:tc>
          <w:tcPr>
            <w:tcW w:w="483" w:type="dxa"/>
            <w:tcBorders>
              <w:top w:val="nil"/>
              <w:bottom w:val="nil"/>
            </w:tcBorders>
            <w:noWrap/>
            <w:hideMark/>
          </w:tcPr>
          <w:p w14:paraId="2A0750C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w:t>
            </w:r>
          </w:p>
        </w:tc>
        <w:tc>
          <w:tcPr>
            <w:tcW w:w="650" w:type="dxa"/>
            <w:tcBorders>
              <w:top w:val="nil"/>
              <w:bottom w:val="nil"/>
            </w:tcBorders>
          </w:tcPr>
          <w:p w14:paraId="75B3C66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0.78</w:t>
            </w:r>
          </w:p>
        </w:tc>
      </w:tr>
      <w:tr w:rsidR="00E84D7D" w:rsidRPr="00B06723" w14:paraId="709B063F"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8F76CFD" w14:textId="137FD442"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{"citationID":"a16391hrrr7","properties":{"formattedCitation":"\\uldash{(Bidarra et al., 2019)}","plainCitation":"(Bidarra et al., 2019)","dontUpdate":true,"noteIndex":0},"citationItems":[{"id":791,"uris":["http://zotero.org/users/3583561/items/DDUYVHJX"],"itemData":{"id":791,"type":"article-journal","abstract":"Prostate Cancer (PCa) overdiagnosis and overtreatment, as a consequence of the limited specificity of current detection and prognostication methods, remains a major challenge in clinical practice. Therefore, development and validation of new molecular biomarkers amenable of detecting clinically significant disease is crucial. MicroRNAs (miRNA) deregulation is common in cancer, constituting potential non-invasive biomarkers for PCa detection and prognostication. Herein, we evaluated the screening and prognostic biomarker potential of two onco-microRNAs (miR-182-5p and miR-375-3p) in liquid biopsies (plasma) of PCa patients with clinically localized disease undergoing curative-intent treatment. A first cohort of 98 PCa and 15 normal prostates were used to assess PCa-specificity of miR-182-5p in tissues. A cohort composed of PCa 252 patients and 52 asymptomatic controls allowed for assessment of diagnostic and prognostic value in plasmas. After RNA extraction from tissue and plasma samples, cDNA synthesis specific for miRNAs was performed followed by measurement of miR-182-5p and miR-375-3p relative expression by RT-qPCR, using U6 snRNA gene as reference. MiR-182-5p was significantly overexpressed in PCa tissues (p &lt; 0.0001) and in plasma of PCa patients (p = 0.0020), compared to respective controls. Moreover, miR-182-5p expression identified PCa with AUC = 0.81 (95% CI: 0.725-0.892, p = 0.0001) in tissue and with 77% specificity and 99% NPV (AUC = 0.64, 95% CI: 0.561-0.709, p = 0.0021) in plasma. Both circulating miR-182-5p and miR-375-3p levels associated with more advanced pathologic stage and the former was significantly higher in patients that developed metastasis (p = 0.0145). Indeed, at the time of diagnosis, circulating miR-375-3p levels predicted which patients would develop metastasis, with almost 50% sensitivity, 76% specificity, and a NPV of 89% (AUC = 0.62, 95% CI: 0.529-0.713, p = 0.0149). We conclude that these two circulating miRNAs might be clinical useful as non-invasive biomarkers for detection and prediction of metastasis development at the diagnosis together with clinical variables used in routine practice.","container-title":"Frontiers in Oncology","DOI":"10.3389/fonc.2019.00900","ISSN":"2234-943X","journalAbbreviation":"Front Oncol","language":"eng","note":"PMID: 31572685\nPMCID: PMC6749029","page":"900","source":"PubMed","title":"Circulating MicroRNAs as Biomarkers for Prostate Cancer Detection and Metastasis Development Prediction","volume":"9","author":[{"family":"Bidarra","given":"David"},{"family":"Constâncio","given":"Vera"},{"family":"Barros-Silva","given":"Daniela"},{"family":"Ramalho-Carvalho","given":"João"},{"family":"Moreira-Barbosa","given":"Catarina"},{"family":"Antunes","given":"Luís"},{"family":"Maurício","given":"Joaquina"},{"family":"Oliveira","given":"Jorge"},{"family":"Henrique","given":"Rui"},{"family":"Jerónimo","given":"Carmen"}],"issued":{"date-parts":[["2019"]]}}}],"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Bidarra et al., 2019</w:t>
            </w:r>
            <w:r w:rsidRPr="00B06723">
              <w:rPr>
                <w:rFonts w:ascii="Arial" w:hAnsi="Arial" w:cs="Arial"/>
                <w:color w:val="000000"/>
                <w:lang w:eastAsia="fr-FR"/>
              </w:rPr>
              <w:fldChar w:fldCharType="end"/>
            </w:r>
          </w:p>
        </w:tc>
        <w:tc>
          <w:tcPr>
            <w:tcW w:w="1084" w:type="dxa"/>
            <w:tcBorders>
              <w:top w:val="nil"/>
              <w:bottom w:val="nil"/>
            </w:tcBorders>
            <w:noWrap/>
          </w:tcPr>
          <w:p w14:paraId="6B1F81D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Portugal</w:t>
            </w:r>
          </w:p>
        </w:tc>
        <w:tc>
          <w:tcPr>
            <w:tcW w:w="927" w:type="dxa"/>
            <w:tcBorders>
              <w:top w:val="nil"/>
              <w:bottom w:val="nil"/>
            </w:tcBorders>
          </w:tcPr>
          <w:p w14:paraId="32C5F1F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HP</w:t>
            </w:r>
          </w:p>
        </w:tc>
        <w:tc>
          <w:tcPr>
            <w:tcW w:w="695" w:type="dxa"/>
            <w:tcBorders>
              <w:top w:val="nil"/>
              <w:bottom w:val="nil"/>
            </w:tcBorders>
            <w:noWrap/>
          </w:tcPr>
          <w:p w14:paraId="6EE0AC8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252</w:t>
            </w:r>
          </w:p>
        </w:tc>
        <w:tc>
          <w:tcPr>
            <w:tcW w:w="927" w:type="dxa"/>
            <w:tcBorders>
              <w:top w:val="nil"/>
              <w:bottom w:val="nil"/>
            </w:tcBorders>
            <w:noWrap/>
          </w:tcPr>
          <w:p w14:paraId="3C46C2E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52</w:t>
            </w:r>
          </w:p>
        </w:tc>
        <w:tc>
          <w:tcPr>
            <w:tcW w:w="1361" w:type="dxa"/>
            <w:tcBorders>
              <w:top w:val="nil"/>
              <w:bottom w:val="nil"/>
            </w:tcBorders>
            <w:noWrap/>
          </w:tcPr>
          <w:p w14:paraId="01B0037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Plasma</w:t>
            </w:r>
          </w:p>
        </w:tc>
        <w:tc>
          <w:tcPr>
            <w:tcW w:w="1172" w:type="dxa"/>
            <w:tcBorders>
              <w:top w:val="nil"/>
              <w:bottom w:val="nil"/>
            </w:tcBorders>
          </w:tcPr>
          <w:p w14:paraId="5880D2A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611D366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B06723">
              <w:rPr>
                <w:rFonts w:ascii="Arial" w:eastAsia="Times New Roman" w:hAnsi="Arial" w:cs="Arial"/>
                <w:color w:val="000000"/>
                <w:sz w:val="20"/>
                <w:szCs w:val="20"/>
                <w:lang w:eastAsia="fr-FR"/>
              </w:rPr>
              <w:t>miR</w:t>
            </w:r>
            <w:proofErr w:type="gramEnd"/>
            <w:r w:rsidRPr="00B06723">
              <w:rPr>
                <w:rFonts w:ascii="Arial" w:eastAsia="Times New Roman" w:hAnsi="Arial" w:cs="Arial"/>
                <w:color w:val="000000"/>
                <w:sz w:val="20"/>
                <w:szCs w:val="20"/>
                <w:lang w:eastAsia="fr-FR"/>
              </w:rPr>
              <w:t>-375</w:t>
            </w:r>
          </w:p>
        </w:tc>
        <w:tc>
          <w:tcPr>
            <w:tcW w:w="717" w:type="dxa"/>
            <w:tcBorders>
              <w:top w:val="nil"/>
              <w:bottom w:val="nil"/>
            </w:tcBorders>
            <w:noWrap/>
          </w:tcPr>
          <w:p w14:paraId="38BC8B3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717" w:type="dxa"/>
            <w:tcBorders>
              <w:top w:val="nil"/>
              <w:bottom w:val="nil"/>
            </w:tcBorders>
            <w:noWrap/>
          </w:tcPr>
          <w:p w14:paraId="3436BF7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550" w:type="dxa"/>
            <w:tcBorders>
              <w:top w:val="nil"/>
              <w:bottom w:val="nil"/>
            </w:tcBorders>
            <w:noWrap/>
          </w:tcPr>
          <w:p w14:paraId="335BE7F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72" w:type="dxa"/>
            <w:tcBorders>
              <w:top w:val="nil"/>
              <w:bottom w:val="nil"/>
            </w:tcBorders>
            <w:noWrap/>
          </w:tcPr>
          <w:p w14:paraId="67DE96E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83" w:type="dxa"/>
            <w:tcBorders>
              <w:top w:val="nil"/>
              <w:bottom w:val="nil"/>
            </w:tcBorders>
            <w:noWrap/>
          </w:tcPr>
          <w:p w14:paraId="614F907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83" w:type="dxa"/>
            <w:tcBorders>
              <w:top w:val="nil"/>
              <w:bottom w:val="nil"/>
            </w:tcBorders>
            <w:noWrap/>
          </w:tcPr>
          <w:p w14:paraId="446593F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650" w:type="dxa"/>
            <w:tcBorders>
              <w:top w:val="nil"/>
              <w:bottom w:val="nil"/>
            </w:tcBorders>
          </w:tcPr>
          <w:p w14:paraId="07EB800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r>
      <w:tr w:rsidR="00E84D7D" w:rsidRPr="00B06723" w14:paraId="744C123A"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64B9534" w14:textId="66374489"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{"citationID":"a2bhcg20o1t","properties":{"formattedCitation":"\\uldash{(Porzycki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Porzycki et al., 2018</w:t>
            </w:r>
            <w:r w:rsidRPr="00B06723">
              <w:rPr>
                <w:rFonts w:ascii="Arial" w:hAnsi="Arial" w:cs="Arial"/>
                <w:color w:val="000000"/>
                <w:lang w:eastAsia="fr-FR"/>
              </w:rPr>
              <w:fldChar w:fldCharType="end"/>
            </w:r>
          </w:p>
        </w:tc>
        <w:tc>
          <w:tcPr>
            <w:tcW w:w="1084" w:type="dxa"/>
            <w:tcBorders>
              <w:top w:val="nil"/>
              <w:bottom w:val="nil"/>
            </w:tcBorders>
            <w:noWrap/>
          </w:tcPr>
          <w:p w14:paraId="6485B73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Poland</w:t>
            </w:r>
          </w:p>
        </w:tc>
        <w:tc>
          <w:tcPr>
            <w:tcW w:w="927" w:type="dxa"/>
            <w:tcBorders>
              <w:top w:val="nil"/>
              <w:bottom w:val="nil"/>
            </w:tcBorders>
          </w:tcPr>
          <w:p w14:paraId="78D35E2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5FD0B4F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927" w:type="dxa"/>
            <w:tcBorders>
              <w:top w:val="nil"/>
              <w:bottom w:val="nil"/>
            </w:tcBorders>
            <w:noWrap/>
          </w:tcPr>
          <w:p w14:paraId="64BB790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w:t>
            </w:r>
          </w:p>
        </w:tc>
        <w:tc>
          <w:tcPr>
            <w:tcW w:w="1361" w:type="dxa"/>
            <w:tcBorders>
              <w:top w:val="nil"/>
              <w:bottom w:val="nil"/>
            </w:tcBorders>
            <w:noWrap/>
          </w:tcPr>
          <w:p w14:paraId="071E700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35BBE99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04FD698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08C521F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100</w:t>
            </w:r>
          </w:p>
        </w:tc>
        <w:tc>
          <w:tcPr>
            <w:tcW w:w="717" w:type="dxa"/>
            <w:tcBorders>
              <w:top w:val="nil"/>
              <w:bottom w:val="nil"/>
            </w:tcBorders>
            <w:noWrap/>
          </w:tcPr>
          <w:p w14:paraId="0DB447F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75.00</w:t>
            </w:r>
          </w:p>
        </w:tc>
        <w:tc>
          <w:tcPr>
            <w:tcW w:w="550" w:type="dxa"/>
            <w:tcBorders>
              <w:top w:val="nil"/>
              <w:bottom w:val="nil"/>
            </w:tcBorders>
            <w:noWrap/>
          </w:tcPr>
          <w:p w14:paraId="583881C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20</w:t>
            </w:r>
          </w:p>
        </w:tc>
        <w:tc>
          <w:tcPr>
            <w:tcW w:w="472" w:type="dxa"/>
            <w:tcBorders>
              <w:top w:val="nil"/>
              <w:bottom w:val="nil"/>
            </w:tcBorders>
            <w:noWrap/>
          </w:tcPr>
          <w:p w14:paraId="0AD8777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w:t>
            </w:r>
          </w:p>
        </w:tc>
        <w:tc>
          <w:tcPr>
            <w:tcW w:w="483" w:type="dxa"/>
            <w:tcBorders>
              <w:top w:val="nil"/>
              <w:bottom w:val="nil"/>
            </w:tcBorders>
            <w:noWrap/>
          </w:tcPr>
          <w:p w14:paraId="2D6C73A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w:t>
            </w:r>
          </w:p>
        </w:tc>
        <w:tc>
          <w:tcPr>
            <w:tcW w:w="483" w:type="dxa"/>
            <w:tcBorders>
              <w:top w:val="nil"/>
              <w:bottom w:val="nil"/>
            </w:tcBorders>
            <w:noWrap/>
          </w:tcPr>
          <w:p w14:paraId="349D18C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w:t>
            </w:r>
          </w:p>
        </w:tc>
        <w:tc>
          <w:tcPr>
            <w:tcW w:w="650" w:type="dxa"/>
            <w:tcBorders>
              <w:top w:val="nil"/>
              <w:bottom w:val="nil"/>
            </w:tcBorders>
          </w:tcPr>
          <w:p w14:paraId="09CC0E4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0.91</w:t>
            </w:r>
          </w:p>
        </w:tc>
      </w:tr>
      <w:tr w:rsidR="00E84D7D" w:rsidRPr="00B06723" w14:paraId="25E7F952"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643EDF" w14:textId="3015FEB5"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{"citationID":"a1bub4o0b97","properties":{"formattedCitation":"\\uldash{(Endzeli\\uc0\\u326{}\\uc0\\u353{} et al., 2017)}","plainCitation":"(Endzeliņš et al., 2017)","dontUpdate":true,"noteIndex":0},"citationItems":[{"id":681,"uris":["http://zotero.org/users/3583561/items/8KUUU6GK"],"itemData":{"id":681,"type":"article-journal","abstract":"BACKGROUND: Circulating cell-free miRNAs have emerged as promising minimally-invasive biomarkers for early detection, prognosis and monitoring of cancer. They can exist in the bloodstream incorporated into extracellular vesicles (EVs) and ribonucleoprotein complexes. However, it is still debated if EVs contain biologically meaningful amounts of miRNAs and may provide a better source of miRNA biomarkers than whole plasma. The aim of this study was to systematically compare the diagnostic potential of prostate cancer-associated miRNAs in whole plasma and in plasma EVs.\nMETHODS: RNA was isolated from whole plasma and plasma EV samples from a well characterised cohort of 50 patient with prostate cancer (PC) and 22 patients with benign prostatic hyperplasia (BPH). Nine miRNAs known to have a diagnostic potential for PC in cell-free blood were quantified by RT-qPCR and the relative quantities were compared between patients with PC and BPH and between PC patients with Gleason score ≥ 8 and ≤6.\nRESULTS: Only a small fraction of the total cell-free miRNA was recovered from the plasma EVs, however the EV-incorporated and whole plasma cell-free miRNA profiles were clearly different. Four of the miRNAs analysed showed a diagnostic potential in our patient cohort. MiR-375 could differentiate between PC and BPH patients when analysed in the whole plasma, while miR-200c-3p and miR-21-5p performed better when analysed in plasma EVs. EV-incorporated but not whole plasma Let-7a-5p level could distinguish PC patients with Gleason score ≥ 8 vs ≤6.\nCONCLUSIONS: This study demonstrates that for some miRNA biomarkers EVs provide a more consistent source of RNA than whole plasma, while other miRNAs show better diagnostic performance when tested in the whole plasma.","container-title":"BMC cancer","DOI":"10.1186/s12885-017-3737-z","ISSN":"1471-2407","issue":"1","journalAbbreviation":"BMC Cancer","language":"eng","note":"PMID: 29121858\nPMCID: PMC5679326","page":"730","source":"PubMed","title":"Detection of circulating miRNAs: comparative analysis of extracellular vesicle-incorporated miRNAs and cell-free miRNAs in whole plasma of prostate cancer patients","title-short":"Detection of circulating miRNAs","volume":"17","author":[{"family":"Endzeliņš","given":"Edgars"},{"family":"Berger","given":"Andreas"},{"family":"Melne","given":"Vita"},{"family":"Bajo-Santos","given":"Cristina"},{"family":"Soboļevska","given":"Kristīne"},{"family":"Ābols","given":"Artūrs"},{"family":"Rodriguez","given":"Marta"},{"family":"Šantare","given":"Daiga"},{"family":"Rudņickiha","given":"Anastasija"},{"family":"Lietuvietis","given":"Vilnis"},{"family":"Llorente","given":"Alicia"},{"family":"Linē","given":"Aija"}],"issued":{"date-parts":[["2017",11,9]]}}}],"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Endzeliņš et al., 2017</w:t>
            </w:r>
            <w:r w:rsidRPr="00B06723">
              <w:rPr>
                <w:rFonts w:ascii="Arial" w:hAnsi="Arial" w:cs="Arial"/>
                <w:color w:val="000000"/>
                <w:lang w:eastAsia="fr-FR"/>
              </w:rPr>
              <w:fldChar w:fldCharType="end"/>
            </w:r>
          </w:p>
        </w:tc>
        <w:tc>
          <w:tcPr>
            <w:tcW w:w="1084" w:type="dxa"/>
            <w:tcBorders>
              <w:top w:val="nil"/>
              <w:bottom w:val="nil"/>
            </w:tcBorders>
            <w:noWrap/>
          </w:tcPr>
          <w:p w14:paraId="75BA7F7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B06723">
              <w:rPr>
                <w:rFonts w:ascii="Arial" w:eastAsia="Times New Roman" w:hAnsi="Arial" w:cs="Arial"/>
                <w:color w:val="000000"/>
                <w:sz w:val="20"/>
                <w:szCs w:val="20"/>
                <w:lang w:eastAsia="fr-FR"/>
              </w:rPr>
              <w:t>Latvia</w:t>
            </w:r>
            <w:proofErr w:type="spellEnd"/>
          </w:p>
        </w:tc>
        <w:tc>
          <w:tcPr>
            <w:tcW w:w="927" w:type="dxa"/>
            <w:tcBorders>
              <w:top w:val="nil"/>
              <w:bottom w:val="nil"/>
            </w:tcBorders>
          </w:tcPr>
          <w:p w14:paraId="0EB8879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BPH</w:t>
            </w:r>
          </w:p>
        </w:tc>
        <w:tc>
          <w:tcPr>
            <w:tcW w:w="695" w:type="dxa"/>
            <w:tcBorders>
              <w:top w:val="nil"/>
              <w:bottom w:val="nil"/>
            </w:tcBorders>
            <w:noWrap/>
          </w:tcPr>
          <w:p w14:paraId="58368ED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50</w:t>
            </w:r>
          </w:p>
        </w:tc>
        <w:tc>
          <w:tcPr>
            <w:tcW w:w="927" w:type="dxa"/>
            <w:tcBorders>
              <w:top w:val="nil"/>
              <w:bottom w:val="nil"/>
            </w:tcBorders>
            <w:noWrap/>
          </w:tcPr>
          <w:p w14:paraId="40127F8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22</w:t>
            </w:r>
          </w:p>
        </w:tc>
        <w:tc>
          <w:tcPr>
            <w:tcW w:w="1361" w:type="dxa"/>
            <w:tcBorders>
              <w:top w:val="nil"/>
              <w:bottom w:val="nil"/>
            </w:tcBorders>
            <w:noWrap/>
          </w:tcPr>
          <w:p w14:paraId="20B4664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Plasma (</w:t>
            </w:r>
            <w:proofErr w:type="spellStart"/>
            <w:r w:rsidRPr="00B06723">
              <w:rPr>
                <w:rFonts w:ascii="Arial" w:eastAsia="Times New Roman" w:hAnsi="Arial" w:cs="Arial"/>
                <w:color w:val="000000"/>
                <w:sz w:val="20"/>
                <w:szCs w:val="20"/>
                <w:lang w:eastAsia="fr-FR"/>
              </w:rPr>
              <w:t>exsosomes</w:t>
            </w:r>
            <w:proofErr w:type="spellEnd"/>
            <w:r w:rsidRPr="00B06723">
              <w:rPr>
                <w:rFonts w:ascii="Arial" w:eastAsia="Times New Roman" w:hAnsi="Arial" w:cs="Arial"/>
                <w:color w:val="000000"/>
                <w:sz w:val="20"/>
                <w:szCs w:val="20"/>
                <w:lang w:eastAsia="fr-FR"/>
              </w:rPr>
              <w:t>)</w:t>
            </w:r>
          </w:p>
        </w:tc>
        <w:tc>
          <w:tcPr>
            <w:tcW w:w="1172" w:type="dxa"/>
            <w:tcBorders>
              <w:top w:val="nil"/>
              <w:bottom w:val="nil"/>
            </w:tcBorders>
          </w:tcPr>
          <w:p w14:paraId="43C520D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RT-</w:t>
            </w:r>
            <w:proofErr w:type="spellStart"/>
            <w:r w:rsidRPr="00B06723">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C88B60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MiR-375</w:t>
            </w:r>
          </w:p>
        </w:tc>
        <w:tc>
          <w:tcPr>
            <w:tcW w:w="717" w:type="dxa"/>
            <w:tcBorders>
              <w:top w:val="nil"/>
              <w:bottom w:val="nil"/>
            </w:tcBorders>
            <w:noWrap/>
          </w:tcPr>
          <w:p w14:paraId="23BC556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717" w:type="dxa"/>
            <w:tcBorders>
              <w:top w:val="nil"/>
              <w:bottom w:val="nil"/>
            </w:tcBorders>
            <w:noWrap/>
          </w:tcPr>
          <w:p w14:paraId="0B24497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550" w:type="dxa"/>
            <w:tcBorders>
              <w:top w:val="nil"/>
              <w:bottom w:val="nil"/>
            </w:tcBorders>
            <w:noWrap/>
          </w:tcPr>
          <w:p w14:paraId="0A237BA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72" w:type="dxa"/>
            <w:tcBorders>
              <w:top w:val="nil"/>
              <w:bottom w:val="nil"/>
            </w:tcBorders>
            <w:noWrap/>
          </w:tcPr>
          <w:p w14:paraId="0E4A8CB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83" w:type="dxa"/>
            <w:tcBorders>
              <w:top w:val="nil"/>
              <w:bottom w:val="nil"/>
            </w:tcBorders>
            <w:noWrap/>
          </w:tcPr>
          <w:p w14:paraId="5D04BE9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483" w:type="dxa"/>
            <w:tcBorders>
              <w:top w:val="nil"/>
              <w:bottom w:val="nil"/>
            </w:tcBorders>
            <w:noWrap/>
          </w:tcPr>
          <w:p w14:paraId="1A10819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U</w:t>
            </w:r>
          </w:p>
        </w:tc>
        <w:tc>
          <w:tcPr>
            <w:tcW w:w="650" w:type="dxa"/>
            <w:tcBorders>
              <w:top w:val="nil"/>
              <w:bottom w:val="nil"/>
            </w:tcBorders>
          </w:tcPr>
          <w:p w14:paraId="06487CC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B06723">
              <w:rPr>
                <w:rFonts w:ascii="Arial" w:eastAsia="Times New Roman" w:hAnsi="Arial" w:cs="Arial"/>
                <w:color w:val="000000"/>
                <w:sz w:val="20"/>
                <w:szCs w:val="20"/>
                <w:lang w:eastAsia="fr-FR"/>
              </w:rPr>
              <w:t>0.68</w:t>
            </w:r>
          </w:p>
        </w:tc>
      </w:tr>
      <w:tr w:rsidR="00E84D7D" w:rsidRPr="00B06723" w14:paraId="2C93B753"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F549182" w14:textId="5CD7381A"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{"citationID":"a2edn73qa0r","properties":{"formattedCitation":"\\uldash{(Foj et al., 2017)}","plainCitation":"(Foj et al., 2017)","dontUpdate":true,"noteIndex":0},"citationItems":[{"id":704,"uris":["http://zotero.org/users/3583561/items/MDGVUG48"],"itemData":{"id":704,"type":"article-journal","abstract":"BACKGROUND: MicroRNAs (miRNAs) are non-coding small RNAs, involved in post-transcriptional regulation of many target genes.\nMETHODS: Five miRNAs that have been consistently found deregulated in PCa (miR-21, miR-141, miR-214, miR-375, and let-7c) were analyzed in urinary pellets from 60 prostate cancer (PCa) patients and 10 healthy subjects by qRT-PCR. Besides, urinary exosomes were isolated by differential centrifugation and analyzed for those miRNAs.\nRESULTS: Significant upregulation of miR-21, miR-141, and miR-375 was found comparing PCa patients with healthy subjects in urinary pellets, while miR-214 was found significantly downregulated. Regarding urinary exosomes, miR-21 and miR-375 were also significantly upregulated in PCa but no differences were found for miR-141. Significant differences were found for let-7c in PCa in urinary exosomes while no differences were observed in urinary pellets. A panel combining miR-21 and miR-375 is suggested as the best combination to distinguish PCa patients and healthy subjects, with an AUC of 0.872. Furthermore, the association of miRNAs with clinicopathological characteristics was investigated. MiR-141 resulted significantly correlated with Gleason score in urinary pellets and let-7c with clinical stage in urinary exosomes. Additionally, miR-21, miR-141, and miR-214 were found significantly deregulated in intermediate/high-risk PCa versus low-risk/healthy subjects in urinary pellets. Significant differences between both groups were found in urinary exosomes for miR-21, miR-375, and let-7c.\nCONCLUSIONS: These findings suggest that the analysis of miRNAs-especially miRNA-21 and miR-375- in urine could be useful as biomarkers in PCa. Prostate 77: 573-583, 2017. © 2016 Wiley Periodicals, Inc.","container-title":"The Prostate","DOI":"10.1002/pros.23295","ISSN":"1097-0045","issue":"6","journalAbbreviation":"Prostate","language":"eng","note":"PMID: 27990656","page":"573-583","source":"PubMed","title":"Exosomal and Non-Exosomal Urinary miRNAs in Prostate Cancer Detection and Prognosis","volume":"77","author":[{"family":"Foj","given":"Laura"},{"family":"Ferrer","given":"Ferran"},{"family":"Serra","given":"Marta"},{"family":"Arévalo","given":"Antonio"},{"family":"Gavagnach","given":"Montserrat"},{"family":"Giménez","given":"Nuria"},{"family":"Filella","given":"Xavier"}],"issued":{"date-parts":[["2017",5]]}}}],"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Foj et al., 2017</w:t>
            </w:r>
            <w:r w:rsidRPr="00B06723">
              <w:rPr>
                <w:rFonts w:ascii="Arial" w:hAnsi="Arial" w:cs="Arial"/>
                <w:color w:val="000000"/>
                <w:lang w:eastAsia="fr-FR"/>
              </w:rPr>
              <w:fldChar w:fldCharType="end"/>
            </w:r>
          </w:p>
        </w:tc>
        <w:tc>
          <w:tcPr>
            <w:tcW w:w="1084" w:type="dxa"/>
            <w:tcBorders>
              <w:top w:val="nil"/>
              <w:bottom w:val="nil"/>
            </w:tcBorders>
            <w:noWrap/>
          </w:tcPr>
          <w:p w14:paraId="2CECF4A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Spain</w:t>
            </w:r>
          </w:p>
        </w:tc>
        <w:tc>
          <w:tcPr>
            <w:tcW w:w="927" w:type="dxa"/>
            <w:tcBorders>
              <w:top w:val="nil"/>
              <w:bottom w:val="nil"/>
            </w:tcBorders>
          </w:tcPr>
          <w:p w14:paraId="19733BA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bottom w:val="nil"/>
            </w:tcBorders>
            <w:noWrap/>
          </w:tcPr>
          <w:p w14:paraId="74C384D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60</w:t>
            </w:r>
          </w:p>
        </w:tc>
        <w:tc>
          <w:tcPr>
            <w:tcW w:w="927" w:type="dxa"/>
            <w:tcBorders>
              <w:top w:val="nil"/>
              <w:bottom w:val="nil"/>
            </w:tcBorders>
            <w:noWrap/>
          </w:tcPr>
          <w:p w14:paraId="0BCB7DB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w:t>
            </w:r>
          </w:p>
        </w:tc>
        <w:tc>
          <w:tcPr>
            <w:tcW w:w="1361" w:type="dxa"/>
            <w:tcBorders>
              <w:top w:val="nil"/>
              <w:bottom w:val="nil"/>
            </w:tcBorders>
            <w:noWrap/>
          </w:tcPr>
          <w:p w14:paraId="18A311C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Urine (exosomes)</w:t>
            </w:r>
          </w:p>
        </w:tc>
        <w:tc>
          <w:tcPr>
            <w:tcW w:w="1172" w:type="dxa"/>
            <w:tcBorders>
              <w:top w:val="nil"/>
              <w:bottom w:val="nil"/>
            </w:tcBorders>
          </w:tcPr>
          <w:p w14:paraId="42EDC48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3699429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309C62A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bottom w:val="nil"/>
            </w:tcBorders>
            <w:noWrap/>
          </w:tcPr>
          <w:p w14:paraId="7A80E18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bottom w:val="nil"/>
            </w:tcBorders>
            <w:noWrap/>
          </w:tcPr>
          <w:p w14:paraId="3D57E6F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bottom w:val="nil"/>
            </w:tcBorders>
            <w:noWrap/>
          </w:tcPr>
          <w:p w14:paraId="7045123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24D8721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bottom w:val="nil"/>
            </w:tcBorders>
            <w:noWrap/>
          </w:tcPr>
          <w:p w14:paraId="1E9DB97E"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bottom w:val="nil"/>
            </w:tcBorders>
          </w:tcPr>
          <w:p w14:paraId="23E1E82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0.80</w:t>
            </w:r>
          </w:p>
        </w:tc>
      </w:tr>
      <w:tr w:rsidR="00E84D7D" w:rsidRPr="00B06723" w14:paraId="4985B0F4"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39ECA380" w14:textId="04BD9DAD"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{"citationID":"a27l53688lr","properties":{"formattedCitation":"\\uldash{(Gao et al., 2016)}","plainCitation":"(Gao et al., 2016)","dontUpdate":true,"noteIndex":0},"citationItems":[{"id":694,"uris":["http://zotero.org/users/3583561/items/ATU2QLD2"],"itemData":{"id":694,"type":"article-journal","abstract":"To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Gao et al., 2016</w:t>
            </w:r>
            <w:r w:rsidRPr="00B06723">
              <w:rPr>
                <w:rFonts w:ascii="Arial" w:hAnsi="Arial" w:cs="Arial"/>
                <w:color w:val="000000"/>
                <w:lang w:eastAsia="fr-FR"/>
              </w:rPr>
              <w:fldChar w:fldCharType="end"/>
            </w:r>
          </w:p>
        </w:tc>
        <w:tc>
          <w:tcPr>
            <w:tcW w:w="1084" w:type="dxa"/>
            <w:tcBorders>
              <w:top w:val="nil"/>
              <w:bottom w:val="nil"/>
            </w:tcBorders>
            <w:noWrap/>
            <w:hideMark/>
          </w:tcPr>
          <w:p w14:paraId="00B9D92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China</w:t>
            </w:r>
          </w:p>
        </w:tc>
        <w:tc>
          <w:tcPr>
            <w:tcW w:w="927" w:type="dxa"/>
            <w:tcBorders>
              <w:top w:val="nil"/>
              <w:bottom w:val="nil"/>
            </w:tcBorders>
          </w:tcPr>
          <w:p w14:paraId="74CD79E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09CB462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57</w:t>
            </w:r>
          </w:p>
        </w:tc>
        <w:tc>
          <w:tcPr>
            <w:tcW w:w="927" w:type="dxa"/>
            <w:tcBorders>
              <w:top w:val="nil"/>
              <w:bottom w:val="nil"/>
            </w:tcBorders>
            <w:noWrap/>
            <w:hideMark/>
          </w:tcPr>
          <w:p w14:paraId="564E148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28</w:t>
            </w:r>
          </w:p>
        </w:tc>
        <w:tc>
          <w:tcPr>
            <w:tcW w:w="1361" w:type="dxa"/>
            <w:tcBorders>
              <w:top w:val="nil"/>
              <w:bottom w:val="nil"/>
            </w:tcBorders>
            <w:noWrap/>
            <w:hideMark/>
          </w:tcPr>
          <w:p w14:paraId="0C75CC1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1E237AC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5229F7C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2F12DB0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75.40</w:t>
            </w:r>
          </w:p>
        </w:tc>
        <w:tc>
          <w:tcPr>
            <w:tcW w:w="717" w:type="dxa"/>
            <w:tcBorders>
              <w:top w:val="nil"/>
              <w:bottom w:val="nil"/>
            </w:tcBorders>
            <w:noWrap/>
            <w:hideMark/>
          </w:tcPr>
          <w:p w14:paraId="016906DE"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75.00</w:t>
            </w:r>
          </w:p>
        </w:tc>
        <w:tc>
          <w:tcPr>
            <w:tcW w:w="550" w:type="dxa"/>
            <w:tcBorders>
              <w:top w:val="nil"/>
              <w:bottom w:val="nil"/>
            </w:tcBorders>
            <w:noWrap/>
            <w:hideMark/>
          </w:tcPr>
          <w:p w14:paraId="3539210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43</w:t>
            </w:r>
          </w:p>
        </w:tc>
        <w:tc>
          <w:tcPr>
            <w:tcW w:w="472" w:type="dxa"/>
            <w:tcBorders>
              <w:top w:val="nil"/>
              <w:bottom w:val="nil"/>
            </w:tcBorders>
            <w:noWrap/>
            <w:hideMark/>
          </w:tcPr>
          <w:p w14:paraId="6BB4F41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483" w:type="dxa"/>
            <w:tcBorders>
              <w:top w:val="nil"/>
              <w:bottom w:val="nil"/>
            </w:tcBorders>
            <w:noWrap/>
            <w:hideMark/>
          </w:tcPr>
          <w:p w14:paraId="180506F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21</w:t>
            </w:r>
          </w:p>
        </w:tc>
        <w:tc>
          <w:tcPr>
            <w:tcW w:w="483" w:type="dxa"/>
            <w:tcBorders>
              <w:top w:val="nil"/>
              <w:bottom w:val="nil"/>
            </w:tcBorders>
            <w:noWrap/>
            <w:hideMark/>
          </w:tcPr>
          <w:p w14:paraId="13E7E8B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17</w:t>
            </w:r>
          </w:p>
        </w:tc>
        <w:tc>
          <w:tcPr>
            <w:tcW w:w="650" w:type="dxa"/>
            <w:tcBorders>
              <w:top w:val="nil"/>
              <w:bottom w:val="nil"/>
            </w:tcBorders>
          </w:tcPr>
          <w:p w14:paraId="42D6E7C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0.76</w:t>
            </w:r>
          </w:p>
        </w:tc>
      </w:tr>
      <w:tr w:rsidR="00E84D7D" w:rsidRPr="00B06723" w14:paraId="66079BC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8E25250" w14:textId="75CF0E84"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lastRenderedPageBreak/>
              <w:fldChar w:fldCharType="begin"/>
            </w:r>
            <w:r w:rsidRPr="00B06723">
              <w:rPr>
                <w:rFonts w:ascii="Arial" w:eastAsia="Times New Roman" w:hAnsi="Arial" w:cs="Arial"/>
                <w:color w:val="000000"/>
                <w:sz w:val="20"/>
                <w:szCs w:val="20"/>
                <w:lang w:eastAsia="fr-FR"/>
              </w:rPr>
              <w:instrText xml:space="preserve"> ADDIN ZOTERO_ITEM CSL_CITATION {"citationID":"a26ioa0qt73","properties":{"formattedCitation":"\\uldash{(Stuopelyte et al., 2016)}","plainCitation":"(Stuopelyte et al., 2016)","dontUpdate":true,"noteIndex":0},"citationItems":[{"id":499,"uris":["http://zotero.org/users/3583561/items/UZ33BSI2","http://zotero.org/users/3583561/items/48YIEIDR"],"itemData":{"id":499,"type":"article-journal","abstract":"BACKGROUND: In this paper, the utility of urine-circulating microRNAs (miRNAs) as the potential biomarker of prostate cancer (PCa), the second most prevalent male cancer worldwide, was evaluated.\nMETHODS: Cancerous (N=56) and non-cancerous (N=16) prostate tissues were analysed on TaqMan Low Density Array, with the initial screening of 754 miRNAs in a subset of the samples. The abundance of selected miRNAs was analysed in urine specimens from two independent cohorts of patients with PCa (N=215 overall), benign prostatic hyperplasia (BPH; N=23), and asymptomatic controls (ASC; N=62) by means of quantitative reverse transcription PCR.\nRESULTS: Over 100 miRNAs were found deregulated in PCa as compared with non-cancerous prostate tissue. After thorough validation, four miRNAs were selected for the analysis in urine specimens. The abundance of miR-148a and miR-375 in urine was identified as specific biomarkers of PCa in both cohorts. Combined analysis of urine-circulating miR-148a and miR-375 was highly sensitive and specific for PCa in both cohorts (AUC=0.79 and 0.84) and strongly improved the diagnostic power of the PSA test (AUC=0.85, cohort PCa1), including the grey diagnostic zone (AUC=0.90).\nCONCLUSIONS: Quantitative measurement of urine-circulating miR-148a and miR-375 can serve as the non-invasive tool for sensitive and specific detection of PCa.","container-title":"British Journal of Cancer","DOI":"10.1038/bjc.2016.233","ISSN":"1532-1827","issue":"6","journalAbbreviation":"Br J Cancer","language":"eng","note":"PMID: 27490805\nPMCID: PMC5023772","page":"707-715","source":"PubMed","title":"The utility of urine-circulating miRNAs for detection of prostate cancer","volume":"115","author":[{"family":"Stuopelyte","given":"Kristina"},{"family":"Daniunaite","given":"Kristina"},{"family":"Bakavicius","given":"Arnas"},{"family":"Lazutka","given":"Juozas R."},{"family":"Jankevicius","given":"Feliksas"},{"family":"Jarmalaite","given":"Sonata"}],"issued":{"date-parts":[["2016",9,6]]}}}],"schema":"https://github.com/citation-style-language/schema/raw/master/csl-citation.json"}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Stuopelyte et al., 2016</w:t>
            </w:r>
            <w:r w:rsidRPr="00B06723">
              <w:rPr>
                <w:rFonts w:ascii="Arial" w:hAnsi="Arial" w:cs="Arial"/>
                <w:color w:val="000000"/>
                <w:lang w:eastAsia="fr-FR"/>
              </w:rPr>
              <w:fldChar w:fldCharType="end"/>
            </w:r>
          </w:p>
        </w:tc>
        <w:tc>
          <w:tcPr>
            <w:tcW w:w="1084" w:type="dxa"/>
            <w:tcBorders>
              <w:top w:val="nil"/>
              <w:bottom w:val="nil"/>
            </w:tcBorders>
            <w:noWrap/>
          </w:tcPr>
          <w:p w14:paraId="0124505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Lithuania</w:t>
            </w:r>
          </w:p>
        </w:tc>
        <w:tc>
          <w:tcPr>
            <w:tcW w:w="927" w:type="dxa"/>
            <w:tcBorders>
              <w:top w:val="nil"/>
              <w:bottom w:val="nil"/>
            </w:tcBorders>
          </w:tcPr>
          <w:p w14:paraId="692BF1E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55EBF6E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143</w:t>
            </w:r>
          </w:p>
        </w:tc>
        <w:tc>
          <w:tcPr>
            <w:tcW w:w="927" w:type="dxa"/>
            <w:tcBorders>
              <w:top w:val="nil"/>
              <w:bottom w:val="nil"/>
            </w:tcBorders>
            <w:noWrap/>
          </w:tcPr>
          <w:p w14:paraId="586B9B8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85</w:t>
            </w:r>
          </w:p>
        </w:tc>
        <w:tc>
          <w:tcPr>
            <w:tcW w:w="1361" w:type="dxa"/>
            <w:tcBorders>
              <w:top w:val="nil"/>
              <w:bottom w:val="nil"/>
            </w:tcBorders>
            <w:noWrap/>
          </w:tcPr>
          <w:p w14:paraId="333AC9A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Urine</w:t>
            </w:r>
          </w:p>
        </w:tc>
        <w:tc>
          <w:tcPr>
            <w:tcW w:w="1172" w:type="dxa"/>
            <w:tcBorders>
              <w:top w:val="nil"/>
              <w:bottom w:val="nil"/>
            </w:tcBorders>
          </w:tcPr>
          <w:p w14:paraId="7156372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138E8AD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5E71327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94.00</w:t>
            </w:r>
          </w:p>
        </w:tc>
        <w:tc>
          <w:tcPr>
            <w:tcW w:w="717" w:type="dxa"/>
            <w:tcBorders>
              <w:top w:val="nil"/>
              <w:bottom w:val="nil"/>
            </w:tcBorders>
            <w:noWrap/>
          </w:tcPr>
          <w:p w14:paraId="37A91F2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39.00</w:t>
            </w:r>
          </w:p>
        </w:tc>
        <w:tc>
          <w:tcPr>
            <w:tcW w:w="550" w:type="dxa"/>
            <w:tcBorders>
              <w:top w:val="nil"/>
              <w:bottom w:val="nil"/>
            </w:tcBorders>
            <w:noWrap/>
          </w:tcPr>
          <w:p w14:paraId="6E1DBA11"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135</w:t>
            </w:r>
          </w:p>
        </w:tc>
        <w:tc>
          <w:tcPr>
            <w:tcW w:w="472" w:type="dxa"/>
            <w:tcBorders>
              <w:top w:val="nil"/>
              <w:bottom w:val="nil"/>
            </w:tcBorders>
            <w:noWrap/>
          </w:tcPr>
          <w:p w14:paraId="05780B4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52</w:t>
            </w:r>
          </w:p>
        </w:tc>
        <w:tc>
          <w:tcPr>
            <w:tcW w:w="483" w:type="dxa"/>
            <w:tcBorders>
              <w:top w:val="nil"/>
              <w:bottom w:val="nil"/>
            </w:tcBorders>
            <w:noWrap/>
          </w:tcPr>
          <w:p w14:paraId="695541E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33</w:t>
            </w:r>
          </w:p>
        </w:tc>
        <w:tc>
          <w:tcPr>
            <w:tcW w:w="483" w:type="dxa"/>
            <w:tcBorders>
              <w:top w:val="nil"/>
              <w:bottom w:val="nil"/>
            </w:tcBorders>
            <w:noWrap/>
          </w:tcPr>
          <w:p w14:paraId="06CD89E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w:t>
            </w:r>
          </w:p>
        </w:tc>
        <w:tc>
          <w:tcPr>
            <w:tcW w:w="650" w:type="dxa"/>
            <w:tcBorders>
              <w:top w:val="nil"/>
              <w:bottom w:val="nil"/>
            </w:tcBorders>
          </w:tcPr>
          <w:p w14:paraId="1630B7C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0.68</w:t>
            </w:r>
          </w:p>
        </w:tc>
      </w:tr>
      <w:tr w:rsidR="00E84D7D" w:rsidRPr="00B06723" w14:paraId="40A450E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CF0ABAA" w14:textId="3C7472A2"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{"citationID":"a1dmshartjg","properties":{"formattedCitation":"\\uldash{(Stuopelyte et al., 2016)}","plainCitation":"(Stuopelyte et al., 2016)","dontUpdate":true,"noteIndex":0},"citationItems":[{"id":499,"uris":["http://zotero.org/users/3583561/items/UZ33BSI2","http://zotero.org/users/3583561/items/48YIEIDR"],"itemData":{"id":499,"type":"article-journal","abstract":"BACKGROUND: In this paper, the utility of urine-circulating microRNAs (miRNAs) as the potential biomarker of prostate cancer (PCa), the second most prevalent male cancer worldwide, was evaluated.\nMETHODS: Cancerous (N=56) and non-cancerous (N=16) prostate tissues were analysed on TaqMan Low Density Array, with the initial screening of 754 miRNAs in a subset of the samples. The abundance of selected miRNAs was analysed in urine specimens from two independent cohorts of patients with PCa (N=215 overall), benign prostatic hyperplasia (BPH; N=23), and asymptomatic controls (ASC; N=62) by means of quantitative reverse transcription PCR.\nRESULTS: Over 100 miRNAs were found deregulated in PCa as compared with non-cancerous prostate tissue. After thorough validation, four miRNAs were selected for the analysis in urine specimens. The abundance of miR-148a and miR-375 in urine was identified as specific biomarkers of PCa in both cohorts. Combined analysis of urine-circulating miR-148a and miR-375 was highly sensitive and specific for PCa in both cohorts (AUC=0.79 and 0.84) and strongly improved the diagnostic power of the PSA test (AUC=0.85, cohort PCa1), including the grey diagnostic zone (AUC=0.90).\nCONCLUSIONS: Quantitative measurement of urine-circulating miR-148a and miR-375 can serve as the non-invasive tool for sensitive and specific detection of PCa.","container-title":"British Journal of Cancer","DOI":"10.1038/bjc.2016.233","ISSN":"1532-1827","issue":"6","journalAbbreviation":"Br J Cancer","language":"eng","note":"PMID: 27490805\nPMCID: PMC5023772","page":"707-715","source":"PubMed","title":"The utility of urine-circulating miRNAs for detection of prostate cancer","volume":"115","author":[{"family":"Stuopelyte","given":"Kristina"},{"family":"Daniunaite","given":"Kristina"},{"family":"Bakavicius","given":"Arnas"},{"family":"Lazutka","given":"Juozas R."},{"family":"Jankevicius","given":"Feliksas"},{"family":"Jarmalaite","given":"Sonata"}],"issued":{"date-parts":[["2016",9,6]]}}}],"schema":"https://github.com/citation-style-language/schema/raw/master/csl-citation.json"}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Stuopelyte et al., 2016</w:t>
            </w:r>
            <w:r w:rsidRPr="00B06723">
              <w:rPr>
                <w:rFonts w:ascii="Arial" w:hAnsi="Arial" w:cs="Arial"/>
                <w:color w:val="000000"/>
                <w:lang w:eastAsia="fr-FR"/>
              </w:rPr>
              <w:fldChar w:fldCharType="end"/>
            </w:r>
          </w:p>
        </w:tc>
        <w:tc>
          <w:tcPr>
            <w:tcW w:w="1084" w:type="dxa"/>
            <w:tcBorders>
              <w:top w:val="nil"/>
              <w:bottom w:val="nil"/>
            </w:tcBorders>
            <w:noWrap/>
          </w:tcPr>
          <w:p w14:paraId="530D5AF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Lithuania</w:t>
            </w:r>
          </w:p>
        </w:tc>
        <w:tc>
          <w:tcPr>
            <w:tcW w:w="927" w:type="dxa"/>
            <w:tcBorders>
              <w:top w:val="nil"/>
              <w:bottom w:val="nil"/>
            </w:tcBorders>
          </w:tcPr>
          <w:p w14:paraId="4267D0F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23C914D0"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72</w:t>
            </w:r>
          </w:p>
        </w:tc>
        <w:tc>
          <w:tcPr>
            <w:tcW w:w="927" w:type="dxa"/>
            <w:tcBorders>
              <w:top w:val="nil"/>
              <w:bottom w:val="nil"/>
            </w:tcBorders>
            <w:noWrap/>
          </w:tcPr>
          <w:p w14:paraId="74302B0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85</w:t>
            </w:r>
          </w:p>
        </w:tc>
        <w:tc>
          <w:tcPr>
            <w:tcW w:w="1361" w:type="dxa"/>
            <w:tcBorders>
              <w:top w:val="nil"/>
              <w:bottom w:val="nil"/>
            </w:tcBorders>
            <w:noWrap/>
          </w:tcPr>
          <w:p w14:paraId="76F09A7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Urine</w:t>
            </w:r>
          </w:p>
        </w:tc>
        <w:tc>
          <w:tcPr>
            <w:tcW w:w="1172" w:type="dxa"/>
            <w:tcBorders>
              <w:top w:val="nil"/>
              <w:bottom w:val="nil"/>
            </w:tcBorders>
          </w:tcPr>
          <w:p w14:paraId="0762B41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70A4206F"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637D3E1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58.00</w:t>
            </w:r>
          </w:p>
        </w:tc>
        <w:tc>
          <w:tcPr>
            <w:tcW w:w="717" w:type="dxa"/>
            <w:tcBorders>
              <w:top w:val="nil"/>
              <w:bottom w:val="nil"/>
            </w:tcBorders>
            <w:noWrap/>
          </w:tcPr>
          <w:p w14:paraId="56C46E58"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92.00</w:t>
            </w:r>
          </w:p>
        </w:tc>
        <w:tc>
          <w:tcPr>
            <w:tcW w:w="550" w:type="dxa"/>
            <w:tcBorders>
              <w:top w:val="nil"/>
              <w:bottom w:val="nil"/>
            </w:tcBorders>
            <w:noWrap/>
          </w:tcPr>
          <w:p w14:paraId="48CA0C5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42</w:t>
            </w:r>
          </w:p>
        </w:tc>
        <w:tc>
          <w:tcPr>
            <w:tcW w:w="472" w:type="dxa"/>
            <w:tcBorders>
              <w:top w:val="nil"/>
              <w:bottom w:val="nil"/>
            </w:tcBorders>
            <w:noWrap/>
          </w:tcPr>
          <w:p w14:paraId="0A478447"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483" w:type="dxa"/>
            <w:tcBorders>
              <w:top w:val="nil"/>
              <w:bottom w:val="nil"/>
            </w:tcBorders>
            <w:noWrap/>
          </w:tcPr>
          <w:p w14:paraId="74AA4D2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78</w:t>
            </w:r>
          </w:p>
        </w:tc>
        <w:tc>
          <w:tcPr>
            <w:tcW w:w="483" w:type="dxa"/>
            <w:tcBorders>
              <w:top w:val="nil"/>
              <w:bottom w:val="nil"/>
            </w:tcBorders>
            <w:noWrap/>
          </w:tcPr>
          <w:p w14:paraId="445E448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30</w:t>
            </w:r>
          </w:p>
        </w:tc>
        <w:tc>
          <w:tcPr>
            <w:tcW w:w="650" w:type="dxa"/>
            <w:tcBorders>
              <w:top w:val="nil"/>
              <w:bottom w:val="nil"/>
            </w:tcBorders>
          </w:tcPr>
          <w:p w14:paraId="6F76EE6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0.80</w:t>
            </w:r>
          </w:p>
        </w:tc>
      </w:tr>
      <w:tr w:rsidR="00E84D7D" w:rsidRPr="00B06723" w14:paraId="706DABBD"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7ABFF74B" w14:textId="3D7E8EC9"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{"citationID":"audu7m0m66","properties":{"formattedCitation":"\\uldash{(Kachakova et al., 2015)}","plainCitation":"(Kachakova et al., 2015)","dontUpdate":true,"noteIndex":0},"citationItems":[{"id":12,"uris":["http://zotero.org/users/3583561/items/6P4KDUPG"],"itemData":{"id":12,"type":"article-journal","abstract":"In the current study, expression levels of let-7c, miR-30c, miR-141, and miR-375 in plasma from 59 prostate cancer (PC) patients with different clinicopathological characteristics and two groups of controls: 16 benign prostatic hyperplasia (BPH) samples and 11 young asymptomatic men (YAM) were analyzed to evaluate their diagnostic and prognostic value in comparison to prostate-specific antigen (PSA). miR-375 was significantly downregulated in 83.5% of patients compared to BPH controls and showed stronger diagnostic accuracy (area under the curve [AUC]=0.809, 95% CI: 0.697–0.922, p=0.00016) compared with PSA (AUC=0.710, 95% CI: 0.559–0.861, p=0.013). Expression levels of let-7c showed potential to distinguish PC patients from BPH controls with AUC=0.757, but the result did not reach significance. Better discriminating performance was observed when combinations of studied biomarkers were used. Sensitivity of 86.8% and specificity of 81.8% were reached when all biomarkers were combined (AUC=0.877) and YAM were used as calibrators. None of the studied microRNAs (miRNAs) showed correlation with clinicopathological characteristics. PSA levels were significantly correlated with the Gleason score, tumor stage, and lymph node metastasis with Spearman correlation coefficients: 0.612, 0.576, and 0.458. In conclusion, the combination of the studied circulating plasma miRNAs and serum PSA has the potential to be used as a noninvasive diagnostic biomarker for PC screening outperforming the PSA testing alone.","container-title":"DNA and Cell Biology","DOI":"10.1089/dna.2014.2663","ISSN":"1044-5498","issue":"3","journalAbbreviation":"DNA Cell Biol","note":"PMID: 25521481\nPMCID: PMC4337462","page":"189-200","source":"PubMed Central","title":"Combinations of Serum Prostate-Specific Antigen and Plasma Expression Levels of let-7c, miR-30c, miR-141, and miR-375 as Potential Better Diagnostic Biomarkers for Prostate Cancer","URL":"https://www.ncbi.nlm.nih.gov/pmc/articles/PMC4337462/","volume":"34","author":[{"family":"Kachakova","given":"Darina"},{"family":"Mitkova","given":"Atanaska"},{"family":"Popov","given":"Elenko"},{"family":"Popov","given":"Ivan"},{"family":"Vlahova","given":"Alexandrina"},{"family":"Dikov","given":"Tihomir"},{"family":"Christova","given":"Svetlana"},{"family":"Mitev","given":"Vanio"},{"family":"Slavov","given":"Chavdar"},{"family":"Kaneva","given":"Radka"}],"accessed":{"date-parts":[["2023",5,2]]},"issued":{"date-parts":[["2015",3,1]]}}}],"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Kachakova et al., 2015</w:t>
            </w:r>
            <w:r w:rsidRPr="00B06723">
              <w:rPr>
                <w:rFonts w:ascii="Arial" w:hAnsi="Arial" w:cs="Arial"/>
                <w:color w:val="000000"/>
                <w:lang w:eastAsia="fr-FR"/>
              </w:rPr>
              <w:fldChar w:fldCharType="end"/>
            </w:r>
          </w:p>
        </w:tc>
        <w:tc>
          <w:tcPr>
            <w:tcW w:w="1084" w:type="dxa"/>
            <w:tcBorders>
              <w:top w:val="nil"/>
              <w:bottom w:val="nil"/>
            </w:tcBorders>
            <w:noWrap/>
            <w:hideMark/>
          </w:tcPr>
          <w:p w14:paraId="6CA9E12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Bulgaria</w:t>
            </w:r>
          </w:p>
        </w:tc>
        <w:tc>
          <w:tcPr>
            <w:tcW w:w="927" w:type="dxa"/>
            <w:tcBorders>
              <w:top w:val="nil"/>
              <w:bottom w:val="nil"/>
            </w:tcBorders>
          </w:tcPr>
          <w:p w14:paraId="4C2F2B3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4899069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59</w:t>
            </w:r>
          </w:p>
        </w:tc>
        <w:tc>
          <w:tcPr>
            <w:tcW w:w="927" w:type="dxa"/>
            <w:tcBorders>
              <w:top w:val="nil"/>
              <w:bottom w:val="nil"/>
            </w:tcBorders>
            <w:noWrap/>
            <w:hideMark/>
          </w:tcPr>
          <w:p w14:paraId="319E982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16</w:t>
            </w:r>
          </w:p>
        </w:tc>
        <w:tc>
          <w:tcPr>
            <w:tcW w:w="1361" w:type="dxa"/>
            <w:tcBorders>
              <w:top w:val="nil"/>
              <w:bottom w:val="nil"/>
            </w:tcBorders>
            <w:noWrap/>
            <w:hideMark/>
          </w:tcPr>
          <w:p w14:paraId="2C3F42EB"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Plasma</w:t>
            </w:r>
          </w:p>
        </w:tc>
        <w:tc>
          <w:tcPr>
            <w:tcW w:w="1172" w:type="dxa"/>
            <w:tcBorders>
              <w:top w:val="nil"/>
              <w:bottom w:val="nil"/>
            </w:tcBorders>
          </w:tcPr>
          <w:p w14:paraId="11F700CC"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4BE65A4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5F21B978"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81.30</w:t>
            </w:r>
          </w:p>
        </w:tc>
        <w:tc>
          <w:tcPr>
            <w:tcW w:w="717" w:type="dxa"/>
            <w:tcBorders>
              <w:top w:val="nil"/>
              <w:bottom w:val="nil"/>
            </w:tcBorders>
            <w:noWrap/>
            <w:hideMark/>
          </w:tcPr>
          <w:p w14:paraId="2BD5177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72.90</w:t>
            </w:r>
          </w:p>
        </w:tc>
        <w:tc>
          <w:tcPr>
            <w:tcW w:w="550" w:type="dxa"/>
            <w:tcBorders>
              <w:top w:val="nil"/>
              <w:bottom w:val="nil"/>
            </w:tcBorders>
            <w:noWrap/>
            <w:hideMark/>
          </w:tcPr>
          <w:p w14:paraId="28F23F7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48</w:t>
            </w:r>
          </w:p>
        </w:tc>
        <w:tc>
          <w:tcPr>
            <w:tcW w:w="472" w:type="dxa"/>
            <w:tcBorders>
              <w:top w:val="nil"/>
              <w:bottom w:val="nil"/>
            </w:tcBorders>
            <w:noWrap/>
            <w:hideMark/>
          </w:tcPr>
          <w:p w14:paraId="707AAA0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4</w:t>
            </w:r>
          </w:p>
        </w:tc>
        <w:tc>
          <w:tcPr>
            <w:tcW w:w="483" w:type="dxa"/>
            <w:tcBorders>
              <w:top w:val="nil"/>
              <w:bottom w:val="nil"/>
            </w:tcBorders>
            <w:noWrap/>
            <w:hideMark/>
          </w:tcPr>
          <w:p w14:paraId="2CD8AB0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12</w:t>
            </w:r>
          </w:p>
        </w:tc>
        <w:tc>
          <w:tcPr>
            <w:tcW w:w="483" w:type="dxa"/>
            <w:tcBorders>
              <w:top w:val="nil"/>
              <w:bottom w:val="nil"/>
            </w:tcBorders>
            <w:noWrap/>
            <w:hideMark/>
          </w:tcPr>
          <w:p w14:paraId="0F26DEA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11</w:t>
            </w:r>
          </w:p>
        </w:tc>
        <w:tc>
          <w:tcPr>
            <w:tcW w:w="650" w:type="dxa"/>
            <w:tcBorders>
              <w:top w:val="nil"/>
              <w:bottom w:val="nil"/>
            </w:tcBorders>
          </w:tcPr>
          <w:p w14:paraId="61395B3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0.81</w:t>
            </w:r>
          </w:p>
        </w:tc>
      </w:tr>
      <w:tr w:rsidR="00E84D7D" w:rsidRPr="00B06723" w14:paraId="5ADA4C9B"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A62728A" w14:textId="336F9DBC" w:rsidR="00E84D7D" w:rsidRPr="00B06723" w:rsidRDefault="00E84D7D" w:rsidP="0000574D">
            <w:pPr>
              <w:spacing w:before="240"/>
              <w:jc w:val="both"/>
              <w:rPr>
                <w:rFonts w:ascii="Arial" w:eastAsia="Times New Roman" w:hAnsi="Arial" w:cs="Arial"/>
                <w:color w:val="000000"/>
                <w:sz w:val="20"/>
                <w:szCs w:val="20"/>
                <w:lang w:val="en-US"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val="en-US" w:eastAsia="fr-FR"/>
              </w:rPr>
              <w:instrText xml:space="preserve"> ADDIN ZOTERO_ITEM CSL_CITATION {"citationID":"a2i1or3bn89","properties":{"formattedCitation":"\\uldash{(Haldrup et al., 2014)}","plainCitation":"(Haldrup et al., 2014)","dontUpdate":true,"noteIndex":0},"citationItems":[{"id":680,"uris":["http://zotero.org/users/3583561/items/52ZXB2YK"],"itemData":{"id":680,"type":"article-journal","abstract":"Prostate cancer (PC) is the most frequent cancer in men in the Western world. Currently, serum prostate-specific antigen levels and digital rectal examinations are used to indicate the need for diagnostic prostate biopsy, but lack in specificity and sensitivity. Thus, many men undergo unnecessary biopsy, and better and less invasive tools for PC detection are needed. Furthermore, whereas aggressive PC should be treated immediately to prevent dissemination, indolent PC often does not progress and overtreatment should be avoided. Currently, the best predictors of aggressiveness are Gleason score and T-stage of the primary PC. Better tools to assess PC aggressiveness could aid in treatment decisions. Recently, circulating miRNAs have been suggested as potential new biomarkers for PC with diagnostic and prognostic potential. Here, to identify new serum miRNA biomarker candidates for PC, we performed genome-wide miRNA profiling of serum samples from 13 benign prostatic hyperplasia (BPH) control patients and 31 PC patients. Furthermore, we carefully reviewed the literature on circulating miRNA biomarkers for PC. Our results confirmed the de-regulation of miR-141 and miR-375, two of the most well-documented candidate miRNA markers for PC. Moreover, we identified several new potential serum miRNA markers for PC and developed three novel and highly specific (100 %) miRNA candidate marker panels able to identify 84 % of all PC patients (miR-562/miR-210/miR-501-3p/miR-375/miR-551b), 80 % of patients with disseminated PC when compared to BPH patients (let-7a*/miR-210/miR-562/miR-616), and 75 % of disseminated PC patients when compared to localized PC patients (miR-375/miR-708/miR-1203/miR-200a), demonstrating high potential of serum miRNAs for diagnosing and staging of PC.","container-title":"Drug Delivery and Translational Research","DOI":"10.1007/s13346-013-0169-4","ISSN":"2190-3948","issue":"1","journalAbbreviation":"Drug Deliv Transl Res","language":"eng","note":"PMID: 25786615","page":"19-30","source":"PubMed","title":"Profiling of circulating microRNAs for prostate cancer biomarker discovery","volume":"4","author":[{"family":"Haldrup","given":"Christa"},{"family":"Kosaka","given":"Nobuyoshi"},{"family":"Ochiya","given":"Takahiro"},{"family":"Borre","given":"Michael"},{"family":"Høyer","given":"Soren"},{"family":"Orntoft","given":"Torben F."},{"family":"Sorensen","given":"Karina D."}],"issued":{"date-parts":[["2014",2]]}}}],"schema":"https://github.com/citation-style-language/schema/raw/master/csl-citation.json"}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Haldrup et al., 2014</w:t>
            </w:r>
            <w:r w:rsidRPr="00B06723">
              <w:rPr>
                <w:rFonts w:ascii="Arial" w:hAnsi="Arial" w:cs="Arial"/>
                <w:color w:val="000000"/>
                <w:lang w:eastAsia="fr-FR"/>
              </w:rPr>
              <w:fldChar w:fldCharType="end"/>
            </w:r>
          </w:p>
        </w:tc>
        <w:tc>
          <w:tcPr>
            <w:tcW w:w="1084" w:type="dxa"/>
            <w:tcBorders>
              <w:top w:val="nil"/>
              <w:bottom w:val="nil"/>
            </w:tcBorders>
            <w:noWrap/>
          </w:tcPr>
          <w:p w14:paraId="008CD56A"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Denmark</w:t>
            </w:r>
          </w:p>
        </w:tc>
        <w:tc>
          <w:tcPr>
            <w:tcW w:w="927" w:type="dxa"/>
            <w:tcBorders>
              <w:top w:val="nil"/>
              <w:bottom w:val="nil"/>
            </w:tcBorders>
          </w:tcPr>
          <w:p w14:paraId="35E3EEE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BPH</w:t>
            </w:r>
          </w:p>
        </w:tc>
        <w:tc>
          <w:tcPr>
            <w:tcW w:w="695" w:type="dxa"/>
            <w:tcBorders>
              <w:top w:val="nil"/>
              <w:bottom w:val="nil"/>
            </w:tcBorders>
            <w:noWrap/>
          </w:tcPr>
          <w:p w14:paraId="04508131"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31</w:t>
            </w:r>
          </w:p>
        </w:tc>
        <w:tc>
          <w:tcPr>
            <w:tcW w:w="927" w:type="dxa"/>
            <w:tcBorders>
              <w:top w:val="nil"/>
              <w:bottom w:val="nil"/>
            </w:tcBorders>
            <w:noWrap/>
          </w:tcPr>
          <w:p w14:paraId="1F78E402"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13</w:t>
            </w:r>
          </w:p>
        </w:tc>
        <w:tc>
          <w:tcPr>
            <w:tcW w:w="1361" w:type="dxa"/>
            <w:tcBorders>
              <w:top w:val="nil"/>
              <w:bottom w:val="nil"/>
            </w:tcBorders>
            <w:noWrap/>
          </w:tcPr>
          <w:p w14:paraId="7BCFE4D5"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bottom w:val="nil"/>
            </w:tcBorders>
          </w:tcPr>
          <w:p w14:paraId="718AC3D9"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bottom w:val="nil"/>
            </w:tcBorders>
            <w:noWrap/>
          </w:tcPr>
          <w:p w14:paraId="7388616D"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bottom w:val="nil"/>
            </w:tcBorders>
            <w:noWrap/>
          </w:tcPr>
          <w:p w14:paraId="520E8DB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23.00</w:t>
            </w:r>
          </w:p>
        </w:tc>
        <w:tc>
          <w:tcPr>
            <w:tcW w:w="717" w:type="dxa"/>
            <w:tcBorders>
              <w:top w:val="nil"/>
              <w:bottom w:val="nil"/>
            </w:tcBorders>
            <w:noWrap/>
          </w:tcPr>
          <w:p w14:paraId="135F1D0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100</w:t>
            </w:r>
          </w:p>
        </w:tc>
        <w:tc>
          <w:tcPr>
            <w:tcW w:w="550" w:type="dxa"/>
            <w:tcBorders>
              <w:top w:val="nil"/>
              <w:bottom w:val="nil"/>
            </w:tcBorders>
            <w:noWrap/>
          </w:tcPr>
          <w:p w14:paraId="42E8E823"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7</w:t>
            </w:r>
          </w:p>
        </w:tc>
        <w:tc>
          <w:tcPr>
            <w:tcW w:w="472" w:type="dxa"/>
            <w:tcBorders>
              <w:top w:val="nil"/>
              <w:bottom w:val="nil"/>
            </w:tcBorders>
            <w:noWrap/>
          </w:tcPr>
          <w:p w14:paraId="7C1E5DB4"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w:t>
            </w:r>
          </w:p>
        </w:tc>
        <w:tc>
          <w:tcPr>
            <w:tcW w:w="483" w:type="dxa"/>
            <w:tcBorders>
              <w:top w:val="nil"/>
              <w:bottom w:val="nil"/>
            </w:tcBorders>
            <w:noWrap/>
          </w:tcPr>
          <w:p w14:paraId="33FDBE2C"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13</w:t>
            </w:r>
          </w:p>
        </w:tc>
        <w:tc>
          <w:tcPr>
            <w:tcW w:w="483" w:type="dxa"/>
            <w:tcBorders>
              <w:top w:val="nil"/>
              <w:bottom w:val="nil"/>
            </w:tcBorders>
            <w:noWrap/>
          </w:tcPr>
          <w:p w14:paraId="28757A86"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24</w:t>
            </w:r>
          </w:p>
        </w:tc>
        <w:tc>
          <w:tcPr>
            <w:tcW w:w="650" w:type="dxa"/>
            <w:tcBorders>
              <w:top w:val="nil"/>
              <w:bottom w:val="nil"/>
            </w:tcBorders>
          </w:tcPr>
          <w:p w14:paraId="3DEA26AB" w14:textId="77777777" w:rsidR="00E84D7D" w:rsidRPr="00B06723"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0.65</w:t>
            </w:r>
          </w:p>
        </w:tc>
      </w:tr>
      <w:tr w:rsidR="00E84D7D" w:rsidRPr="00B06723" w14:paraId="55BE704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tcBorders>
            <w:noWrap/>
          </w:tcPr>
          <w:p w14:paraId="03B9B206" w14:textId="10BF0B13" w:rsidR="00E84D7D" w:rsidRPr="00B06723" w:rsidRDefault="00E84D7D" w:rsidP="0000574D">
            <w:pPr>
              <w:spacing w:before="240"/>
              <w:jc w:val="both"/>
              <w:rPr>
                <w:rFonts w:ascii="Arial" w:eastAsia="Times New Roman" w:hAnsi="Arial" w:cs="Arial"/>
                <w:color w:val="000000"/>
                <w:sz w:val="20"/>
                <w:szCs w:val="20"/>
                <w:lang w:eastAsia="fr-FR"/>
              </w:rPr>
            </w:pPr>
            <w:r w:rsidRPr="00B06723">
              <w:rPr>
                <w:rFonts w:ascii="Arial" w:hAnsi="Arial" w:cs="Arial"/>
                <w:color w:val="000000"/>
                <w:lang w:eastAsia="fr-FR"/>
              </w:rPr>
              <w:fldChar w:fldCharType="begin"/>
            </w:r>
            <w:r w:rsidRPr="00B06723">
              <w:rPr>
                <w:rFonts w:ascii="Arial" w:eastAsia="Times New Roman" w:hAnsi="Arial" w:cs="Arial"/>
                <w:color w:val="000000"/>
                <w:sz w:val="20"/>
                <w:szCs w:val="20"/>
                <w:lang w:eastAsia="fr-FR"/>
              </w:rPr>
              <w:instrText xml:space="preserve"> ADDIN ZOTERO_ITEM CSL_CITATION {"citationID":"an33tfg8jk","properties":{"formattedCitation":"\\uldash{(Cheng et al., 2013)}","plainCitation":"(Cheng et al., 2013)","dontUpdate":true,"noteIndex":0},"citationItems":[{"id":650,"uris":["http://zotero.org/users/3583561/items/LCSL4298"],"itemData":{"id":650,"type":"article-journal","abstract":"MicroRNAs (miRNAs) are small (</w:instrText>
            </w:r>
            <w:r w:rsidRPr="00B06723">
              <w:rPr>
                <w:rFonts w:ascii="Cambria Math" w:eastAsia="Times New Roman" w:hAnsi="Cambria Math" w:cs="Cambria Math"/>
                <w:color w:val="000000"/>
                <w:sz w:val="20"/>
                <w:szCs w:val="20"/>
                <w:lang w:eastAsia="fr-FR"/>
              </w:rPr>
              <w:instrText>∼</w:instrText>
            </w:r>
            <w:r w:rsidRPr="00B06723">
              <w:rPr>
                <w:rFonts w:ascii="Arial" w:eastAsia="Times New Roman" w:hAnsi="Arial" w:cs="Arial"/>
                <w:color w:val="000000"/>
                <w:sz w:val="20"/>
                <w:szCs w:val="20"/>
                <w:lang w:eastAsia="fr-FR"/>
              </w:rPr>
              <w:instrText xml:space="preserve">22 nucleotide) non-coding RNAs that regulate a myriad of biological processes and are frequently dysregulated in cancer. Cancer-associated microRNAs have been detected in serum and plasma and hold promise as minimally invasive cancer biomarkers, potentially for assessing disease characteristics in patients with metastatic disease that is difficult to biopsy. Here we used miRNA profiling to identify cancer-associated miRNAs that are differentially expressed in sera from patients with metastatic castration resistant prostate cancer (mCRPC) as compared to healthy controls. Of 365 miRNAs profiled, we identified five serum miRNAs (miR-141, miR-200a, miR-200c, miR-210 and miR-375) that were elevated in cases compared to controls across two independent cohorts. One of these, miR-210, is a known transcriptional target of the hypoxia-responsive HIF-1α signaling pathway. Exposure of cultured prostate cancer cells to hypoxia led to induction of miR-210 and its release into the extracellular environment. Moreover, we found that serum miR-210 levels varied widely amongst mCRPC patients undergoing therapy, and correlated with treatment response as assessed by change in PSA. Our results suggest that (i) cancer-associated hypoxia is a frequent, previously under-appreciated characteristic of mCRPC, and (ii) serum miR-210 may be further developed as a predictive biomarker in patients with this distinct disease biology.","container-title":"PloS One","DOI":"10.1371/journal.pone.0069239","ISSN":"1932-6203","issue":"7","journalAbbreviation":"PLoS One","language":"eng","note":"PMID: 23935962\nPMCID: PMC3728349","page":"e69239","source":"PubMed","title":"Circulating microRNA profiling identifies a subset of metastatic prostate cancer patients with evidence of cancer-associated hypoxia","volume":"8","author":[{"family":"Cheng","given":"Heather H."},{"family":"Mitchell","given":"Patrick S."},{"family":"Kroh","given":"Evan M."},{"family":"Dowell","given":"Alexander E."},{"family":"Chéry","given":"Lisly"},{"family":"Siddiqui","given":"Javed"},{"family":"Nelson","given":"Peter S."},{"family":"Vessella","given":"Robert L."},{"family":"Knudsen","given":"Beatrice S."},{"family":"Chinnaiyan","given":"Arul M."},{"family":"Pienta","given":"Kenneth J."},{"family":"Morrissey","given":"Colm"},{"family":"Tewari","given":"Muneesh"}],"issued":{"date-parts":[["2013"]]}}}],"schema":"https://github.com/citation-style-language/schema/raw/master/csl-citation.json"} </w:instrText>
            </w:r>
            <w:r w:rsidRPr="00B06723">
              <w:rPr>
                <w:rFonts w:ascii="Arial" w:hAnsi="Arial" w:cs="Arial"/>
                <w:color w:val="000000"/>
                <w:lang w:eastAsia="fr-FR"/>
              </w:rPr>
              <w:fldChar w:fldCharType="separate"/>
            </w:r>
            <w:r w:rsidRPr="00B06723">
              <w:rPr>
                <w:rFonts w:ascii="Arial" w:hAnsi="Arial" w:cs="Arial"/>
                <w:sz w:val="20"/>
              </w:rPr>
              <w:t>Cheng et al., 2013</w:t>
            </w:r>
            <w:r w:rsidRPr="00B06723">
              <w:rPr>
                <w:rFonts w:ascii="Arial" w:hAnsi="Arial" w:cs="Arial"/>
                <w:color w:val="000000"/>
                <w:lang w:eastAsia="fr-FR"/>
              </w:rPr>
              <w:fldChar w:fldCharType="end"/>
            </w:r>
          </w:p>
        </w:tc>
        <w:tc>
          <w:tcPr>
            <w:tcW w:w="1084" w:type="dxa"/>
            <w:tcBorders>
              <w:top w:val="nil"/>
            </w:tcBorders>
            <w:noWrap/>
          </w:tcPr>
          <w:p w14:paraId="48E63FFA"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United States</w:t>
            </w:r>
          </w:p>
        </w:tc>
        <w:tc>
          <w:tcPr>
            <w:tcW w:w="927" w:type="dxa"/>
            <w:tcBorders>
              <w:top w:val="nil"/>
            </w:tcBorders>
          </w:tcPr>
          <w:p w14:paraId="4431316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HP</w:t>
            </w:r>
          </w:p>
        </w:tc>
        <w:tc>
          <w:tcPr>
            <w:tcW w:w="695" w:type="dxa"/>
            <w:tcBorders>
              <w:top w:val="nil"/>
            </w:tcBorders>
            <w:noWrap/>
          </w:tcPr>
          <w:p w14:paraId="2E416FF3"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927" w:type="dxa"/>
            <w:tcBorders>
              <w:top w:val="nil"/>
            </w:tcBorders>
            <w:noWrap/>
          </w:tcPr>
          <w:p w14:paraId="1F7078D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25</w:t>
            </w:r>
          </w:p>
        </w:tc>
        <w:tc>
          <w:tcPr>
            <w:tcW w:w="1361" w:type="dxa"/>
            <w:tcBorders>
              <w:top w:val="nil"/>
            </w:tcBorders>
            <w:noWrap/>
          </w:tcPr>
          <w:p w14:paraId="38D8DFD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Serum</w:t>
            </w:r>
          </w:p>
        </w:tc>
        <w:tc>
          <w:tcPr>
            <w:tcW w:w="1172" w:type="dxa"/>
            <w:tcBorders>
              <w:top w:val="nil"/>
            </w:tcBorders>
          </w:tcPr>
          <w:p w14:paraId="730F3D99"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RT-qPCR</w:t>
            </w:r>
          </w:p>
        </w:tc>
        <w:tc>
          <w:tcPr>
            <w:tcW w:w="1206" w:type="dxa"/>
            <w:tcBorders>
              <w:top w:val="nil"/>
            </w:tcBorders>
            <w:noWrap/>
          </w:tcPr>
          <w:p w14:paraId="2ABB0D45"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miR-375</w:t>
            </w:r>
          </w:p>
        </w:tc>
        <w:tc>
          <w:tcPr>
            <w:tcW w:w="717" w:type="dxa"/>
            <w:tcBorders>
              <w:top w:val="nil"/>
            </w:tcBorders>
            <w:noWrap/>
          </w:tcPr>
          <w:p w14:paraId="64F8DF1D"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717" w:type="dxa"/>
            <w:tcBorders>
              <w:top w:val="nil"/>
            </w:tcBorders>
            <w:noWrap/>
          </w:tcPr>
          <w:p w14:paraId="3A944D94"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550" w:type="dxa"/>
            <w:tcBorders>
              <w:top w:val="nil"/>
            </w:tcBorders>
            <w:noWrap/>
          </w:tcPr>
          <w:p w14:paraId="6670EBC6"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72" w:type="dxa"/>
            <w:tcBorders>
              <w:top w:val="nil"/>
            </w:tcBorders>
            <w:noWrap/>
          </w:tcPr>
          <w:p w14:paraId="1511EFF0"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tcBorders>
            <w:noWrap/>
          </w:tcPr>
          <w:p w14:paraId="6C2E77F7"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483" w:type="dxa"/>
            <w:tcBorders>
              <w:top w:val="nil"/>
            </w:tcBorders>
            <w:noWrap/>
          </w:tcPr>
          <w:p w14:paraId="4DBD3E42"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U</w:t>
            </w:r>
          </w:p>
        </w:tc>
        <w:tc>
          <w:tcPr>
            <w:tcW w:w="650" w:type="dxa"/>
            <w:tcBorders>
              <w:top w:val="nil"/>
            </w:tcBorders>
          </w:tcPr>
          <w:p w14:paraId="700A49CF" w14:textId="77777777" w:rsidR="00E84D7D" w:rsidRPr="00B06723"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B06723">
              <w:rPr>
                <w:rFonts w:ascii="Arial" w:eastAsia="Times New Roman" w:hAnsi="Arial" w:cs="Arial"/>
                <w:color w:val="000000"/>
                <w:sz w:val="20"/>
                <w:szCs w:val="20"/>
                <w:lang w:val="en-US" w:eastAsia="fr-FR"/>
              </w:rPr>
              <w:t>0.77</w:t>
            </w:r>
          </w:p>
        </w:tc>
      </w:tr>
    </w:tbl>
    <w:bookmarkEnd w:id="1"/>
    <w:p w14:paraId="472FAD4D" w14:textId="27189431" w:rsidR="001058A7" w:rsidRPr="00B06723" w:rsidRDefault="00F21EDD" w:rsidP="00441B6F">
      <w:pPr>
        <w:tabs>
          <w:tab w:val="left" w:pos="1080"/>
        </w:tabs>
        <w:jc w:val="both"/>
        <w:rPr>
          <w:rFonts w:ascii="Arial" w:hAnsi="Arial"/>
          <w:bCs/>
          <w:i/>
          <w:iCs/>
          <w:sz w:val="18"/>
          <w:szCs w:val="18"/>
        </w:rPr>
      </w:pPr>
      <w:r w:rsidRPr="00B06723">
        <w:rPr>
          <w:rFonts w:ascii="Arial" w:hAnsi="Arial"/>
          <w:bCs/>
          <w:i/>
          <w:iCs/>
          <w:sz w:val="18"/>
          <w:szCs w:val="18"/>
        </w:rPr>
        <w:t>*Abbreviations: U: Unspecified; BPH: patients with Benign Prostate Disease; HP: Healthy People; TP: True Positive; FP: False Positive; FN: False Negative; TN: True Negative; SEN: Sensitivity; SPE: Specificity.</w:t>
      </w:r>
    </w:p>
    <w:p w14:paraId="6D5A4DB0" w14:textId="77777777" w:rsidR="001058A7" w:rsidRPr="00B06723" w:rsidRDefault="001058A7" w:rsidP="00441B6F">
      <w:pPr>
        <w:tabs>
          <w:tab w:val="left" w:pos="1080"/>
        </w:tabs>
        <w:jc w:val="both"/>
        <w:rPr>
          <w:rFonts w:ascii="Arial" w:hAnsi="Arial"/>
          <w:b/>
          <w:i/>
          <w:iCs/>
          <w:sz w:val="18"/>
          <w:szCs w:val="18"/>
        </w:rPr>
      </w:pPr>
    </w:p>
    <w:p w14:paraId="45A0841D" w14:textId="77777777" w:rsidR="001058A7" w:rsidRPr="00B06723" w:rsidRDefault="001058A7" w:rsidP="00441B6F">
      <w:pPr>
        <w:tabs>
          <w:tab w:val="left" w:pos="1080"/>
        </w:tabs>
        <w:jc w:val="both"/>
        <w:rPr>
          <w:rFonts w:ascii="Arial" w:hAnsi="Arial"/>
          <w:b/>
        </w:rPr>
      </w:pPr>
    </w:p>
    <w:p w14:paraId="36117DC7" w14:textId="77777777" w:rsidR="001058A7" w:rsidRPr="00B06723" w:rsidRDefault="001058A7" w:rsidP="00441B6F">
      <w:pPr>
        <w:pStyle w:val="ConcHead"/>
        <w:spacing w:after="0"/>
        <w:jc w:val="both"/>
        <w:rPr>
          <w:rFonts w:ascii="Arial" w:hAnsi="Arial" w:cs="Arial"/>
        </w:rPr>
        <w:sectPr w:rsidR="001058A7" w:rsidRPr="00B06723" w:rsidSect="00DA1151">
          <w:headerReference w:type="even" r:id="rId15"/>
          <w:headerReference w:type="default" r:id="rId16"/>
          <w:headerReference w:type="first" r:id="rId17"/>
          <w:type w:val="continuous"/>
          <w:pgSz w:w="15840" w:h="12240" w:orient="landscape"/>
          <w:pgMar w:top="2016" w:right="1440" w:bottom="2016" w:left="2016" w:header="720" w:footer="1123" w:gutter="0"/>
          <w:cols w:space="720"/>
          <w:docGrid w:linePitch="272"/>
        </w:sectPr>
      </w:pPr>
    </w:p>
    <w:p w14:paraId="5A7C8A50" w14:textId="77777777" w:rsidR="00F21EDD" w:rsidRPr="00B06723" w:rsidRDefault="00F21EDD" w:rsidP="00F21EDD">
      <w:pPr>
        <w:pStyle w:val="Body"/>
        <w:spacing w:after="0"/>
        <w:rPr>
          <w:rFonts w:ascii="Arial" w:hAnsi="Arial" w:cs="Arial"/>
        </w:rPr>
      </w:pPr>
    </w:p>
    <w:p w14:paraId="46510D1B" w14:textId="1369AA43" w:rsidR="00A00A98" w:rsidRPr="00B06723" w:rsidRDefault="00A00A98" w:rsidP="00B00B61">
      <w:pPr>
        <w:pStyle w:val="Body"/>
        <w:spacing w:after="0"/>
        <w:rPr>
          <w:rFonts w:ascii="Arial" w:hAnsi="Arial" w:cs="Arial"/>
          <w:b/>
          <w:sz w:val="22"/>
          <w:szCs w:val="22"/>
        </w:rPr>
      </w:pPr>
      <w:r w:rsidRPr="00B06723">
        <w:rPr>
          <w:rFonts w:ascii="Arial" w:hAnsi="Arial" w:cs="Arial"/>
          <w:b/>
          <w:caps/>
          <w:sz w:val="22"/>
        </w:rPr>
        <w:t>3.2.</w:t>
      </w:r>
      <w:r w:rsidR="00B00B61" w:rsidRPr="00B06723">
        <w:rPr>
          <w:rFonts w:ascii="Arial" w:hAnsi="Arial" w:cs="Arial"/>
          <w:b/>
          <w:caps/>
          <w:sz w:val="22"/>
        </w:rPr>
        <w:t xml:space="preserve">  </w:t>
      </w:r>
      <w:r w:rsidR="00B00B61" w:rsidRPr="00B06723">
        <w:rPr>
          <w:rFonts w:ascii="Arial" w:hAnsi="Arial" w:cs="Arial"/>
          <w:b/>
          <w:sz w:val="22"/>
          <w:szCs w:val="22"/>
        </w:rPr>
        <w:t xml:space="preserve">Methodological Quality Assessment   </w:t>
      </w:r>
    </w:p>
    <w:p w14:paraId="65768AF1" w14:textId="77777777" w:rsidR="00B00B61" w:rsidRPr="00B06723" w:rsidRDefault="00B00B61" w:rsidP="00B00B61">
      <w:pPr>
        <w:pStyle w:val="Body"/>
        <w:spacing w:after="0"/>
        <w:rPr>
          <w:rFonts w:ascii="Arial" w:hAnsi="Arial" w:cs="Arial"/>
        </w:rPr>
      </w:pPr>
    </w:p>
    <w:p w14:paraId="4A90015C" w14:textId="5A40B406" w:rsidR="00A00A98" w:rsidRPr="00B06723" w:rsidRDefault="00A00A98" w:rsidP="00B00B61">
      <w:pPr>
        <w:pStyle w:val="Body"/>
        <w:spacing w:after="0"/>
        <w:rPr>
          <w:rFonts w:ascii="Arial" w:hAnsi="Arial" w:cs="Arial"/>
        </w:rPr>
      </w:pPr>
      <w:r w:rsidRPr="00B06723">
        <w:rPr>
          <w:rFonts w:ascii="Arial" w:hAnsi="Arial" w:cs="Arial"/>
        </w:rPr>
        <w:t>Study quality was evaluated using the QUADAS-2 tool (</w:t>
      </w:r>
      <w:r w:rsidRPr="00B06723">
        <w:rPr>
          <w:rFonts w:ascii="Arial" w:hAnsi="Arial" w:cs="Arial"/>
          <w:b/>
          <w:bCs/>
        </w:rPr>
        <w:t>Fig. 2A</w:t>
      </w:r>
      <w:r w:rsidRPr="00B06723">
        <w:rPr>
          <w:rFonts w:ascii="Arial" w:hAnsi="Arial" w:cs="Arial"/>
        </w:rPr>
        <w:t xml:space="preserve">), with individual study risk of bias presented in </w:t>
      </w:r>
      <w:r w:rsidRPr="00B06723">
        <w:rPr>
          <w:rFonts w:ascii="Arial" w:hAnsi="Arial" w:cs="Arial"/>
          <w:b/>
          <w:bCs/>
        </w:rPr>
        <w:t>Fig. 2B</w:t>
      </w:r>
      <w:r w:rsidRPr="00B06723">
        <w:rPr>
          <w:rFonts w:ascii="Arial" w:hAnsi="Arial" w:cs="Arial"/>
        </w:rPr>
        <w:t>. The QUADAS-2 assessment demonstrated: low risk of bias in &gt;80% of studies for reference standard and flow/timing domains; minimal applicability concerns (&lt;15% of studies) across all evaluation domains (</w:t>
      </w:r>
      <w:r w:rsidRPr="00B06723">
        <w:rPr>
          <w:rFonts w:ascii="Arial" w:hAnsi="Arial" w:cs="Arial"/>
          <w:b/>
          <w:bCs/>
        </w:rPr>
        <w:t>Fig.</w:t>
      </w:r>
      <w:r w:rsidRPr="00B06723">
        <w:rPr>
          <w:rFonts w:ascii="Arial" w:hAnsi="Arial" w:cs="Arial"/>
        </w:rPr>
        <w:t xml:space="preserve"> </w:t>
      </w:r>
      <w:r w:rsidRPr="00B06723">
        <w:rPr>
          <w:rFonts w:ascii="Arial" w:hAnsi="Arial" w:cs="Arial"/>
          <w:b/>
          <w:bCs/>
        </w:rPr>
        <w:t>2A-B</w:t>
      </w:r>
      <w:r w:rsidRPr="00B06723">
        <w:rPr>
          <w:rFonts w:ascii="Arial" w:hAnsi="Arial" w:cs="Arial"/>
        </w:rPr>
        <w:t>).</w:t>
      </w:r>
    </w:p>
    <w:p w14:paraId="11910968" w14:textId="77777777" w:rsidR="00A00A98" w:rsidRPr="00B06723" w:rsidRDefault="00A00A98" w:rsidP="00A00A98">
      <w:pPr>
        <w:pStyle w:val="Body"/>
        <w:spacing w:after="0"/>
        <w:rPr>
          <w:rFonts w:ascii="Arial" w:hAnsi="Arial" w:cs="Arial"/>
        </w:rPr>
      </w:pPr>
      <w:r w:rsidRPr="00B06723">
        <w:rPr>
          <w:rFonts w:ascii="Arial" w:hAnsi="Arial" w:cs="Arial"/>
        </w:rPr>
        <w:t>No studies were excluded based on QUADAS-2 results to maintain comprehensive evidence synthesis.</w:t>
      </w:r>
    </w:p>
    <w:p w14:paraId="79358998" w14:textId="320D5B51" w:rsidR="00A00A98" w:rsidRPr="00B06723" w:rsidRDefault="00A00A98" w:rsidP="00A00A98">
      <w:pPr>
        <w:pStyle w:val="Body"/>
        <w:spacing w:after="0"/>
        <w:rPr>
          <w:rFonts w:ascii="Arial" w:hAnsi="Arial" w:cs="Arial"/>
        </w:rPr>
      </w:pPr>
      <w:r w:rsidRPr="00B06723">
        <w:rPr>
          <w:noProof/>
        </w:rPr>
        <w:drawing>
          <wp:inline distT="0" distB="0" distL="0" distR="0" wp14:anchorId="17AF5EE0" wp14:editId="096037B0">
            <wp:extent cx="2922008" cy="864000"/>
            <wp:effectExtent l="0" t="0" r="0" b="0"/>
            <wp:docPr id="10485749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2008" cy="864000"/>
                    </a:xfrm>
                    <a:prstGeom prst="rect">
                      <a:avLst/>
                    </a:prstGeom>
                    <a:noFill/>
                    <a:ln>
                      <a:noFill/>
                    </a:ln>
                  </pic:spPr>
                </pic:pic>
              </a:graphicData>
            </a:graphic>
          </wp:inline>
        </w:drawing>
      </w:r>
      <w:r w:rsidRPr="00B06723">
        <w:rPr>
          <w:rFonts w:ascii="Arial" w:hAnsi="Arial" w:cs="Arial"/>
        </w:rPr>
        <w:t xml:space="preserve"> </w:t>
      </w:r>
      <w:r w:rsidRPr="00B06723">
        <w:rPr>
          <w:noProof/>
        </w:rPr>
        <w:drawing>
          <wp:inline distT="0" distB="0" distL="0" distR="0" wp14:anchorId="7198A01E" wp14:editId="311B68B4">
            <wp:extent cx="2093343" cy="5976000"/>
            <wp:effectExtent l="0" t="0" r="0" b="0"/>
            <wp:docPr id="614019766" name="Image 4"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19766" name="Image 4" descr="Une image contenant texte, capture d’écran, conception&#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3343" cy="5976000"/>
                    </a:xfrm>
                    <a:prstGeom prst="rect">
                      <a:avLst/>
                    </a:prstGeom>
                    <a:noFill/>
                    <a:ln>
                      <a:noFill/>
                    </a:ln>
                  </pic:spPr>
                </pic:pic>
              </a:graphicData>
            </a:graphic>
          </wp:inline>
        </w:drawing>
      </w:r>
    </w:p>
    <w:p w14:paraId="4532655E" w14:textId="77777777" w:rsidR="00B00B61" w:rsidRPr="00B06723" w:rsidRDefault="00B00B61" w:rsidP="00B00B61">
      <w:pPr>
        <w:pStyle w:val="Body"/>
        <w:spacing w:after="0"/>
        <w:rPr>
          <w:rFonts w:ascii="Arial" w:hAnsi="Arial" w:cs="Arial"/>
          <w:b/>
          <w:bCs/>
          <w:szCs w:val="22"/>
        </w:rPr>
      </w:pPr>
    </w:p>
    <w:p w14:paraId="6117B972" w14:textId="1A30DEF5" w:rsidR="00B00B61" w:rsidRPr="00B06723" w:rsidRDefault="00A00A98" w:rsidP="00B00B61">
      <w:pPr>
        <w:pStyle w:val="Body"/>
        <w:spacing w:after="0"/>
        <w:rPr>
          <w:rFonts w:ascii="Arial" w:hAnsi="Arial" w:cs="Arial"/>
          <w:b/>
          <w:bCs/>
          <w:szCs w:val="22"/>
        </w:rPr>
      </w:pPr>
      <w:r w:rsidRPr="00B06723">
        <w:rPr>
          <w:rFonts w:ascii="Arial" w:hAnsi="Arial" w:cs="Arial"/>
          <w:b/>
          <w:bCs/>
          <w:szCs w:val="22"/>
        </w:rPr>
        <w:t xml:space="preserve">Fig. </w:t>
      </w:r>
      <w:r w:rsidR="00B00B61" w:rsidRPr="00B06723">
        <w:rPr>
          <w:rFonts w:ascii="Arial" w:hAnsi="Arial" w:cs="Arial"/>
          <w:b/>
          <w:bCs/>
          <w:szCs w:val="22"/>
        </w:rPr>
        <w:t>2</w:t>
      </w:r>
      <w:r w:rsidRPr="00B06723">
        <w:rPr>
          <w:rFonts w:ascii="Arial" w:hAnsi="Arial" w:cs="Arial"/>
          <w:b/>
          <w:bCs/>
          <w:szCs w:val="22"/>
        </w:rPr>
        <w:t xml:space="preserve">. </w:t>
      </w:r>
      <w:r w:rsidR="00B00B61" w:rsidRPr="00B06723">
        <w:rPr>
          <w:rFonts w:ascii="Arial" w:hAnsi="Arial" w:cs="Arial"/>
          <w:b/>
          <w:bCs/>
          <w:szCs w:val="22"/>
        </w:rPr>
        <w:t>QUADAS assessment for eligible studies</w:t>
      </w:r>
      <w:r w:rsidR="00CC63E9" w:rsidRPr="00B06723">
        <w:rPr>
          <w:rFonts w:ascii="Arial" w:hAnsi="Arial" w:cs="Arial"/>
          <w:b/>
          <w:bCs/>
          <w:szCs w:val="22"/>
        </w:rPr>
        <w:t xml:space="preserve"> </w:t>
      </w:r>
    </w:p>
    <w:p w14:paraId="175E5F30" w14:textId="3CF66FF1" w:rsidR="00F21EDD" w:rsidRPr="00B06723" w:rsidRDefault="00B00B61" w:rsidP="00B00B61">
      <w:pPr>
        <w:pStyle w:val="Body"/>
        <w:rPr>
          <w:rFonts w:ascii="Arial" w:hAnsi="Arial" w:cs="Arial"/>
          <w:i/>
          <w:iCs/>
          <w:sz w:val="18"/>
          <w:szCs w:val="18"/>
        </w:rPr>
      </w:pPr>
      <w:r w:rsidRPr="00B06723">
        <w:rPr>
          <w:rFonts w:ascii="Arial" w:hAnsi="Arial" w:cs="Arial"/>
          <w:i/>
          <w:iCs/>
          <w:sz w:val="18"/>
          <w:szCs w:val="18"/>
        </w:rPr>
        <w:t>(</w:t>
      </w:r>
      <w:r w:rsidRPr="00B06723">
        <w:rPr>
          <w:rFonts w:ascii="Arial" w:hAnsi="Arial" w:cs="Arial"/>
          <w:b/>
          <w:bCs/>
          <w:i/>
          <w:iCs/>
          <w:sz w:val="18"/>
          <w:szCs w:val="18"/>
        </w:rPr>
        <w:t>A</w:t>
      </w:r>
      <w:r w:rsidRPr="00B06723">
        <w:rPr>
          <w:rFonts w:ascii="Arial" w:hAnsi="Arial" w:cs="Arial"/>
          <w:i/>
          <w:iCs/>
          <w:sz w:val="18"/>
          <w:szCs w:val="18"/>
        </w:rPr>
        <w:t>) Risk of bias and applicability concerns summary. (</w:t>
      </w:r>
      <w:r w:rsidRPr="00B06723">
        <w:rPr>
          <w:rFonts w:ascii="Arial" w:hAnsi="Arial" w:cs="Arial"/>
          <w:b/>
          <w:bCs/>
          <w:i/>
          <w:iCs/>
          <w:sz w:val="18"/>
          <w:szCs w:val="18"/>
        </w:rPr>
        <w:t>B</w:t>
      </w:r>
      <w:r w:rsidRPr="00B06723">
        <w:rPr>
          <w:rFonts w:ascii="Arial" w:hAnsi="Arial" w:cs="Arial"/>
          <w:i/>
          <w:iCs/>
          <w:sz w:val="18"/>
          <w:szCs w:val="18"/>
        </w:rPr>
        <w:t>) Risk of bias and applicability concerns each included study.</w:t>
      </w:r>
      <w:r w:rsidR="00CC63E9" w:rsidRPr="00B06723">
        <w:rPr>
          <w:rFonts w:ascii="Arial" w:hAnsi="Arial" w:cs="Arial"/>
          <w:i/>
          <w:iCs/>
          <w:sz w:val="18"/>
          <w:szCs w:val="18"/>
        </w:rPr>
        <w:t xml:space="preserve"> </w:t>
      </w:r>
    </w:p>
    <w:p w14:paraId="68716804" w14:textId="492F1912" w:rsidR="00B00B61" w:rsidRPr="00B06723" w:rsidRDefault="00B00B61" w:rsidP="00B00B61">
      <w:pPr>
        <w:pStyle w:val="Body"/>
        <w:spacing w:after="0"/>
        <w:rPr>
          <w:rFonts w:ascii="Arial" w:hAnsi="Arial" w:cs="Arial"/>
          <w:b/>
          <w:sz w:val="22"/>
          <w:szCs w:val="22"/>
        </w:rPr>
      </w:pPr>
      <w:r w:rsidRPr="00B06723">
        <w:rPr>
          <w:rFonts w:ascii="Arial" w:hAnsi="Arial" w:cs="Arial"/>
          <w:b/>
          <w:sz w:val="22"/>
          <w:szCs w:val="22"/>
        </w:rPr>
        <w:lastRenderedPageBreak/>
        <w:t>3.3.</w:t>
      </w:r>
      <w:r w:rsidRPr="00B06723">
        <w:rPr>
          <w:rFonts w:ascii="Arial" w:hAnsi="Arial" w:cs="Arial"/>
          <w:b/>
          <w:sz w:val="22"/>
          <w:szCs w:val="22"/>
        </w:rPr>
        <w:tab/>
        <w:t>Diagnostic Performance of Circulating miRNA Profiling (miR-21, miR-141, and miR-375) in Prostate Cancer</w:t>
      </w:r>
    </w:p>
    <w:p w14:paraId="4351B583" w14:textId="77777777" w:rsidR="00A00A98" w:rsidRPr="00B06723" w:rsidRDefault="00A00A98" w:rsidP="00F21EDD">
      <w:pPr>
        <w:pStyle w:val="Body"/>
        <w:spacing w:after="0"/>
        <w:rPr>
          <w:rFonts w:ascii="Arial" w:hAnsi="Arial" w:cs="Arial"/>
        </w:rPr>
      </w:pPr>
    </w:p>
    <w:p w14:paraId="1A766837" w14:textId="1837ECF0" w:rsidR="00F21EDD" w:rsidRPr="00B06723" w:rsidRDefault="00F21EDD" w:rsidP="00F21EDD">
      <w:pPr>
        <w:pStyle w:val="Body"/>
        <w:spacing w:after="0"/>
        <w:rPr>
          <w:rFonts w:ascii="Arial" w:hAnsi="Arial" w:cs="Arial"/>
          <w:b/>
          <w:u w:val="single"/>
        </w:rPr>
      </w:pPr>
      <w:r w:rsidRPr="00B06723">
        <w:rPr>
          <w:rFonts w:ascii="Arial" w:hAnsi="Arial" w:cs="Arial"/>
          <w:b/>
          <w:u w:val="single"/>
        </w:rPr>
        <w:t>3.</w:t>
      </w:r>
      <w:r w:rsidR="00B00B61" w:rsidRPr="00B06723">
        <w:rPr>
          <w:rFonts w:ascii="Arial" w:hAnsi="Arial" w:cs="Arial"/>
          <w:b/>
          <w:u w:val="single"/>
        </w:rPr>
        <w:t xml:space="preserve">3.1. Diagnostic Value of miR-21 for Prostate Cancer  </w:t>
      </w:r>
    </w:p>
    <w:p w14:paraId="25E5C93A" w14:textId="77777777" w:rsidR="00B00B61" w:rsidRPr="00B06723" w:rsidRDefault="00B00B61" w:rsidP="00F21EDD">
      <w:pPr>
        <w:pStyle w:val="Body"/>
        <w:spacing w:after="0"/>
        <w:rPr>
          <w:rFonts w:ascii="Arial" w:hAnsi="Arial" w:cs="Arial"/>
        </w:rPr>
      </w:pPr>
    </w:p>
    <w:p w14:paraId="45081EE1" w14:textId="0EFA46B9" w:rsidR="00B00B61" w:rsidRPr="00B06723" w:rsidRDefault="00B00B61" w:rsidP="00B00B61">
      <w:pPr>
        <w:pStyle w:val="Body"/>
        <w:rPr>
          <w:rFonts w:ascii="Arial" w:hAnsi="Arial" w:cs="Arial"/>
        </w:rPr>
      </w:pPr>
      <w:r w:rsidRPr="00B06723">
        <w:rPr>
          <w:rFonts w:ascii="Arial" w:hAnsi="Arial" w:cs="Arial"/>
        </w:rPr>
        <w:t xml:space="preserve">The meta-analysis of sensitivity and specificity estimates from twelve eligible studies investigating miR-21 (n=1,277 participants) revealed significant heterogeneity (I²=94.38% for sensitivity, I²=64.62% for specificity, </w:t>
      </w:r>
      <w:r w:rsidRPr="00B06723">
        <w:rPr>
          <w:rFonts w:ascii="Arial" w:hAnsi="Arial" w:cs="Arial"/>
          <w:i/>
          <w:iCs/>
        </w:rPr>
        <w:t>P</w:t>
      </w:r>
      <w:r w:rsidRPr="00B06723">
        <w:rPr>
          <w:rFonts w:ascii="Arial" w:hAnsi="Arial" w:cs="Arial"/>
        </w:rPr>
        <w:t xml:space="preserve">&lt;.001), as shown in </w:t>
      </w:r>
      <w:r w:rsidRPr="00B06723">
        <w:rPr>
          <w:rFonts w:ascii="Arial" w:hAnsi="Arial" w:cs="Arial"/>
          <w:b/>
          <w:bCs/>
        </w:rPr>
        <w:t>Fig</w:t>
      </w:r>
      <w:r w:rsidR="00607B6A" w:rsidRPr="00B06723">
        <w:rPr>
          <w:rFonts w:ascii="Arial" w:hAnsi="Arial" w:cs="Arial"/>
          <w:b/>
          <w:bCs/>
        </w:rPr>
        <w:t>.</w:t>
      </w:r>
      <w:r w:rsidRPr="00B06723">
        <w:rPr>
          <w:rFonts w:ascii="Arial" w:hAnsi="Arial" w:cs="Arial"/>
          <w:b/>
          <w:bCs/>
        </w:rPr>
        <w:t xml:space="preserve"> 3A</w:t>
      </w:r>
      <w:r w:rsidRPr="00B06723">
        <w:rPr>
          <w:rFonts w:ascii="Arial" w:hAnsi="Arial" w:cs="Arial"/>
        </w:rPr>
        <w:t>. The forest plot of paired ROC curves is presented in the same figure. Overall analysis yielded a pooled sensitivity of 0.87 (95% CI: 0.76-0.94) and specificity of 0.86 (95% CI: 0.80-0.91), with an area under the ROC curve (AUC) of 0.92 (95% CI: 0.90-0.94) (</w:t>
      </w:r>
      <w:r w:rsidRPr="00B06723">
        <w:rPr>
          <w:rFonts w:ascii="Arial" w:hAnsi="Arial" w:cs="Arial"/>
          <w:b/>
          <w:bCs/>
        </w:rPr>
        <w:t>Fig. 4A</w:t>
      </w:r>
      <w:r w:rsidRPr="00B06723">
        <w:rPr>
          <w:rFonts w:ascii="Arial" w:hAnsi="Arial" w:cs="Arial"/>
        </w:rPr>
        <w:t xml:space="preserve">), indicating high diagnostic performance for miR-21 in prostate cancer detection. </w:t>
      </w:r>
    </w:p>
    <w:p w14:paraId="4B88CD29" w14:textId="644E90F5" w:rsidR="00F21EDD" w:rsidRPr="00B06723" w:rsidRDefault="00B00B61" w:rsidP="00B00B61">
      <w:pPr>
        <w:pStyle w:val="Body"/>
        <w:spacing w:after="0"/>
        <w:rPr>
          <w:rFonts w:ascii="Arial" w:hAnsi="Arial" w:cs="Arial"/>
        </w:rPr>
      </w:pPr>
      <w:r w:rsidRPr="00B06723">
        <w:rPr>
          <w:rFonts w:ascii="Arial" w:hAnsi="Arial" w:cs="Arial"/>
        </w:rPr>
        <w:t>Based on the pooled estimates, the following likelihood ratios were calculated: a positive likelihood ratio (LR+) of 6.4 (95% CI: 4.3–9.6) and negative likelihood ratio (LR−) of 0.15 (95% CI: 0.08–0.29), yielding a diagnostic odds ratio (DOR) of 43 (95% CI: 19–100). Assuming a pre-test probability (prevalence) of 25%, the post-test probability of prostate cancer following a positive test result increased to approximately 68% (red line), while it decreased to about 5% following a negative test result (blue line) (</w:t>
      </w:r>
      <w:r w:rsidRPr="00B06723">
        <w:rPr>
          <w:rFonts w:ascii="Arial" w:hAnsi="Arial" w:cs="Arial"/>
          <w:b/>
          <w:bCs/>
        </w:rPr>
        <w:t>Fig. 5A</w:t>
      </w:r>
      <w:r w:rsidRPr="00B06723">
        <w:rPr>
          <w:rFonts w:ascii="Arial" w:hAnsi="Arial" w:cs="Arial"/>
        </w:rPr>
        <w:t>)</w:t>
      </w:r>
      <w:r w:rsidR="00607B6A" w:rsidRPr="00B06723">
        <w:rPr>
          <w:rFonts w:ascii="Arial" w:hAnsi="Arial" w:cs="Arial"/>
        </w:rPr>
        <w:t xml:space="preserve">.  </w:t>
      </w:r>
    </w:p>
    <w:p w14:paraId="241DEDFE" w14:textId="77777777" w:rsidR="00607B6A" w:rsidRPr="00B06723" w:rsidRDefault="00607B6A" w:rsidP="00B00B61">
      <w:pPr>
        <w:pStyle w:val="Body"/>
        <w:spacing w:after="0"/>
        <w:rPr>
          <w:rFonts w:ascii="Arial" w:hAnsi="Arial" w:cs="Arial"/>
        </w:rPr>
      </w:pPr>
    </w:p>
    <w:p w14:paraId="6385CC39" w14:textId="75E4FEC9" w:rsidR="00607B6A" w:rsidRPr="00B06723" w:rsidRDefault="00607B6A" w:rsidP="00607B6A">
      <w:pPr>
        <w:pStyle w:val="Body"/>
        <w:spacing w:after="0"/>
        <w:rPr>
          <w:rFonts w:ascii="Arial" w:hAnsi="Arial" w:cs="Arial"/>
          <w:b/>
          <w:u w:val="single"/>
        </w:rPr>
      </w:pPr>
      <w:r w:rsidRPr="00B06723">
        <w:rPr>
          <w:rFonts w:ascii="Arial" w:hAnsi="Arial" w:cs="Arial"/>
          <w:b/>
          <w:u w:val="single"/>
        </w:rPr>
        <w:t xml:space="preserve">3.3.2. Diagnostic Performance of miR-141 in Prostate Cancer   </w:t>
      </w:r>
    </w:p>
    <w:p w14:paraId="14810D92" w14:textId="77777777" w:rsidR="00607B6A" w:rsidRPr="00B06723" w:rsidRDefault="00607B6A" w:rsidP="00B00B61">
      <w:pPr>
        <w:pStyle w:val="Body"/>
        <w:spacing w:after="0"/>
        <w:rPr>
          <w:rFonts w:ascii="Arial" w:hAnsi="Arial" w:cs="Arial"/>
        </w:rPr>
      </w:pPr>
    </w:p>
    <w:p w14:paraId="779FF26E" w14:textId="48076553" w:rsidR="00607B6A" w:rsidRPr="00B06723" w:rsidRDefault="00607B6A" w:rsidP="00607B6A">
      <w:pPr>
        <w:pStyle w:val="Body"/>
        <w:rPr>
          <w:rFonts w:ascii="Arial" w:hAnsi="Arial" w:cs="Arial"/>
        </w:rPr>
      </w:pPr>
      <w:r w:rsidRPr="00B06723">
        <w:rPr>
          <w:rFonts w:ascii="Arial" w:hAnsi="Arial" w:cs="Arial"/>
        </w:rPr>
        <w:t>Twelve studies involving 892 participants were included in the miR-141 analysis. The pooled sensitivity and specificity were estimated at 0.78 (95% CI: 0.67-0.86) and 0.87 (95% CI: 0.67-0.95), respectively, with an area under the ROC curve (AUC) of 0.87 (95% CI: 0.84-0.90) (</w:t>
      </w:r>
      <w:r w:rsidRPr="00B06723">
        <w:rPr>
          <w:rFonts w:ascii="Arial" w:hAnsi="Arial" w:cs="Arial"/>
          <w:b/>
          <w:bCs/>
        </w:rPr>
        <w:t>Fig. 4B</w:t>
      </w:r>
      <w:r w:rsidRPr="00B06723">
        <w:rPr>
          <w:rFonts w:ascii="Arial" w:hAnsi="Arial" w:cs="Arial"/>
        </w:rPr>
        <w:t xml:space="preserve">), indicating moderate to good diagnostic performance. Heterogeneity analysis revealed substantial variability across studies for both sensitivity (I² = 86.03%, </w:t>
      </w:r>
      <w:r w:rsidRPr="00B06723">
        <w:rPr>
          <w:rFonts w:ascii="Arial" w:hAnsi="Arial" w:cs="Arial"/>
          <w:i/>
          <w:iCs/>
        </w:rPr>
        <w:t>P</w:t>
      </w:r>
      <w:r w:rsidRPr="00B06723">
        <w:rPr>
          <w:rFonts w:ascii="Arial" w:hAnsi="Arial" w:cs="Arial"/>
        </w:rPr>
        <w:t xml:space="preserve"> &lt; .001) and specificity (I² = 81.03%, </w:t>
      </w:r>
      <w:r w:rsidRPr="00B06723">
        <w:rPr>
          <w:rFonts w:ascii="Arial" w:hAnsi="Arial" w:cs="Arial"/>
          <w:i/>
          <w:iCs/>
        </w:rPr>
        <w:t>P</w:t>
      </w:r>
      <w:r w:rsidRPr="00B06723">
        <w:rPr>
          <w:rFonts w:ascii="Arial" w:hAnsi="Arial" w:cs="Arial"/>
        </w:rPr>
        <w:t xml:space="preserve"> &lt; .001) (</w:t>
      </w:r>
      <w:r w:rsidRPr="00B06723">
        <w:rPr>
          <w:rFonts w:ascii="Arial" w:hAnsi="Arial" w:cs="Arial"/>
          <w:b/>
          <w:bCs/>
        </w:rPr>
        <w:t>Fig. 3B</w:t>
      </w:r>
      <w:r w:rsidRPr="00B06723">
        <w:rPr>
          <w:rFonts w:ascii="Arial" w:hAnsi="Arial" w:cs="Arial"/>
        </w:rPr>
        <w:t xml:space="preserve">). </w:t>
      </w:r>
    </w:p>
    <w:p w14:paraId="4E246B68" w14:textId="3D885F48" w:rsidR="00607B6A" w:rsidRPr="00B06723" w:rsidRDefault="00607B6A" w:rsidP="00607B6A">
      <w:pPr>
        <w:pStyle w:val="Body"/>
        <w:spacing w:after="0"/>
        <w:rPr>
          <w:rFonts w:ascii="Arial" w:hAnsi="Arial" w:cs="Arial"/>
        </w:rPr>
      </w:pPr>
      <w:r w:rsidRPr="00B06723">
        <w:rPr>
          <w:rFonts w:ascii="Arial" w:hAnsi="Arial" w:cs="Arial"/>
        </w:rPr>
        <w:t>From the combined estimates, the pooled positive likelihood ratio (LR+) was 5.8 (95% CI: 2.1-15.9), while the negative likelihood ratio (LR-) was 0.25 (95% CI: 0.16-0.40), yielding a diagnostic odds ratio (DOR) of 23 (95% CI: 7-90). Assuming a pre-test probability of 25%, the post-test probability of prostate cancer following a positive test result increased to approximately 66% (red line), whereas a negative test result reduced the probability to about 8% (blue line) (</w:t>
      </w:r>
      <w:r w:rsidRPr="00B06723">
        <w:rPr>
          <w:rFonts w:ascii="Arial" w:hAnsi="Arial" w:cs="Arial"/>
          <w:b/>
          <w:bCs/>
        </w:rPr>
        <w:t>Fig. 5B</w:t>
      </w:r>
      <w:r w:rsidRPr="00B06723">
        <w:rPr>
          <w:rFonts w:ascii="Arial" w:hAnsi="Arial" w:cs="Arial"/>
        </w:rPr>
        <w:t xml:space="preserve">). </w:t>
      </w:r>
    </w:p>
    <w:p w14:paraId="2E9EFE40" w14:textId="77777777" w:rsidR="00B00B61" w:rsidRPr="00B06723" w:rsidRDefault="00B00B61" w:rsidP="00B00B61">
      <w:pPr>
        <w:pStyle w:val="Body"/>
        <w:spacing w:after="0"/>
        <w:rPr>
          <w:rFonts w:ascii="Arial" w:hAnsi="Arial" w:cs="Arial"/>
        </w:rPr>
      </w:pPr>
    </w:p>
    <w:p w14:paraId="0722CCA9" w14:textId="1F47839F" w:rsidR="00607B6A" w:rsidRPr="00B06723" w:rsidRDefault="00607B6A" w:rsidP="00607B6A">
      <w:pPr>
        <w:pStyle w:val="Body"/>
        <w:spacing w:after="0"/>
        <w:rPr>
          <w:rFonts w:ascii="Arial" w:hAnsi="Arial" w:cs="Arial"/>
          <w:b/>
          <w:u w:val="single"/>
        </w:rPr>
      </w:pPr>
      <w:r w:rsidRPr="00B06723">
        <w:rPr>
          <w:rFonts w:ascii="Arial" w:hAnsi="Arial" w:cs="Arial"/>
          <w:b/>
          <w:u w:val="single"/>
        </w:rPr>
        <w:t xml:space="preserve">3.3.3. Diagnostic Performance of miR-375 in Prostate Cancer   </w:t>
      </w:r>
    </w:p>
    <w:p w14:paraId="531374AE" w14:textId="77777777" w:rsidR="00607B6A" w:rsidRPr="00B06723" w:rsidRDefault="00607B6A" w:rsidP="00607B6A">
      <w:pPr>
        <w:pStyle w:val="Body"/>
        <w:spacing w:after="0"/>
        <w:rPr>
          <w:rFonts w:ascii="Arial" w:hAnsi="Arial" w:cs="Arial"/>
          <w:b/>
          <w:u w:val="single"/>
        </w:rPr>
      </w:pPr>
    </w:p>
    <w:p w14:paraId="5905E601" w14:textId="1AB46A99" w:rsidR="00607B6A" w:rsidRPr="00B06723" w:rsidRDefault="00607B6A" w:rsidP="00607B6A">
      <w:pPr>
        <w:pStyle w:val="Body"/>
        <w:rPr>
          <w:rFonts w:ascii="Arial" w:hAnsi="Arial" w:cs="Arial"/>
        </w:rPr>
      </w:pPr>
      <w:r w:rsidRPr="00B06723">
        <w:rPr>
          <w:rFonts w:ascii="Arial" w:hAnsi="Arial" w:cs="Arial"/>
        </w:rPr>
        <w:t>Eleven studies involving 1,095 participants were included for miR-375 analysis. The combined estimates demonstrated a sensitivity of 0.76 (95% CI: 0.58-0.88) and specificity of 0.84 (95% CI: 0.73-0.92), with an area under the ROC curve (AUC) of 0.88 (95% CI: 0.85-0.90) (</w:t>
      </w:r>
      <w:r w:rsidRPr="00B06723">
        <w:rPr>
          <w:rFonts w:ascii="Arial" w:hAnsi="Arial" w:cs="Arial"/>
          <w:b/>
          <w:bCs/>
        </w:rPr>
        <w:t>Fig. 4C</w:t>
      </w:r>
      <w:r w:rsidRPr="00B06723">
        <w:rPr>
          <w:rFonts w:ascii="Arial" w:hAnsi="Arial" w:cs="Arial"/>
        </w:rPr>
        <w:t xml:space="preserve">), indicating moderate overall diagnostic accuracy. Considerable heterogeneity was observed for both sensitivity (I² = 93.73%, </w:t>
      </w:r>
      <w:r w:rsidRPr="00B06723">
        <w:rPr>
          <w:rFonts w:ascii="Arial" w:hAnsi="Arial" w:cs="Arial"/>
          <w:i/>
          <w:iCs/>
        </w:rPr>
        <w:t>P</w:t>
      </w:r>
      <w:r w:rsidRPr="00B06723">
        <w:rPr>
          <w:rFonts w:ascii="Arial" w:hAnsi="Arial" w:cs="Arial"/>
        </w:rPr>
        <w:t xml:space="preserve"> &lt; .001) and specificity (I² = 91.71%, </w:t>
      </w:r>
      <w:r w:rsidRPr="00B06723">
        <w:rPr>
          <w:rFonts w:ascii="Arial" w:hAnsi="Arial" w:cs="Arial"/>
          <w:i/>
          <w:iCs/>
        </w:rPr>
        <w:t>P</w:t>
      </w:r>
      <w:r w:rsidRPr="00B06723">
        <w:rPr>
          <w:rFonts w:ascii="Arial" w:hAnsi="Arial" w:cs="Arial"/>
        </w:rPr>
        <w:t xml:space="preserve"> &lt; .001) (</w:t>
      </w:r>
      <w:r w:rsidRPr="00B06723">
        <w:rPr>
          <w:rFonts w:ascii="Arial" w:hAnsi="Arial" w:cs="Arial"/>
          <w:b/>
          <w:bCs/>
        </w:rPr>
        <w:t>Fig. 3C</w:t>
      </w:r>
      <w:r w:rsidRPr="00B06723">
        <w:rPr>
          <w:rFonts w:ascii="Arial" w:hAnsi="Arial" w:cs="Arial"/>
        </w:rPr>
        <w:t>), suggesting substantial variability across the included studies.</w:t>
      </w:r>
    </w:p>
    <w:p w14:paraId="52558D3A" w14:textId="62F33A39" w:rsidR="00607B6A" w:rsidRPr="00B06723" w:rsidRDefault="00607B6A" w:rsidP="00607B6A">
      <w:pPr>
        <w:pStyle w:val="Body"/>
        <w:spacing w:after="0"/>
        <w:rPr>
          <w:rFonts w:ascii="Arial" w:hAnsi="Arial" w:cs="Arial"/>
        </w:rPr>
      </w:pPr>
      <w:r w:rsidRPr="00B06723">
        <w:rPr>
          <w:rFonts w:ascii="Arial" w:hAnsi="Arial" w:cs="Arial"/>
        </w:rPr>
        <w:t>The pooled positive and negative likelihood ratios (LR+ and LR-) were 4.8 (95% CI: 2.9-8.2) and 0.29 (95% CI: 0.18-0.51) respectively, yielding a diagnostic odds ratio (DOR) of 17 (95% CI: 8-38). Using a pre-test probability (prevalence) of 25%, the post-test probability of prostate cancer following a positive test result increased to approximately 62% (red line), while a negative test result reduced the probability to about 9% (blue line) (</w:t>
      </w:r>
      <w:r w:rsidRPr="00B06723">
        <w:rPr>
          <w:rFonts w:ascii="Arial" w:hAnsi="Arial" w:cs="Arial"/>
          <w:b/>
          <w:bCs/>
        </w:rPr>
        <w:t>Fig. 5C</w:t>
      </w:r>
      <w:r w:rsidRPr="00B06723">
        <w:rPr>
          <w:rFonts w:ascii="Arial" w:hAnsi="Arial" w:cs="Arial"/>
        </w:rPr>
        <w:t>).</w:t>
      </w:r>
    </w:p>
    <w:p w14:paraId="6D495F5F" w14:textId="77777777" w:rsidR="00607B6A" w:rsidRPr="00B06723" w:rsidRDefault="00607B6A" w:rsidP="00607B6A">
      <w:pPr>
        <w:pStyle w:val="Body"/>
        <w:spacing w:after="0"/>
        <w:rPr>
          <w:rFonts w:ascii="Arial" w:hAnsi="Arial" w:cs="Arial"/>
          <w:b/>
          <w:u w:val="single"/>
        </w:rPr>
      </w:pPr>
    </w:p>
    <w:p w14:paraId="67AFE36A" w14:textId="77777777" w:rsidR="000A33EA" w:rsidRPr="00B06723" w:rsidRDefault="000A33EA" w:rsidP="00607B6A">
      <w:pPr>
        <w:pStyle w:val="Body"/>
        <w:spacing w:after="0"/>
        <w:rPr>
          <w:rFonts w:ascii="Arial" w:hAnsi="Arial" w:cs="Arial"/>
          <w:b/>
          <w:u w:val="single"/>
        </w:rPr>
      </w:pPr>
    </w:p>
    <w:p w14:paraId="5C31BEAB" w14:textId="77777777" w:rsidR="000A33EA" w:rsidRPr="00B06723" w:rsidRDefault="000A33EA" w:rsidP="00607B6A">
      <w:pPr>
        <w:pStyle w:val="Body"/>
        <w:spacing w:after="0"/>
        <w:rPr>
          <w:rFonts w:ascii="Arial" w:hAnsi="Arial" w:cs="Arial"/>
          <w:b/>
          <w:u w:val="single"/>
        </w:rPr>
      </w:pPr>
    </w:p>
    <w:p w14:paraId="205B127D" w14:textId="77777777" w:rsidR="00607B6A" w:rsidRPr="00B06723" w:rsidRDefault="00607B6A" w:rsidP="00607B6A">
      <w:pPr>
        <w:pStyle w:val="Body"/>
        <w:spacing w:after="0"/>
        <w:rPr>
          <w:rFonts w:ascii="Arial" w:hAnsi="Arial" w:cs="Arial"/>
          <w:b/>
          <w:u w:val="single"/>
        </w:rPr>
      </w:pPr>
    </w:p>
    <w:p w14:paraId="38282DC7" w14:textId="09EE8D21" w:rsidR="00607B6A" w:rsidRPr="00B06723" w:rsidRDefault="00607B6A" w:rsidP="00607B6A">
      <w:pPr>
        <w:pStyle w:val="Body"/>
        <w:spacing w:after="0"/>
        <w:rPr>
          <w:rFonts w:ascii="Arial" w:hAnsi="Arial" w:cs="Arial"/>
          <w:b/>
          <w:u w:val="single"/>
        </w:rPr>
      </w:pPr>
      <w:r w:rsidRPr="00B06723">
        <w:rPr>
          <w:rFonts w:ascii="Arial" w:hAnsi="Arial" w:cs="Arial"/>
          <w:b/>
          <w:u w:val="single"/>
        </w:rPr>
        <w:lastRenderedPageBreak/>
        <w:t>3.3.4. Diagnostic Performance of Combined miR-21, miR-141, and miR-375</w:t>
      </w:r>
    </w:p>
    <w:p w14:paraId="78710774" w14:textId="77777777" w:rsidR="00607B6A" w:rsidRPr="00B06723" w:rsidRDefault="00607B6A" w:rsidP="00607B6A">
      <w:pPr>
        <w:pStyle w:val="Body"/>
        <w:spacing w:after="0"/>
        <w:rPr>
          <w:rFonts w:ascii="Arial" w:hAnsi="Arial" w:cs="Arial"/>
          <w:b/>
          <w:u w:val="single"/>
        </w:rPr>
      </w:pPr>
    </w:p>
    <w:p w14:paraId="0F82FBEF" w14:textId="1CA42D54" w:rsidR="00607B6A" w:rsidRPr="00B06723" w:rsidRDefault="00607B6A" w:rsidP="00607B6A">
      <w:pPr>
        <w:pStyle w:val="Body"/>
        <w:spacing w:after="0"/>
        <w:rPr>
          <w:rFonts w:ascii="Arial" w:hAnsi="Arial" w:cs="Arial"/>
        </w:rPr>
      </w:pPr>
      <w:r w:rsidRPr="00B06723">
        <w:rPr>
          <w:rFonts w:ascii="Arial" w:hAnsi="Arial" w:cs="Arial"/>
        </w:rPr>
        <w:t xml:space="preserve">A meta-analysis of sensitivity and specificity estimates from all 27 eligible studies (n=2,697 participants) revealed significant between-study heterogeneity (I²=92.30% for sensitivity, I²=80.75% for specificity). ROC curve analysis for the three-miRNA panel demonstrated a pooled sensitivity of 0.82 (95% CI: 0.75-0.88) and specificity of 0.86 (95% CI: 0.81-0.90), with an AUC value of 0.91 (95% CI: 0.88-0.93; </w:t>
      </w:r>
      <w:r w:rsidRPr="00B06723">
        <w:rPr>
          <w:rFonts w:ascii="Arial" w:hAnsi="Arial" w:cs="Arial"/>
          <w:b/>
          <w:bCs/>
        </w:rPr>
        <w:t>Fi</w:t>
      </w:r>
      <w:r w:rsidR="00DD38EA" w:rsidRPr="00B06723">
        <w:rPr>
          <w:rFonts w:ascii="Arial" w:hAnsi="Arial" w:cs="Arial"/>
          <w:b/>
          <w:bCs/>
        </w:rPr>
        <w:t>g.</w:t>
      </w:r>
      <w:r w:rsidRPr="00B06723">
        <w:rPr>
          <w:rFonts w:ascii="Arial" w:hAnsi="Arial" w:cs="Arial"/>
          <w:b/>
          <w:bCs/>
        </w:rPr>
        <w:t xml:space="preserve"> 4C</w:t>
      </w:r>
      <w:r w:rsidRPr="00B06723">
        <w:rPr>
          <w:rFonts w:ascii="Arial" w:hAnsi="Arial" w:cs="Arial"/>
        </w:rPr>
        <w:t>), indicating good overall diagnostic accuracy for the combined miRNA signature.</w:t>
      </w:r>
    </w:p>
    <w:p w14:paraId="752A75A5" w14:textId="77777777" w:rsidR="00607B6A" w:rsidRPr="00B06723" w:rsidRDefault="00607B6A" w:rsidP="00B00B61">
      <w:pPr>
        <w:pStyle w:val="Body"/>
        <w:spacing w:after="0"/>
        <w:rPr>
          <w:rFonts w:ascii="Arial" w:hAnsi="Arial" w:cs="Arial"/>
        </w:rPr>
      </w:pPr>
    </w:p>
    <w:p w14:paraId="0B66D3B9" w14:textId="57876576" w:rsidR="00607B6A" w:rsidRPr="00B06723" w:rsidRDefault="00607B6A" w:rsidP="00607B6A">
      <w:pPr>
        <w:pStyle w:val="Body"/>
        <w:spacing w:after="0"/>
        <w:rPr>
          <w:rFonts w:ascii="Arial" w:hAnsi="Arial" w:cs="Arial"/>
          <w:b/>
          <w:sz w:val="22"/>
          <w:szCs w:val="22"/>
        </w:rPr>
      </w:pPr>
      <w:r w:rsidRPr="00B06723">
        <w:rPr>
          <w:rFonts w:ascii="Arial" w:hAnsi="Arial" w:cs="Arial"/>
          <w:b/>
          <w:sz w:val="22"/>
          <w:szCs w:val="22"/>
        </w:rPr>
        <w:t>3.4.</w:t>
      </w:r>
      <w:r w:rsidRPr="00B06723">
        <w:rPr>
          <w:rFonts w:ascii="Arial" w:hAnsi="Arial" w:cs="Arial"/>
          <w:b/>
          <w:sz w:val="22"/>
          <w:szCs w:val="22"/>
        </w:rPr>
        <w:tab/>
        <w:t>Subgroup Analyses</w:t>
      </w:r>
      <w:r w:rsidR="00510C3B" w:rsidRPr="00B06723">
        <w:rPr>
          <w:rFonts w:ascii="Arial" w:hAnsi="Arial" w:cs="Arial"/>
          <w:b/>
          <w:sz w:val="22"/>
          <w:szCs w:val="22"/>
        </w:rPr>
        <w:t xml:space="preserve"> </w:t>
      </w:r>
    </w:p>
    <w:p w14:paraId="4AF5505A" w14:textId="77777777" w:rsidR="00607B6A" w:rsidRPr="00B06723" w:rsidRDefault="00607B6A" w:rsidP="00B00B61">
      <w:pPr>
        <w:pStyle w:val="Body"/>
        <w:spacing w:after="0"/>
        <w:rPr>
          <w:rFonts w:ascii="Arial" w:hAnsi="Arial" w:cs="Arial"/>
        </w:rPr>
      </w:pPr>
    </w:p>
    <w:p w14:paraId="56F08842" w14:textId="77777777" w:rsidR="00607B6A" w:rsidRPr="00B06723" w:rsidRDefault="00607B6A" w:rsidP="00607B6A">
      <w:pPr>
        <w:pStyle w:val="Body"/>
        <w:rPr>
          <w:rFonts w:ascii="Arial" w:hAnsi="Arial" w:cs="Arial"/>
        </w:rPr>
      </w:pPr>
      <w:r w:rsidRPr="00B06723">
        <w:rPr>
          <w:rFonts w:ascii="Arial" w:hAnsi="Arial" w:cs="Arial"/>
        </w:rPr>
        <w:t>We investigated potential sources of heterogeneity in the area under the ROC curve (AUC) through subgroup analyses stratified by sample type (serum, plasma, urine, whole blood) and control group composition (healthy men versus benign prostatic hyperplasia patients). These analyses identified these criteria as key heterogeneity factors in our meta-analysis.</w:t>
      </w:r>
    </w:p>
    <w:p w14:paraId="64A837B9" w14:textId="77777777" w:rsidR="00607B6A" w:rsidRPr="00B06723" w:rsidRDefault="00607B6A" w:rsidP="00607B6A">
      <w:pPr>
        <w:pStyle w:val="Body"/>
        <w:rPr>
          <w:rFonts w:ascii="Arial" w:hAnsi="Arial" w:cs="Arial"/>
        </w:rPr>
      </w:pPr>
      <w:r w:rsidRPr="00B06723">
        <w:rPr>
          <w:rFonts w:ascii="Arial" w:hAnsi="Arial" w:cs="Arial"/>
        </w:rPr>
        <w:t>Studies using plasma or whole blood showed marked variability (I² = 88.4% and 91.8%, respectively), contrasting with more homogeneous results from serum-based studies (I² = 51.0%). The inter-subgroup differences were statistically significant (</w:t>
      </w:r>
      <w:r w:rsidRPr="00B06723">
        <w:rPr>
          <w:rFonts w:ascii="Arial" w:hAnsi="Arial" w:cs="Arial"/>
          <w:i/>
          <w:iCs/>
        </w:rPr>
        <w:t>P</w:t>
      </w:r>
      <w:r w:rsidRPr="00B06723">
        <w:rPr>
          <w:rFonts w:ascii="Arial" w:hAnsi="Arial" w:cs="Arial"/>
        </w:rPr>
        <w:t xml:space="preserve"> &lt; .001), indicating that sample type substantially influences miRNA diagnostic performance, particularly regarding AUC values. Notably, miRNA diagnostic value was highest in whole blood (AUC = 0.91), followed by serum (AUC = 0.86), underscoring the importance of standardizing biological sampling protocols to enhance reproducibility and reliability in future research (</w:t>
      </w:r>
      <w:r w:rsidRPr="00B06723">
        <w:rPr>
          <w:rFonts w:ascii="Arial" w:hAnsi="Arial" w:cs="Arial"/>
          <w:b/>
          <w:bCs/>
        </w:rPr>
        <w:t>Table 2</w:t>
      </w:r>
      <w:r w:rsidRPr="00B06723">
        <w:rPr>
          <w:rFonts w:ascii="Arial" w:hAnsi="Arial" w:cs="Arial"/>
        </w:rPr>
        <w:t>).</w:t>
      </w:r>
    </w:p>
    <w:p w14:paraId="246E95B1" w14:textId="77777777" w:rsidR="00607B6A" w:rsidRPr="00B06723" w:rsidRDefault="00607B6A" w:rsidP="00607B6A">
      <w:pPr>
        <w:pStyle w:val="Body"/>
        <w:rPr>
          <w:rFonts w:ascii="Arial" w:hAnsi="Arial" w:cs="Arial"/>
        </w:rPr>
      </w:pPr>
      <w:r w:rsidRPr="00B06723">
        <w:rPr>
          <w:rFonts w:ascii="Arial" w:hAnsi="Arial" w:cs="Arial"/>
        </w:rPr>
        <w:t xml:space="preserve">Control group type (BPH versus healthy) emerged as another critical heterogeneity factor. Diagnostic performance showed significantly greater consistency with healthy controls (I² = 86.7%, </w:t>
      </w:r>
      <w:r w:rsidRPr="00B06723">
        <w:rPr>
          <w:rFonts w:ascii="Arial" w:hAnsi="Arial" w:cs="Arial"/>
          <w:i/>
          <w:iCs/>
        </w:rPr>
        <w:t>P</w:t>
      </w:r>
      <w:r w:rsidRPr="00B06723">
        <w:rPr>
          <w:rFonts w:ascii="Arial" w:hAnsi="Arial" w:cs="Arial"/>
        </w:rPr>
        <w:t xml:space="preserve"> &lt; .001) compared to BPH controls (I² = 92.4%, </w:t>
      </w:r>
      <w:r w:rsidRPr="00B06723">
        <w:rPr>
          <w:rFonts w:ascii="Arial" w:hAnsi="Arial" w:cs="Arial"/>
          <w:i/>
          <w:iCs/>
        </w:rPr>
        <w:t>P</w:t>
      </w:r>
      <w:r w:rsidRPr="00B06723">
        <w:rPr>
          <w:rFonts w:ascii="Arial" w:hAnsi="Arial" w:cs="Arial"/>
        </w:rPr>
        <w:t xml:space="preserve"> &lt; .001). While overall heterogeneity remained high (I² = 90.8%, </w:t>
      </w:r>
      <w:r w:rsidRPr="00B06723">
        <w:rPr>
          <w:rFonts w:ascii="Arial" w:hAnsi="Arial" w:cs="Arial"/>
          <w:i/>
          <w:iCs/>
        </w:rPr>
        <w:t xml:space="preserve">P </w:t>
      </w:r>
      <w:r w:rsidRPr="00B06723">
        <w:rPr>
          <w:rFonts w:ascii="Arial" w:hAnsi="Arial" w:cs="Arial"/>
        </w:rPr>
        <w:t>&lt; .001), the subgroup stratification highlights the importance of control group selection for result robustness (</w:t>
      </w:r>
      <w:r w:rsidRPr="00B06723">
        <w:rPr>
          <w:rFonts w:ascii="Arial" w:hAnsi="Arial" w:cs="Arial"/>
          <w:b/>
          <w:bCs/>
        </w:rPr>
        <w:t>Table 2</w:t>
      </w:r>
      <w:r w:rsidRPr="00B06723">
        <w:rPr>
          <w:rFonts w:ascii="Arial" w:hAnsi="Arial" w:cs="Arial"/>
        </w:rPr>
        <w:t>).</w:t>
      </w:r>
    </w:p>
    <w:p w14:paraId="417166D7" w14:textId="5D9EBDF2" w:rsidR="00607B6A" w:rsidRPr="00B06723" w:rsidRDefault="00607B6A" w:rsidP="00607B6A">
      <w:pPr>
        <w:pStyle w:val="Body"/>
        <w:spacing w:after="0"/>
        <w:rPr>
          <w:rFonts w:ascii="Arial" w:hAnsi="Arial" w:cs="Arial"/>
        </w:rPr>
      </w:pPr>
      <w:r w:rsidRPr="00B06723">
        <w:rPr>
          <w:rFonts w:ascii="Arial" w:hAnsi="Arial" w:cs="Arial"/>
        </w:rPr>
        <w:t>This comprehensive analysis reveals that both sample matrix and control group selection substantially impact miRNA biomarker performance, with whole blood showing superior diagnostic potential despite its greater variability. These findings emphasize the need for standardized protocols in future translational studies to optimize the clinical utility of miRNA-based prostate cancer detection</w:t>
      </w:r>
      <w:r w:rsidR="00DD38EA" w:rsidRPr="00B06723">
        <w:rPr>
          <w:rFonts w:ascii="Arial" w:hAnsi="Arial" w:cs="Arial"/>
        </w:rPr>
        <w:t>.</w:t>
      </w:r>
    </w:p>
    <w:p w14:paraId="6C2B9019" w14:textId="77777777" w:rsidR="00DD38EA" w:rsidRPr="00B06723" w:rsidRDefault="00DD38EA" w:rsidP="00607B6A">
      <w:pPr>
        <w:pStyle w:val="Body"/>
        <w:spacing w:after="0"/>
        <w:rPr>
          <w:rFonts w:ascii="Arial" w:hAnsi="Arial" w:cs="Arial"/>
        </w:rPr>
      </w:pPr>
    </w:p>
    <w:p w14:paraId="064339DD" w14:textId="77777777" w:rsidR="00DD38EA" w:rsidRPr="00B06723" w:rsidRDefault="00DD38EA" w:rsidP="00DD38EA">
      <w:pPr>
        <w:tabs>
          <w:tab w:val="left" w:pos="1080"/>
        </w:tabs>
        <w:jc w:val="both"/>
        <w:rPr>
          <w:rFonts w:ascii="Arial" w:hAnsi="Arial"/>
          <w:b/>
        </w:rPr>
      </w:pPr>
      <w:r w:rsidRPr="00B06723">
        <w:rPr>
          <w:rFonts w:ascii="Arial" w:hAnsi="Arial"/>
          <w:b/>
        </w:rPr>
        <w:t>Table 2: Subgroup analyses by type of control and sample using AUC values (95% CI)</w:t>
      </w:r>
    </w:p>
    <w:p w14:paraId="4A70E6C1" w14:textId="77777777" w:rsidR="0000574D" w:rsidRPr="00B06723" w:rsidRDefault="0000574D" w:rsidP="00DD38EA">
      <w:pPr>
        <w:tabs>
          <w:tab w:val="left" w:pos="1080"/>
        </w:tabs>
        <w:jc w:val="both"/>
        <w:rPr>
          <w:rFonts w:ascii="Arial" w:hAnsi="Arial"/>
          <w:b/>
        </w:rPr>
      </w:pPr>
    </w:p>
    <w:tbl>
      <w:tblPr>
        <w:tblStyle w:val="PlainTable2"/>
        <w:tblW w:w="9162" w:type="dxa"/>
        <w:tblLook w:val="04A0" w:firstRow="1" w:lastRow="0" w:firstColumn="1" w:lastColumn="0" w:noHBand="0" w:noVBand="1"/>
      </w:tblPr>
      <w:tblGrid>
        <w:gridCol w:w="1630"/>
        <w:gridCol w:w="1390"/>
        <w:gridCol w:w="1465"/>
        <w:gridCol w:w="1381"/>
        <w:gridCol w:w="1550"/>
        <w:gridCol w:w="1746"/>
      </w:tblGrid>
      <w:tr w:rsidR="0000574D" w:rsidRPr="00B06723" w14:paraId="4B276A5E" w14:textId="77777777" w:rsidTr="0000574D">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60" w:type="dxa"/>
            <w:hideMark/>
          </w:tcPr>
          <w:p w14:paraId="13DDE76F" w14:textId="77777777" w:rsidR="0000574D" w:rsidRPr="00B06723" w:rsidRDefault="0000574D" w:rsidP="004D593F">
            <w:pPr>
              <w:autoSpaceDE w:val="0"/>
              <w:autoSpaceDN w:val="0"/>
              <w:adjustRightInd w:val="0"/>
              <w:spacing w:line="360" w:lineRule="auto"/>
              <w:ind w:right="-283"/>
              <w:jc w:val="both"/>
              <w:rPr>
                <w:rFonts w:ascii="Arial" w:eastAsia="Times New Roman" w:hAnsi="Arial" w:cs="Arial"/>
                <w:b w:val="0"/>
                <w:bCs w:val="0"/>
                <w:sz w:val="20"/>
                <w:szCs w:val="20"/>
                <w:lang w:val="en-US" w:eastAsia="fr-FR"/>
              </w:rPr>
            </w:pPr>
            <w:bookmarkStart w:id="2" w:name="_Hlk201914220"/>
            <w:r w:rsidRPr="00B06723">
              <w:rPr>
                <w:rFonts w:ascii="Arial" w:eastAsia="Times New Roman" w:hAnsi="Arial" w:cs="Arial"/>
                <w:sz w:val="20"/>
                <w:szCs w:val="20"/>
                <w:lang w:val="en-US" w:eastAsia="fr-FR"/>
              </w:rPr>
              <w:t>Category</w:t>
            </w:r>
          </w:p>
        </w:tc>
        <w:tc>
          <w:tcPr>
            <w:tcW w:w="1404" w:type="dxa"/>
            <w:hideMark/>
          </w:tcPr>
          <w:p w14:paraId="43045555" w14:textId="77777777" w:rsidR="0000574D" w:rsidRPr="00B06723"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6723">
              <w:rPr>
                <w:rFonts w:ascii="Arial" w:eastAsia="Times New Roman" w:hAnsi="Arial" w:cs="Arial"/>
                <w:sz w:val="20"/>
                <w:szCs w:val="20"/>
                <w:lang w:val="en-US" w:eastAsia="fr-FR"/>
              </w:rPr>
              <w:t>subgroup</w:t>
            </w:r>
          </w:p>
        </w:tc>
        <w:tc>
          <w:tcPr>
            <w:tcW w:w="1503" w:type="dxa"/>
            <w:hideMark/>
          </w:tcPr>
          <w:p w14:paraId="184A66B6" w14:textId="77777777" w:rsidR="0000574D" w:rsidRPr="00B06723"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6723">
              <w:rPr>
                <w:rFonts w:ascii="Arial" w:eastAsia="Times New Roman" w:hAnsi="Arial" w:cs="Arial"/>
                <w:sz w:val="20"/>
                <w:szCs w:val="20"/>
                <w:lang w:val="en-US" w:eastAsia="fr-FR"/>
              </w:rPr>
              <w:t>AUC (CI 95%)</w:t>
            </w:r>
          </w:p>
        </w:tc>
        <w:tc>
          <w:tcPr>
            <w:tcW w:w="1404" w:type="dxa"/>
            <w:hideMark/>
          </w:tcPr>
          <w:p w14:paraId="79531CDF" w14:textId="77777777" w:rsidR="0000574D" w:rsidRPr="00B06723"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6723">
              <w:rPr>
                <w:rFonts w:ascii="Arial" w:eastAsia="Times New Roman" w:hAnsi="Arial" w:cs="Arial"/>
                <w:sz w:val="20"/>
                <w:szCs w:val="20"/>
                <w:lang w:val="en-US" w:eastAsia="fr-FR"/>
              </w:rPr>
              <w:t xml:space="preserve">Number of </w:t>
            </w:r>
            <w:proofErr w:type="spellStart"/>
            <w:r w:rsidRPr="00B06723">
              <w:rPr>
                <w:rFonts w:ascii="Arial" w:eastAsia="Times New Roman" w:hAnsi="Arial" w:cs="Arial"/>
                <w:sz w:val="20"/>
                <w:szCs w:val="20"/>
                <w:lang w:val="en-US" w:eastAsia="fr-FR"/>
              </w:rPr>
              <w:t>of</w:t>
            </w:r>
            <w:proofErr w:type="spellEnd"/>
            <w:r w:rsidRPr="00B06723">
              <w:rPr>
                <w:rFonts w:ascii="Arial" w:eastAsia="Times New Roman" w:hAnsi="Arial" w:cs="Arial"/>
                <w:sz w:val="20"/>
                <w:szCs w:val="20"/>
                <w:lang w:val="en-US" w:eastAsia="fr-FR"/>
              </w:rPr>
              <w:t xml:space="preserve"> studies</w:t>
            </w:r>
          </w:p>
        </w:tc>
        <w:tc>
          <w:tcPr>
            <w:tcW w:w="1434" w:type="dxa"/>
            <w:hideMark/>
          </w:tcPr>
          <w:p w14:paraId="04877F2A" w14:textId="77777777" w:rsidR="0000574D" w:rsidRPr="00B06723"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6723">
              <w:rPr>
                <w:rFonts w:ascii="Arial" w:eastAsia="Times New Roman" w:hAnsi="Arial" w:cs="Arial"/>
                <w:sz w:val="20"/>
                <w:szCs w:val="20"/>
                <w:lang w:val="en-US" w:eastAsia="fr-FR"/>
              </w:rPr>
              <w:t xml:space="preserve">Heterogeneity </w:t>
            </w:r>
          </w:p>
          <w:p w14:paraId="5D263450" w14:textId="77777777" w:rsidR="0000574D" w:rsidRPr="00B06723"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6723">
              <w:rPr>
                <w:rFonts w:ascii="Arial" w:eastAsia="Times New Roman" w:hAnsi="Arial" w:cs="Arial"/>
                <w:sz w:val="20"/>
                <w:szCs w:val="20"/>
                <w:lang w:val="en-US" w:eastAsia="fr-FR"/>
              </w:rPr>
              <w:t xml:space="preserve">(I², </w:t>
            </w:r>
            <w:r w:rsidRPr="00B06723">
              <w:rPr>
                <w:rFonts w:ascii="Arial" w:eastAsia="Times New Roman" w:hAnsi="Arial" w:cs="Arial"/>
                <w:b w:val="0"/>
                <w:bCs w:val="0"/>
                <w:i/>
                <w:iCs/>
                <w:sz w:val="20"/>
                <w:szCs w:val="20"/>
                <w:lang w:val="en-US" w:eastAsia="fr-FR"/>
              </w:rPr>
              <w:t>P</w:t>
            </w:r>
            <w:r w:rsidRPr="00B06723">
              <w:rPr>
                <w:rFonts w:ascii="Arial" w:eastAsia="Times New Roman" w:hAnsi="Arial" w:cs="Arial"/>
                <w:sz w:val="20"/>
                <w:szCs w:val="20"/>
                <w:lang w:val="en-US" w:eastAsia="fr-FR"/>
              </w:rPr>
              <w:t>-value)</w:t>
            </w:r>
          </w:p>
        </w:tc>
        <w:tc>
          <w:tcPr>
            <w:tcW w:w="1757" w:type="dxa"/>
            <w:hideMark/>
          </w:tcPr>
          <w:p w14:paraId="1DB1DAE6" w14:textId="4656AE06" w:rsidR="0000574D" w:rsidRPr="00B06723"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6723">
              <w:rPr>
                <w:rFonts w:ascii="Arial" w:eastAsia="Times New Roman" w:hAnsi="Arial" w:cs="Arial"/>
                <w:sz w:val="20"/>
                <w:szCs w:val="20"/>
                <w:lang w:val="en-US" w:eastAsia="fr-FR"/>
              </w:rPr>
              <w:t xml:space="preserve">Heterogeneity between groups </w:t>
            </w:r>
          </w:p>
        </w:tc>
      </w:tr>
      <w:tr w:rsidR="0000574D" w:rsidRPr="00B06723" w14:paraId="26C68374" w14:textId="77777777" w:rsidTr="0000574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60" w:type="dxa"/>
            <w:vMerge w:val="restart"/>
            <w:hideMark/>
          </w:tcPr>
          <w:p w14:paraId="4228768F" w14:textId="77777777" w:rsidR="0000574D" w:rsidRPr="00B06723" w:rsidRDefault="0000574D" w:rsidP="004D593F">
            <w:pPr>
              <w:autoSpaceDE w:val="0"/>
              <w:autoSpaceDN w:val="0"/>
              <w:adjustRightInd w:val="0"/>
              <w:spacing w:line="360" w:lineRule="auto"/>
              <w:ind w:right="-283"/>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Type of control</w:t>
            </w:r>
          </w:p>
        </w:tc>
        <w:tc>
          <w:tcPr>
            <w:tcW w:w="1404" w:type="dxa"/>
            <w:tcBorders>
              <w:bottom w:val="nil"/>
            </w:tcBorders>
            <w:hideMark/>
          </w:tcPr>
          <w:p w14:paraId="255920B2"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BPH</w:t>
            </w:r>
          </w:p>
        </w:tc>
        <w:tc>
          <w:tcPr>
            <w:tcW w:w="1503" w:type="dxa"/>
            <w:tcBorders>
              <w:bottom w:val="nil"/>
            </w:tcBorders>
            <w:hideMark/>
          </w:tcPr>
          <w:p w14:paraId="674810D9"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0.77 (0.71–0.84)</w:t>
            </w:r>
          </w:p>
        </w:tc>
        <w:tc>
          <w:tcPr>
            <w:tcW w:w="1404" w:type="dxa"/>
            <w:tcBorders>
              <w:bottom w:val="nil"/>
            </w:tcBorders>
            <w:hideMark/>
          </w:tcPr>
          <w:p w14:paraId="52BB39E9"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13</w:t>
            </w:r>
          </w:p>
        </w:tc>
        <w:tc>
          <w:tcPr>
            <w:tcW w:w="1434" w:type="dxa"/>
            <w:tcBorders>
              <w:bottom w:val="nil"/>
            </w:tcBorders>
            <w:hideMark/>
          </w:tcPr>
          <w:p w14:paraId="73A97AC1"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 xml:space="preserve">92.4%, </w:t>
            </w:r>
            <w:r w:rsidRPr="00B06723">
              <w:rPr>
                <w:rFonts w:ascii="Arial" w:eastAsia="Times New Roman" w:hAnsi="Arial" w:cs="Arial"/>
                <w:i/>
                <w:iCs/>
                <w:sz w:val="20"/>
                <w:szCs w:val="20"/>
                <w:lang w:val="en-US" w:eastAsia="fr-FR"/>
              </w:rPr>
              <w:t>P</w:t>
            </w:r>
            <w:r w:rsidRPr="00B06723">
              <w:rPr>
                <w:rFonts w:ascii="Arial" w:eastAsia="Times New Roman" w:hAnsi="Arial" w:cs="Arial"/>
                <w:sz w:val="20"/>
                <w:szCs w:val="20"/>
                <w:lang w:val="en-US" w:eastAsia="fr-FR"/>
              </w:rPr>
              <w:t xml:space="preserve"> &lt; .001</w:t>
            </w:r>
          </w:p>
        </w:tc>
        <w:tc>
          <w:tcPr>
            <w:tcW w:w="1757" w:type="dxa"/>
            <w:vMerge w:val="restart"/>
            <w:hideMark/>
          </w:tcPr>
          <w:p w14:paraId="47D73985" w14:textId="66ED9915"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b/>
                <w:bCs/>
                <w:i/>
                <w:iCs/>
                <w:sz w:val="20"/>
                <w:szCs w:val="20"/>
                <w:lang w:val="en-US" w:eastAsia="fr-FR"/>
              </w:rPr>
              <w:t xml:space="preserve">P </w:t>
            </w:r>
            <w:r w:rsidRPr="00B06723">
              <w:rPr>
                <w:rFonts w:ascii="Arial" w:eastAsia="Times New Roman" w:hAnsi="Arial" w:cs="Arial"/>
                <w:b/>
                <w:bCs/>
                <w:sz w:val="20"/>
                <w:szCs w:val="20"/>
                <w:lang w:val="en-US" w:eastAsia="fr-FR"/>
              </w:rPr>
              <w:t>= .03</w:t>
            </w:r>
          </w:p>
        </w:tc>
      </w:tr>
      <w:tr w:rsidR="0000574D" w:rsidRPr="00B06723" w14:paraId="65FC873A"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hideMark/>
          </w:tcPr>
          <w:p w14:paraId="28ADAE57" w14:textId="77777777" w:rsidR="0000574D" w:rsidRPr="00B06723"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2A061819"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HP</w:t>
            </w:r>
          </w:p>
        </w:tc>
        <w:tc>
          <w:tcPr>
            <w:tcW w:w="1503" w:type="dxa"/>
            <w:tcBorders>
              <w:top w:val="nil"/>
              <w:bottom w:val="nil"/>
            </w:tcBorders>
            <w:hideMark/>
          </w:tcPr>
          <w:p w14:paraId="46D73E6A"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0.86 (0.81–0.91)</w:t>
            </w:r>
          </w:p>
        </w:tc>
        <w:tc>
          <w:tcPr>
            <w:tcW w:w="1404" w:type="dxa"/>
            <w:tcBorders>
              <w:top w:val="nil"/>
              <w:bottom w:val="nil"/>
            </w:tcBorders>
            <w:hideMark/>
          </w:tcPr>
          <w:p w14:paraId="4A823F59"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13</w:t>
            </w:r>
          </w:p>
        </w:tc>
        <w:tc>
          <w:tcPr>
            <w:tcW w:w="1434" w:type="dxa"/>
            <w:tcBorders>
              <w:top w:val="nil"/>
              <w:bottom w:val="nil"/>
            </w:tcBorders>
            <w:hideMark/>
          </w:tcPr>
          <w:p w14:paraId="01C5272E"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 xml:space="preserve">86.7%, </w:t>
            </w:r>
            <w:r w:rsidRPr="00B06723">
              <w:rPr>
                <w:rFonts w:ascii="Arial" w:eastAsia="Times New Roman" w:hAnsi="Arial" w:cs="Arial"/>
                <w:i/>
                <w:iCs/>
                <w:sz w:val="20"/>
                <w:szCs w:val="20"/>
                <w:lang w:val="en-US" w:eastAsia="fr-FR"/>
              </w:rPr>
              <w:t>P</w:t>
            </w:r>
            <w:r w:rsidRPr="00B06723">
              <w:rPr>
                <w:rFonts w:ascii="Arial" w:eastAsia="Times New Roman" w:hAnsi="Arial" w:cs="Arial"/>
                <w:sz w:val="20"/>
                <w:szCs w:val="20"/>
                <w:lang w:val="en-US" w:eastAsia="fr-FR"/>
              </w:rPr>
              <w:t xml:space="preserve"> &lt; .001</w:t>
            </w:r>
          </w:p>
        </w:tc>
        <w:tc>
          <w:tcPr>
            <w:tcW w:w="1757" w:type="dxa"/>
            <w:vMerge/>
            <w:tcBorders>
              <w:bottom w:val="nil"/>
            </w:tcBorders>
            <w:hideMark/>
          </w:tcPr>
          <w:p w14:paraId="037CCE21"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tr w:rsidR="0000574D" w:rsidRPr="00B06723" w14:paraId="44369267"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bottom w:val="nil"/>
            </w:tcBorders>
            <w:hideMark/>
          </w:tcPr>
          <w:p w14:paraId="23DCB898" w14:textId="77777777" w:rsidR="0000574D" w:rsidRPr="00B06723"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65A2656D"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b/>
                <w:bCs/>
                <w:sz w:val="20"/>
                <w:szCs w:val="20"/>
                <w:lang w:val="en-US" w:eastAsia="fr-FR"/>
              </w:rPr>
              <w:t>Global</w:t>
            </w:r>
          </w:p>
        </w:tc>
        <w:tc>
          <w:tcPr>
            <w:tcW w:w="1503" w:type="dxa"/>
            <w:tcBorders>
              <w:top w:val="nil"/>
              <w:bottom w:val="nil"/>
            </w:tcBorders>
            <w:hideMark/>
          </w:tcPr>
          <w:p w14:paraId="2219E802"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0.81 (0.78–0.89)</w:t>
            </w:r>
          </w:p>
        </w:tc>
        <w:tc>
          <w:tcPr>
            <w:tcW w:w="1404" w:type="dxa"/>
            <w:tcBorders>
              <w:top w:val="nil"/>
              <w:bottom w:val="nil"/>
            </w:tcBorders>
            <w:hideMark/>
          </w:tcPr>
          <w:p w14:paraId="56E64D4C"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26</w:t>
            </w:r>
          </w:p>
        </w:tc>
        <w:tc>
          <w:tcPr>
            <w:tcW w:w="1434" w:type="dxa"/>
            <w:tcBorders>
              <w:top w:val="nil"/>
              <w:bottom w:val="nil"/>
            </w:tcBorders>
            <w:hideMark/>
          </w:tcPr>
          <w:p w14:paraId="5C303BC4"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 xml:space="preserve">90.8%, </w:t>
            </w:r>
            <w:r w:rsidRPr="00B06723">
              <w:rPr>
                <w:rFonts w:ascii="Arial" w:eastAsia="Times New Roman" w:hAnsi="Arial" w:cs="Arial"/>
                <w:i/>
                <w:iCs/>
                <w:sz w:val="20"/>
                <w:szCs w:val="20"/>
                <w:lang w:val="en-US" w:eastAsia="fr-FR"/>
              </w:rPr>
              <w:t>P</w:t>
            </w:r>
            <w:r w:rsidRPr="00B06723">
              <w:rPr>
                <w:rFonts w:ascii="Arial" w:eastAsia="Times New Roman" w:hAnsi="Arial" w:cs="Arial"/>
                <w:sz w:val="20"/>
                <w:szCs w:val="20"/>
                <w:lang w:val="en-US" w:eastAsia="fr-FR"/>
              </w:rPr>
              <w:t xml:space="preserve"> &lt; .001</w:t>
            </w:r>
          </w:p>
        </w:tc>
        <w:tc>
          <w:tcPr>
            <w:tcW w:w="1757" w:type="dxa"/>
            <w:tcBorders>
              <w:top w:val="nil"/>
              <w:bottom w:val="nil"/>
            </w:tcBorders>
            <w:hideMark/>
          </w:tcPr>
          <w:p w14:paraId="4171C244"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6723" w14:paraId="1CB1E787" w14:textId="77777777" w:rsidTr="0000574D">
        <w:trPr>
          <w:trHeight w:val="274"/>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nil"/>
              <w:bottom w:val="single" w:sz="4" w:space="0" w:color="7F7F7F" w:themeColor="text1" w:themeTint="80"/>
            </w:tcBorders>
            <w:hideMark/>
          </w:tcPr>
          <w:p w14:paraId="7C9B623D" w14:textId="77777777" w:rsidR="0000574D" w:rsidRPr="00B06723"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Type of sample</w:t>
            </w:r>
          </w:p>
        </w:tc>
        <w:tc>
          <w:tcPr>
            <w:tcW w:w="1404" w:type="dxa"/>
            <w:tcBorders>
              <w:top w:val="nil"/>
              <w:bottom w:val="nil"/>
            </w:tcBorders>
            <w:hideMark/>
          </w:tcPr>
          <w:p w14:paraId="7014C2C8"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Plasma</w:t>
            </w:r>
          </w:p>
        </w:tc>
        <w:tc>
          <w:tcPr>
            <w:tcW w:w="1503" w:type="dxa"/>
            <w:tcBorders>
              <w:top w:val="nil"/>
              <w:bottom w:val="nil"/>
            </w:tcBorders>
            <w:hideMark/>
          </w:tcPr>
          <w:p w14:paraId="67815FF9"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0.77 (0.69–0.85)</w:t>
            </w:r>
          </w:p>
        </w:tc>
        <w:tc>
          <w:tcPr>
            <w:tcW w:w="1404" w:type="dxa"/>
            <w:tcBorders>
              <w:top w:val="nil"/>
              <w:bottom w:val="nil"/>
            </w:tcBorders>
            <w:hideMark/>
          </w:tcPr>
          <w:p w14:paraId="694BD442"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8</w:t>
            </w:r>
          </w:p>
        </w:tc>
        <w:tc>
          <w:tcPr>
            <w:tcW w:w="1434" w:type="dxa"/>
            <w:tcBorders>
              <w:top w:val="nil"/>
              <w:bottom w:val="nil"/>
            </w:tcBorders>
            <w:hideMark/>
          </w:tcPr>
          <w:p w14:paraId="1D1ACB09"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 xml:space="preserve">88.4%, </w:t>
            </w:r>
            <w:r w:rsidRPr="00B06723">
              <w:rPr>
                <w:rFonts w:ascii="Arial" w:eastAsia="Times New Roman" w:hAnsi="Arial" w:cs="Arial"/>
                <w:i/>
                <w:iCs/>
                <w:sz w:val="20"/>
                <w:szCs w:val="20"/>
                <w:lang w:val="en-US" w:eastAsia="fr-FR"/>
              </w:rPr>
              <w:t>P</w:t>
            </w:r>
            <w:r w:rsidRPr="00B06723">
              <w:rPr>
                <w:rFonts w:ascii="Arial" w:eastAsia="Times New Roman" w:hAnsi="Arial" w:cs="Arial"/>
                <w:sz w:val="20"/>
                <w:szCs w:val="20"/>
                <w:lang w:val="en-US" w:eastAsia="fr-FR"/>
              </w:rPr>
              <w:t xml:space="preserve"> &lt; .001</w:t>
            </w:r>
          </w:p>
        </w:tc>
        <w:tc>
          <w:tcPr>
            <w:tcW w:w="1757" w:type="dxa"/>
            <w:vMerge w:val="restart"/>
            <w:tcBorders>
              <w:top w:val="nil"/>
              <w:bottom w:val="nil"/>
            </w:tcBorders>
            <w:hideMark/>
          </w:tcPr>
          <w:p w14:paraId="27EBD0B1"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b/>
                <w:bCs/>
                <w:i/>
                <w:iCs/>
                <w:sz w:val="20"/>
                <w:szCs w:val="20"/>
                <w:lang w:val="en-US" w:eastAsia="fr-FR"/>
              </w:rPr>
              <w:t>P</w:t>
            </w:r>
            <w:r w:rsidRPr="00B06723">
              <w:rPr>
                <w:rFonts w:ascii="Arial" w:eastAsia="Times New Roman" w:hAnsi="Arial" w:cs="Arial"/>
                <w:b/>
                <w:bCs/>
                <w:sz w:val="20"/>
                <w:szCs w:val="20"/>
                <w:lang w:val="en-US" w:eastAsia="fr-FR"/>
              </w:rPr>
              <w:t xml:space="preserve"> &lt; .001</w:t>
            </w:r>
          </w:p>
        </w:tc>
      </w:tr>
      <w:tr w:rsidR="0000574D" w:rsidRPr="00B06723" w14:paraId="48DAFCF1"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tcBorders>
            <w:hideMark/>
          </w:tcPr>
          <w:p w14:paraId="700BD59F" w14:textId="77777777" w:rsidR="0000574D" w:rsidRPr="00B06723"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110F1BB7"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Serum</w:t>
            </w:r>
          </w:p>
        </w:tc>
        <w:tc>
          <w:tcPr>
            <w:tcW w:w="1503" w:type="dxa"/>
            <w:tcBorders>
              <w:top w:val="nil"/>
              <w:bottom w:val="nil"/>
            </w:tcBorders>
            <w:hideMark/>
          </w:tcPr>
          <w:p w14:paraId="0BA70523"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0.86 (0.83–0.90)</w:t>
            </w:r>
          </w:p>
        </w:tc>
        <w:tc>
          <w:tcPr>
            <w:tcW w:w="1404" w:type="dxa"/>
            <w:tcBorders>
              <w:top w:val="nil"/>
              <w:bottom w:val="nil"/>
            </w:tcBorders>
            <w:hideMark/>
          </w:tcPr>
          <w:p w14:paraId="217CD866"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8</w:t>
            </w:r>
          </w:p>
        </w:tc>
        <w:tc>
          <w:tcPr>
            <w:tcW w:w="1434" w:type="dxa"/>
            <w:tcBorders>
              <w:top w:val="nil"/>
              <w:bottom w:val="nil"/>
            </w:tcBorders>
            <w:hideMark/>
          </w:tcPr>
          <w:p w14:paraId="4D867BDF"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 xml:space="preserve">51.0%, </w:t>
            </w:r>
            <w:r w:rsidRPr="00B06723">
              <w:rPr>
                <w:rFonts w:ascii="Arial" w:eastAsia="Times New Roman" w:hAnsi="Arial" w:cs="Arial"/>
                <w:i/>
                <w:iCs/>
                <w:sz w:val="20"/>
                <w:szCs w:val="20"/>
                <w:lang w:val="en-US" w:eastAsia="fr-FR"/>
              </w:rPr>
              <w:t xml:space="preserve">P </w:t>
            </w:r>
            <w:r w:rsidRPr="00B06723">
              <w:rPr>
                <w:rFonts w:ascii="Arial" w:eastAsia="Times New Roman" w:hAnsi="Arial" w:cs="Arial"/>
                <w:sz w:val="20"/>
                <w:szCs w:val="20"/>
                <w:lang w:val="en-US" w:eastAsia="fr-FR"/>
              </w:rPr>
              <w:t>= .021</w:t>
            </w:r>
          </w:p>
        </w:tc>
        <w:tc>
          <w:tcPr>
            <w:tcW w:w="1757" w:type="dxa"/>
            <w:vMerge/>
            <w:tcBorders>
              <w:top w:val="nil"/>
              <w:bottom w:val="nil"/>
            </w:tcBorders>
            <w:hideMark/>
          </w:tcPr>
          <w:p w14:paraId="3B4B0A68"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6723" w14:paraId="47F241BF"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bottom w:val="single" w:sz="4" w:space="0" w:color="7F7F7F" w:themeColor="text1" w:themeTint="80"/>
            </w:tcBorders>
            <w:hideMark/>
          </w:tcPr>
          <w:p w14:paraId="14267621" w14:textId="77777777" w:rsidR="0000574D" w:rsidRPr="00B06723"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228E9BE5"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Urine</w:t>
            </w:r>
          </w:p>
        </w:tc>
        <w:tc>
          <w:tcPr>
            <w:tcW w:w="1503" w:type="dxa"/>
            <w:tcBorders>
              <w:top w:val="nil"/>
              <w:bottom w:val="nil"/>
            </w:tcBorders>
            <w:hideMark/>
          </w:tcPr>
          <w:p w14:paraId="53FF53BE"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0.73 (0.66–0.80)</w:t>
            </w:r>
          </w:p>
        </w:tc>
        <w:tc>
          <w:tcPr>
            <w:tcW w:w="1404" w:type="dxa"/>
            <w:tcBorders>
              <w:top w:val="nil"/>
              <w:bottom w:val="nil"/>
            </w:tcBorders>
            <w:hideMark/>
          </w:tcPr>
          <w:p w14:paraId="053C78AB"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5</w:t>
            </w:r>
          </w:p>
        </w:tc>
        <w:tc>
          <w:tcPr>
            <w:tcW w:w="1434" w:type="dxa"/>
            <w:tcBorders>
              <w:top w:val="nil"/>
              <w:bottom w:val="nil"/>
            </w:tcBorders>
            <w:hideMark/>
          </w:tcPr>
          <w:p w14:paraId="7BEDE706"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 xml:space="preserve">65.4%, </w:t>
            </w:r>
            <w:r w:rsidRPr="00B06723">
              <w:rPr>
                <w:rFonts w:ascii="Arial" w:eastAsia="Times New Roman" w:hAnsi="Arial" w:cs="Arial"/>
                <w:i/>
                <w:iCs/>
                <w:sz w:val="20"/>
                <w:szCs w:val="20"/>
                <w:lang w:val="en-US" w:eastAsia="fr-FR"/>
              </w:rPr>
              <w:t xml:space="preserve">P </w:t>
            </w:r>
            <w:r w:rsidRPr="00B06723">
              <w:rPr>
                <w:rFonts w:ascii="Arial" w:eastAsia="Times New Roman" w:hAnsi="Arial" w:cs="Arial"/>
                <w:sz w:val="20"/>
                <w:szCs w:val="20"/>
                <w:lang w:val="en-US" w:eastAsia="fr-FR"/>
              </w:rPr>
              <w:t>=.013</w:t>
            </w:r>
          </w:p>
        </w:tc>
        <w:tc>
          <w:tcPr>
            <w:tcW w:w="1757" w:type="dxa"/>
            <w:vMerge/>
            <w:tcBorders>
              <w:top w:val="nil"/>
              <w:bottom w:val="nil"/>
            </w:tcBorders>
            <w:hideMark/>
          </w:tcPr>
          <w:p w14:paraId="70C4C624"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tr w:rsidR="0000574D" w:rsidRPr="00B06723" w14:paraId="04D7A48F"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tcBorders>
            <w:hideMark/>
          </w:tcPr>
          <w:p w14:paraId="33D1212B" w14:textId="77777777" w:rsidR="0000574D" w:rsidRPr="00B06723"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78F22DDC"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hAnsi="Arial" w:cs="Arial"/>
                <w:sz w:val="20"/>
                <w:szCs w:val="20"/>
                <w:lang w:val="en-US"/>
              </w:rPr>
              <w:t>Whole blood</w:t>
            </w:r>
          </w:p>
        </w:tc>
        <w:tc>
          <w:tcPr>
            <w:tcW w:w="1503" w:type="dxa"/>
            <w:tcBorders>
              <w:top w:val="nil"/>
              <w:bottom w:val="nil"/>
            </w:tcBorders>
            <w:hideMark/>
          </w:tcPr>
          <w:p w14:paraId="7DD63672"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0.91 (0.86–0.98)</w:t>
            </w:r>
          </w:p>
        </w:tc>
        <w:tc>
          <w:tcPr>
            <w:tcW w:w="1404" w:type="dxa"/>
            <w:tcBorders>
              <w:top w:val="nil"/>
              <w:bottom w:val="nil"/>
            </w:tcBorders>
            <w:hideMark/>
          </w:tcPr>
          <w:p w14:paraId="1DF3B86A"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5</w:t>
            </w:r>
          </w:p>
        </w:tc>
        <w:tc>
          <w:tcPr>
            <w:tcW w:w="1434" w:type="dxa"/>
            <w:tcBorders>
              <w:top w:val="nil"/>
              <w:bottom w:val="nil"/>
            </w:tcBorders>
            <w:hideMark/>
          </w:tcPr>
          <w:p w14:paraId="29F67DDF"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 xml:space="preserve">91.8%, </w:t>
            </w:r>
            <w:r w:rsidRPr="00B06723">
              <w:rPr>
                <w:rFonts w:ascii="Arial" w:eastAsia="Times New Roman" w:hAnsi="Arial" w:cs="Arial"/>
                <w:i/>
                <w:iCs/>
                <w:sz w:val="20"/>
                <w:szCs w:val="20"/>
                <w:lang w:val="en-US" w:eastAsia="fr-FR"/>
              </w:rPr>
              <w:t>P</w:t>
            </w:r>
            <w:r w:rsidRPr="00B06723">
              <w:rPr>
                <w:rFonts w:ascii="Arial" w:eastAsia="Times New Roman" w:hAnsi="Arial" w:cs="Arial"/>
                <w:sz w:val="20"/>
                <w:szCs w:val="20"/>
                <w:lang w:val="en-US" w:eastAsia="fr-FR"/>
              </w:rPr>
              <w:t xml:space="preserve"> &lt; .001</w:t>
            </w:r>
          </w:p>
        </w:tc>
        <w:tc>
          <w:tcPr>
            <w:tcW w:w="1757" w:type="dxa"/>
            <w:vMerge/>
            <w:tcBorders>
              <w:top w:val="nil"/>
              <w:bottom w:val="nil"/>
            </w:tcBorders>
            <w:hideMark/>
          </w:tcPr>
          <w:p w14:paraId="704792CD" w14:textId="77777777" w:rsidR="0000574D" w:rsidRPr="00B06723"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6723" w14:paraId="7CADBDA9"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bottom w:val="single" w:sz="4" w:space="0" w:color="7F7F7F" w:themeColor="text1" w:themeTint="80"/>
            </w:tcBorders>
            <w:hideMark/>
          </w:tcPr>
          <w:p w14:paraId="5FD0AC95" w14:textId="77777777" w:rsidR="0000574D" w:rsidRPr="00B06723"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tcBorders>
            <w:hideMark/>
          </w:tcPr>
          <w:p w14:paraId="6379B787"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b/>
                <w:bCs/>
                <w:sz w:val="20"/>
                <w:szCs w:val="20"/>
                <w:lang w:val="en-US" w:eastAsia="fr-FR"/>
              </w:rPr>
              <w:t>Global</w:t>
            </w:r>
          </w:p>
        </w:tc>
        <w:tc>
          <w:tcPr>
            <w:tcW w:w="1503" w:type="dxa"/>
            <w:tcBorders>
              <w:top w:val="nil"/>
            </w:tcBorders>
            <w:hideMark/>
          </w:tcPr>
          <w:p w14:paraId="4F82A95B"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0.81 (0.78–0.88)</w:t>
            </w:r>
          </w:p>
        </w:tc>
        <w:tc>
          <w:tcPr>
            <w:tcW w:w="1404" w:type="dxa"/>
            <w:tcBorders>
              <w:top w:val="nil"/>
            </w:tcBorders>
            <w:hideMark/>
          </w:tcPr>
          <w:p w14:paraId="62A7F6CD"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26</w:t>
            </w:r>
          </w:p>
        </w:tc>
        <w:tc>
          <w:tcPr>
            <w:tcW w:w="1434" w:type="dxa"/>
            <w:tcBorders>
              <w:top w:val="nil"/>
            </w:tcBorders>
            <w:hideMark/>
          </w:tcPr>
          <w:p w14:paraId="60B40225"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6723">
              <w:rPr>
                <w:rFonts w:ascii="Arial" w:eastAsia="Times New Roman" w:hAnsi="Arial" w:cs="Arial"/>
                <w:sz w:val="20"/>
                <w:szCs w:val="20"/>
                <w:lang w:val="en-US" w:eastAsia="fr-FR"/>
              </w:rPr>
              <w:t xml:space="preserve">90.8%, </w:t>
            </w:r>
            <w:r w:rsidRPr="00B06723">
              <w:rPr>
                <w:rFonts w:ascii="Arial" w:eastAsia="Times New Roman" w:hAnsi="Arial" w:cs="Arial"/>
                <w:i/>
                <w:iCs/>
                <w:sz w:val="20"/>
                <w:szCs w:val="20"/>
                <w:lang w:val="en-US" w:eastAsia="fr-FR"/>
              </w:rPr>
              <w:t>P</w:t>
            </w:r>
            <w:r w:rsidRPr="00B06723">
              <w:rPr>
                <w:rFonts w:ascii="Arial" w:eastAsia="Times New Roman" w:hAnsi="Arial" w:cs="Arial"/>
                <w:sz w:val="20"/>
                <w:szCs w:val="20"/>
                <w:lang w:val="en-US" w:eastAsia="fr-FR"/>
              </w:rPr>
              <w:t xml:space="preserve"> &lt; .001</w:t>
            </w:r>
          </w:p>
        </w:tc>
        <w:tc>
          <w:tcPr>
            <w:tcW w:w="1757" w:type="dxa"/>
            <w:tcBorders>
              <w:top w:val="nil"/>
            </w:tcBorders>
            <w:hideMark/>
          </w:tcPr>
          <w:p w14:paraId="74C31FF4" w14:textId="77777777" w:rsidR="0000574D" w:rsidRPr="00B06723"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bookmarkEnd w:id="2"/>
    </w:tbl>
    <w:p w14:paraId="228E1A60" w14:textId="77777777" w:rsidR="00DD38EA" w:rsidRPr="00B06723" w:rsidRDefault="00DD38EA" w:rsidP="00607B6A">
      <w:pPr>
        <w:pStyle w:val="Body"/>
        <w:spacing w:after="0"/>
        <w:rPr>
          <w:rFonts w:ascii="Arial" w:hAnsi="Arial" w:cs="Arial"/>
        </w:rPr>
      </w:pPr>
    </w:p>
    <w:p w14:paraId="73BCB9AB" w14:textId="2816A6C4" w:rsidR="00607B6A" w:rsidRPr="00B06723" w:rsidRDefault="0000574D" w:rsidP="00B00B61">
      <w:pPr>
        <w:pStyle w:val="Body"/>
        <w:spacing w:after="0"/>
        <w:rPr>
          <w:rFonts w:ascii="Arial" w:hAnsi="Arial" w:cs="Arial"/>
        </w:rPr>
      </w:pPr>
      <w:r w:rsidRPr="00B06723">
        <w:rPr>
          <w:noProof/>
        </w:rPr>
        <w:drawing>
          <wp:inline distT="0" distB="0" distL="0" distR="0" wp14:anchorId="74762C5E" wp14:editId="244EC1AB">
            <wp:extent cx="4800258" cy="3492000"/>
            <wp:effectExtent l="0" t="0" r="0" b="0"/>
            <wp:docPr id="3961477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258" cy="3492000"/>
                    </a:xfrm>
                    <a:prstGeom prst="rect">
                      <a:avLst/>
                    </a:prstGeom>
                    <a:noFill/>
                    <a:ln>
                      <a:noFill/>
                    </a:ln>
                  </pic:spPr>
                </pic:pic>
              </a:graphicData>
            </a:graphic>
          </wp:inline>
        </w:drawing>
      </w:r>
    </w:p>
    <w:p w14:paraId="6DA31C5E" w14:textId="77777777" w:rsidR="0000574D" w:rsidRPr="00B06723" w:rsidRDefault="0000574D" w:rsidP="00B00B61">
      <w:pPr>
        <w:pStyle w:val="Body"/>
        <w:spacing w:after="0"/>
        <w:rPr>
          <w:rFonts w:ascii="Arial" w:hAnsi="Arial" w:cs="Arial"/>
        </w:rPr>
      </w:pPr>
    </w:p>
    <w:p w14:paraId="66C54C8A" w14:textId="7601F7D5" w:rsidR="0000574D" w:rsidRPr="00B06723" w:rsidRDefault="00CC63E9" w:rsidP="00B00B61">
      <w:pPr>
        <w:pStyle w:val="Body"/>
        <w:spacing w:after="0"/>
        <w:rPr>
          <w:rFonts w:ascii="Arial" w:hAnsi="Arial" w:cs="Arial"/>
        </w:rPr>
      </w:pPr>
      <w:r w:rsidRPr="00B06723">
        <w:rPr>
          <w:noProof/>
        </w:rPr>
        <w:drawing>
          <wp:inline distT="0" distB="0" distL="0" distR="0" wp14:anchorId="0761F9A5" wp14:editId="6764E269">
            <wp:extent cx="4801865" cy="3492000"/>
            <wp:effectExtent l="0" t="0" r="0" b="0"/>
            <wp:docPr id="1988170643" name="Image 6" descr="Une image contenant texte, capture d’écran, men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70643" name="Image 6" descr="Une image contenant texte, capture d’écran, menu, nombre&#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1865" cy="3492000"/>
                    </a:xfrm>
                    <a:prstGeom prst="rect">
                      <a:avLst/>
                    </a:prstGeom>
                    <a:noFill/>
                    <a:ln>
                      <a:noFill/>
                    </a:ln>
                  </pic:spPr>
                </pic:pic>
              </a:graphicData>
            </a:graphic>
          </wp:inline>
        </w:drawing>
      </w:r>
    </w:p>
    <w:p w14:paraId="0286F48F" w14:textId="5EDBEA24" w:rsidR="00CC63E9" w:rsidRPr="00B06723" w:rsidRDefault="00CC63E9" w:rsidP="00B00B61">
      <w:pPr>
        <w:pStyle w:val="Body"/>
        <w:spacing w:after="0"/>
        <w:rPr>
          <w:rFonts w:ascii="Arial" w:hAnsi="Arial" w:cs="Arial"/>
        </w:rPr>
      </w:pPr>
      <w:r w:rsidRPr="00B06723">
        <w:rPr>
          <w:noProof/>
        </w:rPr>
        <w:lastRenderedPageBreak/>
        <w:drawing>
          <wp:inline distT="0" distB="0" distL="0" distR="0" wp14:anchorId="68B6DA58" wp14:editId="72093C8D">
            <wp:extent cx="4798649" cy="3492000"/>
            <wp:effectExtent l="0" t="0" r="0" b="0"/>
            <wp:docPr id="1171873169" name="Image 7" descr="Une image contenant texte, menu,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73169" name="Image 7" descr="Une image contenant texte, menu, capture d’écran, nombre&#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8649" cy="3492000"/>
                    </a:xfrm>
                    <a:prstGeom prst="rect">
                      <a:avLst/>
                    </a:prstGeom>
                    <a:noFill/>
                    <a:ln>
                      <a:noFill/>
                    </a:ln>
                  </pic:spPr>
                </pic:pic>
              </a:graphicData>
            </a:graphic>
          </wp:inline>
        </w:drawing>
      </w:r>
    </w:p>
    <w:p w14:paraId="78C1A097" w14:textId="77777777" w:rsidR="00CC63E9" w:rsidRPr="00B06723" w:rsidRDefault="00CC63E9" w:rsidP="00B00B61">
      <w:pPr>
        <w:pStyle w:val="Body"/>
        <w:spacing w:after="0"/>
        <w:rPr>
          <w:rFonts w:ascii="Arial" w:hAnsi="Arial" w:cs="Arial"/>
        </w:rPr>
      </w:pPr>
    </w:p>
    <w:p w14:paraId="0D37BB72" w14:textId="3024D4F0" w:rsidR="00CC63E9" w:rsidRPr="00B06723" w:rsidRDefault="00CC63E9" w:rsidP="00B00B61">
      <w:pPr>
        <w:pStyle w:val="Body"/>
        <w:spacing w:after="0"/>
        <w:rPr>
          <w:rFonts w:ascii="Arial" w:hAnsi="Arial" w:cs="Arial"/>
        </w:rPr>
      </w:pPr>
      <w:r w:rsidRPr="00B06723">
        <w:rPr>
          <w:noProof/>
        </w:rPr>
        <w:drawing>
          <wp:inline distT="0" distB="0" distL="0" distR="0" wp14:anchorId="53B33834" wp14:editId="005FB0AB">
            <wp:extent cx="4800259" cy="3492000"/>
            <wp:effectExtent l="0" t="0" r="0" b="0"/>
            <wp:docPr id="1685376875" name="Image 8" descr="Une image contenant texte, capture d’écran, men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6875" name="Image 8" descr="Une image contenant texte, capture d’écran, menu, nombre&#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259" cy="3492000"/>
                    </a:xfrm>
                    <a:prstGeom prst="rect">
                      <a:avLst/>
                    </a:prstGeom>
                    <a:noFill/>
                    <a:ln>
                      <a:noFill/>
                    </a:ln>
                  </pic:spPr>
                </pic:pic>
              </a:graphicData>
            </a:graphic>
          </wp:inline>
        </w:drawing>
      </w:r>
    </w:p>
    <w:p w14:paraId="6EA4E984" w14:textId="77777777" w:rsidR="00CC63E9" w:rsidRPr="00B06723" w:rsidRDefault="00CC63E9" w:rsidP="00B00B61">
      <w:pPr>
        <w:pStyle w:val="Body"/>
        <w:spacing w:after="0"/>
        <w:rPr>
          <w:rFonts w:ascii="Arial" w:hAnsi="Arial" w:cs="Arial"/>
        </w:rPr>
      </w:pPr>
    </w:p>
    <w:p w14:paraId="0873A884" w14:textId="6BE87FCD" w:rsidR="00CC63E9" w:rsidRPr="00B06723" w:rsidRDefault="00CC63E9" w:rsidP="00CC63E9">
      <w:pPr>
        <w:pStyle w:val="Body"/>
        <w:spacing w:after="0"/>
        <w:rPr>
          <w:rFonts w:ascii="Arial" w:hAnsi="Arial" w:cs="Arial"/>
          <w:b/>
          <w:bCs/>
          <w:szCs w:val="22"/>
        </w:rPr>
      </w:pPr>
      <w:r w:rsidRPr="00B06723">
        <w:rPr>
          <w:rFonts w:ascii="Arial" w:hAnsi="Arial" w:cs="Arial"/>
          <w:b/>
          <w:bCs/>
          <w:szCs w:val="22"/>
        </w:rPr>
        <w:t>Fig. 3: Displays paired forest plots of sensitivity and specificity in discriminating against prostate cancer (</w:t>
      </w:r>
      <w:proofErr w:type="spellStart"/>
      <w:r w:rsidRPr="00B06723">
        <w:rPr>
          <w:rFonts w:ascii="Arial" w:hAnsi="Arial" w:cs="Arial"/>
          <w:b/>
          <w:bCs/>
          <w:szCs w:val="22"/>
        </w:rPr>
        <w:t>PCa</w:t>
      </w:r>
      <w:proofErr w:type="spellEnd"/>
      <w:r w:rsidRPr="00B06723">
        <w:rPr>
          <w:rFonts w:ascii="Arial" w:hAnsi="Arial" w:cs="Arial"/>
          <w:b/>
          <w:bCs/>
          <w:szCs w:val="22"/>
        </w:rPr>
        <w:t xml:space="preserve">) patients from healthy/benign subjects.   </w:t>
      </w:r>
    </w:p>
    <w:p w14:paraId="5B23AD1E" w14:textId="766BCA85" w:rsidR="00CC63E9" w:rsidRPr="00B06723" w:rsidRDefault="00CC63E9" w:rsidP="00CC63E9">
      <w:pPr>
        <w:pStyle w:val="Body"/>
        <w:rPr>
          <w:rFonts w:ascii="Arial" w:hAnsi="Arial" w:cs="Arial"/>
          <w:i/>
          <w:iCs/>
          <w:sz w:val="18"/>
          <w:szCs w:val="18"/>
        </w:rPr>
      </w:pPr>
      <w:r w:rsidRPr="00B06723">
        <w:rPr>
          <w:rFonts w:ascii="Arial" w:hAnsi="Arial" w:cs="Arial"/>
          <w:i/>
          <w:iCs/>
          <w:sz w:val="18"/>
          <w:szCs w:val="18"/>
        </w:rPr>
        <w:t>(</w:t>
      </w:r>
      <w:r w:rsidRPr="00B06723">
        <w:rPr>
          <w:rFonts w:ascii="Arial" w:hAnsi="Arial" w:cs="Arial"/>
          <w:b/>
          <w:bCs/>
          <w:i/>
          <w:iCs/>
          <w:sz w:val="18"/>
          <w:szCs w:val="18"/>
        </w:rPr>
        <w:t>A</w:t>
      </w:r>
      <w:r w:rsidRPr="00B06723">
        <w:rPr>
          <w:rFonts w:ascii="Arial" w:hAnsi="Arial" w:cs="Arial"/>
          <w:i/>
          <w:iCs/>
          <w:sz w:val="18"/>
          <w:szCs w:val="18"/>
        </w:rPr>
        <w:t>) miR-21, (</w:t>
      </w:r>
      <w:r w:rsidRPr="00B06723">
        <w:rPr>
          <w:rFonts w:ascii="Arial" w:hAnsi="Arial" w:cs="Arial"/>
          <w:b/>
          <w:bCs/>
          <w:i/>
          <w:iCs/>
          <w:sz w:val="18"/>
          <w:szCs w:val="18"/>
        </w:rPr>
        <w:t>B</w:t>
      </w:r>
      <w:r w:rsidRPr="00B06723">
        <w:rPr>
          <w:rFonts w:ascii="Arial" w:hAnsi="Arial" w:cs="Arial"/>
          <w:i/>
          <w:iCs/>
          <w:sz w:val="18"/>
          <w:szCs w:val="18"/>
        </w:rPr>
        <w:t>) miR-141, (</w:t>
      </w:r>
      <w:r w:rsidRPr="00B06723">
        <w:rPr>
          <w:rFonts w:ascii="Arial" w:hAnsi="Arial" w:cs="Arial"/>
          <w:b/>
          <w:bCs/>
          <w:i/>
          <w:iCs/>
          <w:sz w:val="18"/>
          <w:szCs w:val="18"/>
        </w:rPr>
        <w:t>C</w:t>
      </w:r>
      <w:r w:rsidRPr="00B06723">
        <w:rPr>
          <w:rFonts w:ascii="Arial" w:hAnsi="Arial" w:cs="Arial"/>
          <w:i/>
          <w:iCs/>
          <w:sz w:val="18"/>
          <w:szCs w:val="18"/>
        </w:rPr>
        <w:t>) miR-375, (</w:t>
      </w:r>
      <w:r w:rsidRPr="00B06723">
        <w:rPr>
          <w:rFonts w:ascii="Arial" w:hAnsi="Arial" w:cs="Arial"/>
          <w:b/>
          <w:bCs/>
          <w:i/>
          <w:iCs/>
          <w:sz w:val="18"/>
          <w:szCs w:val="18"/>
        </w:rPr>
        <w:t>D</w:t>
      </w:r>
      <w:r w:rsidRPr="00B06723">
        <w:rPr>
          <w:rFonts w:ascii="Arial" w:hAnsi="Arial" w:cs="Arial"/>
          <w:i/>
          <w:iCs/>
          <w:sz w:val="18"/>
          <w:szCs w:val="18"/>
        </w:rPr>
        <w:t>) combined miR-21/miR-141/miR-375 panel The plots present diagnostic probabilities with 95% confidence intervals, where pooled sensitivity and specificity estimates are indicated by diamond symbols.</w:t>
      </w:r>
      <w:r w:rsidR="00671876" w:rsidRPr="00B06723">
        <w:rPr>
          <w:rFonts w:ascii="Arial" w:hAnsi="Arial" w:cs="Arial"/>
          <w:i/>
          <w:iCs/>
          <w:sz w:val="18"/>
          <w:szCs w:val="18"/>
        </w:rPr>
        <w:t xml:space="preserve"> </w:t>
      </w:r>
    </w:p>
    <w:p w14:paraId="12421910" w14:textId="5EB61910" w:rsidR="00CC63E9" w:rsidRPr="00B06723" w:rsidRDefault="00671876" w:rsidP="00B00B61">
      <w:pPr>
        <w:pStyle w:val="Body"/>
        <w:spacing w:after="0"/>
        <w:rPr>
          <w:rFonts w:ascii="Arial" w:hAnsi="Arial" w:cs="Arial"/>
          <w:b/>
          <w:bCs/>
          <w:szCs w:val="22"/>
        </w:rPr>
      </w:pPr>
      <w:r w:rsidRPr="00B06723">
        <w:rPr>
          <w:noProof/>
        </w:rPr>
        <w:lastRenderedPageBreak/>
        <w:drawing>
          <wp:inline distT="0" distB="0" distL="0" distR="0" wp14:anchorId="334F0DD7" wp14:editId="5B92C233">
            <wp:extent cx="3492000" cy="3492000"/>
            <wp:effectExtent l="0" t="0" r="0" b="0"/>
            <wp:docPr id="5647103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46373225" w14:textId="77777777" w:rsidR="00671876" w:rsidRPr="00B06723" w:rsidRDefault="00671876" w:rsidP="00B00B61">
      <w:pPr>
        <w:pStyle w:val="Body"/>
        <w:spacing w:after="0"/>
        <w:rPr>
          <w:rFonts w:ascii="Arial" w:hAnsi="Arial" w:cs="Arial"/>
          <w:b/>
          <w:bCs/>
          <w:szCs w:val="22"/>
        </w:rPr>
      </w:pPr>
    </w:p>
    <w:p w14:paraId="2AD43B32" w14:textId="032673B5" w:rsidR="00671876" w:rsidRPr="00B06723" w:rsidRDefault="00671876" w:rsidP="00B00B61">
      <w:pPr>
        <w:pStyle w:val="Body"/>
        <w:spacing w:after="0"/>
        <w:rPr>
          <w:rFonts w:ascii="Arial" w:hAnsi="Arial" w:cs="Arial"/>
          <w:b/>
          <w:bCs/>
          <w:szCs w:val="22"/>
        </w:rPr>
      </w:pPr>
      <w:r w:rsidRPr="00B06723">
        <w:rPr>
          <w:noProof/>
        </w:rPr>
        <w:drawing>
          <wp:inline distT="0" distB="0" distL="0" distR="0" wp14:anchorId="1066FCFB" wp14:editId="4FBB32A5">
            <wp:extent cx="3492000" cy="3492000"/>
            <wp:effectExtent l="0" t="0" r="0" b="0"/>
            <wp:docPr id="647314339" name="Image 10"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14339" name="Image 10" descr="Une image contenant texte, diagramme, capture d’écran&#10;&#10;Le contenu généré par l’IA peut êtr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2B70FB09" w14:textId="77777777" w:rsidR="00CC63E9" w:rsidRPr="00B06723" w:rsidRDefault="00CC63E9" w:rsidP="00B00B61">
      <w:pPr>
        <w:pStyle w:val="Body"/>
        <w:spacing w:after="0"/>
        <w:rPr>
          <w:rFonts w:ascii="Arial" w:hAnsi="Arial" w:cs="Arial"/>
        </w:rPr>
      </w:pPr>
    </w:p>
    <w:p w14:paraId="74EF8C5D" w14:textId="77777777" w:rsidR="00CC63E9" w:rsidRPr="00B06723" w:rsidRDefault="00CC63E9" w:rsidP="00B00B61">
      <w:pPr>
        <w:pStyle w:val="Body"/>
        <w:spacing w:after="0"/>
        <w:rPr>
          <w:rFonts w:ascii="Arial" w:hAnsi="Arial" w:cs="Arial"/>
        </w:rPr>
      </w:pPr>
    </w:p>
    <w:p w14:paraId="1AFBB7A8" w14:textId="77777777" w:rsidR="00CC63E9" w:rsidRPr="00B06723" w:rsidRDefault="00CC63E9" w:rsidP="00B00B61">
      <w:pPr>
        <w:pStyle w:val="Body"/>
        <w:spacing w:after="0"/>
        <w:rPr>
          <w:rFonts w:ascii="Arial" w:hAnsi="Arial" w:cs="Arial"/>
        </w:rPr>
      </w:pPr>
    </w:p>
    <w:p w14:paraId="42901581" w14:textId="77777777" w:rsidR="00671876" w:rsidRPr="00B06723" w:rsidRDefault="00671876" w:rsidP="00F21EDD">
      <w:pPr>
        <w:pStyle w:val="Body"/>
        <w:spacing w:after="0"/>
        <w:rPr>
          <w:rFonts w:ascii="Arial" w:hAnsi="Arial" w:cs="Arial"/>
          <w:i/>
        </w:rPr>
      </w:pPr>
    </w:p>
    <w:p w14:paraId="5B87DB3B" w14:textId="0853C208" w:rsidR="00671876" w:rsidRPr="00B06723" w:rsidRDefault="00671876" w:rsidP="00F21EDD">
      <w:pPr>
        <w:pStyle w:val="Body"/>
        <w:spacing w:after="0"/>
        <w:rPr>
          <w:rFonts w:ascii="Arial" w:hAnsi="Arial" w:cs="Arial"/>
          <w:i/>
        </w:rPr>
      </w:pPr>
      <w:r w:rsidRPr="00B06723">
        <w:rPr>
          <w:noProof/>
        </w:rPr>
        <w:lastRenderedPageBreak/>
        <w:drawing>
          <wp:inline distT="0" distB="0" distL="0" distR="0" wp14:anchorId="0765793C" wp14:editId="43A3DCF0">
            <wp:extent cx="3492000" cy="3492000"/>
            <wp:effectExtent l="0" t="0" r="0" b="0"/>
            <wp:docPr id="5883309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085D7680" w14:textId="77777777" w:rsidR="00671876" w:rsidRPr="00B06723" w:rsidRDefault="00671876" w:rsidP="00F21EDD">
      <w:pPr>
        <w:pStyle w:val="Body"/>
        <w:spacing w:after="0"/>
        <w:rPr>
          <w:rFonts w:ascii="Arial" w:hAnsi="Arial" w:cs="Arial"/>
          <w:i/>
        </w:rPr>
      </w:pPr>
    </w:p>
    <w:p w14:paraId="480BF085" w14:textId="1CDB1A84" w:rsidR="00671876" w:rsidRPr="00B06723" w:rsidRDefault="00671876" w:rsidP="00F21EDD">
      <w:pPr>
        <w:pStyle w:val="Body"/>
        <w:spacing w:after="0"/>
        <w:rPr>
          <w:rFonts w:ascii="Arial" w:hAnsi="Arial" w:cs="Arial"/>
          <w:i/>
        </w:rPr>
      </w:pPr>
      <w:r w:rsidRPr="00B06723">
        <w:rPr>
          <w:noProof/>
        </w:rPr>
        <w:drawing>
          <wp:inline distT="0" distB="0" distL="0" distR="0" wp14:anchorId="6789C9CF" wp14:editId="58FED7A6">
            <wp:extent cx="3492000" cy="3492000"/>
            <wp:effectExtent l="0" t="0" r="0" b="0"/>
            <wp:docPr id="466699311" name="Image 12" descr="Une image contenant texte, diagramme, capture d’écran,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99311" name="Image 12" descr="Une image contenant texte, diagramme, capture d’écran, cercle&#10;&#10;Le contenu généré par l’IA peut êtr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360D40A0" w14:textId="77777777" w:rsidR="00671876" w:rsidRPr="00B06723" w:rsidRDefault="00671876" w:rsidP="00F21EDD">
      <w:pPr>
        <w:pStyle w:val="Body"/>
        <w:spacing w:after="0"/>
        <w:rPr>
          <w:rFonts w:ascii="Arial" w:hAnsi="Arial" w:cs="Arial"/>
          <w:iCs/>
        </w:rPr>
      </w:pPr>
    </w:p>
    <w:p w14:paraId="68C8E7F3" w14:textId="47521BDC" w:rsidR="00671876" w:rsidRPr="00B06723" w:rsidRDefault="00671876" w:rsidP="00671876">
      <w:pPr>
        <w:pStyle w:val="Body"/>
        <w:spacing w:after="0"/>
        <w:rPr>
          <w:rFonts w:ascii="Arial" w:hAnsi="Arial" w:cs="Arial"/>
          <w:b/>
          <w:bCs/>
          <w:szCs w:val="22"/>
        </w:rPr>
      </w:pPr>
      <w:r w:rsidRPr="00B06723">
        <w:rPr>
          <w:rFonts w:ascii="Arial" w:hAnsi="Arial" w:cs="Arial"/>
          <w:b/>
          <w:bCs/>
          <w:szCs w:val="22"/>
        </w:rPr>
        <w:t>Fig. 4: Summary ROC curve with confidence and prediction regions around means operating sensitivity and specificity point.</w:t>
      </w:r>
      <w:r w:rsidR="002F45CA" w:rsidRPr="00B06723">
        <w:rPr>
          <w:rFonts w:ascii="Arial" w:hAnsi="Arial" w:cs="Arial"/>
          <w:b/>
          <w:bCs/>
          <w:szCs w:val="22"/>
        </w:rPr>
        <w:t xml:space="preserve"> </w:t>
      </w:r>
    </w:p>
    <w:p w14:paraId="40607159" w14:textId="77777777" w:rsidR="00671876" w:rsidRPr="00B06723" w:rsidRDefault="00671876" w:rsidP="00671876">
      <w:pPr>
        <w:pStyle w:val="Body"/>
        <w:spacing w:after="0"/>
        <w:rPr>
          <w:rFonts w:ascii="Arial" w:hAnsi="Arial" w:cs="Arial"/>
          <w:i/>
          <w:iCs/>
          <w:sz w:val="18"/>
          <w:szCs w:val="18"/>
        </w:rPr>
      </w:pPr>
      <w:r w:rsidRPr="00B06723">
        <w:rPr>
          <w:rFonts w:ascii="Arial" w:hAnsi="Arial" w:cs="Arial"/>
          <w:i/>
          <w:iCs/>
          <w:sz w:val="18"/>
          <w:szCs w:val="18"/>
        </w:rPr>
        <w:t xml:space="preserve">Note: (A) miR-21, (B) miR-141, (C) miR-375 and (D) miR-21, miR-141 and miR-375 </w:t>
      </w:r>
      <w:proofErr w:type="spellStart"/>
      <w:r w:rsidRPr="00B06723">
        <w:rPr>
          <w:rFonts w:ascii="Arial" w:hAnsi="Arial" w:cs="Arial"/>
          <w:i/>
          <w:iCs/>
          <w:sz w:val="18"/>
          <w:szCs w:val="18"/>
        </w:rPr>
        <w:t>combinaison</w:t>
      </w:r>
      <w:proofErr w:type="spellEnd"/>
      <w:r w:rsidRPr="00B06723">
        <w:rPr>
          <w:rFonts w:ascii="Arial" w:hAnsi="Arial" w:cs="Arial"/>
          <w:i/>
          <w:iCs/>
          <w:sz w:val="18"/>
          <w:szCs w:val="18"/>
        </w:rPr>
        <w:t xml:space="preserve">. </w:t>
      </w:r>
    </w:p>
    <w:p w14:paraId="4EE93AD9" w14:textId="635192E8" w:rsidR="00671876" w:rsidRPr="00B06723" w:rsidRDefault="00671876" w:rsidP="00671876">
      <w:pPr>
        <w:pStyle w:val="Body"/>
        <w:spacing w:after="0"/>
        <w:rPr>
          <w:rFonts w:ascii="Arial" w:hAnsi="Arial" w:cs="Arial"/>
          <w:i/>
          <w:iCs/>
          <w:sz w:val="18"/>
          <w:szCs w:val="18"/>
        </w:rPr>
      </w:pPr>
      <w:r w:rsidRPr="00B06723">
        <w:rPr>
          <w:rFonts w:ascii="Arial" w:hAnsi="Arial" w:cs="Arial"/>
          <w:i/>
          <w:iCs/>
          <w:sz w:val="18"/>
          <w:szCs w:val="18"/>
        </w:rPr>
        <w:t>Abbreviations: AUC = area under curve; SROC = summary receiver- operating characteristic; SENS = sensitivity; SPEC = specificity.</w:t>
      </w:r>
      <w:r w:rsidR="002F45CA" w:rsidRPr="00B06723">
        <w:rPr>
          <w:rFonts w:ascii="Arial" w:hAnsi="Arial" w:cs="Arial"/>
          <w:i/>
          <w:iCs/>
          <w:sz w:val="18"/>
          <w:szCs w:val="18"/>
        </w:rPr>
        <w:t xml:space="preserve">  </w:t>
      </w:r>
    </w:p>
    <w:p w14:paraId="48CF7C91" w14:textId="34F95CA9" w:rsidR="00671876" w:rsidRPr="00B06723" w:rsidRDefault="00671876" w:rsidP="00F21EDD">
      <w:pPr>
        <w:pStyle w:val="Body"/>
        <w:spacing w:after="0"/>
        <w:rPr>
          <w:rFonts w:ascii="Arial" w:hAnsi="Arial" w:cs="Arial"/>
          <w:iCs/>
        </w:rPr>
      </w:pPr>
      <w:r w:rsidRPr="00B06723">
        <w:rPr>
          <w:noProof/>
        </w:rPr>
        <w:lastRenderedPageBreak/>
        <w:drawing>
          <wp:inline distT="0" distB="0" distL="0" distR="0" wp14:anchorId="371A8FA5" wp14:editId="228810F2">
            <wp:extent cx="2400781" cy="3600000"/>
            <wp:effectExtent l="0" t="0" r="0" b="0"/>
            <wp:docPr id="146086464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781" cy="3600000"/>
                    </a:xfrm>
                    <a:prstGeom prst="rect">
                      <a:avLst/>
                    </a:prstGeom>
                    <a:noFill/>
                    <a:ln>
                      <a:noFill/>
                    </a:ln>
                  </pic:spPr>
                </pic:pic>
              </a:graphicData>
            </a:graphic>
          </wp:inline>
        </w:drawing>
      </w:r>
      <w:r w:rsidR="002F45CA" w:rsidRPr="00B06723">
        <w:rPr>
          <w:rFonts w:ascii="Arial" w:hAnsi="Arial" w:cs="Arial"/>
          <w:iCs/>
        </w:rPr>
        <w:t xml:space="preserve">           </w:t>
      </w:r>
      <w:r w:rsidR="002F45CA" w:rsidRPr="00B06723">
        <w:rPr>
          <w:noProof/>
        </w:rPr>
        <w:drawing>
          <wp:inline distT="0" distB="0" distL="0" distR="0" wp14:anchorId="679A3E6D" wp14:editId="2ABFFE35">
            <wp:extent cx="2400000" cy="3600000"/>
            <wp:effectExtent l="0" t="0" r="0" b="0"/>
            <wp:docPr id="14981959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000" cy="3600000"/>
                    </a:xfrm>
                    <a:prstGeom prst="rect">
                      <a:avLst/>
                    </a:prstGeom>
                    <a:noFill/>
                    <a:ln>
                      <a:noFill/>
                    </a:ln>
                  </pic:spPr>
                </pic:pic>
              </a:graphicData>
            </a:graphic>
          </wp:inline>
        </w:drawing>
      </w:r>
    </w:p>
    <w:p w14:paraId="617E9427" w14:textId="77777777" w:rsidR="002F45CA" w:rsidRPr="00B06723" w:rsidRDefault="002F45CA" w:rsidP="00F21EDD">
      <w:pPr>
        <w:pStyle w:val="Body"/>
        <w:spacing w:after="0"/>
        <w:rPr>
          <w:rFonts w:ascii="Arial" w:hAnsi="Arial" w:cs="Arial"/>
          <w:iCs/>
        </w:rPr>
      </w:pPr>
    </w:p>
    <w:p w14:paraId="0DF31F32" w14:textId="140B5ACE" w:rsidR="002F45CA" w:rsidRPr="00B06723" w:rsidRDefault="002F45CA" w:rsidP="002F45CA">
      <w:pPr>
        <w:pStyle w:val="Body"/>
        <w:spacing w:after="0"/>
        <w:jc w:val="center"/>
        <w:rPr>
          <w:rFonts w:ascii="Arial" w:hAnsi="Arial" w:cs="Arial"/>
          <w:iCs/>
        </w:rPr>
      </w:pPr>
      <w:r w:rsidRPr="00B06723">
        <w:rPr>
          <w:noProof/>
        </w:rPr>
        <w:drawing>
          <wp:inline distT="0" distB="0" distL="0" distR="0" wp14:anchorId="5A8C94DB" wp14:editId="4FFCA7D9">
            <wp:extent cx="2400000" cy="3600000"/>
            <wp:effectExtent l="0" t="0" r="0" b="0"/>
            <wp:docPr id="7596530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000" cy="3600000"/>
                    </a:xfrm>
                    <a:prstGeom prst="rect">
                      <a:avLst/>
                    </a:prstGeom>
                    <a:noFill/>
                    <a:ln>
                      <a:noFill/>
                    </a:ln>
                  </pic:spPr>
                </pic:pic>
              </a:graphicData>
            </a:graphic>
          </wp:inline>
        </w:drawing>
      </w:r>
    </w:p>
    <w:p w14:paraId="48F092C5" w14:textId="77777777" w:rsidR="002F45CA" w:rsidRPr="00B06723" w:rsidRDefault="002F45CA" w:rsidP="002F45CA">
      <w:pPr>
        <w:pStyle w:val="Body"/>
        <w:spacing w:after="0"/>
        <w:jc w:val="center"/>
        <w:rPr>
          <w:rFonts w:ascii="Arial" w:hAnsi="Arial" w:cs="Arial"/>
          <w:iCs/>
        </w:rPr>
      </w:pPr>
    </w:p>
    <w:p w14:paraId="7232DB9F" w14:textId="73AEFB03" w:rsidR="002F45CA" w:rsidRPr="00B06723" w:rsidRDefault="002F45CA" w:rsidP="002F45CA">
      <w:pPr>
        <w:pStyle w:val="Body"/>
        <w:spacing w:after="0"/>
        <w:rPr>
          <w:rFonts w:ascii="Arial" w:hAnsi="Arial" w:cs="Arial"/>
          <w:b/>
          <w:bCs/>
          <w:szCs w:val="22"/>
        </w:rPr>
      </w:pPr>
      <w:r w:rsidRPr="00B06723">
        <w:rPr>
          <w:rFonts w:ascii="Arial" w:hAnsi="Arial" w:cs="Arial"/>
          <w:b/>
          <w:bCs/>
          <w:szCs w:val="22"/>
        </w:rPr>
        <w:t>Fig. 5: Post-Test Probability Assessment Using Fagan's Nomogram</w:t>
      </w:r>
      <w:r w:rsidR="00510C3B" w:rsidRPr="00B06723">
        <w:rPr>
          <w:rFonts w:ascii="Arial" w:hAnsi="Arial" w:cs="Arial"/>
          <w:b/>
          <w:bCs/>
          <w:szCs w:val="22"/>
        </w:rPr>
        <w:t xml:space="preserve"> </w:t>
      </w:r>
    </w:p>
    <w:p w14:paraId="06BB53FC" w14:textId="371F0C6D" w:rsidR="00F21EDD" w:rsidRPr="00B06723" w:rsidRDefault="002F45CA" w:rsidP="00F21EDD">
      <w:pPr>
        <w:pStyle w:val="Body"/>
        <w:spacing w:after="0"/>
        <w:rPr>
          <w:rFonts w:ascii="Arial" w:hAnsi="Arial" w:cs="Arial"/>
          <w:iCs/>
        </w:rPr>
      </w:pPr>
      <w:r w:rsidRPr="00B06723">
        <w:rPr>
          <w:rFonts w:ascii="Arial" w:hAnsi="Arial" w:cs="Arial"/>
          <w:i/>
          <w:iCs/>
          <w:sz w:val="18"/>
          <w:szCs w:val="18"/>
        </w:rPr>
        <w:t>Note: (A) miR-21, (B) miR-141, (C) miR-375 and miR-21.</w:t>
      </w:r>
      <w:r w:rsidR="00510C3B" w:rsidRPr="00B06723">
        <w:rPr>
          <w:rFonts w:ascii="Arial" w:hAnsi="Arial" w:cs="Arial"/>
          <w:i/>
          <w:iCs/>
          <w:sz w:val="18"/>
          <w:szCs w:val="18"/>
        </w:rPr>
        <w:t xml:space="preserve">  (a) goodness of fit based on residuals, (b) bivariate normality, (c) influence analysis, and (d) outlier detection.</w:t>
      </w:r>
    </w:p>
    <w:p w14:paraId="6CC030D1" w14:textId="1E43EFD1" w:rsidR="00510C3B" w:rsidRPr="00B06723" w:rsidRDefault="00510C3B" w:rsidP="00510C3B">
      <w:pPr>
        <w:pStyle w:val="Body"/>
        <w:spacing w:after="0"/>
        <w:rPr>
          <w:rFonts w:ascii="Arial" w:hAnsi="Arial" w:cs="Arial"/>
          <w:b/>
          <w:sz w:val="22"/>
          <w:szCs w:val="22"/>
        </w:rPr>
      </w:pPr>
      <w:r w:rsidRPr="00B06723">
        <w:rPr>
          <w:rFonts w:ascii="Arial" w:hAnsi="Arial" w:cs="Arial"/>
          <w:b/>
          <w:sz w:val="22"/>
          <w:szCs w:val="22"/>
        </w:rPr>
        <w:lastRenderedPageBreak/>
        <w:t>3.5. Publication Bias</w:t>
      </w:r>
    </w:p>
    <w:p w14:paraId="5B91A836" w14:textId="77777777" w:rsidR="00F21EDD" w:rsidRPr="00B06723" w:rsidRDefault="00F21EDD" w:rsidP="00F21EDD">
      <w:pPr>
        <w:pStyle w:val="Body"/>
        <w:spacing w:after="0"/>
        <w:rPr>
          <w:rFonts w:ascii="Arial" w:hAnsi="Arial" w:cs="Arial"/>
        </w:rPr>
      </w:pPr>
    </w:p>
    <w:p w14:paraId="4815BE79" w14:textId="77777777" w:rsidR="00510C3B" w:rsidRPr="00B06723" w:rsidRDefault="00510C3B" w:rsidP="00510C3B">
      <w:pPr>
        <w:pStyle w:val="Body"/>
        <w:rPr>
          <w:rFonts w:ascii="Arial" w:hAnsi="Arial" w:cs="Arial"/>
        </w:rPr>
      </w:pPr>
      <w:r w:rsidRPr="00B06723">
        <w:rPr>
          <w:rFonts w:ascii="Arial" w:hAnsi="Arial" w:cs="Arial"/>
          <w:b/>
          <w:bCs/>
        </w:rPr>
        <w:t>Fig. 6</w:t>
      </w:r>
      <w:r w:rsidRPr="00B06723">
        <w:rPr>
          <w:rFonts w:ascii="Arial" w:hAnsi="Arial" w:cs="Arial"/>
        </w:rPr>
        <w:t xml:space="preserve"> displays the residual analysis from the bivariate model evaluating the diagnostic performance of miR-21, miR-141, and miR-375. The results demonstrate that the bivariate model shows satisfactory fit to the data, meets the assumption of bivariate normality, and does not appear to be unduly influenced by any individual studies. These findings support the robustness and statistical validity of the meta-analysis results for these three miRNAs.</w:t>
      </w:r>
    </w:p>
    <w:p w14:paraId="0538FEE1" w14:textId="26C8F096" w:rsidR="00510C3B" w:rsidRPr="00B06723" w:rsidRDefault="00510C3B" w:rsidP="00510C3B">
      <w:pPr>
        <w:pStyle w:val="Body"/>
        <w:rPr>
          <w:rFonts w:ascii="Arial" w:hAnsi="Arial" w:cs="Arial"/>
        </w:rPr>
      </w:pPr>
      <w:r w:rsidRPr="00B06723">
        <w:rPr>
          <w:rFonts w:ascii="Arial" w:hAnsi="Arial" w:cs="Arial"/>
        </w:rPr>
        <w:t>Regarding publication bias, Deeks' funnel plots (</w:t>
      </w:r>
      <w:r w:rsidRPr="00B06723">
        <w:rPr>
          <w:rFonts w:ascii="Arial" w:hAnsi="Arial" w:cs="Arial"/>
          <w:b/>
          <w:bCs/>
        </w:rPr>
        <w:t>Fig. 7</w:t>
      </w:r>
      <w:r w:rsidRPr="00B06723">
        <w:rPr>
          <w:rFonts w:ascii="Arial" w:hAnsi="Arial" w:cs="Arial"/>
        </w:rPr>
        <w:t>) suggest an absence of significant publication bias, as evidenced by the observed funnel plot symmetry. This visual assessment is corroborated by formal asymmetry tests showing non-significant P-values: .11 for miR-21, .12 for miR-141, and .99 for miR-375, indicating no detectable bias for any of the biomarkers.</w:t>
      </w:r>
    </w:p>
    <w:p w14:paraId="7DEF0C42" w14:textId="14DE3958" w:rsidR="00F21EDD" w:rsidRPr="00B06723" w:rsidRDefault="00510C3B" w:rsidP="00510C3B">
      <w:pPr>
        <w:pStyle w:val="Body"/>
        <w:rPr>
          <w:rFonts w:ascii="Arial" w:hAnsi="Arial" w:cs="Arial"/>
        </w:rPr>
      </w:pPr>
      <w:r w:rsidRPr="00B06723">
        <w:rPr>
          <w:rFonts w:ascii="Arial" w:hAnsi="Arial" w:cs="Arial"/>
        </w:rPr>
        <w:t>The combination of graphical assessment and statistical testing provides comprehensive evidence that the meta-analysis results are not substantially affected by publication bias. The symmetric distribution of study estimates around the pooled effect size, particularly for miR-375, further strengthens confidence in the validity of our findings. These results suggest that the diagnostic accuracy estimates presented in this meta-analysis are robust and representative of the available evidence.</w:t>
      </w:r>
    </w:p>
    <w:p w14:paraId="21B5000E" w14:textId="2B84F8CC" w:rsidR="00510C3B" w:rsidRPr="00B06723" w:rsidRDefault="00510C3B" w:rsidP="00510C3B">
      <w:pPr>
        <w:pStyle w:val="Body"/>
        <w:rPr>
          <w:rFonts w:ascii="Arial" w:hAnsi="Arial" w:cs="Arial"/>
        </w:rPr>
      </w:pPr>
      <w:r w:rsidRPr="00B06723">
        <w:rPr>
          <w:noProof/>
        </w:rPr>
        <w:drawing>
          <wp:inline distT="0" distB="0" distL="0" distR="0" wp14:anchorId="3861A704" wp14:editId="58E478D7">
            <wp:extent cx="4453847" cy="3240000"/>
            <wp:effectExtent l="0" t="0" r="0" b="0"/>
            <wp:docPr id="6158693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151E5587" w14:textId="77777777" w:rsidR="00510C3B" w:rsidRPr="00B06723" w:rsidRDefault="00510C3B" w:rsidP="00510C3B">
      <w:pPr>
        <w:pStyle w:val="Body"/>
        <w:rPr>
          <w:rFonts w:ascii="Arial" w:hAnsi="Arial" w:cs="Arial"/>
        </w:rPr>
      </w:pPr>
    </w:p>
    <w:p w14:paraId="756F0D9E" w14:textId="217B1063" w:rsidR="00510C3B" w:rsidRPr="00B06723" w:rsidRDefault="00510C3B" w:rsidP="00510C3B">
      <w:pPr>
        <w:pStyle w:val="Body"/>
        <w:rPr>
          <w:rFonts w:ascii="Arial" w:hAnsi="Arial" w:cs="Arial"/>
        </w:rPr>
      </w:pPr>
      <w:r w:rsidRPr="00B06723">
        <w:rPr>
          <w:noProof/>
        </w:rPr>
        <w:lastRenderedPageBreak/>
        <w:drawing>
          <wp:inline distT="0" distB="0" distL="0" distR="0" wp14:anchorId="49095975" wp14:editId="32E3669E">
            <wp:extent cx="4453847" cy="3240000"/>
            <wp:effectExtent l="0" t="0" r="0" b="0"/>
            <wp:docPr id="1717347397" name="Image 17" descr="Une image contenant texte, diagramm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47397" name="Image 17" descr="Une image contenant texte, diagramme, capture d’écran, nombre&#10;&#10;Le contenu généré par l’IA peut êtr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0EA0F15A" w14:textId="13E4A3BB" w:rsidR="00510C3B" w:rsidRPr="00B06723" w:rsidRDefault="00510C3B" w:rsidP="00510C3B">
      <w:pPr>
        <w:pStyle w:val="Body"/>
        <w:rPr>
          <w:rFonts w:ascii="Arial" w:hAnsi="Arial" w:cs="Arial"/>
        </w:rPr>
      </w:pPr>
      <w:r w:rsidRPr="00B06723">
        <w:rPr>
          <w:noProof/>
        </w:rPr>
        <w:drawing>
          <wp:inline distT="0" distB="0" distL="0" distR="0" wp14:anchorId="609787C8" wp14:editId="31876967">
            <wp:extent cx="4453847" cy="3240000"/>
            <wp:effectExtent l="0" t="0" r="0" b="0"/>
            <wp:docPr id="997457081" name="Image 18" descr="Une image contenant texte, diagramm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57081" name="Image 18" descr="Une image contenant texte, diagramme, capture d’écran, nombre&#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475AA30E" w14:textId="0FB54777" w:rsidR="00510C3B" w:rsidRPr="00B06723" w:rsidRDefault="00510C3B" w:rsidP="00510C3B">
      <w:pPr>
        <w:pStyle w:val="Body"/>
        <w:spacing w:after="0"/>
        <w:rPr>
          <w:rFonts w:ascii="Arial" w:hAnsi="Arial" w:cs="Arial"/>
          <w:b/>
          <w:bCs/>
          <w:szCs w:val="22"/>
        </w:rPr>
      </w:pPr>
      <w:r w:rsidRPr="00B06723">
        <w:rPr>
          <w:rFonts w:ascii="Arial" w:hAnsi="Arial" w:cs="Arial"/>
          <w:b/>
          <w:bCs/>
          <w:szCs w:val="22"/>
        </w:rPr>
        <w:t>Fig. 6: Model Verification for miR-21 (A), miR-141 (B), and miR-375 (C) Studies</w:t>
      </w:r>
      <w:r w:rsidR="001960A1" w:rsidRPr="00B06723">
        <w:rPr>
          <w:rFonts w:ascii="Arial" w:hAnsi="Arial" w:cs="Arial"/>
          <w:b/>
          <w:bCs/>
          <w:szCs w:val="22"/>
        </w:rPr>
        <w:t xml:space="preserve"> </w:t>
      </w:r>
    </w:p>
    <w:p w14:paraId="69276E92" w14:textId="6254E2E6" w:rsidR="00510C3B" w:rsidRPr="00B06723" w:rsidRDefault="00510C3B" w:rsidP="00510C3B">
      <w:pPr>
        <w:pStyle w:val="Body"/>
        <w:spacing w:after="0"/>
        <w:rPr>
          <w:rFonts w:ascii="Arial" w:hAnsi="Arial" w:cs="Arial"/>
          <w:iCs/>
        </w:rPr>
      </w:pPr>
      <w:r w:rsidRPr="00B06723">
        <w:rPr>
          <w:rFonts w:ascii="Arial" w:hAnsi="Arial" w:cs="Arial"/>
          <w:i/>
          <w:iCs/>
          <w:sz w:val="18"/>
          <w:szCs w:val="18"/>
        </w:rPr>
        <w:t>(a) goodness of fit based on residuals, (b) bivariate normality, (c) influence analysis, and (d) outlier detection.</w:t>
      </w:r>
      <w:r w:rsidR="001960A1" w:rsidRPr="00B06723">
        <w:rPr>
          <w:rFonts w:ascii="Arial" w:hAnsi="Arial" w:cs="Arial"/>
          <w:i/>
          <w:iCs/>
          <w:sz w:val="18"/>
          <w:szCs w:val="18"/>
        </w:rPr>
        <w:t xml:space="preserve">     </w:t>
      </w:r>
    </w:p>
    <w:p w14:paraId="11D52D54" w14:textId="77777777" w:rsidR="00510C3B" w:rsidRPr="00B06723" w:rsidRDefault="00510C3B" w:rsidP="00510C3B">
      <w:pPr>
        <w:pStyle w:val="Body"/>
        <w:rPr>
          <w:rFonts w:ascii="Arial" w:hAnsi="Arial" w:cs="Arial"/>
        </w:rPr>
      </w:pPr>
    </w:p>
    <w:p w14:paraId="1C55EDC4" w14:textId="77777777" w:rsidR="00510C3B" w:rsidRPr="00B06723" w:rsidRDefault="00510C3B" w:rsidP="00510C3B">
      <w:pPr>
        <w:pStyle w:val="Body"/>
        <w:rPr>
          <w:rFonts w:ascii="Arial" w:hAnsi="Arial" w:cs="Arial"/>
        </w:rPr>
      </w:pPr>
    </w:p>
    <w:p w14:paraId="021E4F30" w14:textId="77777777" w:rsidR="00510C3B" w:rsidRPr="00B06723" w:rsidRDefault="00510C3B" w:rsidP="00510C3B">
      <w:pPr>
        <w:pStyle w:val="Body"/>
        <w:rPr>
          <w:rFonts w:ascii="Arial" w:hAnsi="Arial" w:cs="Arial"/>
        </w:rPr>
      </w:pPr>
    </w:p>
    <w:p w14:paraId="02471773" w14:textId="2C5DF6C8" w:rsidR="00510C3B" w:rsidRPr="00B06723" w:rsidRDefault="00510C3B" w:rsidP="00510C3B">
      <w:pPr>
        <w:pStyle w:val="Body"/>
        <w:rPr>
          <w:rFonts w:ascii="Arial" w:hAnsi="Arial" w:cs="Arial"/>
        </w:rPr>
      </w:pPr>
      <w:r w:rsidRPr="00B06723">
        <w:rPr>
          <w:noProof/>
        </w:rPr>
        <w:lastRenderedPageBreak/>
        <w:drawing>
          <wp:inline distT="0" distB="0" distL="0" distR="0" wp14:anchorId="61114B40" wp14:editId="64CEBA4C">
            <wp:extent cx="4453851" cy="3240000"/>
            <wp:effectExtent l="0" t="0" r="0" b="0"/>
            <wp:docPr id="165626059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3851" cy="3240000"/>
                    </a:xfrm>
                    <a:prstGeom prst="rect">
                      <a:avLst/>
                    </a:prstGeom>
                    <a:noFill/>
                    <a:ln>
                      <a:noFill/>
                    </a:ln>
                  </pic:spPr>
                </pic:pic>
              </a:graphicData>
            </a:graphic>
          </wp:inline>
        </w:drawing>
      </w:r>
    </w:p>
    <w:p w14:paraId="19A7C376" w14:textId="0BE11786" w:rsidR="00510C3B" w:rsidRPr="00B06723" w:rsidRDefault="001960A1" w:rsidP="00510C3B">
      <w:pPr>
        <w:pStyle w:val="Body"/>
        <w:rPr>
          <w:rFonts w:ascii="Arial" w:hAnsi="Arial" w:cs="Arial"/>
        </w:rPr>
      </w:pPr>
      <w:r w:rsidRPr="00B06723">
        <w:rPr>
          <w:noProof/>
        </w:rPr>
        <w:drawing>
          <wp:inline distT="0" distB="0" distL="0" distR="0" wp14:anchorId="28A1C696" wp14:editId="24F04B59">
            <wp:extent cx="4453847" cy="3240000"/>
            <wp:effectExtent l="0" t="0" r="0" b="0"/>
            <wp:docPr id="1811220988" name="Image 20"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0988" name="Image 20" descr="Une image contenant texte, capture d’écran, diagramme, ligne&#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30FAB705" w14:textId="3DB49248" w:rsidR="001960A1" w:rsidRPr="00B06723" w:rsidRDefault="001960A1" w:rsidP="00510C3B">
      <w:pPr>
        <w:pStyle w:val="Body"/>
        <w:rPr>
          <w:rFonts w:ascii="Arial" w:hAnsi="Arial" w:cs="Arial"/>
        </w:rPr>
      </w:pPr>
      <w:r w:rsidRPr="00B06723">
        <w:rPr>
          <w:noProof/>
        </w:rPr>
        <w:lastRenderedPageBreak/>
        <w:drawing>
          <wp:inline distT="0" distB="0" distL="0" distR="0" wp14:anchorId="4D68901C" wp14:editId="1E28F94A">
            <wp:extent cx="4453847" cy="3240000"/>
            <wp:effectExtent l="0" t="0" r="0" b="0"/>
            <wp:docPr id="664438636" name="Image 21"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38636" name="Image 21" descr="Une image contenant texte, capture d’écran, diagramme, nombre&#10;&#10;Le contenu généré par l’IA peut êtr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475D1CDA" w14:textId="77777777" w:rsidR="001960A1" w:rsidRPr="00B06723" w:rsidRDefault="001960A1" w:rsidP="001960A1">
      <w:pPr>
        <w:pStyle w:val="Body"/>
        <w:spacing w:after="0"/>
        <w:rPr>
          <w:rFonts w:ascii="Arial" w:hAnsi="Arial" w:cs="Arial"/>
          <w:b/>
          <w:bCs/>
          <w:szCs w:val="22"/>
        </w:rPr>
      </w:pPr>
      <w:r w:rsidRPr="00B06723">
        <w:rPr>
          <w:rFonts w:ascii="Arial" w:hAnsi="Arial" w:cs="Arial"/>
          <w:b/>
          <w:bCs/>
          <w:szCs w:val="22"/>
        </w:rPr>
        <w:t>Figure 7: Deeks’ funnel plots asymmetry test.</w:t>
      </w:r>
    </w:p>
    <w:p w14:paraId="33E80368" w14:textId="32AAA19E" w:rsidR="00510C3B" w:rsidRPr="00B06723" w:rsidRDefault="001960A1" w:rsidP="00510C3B">
      <w:pPr>
        <w:pStyle w:val="Body"/>
        <w:rPr>
          <w:rFonts w:ascii="Arial" w:hAnsi="Arial" w:cs="Arial"/>
        </w:rPr>
      </w:pPr>
      <w:r w:rsidRPr="00B06723">
        <w:rPr>
          <w:rFonts w:ascii="Arial" w:hAnsi="Arial" w:cs="Arial"/>
          <w:i/>
          <w:iCs/>
          <w:sz w:val="18"/>
          <w:szCs w:val="18"/>
        </w:rPr>
        <w:t>Note: (A) miR-21, (B) miR-141 and (C) miR-375.</w:t>
      </w:r>
    </w:p>
    <w:p w14:paraId="56B64EB7" w14:textId="77777777" w:rsidR="00F21EDD" w:rsidRPr="00B06723" w:rsidRDefault="00F21EDD" w:rsidP="00F21EDD">
      <w:pPr>
        <w:pStyle w:val="Head1"/>
        <w:spacing w:after="0"/>
        <w:jc w:val="both"/>
        <w:rPr>
          <w:rFonts w:ascii="Arial" w:hAnsi="Arial" w:cs="Arial"/>
        </w:rPr>
      </w:pPr>
      <w:r w:rsidRPr="00B06723">
        <w:rPr>
          <w:rFonts w:ascii="Arial" w:hAnsi="Arial" w:cs="Arial"/>
        </w:rPr>
        <w:t>4. discussion</w:t>
      </w:r>
    </w:p>
    <w:p w14:paraId="2AF69D5F" w14:textId="77777777" w:rsidR="00F21EDD" w:rsidRPr="00B06723" w:rsidRDefault="00F21EDD" w:rsidP="00F21EDD">
      <w:pPr>
        <w:autoSpaceDE w:val="0"/>
        <w:autoSpaceDN w:val="0"/>
        <w:adjustRightInd w:val="0"/>
        <w:ind w:left="360"/>
        <w:jc w:val="both"/>
        <w:rPr>
          <w:rFonts w:ascii="Arial" w:hAnsi="Arial" w:cs="Arial"/>
          <w:i/>
          <w:sz w:val="18"/>
        </w:rPr>
      </w:pPr>
    </w:p>
    <w:p w14:paraId="00B6D76B" w14:textId="77777777"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Prostate cancer (</w:t>
      </w:r>
      <w:proofErr w:type="spellStart"/>
      <w:r w:rsidRPr="00B06723">
        <w:rPr>
          <w:rFonts w:ascii="Arial" w:hAnsi="Arial" w:cs="Arial"/>
          <w:iCs/>
          <w:sz w:val="18"/>
        </w:rPr>
        <w:t>PCa</w:t>
      </w:r>
      <w:proofErr w:type="spellEnd"/>
      <w:r w:rsidRPr="00B06723">
        <w:rPr>
          <w:rFonts w:ascii="Arial" w:hAnsi="Arial" w:cs="Arial"/>
          <w:iCs/>
          <w:sz w:val="18"/>
        </w:rPr>
        <w:t>) is currently and increasingly a global health issue. It is the second most common cancer in men and the third most common in older adults. It progresses rapidly and has a high mortality rate.</w:t>
      </w:r>
    </w:p>
    <w:p w14:paraId="0172C9DD" w14:textId="721C5141" w:rsidR="00F703D8" w:rsidRPr="00B06723" w:rsidRDefault="00F703D8" w:rsidP="00F703D8">
      <w:pPr>
        <w:autoSpaceDE w:val="0"/>
        <w:autoSpaceDN w:val="0"/>
        <w:adjustRightInd w:val="0"/>
        <w:spacing w:after="240"/>
        <w:jc w:val="both"/>
        <w:rPr>
          <w:rFonts w:ascii="Arial" w:hAnsi="Arial" w:cs="Arial"/>
          <w:iCs/>
          <w:sz w:val="18"/>
          <w:lang w:val="fr-FR"/>
        </w:rPr>
      </w:pPr>
      <w:r w:rsidRPr="00B06723">
        <w:rPr>
          <w:rFonts w:ascii="Arial" w:hAnsi="Arial" w:cs="Arial"/>
          <w:iCs/>
          <w:sz w:val="18"/>
        </w:rPr>
        <w:t xml:space="preserve">The aim of our meta-analysis was to evaluate the diagnostic value of circulating microRNAs in </w:t>
      </w:r>
      <w:proofErr w:type="spellStart"/>
      <w:r w:rsidRPr="00B06723">
        <w:rPr>
          <w:rFonts w:ascii="Arial" w:hAnsi="Arial" w:cs="Arial"/>
          <w:iCs/>
          <w:sz w:val="18"/>
        </w:rPr>
        <w:t>PCa</w:t>
      </w:r>
      <w:proofErr w:type="spellEnd"/>
      <w:r w:rsidRPr="00B06723">
        <w:rPr>
          <w:rFonts w:ascii="Arial" w:hAnsi="Arial" w:cs="Arial"/>
          <w:iCs/>
          <w:sz w:val="18"/>
        </w:rPr>
        <w:t xml:space="preserve">. We found several miRNAs of interest in the literature, three of which were notable for their frequency and the relatively inconsistent data available on their function </w:t>
      </w:r>
      <w:r w:rsidR="00001CAC" w:rsidRPr="00B06723">
        <w:rPr>
          <w:rFonts w:ascii="Arial" w:hAnsi="Arial" w:cs="Arial"/>
          <w:iCs/>
          <w:sz w:val="18"/>
        </w:rPr>
        <w:fldChar w:fldCharType="begin"/>
      </w:r>
      <w:r w:rsidR="00647EC3" w:rsidRPr="00B06723">
        <w:rPr>
          <w:rFonts w:ascii="Arial" w:hAnsi="Arial" w:cs="Arial"/>
          <w:iCs/>
          <w:sz w:val="18"/>
        </w:rPr>
        <w:instrText xml:space="preserve"> ADDIN ZOTERO_ITEM CSL_CITATION {"citationID":"a17f1fphq79","properties":{"formattedCitation":"(Guan et al., 2016; HASANO\\uc0\\u286{}LU et al., 2021; Ibrahim et al., 2019; Jokovi\\uc0\\u263{} et al., 2022; Li et al., 2016; Nitusca et al., 2022b, 2022a; Osipov et al., 2016; Porzycki et al., 2018; Ye et al., 2020)","plainCitation":"(Guan et al., 2016; HASANOĞLU et al., 2021; Ibrahim et al., 2019; Joković et al., 2022; Li et al., 2016; Nitusca et al., 2022b, 2022a; Osipov et al., 2016; Porzycki et al., 2018; Ye et al., 2020)","noteIndex":0},"citationItems":[{"id":617,"uris":["http://zotero.org/users/3583561/items/Y77KQ4JE"],"itemData":{"id":617,"type":"article-journal","abstract":"BACKGROUND Despite androgen deprivation therapy (ADT) remains the mainstay therapy for advanced prostate cancer (PCa), the patients have widely variable durations of response to ADT. Unfortunately, there is limited knowledge of pre-treatment prognostic factors for response to ADT. Recently, microRNA-21 (miR-21) has been reported to play an important role in development of castration resistance of CaP. However, little is known about the expression of miR-21 in advanced PCa biopsy tissues, and data on its potential predictive value in advanced PCa are completely lacking. METHODS In this study, paraffin-embedded prostate carcinoma tissues obtained by needle biopsy from 85 advanced PCa patients were evaluated for the expression levels of miR-21 by quantitative real-time PCR (qRT-PCR). In situ hybridization (ISH) analysis was performed to further confirm the qRT-PCR results. Kaplan–Meier analysis and Cox proportional hazards regression models were performed to investigate the correlation between miR-21 expression and time to progression of advanced PCa patients. RESULTS Compared with adjacent non-cancerous prostate tissues, the expression level of miR-21 was significantly increased in PCa tissues (PCa vs. non-cancerous prostate: 1.3273 ± 0.3207 vs. 0.9970 ± 0.2054, P &lt; 0.001). By and large, in ISH analysis miR-21 was expressed at a higher level in tumor areas than in adjacent non­cancerous areas. Additionally, PCa patients with higher expression of miR-21 were significantly more likely to be of high Gleason score and high clinical stage (P &lt; 0.05). There was no significant association between miR-21 expression and the initial prostate-specific antigen (PSA) level or age at diagnosis. Moreover, Kaplan–Meier survival analysis found that PCa patients with high miR-21 expression have shorter progression-free survival than those with low miR-21 expression. Furthermore, Multivariate Cox analysis revealed both miR-21 expression status (P = 0.040) and clinical stage (P = 0.042) were all independent predictive factor for progression-free survival for advanced PCa. CONCLUSION These findings suggest for the first time that the up-regulation of miR-21 may serve as an independent predictor of progress-free survival in patients with advanced PCa. Prostate 76:986–993, 2016. © 2016 Wiley Periodicals, Inc.","container-title":"The Prostate","DOI":"10.1002/pros.23187","ISSN":"1097-0045","issue":"11","language":"en","note":"_eprint: https://onlinelibrary.wiley.com/doi/pdf/10.1002/pros.23187","page":"986-993","source":"Wiley Online Library","title":"Association of microRNA-21 expression with clinicopathological characteristics and the risk of progression in advanced prostate cancer patients receiving androgen deprivation therapy","URL":"https://onlinelibrary.wiley.com/doi/abs/10.1002/pros.23187","volume":"76","author":[{"family":"Guan","given":"Yangbo"},{"family":"Wu","given":"You"},{"family":"Liu","given":"Yifei"},{"family":"Ni","given":"Jian"},{"family":"Nong","given":"Shaojun"}],"accessed":{"date-parts":[["2023",5,23]]},"issued":{"date-parts":[["2016"]]}}},{"id":693,"uris":["http://zotero.org/users/3583561/items/WVI5SNCQ"],"itemData":{"id":693,"type":"article-journal","abstract":"Background/aim\nMicroRNAs (miRNAs) are known up-to-date candidate biomarkers for several diseases. In addition, obtaining miRNA from different body fluids such as serum, plasma, saliva, and urine is relatively easy to handle. Herein we aimed to detect miRNAs as biomarkers for early stage prostate cancer (PC). For this purpose, we used urine and serum samples to detect any significant differences in miRNA profiles between patients and healthy controls.\n\nMaterials and methods\nTotal ribonucleic acid (RNA) in urine and serum samples were isolated from eight untreated PC patients, thirty healthy individuals were screened for miRNA profile, and candidate miRNAs were validated. Whole urinary and serum miRNA profile was analyzed using Affymetrix GeneChip miRNA 4.0 Arrays. Candidate miRNAs were investigated by stem-loop reverse transcription-polymerase chain reaction.\n\nResults\nWhen we analyzed the urinary samples of PC patients, 49 miRNAs were detected to be upregulated and 14 miRNAs were found to be downregulated when compared with healthy controls. According to the serum samples, 19 miRNAs were found to be upregulated, and 21 miRNAs were found to be downregulated when compared with healthy individuals as well. Interestingly, we detected only four overlapping miRNAs (MIR320A, MIR4535, MIR4706, MIR6750) that commonly increase or decrease in both serum and urine samples. Among them, MIR320A was found to be downregulated, and MIR4535, MIR4706, and MIR6750 were found to be upregulated for urine samples. However, only MIR6750 was upregulated and the other three miRNAs were downregulated for serum samples.\n\nConclusion\nNotably, the expression profile of MIR320A was significantly altered in urine specimens of prostate cancer patients. We considered that MIR320A has been evaluated as a valuable biomarker that can be used in the early diagnosis of PC.","container-title":"Turkish Journal of Medical Sciences","DOI":"10.3906/sag-2010-183","ISSN":"1300-0144","issue":"4","journalAbbreviation":"Turk J Med Sci","note":"PMID: 33550766\nPMCID: PMC8569761","page":"1764-1774","source":"PubMed Central","title":"Investigating differential miRNA expression profiling using serum and urine specimens for detecting potential biomarkers for early prostate cancer diagnosis","URL":"https://www.ncbi.nlm.nih.gov/pmc/articles/PMC8569761/","volume":"51","author":[{"family":"HASANOĞLU","given":"Sevde"},{"family":"GÖNCÜ","given":"Beyza"},{"family":"YÜCESAN","given":"Emrah"},{"family":"ATASOY","given":"Sezen"},{"family":"KAYALI","given":"Yunus"},{"family":"ÖZTEN KANDAŞ","given":"Nur"}],"accessed":{"date-parts":[["2023",5,17]]},"issued":{"date-parts":[["2021",8,30]]}}},{"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M."}],"issued":{"date-parts":[["2019",11]]}}},{"id":34,"uris":["http://zotero.org/users/3583561/items/YL3SS75Z"],"itemData":{"id":34,"type":"article-journal","abstract":"MiR-21 and miR-375 have been reported as dysregulated in prostate cancer (PCa) in multiple previous studies. Still, variable or even opposing data for the expression of these microRNAs in PCa were found, and their potential biomarker properties remain elusive. In an attempt to clarify their significance as PCa biomarkers, as well as to compare different types of specimens as a source of relevant microRNAs, we used plasma and matching plasma-derived exosomes from patients with PCa and patients with benign prostatic hyperplasia (BPH). Plasma and exosomes were obtained from 34 patients with PCa and 34 patients with BPH, and their levels of expression of miR-21 and miR-375 were determined by RT-qPCR. We found no significant difference in the level of expression of these microRNAs in plasma and exosomes between patients with PCa and BPH. The level of exosomal miR-21 was elevated in PCa patients with high serum PSA values, as well as in patients with aggressive PCa, while for plasma samples, the results remained insignificant. For miR-375, we did not find an association with the values of standard prognostic parameters of PCa, nor with cancer aggressiveness. Therefore, our results support the potential prognostic role of exosomal miR-21 expression levels in PCa.","container-title":"Genes","DOI":"10.3390/genes13122320","ISSN":"2073-4425","issue":"12","journalAbbreviation":"Genes (Basel)","note":"PMID: 36553586\nPMCID: PMC9778022","page":"2320","source":"PubMed Central","title":"MiR-375 and miR-21 as Potential Biomarkers of Prostate Cancer: Comparison of Matching Samples of Plasma and Exosomes","title-short":"MiR-375 and miR-21 as Potential Biomarkers of Prostate Cancer","URL":"https://www.ncbi.nlm.nih.gov/pmc/articles/PMC9778022/","volume":"13","author":[{"family":"Joković","given":"Suzana Matijašević"},{"family":"Dobrijević","given":"Zorana"},{"family":"Kotarac","given":"Nevena"},{"family":"Filipović","given":"Lidija"},{"family":"Popović","given":"Milica"},{"family":"Korać","given":"Aleksandra"},{"family":"Vuković","given":"Ivan"},{"family":"Savić-Pavićević","given":"Dušanka"},{"family":"Brajušković","given":"Goran"}],"accessed":{"date-parts":[["2023",5,1]]},"issued":{"date-parts":[["2022",12,9]]}}},{"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w:instrText>
      </w:r>
      <w:r w:rsidR="00647EC3" w:rsidRPr="00B06723">
        <w:rPr>
          <w:rFonts w:ascii="Arial" w:hAnsi="Arial" w:cs="Arial"/>
          <w:iCs/>
          <w:sz w:val="18"/>
          <w:lang w:val="fr-FR"/>
        </w:rPr>
        <w:instrText xml:space="preserve">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001CAC" w:rsidRPr="00B06723">
        <w:rPr>
          <w:rFonts w:ascii="Arial" w:hAnsi="Arial" w:cs="Arial"/>
          <w:iCs/>
          <w:sz w:val="18"/>
        </w:rPr>
        <w:fldChar w:fldCharType="separate"/>
      </w:r>
      <w:r w:rsidR="00647EC3" w:rsidRPr="00B06723">
        <w:rPr>
          <w:rFonts w:ascii="Arial" w:hAnsi="Arial" w:cs="Arial"/>
          <w:sz w:val="18"/>
          <w:lang w:val="fr-FR"/>
        </w:rPr>
        <w:t>(Guan et al., 2016; HASANOĞLU et al., 2021; Ibrahim et al., 2019; Joković et al., 2022; Li et al., 2016; Nitusca et al., 2022b, 2022a; Osipov et al., 2016; Porzycki et al., 2018; Ye et al., 2020)</w:t>
      </w:r>
      <w:r w:rsidR="00001CAC" w:rsidRPr="00B06723">
        <w:rPr>
          <w:rFonts w:ascii="Arial" w:hAnsi="Arial" w:cs="Arial"/>
          <w:iCs/>
          <w:sz w:val="18"/>
        </w:rPr>
        <w:fldChar w:fldCharType="end"/>
      </w:r>
      <w:r w:rsidRPr="00B06723">
        <w:rPr>
          <w:rFonts w:ascii="Arial" w:hAnsi="Arial" w:cs="Arial"/>
          <w:iCs/>
          <w:sz w:val="18"/>
          <w:lang w:val="fr-FR"/>
        </w:rPr>
        <w:t>.</w:t>
      </w:r>
    </w:p>
    <w:p w14:paraId="2BB6DA49" w14:textId="57839DC9"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 xml:space="preserve">In previous meta-analyses, the performance of each of these microRNAs was examined separately </w:t>
      </w:r>
      <w:r w:rsidR="00001CAC"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{"citationID":"a25cfm5stgh","properties":{"formattedCitation":"(Nitusca et al., 2022b, 2022a; Zhang et al., 2022; Zhou &amp; Zhu, 2019)","plainCitation":"(Nitusca et al., 2022b, 2022a; Zhang et al., 2022; Zhou &amp; Zhu, 2019)","noteIndex":0},"citationItems":[{"id":710,"uris":["http://zotero.org/users/3583561/items/35DGDNS8"],"itemData":{"id":710,"type":"article-journal","abstract":"Background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001CAC" w:rsidRPr="00B06723">
        <w:rPr>
          <w:rFonts w:ascii="Arial" w:hAnsi="Arial" w:cs="Arial"/>
          <w:iCs/>
          <w:sz w:val="18"/>
        </w:rPr>
        <w:fldChar w:fldCharType="separate"/>
      </w:r>
      <w:r w:rsidR="00F669DC" w:rsidRPr="00B06723">
        <w:rPr>
          <w:rFonts w:ascii="Arial" w:hAnsi="Arial" w:cs="Arial"/>
          <w:sz w:val="18"/>
        </w:rPr>
        <w:t>(Nitusca et al., 2022b, 2022a; Zhang et al., 2022; Zhou &amp; Zhu, 2019)</w:t>
      </w:r>
      <w:r w:rsidR="00001CAC" w:rsidRPr="00B06723">
        <w:rPr>
          <w:rFonts w:ascii="Arial" w:hAnsi="Arial" w:cs="Arial"/>
          <w:iCs/>
          <w:sz w:val="18"/>
        </w:rPr>
        <w:fldChar w:fldCharType="end"/>
      </w:r>
      <w:r w:rsidRPr="00B06723">
        <w:rPr>
          <w:rFonts w:ascii="Arial" w:hAnsi="Arial" w:cs="Arial"/>
          <w:iCs/>
          <w:sz w:val="18"/>
        </w:rPr>
        <w:t>, but our meta-analysis is innovative in evaluating these miRNAs in combination and in comparison, to traditional diagnostic tests, and in optimizing detection by evaluating the most appropriate biological matrix for analysis.</w:t>
      </w:r>
    </w:p>
    <w:p w14:paraId="660984DB" w14:textId="54D0FB9C"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 xml:space="preserve">In total, our analysis included 27 studies in 25 articles, involving 2,697 participants, with 12 studies on miR-21, 12 on miR-141, and 11 on miR-375. Our results suggest that each of the biomarkers studied has excellent diagnostic efficacy. In the case of miR-21, we obtained a combined sensitivity of 0.87, ranging from 0.76 to 0.94, a specificity of 0.86, with a range of 0.80 to 0.91, a diagnostic odds ratio of 43, and a particularly high area under the ROC curve of 0.92. In terms of miR-141, these values were 0.78 with a range of 0.67 to 0.86, 0.87, and a range of 0.67 to 0.95, 23, and 0.87, respectively. For miR-375, the corresponding values were 0.76 (0.58 to 0.88) for SEN, 0.84 (0.73 to 0.92) for SPE, with a DOR of 17 and an AUC of 0.88. These results suggest a high potential for distinguishing patients with </w:t>
      </w:r>
      <w:proofErr w:type="spellStart"/>
      <w:r w:rsidRPr="00B06723">
        <w:rPr>
          <w:rFonts w:ascii="Arial" w:hAnsi="Arial" w:cs="Arial"/>
          <w:iCs/>
          <w:sz w:val="18"/>
        </w:rPr>
        <w:t>PCa</w:t>
      </w:r>
      <w:proofErr w:type="spellEnd"/>
      <w:r w:rsidRPr="00B06723">
        <w:rPr>
          <w:rFonts w:ascii="Arial" w:hAnsi="Arial" w:cs="Arial"/>
          <w:iCs/>
          <w:sz w:val="18"/>
        </w:rPr>
        <w:t xml:space="preserve"> from healthy individuals or patients with BPH. Furthermore, a meta-analysis by Zhou and Zhu in 2019 also presents exceptional results for miR-21 with a sensitivity of 91%, specificity of 88%, DOR of 77.6, and AUC of 0.95, highlighting miR-21 as an extremely promising non-invasive marker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{"citationID":"a1sum8v3smh","properties":{"formattedCitation":"(Zhou &amp; Zhu, 2019)","plainCitation":"(Zhou &amp; Zhu, 2019)","noteIndex":0},"citationItems":[{"id":360,"uris":["http://zotero.org/users/3583561/items/SWF6Z56W"],"itemData":{"id":360,"type":"article-journal","abstract":"Background\nProstate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(Zhou &amp; Zhu, 2019)</w:t>
      </w:r>
      <w:r w:rsidR="00AE19FB" w:rsidRPr="00B06723">
        <w:rPr>
          <w:rFonts w:ascii="Arial" w:hAnsi="Arial" w:cs="Arial"/>
          <w:iCs/>
          <w:sz w:val="18"/>
        </w:rPr>
        <w:fldChar w:fldCharType="end"/>
      </w:r>
      <w:r w:rsidRPr="00B06723">
        <w:rPr>
          <w:rFonts w:ascii="Arial" w:hAnsi="Arial" w:cs="Arial"/>
          <w:iCs/>
          <w:sz w:val="18"/>
        </w:rPr>
        <w:t xml:space="preserve">. These results are consistent with another study by Zhang et al. in 2022, which reported a </w:t>
      </w:r>
      <w:r w:rsidRPr="00B06723">
        <w:rPr>
          <w:rFonts w:ascii="Arial" w:hAnsi="Arial" w:cs="Arial"/>
          <w:iCs/>
          <w:sz w:val="18"/>
        </w:rPr>
        <w:lastRenderedPageBreak/>
        <w:t xml:space="preserve">sensitivity of 86%, specifically 90%, DOR of 52, and AUC of 0.94, also confirming superior diagnostic efficacy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{"citationID":"a2d8a9k444j","properties":{"formattedCitation":"(Zhang et al., 2022)","plainCitation":"(Zhang et al., 2022)","noteIndex":0},"citationItems":[{"id":642,"uris":["http://zotero.org/users/3583561/items/7ZNUBCUH"],"itemData":{"id":642,"type":"article-journal","abstract":"OBJECTIVES: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(Zhang et al., 2022)</w:t>
      </w:r>
      <w:r w:rsidR="00AE19FB" w:rsidRPr="00B06723">
        <w:rPr>
          <w:rFonts w:ascii="Arial" w:hAnsi="Arial" w:cs="Arial"/>
          <w:iCs/>
          <w:sz w:val="18"/>
        </w:rPr>
        <w:fldChar w:fldCharType="end"/>
      </w:r>
      <w:r w:rsidRPr="00B06723">
        <w:rPr>
          <w:rFonts w:ascii="Arial" w:hAnsi="Arial" w:cs="Arial"/>
          <w:iCs/>
          <w:sz w:val="18"/>
        </w:rPr>
        <w:t>.</w:t>
      </w:r>
    </w:p>
    <w:p w14:paraId="163ABDF9" w14:textId="77777777"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The robustness of miR-21's high and consistent performance in multiple independent meta-analyses strongly validates its clinical value. The diagnostic accuracy of the biomarker appears to be similar across populations and study designs, as reflected by SEN 87%, SPE 86%, DOR 43, and AUC 0.92, which were like the respective parameters in previous large studies. miR-21 maintained good specificity (86-90% in all studies), making it suitable for avoiding unnecessary biopsies in the clinical setting.</w:t>
      </w:r>
    </w:p>
    <w:p w14:paraId="6696A8F6" w14:textId="4DE96D25"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 xml:space="preserve">Regarding miR-141, Ye et al. in 2020 described diagnostic performance inferior to our results, with a combined sensitivity of 70% and specificity of 73%, a DOR of 9.94, and an AUC of 0.83, indicating moderate diagnostic accuracy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{"citationID":"a1cgi5008k4","properties":{"formattedCitation":"(Ye et al., 2020)","plainCitation":"(Ye et al., 2020)","noteIndex":0},"citationItems":[{"id":71,"uris":["http://zotero.org/users/3583561/items/NPD3MAJ7"],"itemData":{"id":71,"type":"article-journal","abstract":"Arrière-plan: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(Ye et al., 2020)</w:t>
      </w:r>
      <w:r w:rsidR="00AE19FB" w:rsidRPr="00B06723">
        <w:rPr>
          <w:rFonts w:ascii="Arial" w:hAnsi="Arial" w:cs="Arial"/>
          <w:iCs/>
          <w:sz w:val="18"/>
        </w:rPr>
        <w:fldChar w:fldCharType="end"/>
      </w:r>
      <w:r w:rsidRPr="00B06723">
        <w:rPr>
          <w:rFonts w:ascii="Arial" w:hAnsi="Arial" w:cs="Arial"/>
          <w:iCs/>
          <w:sz w:val="18"/>
        </w:rPr>
        <w:t xml:space="preserve">. However, more promising results were reported by </w:t>
      </w:r>
      <w:proofErr w:type="spellStart"/>
      <w:r w:rsidRPr="00B06723">
        <w:rPr>
          <w:rFonts w:ascii="Arial" w:hAnsi="Arial" w:cs="Arial"/>
          <w:iCs/>
          <w:sz w:val="18"/>
        </w:rPr>
        <w:t>Nitusca</w:t>
      </w:r>
      <w:proofErr w:type="spellEnd"/>
      <w:r w:rsidRPr="00B06723">
        <w:rPr>
          <w:rFonts w:ascii="Arial" w:hAnsi="Arial" w:cs="Arial"/>
          <w:iCs/>
          <w:sz w:val="18"/>
        </w:rPr>
        <w:t xml:space="preserve"> et al. in 2022 in their meta-analysis, with a sensitivity of 78% and a high specificity of 96%, yielding a DOR of 89 and an AUC value of 0.87. However, the substantial heterogeneity of the studies, as suggested by the wide CIs, prevents generalized conclusions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{"citationID":"a1ajmaabiq7","properties":{"formattedCitation":"(Nitusca et al., 2022a)","plainCitation":"(Nitusca et al., 2022a)","noteIndex":0},"citationItems":[{"id":8105,"uris":["http://zotero.org/users/3583561/items/MMCBGPYZ"],"itemData":{"id":8105,"type":"article-journal","abstract":"(1)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(Nitusca et al., 2022a)</w:t>
      </w:r>
      <w:r w:rsidR="00AE19FB" w:rsidRPr="00B06723">
        <w:rPr>
          <w:rFonts w:ascii="Arial" w:hAnsi="Arial" w:cs="Arial"/>
          <w:iCs/>
          <w:sz w:val="18"/>
        </w:rPr>
        <w:fldChar w:fldCharType="end"/>
      </w:r>
      <w:r w:rsidRPr="00B06723">
        <w:rPr>
          <w:rFonts w:ascii="Arial" w:hAnsi="Arial" w:cs="Arial"/>
          <w:iCs/>
          <w:sz w:val="18"/>
        </w:rPr>
        <w:t>. Studies on miR-141 have been reported mainly in metastatic contexts, which probably explains the differences in miR-141 performance stratified by stage and sample types.</w:t>
      </w:r>
    </w:p>
    <w:p w14:paraId="3CDCC55A" w14:textId="6DF69BB8"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 xml:space="preserve">For miR-375, </w:t>
      </w:r>
      <w:proofErr w:type="spellStart"/>
      <w:r w:rsidRPr="00B06723">
        <w:rPr>
          <w:rFonts w:ascii="Arial" w:hAnsi="Arial" w:cs="Arial"/>
          <w:iCs/>
          <w:sz w:val="18"/>
        </w:rPr>
        <w:t>Nitusca</w:t>
      </w:r>
      <w:proofErr w:type="spellEnd"/>
      <w:r w:rsidRPr="00B06723">
        <w:rPr>
          <w:rFonts w:ascii="Arial" w:hAnsi="Arial" w:cs="Arial"/>
          <w:iCs/>
          <w:sz w:val="18"/>
        </w:rPr>
        <w:t xml:space="preserve"> et al. conducted a meta-analysis dedicated to prostate cancer in 2022. However, for seven studies, the sensitivity was 76%, the specificity was 83%, the DOR was 16, and the AUC was 0.87 (indicating a moderately lower but still acceptable diagnostic value compared to miR-21)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{"citationID":"a1pemv11kli","properties":{"formattedCitation":"(Nitusca et al., 2022b)","plainCitation":"(Nitusca et al., 2022b)","noteIndex":0},"citationItems":[{"id":710,"uris":["http://zotero.org/users/3583561/items/35DGDNS8"],"itemData":{"id":710,"type":"article-journal","abstract":"Background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(Nitusca et al., 2022b)</w:t>
      </w:r>
      <w:r w:rsidR="00AE19FB" w:rsidRPr="00B06723">
        <w:rPr>
          <w:rFonts w:ascii="Arial" w:hAnsi="Arial" w:cs="Arial"/>
          <w:iCs/>
          <w:sz w:val="18"/>
        </w:rPr>
        <w:fldChar w:fldCharType="end"/>
      </w:r>
      <w:r w:rsidRPr="00B06723">
        <w:rPr>
          <w:rFonts w:ascii="Arial" w:hAnsi="Arial" w:cs="Arial"/>
          <w:iCs/>
          <w:sz w:val="18"/>
        </w:rPr>
        <w:t>. These data are consistent with our results (SEN 76%, SPE 84%, DOR 17, AUC 0.88), further confirming the reliability of miR-375 performance across various types of analysis.</w:t>
      </w:r>
    </w:p>
    <w:p w14:paraId="7C8BDB51" w14:textId="77777777"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Overall, these observations indicate that miR-21 was the most superior indicator for diagnosis, followed by miR-375 and miR-141. Such remarkable heterogeneity among studies (I² = 86.03–94.38% for sensitivities and 64.62–91.71% for specificities) highlights the need for a standard analytical threshold and consistent inclusion criteria for the optimal validation of these noninvasive biomarkers.</w:t>
      </w:r>
    </w:p>
    <w:p w14:paraId="1C69B986" w14:textId="2ADAF4E6"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 xml:space="preserve">Our results indicate that these miRNAs have greater diagnostic value than prostate-specific antigen (PSA), a tool currently used for screening prostate cancer. PSA is moderately sensitive (60-80%) but has low specificity (20-40% for different cut-offs) with a high number of false positives, leading to overdiagnosis and unnecessary procedures such as biopsies. The current diagnostic gold standard is systematic transrectal ultrasound-guided biopsy, an invasive technique with rather poor performance (sensitivity 60-70% for clinically significant cancers and specificity &gt; 80%)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{"citationID":"a2m18c2aib8","properties":{"formattedCitation":"(Borghesi et al., 2017)","plainCitation":"(Borghesi et al., 2017)","noteIndex":0},"citationItems":[{"id":8147,"uris":["http://zotero.org/users/3583561/items/G6P9E5E7"],"itemData":{"id":8147,"type":"article-journal","abstract":"CONTEXT: Prostate biopsy (PB) represents the gold standard method to confirm the presence of cancer. In addition to traditional random or systematic approaches, a magnetic resonance imaging (MRI)-guided technique has been introduced recently.\nOBJECTIVE: To perform a systematic review of complications after transrectal ultrasound (TRUS)-guided, transperineal, and MRI-guided PB.\nEVIDENCE ACQUISITION: We performed a systematic literature search of Web of Science, Embase, and Scopus databases up to October 2015, according to the Preferred Reporting Items for Systematic Reviews and Meta-Analyses (PRISMA) statement. Complications and mortality following random, systematic, and image-guided PBs were reviewed. Eighty-five references were included.\nEVIDENCE SYNTHESIS: The most frequent complication after PB was minor and self-limiting bleeding (hematuria and hematospermia), regardless of the biopsy approach. Occurrence of rectal bleeding was comparable for traditional TRUS-guided and image-guided PBs. Almost 25% of patients experienced lower urinary tract symptoms, but only a few had urinary retention, with higher rates after a transperineal approach. Temporary erectile dysfunction was not negligible, with a return to baseline after 1-6 mo. The incidence of infective complications is increasing, with higher rates among men with medical comorbidities and older age. Transperineal and in-bore MRI-targeted biopsy may reduce the risk of severe infectious complications. Mortality after PB is uncommon, regardless of biopsy technique.\nCONCLUSIONS: Complications after PB are frequent but often self-limiting. The incidence of hospitalization due to severe infections is continuously increasing. The patient's general health status, risk factors, and likelihood of antimicrobial resistance should be carefully appraised before scheduling a PB.\nPATIENT SUMMARY: We reviewed the variety and incidence of complications after prostate biopsy. Even if frequent, complications seldom represent a problem for the patient. The most troublesome complications are infections. To minimize this risk, the patient's medical condition should be carefully evaluated before biopsy.","container-title":"European Urology","DOI":"10.1016/j.eururo.2016.08.004","ISSN":"1873-7560","issue":"3","journalAbbreviation":"Eur Urol","language":"eng","note":"PMID: 27543165","page":"353-365","source":"PubMed","title":"Complications After Systematic, Random, and Image-guided Prostate Biopsy","volume":"71","author":[{"family":"Borghesi","given":"Marco"},{"family":"Ahmed","given":"Hashim"},{"family":"Nam","given":"Robert"},{"family":"Schaeffer","given":"Edward"},{"family":"Schiavina","given":"Riccardo"},{"family":"Taneja","given":"Samir"},{"family":"Weidner","given":"Wolfgang"},{"family":"Loeb","given":"Stacy"}],"issued":{"date-parts":[["2017",3]]}}}],"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(Borghesi et al., 2017)</w:t>
      </w:r>
      <w:r w:rsidR="00AE19FB" w:rsidRPr="00B06723">
        <w:rPr>
          <w:rFonts w:ascii="Arial" w:hAnsi="Arial" w:cs="Arial"/>
          <w:iCs/>
          <w:sz w:val="18"/>
        </w:rPr>
        <w:fldChar w:fldCharType="end"/>
      </w:r>
      <w:r w:rsidRPr="00B06723">
        <w:rPr>
          <w:rFonts w:ascii="Arial" w:hAnsi="Arial" w:cs="Arial"/>
          <w:iCs/>
          <w:sz w:val="18"/>
        </w:rPr>
        <w:t xml:space="preserve">. MRI-guided targeted biopsies, however, represent a significant improvement (sensitivity of 85-90% if high-grade tumors are primarily targeted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{"citationID":"a27ja2eut67","properties":{"formattedCitation":"(Ahmed et al., 2017)","plainCitation":"(Ahmed et al., 2017)","noteIndex":0},"citationItems":[{"id":8150,"uris":["http://zotero.org/users/3583561/items/KXNUR2Q3"],"itemData":{"id":8150,"type":"article-journal","abstract":"BACKGROUND: Men with high serum prostate specific antigen usually undergo transrectal ultrasound-guided prostate biopsy (TRUS-biopsy). TRUS-biopsy can cause side-effects including bleeding, pain, and infection. Multi-parametric magnetic resonance imaging (MP-MRI) used as a triage test might allow men to avoid unnecessary TRUS-biopsy and improve diagnostic accuracy.\nMETHODS: We did this multicentre, paired-cohort, confirmatory study to test diagnostic accuracy of MP-MRI and TRUS-biopsy against a reference test (template prostate mapping biopsy [TPM-biopsy]). Men with prostate-specific antigen concentrations up to 15 ng/mL, with no previous biopsy, underwent 1·5 Tesla MP-MRI followed by both TRUS-biopsy and TPM-biopsy. The conduct and reporting of each test was done blind to other test results. Clinically significant cancer was defined as Gleason score ≥4 + 3 or a maximum cancer core length 6 mm or longer. This study is registered on ClinicalTrials.gov, NCT01292291.\nFINDINGS: Between May 17, 2012, and November 9, 2015, we enrolled 740 men, 576 of whom underwent 1·5 Tesla MP-MRI followed by both TRUS-biopsy and TPM-biopsy. On TPM-biopsy, 408 (71%) of 576 men had cancer with 230 (40%) of 576 patients clinically significant. For clinically significant cancer, MP-MRI was more sensitive (93%, 95% CI 88-96%) than TRUS-biopsy (48%, 42-55%; p&lt;0·0001) and less specific (41%, 36-46% for MP-MRI vs 96%, 94-98% for TRUS-biopsy; p&lt;0·0001). 44 (5·9%) of 740 patients reported serious adverse events, including 8 cases of sepsis.\nINTERPRETATION: Using MP-MRI to triage men might allow 27% of patients avoid a primary biopsy and diagnosis of 5% fewer clinically insignificant cancers. If subsequent TRUS-biopsies were directed by MP-MRI findings, up to 18% more cases of clinically significant cancer might be detected compared with the standard pathway of TRUS-biopsy for all. MP-MRI, used as a triage test before first prostate biopsy, could reduce unnecessary biopsies by a quarter. MP-MRI can also reduce over-diagnosis of clinically insignificant prostate cancer and improve detection of clinically significant cancer.\nFUNDING: PROMIS is funded by the UK Government Department of Health, National Institute of Health Research-Health Technology Assessment Programme, (Project number 09/22/67). This project is also supported and partly funded by UCLH/UCL Biomedical Research Centre and The Royal Marsden and Institute for Cancer Research Biomedical Research Centre and is coordinated by the Medical Research Council Clinical Trials Unit (MRC CTU) at UCL. It is sponsored by University College London (UCL).","container-title":"Lancet (London, England)","DOI":"10.1016/S0140-6736(16)32401-1","ISSN":"1474-547X","issue":"10071","journalAbbreviation":"Lancet","language":"eng","note":"PMID: 28110982","page":"815-822","source":"PubMed","title":"Diagnostic accuracy of multi-parametric MRI and TRUS biopsy in prostate cancer (PROMIS): a paired validating confirmatory study","title-short":"Diagnostic accuracy of multi-parametric MRI and TRUS biopsy in prostate cancer (PROMIS)","volume":"389","author":[{"family":"Ahmed","given":"Hashim U."},{"family":"El-Shater Bosaily","given":"Ahmed"},{"family":"Brown","given":"Louise C."},{"family":"Gabe","given":"Rhian"},{"family":"Kaplan","given":"Richard"},{"family":"Parmar","given":"Mahesh K."},{"family":"Collaco-Moraes","given":"Yolanda"},{"family":"Ward","given":"Katie"},{"family":"Hindley","given":"Richard G."},{"family":"Freeman","given":"Alex"},{"family":"Kirkham","given":"Alex P."},{"family":"Oldroyd","given":"Robert"},{"family":"Parker","given":"Chris"},{"family":"Emberton","given":"Mark"},{"literal":"PROMIS study group"}],"issued":{"date-parts":[["2017",2,25]]}}}],"schema":"https://github.com/citation-style-language/schema/raw/master/csl-citation.json"}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(Ahmed et al., 2017)</w:t>
      </w:r>
      <w:r w:rsidR="00AE19FB" w:rsidRPr="00B06723">
        <w:rPr>
          <w:rFonts w:ascii="Arial" w:hAnsi="Arial" w:cs="Arial"/>
          <w:iCs/>
          <w:sz w:val="18"/>
        </w:rPr>
        <w:fldChar w:fldCharType="end"/>
      </w:r>
      <w:r w:rsidRPr="00B06723">
        <w:rPr>
          <w:rFonts w:ascii="Arial" w:hAnsi="Arial" w:cs="Arial"/>
          <w:iCs/>
          <w:sz w:val="18"/>
        </w:rPr>
        <w:t>, but they are costly, technically demanding, and may pose a risk to patients. Circulating microRNAs, on the other hand, represent a potential non-invasive alternative.</w:t>
      </w:r>
    </w:p>
    <w:p w14:paraId="1EFF1057" w14:textId="1A0FD3B3"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 xml:space="preserve">These results underscore the value of miRNAs as adjuncts to diagnostic strategies and as components of biopsies that better refine patient selection to minimize unnecessary invasive efforts. Our observations are in concordance with those of Bertoli et al. in 2016 and </w:t>
      </w:r>
      <w:proofErr w:type="spellStart"/>
      <w:r w:rsidRPr="00B06723">
        <w:rPr>
          <w:rFonts w:ascii="Arial" w:hAnsi="Arial" w:cs="Arial"/>
          <w:iCs/>
          <w:sz w:val="18"/>
        </w:rPr>
        <w:t>Cochetti</w:t>
      </w:r>
      <w:proofErr w:type="spellEnd"/>
      <w:r w:rsidRPr="00B06723">
        <w:rPr>
          <w:rFonts w:ascii="Arial" w:hAnsi="Arial" w:cs="Arial"/>
          <w:iCs/>
          <w:sz w:val="18"/>
        </w:rPr>
        <w:t xml:space="preserve"> et al. in 2020, supporting miRNAs hold promise as a successful candidate for the determination of clinically significant </w:t>
      </w:r>
      <w:proofErr w:type="spellStart"/>
      <w:r w:rsidRPr="00B06723">
        <w:rPr>
          <w:rFonts w:ascii="Arial" w:hAnsi="Arial" w:cs="Arial"/>
          <w:iCs/>
          <w:sz w:val="18"/>
        </w:rPr>
        <w:t>PCa</w:t>
      </w:r>
      <w:proofErr w:type="spellEnd"/>
      <w:r w:rsidRPr="00B06723">
        <w:rPr>
          <w:rFonts w:ascii="Arial" w:hAnsi="Arial" w:cs="Arial"/>
          <w:iCs/>
          <w:sz w:val="18"/>
        </w:rPr>
        <w:t xml:space="preserve">, with significantly enhanced patient acceptability and accessibility relative to current pathways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{"citationID":"a11l7rg3a29","properties":{"formattedCitation":"(Bertoli et al., 2016; Cochetti et al., 2020)","plainCitation":"(Bertoli et al., 2016; Cochetti et al., 2020)","noteIndex":0},"citationItems":[{"id":686,"uris":["http://zotero.org/users/3583561/items/BTMFX2IB"],"itemData":{"id":686,"type":"article-journal","abstract":"Prostate cancer (PC) includes several phenotypes, from indolent to highly aggressive cancer. Actual diagnostic and prognostic tools have several limitations, and there is a need for new biomarkers to stratify patients and assign them optimal therapies by taking into account potential genetic and epigenetic differences. MicroRNAs (miRNAs) are small sequences of non-coding RNA regulating specific genes involved in the onset and development of PC. Stable miRNAs have been found in biofluids, such as serum and plasma; thus, the measurement of PC-associated miRNAs is emerging as a non-invasive tool for PC detection and monitoring. In this study, we conduct an in-depth literature review focusing on miRNAs that may contribute to the diagnosis and prognosis of PC. The role of miRNAs as a potential theranostic tool in PC is discussed. Using a meta-analysis approach, we found a group of 29 miRNAs with diagnostic properties and a group of seven miRNAs with prognostic properties, which were found already expressed in both biofluids and PC tissues. We tested the two miRNA groups on The Cancer Genome Atlas dataset of PC tissue samples with a machine-learning approach. Our results suggest that these 29 miRNAs should be considered as potential panel of biomarkers for the diagnosis of PC, both as in vivo non-invasive test and ex vivo confirmation test.","container-title":"International Journal of Molecular Sciences","DOI":"10.3390/ijms17030421","ISSN":"1422-0067","issue":"3","journalAbbreviation":"Int J Mol Sci","language":"eng","note":"PMID: 27011184\nPMCID: PMC4813272","page":"421","source":"PubMed","title":"MicroRNAs as Biomarkers for Diagnosis, Prognosis and Theranostics in Prostate Cancer","volume":"17","author":[{"family":"Bertoli","given":"Gloria"},{"family":"Cava","given":"Claudia"},{"family":"Castiglioni","given":"Isabella"}],"issued":{"date-parts":[["2016",3,22]]}}},{"id":8153,"uris":["http://zotero.org/users/3583561/items/AZC2CATQ"],"itemData":{"id":8153,"type":"article-journal","abstract":"Many different genetic alterations, as well as complex epigenetic interactions, are the basis of the genesis and progression of prostate cancer (CaP). This is the reason why until now the molecular pathways related to development of this cancer were only partly known, and even less those that determine aggressive or indolent tumour behaviour. MicroRNAs (miRNAs) represent a class of about 22 nucleotides long, small non-coding RNAs, which are involved in gene expression regulation at the post-transcriptional level. MiRNAs play a crucial role in regulating several biological functions and preserving homeostasis, as they carry out a wide modulatory activity on various molecular signalling pathways. MiRNA genes are placed in cancer-related genomic regions or in fragile sites, and they have been proven to be involved in the main steps of carcinogenesis as oncogenes or oncosuppressors in many types of cancer, including CaP. We performed a narrative review to describe the relationship between miRNAs and the crucial steps of development and progression of CaP. The aims of this study were to improve the knowledge regarding the mechanisms underlying miRNA expression and their target genes, and to contribute to understanding the relationship between miRNA expression profiles and CaP.","container-title":"Urologic Oncology","DOI":"10.1016/j.urolonc.2020.03.007","ISSN":"1873-2496","issue":"7","journalAbbreviation":"Urol Oncol","language":"eng","note":"PMID: 32284256","page":"623-635","source":"PubMed","title":"Role of miRNAs in prostate cancer: Do we really know everything?","title-short":"Role of miRNAs in prostate cancer","volume":"38","author":[{"family":"Cochetti","given":"Giovanni"},{"family":"Rossi de Vermandois","given":"Jacopo Adolfo"},{"family":"Maulà","given":"Vincenza"},{"family":"Giulietti","given":"Matteo"},{"family":"Cecati","given":"Monia"},{"family":"Del Zingaro","given":"Michele"},{"family":"Cagnani","given":"Rosy"},{"family":"Suvieri","given":"Chiara"},{"family":"Paladini","given":"Alessio"},{"family":"Mearini","given":"Ettore"}],"issued":{"date-parts":[["2020",7]]}}}],"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(Bertoli et al., 2016; Cochetti et al., 2020)</w:t>
      </w:r>
      <w:r w:rsidR="00AE19FB" w:rsidRPr="00B06723">
        <w:rPr>
          <w:rFonts w:ascii="Arial" w:hAnsi="Arial" w:cs="Arial"/>
          <w:iCs/>
          <w:sz w:val="18"/>
        </w:rPr>
        <w:fldChar w:fldCharType="end"/>
      </w:r>
      <w:r w:rsidRPr="00B06723">
        <w:rPr>
          <w:rFonts w:ascii="Arial" w:hAnsi="Arial" w:cs="Arial"/>
          <w:iCs/>
          <w:sz w:val="18"/>
        </w:rPr>
        <w:t>.</w:t>
      </w:r>
    </w:p>
    <w:p w14:paraId="3A229819" w14:textId="77777777"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 xml:space="preserve">Our meta-analysis with an expanded data set up to April 2025 confirms and quantitatively updates these conclusions and demonstrates that specific circulating miRNAs, either alone or in combination, can outperform FFA in the diagnosis of </w:t>
      </w:r>
      <w:proofErr w:type="spellStart"/>
      <w:r w:rsidRPr="00B06723">
        <w:rPr>
          <w:rFonts w:ascii="Arial" w:hAnsi="Arial" w:cs="Arial"/>
          <w:iCs/>
          <w:sz w:val="18"/>
        </w:rPr>
        <w:t>PCa</w:t>
      </w:r>
      <w:proofErr w:type="spellEnd"/>
      <w:r w:rsidRPr="00B06723">
        <w:rPr>
          <w:rFonts w:ascii="Arial" w:hAnsi="Arial" w:cs="Arial"/>
          <w:iCs/>
          <w:sz w:val="18"/>
        </w:rPr>
        <w:t>. Interestingly, the 3-miRNA panel (miR-21, miR-141, miR-375) can offer improved diagnostic accuracy (AUC = 0.91), pooled sensitivity (82%), and specificity (86%). These performance measures rank this multi-miRNA signature among a strong standalone PSA substitute or a complementary tool to PSA in a combined screening setting.</w:t>
      </w:r>
    </w:p>
    <w:p w14:paraId="7B37A149" w14:textId="6B8A0E98"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Inter-study heterogeneity remained substantial despite the observed diagnostic performance. Area under the ROC curve (AUC) was re-examined by subgroup analysis to identify its sources. Subgroup analyses were conducted. In contrast to sensitivity and specificity, performance is not dependent on the cut-offs used in individual studies, and the AUC offers a threshold-independent quantity of diagnostic accuracy that is therefore more robust for comparisons amongst heterogeneous subgroups.</w:t>
      </w:r>
    </w:p>
    <w:p w14:paraId="203372D2" w14:textId="77777777"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lastRenderedPageBreak/>
        <w:t>Sub analysis identified that the type of biological matrix, plasma, serum, or urine, has a significant influence on the diagnostic performance. There were statistically significant differences between the sample types. Serum had an acceptable diagnostic performance (AUC = 0.86) and moderate between-study heterogeneity (I² = 51%), with the implication of being more robust and reproducible. Plasma and urine, on the other hand, demonstrated a low overall diagnostic accuracy (AUC ≤ 0.77), interspersed with high heterogeneity (I² = 88.4% and I² = 65.4%, respectively) and in a sense which did not allow their reliable use. Whole blood was rather paradoxically the medium returning the highest AUC of 0.91, yet it had significant heterogeneity (I² = 91.8%), meaning that studies did not agree very well together.</w:t>
      </w:r>
    </w:p>
    <w:p w14:paraId="70C89B28" w14:textId="55898AF7"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 xml:space="preserve">Our data agree with the work of Zhang et al. in 2022, who reported an AUC of 0.94 for circulating microRNAs, higher discriminative capacity in serum than in plasma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{"citationID":"autba9oijg","properties":{"formattedCitation":"(Zhang et al., 2022)","plainCitation":"(Zhang et al., 2022)","noteIndex":0},"citationItems":[{"id":642,"uris":["http://zotero.org/users/3583561/items/7ZNUBCUH"],"itemData":{"id":642,"type":"article-journal","abstract":"OBJECTIVES: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(Zhang et al., 2022)</w:t>
      </w:r>
      <w:r w:rsidR="00AE19FB" w:rsidRPr="00B06723">
        <w:rPr>
          <w:rFonts w:ascii="Arial" w:hAnsi="Arial" w:cs="Arial"/>
          <w:iCs/>
          <w:sz w:val="18"/>
        </w:rPr>
        <w:fldChar w:fldCharType="end"/>
      </w:r>
      <w:r w:rsidRPr="00B06723">
        <w:rPr>
          <w:rFonts w:ascii="Arial" w:hAnsi="Arial" w:cs="Arial"/>
          <w:iCs/>
          <w:sz w:val="18"/>
        </w:rPr>
        <w:t xml:space="preserve">. In contrast to plasma, which is sensitive to anticoagulants, and urine, whose composition may present with different hydration status, pH, or conditions of collection, using the serum is by far the best stability condition for microRNA quantification </w:t>
      </w:r>
      <w:r w:rsidR="00AE19FB"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{"citationID":"a10350ptoqj","properties":{"formattedCitation":"(Yin et al., 2016)","plainCitation":"(Yin et al., 2016)","noteIndex":0},"citationItems":[{"id":764,"uris":["http://zotero.org/users/3583561/items/K7BICF8N"],"itemData":{"id":764,"type":"article-journal","abstract":"BACKGROUND: The diagnostic value of circulating microRNAs (miRNAs) detection in prostate cancer (PC) patients is currently under debate. Thus, we performed this meta-analysis of published literature to systematically evaluate the diagnostic potential of circulating miRNAs in PC.\nMETHODS: Eligible studies were searched in PubMed, Embase and Chinese National Knowledge Infrastructure databases. Sensitivity and specificity were pooled using a random-effects model and were used to plot the summary receiver operator characteristic (SROC) curve. All analyses were performed using the Stata 13.0 software and Meta-Disc 1.4 for windows.\nRESULTS: A total of ten articles were included for the meta-analysis according to the inclusion criteria. The pooled results based on all included studies showed circulating miRNAs have a relatively good diagnostic performance, with a sensitivity of 0.74, a specificity of 0.71 and an area under SROC curve (AUC) of 0.77 in indiscriminating PC from controls. Furthermore, meta-regression and subgroup analyses indicate that multiple circulating miRNAs detection displayed a better diagnostic performance than single one, with an AUC rising from 0.75 to 0.81. Additional interesting finding was that Caucasian-based circulating miRNAs assays could reach a higher accuracy compared with non-Caucasian-based one for PC with the p value of 0.0378.\nCONCLUSION: Our results confirmed the potential use of circulating miRNAs in the early diagnosis of PC, especially the combination of multiple circulating miRNAs. However, large-scale prospective studies are still needed to further validate our findings.","container-title":"International Urology and Nephrology","DOI":"10.1007/s11255-016-1281-4","ISSN":"1573-2584","issue":"7","journalAbbreviation":"Int Urol Nephrol","language":"eng","note":"PMID: 27068818","page":"1087-1095","source":"PubMed","title":"Circulating microRNAs as novel biomarkers in the diagnosis of prostate cancer: a systematic review and meta-analysis","title-short":"Circulating microRNAs as novel biomarkers in the diagnosis of prostate cancer","volume":"48","author":[{"family":"Yin","given":"Changqing"},{"family":"Fang","given":"Cheng"},{"family":"Weng","given":"Hong"},{"family":"Yuan","given":"Chunhui"},{"family":"Wang","given":"Fubing"}],"issued":{"date-parts":[["2016",7]]}}}],"schema":"https://github.com/citation-style-language/schema/raw/master/csl-citation.json"} </w:instrText>
      </w:r>
      <w:r w:rsidR="00AE19FB" w:rsidRPr="00B06723">
        <w:rPr>
          <w:rFonts w:ascii="Arial" w:hAnsi="Arial" w:cs="Arial"/>
          <w:iCs/>
          <w:sz w:val="18"/>
        </w:rPr>
        <w:fldChar w:fldCharType="separate"/>
      </w:r>
      <w:r w:rsidR="00F669DC" w:rsidRPr="00B06723">
        <w:rPr>
          <w:rFonts w:ascii="Arial" w:hAnsi="Arial" w:cs="Arial"/>
          <w:sz w:val="18"/>
        </w:rPr>
        <w:t>(Yin et al., 2016)</w:t>
      </w:r>
      <w:r w:rsidR="00AE19FB" w:rsidRPr="00B06723">
        <w:rPr>
          <w:rFonts w:ascii="Arial" w:hAnsi="Arial" w:cs="Arial"/>
          <w:iCs/>
          <w:sz w:val="18"/>
        </w:rPr>
        <w:fldChar w:fldCharType="end"/>
      </w:r>
      <w:r w:rsidRPr="00B06723">
        <w:rPr>
          <w:rFonts w:ascii="Arial" w:hAnsi="Arial" w:cs="Arial"/>
          <w:iCs/>
          <w:sz w:val="18"/>
        </w:rPr>
        <w:t>.</w:t>
      </w:r>
    </w:p>
    <w:p w14:paraId="5AF54890" w14:textId="10D6EB37"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Also, the type of control group influenced the sensitivity of the diagnosis significantly (</w:t>
      </w:r>
      <w:r w:rsidRPr="00B06723">
        <w:rPr>
          <w:rFonts w:ascii="Arial" w:hAnsi="Arial" w:cs="Arial"/>
          <w:i/>
          <w:sz w:val="18"/>
        </w:rPr>
        <w:t>P</w:t>
      </w:r>
      <w:r w:rsidRPr="00B06723">
        <w:rPr>
          <w:rFonts w:ascii="Arial" w:hAnsi="Arial" w:cs="Arial"/>
          <w:iCs/>
          <w:sz w:val="18"/>
        </w:rPr>
        <w:t xml:space="preserve"> = 0.03). Our results demonstrated that healthy individuals yielded a higher diagnostic accuracy (AUC = 0.86) as the control group than that observed with benign prostatic hyperplasia (BPH) (AUC = 0.77). Such findings are in line with the results of Zhou and Zhu in 2019, showing that diagnostic accuracy decreased when the control group was composed of patients being diagnosed with benign disorders of the prostate and AUC decreased from 0.86 to 0.78 </w:t>
      </w:r>
      <w:r w:rsidR="00F669DC"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{"citationID":"a29rifmcktt","properties":{"formattedCitation":"(Zhou &amp; Zhu, 2019)","plainCitation":"(Zhou &amp; Zhu, 2019)","noteIndex":0},"citationItems":[{"id":360,"uris":["http://zotero.org/users/3583561/items/SWF6Z56W"],"itemData":{"id":360,"type":"article-journal","abstract":"Background\nProstate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F669DC" w:rsidRPr="00B06723">
        <w:rPr>
          <w:rFonts w:ascii="Arial" w:hAnsi="Arial" w:cs="Arial"/>
          <w:iCs/>
          <w:sz w:val="18"/>
        </w:rPr>
        <w:fldChar w:fldCharType="separate"/>
      </w:r>
      <w:r w:rsidR="00F669DC" w:rsidRPr="00B06723">
        <w:rPr>
          <w:rFonts w:ascii="Arial" w:hAnsi="Arial" w:cs="Arial"/>
          <w:sz w:val="18"/>
        </w:rPr>
        <w:t>(Zhou &amp; Zhu, 2019)</w:t>
      </w:r>
      <w:r w:rsidR="00F669DC" w:rsidRPr="00B06723">
        <w:rPr>
          <w:rFonts w:ascii="Arial" w:hAnsi="Arial" w:cs="Arial"/>
          <w:iCs/>
          <w:sz w:val="18"/>
        </w:rPr>
        <w:fldChar w:fldCharType="end"/>
      </w:r>
      <w:r w:rsidRPr="00B06723">
        <w:rPr>
          <w:rFonts w:ascii="Arial" w:hAnsi="Arial" w:cs="Arial"/>
          <w:iCs/>
          <w:sz w:val="18"/>
        </w:rPr>
        <w:t xml:space="preserve">. Several other studies also showed evidence that BPH and PC share molecular profiles and/or microRNA expression signature the same as that of PC patients, leading to reduced discrimination of diagnostic tests </w:t>
      </w:r>
      <w:r w:rsidR="00F669DC" w:rsidRPr="00B06723">
        <w:rPr>
          <w:rFonts w:ascii="Arial" w:hAnsi="Arial" w:cs="Arial"/>
          <w:iCs/>
          <w:sz w:val="18"/>
        </w:rPr>
        <w:fldChar w:fldCharType="begin"/>
      </w:r>
      <w:r w:rsidR="00F669DC" w:rsidRPr="00B06723">
        <w:rPr>
          <w:rFonts w:ascii="Arial" w:hAnsi="Arial" w:cs="Arial"/>
          <w:iCs/>
          <w:sz w:val="18"/>
        </w:rPr>
        <w:instrText xml:space="preserve"> ADDIN ZOTERO_ITEM CSL_CITATION {"citationID":"a2n7rbmjugu","properties":{"formattedCitation":"(Manoj et al., 2023)","plainCitation":"(Manoj et al., 2023)","noteIndex":0},"citationItems":[{"id":4514,"uris":["http://zotero.org/groups/5148055/items/BMIR5DVF"],"itemData":{"id":4514,"type":"article-journal","abstract":"Background: Owing to the heterogeneous nature of prostate cancer (PCa) and errors in the characterization of the disease, researchers have been trying to unveil molecular biomarkers like microRNA (miRNA) as diagnostic markers. The purpose of our study is to demonstrate the precision of a panel of miRNAs as biomarkers with diagnostic potential for risk stratification. Materials and methods: The present study demonstrates the comparative expression profiles of miRNA-141,-1290,-100, and -335 in both tissue and serum, including Benign Prostate Hyperplasia (BPH) and PCa, with healthy volunteers. Firstly, we demonstrate the expression of all miRNAs in the discovery cohort, including metastasis and benign tissue, and later validate their non-invasive diagnostic potential in BPH and PCa with healthy volunteers. MiRNA was isolated from tissue and serum to be quantified by RT-PCR and analyzed for biomarker potential by receiver operating characteristic (ROC) curve analysis, followed by targetome analysis of each miRNA. Results: Among the non-invasive miRNA assessed, it was seen that miRNA 141 (P = 0.0003) and miRNA 1290 (P &lt; 0.0001) are oncogenic with significantly higher expression, while miRNA 100 (P = 0.0002) and miRNA 335 are tumor suppressor, in PCa as compared to controls. While for BPH, miRNA 141 (P = 0.003) and miRNA 335 (P = 0.0002) were found to be significantly oncogenic and tumor suppressors, respectively. The analysis of the ROC curve of panel miRNAs (miRNA-141,-1290, and -100) portrayed a significant area under the curve with greater sensitivity and specificity. Moreover, in-silico prediction of their respective targetomes represents their extensive involvement in PCa progression and various other cascades that aid in PCa networks. Conclusions: To the best of our knowledge, we are going to report for the first time this panel of miRNA that can be used to accurately and efficiently diagnose BPH and PCa patients from healthy males.","archive":"Embase","container-title":"Prostate International","DOI":"10.1016/j.prnil.2023.06.002","ISSN":"2287-903X","issue":"3","journalAbbreviation":"Prostate Int.","language":"English","page":"150-158","title":"Screening and validation of novel serum panel of microRNA in stratification of prostate cancer","URL":"https://www.embase.com/search/results?subaction=viewrecord&amp;id=L2025913147&amp;from=export","volume":"11","author":[{"family":"Manoj","given":"A."},{"family":"Ahmad","given":"M.K."},{"family":"Prasad","given":"G."},{"family":"Kumar","given":"D."},{"family":"Mahdi","given":"A.A."},{"family":"Kumar","given":"M."}],"issued":{"date-parts":[["2023"]]}}}],"schema":"https://github.com/citation-style-language/schema/raw/master/csl-citation.json"} </w:instrText>
      </w:r>
      <w:r w:rsidR="00F669DC" w:rsidRPr="00B06723">
        <w:rPr>
          <w:rFonts w:ascii="Arial" w:hAnsi="Arial" w:cs="Arial"/>
          <w:iCs/>
          <w:sz w:val="18"/>
        </w:rPr>
        <w:fldChar w:fldCharType="separate"/>
      </w:r>
      <w:r w:rsidR="00F669DC" w:rsidRPr="00B06723">
        <w:rPr>
          <w:rFonts w:ascii="Arial" w:hAnsi="Arial" w:cs="Arial"/>
          <w:sz w:val="18"/>
        </w:rPr>
        <w:t>(Manoj et al., 2023)</w:t>
      </w:r>
      <w:r w:rsidR="00F669DC" w:rsidRPr="00B06723">
        <w:rPr>
          <w:rFonts w:ascii="Arial" w:hAnsi="Arial" w:cs="Arial"/>
          <w:iCs/>
          <w:sz w:val="18"/>
        </w:rPr>
        <w:fldChar w:fldCharType="end"/>
      </w:r>
      <w:r w:rsidRPr="00B06723">
        <w:rPr>
          <w:rFonts w:ascii="Arial" w:hAnsi="Arial" w:cs="Arial"/>
          <w:iCs/>
          <w:sz w:val="18"/>
        </w:rPr>
        <w:t>.</w:t>
      </w:r>
    </w:p>
    <w:p w14:paraId="0EEDA00C" w14:textId="77777777"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Finally, publication bias was not evident from Deeks’ tests (</w:t>
      </w:r>
      <w:r w:rsidRPr="00B06723">
        <w:rPr>
          <w:rFonts w:ascii="Arial" w:hAnsi="Arial" w:cs="Arial"/>
          <w:i/>
          <w:sz w:val="18"/>
        </w:rPr>
        <w:t>P</w:t>
      </w:r>
      <w:r w:rsidRPr="00B06723">
        <w:rPr>
          <w:rFonts w:ascii="Arial" w:hAnsi="Arial" w:cs="Arial"/>
          <w:iCs/>
          <w:sz w:val="18"/>
        </w:rPr>
        <w:t xml:space="preserve"> values higher than 0.1 for all markers), validating the finding despite continued variance among studies. In addition, the bivariate modeling method provided a good fit of the model, and the residuals were normally distributed, endorsing the methodological soundness of the present meta-analysis. The methodological quality of included studies was generally rated as at most 1 positive in the QUADAS-2 tool.</w:t>
      </w:r>
    </w:p>
    <w:p w14:paraId="28327D3A" w14:textId="1604BA0D" w:rsidR="00F703D8" w:rsidRPr="00B06723" w:rsidRDefault="00F703D8" w:rsidP="00F703D8">
      <w:pPr>
        <w:autoSpaceDE w:val="0"/>
        <w:autoSpaceDN w:val="0"/>
        <w:adjustRightInd w:val="0"/>
        <w:spacing w:after="240"/>
        <w:jc w:val="both"/>
        <w:rPr>
          <w:rFonts w:ascii="Arial" w:hAnsi="Arial" w:cs="Arial"/>
          <w:iCs/>
          <w:sz w:val="18"/>
        </w:rPr>
      </w:pPr>
      <w:r w:rsidRPr="00B06723">
        <w:rPr>
          <w:rFonts w:ascii="Arial" w:hAnsi="Arial" w:cs="Arial"/>
          <w:iCs/>
          <w:sz w:val="18"/>
        </w:rPr>
        <w:t>There are some limitations in this study. The notable heterogeneity among studies, diagnostic threshold variability, and lack of cohort harmonization can impair the generalizability of the results. Moreover, most of the studies included had a single-center design with small sample sizes. Independent external validation was included in only a small number of studies, which limits the immediate clinical usefulness of the findings.</w:t>
      </w:r>
    </w:p>
    <w:p w14:paraId="2F2D35F7" w14:textId="12A20D27" w:rsidR="00B01FCD" w:rsidRPr="00B06723" w:rsidRDefault="00C21A3D" w:rsidP="00441B6F">
      <w:pPr>
        <w:pStyle w:val="ConcHead"/>
        <w:spacing w:after="0"/>
        <w:jc w:val="both"/>
        <w:rPr>
          <w:rFonts w:ascii="Arial" w:hAnsi="Arial" w:cs="Arial"/>
        </w:rPr>
      </w:pPr>
      <w:r w:rsidRPr="00B06723">
        <w:rPr>
          <w:rFonts w:ascii="Arial" w:hAnsi="Arial" w:cs="Arial"/>
        </w:rPr>
        <w:t>5</w:t>
      </w:r>
      <w:r w:rsidR="00000F8F" w:rsidRPr="00B06723">
        <w:rPr>
          <w:rFonts w:ascii="Arial" w:hAnsi="Arial" w:cs="Arial"/>
        </w:rPr>
        <w:t xml:space="preserve">. </w:t>
      </w:r>
      <w:r w:rsidR="00B01FCD" w:rsidRPr="00B06723">
        <w:rPr>
          <w:rFonts w:ascii="Arial" w:hAnsi="Arial" w:cs="Arial"/>
        </w:rPr>
        <w:t>Conclusion</w:t>
      </w:r>
    </w:p>
    <w:p w14:paraId="550762BE" w14:textId="15231C93" w:rsidR="00B01FCD" w:rsidRPr="00B06723" w:rsidRDefault="00A45E1B" w:rsidP="00441B6F">
      <w:pPr>
        <w:pStyle w:val="Body"/>
        <w:spacing w:after="0"/>
        <w:rPr>
          <w:rFonts w:ascii="Arial" w:hAnsi="Arial" w:cs="Arial"/>
        </w:rPr>
      </w:pPr>
      <w:r w:rsidRPr="00B06723">
        <w:rPr>
          <w:rFonts w:ascii="Arial" w:hAnsi="Arial" w:cs="Arial"/>
        </w:rPr>
        <w:t xml:space="preserve"> </w:t>
      </w:r>
    </w:p>
    <w:p w14:paraId="5226CABC" w14:textId="07A61CFD" w:rsidR="00A45E1B" w:rsidRPr="00B06723" w:rsidRDefault="00A45E1B" w:rsidP="00A45E1B">
      <w:pPr>
        <w:pStyle w:val="Body"/>
        <w:rPr>
          <w:rFonts w:ascii="Arial" w:hAnsi="Arial" w:cs="Arial"/>
        </w:rPr>
      </w:pPr>
      <w:r w:rsidRPr="00B06723">
        <w:rPr>
          <w:rFonts w:ascii="Arial" w:hAnsi="Arial" w:cs="Arial"/>
        </w:rPr>
        <w:t>Despite conflicting results reported in the literature, our meta-analysis demonstrated that circulating microRNAs show good potential as diagnostic biomarkers for prostate cancer.</w:t>
      </w:r>
    </w:p>
    <w:p w14:paraId="691ABC65" w14:textId="66D2C17A" w:rsidR="00A45E1B" w:rsidRPr="00B06723" w:rsidRDefault="00A45E1B" w:rsidP="00A45E1B">
      <w:pPr>
        <w:pStyle w:val="Body"/>
        <w:rPr>
          <w:rFonts w:ascii="Arial" w:hAnsi="Arial" w:cs="Arial"/>
        </w:rPr>
      </w:pPr>
      <w:r w:rsidRPr="00B06723">
        <w:rPr>
          <w:rFonts w:ascii="Arial" w:hAnsi="Arial" w:cs="Arial"/>
        </w:rPr>
        <w:t>Of the three microRNAs we evaluated, miR-21 is by far the most effective in terms of tumor diagnosis, with its excellent AUC and likelihood ratios. MiR-141 and miR-375 also achieved encouraging levels, but their diagnostic performance was slightly lower, as indicated by a relatively lower DOR and a more moderate AUC.</w:t>
      </w:r>
    </w:p>
    <w:p w14:paraId="2451E600" w14:textId="3AF8C849" w:rsidR="00A45E1B" w:rsidRPr="00B06723" w:rsidRDefault="00A45E1B" w:rsidP="00A45E1B">
      <w:pPr>
        <w:pStyle w:val="Body"/>
        <w:rPr>
          <w:rFonts w:ascii="Arial" w:hAnsi="Arial" w:cs="Arial"/>
        </w:rPr>
      </w:pPr>
      <w:r w:rsidRPr="00B06723">
        <w:rPr>
          <w:rFonts w:ascii="Arial" w:hAnsi="Arial" w:cs="Arial"/>
        </w:rPr>
        <w:t>The heterogeneity observed was likely due to methodological variability, the type of sample analyzed, analytical procedures, or population-related issues. These biomarkers have clear potential to improve existing methods for screening and early diagnosis of prostate cancer, particularly as a complement to the PSA test.</w:t>
      </w:r>
    </w:p>
    <w:p w14:paraId="22B31F2A" w14:textId="75287E1F" w:rsidR="00A45E1B" w:rsidRDefault="00A45E1B" w:rsidP="00A45E1B">
      <w:pPr>
        <w:pStyle w:val="Body"/>
        <w:spacing w:after="0"/>
        <w:rPr>
          <w:rFonts w:ascii="Arial" w:hAnsi="Arial" w:cs="Arial"/>
        </w:rPr>
      </w:pPr>
      <w:r w:rsidRPr="00B06723">
        <w:rPr>
          <w:rFonts w:ascii="Arial" w:hAnsi="Arial" w:cs="Arial"/>
        </w:rPr>
        <w:t>However, new large-scale multicenter studies could verify the usefulness of these factors in routine practice and clarify their role in the diagnostic algorithm.</w:t>
      </w:r>
    </w:p>
    <w:p w14:paraId="2D7B50CB" w14:textId="77777777" w:rsidR="00B06723" w:rsidRPr="00B06723" w:rsidRDefault="00B06723" w:rsidP="00A45E1B">
      <w:pPr>
        <w:pStyle w:val="Body"/>
        <w:spacing w:after="0"/>
        <w:rPr>
          <w:rFonts w:ascii="Arial" w:hAnsi="Arial" w:cs="Arial"/>
        </w:rPr>
      </w:pPr>
    </w:p>
    <w:p w14:paraId="1763E91E" w14:textId="52157827" w:rsidR="00790ADA" w:rsidRPr="00B06723" w:rsidRDefault="00B00B61" w:rsidP="00B00B61">
      <w:pPr>
        <w:pStyle w:val="Body"/>
        <w:spacing w:after="0"/>
        <w:rPr>
          <w:rFonts w:ascii="Arial" w:hAnsi="Arial" w:cs="Arial"/>
        </w:rPr>
      </w:pPr>
      <w:r w:rsidRPr="00B06723">
        <w:rPr>
          <w:rFonts w:ascii="Arial" w:hAnsi="Arial" w:cs="Arial"/>
        </w:rPr>
        <w:t>.</w:t>
      </w:r>
    </w:p>
    <w:p w14:paraId="055F65D3" w14:textId="29812535" w:rsidR="00EB4C0D" w:rsidRPr="00B06723" w:rsidRDefault="00EB4C0D" w:rsidP="00EB4C0D">
      <w:pPr>
        <w:pStyle w:val="Body"/>
        <w:spacing w:after="0"/>
        <w:jc w:val="left"/>
        <w:rPr>
          <w:rFonts w:ascii="Arial" w:hAnsi="Arial" w:cs="Arial"/>
          <w:b/>
          <w:bCs/>
        </w:rPr>
      </w:pPr>
      <w:r w:rsidRPr="00B06723">
        <w:rPr>
          <w:rFonts w:ascii="Arial" w:hAnsi="Arial" w:cs="Arial"/>
          <w:b/>
          <w:bCs/>
        </w:rPr>
        <w:t>ABBREVIATIONS</w:t>
      </w:r>
    </w:p>
    <w:p w14:paraId="37D1F737" w14:textId="77777777" w:rsidR="00EB4C0D" w:rsidRPr="00B06723" w:rsidRDefault="00EB4C0D" w:rsidP="00EB4C0D">
      <w:pPr>
        <w:pStyle w:val="Body"/>
        <w:spacing w:after="0"/>
        <w:jc w:val="left"/>
        <w:rPr>
          <w:rFonts w:ascii="Arial" w:hAnsi="Arial" w:cs="Arial"/>
          <w:b/>
          <w:bCs/>
        </w:rPr>
      </w:pPr>
    </w:p>
    <w:p w14:paraId="0D05CF3A" w14:textId="77777777" w:rsidR="00EB4C0D" w:rsidRPr="00B06723" w:rsidRDefault="00EB4C0D" w:rsidP="00EB4C0D">
      <w:pPr>
        <w:pStyle w:val="Body"/>
        <w:rPr>
          <w:rFonts w:ascii="Arial" w:hAnsi="Arial" w:cs="Arial"/>
        </w:rPr>
      </w:pPr>
      <w:proofErr w:type="spellStart"/>
      <w:r w:rsidRPr="00B06723">
        <w:rPr>
          <w:rFonts w:ascii="Arial" w:hAnsi="Arial" w:cs="Arial"/>
        </w:rPr>
        <w:lastRenderedPageBreak/>
        <w:t>PCa</w:t>
      </w:r>
      <w:proofErr w:type="spellEnd"/>
      <w:r w:rsidRPr="00B06723">
        <w:rPr>
          <w:rFonts w:ascii="Arial" w:hAnsi="Arial" w:cs="Arial"/>
        </w:rPr>
        <w:t>: Prostate Cancer</w:t>
      </w:r>
    </w:p>
    <w:p w14:paraId="32EB9A2B" w14:textId="77777777" w:rsidR="00EB4C0D" w:rsidRPr="00B06723" w:rsidRDefault="00EB4C0D" w:rsidP="00EB4C0D">
      <w:pPr>
        <w:pStyle w:val="Body"/>
        <w:rPr>
          <w:rFonts w:ascii="Arial" w:hAnsi="Arial" w:cs="Arial"/>
        </w:rPr>
      </w:pPr>
      <w:r w:rsidRPr="00B06723">
        <w:rPr>
          <w:rFonts w:ascii="Arial" w:hAnsi="Arial" w:cs="Arial"/>
        </w:rPr>
        <w:t>PRISMA: Preferred Reporting Items for Systematic Reviews and Meta-Analyses)</w:t>
      </w:r>
    </w:p>
    <w:p w14:paraId="13864302" w14:textId="77777777" w:rsidR="00EB4C0D" w:rsidRPr="00B06723" w:rsidRDefault="00EB4C0D" w:rsidP="00EB4C0D">
      <w:pPr>
        <w:pStyle w:val="Body"/>
        <w:rPr>
          <w:rFonts w:ascii="Arial" w:hAnsi="Arial" w:cs="Arial"/>
        </w:rPr>
      </w:pPr>
      <w:r w:rsidRPr="00B06723">
        <w:rPr>
          <w:rFonts w:ascii="Arial" w:hAnsi="Arial" w:cs="Arial"/>
        </w:rPr>
        <w:t>PSA: Prostate Specific Antigen</w:t>
      </w:r>
    </w:p>
    <w:p w14:paraId="20C55FF9" w14:textId="77777777" w:rsidR="00EB4C0D" w:rsidRPr="00B06723" w:rsidRDefault="00EB4C0D" w:rsidP="00EB4C0D">
      <w:pPr>
        <w:pStyle w:val="Body"/>
        <w:rPr>
          <w:rFonts w:ascii="Arial" w:hAnsi="Arial" w:cs="Arial"/>
        </w:rPr>
      </w:pPr>
      <w:r w:rsidRPr="00B06723">
        <w:rPr>
          <w:rFonts w:ascii="Arial" w:hAnsi="Arial" w:cs="Arial"/>
        </w:rPr>
        <w:t xml:space="preserve">CI: Confidence Interval </w:t>
      </w:r>
    </w:p>
    <w:p w14:paraId="4EFF886E" w14:textId="77777777" w:rsidR="00EB4C0D" w:rsidRPr="00B06723" w:rsidRDefault="00EB4C0D" w:rsidP="00EB4C0D">
      <w:pPr>
        <w:pStyle w:val="Body"/>
        <w:rPr>
          <w:rFonts w:ascii="Arial" w:hAnsi="Arial" w:cs="Arial"/>
        </w:rPr>
      </w:pPr>
      <w:r w:rsidRPr="00B06723">
        <w:rPr>
          <w:rFonts w:ascii="Arial" w:hAnsi="Arial" w:cs="Arial"/>
        </w:rPr>
        <w:t xml:space="preserve">RNA: </w:t>
      </w:r>
      <w:proofErr w:type="spellStart"/>
      <w:r w:rsidRPr="00B06723">
        <w:rPr>
          <w:rFonts w:ascii="Arial" w:hAnsi="Arial" w:cs="Arial"/>
        </w:rPr>
        <w:t>RiboNucleic</w:t>
      </w:r>
      <w:proofErr w:type="spellEnd"/>
      <w:r w:rsidRPr="00B06723">
        <w:rPr>
          <w:rFonts w:ascii="Arial" w:hAnsi="Arial" w:cs="Arial"/>
        </w:rPr>
        <w:t xml:space="preserve"> Acid</w:t>
      </w:r>
    </w:p>
    <w:p w14:paraId="3C21CDE9" w14:textId="77777777" w:rsidR="00EB4C0D" w:rsidRPr="00B06723" w:rsidRDefault="00EB4C0D" w:rsidP="00EB4C0D">
      <w:pPr>
        <w:pStyle w:val="Body"/>
        <w:rPr>
          <w:rFonts w:ascii="Arial" w:hAnsi="Arial" w:cs="Arial"/>
        </w:rPr>
      </w:pPr>
      <w:proofErr w:type="spellStart"/>
      <w:r w:rsidRPr="00B06723">
        <w:rPr>
          <w:rFonts w:ascii="Arial" w:hAnsi="Arial" w:cs="Arial"/>
        </w:rPr>
        <w:t>miR</w:t>
      </w:r>
      <w:proofErr w:type="spellEnd"/>
      <w:r w:rsidRPr="00B06723">
        <w:rPr>
          <w:rFonts w:ascii="Arial" w:hAnsi="Arial" w:cs="Arial"/>
        </w:rPr>
        <w:t xml:space="preserve">-/miRNA/microRNA: micro- </w:t>
      </w:r>
      <w:proofErr w:type="spellStart"/>
      <w:r w:rsidRPr="00B06723">
        <w:rPr>
          <w:rFonts w:ascii="Arial" w:hAnsi="Arial" w:cs="Arial"/>
        </w:rPr>
        <w:t>RiboNucleic</w:t>
      </w:r>
      <w:proofErr w:type="spellEnd"/>
      <w:r w:rsidRPr="00B06723">
        <w:rPr>
          <w:rFonts w:ascii="Arial" w:hAnsi="Arial" w:cs="Arial"/>
        </w:rPr>
        <w:t xml:space="preserve"> Acid</w:t>
      </w:r>
    </w:p>
    <w:p w14:paraId="77E53756" w14:textId="77777777" w:rsidR="00EB4C0D" w:rsidRPr="00B06723" w:rsidRDefault="00EB4C0D" w:rsidP="00EB4C0D">
      <w:pPr>
        <w:pStyle w:val="Body"/>
        <w:rPr>
          <w:rFonts w:ascii="Arial" w:hAnsi="Arial" w:cs="Arial"/>
        </w:rPr>
      </w:pPr>
      <w:proofErr w:type="spellStart"/>
      <w:r w:rsidRPr="00B06723">
        <w:rPr>
          <w:rFonts w:ascii="Arial" w:hAnsi="Arial" w:cs="Arial"/>
        </w:rPr>
        <w:t>OncomiRs</w:t>
      </w:r>
      <w:proofErr w:type="spellEnd"/>
      <w:r w:rsidRPr="00B06723">
        <w:rPr>
          <w:rFonts w:ascii="Arial" w:hAnsi="Arial" w:cs="Arial"/>
        </w:rPr>
        <w:t>: Oncogenic microRNAs</w:t>
      </w:r>
    </w:p>
    <w:p w14:paraId="2F88DA53" w14:textId="77777777" w:rsidR="00EB4C0D" w:rsidRPr="00B06723" w:rsidRDefault="00EB4C0D" w:rsidP="00EB4C0D">
      <w:pPr>
        <w:pStyle w:val="Body"/>
        <w:rPr>
          <w:rFonts w:ascii="Arial" w:hAnsi="Arial" w:cs="Arial"/>
        </w:rPr>
      </w:pPr>
      <w:proofErr w:type="spellStart"/>
      <w:r w:rsidRPr="00B06723">
        <w:rPr>
          <w:rFonts w:ascii="Arial" w:hAnsi="Arial" w:cs="Arial"/>
        </w:rPr>
        <w:t>TsmiRs</w:t>
      </w:r>
      <w:proofErr w:type="spellEnd"/>
      <w:r w:rsidRPr="00B06723">
        <w:rPr>
          <w:rFonts w:ascii="Arial" w:hAnsi="Arial" w:cs="Arial"/>
        </w:rPr>
        <w:t>: Tumor suppressor microRNAs</w:t>
      </w:r>
    </w:p>
    <w:p w14:paraId="302C7433" w14:textId="77777777" w:rsidR="00EB4C0D" w:rsidRPr="00B06723" w:rsidRDefault="00EB4C0D" w:rsidP="00EB4C0D">
      <w:pPr>
        <w:pStyle w:val="Body"/>
        <w:rPr>
          <w:rFonts w:ascii="Arial" w:hAnsi="Arial" w:cs="Arial"/>
        </w:rPr>
      </w:pPr>
      <w:r w:rsidRPr="00B06723">
        <w:rPr>
          <w:rFonts w:ascii="Arial" w:hAnsi="Arial" w:cs="Arial"/>
        </w:rPr>
        <w:t>PCR: Polymerase Chain Reaction</w:t>
      </w:r>
    </w:p>
    <w:p w14:paraId="34729E65" w14:textId="77777777" w:rsidR="00EB4C0D" w:rsidRPr="00B06723" w:rsidRDefault="00EB4C0D" w:rsidP="00EB4C0D">
      <w:pPr>
        <w:pStyle w:val="Body"/>
        <w:rPr>
          <w:rFonts w:ascii="Arial" w:hAnsi="Arial" w:cs="Arial"/>
        </w:rPr>
      </w:pPr>
      <w:proofErr w:type="spellStart"/>
      <w:r w:rsidRPr="00B06723">
        <w:rPr>
          <w:rFonts w:ascii="Arial" w:hAnsi="Arial" w:cs="Arial"/>
        </w:rPr>
        <w:t>MeSH</w:t>
      </w:r>
      <w:proofErr w:type="spellEnd"/>
      <w:r w:rsidRPr="00B06723">
        <w:rPr>
          <w:rFonts w:ascii="Arial" w:hAnsi="Arial" w:cs="Arial"/>
        </w:rPr>
        <w:t>: Medical Subjective Heading</w:t>
      </w:r>
    </w:p>
    <w:p w14:paraId="2C3368AD" w14:textId="77777777" w:rsidR="00EB4C0D" w:rsidRPr="00B06723" w:rsidRDefault="00EB4C0D" w:rsidP="00EB4C0D">
      <w:pPr>
        <w:pStyle w:val="Body"/>
        <w:rPr>
          <w:rFonts w:ascii="Arial" w:hAnsi="Arial" w:cs="Arial"/>
        </w:rPr>
      </w:pPr>
      <w:r w:rsidRPr="00B06723">
        <w:rPr>
          <w:rFonts w:ascii="Arial" w:hAnsi="Arial" w:cs="Arial"/>
        </w:rPr>
        <w:t>BPH: Patients With Benign Prostate Disease</w:t>
      </w:r>
    </w:p>
    <w:p w14:paraId="4B438279" w14:textId="77777777" w:rsidR="00EB4C0D" w:rsidRPr="00B06723" w:rsidRDefault="00EB4C0D" w:rsidP="00EB4C0D">
      <w:pPr>
        <w:pStyle w:val="Body"/>
        <w:rPr>
          <w:rFonts w:ascii="Arial" w:hAnsi="Arial" w:cs="Arial"/>
        </w:rPr>
      </w:pPr>
      <w:r w:rsidRPr="00B06723">
        <w:rPr>
          <w:rFonts w:ascii="Arial" w:hAnsi="Arial" w:cs="Arial"/>
        </w:rPr>
        <w:t>HP: Healthy People</w:t>
      </w:r>
    </w:p>
    <w:p w14:paraId="77F13CB0" w14:textId="77777777" w:rsidR="00EB4C0D" w:rsidRPr="00B06723" w:rsidRDefault="00EB4C0D" w:rsidP="00EB4C0D">
      <w:pPr>
        <w:pStyle w:val="Body"/>
        <w:rPr>
          <w:rFonts w:ascii="Arial" w:hAnsi="Arial" w:cs="Arial"/>
        </w:rPr>
      </w:pPr>
      <w:r w:rsidRPr="00B06723">
        <w:rPr>
          <w:rFonts w:ascii="Arial" w:hAnsi="Arial" w:cs="Arial"/>
        </w:rPr>
        <w:t>TP: True Positive</w:t>
      </w:r>
    </w:p>
    <w:p w14:paraId="7CB218E1" w14:textId="77777777" w:rsidR="00EB4C0D" w:rsidRPr="00B06723" w:rsidRDefault="00EB4C0D" w:rsidP="00EB4C0D">
      <w:pPr>
        <w:pStyle w:val="Body"/>
        <w:rPr>
          <w:rFonts w:ascii="Arial" w:hAnsi="Arial" w:cs="Arial"/>
        </w:rPr>
      </w:pPr>
      <w:r w:rsidRPr="00B06723">
        <w:rPr>
          <w:rFonts w:ascii="Arial" w:hAnsi="Arial" w:cs="Arial"/>
        </w:rPr>
        <w:t>FP: False Positive</w:t>
      </w:r>
    </w:p>
    <w:p w14:paraId="57717423" w14:textId="77777777" w:rsidR="00EB4C0D" w:rsidRPr="00B06723" w:rsidRDefault="00EB4C0D" w:rsidP="00EB4C0D">
      <w:pPr>
        <w:pStyle w:val="Body"/>
        <w:rPr>
          <w:rFonts w:ascii="Arial" w:hAnsi="Arial" w:cs="Arial"/>
        </w:rPr>
      </w:pPr>
      <w:r w:rsidRPr="00B06723">
        <w:rPr>
          <w:rFonts w:ascii="Arial" w:hAnsi="Arial" w:cs="Arial"/>
        </w:rPr>
        <w:t>FN: False Negative</w:t>
      </w:r>
    </w:p>
    <w:p w14:paraId="36813B0E" w14:textId="77777777" w:rsidR="00EB4C0D" w:rsidRPr="00B06723" w:rsidRDefault="00EB4C0D" w:rsidP="00EB4C0D">
      <w:pPr>
        <w:pStyle w:val="Body"/>
        <w:rPr>
          <w:rFonts w:ascii="Arial" w:hAnsi="Arial" w:cs="Arial"/>
        </w:rPr>
      </w:pPr>
      <w:r w:rsidRPr="00B06723">
        <w:rPr>
          <w:rFonts w:ascii="Arial" w:hAnsi="Arial" w:cs="Arial"/>
        </w:rPr>
        <w:t>TN: True Negative</w:t>
      </w:r>
    </w:p>
    <w:p w14:paraId="16C367D9" w14:textId="77777777" w:rsidR="00EB4C0D" w:rsidRPr="00B06723" w:rsidRDefault="00EB4C0D" w:rsidP="00EB4C0D">
      <w:pPr>
        <w:pStyle w:val="Body"/>
        <w:rPr>
          <w:rFonts w:ascii="Arial" w:hAnsi="Arial" w:cs="Arial"/>
        </w:rPr>
      </w:pPr>
      <w:r w:rsidRPr="00B06723">
        <w:rPr>
          <w:rFonts w:ascii="Arial" w:hAnsi="Arial" w:cs="Arial"/>
        </w:rPr>
        <w:t>SEN: Sensitivity</w:t>
      </w:r>
    </w:p>
    <w:p w14:paraId="6173A88D" w14:textId="77777777" w:rsidR="00EB4C0D" w:rsidRPr="00B06723" w:rsidRDefault="00EB4C0D" w:rsidP="00EB4C0D">
      <w:pPr>
        <w:pStyle w:val="Body"/>
        <w:rPr>
          <w:rFonts w:ascii="Arial" w:hAnsi="Arial" w:cs="Arial"/>
        </w:rPr>
      </w:pPr>
      <w:r w:rsidRPr="00B06723">
        <w:rPr>
          <w:rFonts w:ascii="Arial" w:hAnsi="Arial" w:cs="Arial"/>
        </w:rPr>
        <w:t xml:space="preserve">SPE: Specificity </w:t>
      </w:r>
    </w:p>
    <w:p w14:paraId="2D161652" w14:textId="77777777" w:rsidR="00EB4C0D" w:rsidRPr="00B06723" w:rsidRDefault="00EB4C0D" w:rsidP="00EB4C0D">
      <w:pPr>
        <w:pStyle w:val="Body"/>
        <w:rPr>
          <w:rFonts w:ascii="Arial" w:hAnsi="Arial" w:cs="Arial"/>
        </w:rPr>
      </w:pPr>
      <w:r w:rsidRPr="00B06723">
        <w:rPr>
          <w:rFonts w:ascii="Arial" w:hAnsi="Arial" w:cs="Arial"/>
        </w:rPr>
        <w:t>SG: Gleason Score</w:t>
      </w:r>
    </w:p>
    <w:p w14:paraId="43630D3F" w14:textId="77777777" w:rsidR="00EB4C0D" w:rsidRPr="00B06723" w:rsidRDefault="00EB4C0D" w:rsidP="00EB4C0D">
      <w:pPr>
        <w:pStyle w:val="Body"/>
        <w:rPr>
          <w:rFonts w:ascii="Arial" w:hAnsi="Arial" w:cs="Arial"/>
        </w:rPr>
      </w:pPr>
      <w:r w:rsidRPr="00B06723">
        <w:rPr>
          <w:rFonts w:ascii="Arial" w:hAnsi="Arial" w:cs="Arial"/>
        </w:rPr>
        <w:t>AUC: Area Under the Curve</w:t>
      </w:r>
    </w:p>
    <w:p w14:paraId="4A001256" w14:textId="77777777" w:rsidR="00EB4C0D" w:rsidRPr="00B06723" w:rsidRDefault="00EB4C0D" w:rsidP="00EB4C0D">
      <w:pPr>
        <w:pStyle w:val="Body"/>
        <w:rPr>
          <w:rFonts w:ascii="Arial" w:hAnsi="Arial" w:cs="Arial"/>
        </w:rPr>
      </w:pPr>
      <w:r w:rsidRPr="00B06723">
        <w:rPr>
          <w:rFonts w:ascii="Arial" w:hAnsi="Arial" w:cs="Arial"/>
        </w:rPr>
        <w:t>QUADAS2: Quality Assessment tool for Diagnostic Accuracy Studies 2</w:t>
      </w:r>
    </w:p>
    <w:p w14:paraId="7FCC4F05" w14:textId="77777777" w:rsidR="00EB4C0D" w:rsidRPr="00B06723" w:rsidRDefault="00EB4C0D" w:rsidP="00EB4C0D">
      <w:pPr>
        <w:pStyle w:val="Body"/>
        <w:rPr>
          <w:rFonts w:ascii="Arial" w:hAnsi="Arial" w:cs="Arial"/>
        </w:rPr>
      </w:pPr>
      <w:r w:rsidRPr="00B06723">
        <w:rPr>
          <w:rFonts w:ascii="Arial" w:hAnsi="Arial" w:cs="Arial"/>
        </w:rPr>
        <w:t>LR: Likelihood Ratios</w:t>
      </w:r>
    </w:p>
    <w:p w14:paraId="5C007497" w14:textId="77777777" w:rsidR="00EB4C0D" w:rsidRPr="00B06723" w:rsidRDefault="00EB4C0D" w:rsidP="00EB4C0D">
      <w:pPr>
        <w:pStyle w:val="Body"/>
        <w:rPr>
          <w:rFonts w:ascii="Arial" w:hAnsi="Arial" w:cs="Arial"/>
        </w:rPr>
      </w:pPr>
      <w:r w:rsidRPr="00B06723">
        <w:rPr>
          <w:rFonts w:ascii="Arial" w:hAnsi="Arial" w:cs="Arial"/>
        </w:rPr>
        <w:t>SROC: Summary Receiver Operating Characteristic</w:t>
      </w:r>
    </w:p>
    <w:p w14:paraId="1D176DD9" w14:textId="3B20FEC0" w:rsidR="00EB4C0D" w:rsidRPr="00B06723" w:rsidRDefault="00EB4C0D" w:rsidP="00EB4C0D">
      <w:pPr>
        <w:pStyle w:val="ReferHead"/>
        <w:spacing w:after="0"/>
        <w:jc w:val="both"/>
        <w:rPr>
          <w:rFonts w:ascii="Arial" w:hAnsi="Arial" w:cs="Arial"/>
          <w:b w:val="0"/>
          <w:sz w:val="20"/>
        </w:rPr>
      </w:pPr>
      <w:r w:rsidRPr="00B06723">
        <w:rPr>
          <w:rFonts w:ascii="Arial" w:hAnsi="Arial" w:cs="Arial"/>
          <w:b w:val="0"/>
          <w:sz w:val="20"/>
        </w:rPr>
        <w:t xml:space="preserve">DOR: </w:t>
      </w:r>
      <w:r w:rsidR="006537AE" w:rsidRPr="00B06723">
        <w:rPr>
          <w:rFonts w:ascii="Arial" w:hAnsi="Arial" w:cs="Arial"/>
          <w:b w:val="0"/>
          <w:caps w:val="0"/>
          <w:sz w:val="20"/>
        </w:rPr>
        <w:t>Diagnostic Odds Ratio</w:t>
      </w:r>
    </w:p>
    <w:p w14:paraId="71D1BC23" w14:textId="77777777" w:rsidR="006537AE" w:rsidRPr="00B06723" w:rsidRDefault="006537AE" w:rsidP="00EB4C0D">
      <w:pPr>
        <w:pStyle w:val="ReferHead"/>
        <w:spacing w:after="0"/>
        <w:jc w:val="both"/>
        <w:rPr>
          <w:rFonts w:ascii="Arial" w:hAnsi="Arial" w:cs="Arial"/>
        </w:rPr>
      </w:pPr>
    </w:p>
    <w:p w14:paraId="303E7C77" w14:textId="7E34A1FA" w:rsidR="006E079D" w:rsidRPr="00B06723" w:rsidRDefault="006E079D" w:rsidP="0053009B"/>
    <w:p w14:paraId="4436E03E" w14:textId="77777777" w:rsidR="006E079D" w:rsidRPr="00B06723" w:rsidRDefault="006E079D" w:rsidP="0053009B"/>
    <w:p w14:paraId="42192752" w14:textId="77777777" w:rsidR="00E3469A" w:rsidRPr="00B06723" w:rsidRDefault="00E3469A" w:rsidP="00E3469A">
      <w:pPr>
        <w:rPr>
          <w:rFonts w:ascii="Calibri" w:eastAsia="Calibri" w:hAnsi="Calibri"/>
          <w:b/>
          <w:bCs/>
          <w:kern w:val="2"/>
        </w:rPr>
      </w:pPr>
      <w:bookmarkStart w:id="3" w:name="_Hlk201835975"/>
      <w:bookmarkStart w:id="4" w:name="_Hlk193540946"/>
      <w:bookmarkStart w:id="5" w:name="_Hlk180402183"/>
      <w:bookmarkStart w:id="6" w:name="_Hlk183680988"/>
      <w:bookmarkStart w:id="7" w:name="_Hlk197173371"/>
      <w:r w:rsidRPr="00B06723">
        <w:rPr>
          <w:rFonts w:ascii="Calibri" w:eastAsia="Calibri" w:hAnsi="Calibri"/>
          <w:b/>
          <w:bCs/>
          <w:kern w:val="2"/>
        </w:rPr>
        <w:t>Disclaimer (Artificial intelligence)</w:t>
      </w:r>
    </w:p>
    <w:p w14:paraId="33A07B45" w14:textId="535B6FE2" w:rsidR="0053009B" w:rsidRPr="00B06723" w:rsidRDefault="00E3469A" w:rsidP="006537AE">
      <w:pPr>
        <w:rPr>
          <w:rFonts w:ascii="Calibri" w:eastAsia="Calibri" w:hAnsi="Calibri"/>
          <w:kern w:val="2"/>
        </w:rPr>
      </w:pPr>
      <w:r w:rsidRPr="00B06723">
        <w:rPr>
          <w:rFonts w:ascii="Calibri" w:eastAsia="Calibri" w:hAnsi="Calibri"/>
          <w:kern w:val="2"/>
        </w:rPr>
        <w:t xml:space="preserve">Author(s) hereby </w:t>
      </w:r>
      <w:r w:rsidR="006537AE" w:rsidRPr="00B06723">
        <w:rPr>
          <w:rFonts w:ascii="Calibri" w:eastAsia="Calibri" w:hAnsi="Calibri"/>
          <w:kern w:val="2"/>
        </w:rPr>
        <w:t>declares</w:t>
      </w:r>
      <w:r w:rsidRPr="00B06723">
        <w:rPr>
          <w:rFonts w:ascii="Calibri" w:eastAsia="Calibri" w:hAnsi="Calibri"/>
          <w:kern w:val="2"/>
        </w:rPr>
        <w:t xml:space="preserve"> that NO generative AI technologies such as Large Language Models (ChatGPT, manuscript</w:t>
      </w:r>
      <w:r w:rsidR="006537AE" w:rsidRPr="00B06723">
        <w:rPr>
          <w:rFonts w:ascii="Calibri" w:eastAsia="Calibri" w:hAnsi="Calibri"/>
          <w:kern w:val="2"/>
        </w:rPr>
        <w:t>)</w:t>
      </w:r>
      <w:r w:rsidRPr="00B06723">
        <w:rPr>
          <w:rFonts w:ascii="Calibri" w:eastAsia="Calibri" w:hAnsi="Calibri"/>
          <w:kern w:val="2"/>
        </w:rPr>
        <w:t xml:space="preserve">. </w:t>
      </w:r>
      <w:bookmarkEnd w:id="3"/>
      <w:bookmarkEnd w:id="4"/>
      <w:bookmarkEnd w:id="5"/>
      <w:bookmarkEnd w:id="6"/>
      <w:bookmarkEnd w:id="7"/>
    </w:p>
    <w:p w14:paraId="0D310C99" w14:textId="77777777" w:rsidR="00860000" w:rsidRPr="00B06723" w:rsidRDefault="00860000" w:rsidP="00441B6F">
      <w:pPr>
        <w:pStyle w:val="ReferHead"/>
        <w:spacing w:after="0"/>
        <w:jc w:val="both"/>
        <w:rPr>
          <w:rFonts w:ascii="Arial" w:hAnsi="Arial" w:cs="Arial"/>
        </w:rPr>
      </w:pPr>
    </w:p>
    <w:p w14:paraId="2DBD1244" w14:textId="4DABAADB" w:rsidR="00B01FCD" w:rsidRPr="00B06723" w:rsidRDefault="00B01FCD" w:rsidP="00441B6F">
      <w:pPr>
        <w:pStyle w:val="ReferHead"/>
        <w:spacing w:after="0"/>
        <w:jc w:val="both"/>
        <w:rPr>
          <w:rFonts w:ascii="Arial" w:hAnsi="Arial" w:cs="Arial"/>
        </w:rPr>
      </w:pPr>
      <w:r w:rsidRPr="00B06723">
        <w:rPr>
          <w:rFonts w:ascii="Arial" w:hAnsi="Arial" w:cs="Arial"/>
        </w:rPr>
        <w:t>References</w:t>
      </w:r>
    </w:p>
    <w:p w14:paraId="505F1795" w14:textId="77777777" w:rsidR="00284C4C" w:rsidRPr="00B06723" w:rsidRDefault="00284C4C" w:rsidP="000D689F">
      <w:pPr>
        <w:pStyle w:val="Body"/>
        <w:spacing w:after="0"/>
      </w:pPr>
    </w:p>
    <w:p w14:paraId="0B6A5386" w14:textId="5F1AFFE7" w:rsidR="00F56A4B" w:rsidRPr="00B06723" w:rsidRDefault="00F56A4B" w:rsidP="006D6952">
      <w:pPr>
        <w:pStyle w:val="Body"/>
        <w:spacing w:after="0"/>
      </w:pPr>
      <w:r w:rsidRPr="00B06723">
        <w:t xml:space="preserve">Abramovic, I., Vrhovec, B., Skara, L., </w:t>
      </w:r>
      <w:proofErr w:type="spellStart"/>
      <w:r w:rsidRPr="00B06723">
        <w:t>Vrtaric</w:t>
      </w:r>
      <w:proofErr w:type="spellEnd"/>
      <w:r w:rsidRPr="00B06723">
        <w:t xml:space="preserve">, A., </w:t>
      </w:r>
      <w:proofErr w:type="spellStart"/>
      <w:r w:rsidRPr="00B06723">
        <w:t>Nikolac</w:t>
      </w:r>
      <w:proofErr w:type="spellEnd"/>
      <w:r w:rsidRPr="00B06723">
        <w:t xml:space="preserve"> </w:t>
      </w:r>
      <w:proofErr w:type="spellStart"/>
      <w:r w:rsidRPr="00B06723">
        <w:t>Gabaj</w:t>
      </w:r>
      <w:proofErr w:type="spellEnd"/>
      <w:r w:rsidRPr="00B06723">
        <w:t xml:space="preserve">, N., Kulis, et al. (2021). MiR-182-5p and miR-375-3p Have Higher Performance Than PSA in Discriminating Prostate Cancer from Benign Prostate Hyperplasia. Cancers, 13(9), 2068. </w:t>
      </w:r>
      <w:hyperlink r:id="rId37" w:history="1">
        <w:r w:rsidR="006D6952" w:rsidRPr="00B06723">
          <w:rPr>
            <w:rStyle w:val="Hyperlink"/>
          </w:rPr>
          <w:t>https://doi.org/10.3390/cancers13092068</w:t>
        </w:r>
      </w:hyperlink>
    </w:p>
    <w:p w14:paraId="67D00949" w14:textId="77777777" w:rsidR="006D6952" w:rsidRPr="00B06723" w:rsidRDefault="006D6952" w:rsidP="006D6952">
      <w:pPr>
        <w:pStyle w:val="Body"/>
        <w:spacing w:after="0"/>
      </w:pPr>
    </w:p>
    <w:p w14:paraId="0912F6E0" w14:textId="676BABC1" w:rsidR="00F56A4B" w:rsidRPr="00B06723" w:rsidRDefault="00F56A4B" w:rsidP="006D6952">
      <w:pPr>
        <w:pStyle w:val="Body"/>
        <w:spacing w:after="0"/>
      </w:pPr>
      <w:r w:rsidRPr="00B06723">
        <w:t>Ahmed, H. U., El-</w:t>
      </w:r>
      <w:proofErr w:type="spellStart"/>
      <w:r w:rsidRPr="00B06723">
        <w:t>Shater</w:t>
      </w:r>
      <w:proofErr w:type="spellEnd"/>
      <w:r w:rsidRPr="00B06723">
        <w:t xml:space="preserve"> </w:t>
      </w:r>
      <w:proofErr w:type="spellStart"/>
      <w:r w:rsidRPr="00B06723">
        <w:t>Bosaily</w:t>
      </w:r>
      <w:proofErr w:type="spellEnd"/>
      <w:r w:rsidRPr="00B06723">
        <w:t xml:space="preserve">, A., Brown, L. C., Gabe, R., Kaplan, R., Parmar, M. K., et al. (2017). Diagnostic accuracy of multi-parametric MRI and TRUS biopsy in prostate cancer (PROMIS): A paired validating confirmatory study. Lancet (London, England), 389(10071), 815–822. </w:t>
      </w:r>
      <w:hyperlink r:id="rId38" w:history="1">
        <w:r w:rsidR="006D6952" w:rsidRPr="00B06723">
          <w:rPr>
            <w:rStyle w:val="Hyperlink"/>
          </w:rPr>
          <w:t>https://doi.org/10.1016/S0140-6736(16)32401-1</w:t>
        </w:r>
      </w:hyperlink>
    </w:p>
    <w:p w14:paraId="7D40B873" w14:textId="77777777" w:rsidR="006D6952" w:rsidRPr="00B06723" w:rsidRDefault="006D6952" w:rsidP="006D6952">
      <w:pPr>
        <w:pStyle w:val="Body"/>
        <w:spacing w:after="0"/>
      </w:pPr>
    </w:p>
    <w:p w14:paraId="3795B5E2" w14:textId="3AE9DBA7" w:rsidR="00F56A4B" w:rsidRPr="00B06723" w:rsidRDefault="00F56A4B" w:rsidP="00781B85">
      <w:pPr>
        <w:pStyle w:val="Body"/>
      </w:pPr>
      <w:r w:rsidRPr="00B06723">
        <w:t xml:space="preserve">Ali, R., El Tabbakh, S., El </w:t>
      </w:r>
      <w:proofErr w:type="spellStart"/>
      <w:r w:rsidRPr="00B06723">
        <w:t>Delgawy</w:t>
      </w:r>
      <w:proofErr w:type="spellEnd"/>
      <w:r w:rsidRPr="00B06723">
        <w:t xml:space="preserve">, W., Kotb, A., &amp; </w:t>
      </w:r>
      <w:proofErr w:type="spellStart"/>
      <w:r w:rsidRPr="00B06723">
        <w:t>Desouky</w:t>
      </w:r>
      <w:proofErr w:type="spellEnd"/>
      <w:r w:rsidRPr="00B06723">
        <w:t xml:space="preserve">, M. N. (2018). microRNA-141 as a diagnostic and prognostic biomarker for prostate cancer in Egyptian population: Pilot study. African Journal of Urology, 24(4), 347–352. </w:t>
      </w:r>
      <w:hyperlink r:id="rId39" w:history="1">
        <w:r w:rsidR="006D6952" w:rsidRPr="00B06723">
          <w:rPr>
            <w:rStyle w:val="Hyperlink"/>
          </w:rPr>
          <w:t>https://doi.org/10.1016/j.afju.2018.11.006</w:t>
        </w:r>
      </w:hyperlink>
    </w:p>
    <w:p w14:paraId="09957CEC" w14:textId="088504E0" w:rsidR="00781B85" w:rsidRPr="00B06723" w:rsidRDefault="00781B85" w:rsidP="00781B85">
      <w:pPr>
        <w:pStyle w:val="Body"/>
      </w:pPr>
      <w:proofErr w:type="spellStart"/>
      <w:r w:rsidRPr="00B06723">
        <w:rPr>
          <w:lang w:val="fr-FR"/>
        </w:rPr>
        <w:t>Babalola</w:t>
      </w:r>
      <w:proofErr w:type="spellEnd"/>
      <w:r w:rsidRPr="00B06723">
        <w:rPr>
          <w:lang w:val="fr-FR"/>
        </w:rPr>
        <w:t xml:space="preserve">, I. O., </w:t>
      </w:r>
      <w:proofErr w:type="spellStart"/>
      <w:r w:rsidRPr="00B06723">
        <w:rPr>
          <w:lang w:val="fr-FR"/>
        </w:rPr>
        <w:t>Ikechukwu</w:t>
      </w:r>
      <w:proofErr w:type="spellEnd"/>
      <w:r w:rsidRPr="00B06723">
        <w:rPr>
          <w:lang w:val="fr-FR"/>
        </w:rPr>
        <w:t xml:space="preserve">, E. F., David, O., Emmanuel, K. O., Daniel, A., </w:t>
      </w:r>
      <w:proofErr w:type="spellStart"/>
      <w:r w:rsidRPr="00B06723">
        <w:rPr>
          <w:lang w:val="fr-FR"/>
        </w:rPr>
        <w:t>Olamide</w:t>
      </w:r>
      <w:proofErr w:type="spellEnd"/>
      <w:r w:rsidRPr="00B06723">
        <w:rPr>
          <w:lang w:val="fr-FR"/>
        </w:rPr>
        <w:t xml:space="preserve">, F. P., et al. </w:t>
      </w:r>
      <w:r w:rsidRPr="00B06723">
        <w:t xml:space="preserve">(2023). The Treatment of Metastatic Prostate Cancer Using Hormonal Therapy: A Narrative Review. Journal of Advances in Medical and Pharmaceutical Sciences, 25(6), 34–44. </w:t>
      </w:r>
      <w:hyperlink r:id="rId40" w:history="1">
        <w:r w:rsidRPr="00B06723">
          <w:rPr>
            <w:rStyle w:val="Hyperlink"/>
          </w:rPr>
          <w:t>https://doi.org/10.9734/jamps/2023/v25i6624</w:t>
        </w:r>
      </w:hyperlink>
      <w:r w:rsidRPr="00B06723">
        <w:t>.</w:t>
      </w:r>
    </w:p>
    <w:p w14:paraId="056F7606" w14:textId="74945257" w:rsidR="00F56A4B" w:rsidRPr="00B06723" w:rsidRDefault="00F56A4B" w:rsidP="006D6952">
      <w:pPr>
        <w:pStyle w:val="Body"/>
        <w:spacing w:after="0"/>
      </w:pPr>
      <w:r w:rsidRPr="00B06723">
        <w:t xml:space="preserve">Balázs, K., Antal, L., Sáfrány, G., &amp; </w:t>
      </w:r>
      <w:proofErr w:type="spellStart"/>
      <w:r w:rsidRPr="00B06723">
        <w:t>Lumniczky</w:t>
      </w:r>
      <w:proofErr w:type="spellEnd"/>
      <w:r w:rsidRPr="00B06723">
        <w:t xml:space="preserve">, K. (2021). Blood-Derived Biomarkers of Diagnosis, Prognosis and Therapy Response in Prostate Cancer Patients. Journal of Personalized Medicine, 11(4), 296. </w:t>
      </w:r>
      <w:hyperlink r:id="rId41" w:history="1">
        <w:r w:rsidR="006D6952" w:rsidRPr="00B06723">
          <w:rPr>
            <w:rStyle w:val="Hyperlink"/>
          </w:rPr>
          <w:t>https://doi.org/10.3390/jpm11040296</w:t>
        </w:r>
      </w:hyperlink>
    </w:p>
    <w:p w14:paraId="4F0A82E7" w14:textId="77777777" w:rsidR="006D6952" w:rsidRPr="00B06723" w:rsidRDefault="006D6952" w:rsidP="006D6952">
      <w:pPr>
        <w:pStyle w:val="Body"/>
        <w:spacing w:after="0"/>
      </w:pPr>
    </w:p>
    <w:p w14:paraId="200F6C45" w14:textId="19FEA02D" w:rsidR="00F56A4B" w:rsidRPr="00B06723" w:rsidRDefault="00F56A4B" w:rsidP="006D6952">
      <w:pPr>
        <w:pStyle w:val="Body"/>
        <w:spacing w:after="0"/>
      </w:pPr>
      <w:r w:rsidRPr="00B06723">
        <w:t xml:space="preserve">Beets, M. W., Weaver, R. G., Ioannidis, J. P. A., Pfledderer, C. D., Jones, A., von Klinggraeff, L., &amp; Armstrong, B. (2023). Influence of pilot and small trials in meta-analyses of behavioral interventions: A meta-epidemiological study. Systematic Reviews, 12(1), 21. </w:t>
      </w:r>
      <w:hyperlink r:id="rId42" w:history="1">
        <w:r w:rsidR="006D6952" w:rsidRPr="00B06723">
          <w:rPr>
            <w:rStyle w:val="Hyperlink"/>
          </w:rPr>
          <w:t>https://doi.org/10.1186/s13643-023-02184-7</w:t>
        </w:r>
      </w:hyperlink>
    </w:p>
    <w:p w14:paraId="72773A0D" w14:textId="77777777" w:rsidR="006D6952" w:rsidRPr="00B06723" w:rsidRDefault="006D6952" w:rsidP="006D6952">
      <w:pPr>
        <w:pStyle w:val="Body"/>
        <w:spacing w:after="0"/>
      </w:pPr>
    </w:p>
    <w:p w14:paraId="0AB94D5D" w14:textId="02C45BFC" w:rsidR="00F56A4B" w:rsidRPr="00B06723" w:rsidRDefault="00F56A4B" w:rsidP="006D6952">
      <w:pPr>
        <w:pStyle w:val="Body"/>
        <w:spacing w:after="0"/>
      </w:pPr>
      <w:r w:rsidRPr="00B06723">
        <w:t xml:space="preserve">Bertoli, G., Cava, C., &amp; Castiglioni, I. (2016). MicroRNAs as Biomarkers for Diagnosis, Prognosis and </w:t>
      </w:r>
      <w:proofErr w:type="spellStart"/>
      <w:r w:rsidRPr="00B06723">
        <w:t>Theranostics</w:t>
      </w:r>
      <w:proofErr w:type="spellEnd"/>
      <w:r w:rsidRPr="00B06723">
        <w:t xml:space="preserve"> in Prostate Cancer. International Journal of Molecular Sciences, 17(3), 421. </w:t>
      </w:r>
      <w:hyperlink r:id="rId43" w:history="1">
        <w:r w:rsidR="006D6952" w:rsidRPr="00B06723">
          <w:rPr>
            <w:rStyle w:val="Hyperlink"/>
          </w:rPr>
          <w:t>https://doi.org/10.3390/ijms17030421</w:t>
        </w:r>
      </w:hyperlink>
    </w:p>
    <w:p w14:paraId="601E5E8C" w14:textId="77777777" w:rsidR="006D6952" w:rsidRPr="00B06723" w:rsidRDefault="006D6952" w:rsidP="006D6952">
      <w:pPr>
        <w:pStyle w:val="Body"/>
        <w:spacing w:after="0"/>
      </w:pPr>
    </w:p>
    <w:p w14:paraId="01D9A867" w14:textId="529F42D0" w:rsidR="00F56A4B" w:rsidRPr="00B06723" w:rsidRDefault="00F56A4B" w:rsidP="006D6952">
      <w:pPr>
        <w:pStyle w:val="Body"/>
        <w:spacing w:after="0"/>
      </w:pPr>
      <w:proofErr w:type="spellStart"/>
      <w:r w:rsidRPr="00B06723">
        <w:t>Bidarra</w:t>
      </w:r>
      <w:proofErr w:type="spellEnd"/>
      <w:r w:rsidRPr="00B06723">
        <w:t xml:space="preserve">, D., Constâncio, V., Barros-Silva, D., Ramalho-Carvalho, J., Moreira-Barbosa, C., Antunes, L., et al. (2019). Circulating MicroRNAs as Biomarkers for Prostate Cancer Detection and Metastasis Development Prediction. Frontiers in Oncology, 9, 900. </w:t>
      </w:r>
      <w:hyperlink r:id="rId44" w:history="1">
        <w:r w:rsidR="006D6952" w:rsidRPr="00B06723">
          <w:rPr>
            <w:rStyle w:val="Hyperlink"/>
          </w:rPr>
          <w:t>https://doi.org/10.3389/fonc.2019.00900</w:t>
        </w:r>
      </w:hyperlink>
    </w:p>
    <w:p w14:paraId="2897B734" w14:textId="77777777" w:rsidR="006D6952" w:rsidRPr="00B06723" w:rsidRDefault="006D6952" w:rsidP="006D6952">
      <w:pPr>
        <w:pStyle w:val="Body"/>
        <w:spacing w:after="0"/>
      </w:pPr>
    </w:p>
    <w:p w14:paraId="161E3310" w14:textId="2E5F0666" w:rsidR="00F56A4B" w:rsidRPr="00B06723" w:rsidRDefault="00F56A4B" w:rsidP="006D6952">
      <w:pPr>
        <w:pStyle w:val="Body"/>
        <w:spacing w:after="0"/>
      </w:pPr>
      <w:r w:rsidRPr="00B06723">
        <w:t>Bilal, M., Javaid, A., Amjad, F., Youssif, T. A., &amp; Afzal, S. (2022). An overview of prostate cancer (</w:t>
      </w:r>
      <w:proofErr w:type="spellStart"/>
      <w:r w:rsidRPr="00B06723">
        <w:t>PCa</w:t>
      </w:r>
      <w:proofErr w:type="spellEnd"/>
      <w:r w:rsidRPr="00B06723">
        <w:t xml:space="preserve">) diagnosis: Potential role of miRNAs. Translational Oncology, 26, 101542. </w:t>
      </w:r>
      <w:hyperlink r:id="rId45" w:history="1">
        <w:r w:rsidR="006D6952" w:rsidRPr="00B06723">
          <w:rPr>
            <w:rStyle w:val="Hyperlink"/>
          </w:rPr>
          <w:t>https://doi.org/10.1016/j.tranon.2022.101542</w:t>
        </w:r>
      </w:hyperlink>
    </w:p>
    <w:p w14:paraId="570CE663" w14:textId="77777777" w:rsidR="006D6952" w:rsidRPr="00B06723" w:rsidRDefault="006D6952" w:rsidP="006D6952">
      <w:pPr>
        <w:pStyle w:val="Body"/>
        <w:spacing w:after="0"/>
      </w:pPr>
    </w:p>
    <w:p w14:paraId="1F99B6C5" w14:textId="7CB9BBB3" w:rsidR="00F56A4B" w:rsidRPr="00B06723" w:rsidRDefault="00F56A4B" w:rsidP="006D6952">
      <w:pPr>
        <w:pStyle w:val="Body"/>
        <w:spacing w:after="0"/>
      </w:pPr>
      <w:r w:rsidRPr="00B06723">
        <w:t xml:space="preserve">Bill-Axelson, A., Holmberg, L., </w:t>
      </w:r>
      <w:proofErr w:type="spellStart"/>
      <w:r w:rsidRPr="00B06723">
        <w:t>Filén</w:t>
      </w:r>
      <w:proofErr w:type="spellEnd"/>
      <w:r w:rsidRPr="00B06723">
        <w:t xml:space="preserve">, F., </w:t>
      </w:r>
      <w:proofErr w:type="spellStart"/>
      <w:r w:rsidRPr="00B06723">
        <w:t>Ruutu</w:t>
      </w:r>
      <w:proofErr w:type="spellEnd"/>
      <w:r w:rsidRPr="00B06723">
        <w:t xml:space="preserve">, M., Garmo, H., Busch, C., et al. (2008). Radical Prostatectomy Versus Watchful Waiting in Localized Prostate Cancer: The Scandinavian Prostate Cancer Group-4 Randomized Trial. JNCI Journal of the National Cancer Institute, 100(16), 1144–1154. </w:t>
      </w:r>
      <w:hyperlink r:id="rId46" w:history="1">
        <w:r w:rsidR="006D6952" w:rsidRPr="00B06723">
          <w:rPr>
            <w:rStyle w:val="Hyperlink"/>
          </w:rPr>
          <w:t>https://doi.org/10.1093/jnci/djn255</w:t>
        </w:r>
      </w:hyperlink>
    </w:p>
    <w:p w14:paraId="69EE2A7C" w14:textId="77777777" w:rsidR="006D6952" w:rsidRPr="00B06723" w:rsidRDefault="006D6952" w:rsidP="006D6952">
      <w:pPr>
        <w:pStyle w:val="Body"/>
        <w:spacing w:after="0"/>
      </w:pPr>
    </w:p>
    <w:p w14:paraId="670578C2" w14:textId="43F8F40D" w:rsidR="00F56A4B" w:rsidRPr="00B06723" w:rsidRDefault="00F56A4B" w:rsidP="006D6952">
      <w:pPr>
        <w:pStyle w:val="Body"/>
        <w:spacing w:after="0"/>
      </w:pPr>
      <w:r w:rsidRPr="00B06723">
        <w:t xml:space="preserve">Borghesi, M., Ahmed, H., Nam, R., Schaeffer, E., </w:t>
      </w:r>
      <w:proofErr w:type="spellStart"/>
      <w:r w:rsidRPr="00B06723">
        <w:t>Schiavina</w:t>
      </w:r>
      <w:proofErr w:type="spellEnd"/>
      <w:r w:rsidRPr="00B06723">
        <w:t xml:space="preserve">, R., Taneja, S., et al. (2017). Complications After Systematic, Random, and Image-guided Prostate Biopsy. European Urology, 71(3), 353–365. </w:t>
      </w:r>
      <w:hyperlink r:id="rId47" w:history="1">
        <w:r w:rsidR="006D6952" w:rsidRPr="00B06723">
          <w:rPr>
            <w:rStyle w:val="Hyperlink"/>
          </w:rPr>
          <w:t>https://doi.org/10.1016/j.eururo.2016.08.004</w:t>
        </w:r>
      </w:hyperlink>
    </w:p>
    <w:p w14:paraId="5D84BB9A" w14:textId="77777777" w:rsidR="006D6952" w:rsidRPr="00B06723" w:rsidRDefault="006D6952" w:rsidP="006D6952">
      <w:pPr>
        <w:pStyle w:val="Body"/>
        <w:spacing w:after="0"/>
      </w:pPr>
    </w:p>
    <w:p w14:paraId="57F69878" w14:textId="0FE49F47" w:rsidR="00F56A4B" w:rsidRPr="00B06723" w:rsidRDefault="00F56A4B" w:rsidP="006D6952">
      <w:pPr>
        <w:pStyle w:val="Body"/>
        <w:spacing w:after="0"/>
      </w:pPr>
      <w:r w:rsidRPr="00B06723">
        <w:lastRenderedPageBreak/>
        <w:t xml:space="preserve">Bray, F., </w:t>
      </w:r>
      <w:proofErr w:type="spellStart"/>
      <w:r w:rsidRPr="00B06723">
        <w:t>Laversanne</w:t>
      </w:r>
      <w:proofErr w:type="spellEnd"/>
      <w:r w:rsidRPr="00B06723">
        <w:t xml:space="preserve">, M., Sung, H., </w:t>
      </w:r>
      <w:proofErr w:type="spellStart"/>
      <w:r w:rsidRPr="00B06723">
        <w:t>Ferlay</w:t>
      </w:r>
      <w:proofErr w:type="spellEnd"/>
      <w:r w:rsidRPr="00B06723">
        <w:t xml:space="preserve">, J., Siegel, R. L., </w:t>
      </w:r>
      <w:proofErr w:type="spellStart"/>
      <w:r w:rsidRPr="00B06723">
        <w:t>Soerjomataram</w:t>
      </w:r>
      <w:proofErr w:type="spellEnd"/>
      <w:r w:rsidRPr="00B06723">
        <w:t xml:space="preserve">, I., et al. (2024). Global cancer statistics 2022: GLOBOCAN estimates of incidence and mortality worldwide for 36 cancers in 185 countries. CA: A Cancer Journal for Clinicians, caac.21834. </w:t>
      </w:r>
      <w:hyperlink r:id="rId48" w:history="1">
        <w:r w:rsidR="006D6952" w:rsidRPr="00B06723">
          <w:rPr>
            <w:rStyle w:val="Hyperlink"/>
          </w:rPr>
          <w:t>https://doi.org/10.3322/caac.21834</w:t>
        </w:r>
      </w:hyperlink>
    </w:p>
    <w:p w14:paraId="67ECE19E" w14:textId="77777777" w:rsidR="006D6952" w:rsidRPr="00B06723" w:rsidRDefault="006D6952" w:rsidP="006D6952">
      <w:pPr>
        <w:pStyle w:val="Body"/>
        <w:spacing w:after="0"/>
      </w:pPr>
    </w:p>
    <w:p w14:paraId="2A442650" w14:textId="478C6843" w:rsidR="00F56A4B" w:rsidRPr="00B06723" w:rsidRDefault="00F56A4B" w:rsidP="006D6952">
      <w:pPr>
        <w:pStyle w:val="Body"/>
        <w:spacing w:after="0"/>
        <w:rPr>
          <w:lang w:val="fr-FR"/>
        </w:rPr>
      </w:pPr>
      <w:r w:rsidRPr="00B06723">
        <w:t xml:space="preserve">Bryzgunova, O. E., </w:t>
      </w:r>
      <w:proofErr w:type="spellStart"/>
      <w:r w:rsidRPr="00B06723">
        <w:t>Zaporozhchenko</w:t>
      </w:r>
      <w:proofErr w:type="spellEnd"/>
      <w:r w:rsidRPr="00B06723">
        <w:t xml:space="preserve">, I. A., </w:t>
      </w:r>
      <w:proofErr w:type="spellStart"/>
      <w:r w:rsidRPr="00B06723">
        <w:t>Lekchnov</w:t>
      </w:r>
      <w:proofErr w:type="spellEnd"/>
      <w:r w:rsidRPr="00B06723">
        <w:t xml:space="preserve">, E. A., Amelina, E. V., Konoshenko, M. Y., </w:t>
      </w:r>
      <w:proofErr w:type="spellStart"/>
      <w:r w:rsidRPr="00B06723">
        <w:t>Yarmoschuk</w:t>
      </w:r>
      <w:proofErr w:type="spellEnd"/>
      <w:r w:rsidRPr="00B06723">
        <w:t xml:space="preserve">, S. V., et al. (2019). Data analysis algorithm for the development of extracellular miRNA-based diagnostic systems for prostate cancer. </w:t>
      </w:r>
      <w:proofErr w:type="spellStart"/>
      <w:r w:rsidRPr="00B06723">
        <w:rPr>
          <w:lang w:val="fr-FR"/>
        </w:rPr>
        <w:t>PloS</w:t>
      </w:r>
      <w:proofErr w:type="spellEnd"/>
      <w:r w:rsidRPr="00B06723">
        <w:rPr>
          <w:lang w:val="fr-FR"/>
        </w:rPr>
        <w:t xml:space="preserve"> One, 14(4), e0215003. </w:t>
      </w:r>
      <w:hyperlink r:id="rId49" w:history="1">
        <w:r w:rsidR="006D6952" w:rsidRPr="00B06723">
          <w:rPr>
            <w:rStyle w:val="Hyperlink"/>
            <w:lang w:val="fr-FR"/>
          </w:rPr>
          <w:t>https://doi.org/10.1371/journal.pone.0215003</w:t>
        </w:r>
      </w:hyperlink>
    </w:p>
    <w:p w14:paraId="09AA32DD" w14:textId="77777777" w:rsidR="006D6952" w:rsidRPr="00B06723" w:rsidRDefault="006D6952" w:rsidP="006D6952">
      <w:pPr>
        <w:pStyle w:val="Body"/>
        <w:spacing w:after="0"/>
        <w:rPr>
          <w:lang w:val="fr-FR"/>
        </w:rPr>
      </w:pPr>
    </w:p>
    <w:p w14:paraId="6D782002" w14:textId="2AA0AF47" w:rsidR="005E119D" w:rsidRPr="00B06723" w:rsidRDefault="005E119D" w:rsidP="006D6952">
      <w:pPr>
        <w:pStyle w:val="Body"/>
        <w:spacing w:after="0"/>
        <w:rPr>
          <w:lang w:val="fr-FR"/>
        </w:rPr>
      </w:pPr>
      <w:r w:rsidRPr="00B06723">
        <w:t xml:space="preserve">Byun, Y. J., Kang, H. W., Piao, X.-M., Zheng, C.-M., Moon, S.-K., Choi, Y. H., </w:t>
      </w:r>
      <w:proofErr w:type="spellStart"/>
      <w:r w:rsidRPr="00B06723">
        <w:t>eet</w:t>
      </w:r>
      <w:proofErr w:type="spellEnd"/>
      <w:r w:rsidRPr="00B06723">
        <w:t xml:space="preserve"> al. (2022). Expression of hsv1-miR-H18 and hsv2-miR-H9 as a field defect marker for detecting prostate cancer. </w:t>
      </w:r>
      <w:r w:rsidRPr="00B06723">
        <w:rPr>
          <w:lang w:val="fr-FR"/>
        </w:rPr>
        <w:t xml:space="preserve">Prostate International, 10(1), 1–6. </w:t>
      </w:r>
      <w:hyperlink r:id="rId50" w:history="1">
        <w:r w:rsidRPr="00B06723">
          <w:rPr>
            <w:rStyle w:val="Hyperlink"/>
            <w:lang w:val="fr-FR"/>
          </w:rPr>
          <w:t>https://doi.org/10.1016/j.prnil.2021.11.003</w:t>
        </w:r>
      </w:hyperlink>
    </w:p>
    <w:p w14:paraId="40A518F9" w14:textId="77777777" w:rsidR="005E119D" w:rsidRPr="00B06723" w:rsidRDefault="005E119D" w:rsidP="006D6952">
      <w:pPr>
        <w:pStyle w:val="Body"/>
        <w:spacing w:after="0"/>
        <w:rPr>
          <w:lang w:val="fr-FR"/>
        </w:rPr>
      </w:pPr>
    </w:p>
    <w:p w14:paraId="137E8210" w14:textId="3C478439" w:rsidR="00F56A4B" w:rsidRPr="00B06723" w:rsidRDefault="00F56A4B" w:rsidP="006D6952">
      <w:pPr>
        <w:pStyle w:val="Body"/>
        <w:spacing w:after="0"/>
      </w:pPr>
      <w:proofErr w:type="spellStart"/>
      <w:r w:rsidRPr="00B06723">
        <w:rPr>
          <w:lang w:val="fr-FR"/>
        </w:rPr>
        <w:t>Canatan</w:t>
      </w:r>
      <w:proofErr w:type="spellEnd"/>
      <w:r w:rsidRPr="00B06723">
        <w:rPr>
          <w:lang w:val="fr-FR"/>
        </w:rPr>
        <w:t xml:space="preserve">, D., Yılmaz, O., </w:t>
      </w:r>
      <w:proofErr w:type="spellStart"/>
      <w:r w:rsidRPr="00B06723">
        <w:rPr>
          <w:lang w:val="fr-FR"/>
        </w:rPr>
        <w:t>Sonmez</w:t>
      </w:r>
      <w:proofErr w:type="spellEnd"/>
      <w:r w:rsidRPr="00B06723">
        <w:rPr>
          <w:lang w:val="fr-FR"/>
        </w:rPr>
        <w:t xml:space="preserve">, Y., </w:t>
      </w:r>
      <w:proofErr w:type="spellStart"/>
      <w:r w:rsidRPr="00B06723">
        <w:rPr>
          <w:lang w:val="fr-FR"/>
        </w:rPr>
        <w:t>Cim</w:t>
      </w:r>
      <w:proofErr w:type="spellEnd"/>
      <w:r w:rsidRPr="00B06723">
        <w:rPr>
          <w:lang w:val="fr-FR"/>
        </w:rPr>
        <w:t xml:space="preserve">, A., </w:t>
      </w:r>
      <w:proofErr w:type="spellStart"/>
      <w:r w:rsidRPr="00B06723">
        <w:rPr>
          <w:lang w:val="fr-FR"/>
        </w:rPr>
        <w:t>Baykara</w:t>
      </w:r>
      <w:proofErr w:type="spellEnd"/>
      <w:r w:rsidRPr="00B06723">
        <w:rPr>
          <w:lang w:val="fr-FR"/>
        </w:rPr>
        <w:t xml:space="preserve">, M., </w:t>
      </w:r>
      <w:proofErr w:type="spellStart"/>
      <w:r w:rsidRPr="00B06723">
        <w:rPr>
          <w:lang w:val="fr-FR"/>
        </w:rPr>
        <w:t>Savas</w:t>
      </w:r>
      <w:proofErr w:type="spellEnd"/>
      <w:r w:rsidRPr="00B06723">
        <w:rPr>
          <w:lang w:val="fr-FR"/>
        </w:rPr>
        <w:t xml:space="preserve">, M., et al. </w:t>
      </w:r>
      <w:r w:rsidRPr="00B06723">
        <w:t>(2022). Use of MicroRNAs as biomarkers in the early diagnosis of prostate cancer. Acta Bio-</w:t>
      </w:r>
      <w:proofErr w:type="spellStart"/>
      <w:r w:rsidRPr="00B06723">
        <w:t>Medica</w:t>
      </w:r>
      <w:proofErr w:type="spellEnd"/>
      <w:r w:rsidRPr="00B06723">
        <w:t xml:space="preserve">: </w:t>
      </w:r>
      <w:proofErr w:type="spellStart"/>
      <w:r w:rsidRPr="00B06723">
        <w:t>Atenei</w:t>
      </w:r>
      <w:proofErr w:type="spellEnd"/>
      <w:r w:rsidRPr="00B06723">
        <w:t xml:space="preserve"> </w:t>
      </w:r>
      <w:proofErr w:type="spellStart"/>
      <w:r w:rsidRPr="00B06723">
        <w:t>Parmensis</w:t>
      </w:r>
      <w:proofErr w:type="spellEnd"/>
      <w:r w:rsidRPr="00B06723">
        <w:t xml:space="preserve">, 93(3), e2022089. </w:t>
      </w:r>
      <w:hyperlink r:id="rId51" w:history="1">
        <w:r w:rsidR="006D6952" w:rsidRPr="00B06723">
          <w:rPr>
            <w:rStyle w:val="Hyperlink"/>
          </w:rPr>
          <w:t>https://doi.org/10.23750/abm.v93i3.11642</w:t>
        </w:r>
      </w:hyperlink>
    </w:p>
    <w:p w14:paraId="0DA5C4D7" w14:textId="77777777" w:rsidR="006D6952" w:rsidRPr="00B06723" w:rsidRDefault="006D6952" w:rsidP="006D6952">
      <w:pPr>
        <w:pStyle w:val="Body"/>
        <w:spacing w:after="0"/>
      </w:pPr>
    </w:p>
    <w:p w14:paraId="77505FB9" w14:textId="394336AA" w:rsidR="00F56A4B" w:rsidRPr="00B06723" w:rsidRDefault="00F56A4B" w:rsidP="006D6952">
      <w:pPr>
        <w:pStyle w:val="Body"/>
        <w:spacing w:after="0"/>
      </w:pPr>
      <w:r w:rsidRPr="00B06723">
        <w:t xml:space="preserve">Cheng, H. H., Mitchell, P. S., Kroh, E. M., Dowell, A. E., </w:t>
      </w:r>
      <w:proofErr w:type="spellStart"/>
      <w:r w:rsidRPr="00B06723">
        <w:t>Chéry</w:t>
      </w:r>
      <w:proofErr w:type="spellEnd"/>
      <w:r w:rsidRPr="00B06723">
        <w:t xml:space="preserve">, L., Siddiqui, J., et al. (2013). Circulating microRNA profiling identifies a subset of metastatic prostate cancer patients with evidence of cancer-associated hypoxia. </w:t>
      </w:r>
      <w:proofErr w:type="spellStart"/>
      <w:r w:rsidRPr="00B06723">
        <w:t>PloS</w:t>
      </w:r>
      <w:proofErr w:type="spellEnd"/>
      <w:r w:rsidRPr="00B06723">
        <w:t xml:space="preserve"> One, 8(7), e69239. </w:t>
      </w:r>
      <w:hyperlink r:id="rId52" w:history="1">
        <w:r w:rsidR="006D6952" w:rsidRPr="00B06723">
          <w:rPr>
            <w:rStyle w:val="Hyperlink"/>
          </w:rPr>
          <w:t>https://doi.org/10.1371/journal.pone.0069239</w:t>
        </w:r>
      </w:hyperlink>
    </w:p>
    <w:p w14:paraId="415C7EF9" w14:textId="77777777" w:rsidR="006D6952" w:rsidRPr="00B06723" w:rsidRDefault="006D6952" w:rsidP="006D6952">
      <w:pPr>
        <w:pStyle w:val="Body"/>
        <w:spacing w:after="0"/>
      </w:pPr>
    </w:p>
    <w:p w14:paraId="61753A16" w14:textId="36CB6AB5" w:rsidR="00F56A4B" w:rsidRPr="00B06723" w:rsidRDefault="00F56A4B" w:rsidP="006D6952">
      <w:pPr>
        <w:pStyle w:val="Body"/>
        <w:spacing w:after="0"/>
        <w:rPr>
          <w:lang w:val="fr-FR"/>
        </w:rPr>
      </w:pPr>
      <w:r w:rsidRPr="00B06723">
        <w:t xml:space="preserve">Ciszkowicz, E., </w:t>
      </w:r>
      <w:proofErr w:type="spellStart"/>
      <w:r w:rsidRPr="00B06723">
        <w:t>Porzycki</w:t>
      </w:r>
      <w:proofErr w:type="spellEnd"/>
      <w:r w:rsidRPr="00B06723">
        <w:t xml:space="preserve">, P., </w:t>
      </w:r>
      <w:proofErr w:type="spellStart"/>
      <w:r w:rsidRPr="00B06723">
        <w:t>Semik</w:t>
      </w:r>
      <w:proofErr w:type="spellEnd"/>
      <w:r w:rsidRPr="00B06723">
        <w:t xml:space="preserve">, M., Kaznowska, E., &amp; Tyrka, M. (2020). MiR-93/miR-375: Diagnostic Potential, Aggressiveness Correlation and Common Target Genes in Prostate Cancer. </w:t>
      </w:r>
      <w:r w:rsidRPr="00B06723">
        <w:rPr>
          <w:lang w:val="fr-FR"/>
        </w:rPr>
        <w:t xml:space="preserve">International Journal of </w:t>
      </w:r>
      <w:proofErr w:type="spellStart"/>
      <w:r w:rsidRPr="00B06723">
        <w:rPr>
          <w:lang w:val="fr-FR"/>
        </w:rPr>
        <w:t>Molecular</w:t>
      </w:r>
      <w:proofErr w:type="spellEnd"/>
      <w:r w:rsidRPr="00B06723">
        <w:rPr>
          <w:lang w:val="fr-FR"/>
        </w:rPr>
        <w:t xml:space="preserve"> Sciences, 21(16), 5667. </w:t>
      </w:r>
      <w:hyperlink r:id="rId53" w:history="1">
        <w:r w:rsidR="006D6952" w:rsidRPr="00B06723">
          <w:rPr>
            <w:rStyle w:val="Hyperlink"/>
            <w:lang w:val="fr-FR"/>
          </w:rPr>
          <w:t>https://doi.org/10.3390/ijms21165667</w:t>
        </w:r>
      </w:hyperlink>
    </w:p>
    <w:p w14:paraId="5A0690EF" w14:textId="77777777" w:rsidR="006D6952" w:rsidRPr="00B06723" w:rsidRDefault="006D6952" w:rsidP="006D6952">
      <w:pPr>
        <w:pStyle w:val="Body"/>
        <w:spacing w:after="0"/>
        <w:rPr>
          <w:lang w:val="fr-FR"/>
        </w:rPr>
      </w:pPr>
    </w:p>
    <w:p w14:paraId="69423DD3" w14:textId="576F3132" w:rsidR="00F56A4B" w:rsidRPr="00B06723" w:rsidRDefault="00F56A4B" w:rsidP="006D6952">
      <w:pPr>
        <w:pStyle w:val="Body"/>
        <w:spacing w:after="0"/>
      </w:pPr>
      <w:proofErr w:type="spellStart"/>
      <w:r w:rsidRPr="00B06723">
        <w:rPr>
          <w:lang w:val="fr-FR"/>
        </w:rPr>
        <w:t>Cochetti</w:t>
      </w:r>
      <w:proofErr w:type="spellEnd"/>
      <w:r w:rsidRPr="00B06723">
        <w:rPr>
          <w:lang w:val="fr-FR"/>
        </w:rPr>
        <w:t xml:space="preserve">, G., Rossi de Vermandois, J. A., </w:t>
      </w:r>
      <w:proofErr w:type="spellStart"/>
      <w:r w:rsidRPr="00B06723">
        <w:rPr>
          <w:lang w:val="fr-FR"/>
        </w:rPr>
        <w:t>Maulà</w:t>
      </w:r>
      <w:proofErr w:type="spellEnd"/>
      <w:r w:rsidRPr="00B06723">
        <w:rPr>
          <w:lang w:val="fr-FR"/>
        </w:rPr>
        <w:t xml:space="preserve">, V., </w:t>
      </w:r>
      <w:proofErr w:type="spellStart"/>
      <w:r w:rsidRPr="00B06723">
        <w:rPr>
          <w:lang w:val="fr-FR"/>
        </w:rPr>
        <w:t>Giulietti</w:t>
      </w:r>
      <w:proofErr w:type="spellEnd"/>
      <w:r w:rsidRPr="00B06723">
        <w:rPr>
          <w:lang w:val="fr-FR"/>
        </w:rPr>
        <w:t xml:space="preserve">, M., </w:t>
      </w:r>
      <w:proofErr w:type="spellStart"/>
      <w:r w:rsidRPr="00B06723">
        <w:rPr>
          <w:lang w:val="fr-FR"/>
        </w:rPr>
        <w:t>Cecati</w:t>
      </w:r>
      <w:proofErr w:type="spellEnd"/>
      <w:r w:rsidRPr="00B06723">
        <w:rPr>
          <w:lang w:val="fr-FR"/>
        </w:rPr>
        <w:t xml:space="preserve">, M., Del Zingaro, et al. </w:t>
      </w:r>
      <w:r w:rsidRPr="00B06723">
        <w:t xml:space="preserve">(2020). Role of miRNAs in prostate cancer: Do we really know everything? Urologic Oncology, 38(7), 623–635. </w:t>
      </w:r>
      <w:hyperlink r:id="rId54" w:history="1">
        <w:r w:rsidR="006D6952" w:rsidRPr="00B06723">
          <w:rPr>
            <w:rStyle w:val="Hyperlink"/>
          </w:rPr>
          <w:t>https://doi.org/10.1016/j.urolonc.2020.03.007</w:t>
        </w:r>
      </w:hyperlink>
    </w:p>
    <w:p w14:paraId="6F4F2B62" w14:textId="77777777" w:rsidR="006D6952" w:rsidRPr="00B06723" w:rsidRDefault="006D6952" w:rsidP="006D6952">
      <w:pPr>
        <w:pStyle w:val="Body"/>
        <w:spacing w:after="0"/>
      </w:pPr>
    </w:p>
    <w:p w14:paraId="2D4AADB5" w14:textId="2F1E8D30" w:rsidR="00F56A4B" w:rsidRPr="00B06723" w:rsidRDefault="00F56A4B" w:rsidP="006D6952">
      <w:pPr>
        <w:pStyle w:val="Body"/>
        <w:spacing w:after="0"/>
      </w:pPr>
      <w:r w:rsidRPr="00B06723">
        <w:t xml:space="preserve">Daniyal, M., Siddiqui, Z. A., Akram, M., Asif, H. M., Sultana, S., &amp; Khan, A. (2014). Epidemiology, etiology, diagnosis and treatment of prostate cancer. Asian Pacific Journal of Cancer Prevention: APJCP, 15(22), 9575–9578. </w:t>
      </w:r>
      <w:hyperlink r:id="rId55" w:history="1">
        <w:r w:rsidR="006D6952" w:rsidRPr="00B06723">
          <w:rPr>
            <w:rStyle w:val="Hyperlink"/>
          </w:rPr>
          <w:t>https://doi.org/10.7314/apjcp.2014.15.22.9575</w:t>
        </w:r>
      </w:hyperlink>
    </w:p>
    <w:p w14:paraId="19250F43" w14:textId="77777777" w:rsidR="006D6952" w:rsidRPr="00B06723" w:rsidRDefault="006D6952" w:rsidP="006D6952">
      <w:pPr>
        <w:pStyle w:val="Body"/>
        <w:spacing w:after="0"/>
      </w:pPr>
    </w:p>
    <w:p w14:paraId="24F6BB5E" w14:textId="73DE21AD" w:rsidR="00F56A4B" w:rsidRPr="00B06723" w:rsidRDefault="00F56A4B" w:rsidP="006D6952">
      <w:pPr>
        <w:pStyle w:val="Body"/>
        <w:spacing w:after="0"/>
      </w:pPr>
      <w:r w:rsidRPr="00B06723">
        <w:t xml:space="preserve">Deeks, J. J., Macaskill, P., &amp; </w:t>
      </w:r>
      <w:proofErr w:type="spellStart"/>
      <w:r w:rsidRPr="00B06723">
        <w:t>Irwig</w:t>
      </w:r>
      <w:proofErr w:type="spellEnd"/>
      <w:r w:rsidRPr="00B06723">
        <w:t xml:space="preserve">, L. (2005). The performance of tests of publication bias and other sample size effects in systematic reviews of diagnostic test accuracy was assessed. Journal of Clinical Epidemiology, 58(9), 882–893. </w:t>
      </w:r>
      <w:hyperlink r:id="rId56" w:history="1">
        <w:r w:rsidR="006D6952" w:rsidRPr="00B06723">
          <w:rPr>
            <w:rStyle w:val="Hyperlink"/>
          </w:rPr>
          <w:t>https://doi.org/10.1016/j.jclinepi.2005.01.016</w:t>
        </w:r>
      </w:hyperlink>
    </w:p>
    <w:p w14:paraId="43821EA3" w14:textId="77777777" w:rsidR="006D6952" w:rsidRPr="00B06723" w:rsidRDefault="006D6952" w:rsidP="006D6952">
      <w:pPr>
        <w:pStyle w:val="Body"/>
        <w:spacing w:after="0"/>
      </w:pPr>
    </w:p>
    <w:p w14:paraId="726817AC" w14:textId="3B039725" w:rsidR="006D6952" w:rsidRPr="00B06723" w:rsidRDefault="00F56A4B" w:rsidP="006D6952">
      <w:pPr>
        <w:pStyle w:val="Body"/>
        <w:spacing w:after="0"/>
      </w:pPr>
      <w:r w:rsidRPr="00B06723">
        <w:t xml:space="preserve">Di Leva, G., Garofalo, M., &amp; Croce, C. M. (2014). microRNAs in cancer. Annual Review of Pathology, 9, 287–314. </w:t>
      </w:r>
      <w:hyperlink r:id="rId57" w:history="1">
        <w:r w:rsidR="006D6952" w:rsidRPr="00B06723">
          <w:rPr>
            <w:rStyle w:val="Hyperlink"/>
          </w:rPr>
          <w:t>https://doi.org/10.1146/annurev-pathol-012513-104715</w:t>
        </w:r>
      </w:hyperlink>
    </w:p>
    <w:p w14:paraId="56F7515F" w14:textId="77777777" w:rsidR="006D6952" w:rsidRPr="00B06723" w:rsidRDefault="006D6952" w:rsidP="006D6952">
      <w:pPr>
        <w:pStyle w:val="Body"/>
        <w:spacing w:after="0"/>
      </w:pPr>
    </w:p>
    <w:p w14:paraId="233DE41D" w14:textId="16852556" w:rsidR="00F56A4B" w:rsidRPr="00B06723" w:rsidRDefault="00F56A4B" w:rsidP="006D6952">
      <w:pPr>
        <w:pStyle w:val="Body"/>
        <w:spacing w:after="0"/>
      </w:pPr>
      <w:proofErr w:type="spellStart"/>
      <w:r w:rsidRPr="00B06723">
        <w:t>Dülgeroğlu</w:t>
      </w:r>
      <w:proofErr w:type="spellEnd"/>
      <w:r w:rsidRPr="00B06723">
        <w:t xml:space="preserve">, Y., &amp; Eroğlu, O. (2019). Diagnostic performance of microRNAs in the circulation in differential diagnosis of BPH, chronic prostatitis and prostate cancer. Turkish Journal of Biochemistry, 44(4), 417–425. </w:t>
      </w:r>
      <w:hyperlink r:id="rId58" w:history="1">
        <w:r w:rsidR="006D6952" w:rsidRPr="00B06723">
          <w:rPr>
            <w:rStyle w:val="Hyperlink"/>
          </w:rPr>
          <w:t>https://doi.org/10.1515/tjb-2018-0198</w:t>
        </w:r>
      </w:hyperlink>
    </w:p>
    <w:p w14:paraId="2229F3D3" w14:textId="77777777" w:rsidR="006D6952" w:rsidRPr="00B06723" w:rsidRDefault="006D6952" w:rsidP="006D6952">
      <w:pPr>
        <w:pStyle w:val="Body"/>
        <w:spacing w:after="0"/>
      </w:pPr>
    </w:p>
    <w:p w14:paraId="1864F9B7" w14:textId="793D4A64" w:rsidR="00F56A4B" w:rsidRPr="00B06723" w:rsidRDefault="00F56A4B" w:rsidP="006D6952">
      <w:pPr>
        <w:pStyle w:val="Body"/>
        <w:spacing w:after="0"/>
      </w:pPr>
      <w:proofErr w:type="spellStart"/>
      <w:r w:rsidRPr="00B06723">
        <w:t>Emamvirdizadeh</w:t>
      </w:r>
      <w:proofErr w:type="spellEnd"/>
      <w:r w:rsidRPr="00B06723">
        <w:t xml:space="preserve">, A., </w:t>
      </w:r>
      <w:proofErr w:type="spellStart"/>
      <w:r w:rsidRPr="00B06723">
        <w:t>Jamshidian</w:t>
      </w:r>
      <w:proofErr w:type="spellEnd"/>
      <w:r w:rsidRPr="00B06723">
        <w:t xml:space="preserve">, F., Entezari, M., Nooraei, S., &amp; Hashemi, M. (2015). Non-invasive Prostate Cancer Detection by Measuring Expression Level of miR-21 and miR-214 in Urine. International Journal of Cancer Management, 14(6), Article 6. </w:t>
      </w:r>
      <w:hyperlink r:id="rId59" w:history="1">
        <w:r w:rsidR="006D6952" w:rsidRPr="00B06723">
          <w:rPr>
            <w:rStyle w:val="Hyperlink"/>
          </w:rPr>
          <w:t>https://doi.org/10.5812/ijcm.110014</w:t>
        </w:r>
      </w:hyperlink>
    </w:p>
    <w:p w14:paraId="18EC5D21" w14:textId="77777777" w:rsidR="006D6952" w:rsidRPr="00B06723" w:rsidRDefault="006D6952" w:rsidP="006D6952">
      <w:pPr>
        <w:pStyle w:val="Body"/>
        <w:spacing w:after="0"/>
      </w:pPr>
    </w:p>
    <w:p w14:paraId="74CC9866" w14:textId="3B2C1213" w:rsidR="00F56A4B" w:rsidRPr="00B06723" w:rsidRDefault="00F56A4B" w:rsidP="006D6952">
      <w:pPr>
        <w:pStyle w:val="Body"/>
        <w:spacing w:after="0"/>
      </w:pPr>
      <w:proofErr w:type="spellStart"/>
      <w:r w:rsidRPr="00B06723">
        <w:lastRenderedPageBreak/>
        <w:t>Endzeliņš</w:t>
      </w:r>
      <w:proofErr w:type="spellEnd"/>
      <w:r w:rsidRPr="00B06723">
        <w:t xml:space="preserve">, E., Berger, A., </w:t>
      </w:r>
      <w:proofErr w:type="spellStart"/>
      <w:r w:rsidRPr="00B06723">
        <w:t>Melne</w:t>
      </w:r>
      <w:proofErr w:type="spellEnd"/>
      <w:r w:rsidRPr="00B06723">
        <w:t xml:space="preserve">, V., Bajo-Santos, C., </w:t>
      </w:r>
      <w:proofErr w:type="spellStart"/>
      <w:r w:rsidRPr="00B06723">
        <w:t>Soboļevska</w:t>
      </w:r>
      <w:proofErr w:type="spellEnd"/>
      <w:r w:rsidRPr="00B06723">
        <w:t xml:space="preserve">, K., Ābols, A., Rodriguez, et al. (2017). Detection of circulating miRNAs: Comparative analysis of extracellular vesicle-incorporated miRNAs and cell-free miRNAs in whole plasma of prostate cancer patients. BMC Cancer, 17(1), 730. </w:t>
      </w:r>
      <w:hyperlink r:id="rId60" w:history="1">
        <w:r w:rsidR="006D6952" w:rsidRPr="00B06723">
          <w:rPr>
            <w:rStyle w:val="Hyperlink"/>
          </w:rPr>
          <w:t>https://doi.org/10.1186/s12885-017-3737-z</w:t>
        </w:r>
      </w:hyperlink>
    </w:p>
    <w:p w14:paraId="2E84A418" w14:textId="77777777" w:rsidR="006D6952" w:rsidRPr="00B06723" w:rsidRDefault="006D6952" w:rsidP="006D6952">
      <w:pPr>
        <w:pStyle w:val="Body"/>
        <w:spacing w:after="0"/>
      </w:pPr>
    </w:p>
    <w:p w14:paraId="67FF86BA" w14:textId="77777777" w:rsidR="00F56A4B" w:rsidRPr="00B06723" w:rsidRDefault="00F56A4B" w:rsidP="006D6952">
      <w:pPr>
        <w:pStyle w:val="Body"/>
        <w:spacing w:after="0"/>
      </w:pPr>
      <w:r w:rsidRPr="00B06723">
        <w:t xml:space="preserve">Fagan, T. J. (1975). Letter: Nomogram for </w:t>
      </w:r>
      <w:proofErr w:type="spellStart"/>
      <w:r w:rsidRPr="00B06723">
        <w:t>Bayes’s</w:t>
      </w:r>
      <w:proofErr w:type="spellEnd"/>
      <w:r w:rsidRPr="00B06723">
        <w:t xml:space="preserve"> theorem. The New England Journal of Medicine, 293(5), 257. https://doi.org/10.1056/NEJM197507312930513</w:t>
      </w:r>
    </w:p>
    <w:p w14:paraId="50E06935" w14:textId="32CE742C" w:rsidR="00F56A4B" w:rsidRPr="00B06723" w:rsidRDefault="00F56A4B" w:rsidP="006D6952">
      <w:pPr>
        <w:pStyle w:val="Body"/>
        <w:spacing w:after="0"/>
      </w:pPr>
      <w:proofErr w:type="spellStart"/>
      <w:r w:rsidRPr="00B06723">
        <w:rPr>
          <w:lang w:val="fr-FR"/>
        </w:rPr>
        <w:t>Foj</w:t>
      </w:r>
      <w:proofErr w:type="spellEnd"/>
      <w:r w:rsidRPr="00B06723">
        <w:rPr>
          <w:lang w:val="fr-FR"/>
        </w:rPr>
        <w:t xml:space="preserve">, L., Ferrer, F., Serra, M., </w:t>
      </w:r>
      <w:proofErr w:type="spellStart"/>
      <w:r w:rsidRPr="00B06723">
        <w:rPr>
          <w:lang w:val="fr-FR"/>
        </w:rPr>
        <w:t>Arévalo</w:t>
      </w:r>
      <w:proofErr w:type="spellEnd"/>
      <w:r w:rsidRPr="00B06723">
        <w:rPr>
          <w:lang w:val="fr-FR"/>
        </w:rPr>
        <w:t xml:space="preserve">, A., </w:t>
      </w:r>
      <w:proofErr w:type="spellStart"/>
      <w:r w:rsidRPr="00B06723">
        <w:rPr>
          <w:lang w:val="fr-FR"/>
        </w:rPr>
        <w:t>Gavagnach</w:t>
      </w:r>
      <w:proofErr w:type="spellEnd"/>
      <w:r w:rsidRPr="00B06723">
        <w:rPr>
          <w:lang w:val="fr-FR"/>
        </w:rPr>
        <w:t xml:space="preserve">, M., </w:t>
      </w:r>
      <w:proofErr w:type="spellStart"/>
      <w:r w:rsidRPr="00B06723">
        <w:rPr>
          <w:lang w:val="fr-FR"/>
        </w:rPr>
        <w:t>Giménez</w:t>
      </w:r>
      <w:proofErr w:type="spellEnd"/>
      <w:r w:rsidRPr="00B06723">
        <w:rPr>
          <w:lang w:val="fr-FR"/>
        </w:rPr>
        <w:t xml:space="preserve">, N., et al. </w:t>
      </w:r>
      <w:r w:rsidRPr="00B06723">
        <w:t xml:space="preserve">(2017). </w:t>
      </w:r>
      <w:proofErr w:type="spellStart"/>
      <w:r w:rsidRPr="00B06723">
        <w:t>Exosomal</w:t>
      </w:r>
      <w:proofErr w:type="spellEnd"/>
      <w:r w:rsidRPr="00B06723">
        <w:t xml:space="preserve"> and Non-</w:t>
      </w:r>
      <w:proofErr w:type="spellStart"/>
      <w:r w:rsidRPr="00B06723">
        <w:t>Exosomal</w:t>
      </w:r>
      <w:proofErr w:type="spellEnd"/>
      <w:r w:rsidRPr="00B06723">
        <w:t xml:space="preserve"> Urinary miRNAs in Prostate Cancer Detection and Prognosis. The Prostate, 77(6), 573–583. </w:t>
      </w:r>
      <w:hyperlink r:id="rId61" w:history="1">
        <w:r w:rsidR="006D6952" w:rsidRPr="00B06723">
          <w:rPr>
            <w:rStyle w:val="Hyperlink"/>
          </w:rPr>
          <w:t>https://doi.org/10.1002/pros.23295</w:t>
        </w:r>
      </w:hyperlink>
    </w:p>
    <w:p w14:paraId="6122F939" w14:textId="77777777" w:rsidR="006D6952" w:rsidRPr="00B06723" w:rsidRDefault="006D6952" w:rsidP="006D6952">
      <w:pPr>
        <w:pStyle w:val="Body"/>
        <w:spacing w:after="0"/>
      </w:pPr>
    </w:p>
    <w:p w14:paraId="4C30F5B6" w14:textId="4261ABDA" w:rsidR="00F56A4B" w:rsidRPr="00B06723" w:rsidRDefault="00F56A4B" w:rsidP="006D6952">
      <w:pPr>
        <w:pStyle w:val="Body"/>
        <w:spacing w:after="0"/>
      </w:pPr>
      <w:r w:rsidRPr="00B06723">
        <w:t xml:space="preserve">Gao, Y., Guo, Y., Wang, Z., Dai, Z., Xu, Y., Zhang, W., et al. (2016). Analysis of circulating miRNAs 21 and 375 as potential biomarkers for early diagnosis of prostate cancer. </w:t>
      </w:r>
      <w:proofErr w:type="spellStart"/>
      <w:r w:rsidRPr="00B06723">
        <w:t>Neoplasma</w:t>
      </w:r>
      <w:proofErr w:type="spellEnd"/>
      <w:r w:rsidRPr="00B06723">
        <w:t xml:space="preserve">, 63(4), 623–628. </w:t>
      </w:r>
      <w:hyperlink r:id="rId62" w:history="1">
        <w:r w:rsidR="006D6952" w:rsidRPr="00B06723">
          <w:rPr>
            <w:rStyle w:val="Hyperlink"/>
          </w:rPr>
          <w:t>https://doi.org/10.4149/neo_2016_417</w:t>
        </w:r>
      </w:hyperlink>
    </w:p>
    <w:p w14:paraId="4AF62F05" w14:textId="77777777" w:rsidR="006D6952" w:rsidRPr="00B06723" w:rsidRDefault="006D6952" w:rsidP="006D6952">
      <w:pPr>
        <w:pStyle w:val="Body"/>
        <w:spacing w:after="0"/>
      </w:pPr>
    </w:p>
    <w:p w14:paraId="0D4F30B2" w14:textId="4ECB15B6" w:rsidR="00F56A4B" w:rsidRPr="00B06723" w:rsidRDefault="00F56A4B" w:rsidP="006D6952">
      <w:pPr>
        <w:pStyle w:val="Body"/>
        <w:spacing w:after="0"/>
      </w:pPr>
      <w:proofErr w:type="spellStart"/>
      <w:r w:rsidRPr="00B06723">
        <w:t>Ghorbanmehr</w:t>
      </w:r>
      <w:proofErr w:type="spellEnd"/>
      <w:r w:rsidRPr="00B06723">
        <w:t xml:space="preserve">, N., Gharbi, S., </w:t>
      </w:r>
      <w:proofErr w:type="spellStart"/>
      <w:r w:rsidRPr="00B06723">
        <w:t>Korsching</w:t>
      </w:r>
      <w:proofErr w:type="spellEnd"/>
      <w:r w:rsidRPr="00B06723">
        <w:t xml:space="preserve">, E., </w:t>
      </w:r>
      <w:proofErr w:type="spellStart"/>
      <w:r w:rsidRPr="00B06723">
        <w:t>Tavallaei</w:t>
      </w:r>
      <w:proofErr w:type="spellEnd"/>
      <w:r w:rsidRPr="00B06723">
        <w:t xml:space="preserve">, M., </w:t>
      </w:r>
      <w:proofErr w:type="spellStart"/>
      <w:r w:rsidRPr="00B06723">
        <w:t>Einollahi</w:t>
      </w:r>
      <w:proofErr w:type="spellEnd"/>
      <w:r w:rsidRPr="00B06723">
        <w:t xml:space="preserve">, B., &amp; Mowla, S. J. (2019). miR-21-5p, miR-141-3p, and miR-205-5p levels in urine-promising biomarkers for the identification of prostate and bladder cancer. The Prostate, 79(1), 88–95. </w:t>
      </w:r>
      <w:hyperlink r:id="rId63" w:history="1">
        <w:r w:rsidR="006D6952" w:rsidRPr="00B06723">
          <w:rPr>
            <w:rStyle w:val="Hyperlink"/>
          </w:rPr>
          <w:t>https://doi.org/10.1002/pros.23714</w:t>
        </w:r>
      </w:hyperlink>
    </w:p>
    <w:p w14:paraId="0A14945D" w14:textId="77777777" w:rsidR="006D6952" w:rsidRPr="00B06723" w:rsidRDefault="006D6952" w:rsidP="006D6952">
      <w:pPr>
        <w:pStyle w:val="Body"/>
        <w:spacing w:after="0"/>
      </w:pPr>
    </w:p>
    <w:p w14:paraId="320BCD85" w14:textId="3AB3D503" w:rsidR="00F56A4B" w:rsidRPr="00B06723" w:rsidRDefault="00F56A4B" w:rsidP="006D6952">
      <w:pPr>
        <w:pStyle w:val="Body"/>
        <w:spacing w:after="0"/>
      </w:pPr>
      <w:r w:rsidRPr="00B06723">
        <w:t xml:space="preserve">Giglio, S., De Nunzio, C., </w:t>
      </w:r>
      <w:proofErr w:type="spellStart"/>
      <w:r w:rsidRPr="00B06723">
        <w:t>Cirombella</w:t>
      </w:r>
      <w:proofErr w:type="spellEnd"/>
      <w:r w:rsidRPr="00B06723">
        <w:t xml:space="preserve">, R., </w:t>
      </w:r>
      <w:proofErr w:type="spellStart"/>
      <w:r w:rsidRPr="00B06723">
        <w:t>Stoppacciaro</w:t>
      </w:r>
      <w:proofErr w:type="spellEnd"/>
      <w:r w:rsidRPr="00B06723">
        <w:t xml:space="preserve">, A., Faruq, O., </w:t>
      </w:r>
      <w:proofErr w:type="spellStart"/>
      <w:r w:rsidRPr="00B06723">
        <w:t>Volinia</w:t>
      </w:r>
      <w:proofErr w:type="spellEnd"/>
      <w:r w:rsidRPr="00B06723">
        <w:t xml:space="preserve">, S., </w:t>
      </w:r>
      <w:r w:rsidR="00252583" w:rsidRPr="00B06723">
        <w:t>et al.</w:t>
      </w:r>
      <w:r w:rsidRPr="00B06723">
        <w:t xml:space="preserve"> (2021). A preliminary study of micro-RNAs as minimally invasive biomarkers for the diagnosis of prostate cancer patients. Journal of Experimental &amp; Clinical Cancer Research: CR, 40(1), 79. </w:t>
      </w:r>
      <w:hyperlink r:id="rId64" w:history="1">
        <w:r w:rsidR="006D6952" w:rsidRPr="00B06723">
          <w:rPr>
            <w:rStyle w:val="Hyperlink"/>
          </w:rPr>
          <w:t>https://doi.org/10.1186/s13046-021-01875-0</w:t>
        </w:r>
      </w:hyperlink>
    </w:p>
    <w:p w14:paraId="3DF93E70" w14:textId="77777777" w:rsidR="006D6952" w:rsidRPr="00B06723" w:rsidRDefault="006D6952" w:rsidP="006D6952">
      <w:pPr>
        <w:pStyle w:val="Body"/>
        <w:spacing w:after="0"/>
      </w:pPr>
    </w:p>
    <w:p w14:paraId="09D82B48" w14:textId="68608374" w:rsidR="00F56A4B" w:rsidRPr="00B06723" w:rsidRDefault="00F56A4B" w:rsidP="006D6952">
      <w:pPr>
        <w:pStyle w:val="Body"/>
        <w:spacing w:after="0"/>
      </w:pPr>
      <w:r w:rsidRPr="00B06723">
        <w:rPr>
          <w:lang w:val="fr-FR"/>
        </w:rPr>
        <w:t xml:space="preserve">Guan, Y., Wu, Y., Liu, Y., Ni, J., &amp; </w:t>
      </w:r>
      <w:proofErr w:type="spellStart"/>
      <w:r w:rsidRPr="00B06723">
        <w:rPr>
          <w:lang w:val="fr-FR"/>
        </w:rPr>
        <w:t>Nong</w:t>
      </w:r>
      <w:proofErr w:type="spellEnd"/>
      <w:r w:rsidRPr="00B06723">
        <w:rPr>
          <w:lang w:val="fr-FR"/>
        </w:rPr>
        <w:t xml:space="preserve">, S. (2016). </w:t>
      </w:r>
      <w:r w:rsidRPr="00B06723">
        <w:t xml:space="preserve">Association of microRNA-21 expression with clinicopathological characteristics and the risk of progression in advanced prostate cancer patients receiving androgen deprivation therapy. The Prostate, 76(11), 986–993. </w:t>
      </w:r>
      <w:hyperlink r:id="rId65" w:history="1">
        <w:r w:rsidR="006D6952" w:rsidRPr="00B06723">
          <w:rPr>
            <w:rStyle w:val="Hyperlink"/>
          </w:rPr>
          <w:t>https://doi.org/10.1002/pros.23187</w:t>
        </w:r>
      </w:hyperlink>
    </w:p>
    <w:p w14:paraId="5F0A2C2C" w14:textId="77777777" w:rsidR="00781B85" w:rsidRPr="00B06723" w:rsidRDefault="00781B85" w:rsidP="006D6952">
      <w:pPr>
        <w:pStyle w:val="Body"/>
        <w:spacing w:after="0"/>
      </w:pPr>
    </w:p>
    <w:p w14:paraId="36E67995" w14:textId="5626942A" w:rsidR="006D6952" w:rsidRPr="00B06723" w:rsidRDefault="00781B85" w:rsidP="006D6952">
      <w:pPr>
        <w:pStyle w:val="Body"/>
        <w:spacing w:after="0"/>
      </w:pPr>
      <w:r w:rsidRPr="00B06723">
        <w:t xml:space="preserve">Gujrati, H., Ha, S., &amp; Wang, B.-D. (2023). Deregulated microRNAs Involved in Prostate Cancer Aggressiveness and Treatment Resistance Mechanisms. Cancers, 15(12), 3140. </w:t>
      </w:r>
      <w:hyperlink r:id="rId66" w:history="1">
        <w:r w:rsidRPr="00B06723">
          <w:rPr>
            <w:rStyle w:val="Hyperlink"/>
          </w:rPr>
          <w:t>https://doi.org/10.3390/cancers15123140</w:t>
        </w:r>
      </w:hyperlink>
    </w:p>
    <w:p w14:paraId="67D90979" w14:textId="77777777" w:rsidR="00781B85" w:rsidRPr="00B06723" w:rsidRDefault="00781B85" w:rsidP="006D6952">
      <w:pPr>
        <w:pStyle w:val="Body"/>
        <w:spacing w:after="0"/>
      </w:pPr>
    </w:p>
    <w:p w14:paraId="450112F7" w14:textId="7ED3CE5F" w:rsidR="00F56A4B" w:rsidRPr="00B06723" w:rsidRDefault="00F56A4B" w:rsidP="006D6952">
      <w:pPr>
        <w:pStyle w:val="Body"/>
        <w:spacing w:after="0"/>
      </w:pPr>
      <w:r w:rsidRPr="00B06723">
        <w:t xml:space="preserve">Gunawan, R. R., Astuti, I., &amp; </w:t>
      </w:r>
      <w:proofErr w:type="spellStart"/>
      <w:r w:rsidRPr="00B06723">
        <w:t>Danarto</w:t>
      </w:r>
      <w:proofErr w:type="spellEnd"/>
      <w:r w:rsidRPr="00B06723">
        <w:t xml:space="preserve">, H. R. (2023). miRNA-21 as High Potential Prostate Cancer Biomarker in Prostate Cancer Patients in Indonesia. Asian Pacific Journal of Cancer Prevention: APJCP, 24(3), 1095–1099. </w:t>
      </w:r>
      <w:hyperlink r:id="rId67" w:history="1">
        <w:r w:rsidR="006D6952" w:rsidRPr="00B06723">
          <w:rPr>
            <w:rStyle w:val="Hyperlink"/>
          </w:rPr>
          <w:t>https://doi.org/10.31557/APJCP.2023.24.3.1095</w:t>
        </w:r>
      </w:hyperlink>
    </w:p>
    <w:p w14:paraId="7EC8A315" w14:textId="77777777" w:rsidR="006D6952" w:rsidRPr="00B06723" w:rsidRDefault="006D6952" w:rsidP="006D6952">
      <w:pPr>
        <w:pStyle w:val="Body"/>
        <w:spacing w:after="0"/>
      </w:pPr>
    </w:p>
    <w:p w14:paraId="55417535" w14:textId="47B2CAA7" w:rsidR="00F56A4B" w:rsidRPr="00B06723" w:rsidRDefault="00F56A4B" w:rsidP="006D6952">
      <w:pPr>
        <w:pStyle w:val="Body"/>
        <w:spacing w:after="0"/>
      </w:pPr>
      <w:r w:rsidRPr="00B06723">
        <w:t xml:space="preserve">Guo, X., Han, T., Hu, P., Guo, X., Zhu, C., Wang, Y., </w:t>
      </w:r>
      <w:r w:rsidR="00252583" w:rsidRPr="00B06723">
        <w:t xml:space="preserve">et al. </w:t>
      </w:r>
      <w:r w:rsidRPr="00B06723">
        <w:t xml:space="preserve">(2018). Five microRNAs in serum as potential biomarkers for prostate cancer risk assessment and therapeutic intervention. International Urology and Nephrology, 50(12), 2193–2200. </w:t>
      </w:r>
      <w:hyperlink r:id="rId68" w:history="1">
        <w:r w:rsidR="006D6952" w:rsidRPr="00B06723">
          <w:rPr>
            <w:rStyle w:val="Hyperlink"/>
          </w:rPr>
          <w:t>https://doi.org/10.1007/s11255-018-2009-4</w:t>
        </w:r>
      </w:hyperlink>
    </w:p>
    <w:p w14:paraId="2F38FA94" w14:textId="77777777" w:rsidR="006D6952" w:rsidRPr="00B06723" w:rsidRDefault="006D6952" w:rsidP="006D6952">
      <w:pPr>
        <w:pStyle w:val="Body"/>
        <w:spacing w:after="0"/>
      </w:pPr>
    </w:p>
    <w:p w14:paraId="4B3A462C" w14:textId="3F72D30C" w:rsidR="00F56A4B" w:rsidRPr="00B06723" w:rsidRDefault="00F56A4B" w:rsidP="006D6952">
      <w:pPr>
        <w:pStyle w:val="Body"/>
        <w:spacing w:after="0"/>
      </w:pPr>
      <w:r w:rsidRPr="00B06723">
        <w:t xml:space="preserve">Haldrup, C., Kosaka, N., </w:t>
      </w:r>
      <w:proofErr w:type="spellStart"/>
      <w:r w:rsidRPr="00B06723">
        <w:t>Ochiya</w:t>
      </w:r>
      <w:proofErr w:type="spellEnd"/>
      <w:r w:rsidRPr="00B06723">
        <w:t xml:space="preserve">, T., Borre, M., Høyer, S., </w:t>
      </w:r>
      <w:proofErr w:type="spellStart"/>
      <w:r w:rsidRPr="00B06723">
        <w:t>Orntoft</w:t>
      </w:r>
      <w:proofErr w:type="spellEnd"/>
      <w:r w:rsidRPr="00B06723">
        <w:t xml:space="preserve">, T. F., </w:t>
      </w:r>
      <w:r w:rsidR="00252583" w:rsidRPr="00B06723">
        <w:t xml:space="preserve">et al. </w:t>
      </w:r>
      <w:r w:rsidRPr="00B06723">
        <w:t xml:space="preserve">(2014). Profiling of circulating microRNAs for prostate cancer biomarker discovery. Drug Delivery and Translational Research, 4(1), 19–30. </w:t>
      </w:r>
      <w:hyperlink r:id="rId69" w:history="1">
        <w:r w:rsidR="006D6952" w:rsidRPr="00B06723">
          <w:rPr>
            <w:rStyle w:val="Hyperlink"/>
          </w:rPr>
          <w:t>https://doi.org/10.1007/s13346-013-0169-4</w:t>
        </w:r>
      </w:hyperlink>
    </w:p>
    <w:p w14:paraId="530CF6F8" w14:textId="77777777" w:rsidR="00ED14C3" w:rsidRPr="00B06723" w:rsidRDefault="00ED14C3" w:rsidP="006D6952">
      <w:pPr>
        <w:pStyle w:val="Body"/>
        <w:spacing w:after="0"/>
      </w:pPr>
    </w:p>
    <w:p w14:paraId="657F4A18" w14:textId="3360C78D" w:rsidR="00ED14C3" w:rsidRPr="00B06723" w:rsidRDefault="00ED14C3" w:rsidP="006D6952">
      <w:pPr>
        <w:pStyle w:val="Body"/>
        <w:spacing w:after="0"/>
      </w:pPr>
      <w:r w:rsidRPr="00B06723">
        <w:t xml:space="preserve">Hasanoğlu, S., </w:t>
      </w:r>
      <w:proofErr w:type="spellStart"/>
      <w:r w:rsidRPr="00B06723">
        <w:t>Göncü</w:t>
      </w:r>
      <w:proofErr w:type="spellEnd"/>
      <w:r w:rsidRPr="00B06723">
        <w:t xml:space="preserve">, B., </w:t>
      </w:r>
      <w:proofErr w:type="spellStart"/>
      <w:r w:rsidRPr="00B06723">
        <w:t>Yücesan</w:t>
      </w:r>
      <w:proofErr w:type="spellEnd"/>
      <w:r w:rsidRPr="00B06723">
        <w:t xml:space="preserve">, E., Atasoy, S., Kayali, Y., &amp; </w:t>
      </w:r>
      <w:proofErr w:type="spellStart"/>
      <w:r w:rsidRPr="00B06723">
        <w:t>Ö</w:t>
      </w:r>
      <w:r w:rsidRPr="00B06723">
        <w:rPr>
          <w:sz w:val="18"/>
          <w:szCs w:val="18"/>
        </w:rPr>
        <w:t>zten</w:t>
      </w:r>
      <w:proofErr w:type="spellEnd"/>
      <w:r w:rsidRPr="00B06723">
        <w:rPr>
          <w:sz w:val="18"/>
          <w:szCs w:val="18"/>
        </w:rPr>
        <w:t xml:space="preserve"> </w:t>
      </w:r>
      <w:proofErr w:type="spellStart"/>
      <w:r w:rsidRPr="00B06723">
        <w:t>Kandaş</w:t>
      </w:r>
      <w:proofErr w:type="spellEnd"/>
      <w:r w:rsidRPr="00B06723">
        <w:t xml:space="preserve">, N. (2021). Investigating differential miRNA expression profiling using serum and urine specimens for detecting potential biomarkers for early prostate cancer diagnosis. Turkish Journal of Medical Sciences, 51(4), 1764–1774. </w:t>
      </w:r>
      <w:hyperlink r:id="rId70" w:history="1">
        <w:r w:rsidRPr="00B06723">
          <w:rPr>
            <w:rStyle w:val="Hyperlink"/>
          </w:rPr>
          <w:t>https://doi.org/10.3906/sag-2010-183</w:t>
        </w:r>
      </w:hyperlink>
    </w:p>
    <w:p w14:paraId="67042703" w14:textId="77777777" w:rsidR="006D6952" w:rsidRPr="00B06723" w:rsidRDefault="006D6952" w:rsidP="006D6952">
      <w:pPr>
        <w:pStyle w:val="Body"/>
        <w:spacing w:after="0"/>
      </w:pPr>
    </w:p>
    <w:p w14:paraId="15A2F09C" w14:textId="4C6EB4ED" w:rsidR="00F56A4B" w:rsidRPr="00B06723" w:rsidRDefault="00F56A4B" w:rsidP="006D6952">
      <w:pPr>
        <w:pStyle w:val="Body"/>
        <w:spacing w:after="0"/>
      </w:pPr>
      <w:r w:rsidRPr="00B06723">
        <w:t xml:space="preserve">Higgins, J. P. T., &amp; Thompson, S. G. (2002). Quantifying heterogeneity in a meta-analysis. Statistics in Medicine, 21(11), 1539–1558. </w:t>
      </w:r>
      <w:hyperlink r:id="rId71" w:history="1">
        <w:r w:rsidR="006D6952" w:rsidRPr="00B06723">
          <w:rPr>
            <w:rStyle w:val="Hyperlink"/>
          </w:rPr>
          <w:t>https://doi.org/10.1002/sim.1186</w:t>
        </w:r>
      </w:hyperlink>
    </w:p>
    <w:p w14:paraId="1AC42778" w14:textId="77777777" w:rsidR="006D6952" w:rsidRPr="00B06723" w:rsidRDefault="006D6952" w:rsidP="006D6952">
      <w:pPr>
        <w:pStyle w:val="Body"/>
        <w:spacing w:after="0"/>
      </w:pPr>
    </w:p>
    <w:p w14:paraId="26F5565B" w14:textId="2D78EACE" w:rsidR="00F56A4B" w:rsidRPr="00B06723" w:rsidRDefault="00F56A4B" w:rsidP="006D6952">
      <w:pPr>
        <w:pStyle w:val="Body"/>
        <w:spacing w:after="0"/>
      </w:pPr>
      <w:r w:rsidRPr="00B06723">
        <w:t xml:space="preserve">Huang, W., Kang, X.-L., Cen, S., Wang, Y., &amp; Chen, X. (2015). High-Level Expression of microRNA-21 in Peripheral Blood Mononuclear Cells Is a Diagnostic and Prognostic Marker in Prostate Cancer. Genetic Testing and Molecular Biomarkers, 19(9), 469–475. </w:t>
      </w:r>
      <w:hyperlink r:id="rId72" w:history="1">
        <w:r w:rsidR="006D6952" w:rsidRPr="00B06723">
          <w:rPr>
            <w:rStyle w:val="Hyperlink"/>
          </w:rPr>
          <w:t>https://doi.org/10.1089/gtmb.2015.0088</w:t>
        </w:r>
      </w:hyperlink>
    </w:p>
    <w:p w14:paraId="4E3289E7" w14:textId="77777777" w:rsidR="006D6952" w:rsidRPr="00B06723" w:rsidRDefault="006D6952" w:rsidP="006D6952">
      <w:pPr>
        <w:pStyle w:val="Body"/>
        <w:spacing w:after="0"/>
      </w:pPr>
    </w:p>
    <w:p w14:paraId="2CFEB80D" w14:textId="2441C9B7" w:rsidR="00F56A4B" w:rsidRPr="00B06723" w:rsidRDefault="00F56A4B" w:rsidP="006D6952">
      <w:pPr>
        <w:pStyle w:val="Body"/>
        <w:spacing w:after="0"/>
      </w:pPr>
      <w:r w:rsidRPr="00B06723">
        <w:t xml:space="preserve">Ibrahim, N. H., Abdellateif, M. S., Kassem, S. H.-A., Abd El Salam, M. A., &amp; El </w:t>
      </w:r>
      <w:proofErr w:type="spellStart"/>
      <w:r w:rsidRPr="00B06723">
        <w:t>Gammal</w:t>
      </w:r>
      <w:proofErr w:type="spellEnd"/>
      <w:r w:rsidRPr="00B06723">
        <w:t xml:space="preserve">, M. M. (2019). Diagnostic significance of miR-21, miR-141, miR-18a and miR-221 as novel biomarkers in prostate cancer among Egyptian patients. </w:t>
      </w:r>
      <w:proofErr w:type="spellStart"/>
      <w:r w:rsidRPr="00B06723">
        <w:t>Andrologia</w:t>
      </w:r>
      <w:proofErr w:type="spellEnd"/>
      <w:r w:rsidRPr="00B06723">
        <w:t xml:space="preserve">, 51(10), e13384. </w:t>
      </w:r>
      <w:hyperlink r:id="rId73" w:history="1">
        <w:r w:rsidR="006D6952" w:rsidRPr="00B06723">
          <w:rPr>
            <w:rStyle w:val="Hyperlink"/>
          </w:rPr>
          <w:t>https://doi.org/10.1111/and.13384</w:t>
        </w:r>
      </w:hyperlink>
    </w:p>
    <w:p w14:paraId="317D2927" w14:textId="77777777" w:rsidR="00781B85" w:rsidRPr="00B06723" w:rsidRDefault="00781B85" w:rsidP="006D6952">
      <w:pPr>
        <w:pStyle w:val="Body"/>
        <w:spacing w:after="0"/>
      </w:pPr>
    </w:p>
    <w:p w14:paraId="7B3B5CAF" w14:textId="3AF8AD45" w:rsidR="006D6952" w:rsidRPr="00B06723" w:rsidRDefault="00781B85" w:rsidP="006D6952">
      <w:pPr>
        <w:pStyle w:val="Body"/>
        <w:spacing w:after="0"/>
      </w:pPr>
      <w:r w:rsidRPr="00B06723">
        <w:rPr>
          <w:lang w:val="fr-FR"/>
        </w:rPr>
        <w:t xml:space="preserve">Jain, G., Das, P., Ranjan, P., </w:t>
      </w:r>
      <w:proofErr w:type="spellStart"/>
      <w:r w:rsidRPr="00B06723">
        <w:rPr>
          <w:lang w:val="fr-FR"/>
        </w:rPr>
        <w:t>Neha</w:t>
      </w:r>
      <w:proofErr w:type="spellEnd"/>
      <w:r w:rsidRPr="00B06723">
        <w:rPr>
          <w:lang w:val="fr-FR"/>
        </w:rPr>
        <w:t xml:space="preserve">, </w:t>
      </w:r>
      <w:proofErr w:type="spellStart"/>
      <w:r w:rsidRPr="00B06723">
        <w:rPr>
          <w:lang w:val="fr-FR"/>
        </w:rPr>
        <w:t>null</w:t>
      </w:r>
      <w:proofErr w:type="spellEnd"/>
      <w:r w:rsidRPr="00B06723">
        <w:rPr>
          <w:lang w:val="fr-FR"/>
        </w:rPr>
        <w:t xml:space="preserve">, </w:t>
      </w:r>
      <w:proofErr w:type="spellStart"/>
      <w:r w:rsidRPr="00B06723">
        <w:rPr>
          <w:lang w:val="fr-FR"/>
        </w:rPr>
        <w:t>Valderrama</w:t>
      </w:r>
      <w:proofErr w:type="spellEnd"/>
      <w:r w:rsidRPr="00B06723">
        <w:rPr>
          <w:lang w:val="fr-FR"/>
        </w:rPr>
        <w:t xml:space="preserve">, F., &amp; </w:t>
      </w:r>
      <w:proofErr w:type="spellStart"/>
      <w:r w:rsidRPr="00B06723">
        <w:rPr>
          <w:lang w:val="fr-FR"/>
        </w:rPr>
        <w:t>Cieza-Borrella</w:t>
      </w:r>
      <w:proofErr w:type="spellEnd"/>
      <w:r w:rsidRPr="00B06723">
        <w:rPr>
          <w:lang w:val="fr-FR"/>
        </w:rPr>
        <w:t xml:space="preserve">, C. (2023). </w:t>
      </w:r>
      <w:r w:rsidRPr="00B06723">
        <w:t xml:space="preserve">Urinary extracellular vesicles miRNA-A new era of prostate cancer biomarkers. Frontiers in Genetics, 14, 1065757. </w:t>
      </w:r>
      <w:hyperlink r:id="rId74" w:history="1">
        <w:r w:rsidRPr="00B06723">
          <w:rPr>
            <w:rStyle w:val="Hyperlink"/>
          </w:rPr>
          <w:t>https://doi.org/10.3389/fgene.2023.1065757</w:t>
        </w:r>
      </w:hyperlink>
    </w:p>
    <w:p w14:paraId="0E72548F" w14:textId="77777777" w:rsidR="00781B85" w:rsidRPr="00B06723" w:rsidRDefault="00781B85" w:rsidP="006D6952">
      <w:pPr>
        <w:pStyle w:val="Body"/>
        <w:spacing w:after="0"/>
      </w:pPr>
    </w:p>
    <w:p w14:paraId="42E7A024" w14:textId="5CE7BE7D" w:rsidR="00F56A4B" w:rsidRPr="00B06723" w:rsidRDefault="00F56A4B" w:rsidP="006D6952">
      <w:pPr>
        <w:pStyle w:val="Body"/>
        <w:spacing w:after="0"/>
      </w:pPr>
      <w:r w:rsidRPr="00B06723">
        <w:t xml:space="preserve">Jin, W., Fei, X., Wang, X., Chen, F., &amp; Song, Y. (2020). Circulating miRNAs as Biomarkers for Prostate Cancer Diagnosis in Subjects with Benign Prostatic Hyperplasia. Journal of Immunology Research, 2020, 5873056. </w:t>
      </w:r>
      <w:hyperlink r:id="rId75" w:history="1">
        <w:r w:rsidR="006D6952" w:rsidRPr="00B06723">
          <w:rPr>
            <w:rStyle w:val="Hyperlink"/>
          </w:rPr>
          <w:t>https://doi.org/10.1155/2020/5873056</w:t>
        </w:r>
      </w:hyperlink>
    </w:p>
    <w:p w14:paraId="001031A3" w14:textId="77777777" w:rsidR="006D6952" w:rsidRPr="00B06723" w:rsidRDefault="006D6952" w:rsidP="006D6952">
      <w:pPr>
        <w:pStyle w:val="Body"/>
        <w:spacing w:after="0"/>
      </w:pPr>
    </w:p>
    <w:p w14:paraId="4AF7619D" w14:textId="40C62841" w:rsidR="00F56A4B" w:rsidRPr="00B06723" w:rsidRDefault="00F56A4B" w:rsidP="006D6952">
      <w:pPr>
        <w:pStyle w:val="Body"/>
        <w:spacing w:after="0"/>
        <w:rPr>
          <w:lang w:val="fr-FR"/>
        </w:rPr>
      </w:pPr>
      <w:proofErr w:type="spellStart"/>
      <w:r w:rsidRPr="00B06723">
        <w:t>Joković</w:t>
      </w:r>
      <w:proofErr w:type="spellEnd"/>
      <w:r w:rsidRPr="00B06723">
        <w:t xml:space="preserve">, S. M., Dobrijević, Z., </w:t>
      </w:r>
      <w:proofErr w:type="spellStart"/>
      <w:r w:rsidRPr="00B06723">
        <w:t>Kotarac</w:t>
      </w:r>
      <w:proofErr w:type="spellEnd"/>
      <w:r w:rsidRPr="00B06723">
        <w:t xml:space="preserve">, N., Filipović, L., Popović, M., Korać, A., </w:t>
      </w:r>
      <w:r w:rsidR="00CD592B" w:rsidRPr="00B06723">
        <w:t>et al.</w:t>
      </w:r>
      <w:r w:rsidRPr="00B06723">
        <w:t xml:space="preserve"> (2022). MiR-375 and miR-21 as Potential Biomarkers of Prostate Cancer: Comparison of Matching Samples of Plasma and Exosomes. </w:t>
      </w:r>
      <w:proofErr w:type="spellStart"/>
      <w:r w:rsidRPr="00B06723">
        <w:rPr>
          <w:lang w:val="fr-FR"/>
        </w:rPr>
        <w:t>Genes</w:t>
      </w:r>
      <w:proofErr w:type="spellEnd"/>
      <w:r w:rsidRPr="00B06723">
        <w:rPr>
          <w:lang w:val="fr-FR"/>
        </w:rPr>
        <w:t xml:space="preserve">, 13(12), 2320. </w:t>
      </w:r>
      <w:hyperlink r:id="rId76" w:history="1">
        <w:r w:rsidR="006D6952" w:rsidRPr="00B06723">
          <w:rPr>
            <w:rStyle w:val="Hyperlink"/>
            <w:lang w:val="fr-FR"/>
          </w:rPr>
          <w:t>https://doi.org/10.3390/genes13122320</w:t>
        </w:r>
      </w:hyperlink>
    </w:p>
    <w:p w14:paraId="177513D5" w14:textId="77777777" w:rsidR="006D6952" w:rsidRPr="00B06723" w:rsidRDefault="006D6952" w:rsidP="006D6952">
      <w:pPr>
        <w:pStyle w:val="Body"/>
        <w:spacing w:after="0"/>
        <w:rPr>
          <w:lang w:val="fr-FR"/>
        </w:rPr>
      </w:pPr>
    </w:p>
    <w:p w14:paraId="0F68AA64" w14:textId="6975CF6B" w:rsidR="00F56A4B" w:rsidRPr="00B06723" w:rsidRDefault="00F56A4B" w:rsidP="006D6952">
      <w:pPr>
        <w:pStyle w:val="Body"/>
        <w:spacing w:after="0"/>
      </w:pPr>
      <w:proofErr w:type="spellStart"/>
      <w:r w:rsidRPr="00B06723">
        <w:rPr>
          <w:lang w:val="fr-FR"/>
        </w:rPr>
        <w:t>Kachakova</w:t>
      </w:r>
      <w:proofErr w:type="spellEnd"/>
      <w:r w:rsidRPr="00B06723">
        <w:rPr>
          <w:lang w:val="fr-FR"/>
        </w:rPr>
        <w:t xml:space="preserve">, D., </w:t>
      </w:r>
      <w:proofErr w:type="spellStart"/>
      <w:r w:rsidRPr="00B06723">
        <w:rPr>
          <w:lang w:val="fr-FR"/>
        </w:rPr>
        <w:t>Mitkova</w:t>
      </w:r>
      <w:proofErr w:type="spellEnd"/>
      <w:r w:rsidRPr="00B06723">
        <w:rPr>
          <w:lang w:val="fr-FR"/>
        </w:rPr>
        <w:t xml:space="preserve">, A., Popov, E., Popov, I., </w:t>
      </w:r>
      <w:proofErr w:type="spellStart"/>
      <w:r w:rsidRPr="00B06723">
        <w:rPr>
          <w:lang w:val="fr-FR"/>
        </w:rPr>
        <w:t>Vlahova</w:t>
      </w:r>
      <w:proofErr w:type="spellEnd"/>
      <w:r w:rsidRPr="00B06723">
        <w:rPr>
          <w:lang w:val="fr-FR"/>
        </w:rPr>
        <w:t xml:space="preserve">, A., </w:t>
      </w:r>
      <w:proofErr w:type="spellStart"/>
      <w:r w:rsidRPr="00B06723">
        <w:rPr>
          <w:lang w:val="fr-FR"/>
        </w:rPr>
        <w:t>Dikov</w:t>
      </w:r>
      <w:proofErr w:type="spellEnd"/>
      <w:r w:rsidRPr="00B06723">
        <w:rPr>
          <w:lang w:val="fr-FR"/>
        </w:rPr>
        <w:t xml:space="preserve">, T., </w:t>
      </w:r>
      <w:r w:rsidR="00CD592B" w:rsidRPr="00B06723">
        <w:rPr>
          <w:lang w:val="fr-FR"/>
        </w:rPr>
        <w:t>et al.</w:t>
      </w:r>
      <w:r w:rsidRPr="00B06723">
        <w:rPr>
          <w:lang w:val="fr-FR"/>
        </w:rPr>
        <w:t xml:space="preserve"> </w:t>
      </w:r>
      <w:r w:rsidRPr="00B06723">
        <w:t xml:space="preserve">(2015). Combinations of Serum Prostate-Specific Antigen and Plasma Expression Levels of let-7c, miR-30c, miR-141, and miR-375 as Potential Better Diagnostic Biomarkers for Prostate Cancer. DNA and Cell Biology, 34(3), 189–200. </w:t>
      </w:r>
      <w:hyperlink r:id="rId77" w:history="1">
        <w:r w:rsidR="006D6952" w:rsidRPr="00B06723">
          <w:rPr>
            <w:rStyle w:val="Hyperlink"/>
          </w:rPr>
          <w:t>https://doi.org/10.1089/dna.2014.2663</w:t>
        </w:r>
      </w:hyperlink>
    </w:p>
    <w:p w14:paraId="4C2BE96E" w14:textId="77777777" w:rsidR="006D6952" w:rsidRPr="00B06723" w:rsidRDefault="006D6952" w:rsidP="006D6952">
      <w:pPr>
        <w:pStyle w:val="Body"/>
        <w:spacing w:after="0"/>
      </w:pPr>
    </w:p>
    <w:p w14:paraId="3D5D7673" w14:textId="0F9E8281" w:rsidR="00F56A4B" w:rsidRPr="00B06723" w:rsidRDefault="00F56A4B" w:rsidP="006D6952">
      <w:pPr>
        <w:pStyle w:val="Body"/>
        <w:spacing w:after="0"/>
      </w:pPr>
      <w:r w:rsidRPr="00B06723">
        <w:t xml:space="preserve">Kelly, B. D., Miller, N., Sweeney, K. J., Durkan, G. C., Rogers, E., Walsh, K., </w:t>
      </w:r>
      <w:r w:rsidR="00CD592B" w:rsidRPr="00B06723">
        <w:t>et al.</w:t>
      </w:r>
      <w:r w:rsidRPr="00B06723">
        <w:t xml:space="preserve"> (2015). A Circulating MicroRNA Signature as a Biomarker for Prostate Cancer in a </w:t>
      </w:r>
      <w:proofErr w:type="gramStart"/>
      <w:r w:rsidRPr="00B06723">
        <w:t>High Risk</w:t>
      </w:r>
      <w:proofErr w:type="gramEnd"/>
      <w:r w:rsidRPr="00B06723">
        <w:t xml:space="preserve"> Group. Journal of Clinical Medicine, 4(7), 1369–1379. </w:t>
      </w:r>
      <w:hyperlink r:id="rId78" w:history="1">
        <w:r w:rsidR="006D6952" w:rsidRPr="00B06723">
          <w:rPr>
            <w:rStyle w:val="Hyperlink"/>
          </w:rPr>
          <w:t>https://doi.org/10.3390/jcm4071369</w:t>
        </w:r>
      </w:hyperlink>
    </w:p>
    <w:p w14:paraId="7CDCFEF2" w14:textId="77777777" w:rsidR="006D6952" w:rsidRPr="00B06723" w:rsidRDefault="006D6952" w:rsidP="006D6952">
      <w:pPr>
        <w:pStyle w:val="Body"/>
        <w:spacing w:after="0"/>
      </w:pPr>
    </w:p>
    <w:p w14:paraId="4595F57D" w14:textId="362147E8" w:rsidR="00F56A4B" w:rsidRPr="00B06723" w:rsidRDefault="00F56A4B" w:rsidP="006D6952">
      <w:pPr>
        <w:pStyle w:val="Body"/>
        <w:spacing w:after="0"/>
      </w:pPr>
      <w:r w:rsidRPr="00B06723">
        <w:t xml:space="preserve">Kim, J., Cho, S., Park, Y., Lee, J., &amp; Park, J. (2021). Evaluation of micro-RNA in extracellular vesicles from blood of patients with prostate cancer. </w:t>
      </w:r>
      <w:proofErr w:type="spellStart"/>
      <w:r w:rsidRPr="00B06723">
        <w:t>PloS</w:t>
      </w:r>
      <w:proofErr w:type="spellEnd"/>
      <w:r w:rsidRPr="00B06723">
        <w:t xml:space="preserve"> One, 16(12), e0262017. </w:t>
      </w:r>
      <w:hyperlink r:id="rId79" w:history="1">
        <w:r w:rsidR="006D6952" w:rsidRPr="00B06723">
          <w:rPr>
            <w:rStyle w:val="Hyperlink"/>
          </w:rPr>
          <w:t>https://doi.org/10.1371/journal.pone.0262017</w:t>
        </w:r>
      </w:hyperlink>
    </w:p>
    <w:p w14:paraId="71811731" w14:textId="77777777" w:rsidR="006D6952" w:rsidRPr="00B06723" w:rsidRDefault="006D6952" w:rsidP="006D6952">
      <w:pPr>
        <w:pStyle w:val="Body"/>
        <w:spacing w:after="0"/>
      </w:pPr>
    </w:p>
    <w:p w14:paraId="24F7A2D7" w14:textId="1FF0E6BE" w:rsidR="00F56A4B" w:rsidRPr="00B06723" w:rsidRDefault="00F56A4B" w:rsidP="006D6952">
      <w:pPr>
        <w:pStyle w:val="Body"/>
        <w:spacing w:after="0"/>
      </w:pPr>
      <w:r w:rsidRPr="00B06723">
        <w:t xml:space="preserve">Kotb, S., </w:t>
      </w:r>
      <w:proofErr w:type="spellStart"/>
      <w:r w:rsidRPr="00B06723">
        <w:t>Mosharafa</w:t>
      </w:r>
      <w:proofErr w:type="spellEnd"/>
      <w:r w:rsidRPr="00B06723">
        <w:t xml:space="preserve">, A., Essawi, M., Hassan, H., </w:t>
      </w:r>
      <w:proofErr w:type="spellStart"/>
      <w:r w:rsidRPr="00B06723">
        <w:t>Meshref</w:t>
      </w:r>
      <w:proofErr w:type="spellEnd"/>
      <w:r w:rsidRPr="00B06723">
        <w:t xml:space="preserve">, A., &amp; Morsy, A. (2014). Circulating miRNAs 21 and 221 as biomarkers for early diagnosis of prostate cancer. </w:t>
      </w:r>
      <w:proofErr w:type="spellStart"/>
      <w:r w:rsidRPr="00B06723">
        <w:t>Tumour</w:t>
      </w:r>
      <w:proofErr w:type="spellEnd"/>
      <w:r w:rsidRPr="00B06723">
        <w:t xml:space="preserve"> Biology: The Journal of the International Society for </w:t>
      </w:r>
      <w:proofErr w:type="spellStart"/>
      <w:r w:rsidRPr="00B06723">
        <w:t>Oncodevelopmental</w:t>
      </w:r>
      <w:proofErr w:type="spellEnd"/>
      <w:r w:rsidRPr="00B06723">
        <w:t xml:space="preserve"> Biology and Medicine, 35(12), 12613–12617. </w:t>
      </w:r>
      <w:hyperlink r:id="rId80" w:history="1">
        <w:r w:rsidR="006D6952" w:rsidRPr="00B06723">
          <w:rPr>
            <w:rStyle w:val="Hyperlink"/>
          </w:rPr>
          <w:t>https://doi.org/10.1007/s13277-014-2584-7</w:t>
        </w:r>
      </w:hyperlink>
    </w:p>
    <w:p w14:paraId="1322D19C" w14:textId="77777777" w:rsidR="006D6952" w:rsidRPr="00B06723" w:rsidRDefault="006D6952" w:rsidP="006D6952">
      <w:pPr>
        <w:pStyle w:val="Body"/>
        <w:spacing w:after="0"/>
      </w:pPr>
    </w:p>
    <w:p w14:paraId="4B2ED132" w14:textId="497EC6CA" w:rsidR="00F56A4B" w:rsidRPr="00B06723" w:rsidRDefault="00F56A4B" w:rsidP="006D6952">
      <w:pPr>
        <w:pStyle w:val="Body"/>
        <w:spacing w:after="0"/>
      </w:pPr>
      <w:r w:rsidRPr="00B06723">
        <w:t xml:space="preserve">Li, Z., Li, L.-X., Diao, Y.-J., Wang, J., Ye, Y., &amp; Hao, X.-K. (2021). Identification of Urinary </w:t>
      </w:r>
      <w:proofErr w:type="spellStart"/>
      <w:r w:rsidRPr="00B06723">
        <w:t>Exosomal</w:t>
      </w:r>
      <w:proofErr w:type="spellEnd"/>
      <w:r w:rsidRPr="00B06723">
        <w:t xml:space="preserve"> miRNAs for the Non-Invasive Diagnosis of Prostate Cancer. Cancer Management and Research, 13, 25–35. </w:t>
      </w:r>
      <w:hyperlink r:id="rId81" w:history="1">
        <w:r w:rsidR="006D6952" w:rsidRPr="00B06723">
          <w:rPr>
            <w:rStyle w:val="Hyperlink"/>
          </w:rPr>
          <w:t>https://doi.org/10.2147/CMAR.S272140</w:t>
        </w:r>
      </w:hyperlink>
    </w:p>
    <w:p w14:paraId="25BE0877" w14:textId="77777777" w:rsidR="006D6952" w:rsidRPr="00B06723" w:rsidRDefault="006D6952" w:rsidP="006D6952">
      <w:pPr>
        <w:pStyle w:val="Body"/>
        <w:spacing w:after="0"/>
      </w:pPr>
    </w:p>
    <w:p w14:paraId="5E1C42C1" w14:textId="199ACAC3" w:rsidR="00F56A4B" w:rsidRPr="00B06723" w:rsidRDefault="00F56A4B" w:rsidP="006D6952">
      <w:pPr>
        <w:pStyle w:val="Body"/>
        <w:spacing w:after="0"/>
      </w:pPr>
      <w:r w:rsidRPr="00B06723">
        <w:t xml:space="preserve">Li, Z., Ma, Y.-Y., Wang, J., Zeng, X.-F., Li, R., Kang, W., &amp; Hao, X.-K. (2016). </w:t>
      </w:r>
      <w:proofErr w:type="spellStart"/>
      <w:r w:rsidRPr="00B06723">
        <w:t>Exosomal</w:t>
      </w:r>
      <w:proofErr w:type="spellEnd"/>
      <w:r w:rsidRPr="00B06723">
        <w:t xml:space="preserve"> microRNA-141 is upregulated in the serum of prostate cancer patients. </w:t>
      </w:r>
      <w:proofErr w:type="spellStart"/>
      <w:r w:rsidRPr="00B06723">
        <w:t>OncoTargets</w:t>
      </w:r>
      <w:proofErr w:type="spellEnd"/>
      <w:r w:rsidRPr="00B06723">
        <w:t xml:space="preserve"> and Therapy, 9, 139–148. </w:t>
      </w:r>
      <w:hyperlink r:id="rId82" w:history="1">
        <w:r w:rsidR="006D6952" w:rsidRPr="00B06723">
          <w:rPr>
            <w:rStyle w:val="Hyperlink"/>
          </w:rPr>
          <w:t>https://doi.org/10.2147/OTT.S95565</w:t>
        </w:r>
      </w:hyperlink>
    </w:p>
    <w:p w14:paraId="64DA3A3E" w14:textId="77777777" w:rsidR="00ED14C3" w:rsidRPr="00B06723" w:rsidRDefault="00ED14C3" w:rsidP="006D6952">
      <w:pPr>
        <w:pStyle w:val="Body"/>
        <w:spacing w:after="0"/>
      </w:pPr>
    </w:p>
    <w:p w14:paraId="08FF1496" w14:textId="6384F87B" w:rsidR="006D6952" w:rsidRPr="00B06723" w:rsidRDefault="00781B85" w:rsidP="006D6952">
      <w:pPr>
        <w:pStyle w:val="Body"/>
        <w:spacing w:after="0"/>
      </w:pPr>
      <w:r w:rsidRPr="00B06723">
        <w:t>Li, Z., Zhang, H., Chen, Z., Wu, G., Guo, W., &amp; Li, Y. (2025). MicroRNA</w:t>
      </w:r>
      <w:r w:rsidRPr="00B06723">
        <w:rPr>
          <w:rFonts w:ascii="Cambria Math" w:hAnsi="Cambria Math" w:cs="Cambria Math"/>
        </w:rPr>
        <w:t>‑</w:t>
      </w:r>
      <w:r w:rsidRPr="00B06723">
        <w:t>21: A potential therapeutic target in lung cancer (Review). International Journal of Oncology, 67(2), 1</w:t>
      </w:r>
      <w:r w:rsidRPr="00B06723">
        <w:rPr>
          <w:rFonts w:cs="Helvetica"/>
        </w:rPr>
        <w:t>–</w:t>
      </w:r>
      <w:r w:rsidRPr="00B06723">
        <w:t xml:space="preserve">16. </w:t>
      </w:r>
      <w:hyperlink r:id="rId83" w:history="1">
        <w:r w:rsidRPr="00B06723">
          <w:rPr>
            <w:rStyle w:val="Hyperlink"/>
          </w:rPr>
          <w:t>https://doi.org/10.3892/ijo.2025.5773</w:t>
        </w:r>
      </w:hyperlink>
    </w:p>
    <w:p w14:paraId="201D9198" w14:textId="77777777" w:rsidR="00781B85" w:rsidRPr="00B06723" w:rsidRDefault="00781B85" w:rsidP="006D6952">
      <w:pPr>
        <w:pStyle w:val="Body"/>
        <w:spacing w:after="0"/>
      </w:pPr>
    </w:p>
    <w:p w14:paraId="7D39CCE9" w14:textId="4BC73F36" w:rsidR="00F56A4B" w:rsidRPr="00B06723" w:rsidRDefault="00F56A4B" w:rsidP="006D6952">
      <w:pPr>
        <w:pStyle w:val="Body"/>
        <w:spacing w:after="0"/>
      </w:pPr>
      <w:r w:rsidRPr="00B06723">
        <w:lastRenderedPageBreak/>
        <w:t xml:space="preserve">Liu, X., Chen, X., Yu, X., Tao, Y., Bode, A. M., Dong, Z., </w:t>
      </w:r>
      <w:r w:rsidR="00CD592B" w:rsidRPr="00B06723">
        <w:t>et al.</w:t>
      </w:r>
      <w:r w:rsidRPr="00B06723">
        <w:t xml:space="preserve"> (2013). Regulation of microRNAs by epigenetics and their interplay involved in cancer. Journal of Experimental &amp; Clinical Cancer Research, 32(1), 96. </w:t>
      </w:r>
      <w:hyperlink r:id="rId84" w:history="1">
        <w:r w:rsidR="006D6952" w:rsidRPr="00B06723">
          <w:rPr>
            <w:rStyle w:val="Hyperlink"/>
          </w:rPr>
          <w:t>https://doi.org/10.1186/1756-9966-32-96</w:t>
        </w:r>
      </w:hyperlink>
    </w:p>
    <w:p w14:paraId="45120376" w14:textId="77777777" w:rsidR="006D6952" w:rsidRPr="00B06723" w:rsidRDefault="006D6952" w:rsidP="006D6952">
      <w:pPr>
        <w:pStyle w:val="Body"/>
        <w:spacing w:after="0"/>
      </w:pPr>
    </w:p>
    <w:p w14:paraId="2D770EF1" w14:textId="06551AD4" w:rsidR="00F56A4B" w:rsidRPr="00B06723" w:rsidRDefault="00F56A4B" w:rsidP="006D6952">
      <w:pPr>
        <w:pStyle w:val="Body"/>
        <w:spacing w:after="0"/>
      </w:pPr>
      <w:r w:rsidRPr="00B06723">
        <w:t xml:space="preserve">Lu, J., Getz, G., Miska, E. A., Alvarez-Saavedra, E., Lamb, J., Peck, D., </w:t>
      </w:r>
      <w:r w:rsidR="00CD592B" w:rsidRPr="00B06723">
        <w:t>et al.</w:t>
      </w:r>
      <w:r w:rsidRPr="00B06723">
        <w:t xml:space="preserve"> (2005). MicroRNA expression profiles classify human cancers. Nature, 435(7043), Article 7043. </w:t>
      </w:r>
      <w:hyperlink r:id="rId85" w:history="1">
        <w:r w:rsidR="006D6952" w:rsidRPr="00B06723">
          <w:rPr>
            <w:rStyle w:val="Hyperlink"/>
          </w:rPr>
          <w:t>https://doi.org/10.1038/nature03702</w:t>
        </w:r>
      </w:hyperlink>
    </w:p>
    <w:p w14:paraId="02ADF3A4" w14:textId="77777777" w:rsidR="006D6952" w:rsidRPr="00B06723" w:rsidRDefault="006D6952" w:rsidP="006D6952">
      <w:pPr>
        <w:pStyle w:val="Body"/>
        <w:spacing w:after="0"/>
      </w:pPr>
    </w:p>
    <w:p w14:paraId="4B84F69C" w14:textId="6FCF8DF4" w:rsidR="00F56A4B" w:rsidRPr="00B06723" w:rsidRDefault="00F56A4B" w:rsidP="006D6952">
      <w:pPr>
        <w:pStyle w:val="Body"/>
        <w:spacing w:after="0"/>
      </w:pPr>
      <w:r w:rsidRPr="00B06723">
        <w:t xml:space="preserve">Manoj, A., Ahmad, M. K., Prasad, G., Kumar, D., Mahdi, A. A., &amp; Kumar, M. (2023). Screening and validation of novel serum panel of microRNA in stratification of prostate cancer. Prostate International, 11(3), 150–158. Embase. </w:t>
      </w:r>
      <w:hyperlink r:id="rId86" w:history="1">
        <w:r w:rsidR="006D6952" w:rsidRPr="00B06723">
          <w:rPr>
            <w:rStyle w:val="Hyperlink"/>
          </w:rPr>
          <w:t>https://doi.org/10.1016/j.prnil.2023.06.002</w:t>
        </w:r>
      </w:hyperlink>
    </w:p>
    <w:p w14:paraId="160492A1" w14:textId="77777777" w:rsidR="006D6952" w:rsidRPr="00B06723" w:rsidRDefault="006D6952" w:rsidP="006D6952">
      <w:pPr>
        <w:pStyle w:val="Body"/>
        <w:spacing w:after="0"/>
      </w:pPr>
    </w:p>
    <w:p w14:paraId="46F5AE51" w14:textId="22D8D8ED" w:rsidR="00F56A4B" w:rsidRPr="00B06723" w:rsidRDefault="00F56A4B" w:rsidP="006D6952">
      <w:pPr>
        <w:pStyle w:val="Body"/>
        <w:spacing w:after="0"/>
      </w:pPr>
      <w:r w:rsidRPr="00B06723">
        <w:t xml:space="preserve">Merriel, S. W. D., Hetherington, L., </w:t>
      </w:r>
      <w:proofErr w:type="spellStart"/>
      <w:r w:rsidRPr="00B06723">
        <w:t>Seggie</w:t>
      </w:r>
      <w:proofErr w:type="spellEnd"/>
      <w:r w:rsidRPr="00B06723">
        <w:t xml:space="preserve">, A., Castle, J. T., Cross, W., </w:t>
      </w:r>
      <w:proofErr w:type="spellStart"/>
      <w:r w:rsidRPr="00B06723">
        <w:t>Roobol</w:t>
      </w:r>
      <w:proofErr w:type="spellEnd"/>
      <w:r w:rsidRPr="00B06723">
        <w:t xml:space="preserve">, M. J., </w:t>
      </w:r>
      <w:r w:rsidR="00CD592B" w:rsidRPr="00B06723">
        <w:t>et al.</w:t>
      </w:r>
      <w:r w:rsidRPr="00B06723">
        <w:t xml:space="preserve"> (2019). Best practice in active surveillance for men with prostate cancer: A Prostate Cancer UK consensus statement. </w:t>
      </w:r>
      <w:proofErr w:type="spellStart"/>
      <w:r w:rsidRPr="00B06723">
        <w:t>Bju</w:t>
      </w:r>
      <w:proofErr w:type="spellEnd"/>
      <w:r w:rsidRPr="00B06723">
        <w:t xml:space="preserve"> International, 124(1), 47–54. </w:t>
      </w:r>
      <w:hyperlink r:id="rId87" w:history="1">
        <w:r w:rsidR="006D6952" w:rsidRPr="00B06723">
          <w:rPr>
            <w:rStyle w:val="Hyperlink"/>
          </w:rPr>
          <w:t>https://doi.org/10.1111/bju.14707</w:t>
        </w:r>
      </w:hyperlink>
    </w:p>
    <w:p w14:paraId="2EEA3D54" w14:textId="77777777" w:rsidR="006D6952" w:rsidRPr="00B06723" w:rsidRDefault="006D6952" w:rsidP="006D6952">
      <w:pPr>
        <w:pStyle w:val="Body"/>
        <w:spacing w:after="0"/>
      </w:pPr>
    </w:p>
    <w:p w14:paraId="5A2D25A0" w14:textId="7E695D96" w:rsidR="00F56A4B" w:rsidRPr="00B06723" w:rsidRDefault="00F56A4B" w:rsidP="006D6952">
      <w:pPr>
        <w:pStyle w:val="Body"/>
        <w:spacing w:after="0"/>
      </w:pPr>
      <w:r w:rsidRPr="00B06723">
        <w:t>Mitchell, P. S., Parkin, R. K., Kroh, E. M., Fritz, B. R., Wyman, S. K., Pogosova-</w:t>
      </w:r>
      <w:r w:rsidR="00CD592B" w:rsidRPr="00B06723">
        <w:t>Agadjanyan, et al.</w:t>
      </w:r>
      <w:r w:rsidRPr="00B06723">
        <w:t xml:space="preserve"> (2008). Circulating microRNAs as stable blood-based markers for cancer detection. Proceedings of the National Academy of Sciences, 105(30), 10513–10518. </w:t>
      </w:r>
      <w:hyperlink r:id="rId88" w:history="1">
        <w:r w:rsidR="006D6952" w:rsidRPr="00B06723">
          <w:rPr>
            <w:rStyle w:val="Hyperlink"/>
          </w:rPr>
          <w:t>https://doi.org/10.1073/pnas.0804549105</w:t>
        </w:r>
      </w:hyperlink>
    </w:p>
    <w:p w14:paraId="6AE1C14E" w14:textId="77777777" w:rsidR="006D6952" w:rsidRPr="00B06723" w:rsidRDefault="006D6952" w:rsidP="006D6952">
      <w:pPr>
        <w:pStyle w:val="Body"/>
        <w:spacing w:after="0"/>
      </w:pPr>
    </w:p>
    <w:p w14:paraId="110960EA" w14:textId="67631938" w:rsidR="00F56A4B" w:rsidRPr="00B06723" w:rsidRDefault="00F56A4B" w:rsidP="006D6952">
      <w:pPr>
        <w:pStyle w:val="Body"/>
        <w:spacing w:after="0"/>
      </w:pPr>
      <w:r w:rsidRPr="00B06723">
        <w:t xml:space="preserve">Moldovan, L., Batte, K. E., </w:t>
      </w:r>
      <w:proofErr w:type="spellStart"/>
      <w:r w:rsidRPr="00B06723">
        <w:t>Trgovcich</w:t>
      </w:r>
      <w:proofErr w:type="spellEnd"/>
      <w:r w:rsidRPr="00B06723">
        <w:t xml:space="preserve">, J., Wisler, J., Marsh, C. B., &amp; Piper, M. (2014). Methodological challenges in utilizing miRNAs as circulating biomarkers. Journal of Cellular and Molecular Medicine, 18(3), 371–390. </w:t>
      </w:r>
      <w:hyperlink r:id="rId89" w:history="1">
        <w:r w:rsidR="006D6952" w:rsidRPr="00B06723">
          <w:rPr>
            <w:rStyle w:val="Hyperlink"/>
          </w:rPr>
          <w:t>https://doi.org/10.1111/jcmm.12236</w:t>
        </w:r>
      </w:hyperlink>
    </w:p>
    <w:p w14:paraId="2465CD7A" w14:textId="77777777" w:rsidR="006D6952" w:rsidRPr="00B06723" w:rsidRDefault="006D6952" w:rsidP="006D6952">
      <w:pPr>
        <w:pStyle w:val="Body"/>
        <w:spacing w:after="0"/>
      </w:pPr>
    </w:p>
    <w:p w14:paraId="2FD7B92A" w14:textId="23E986D1" w:rsidR="00F56A4B" w:rsidRPr="00B06723" w:rsidRDefault="00F56A4B" w:rsidP="006D6952">
      <w:pPr>
        <w:pStyle w:val="Body"/>
        <w:spacing w:after="0"/>
      </w:pPr>
      <w:proofErr w:type="spellStart"/>
      <w:r w:rsidRPr="00B06723">
        <w:t>Mowayeiz</w:t>
      </w:r>
      <w:proofErr w:type="spellEnd"/>
      <w:r w:rsidRPr="00B06723">
        <w:t>, K. J., Hasan, N. A., Hussein, A. G., Al-</w:t>
      </w:r>
      <w:proofErr w:type="spellStart"/>
      <w:r w:rsidRPr="00B06723">
        <w:t>Wasiti</w:t>
      </w:r>
      <w:proofErr w:type="spellEnd"/>
      <w:r w:rsidRPr="00B06723">
        <w:t xml:space="preserve">, E. A. R., &amp; Al-Nasiri, U. S. (2019). The Serum Micro RNA-375 utility to diagnosis of men with prostate cancer in Iraq. Indian Journal of Public Health Research and Development, 10(7), 1425–1430. Embase. </w:t>
      </w:r>
      <w:hyperlink r:id="rId90" w:history="1">
        <w:r w:rsidR="006D6952" w:rsidRPr="00B06723">
          <w:rPr>
            <w:rStyle w:val="Hyperlink"/>
          </w:rPr>
          <w:t>https://doi.org/10.5958/0976-5506.2019.01791.1</w:t>
        </w:r>
      </w:hyperlink>
    </w:p>
    <w:p w14:paraId="1351913D" w14:textId="77777777" w:rsidR="006D6952" w:rsidRPr="00B06723" w:rsidRDefault="006D6952" w:rsidP="006D6952">
      <w:pPr>
        <w:pStyle w:val="Body"/>
        <w:spacing w:after="0"/>
      </w:pPr>
    </w:p>
    <w:p w14:paraId="01E75707" w14:textId="17DA3629" w:rsidR="00F56A4B" w:rsidRPr="00B06723" w:rsidRDefault="00F56A4B" w:rsidP="006D6952">
      <w:pPr>
        <w:pStyle w:val="Body"/>
        <w:spacing w:after="0"/>
        <w:rPr>
          <w:lang w:val="fr-FR"/>
        </w:rPr>
      </w:pPr>
      <w:proofErr w:type="spellStart"/>
      <w:r w:rsidRPr="00B06723">
        <w:rPr>
          <w:lang w:val="fr-FR"/>
        </w:rPr>
        <w:t>Nitusca</w:t>
      </w:r>
      <w:proofErr w:type="spellEnd"/>
      <w:r w:rsidRPr="00B06723">
        <w:rPr>
          <w:lang w:val="fr-FR"/>
        </w:rPr>
        <w:t xml:space="preserve">, D., </w:t>
      </w:r>
      <w:proofErr w:type="spellStart"/>
      <w:r w:rsidRPr="00B06723">
        <w:rPr>
          <w:lang w:val="fr-FR"/>
        </w:rPr>
        <w:t>Marcu</w:t>
      </w:r>
      <w:proofErr w:type="spellEnd"/>
      <w:r w:rsidRPr="00B06723">
        <w:rPr>
          <w:lang w:val="fr-FR"/>
        </w:rPr>
        <w:t xml:space="preserve">, A., </w:t>
      </w:r>
      <w:proofErr w:type="spellStart"/>
      <w:r w:rsidRPr="00B06723">
        <w:rPr>
          <w:lang w:val="fr-FR"/>
        </w:rPr>
        <w:t>Seclaman</w:t>
      </w:r>
      <w:proofErr w:type="spellEnd"/>
      <w:r w:rsidRPr="00B06723">
        <w:rPr>
          <w:lang w:val="fr-FR"/>
        </w:rPr>
        <w:t xml:space="preserve">, E., </w:t>
      </w:r>
      <w:proofErr w:type="spellStart"/>
      <w:r w:rsidRPr="00B06723">
        <w:rPr>
          <w:lang w:val="fr-FR"/>
        </w:rPr>
        <w:t>Bardan</w:t>
      </w:r>
      <w:proofErr w:type="spellEnd"/>
      <w:r w:rsidRPr="00B06723">
        <w:rPr>
          <w:lang w:val="fr-FR"/>
        </w:rPr>
        <w:t xml:space="preserve">, R., </w:t>
      </w:r>
      <w:proofErr w:type="spellStart"/>
      <w:r w:rsidRPr="00B06723">
        <w:rPr>
          <w:lang w:val="fr-FR"/>
        </w:rPr>
        <w:t>Sirbu</w:t>
      </w:r>
      <w:proofErr w:type="spellEnd"/>
      <w:r w:rsidRPr="00B06723">
        <w:rPr>
          <w:lang w:val="fr-FR"/>
        </w:rPr>
        <w:t xml:space="preserve">, I. O., </w:t>
      </w:r>
      <w:proofErr w:type="spellStart"/>
      <w:r w:rsidRPr="00B06723">
        <w:rPr>
          <w:lang w:val="fr-FR"/>
        </w:rPr>
        <w:t>Balacescu</w:t>
      </w:r>
      <w:proofErr w:type="spellEnd"/>
      <w:r w:rsidRPr="00B06723">
        <w:rPr>
          <w:lang w:val="fr-FR"/>
        </w:rPr>
        <w:t xml:space="preserve">, O., </w:t>
      </w:r>
      <w:r w:rsidR="00CD592B" w:rsidRPr="00B06723">
        <w:rPr>
          <w:lang w:val="fr-FR"/>
        </w:rPr>
        <w:t xml:space="preserve">et al. </w:t>
      </w:r>
      <w:r w:rsidRPr="00B06723">
        <w:t xml:space="preserve">(2022a). Circulating microRNA-141 as a Biomarker for Prostate Cancer: A Systematic Review and Meta-Analysis. </w:t>
      </w:r>
      <w:r w:rsidRPr="00B06723">
        <w:rPr>
          <w:lang w:val="fr-FR"/>
        </w:rPr>
        <w:t xml:space="preserve">Timisoara Med, 2022(2), Article 2. </w:t>
      </w:r>
      <w:hyperlink r:id="rId91" w:history="1">
        <w:r w:rsidR="006D6952" w:rsidRPr="00B06723">
          <w:rPr>
            <w:rStyle w:val="Hyperlink"/>
            <w:lang w:val="fr-FR"/>
          </w:rPr>
          <w:t>https://doi.org/10.35995/tmj20220204</w:t>
        </w:r>
      </w:hyperlink>
    </w:p>
    <w:p w14:paraId="799CC763" w14:textId="77777777" w:rsidR="006D6952" w:rsidRPr="00B06723" w:rsidRDefault="006D6952" w:rsidP="006D6952">
      <w:pPr>
        <w:pStyle w:val="Body"/>
        <w:spacing w:after="0"/>
        <w:rPr>
          <w:lang w:val="fr-FR"/>
        </w:rPr>
      </w:pPr>
    </w:p>
    <w:p w14:paraId="2302680F" w14:textId="67454FC9" w:rsidR="00F56A4B" w:rsidRPr="00B06723" w:rsidRDefault="00F56A4B" w:rsidP="006D6952">
      <w:pPr>
        <w:pStyle w:val="Body"/>
        <w:spacing w:after="0"/>
        <w:rPr>
          <w:lang w:val="fr-FR"/>
        </w:rPr>
      </w:pPr>
      <w:proofErr w:type="spellStart"/>
      <w:r w:rsidRPr="00B06723">
        <w:rPr>
          <w:lang w:val="fr-FR"/>
        </w:rPr>
        <w:t>Nitusca</w:t>
      </w:r>
      <w:proofErr w:type="spellEnd"/>
      <w:r w:rsidRPr="00B06723">
        <w:rPr>
          <w:lang w:val="fr-FR"/>
        </w:rPr>
        <w:t xml:space="preserve">, D., </w:t>
      </w:r>
      <w:proofErr w:type="spellStart"/>
      <w:r w:rsidRPr="00B06723">
        <w:rPr>
          <w:lang w:val="fr-FR"/>
        </w:rPr>
        <w:t>Marcu</w:t>
      </w:r>
      <w:proofErr w:type="spellEnd"/>
      <w:r w:rsidRPr="00B06723">
        <w:rPr>
          <w:lang w:val="fr-FR"/>
        </w:rPr>
        <w:t xml:space="preserve">, A., </w:t>
      </w:r>
      <w:proofErr w:type="spellStart"/>
      <w:r w:rsidRPr="00B06723">
        <w:rPr>
          <w:lang w:val="fr-FR"/>
        </w:rPr>
        <w:t>Seclaman</w:t>
      </w:r>
      <w:proofErr w:type="spellEnd"/>
      <w:r w:rsidRPr="00B06723">
        <w:rPr>
          <w:lang w:val="fr-FR"/>
        </w:rPr>
        <w:t xml:space="preserve">, E., </w:t>
      </w:r>
      <w:proofErr w:type="spellStart"/>
      <w:r w:rsidRPr="00B06723">
        <w:rPr>
          <w:lang w:val="fr-FR"/>
        </w:rPr>
        <w:t>Bardan</w:t>
      </w:r>
      <w:proofErr w:type="spellEnd"/>
      <w:r w:rsidRPr="00B06723">
        <w:rPr>
          <w:lang w:val="fr-FR"/>
        </w:rPr>
        <w:t xml:space="preserve">, R., </w:t>
      </w:r>
      <w:proofErr w:type="spellStart"/>
      <w:r w:rsidRPr="00B06723">
        <w:rPr>
          <w:lang w:val="fr-FR"/>
        </w:rPr>
        <w:t>Sirbu</w:t>
      </w:r>
      <w:proofErr w:type="spellEnd"/>
      <w:r w:rsidRPr="00B06723">
        <w:rPr>
          <w:lang w:val="fr-FR"/>
        </w:rPr>
        <w:t xml:space="preserve">, I. O., </w:t>
      </w:r>
      <w:proofErr w:type="spellStart"/>
      <w:r w:rsidRPr="00B06723">
        <w:rPr>
          <w:lang w:val="fr-FR"/>
        </w:rPr>
        <w:t>Balacescu</w:t>
      </w:r>
      <w:proofErr w:type="spellEnd"/>
      <w:r w:rsidRPr="00B06723">
        <w:rPr>
          <w:lang w:val="fr-FR"/>
        </w:rPr>
        <w:t xml:space="preserve">, O., </w:t>
      </w:r>
      <w:r w:rsidR="00CD592B" w:rsidRPr="00B06723">
        <w:rPr>
          <w:lang w:val="fr-FR"/>
        </w:rPr>
        <w:t xml:space="preserve">et al. </w:t>
      </w:r>
      <w:r w:rsidRPr="00B06723">
        <w:t xml:space="preserve">(2022b). Diagnostic Value of microRNA-375 as Future Biomarker for Prostate Cancer Detection: A Meta-Analysis. </w:t>
      </w:r>
      <w:proofErr w:type="spellStart"/>
      <w:r w:rsidRPr="00B06723">
        <w:rPr>
          <w:lang w:val="fr-FR"/>
        </w:rPr>
        <w:t>Medicina</w:t>
      </w:r>
      <w:proofErr w:type="spellEnd"/>
      <w:r w:rsidRPr="00B06723">
        <w:rPr>
          <w:lang w:val="fr-FR"/>
        </w:rPr>
        <w:t xml:space="preserve">, 58(4), 529. </w:t>
      </w:r>
      <w:hyperlink r:id="rId92" w:history="1">
        <w:r w:rsidR="006D6952" w:rsidRPr="00B06723">
          <w:rPr>
            <w:rStyle w:val="Hyperlink"/>
            <w:lang w:val="fr-FR"/>
          </w:rPr>
          <w:t>https://doi.org/10.3390/medicina58040529</w:t>
        </w:r>
      </w:hyperlink>
    </w:p>
    <w:p w14:paraId="58BF6A1B" w14:textId="77777777" w:rsidR="006D6952" w:rsidRPr="00B06723" w:rsidRDefault="006D6952" w:rsidP="006D6952">
      <w:pPr>
        <w:pStyle w:val="Body"/>
        <w:spacing w:after="0"/>
        <w:rPr>
          <w:lang w:val="fr-FR"/>
        </w:rPr>
      </w:pPr>
    </w:p>
    <w:p w14:paraId="2E5EC9FD" w14:textId="2F3E98D8" w:rsidR="00F56A4B" w:rsidRPr="00B06723" w:rsidRDefault="00F56A4B" w:rsidP="006D6952">
      <w:pPr>
        <w:pStyle w:val="Body"/>
        <w:spacing w:after="0"/>
      </w:pPr>
      <w:proofErr w:type="spellStart"/>
      <w:r w:rsidRPr="00B06723">
        <w:rPr>
          <w:lang w:val="fr-FR"/>
        </w:rPr>
        <w:t>Nobrega</w:t>
      </w:r>
      <w:proofErr w:type="spellEnd"/>
      <w:r w:rsidRPr="00B06723">
        <w:rPr>
          <w:lang w:val="fr-FR"/>
        </w:rPr>
        <w:t xml:space="preserve">, M., Reis, M. B. dos, Souza, M. F. de, </w:t>
      </w:r>
      <w:proofErr w:type="spellStart"/>
      <w:r w:rsidRPr="00B06723">
        <w:rPr>
          <w:lang w:val="fr-FR"/>
        </w:rPr>
        <w:t>Furini</w:t>
      </w:r>
      <w:proofErr w:type="spellEnd"/>
      <w:r w:rsidRPr="00B06723">
        <w:rPr>
          <w:lang w:val="fr-FR"/>
        </w:rPr>
        <w:t xml:space="preserve">, H. H., Costa </w:t>
      </w:r>
      <w:proofErr w:type="spellStart"/>
      <w:r w:rsidRPr="00B06723">
        <w:rPr>
          <w:lang w:val="fr-FR"/>
        </w:rPr>
        <w:t>Brandão</w:t>
      </w:r>
      <w:proofErr w:type="spellEnd"/>
      <w:r w:rsidRPr="00B06723">
        <w:rPr>
          <w:lang w:val="fr-FR"/>
        </w:rPr>
        <w:t xml:space="preserve"> Berti, F., Souza, I. L. M., </w:t>
      </w:r>
      <w:r w:rsidR="006D6952" w:rsidRPr="00B06723">
        <w:rPr>
          <w:lang w:val="fr-FR"/>
        </w:rPr>
        <w:t>et al.</w:t>
      </w:r>
      <w:r w:rsidRPr="00B06723">
        <w:rPr>
          <w:lang w:val="fr-FR"/>
        </w:rPr>
        <w:t xml:space="preserve"> </w:t>
      </w:r>
      <w:r w:rsidRPr="00B06723">
        <w:t>(2025). Comparative analysis of extracellular vesicles miRNAs (EV-miRNAs) and cell-free microRNAs (</w:t>
      </w:r>
      <w:proofErr w:type="spellStart"/>
      <w:r w:rsidRPr="00B06723">
        <w:t>cf</w:t>
      </w:r>
      <w:proofErr w:type="spellEnd"/>
      <w:r w:rsidRPr="00B06723">
        <w:t xml:space="preserve">-miRNAs) reveals that EV-miRNAs are more promising as diagnostic and prognostic biomarkers for prostate cancer. Gene, 939, 149186. </w:t>
      </w:r>
      <w:hyperlink r:id="rId93" w:history="1">
        <w:r w:rsidR="006D6952" w:rsidRPr="00B06723">
          <w:rPr>
            <w:rStyle w:val="Hyperlink"/>
          </w:rPr>
          <w:t>https://doi.org/10.1016/j.gene.2024.149186</w:t>
        </w:r>
      </w:hyperlink>
    </w:p>
    <w:p w14:paraId="117ECA29" w14:textId="77777777" w:rsidR="006D6952" w:rsidRPr="00B06723" w:rsidRDefault="006D6952" w:rsidP="006D6952">
      <w:pPr>
        <w:pStyle w:val="Body"/>
        <w:spacing w:after="0"/>
      </w:pPr>
    </w:p>
    <w:p w14:paraId="0577C4C8" w14:textId="1DA57FA8" w:rsidR="00F56A4B" w:rsidRPr="00B06723" w:rsidRDefault="00F56A4B" w:rsidP="006D6952">
      <w:pPr>
        <w:pStyle w:val="Body"/>
        <w:spacing w:after="0"/>
      </w:pPr>
      <w:r w:rsidRPr="00B06723">
        <w:t xml:space="preserve">Nogueira, L., Corradi, R., &amp; Eastham, J. A. (2009). Prostatic specific antigen for prostate cancer detection. International </w:t>
      </w:r>
      <w:proofErr w:type="spellStart"/>
      <w:r w:rsidRPr="00B06723">
        <w:t>Braz</w:t>
      </w:r>
      <w:proofErr w:type="spellEnd"/>
      <w:r w:rsidRPr="00B06723">
        <w:t xml:space="preserve"> J </w:t>
      </w:r>
      <w:proofErr w:type="spellStart"/>
      <w:r w:rsidRPr="00B06723">
        <w:t>Urol</w:t>
      </w:r>
      <w:proofErr w:type="spellEnd"/>
      <w:r w:rsidRPr="00B06723">
        <w:t xml:space="preserve">: Official Journal of the Brazilian Society of Urology, 35(5), 521–529; discussion 530-532. </w:t>
      </w:r>
      <w:hyperlink r:id="rId94" w:history="1">
        <w:r w:rsidR="006D6952" w:rsidRPr="00B06723">
          <w:rPr>
            <w:rStyle w:val="Hyperlink"/>
          </w:rPr>
          <w:t>https://doi.org/10.1590/s1677-55382009000500003</w:t>
        </w:r>
      </w:hyperlink>
    </w:p>
    <w:p w14:paraId="7C182B35" w14:textId="77777777" w:rsidR="006D6952" w:rsidRPr="00B06723" w:rsidRDefault="006D6952" w:rsidP="006D6952">
      <w:pPr>
        <w:pStyle w:val="Body"/>
        <w:spacing w:after="0"/>
      </w:pPr>
    </w:p>
    <w:p w14:paraId="5EC4E646" w14:textId="16FC2376" w:rsidR="00F56A4B" w:rsidRPr="00B06723" w:rsidRDefault="00F56A4B" w:rsidP="006D6952">
      <w:pPr>
        <w:pStyle w:val="Body"/>
        <w:spacing w:after="0"/>
      </w:pPr>
      <w:r w:rsidRPr="00B06723">
        <w:t xml:space="preserve">Osipov, I. D., </w:t>
      </w:r>
      <w:proofErr w:type="spellStart"/>
      <w:r w:rsidRPr="00B06723">
        <w:t>Zaporozhchenko</w:t>
      </w:r>
      <w:proofErr w:type="spellEnd"/>
      <w:r w:rsidRPr="00B06723">
        <w:t xml:space="preserve">, I. A., Bondar, A. A., Zaripov, M. M., </w:t>
      </w:r>
      <w:proofErr w:type="spellStart"/>
      <w:r w:rsidRPr="00B06723">
        <w:t>Voytsitskiy</w:t>
      </w:r>
      <w:proofErr w:type="spellEnd"/>
      <w:r w:rsidRPr="00B06723">
        <w:t>, V. E., Vlassov</w:t>
      </w:r>
      <w:r w:rsidR="006D6952" w:rsidRPr="00B06723">
        <w:t>,</w:t>
      </w:r>
      <w:r w:rsidRPr="00B06723">
        <w:t xml:space="preserve"> V., </w:t>
      </w:r>
      <w:r w:rsidR="00CD592B" w:rsidRPr="00B06723">
        <w:t>et al.</w:t>
      </w:r>
      <w:r w:rsidRPr="00B06723">
        <w:t xml:space="preserve"> (2016). Cell-Free miRNA-141 and miRNA-205 as Prostate Cancer Biomarkers. Advances in Experimental Medicine and Biology, 924, 9–12. </w:t>
      </w:r>
      <w:hyperlink r:id="rId95" w:history="1">
        <w:r w:rsidR="006D6952" w:rsidRPr="00B06723">
          <w:rPr>
            <w:rStyle w:val="Hyperlink"/>
          </w:rPr>
          <w:t>https://doi.org/10.1007/978-3-319-42044-8_2</w:t>
        </w:r>
      </w:hyperlink>
    </w:p>
    <w:p w14:paraId="42C2FF6B" w14:textId="4E328007" w:rsidR="00F56A4B" w:rsidRPr="00B06723" w:rsidRDefault="00F56A4B" w:rsidP="006D6952">
      <w:pPr>
        <w:pStyle w:val="Body"/>
        <w:spacing w:after="0"/>
      </w:pPr>
      <w:r w:rsidRPr="00B06723">
        <w:lastRenderedPageBreak/>
        <w:t xml:space="preserve">Page, M. J., McKenzie, J. E., Bossuyt, P. M., Boutron, I., Hoffmann, T. C., Mulrow, C. D., </w:t>
      </w:r>
      <w:r w:rsidR="00CD592B" w:rsidRPr="00B06723">
        <w:t>et al.</w:t>
      </w:r>
      <w:r w:rsidRPr="00B06723">
        <w:t xml:space="preserve"> (2021). The PRISMA 2020 statement: An updated guideline for reporting systematic reviews. PLOS Medicine, 18(3), e1003583. </w:t>
      </w:r>
      <w:hyperlink r:id="rId96" w:history="1">
        <w:r w:rsidR="006D6952" w:rsidRPr="00B06723">
          <w:rPr>
            <w:rStyle w:val="Hyperlink"/>
          </w:rPr>
          <w:t>https://doi.org/10.1371/journal.pmed.1003583</w:t>
        </w:r>
      </w:hyperlink>
    </w:p>
    <w:p w14:paraId="4C9A073A" w14:textId="77777777" w:rsidR="006D6952" w:rsidRPr="00B06723" w:rsidRDefault="006D6952" w:rsidP="006D6952">
      <w:pPr>
        <w:pStyle w:val="Body"/>
        <w:spacing w:after="0"/>
      </w:pPr>
    </w:p>
    <w:p w14:paraId="4DCD8C9A" w14:textId="5E87CDEB" w:rsidR="00F56A4B" w:rsidRPr="00B06723" w:rsidRDefault="00F56A4B" w:rsidP="006D6952">
      <w:pPr>
        <w:pStyle w:val="Body"/>
        <w:spacing w:after="0"/>
      </w:pPr>
      <w:r w:rsidRPr="00B06723">
        <w:t xml:space="preserve">Poppel, H. V., Roobol, M. J., Chapple, C. R., Catto, J. W. F., </w:t>
      </w:r>
      <w:proofErr w:type="spellStart"/>
      <w:r w:rsidRPr="00B06723">
        <w:t>N’Dow</w:t>
      </w:r>
      <w:proofErr w:type="spellEnd"/>
      <w:r w:rsidRPr="00B06723">
        <w:t xml:space="preserve">, J., </w:t>
      </w:r>
      <w:proofErr w:type="spellStart"/>
      <w:r w:rsidRPr="00B06723">
        <w:t>Sønksen</w:t>
      </w:r>
      <w:proofErr w:type="spellEnd"/>
      <w:r w:rsidRPr="00B06723">
        <w:t xml:space="preserve">, J., </w:t>
      </w:r>
      <w:r w:rsidR="005A7FA1" w:rsidRPr="00B06723">
        <w:t xml:space="preserve">et al. </w:t>
      </w:r>
      <w:r w:rsidRPr="00B06723">
        <w:t xml:space="preserve">(2021). Prostate-specific Antigen Testing as Part of a Risk-Adapted Early Detection Strategy for Prostate Cancer: European Association of Urology Position and Recommendations for 2021. European Urology, 80(6), 703–711. </w:t>
      </w:r>
      <w:hyperlink r:id="rId97" w:history="1">
        <w:r w:rsidR="006D6952" w:rsidRPr="00B06723">
          <w:rPr>
            <w:rStyle w:val="Hyperlink"/>
          </w:rPr>
          <w:t>https://doi.org/10.1016/j.eururo.2021.07.024</w:t>
        </w:r>
      </w:hyperlink>
    </w:p>
    <w:p w14:paraId="5D473FA5" w14:textId="77777777" w:rsidR="006D6952" w:rsidRPr="00B06723" w:rsidRDefault="006D6952" w:rsidP="006D6952">
      <w:pPr>
        <w:pStyle w:val="Body"/>
        <w:spacing w:after="0"/>
      </w:pPr>
    </w:p>
    <w:p w14:paraId="6197DCE4" w14:textId="308D2C4B" w:rsidR="00F56A4B" w:rsidRPr="00B06723" w:rsidRDefault="00F56A4B" w:rsidP="006D6952">
      <w:pPr>
        <w:pStyle w:val="Body"/>
        <w:spacing w:after="0"/>
      </w:pPr>
      <w:r w:rsidRPr="00B06723">
        <w:t xml:space="preserve">Porzycki, P., Ciszkowicz, E., </w:t>
      </w:r>
      <w:proofErr w:type="spellStart"/>
      <w:r w:rsidRPr="00B06723">
        <w:t>Semik</w:t>
      </w:r>
      <w:proofErr w:type="spellEnd"/>
      <w:r w:rsidRPr="00B06723">
        <w:t xml:space="preserve">, M., &amp; Tyrka, M. (2018). Combination of three miRNA (miR-141, miR-21, and miR-375) as potential diagnostic tool for prostate cancer recognition. International Urology and Nephrology, 50(9), 1619–1626. </w:t>
      </w:r>
      <w:hyperlink r:id="rId98" w:history="1">
        <w:r w:rsidR="006D6952" w:rsidRPr="00B06723">
          <w:rPr>
            <w:rStyle w:val="Hyperlink"/>
          </w:rPr>
          <w:t>https://doi.org/10.1007/s11255-018-1938-2</w:t>
        </w:r>
      </w:hyperlink>
    </w:p>
    <w:p w14:paraId="44E67E8D" w14:textId="77777777" w:rsidR="006D6952" w:rsidRPr="00B06723" w:rsidRDefault="006D6952" w:rsidP="006D6952">
      <w:pPr>
        <w:pStyle w:val="Body"/>
        <w:spacing w:after="0"/>
      </w:pPr>
    </w:p>
    <w:p w14:paraId="1A01F4B7" w14:textId="52DA1C0E" w:rsidR="00F56A4B" w:rsidRPr="00B06723" w:rsidRDefault="00F56A4B" w:rsidP="006D6952">
      <w:pPr>
        <w:pStyle w:val="Body"/>
        <w:spacing w:after="0"/>
      </w:pPr>
      <w:r w:rsidRPr="00B06723">
        <w:t xml:space="preserve">Reitsma, J. B., Glas, A. S., </w:t>
      </w:r>
      <w:proofErr w:type="spellStart"/>
      <w:r w:rsidRPr="00B06723">
        <w:t>Rutjes</w:t>
      </w:r>
      <w:proofErr w:type="spellEnd"/>
      <w:r w:rsidRPr="00B06723">
        <w:t xml:space="preserve">, A. W. S., Scholten, R. J. P. M., Bossuyt, P. M., &amp; </w:t>
      </w:r>
      <w:proofErr w:type="spellStart"/>
      <w:r w:rsidRPr="00B06723">
        <w:t>Zwinderman</w:t>
      </w:r>
      <w:proofErr w:type="spellEnd"/>
      <w:r w:rsidRPr="00B06723">
        <w:t xml:space="preserve">, A. H. (2005). Bivariate analysis of sensitivity and specificity produces informative summary measures in diagnostic reviews. Journal of Clinical Epidemiology, 58(10), 982–990. </w:t>
      </w:r>
      <w:hyperlink r:id="rId99" w:history="1">
        <w:r w:rsidR="006D6952" w:rsidRPr="00B06723">
          <w:rPr>
            <w:rStyle w:val="Hyperlink"/>
          </w:rPr>
          <w:t>https://doi.org/10.1016/j.jclinepi.2005.02.022</w:t>
        </w:r>
      </w:hyperlink>
    </w:p>
    <w:p w14:paraId="5F96A75C" w14:textId="77777777" w:rsidR="006D6952" w:rsidRPr="00B06723" w:rsidRDefault="006D6952" w:rsidP="006D6952">
      <w:pPr>
        <w:pStyle w:val="Body"/>
        <w:spacing w:after="0"/>
      </w:pPr>
    </w:p>
    <w:p w14:paraId="5815DACF" w14:textId="4B8A72DA" w:rsidR="00F56A4B" w:rsidRPr="00B06723" w:rsidRDefault="00F56A4B" w:rsidP="006D6952">
      <w:pPr>
        <w:pStyle w:val="Body"/>
        <w:spacing w:after="0"/>
      </w:pPr>
      <w:proofErr w:type="spellStart"/>
      <w:r w:rsidRPr="00B06723">
        <w:t>RevMan</w:t>
      </w:r>
      <w:proofErr w:type="spellEnd"/>
      <w:r w:rsidRPr="00B06723">
        <w:t>.</w:t>
      </w:r>
      <w:r w:rsidR="00E84D7D" w:rsidRPr="00B06723">
        <w:t xml:space="preserve"> (2024).</w:t>
      </w:r>
      <w:r w:rsidRPr="00B06723">
        <w:t xml:space="preserve"> Review Manager Version 5.3. Copenhagen: The Nordic Cochrane Centre, The Cochrane Collaboration). Retrieved July 7, 2025, from </w:t>
      </w:r>
      <w:hyperlink r:id="rId100" w:history="1">
        <w:r w:rsidR="006D6952" w:rsidRPr="00B06723">
          <w:rPr>
            <w:rStyle w:val="Hyperlink"/>
          </w:rPr>
          <w:t>https://www.cochrane.org/authors/handbooks-and-manuals/style-manual/references/reference-types/software?utm_source=chatgpt.com</w:t>
        </w:r>
      </w:hyperlink>
    </w:p>
    <w:p w14:paraId="3D705A46" w14:textId="77777777" w:rsidR="006D6952" w:rsidRPr="00B06723" w:rsidRDefault="006D6952" w:rsidP="006D6952">
      <w:pPr>
        <w:pStyle w:val="Body"/>
        <w:spacing w:after="0"/>
      </w:pPr>
    </w:p>
    <w:p w14:paraId="5978183B" w14:textId="688023CF" w:rsidR="00F56A4B" w:rsidRPr="00B06723" w:rsidRDefault="00F56A4B" w:rsidP="006D6952">
      <w:pPr>
        <w:pStyle w:val="Body"/>
        <w:spacing w:after="0"/>
      </w:pPr>
      <w:r w:rsidRPr="00B06723">
        <w:t xml:space="preserve">Rosario, D. J., Lane, J. A., Metcalfe, C., Donovan, J. L., Doble, A., Goodwin, L., </w:t>
      </w:r>
      <w:r w:rsidR="005A7FA1" w:rsidRPr="00B06723">
        <w:t>et al.</w:t>
      </w:r>
      <w:r w:rsidRPr="00B06723">
        <w:t xml:space="preserve"> (2012). Short term outcomes of prostate biopsy in men tested for cancer by prostate specific antigen: Prospective evaluation within </w:t>
      </w:r>
      <w:proofErr w:type="spellStart"/>
      <w:r w:rsidRPr="00B06723">
        <w:t>ProtecT</w:t>
      </w:r>
      <w:proofErr w:type="spellEnd"/>
      <w:r w:rsidRPr="00B06723">
        <w:t xml:space="preserve"> study. The BMJ, 344, d7894. </w:t>
      </w:r>
      <w:hyperlink r:id="rId101" w:history="1">
        <w:r w:rsidR="006D6952" w:rsidRPr="00B06723">
          <w:rPr>
            <w:rStyle w:val="Hyperlink"/>
          </w:rPr>
          <w:t>https://doi.org/10.1136/bmj.d7894</w:t>
        </w:r>
      </w:hyperlink>
    </w:p>
    <w:p w14:paraId="6F14E25A" w14:textId="77777777" w:rsidR="006D6952" w:rsidRPr="00B06723" w:rsidRDefault="006D6952" w:rsidP="006D6952">
      <w:pPr>
        <w:pStyle w:val="Body"/>
        <w:spacing w:after="0"/>
      </w:pPr>
    </w:p>
    <w:p w14:paraId="6F4671E3" w14:textId="557D4C73" w:rsidR="00F56A4B" w:rsidRPr="00B06723" w:rsidRDefault="00F56A4B" w:rsidP="006D6952">
      <w:pPr>
        <w:pStyle w:val="Body"/>
        <w:spacing w:after="0"/>
      </w:pPr>
      <w:proofErr w:type="spellStart"/>
      <w:r w:rsidRPr="00B06723">
        <w:t>Stuopelyte</w:t>
      </w:r>
      <w:proofErr w:type="spellEnd"/>
      <w:r w:rsidRPr="00B06723">
        <w:t xml:space="preserve">, K., </w:t>
      </w:r>
      <w:proofErr w:type="spellStart"/>
      <w:r w:rsidRPr="00B06723">
        <w:t>Daniunaite</w:t>
      </w:r>
      <w:proofErr w:type="spellEnd"/>
      <w:r w:rsidRPr="00B06723">
        <w:t xml:space="preserve">, K., Bakavicius, A., </w:t>
      </w:r>
      <w:proofErr w:type="spellStart"/>
      <w:r w:rsidRPr="00B06723">
        <w:t>Lazutka</w:t>
      </w:r>
      <w:proofErr w:type="spellEnd"/>
      <w:r w:rsidRPr="00B06723">
        <w:t xml:space="preserve">, J. R., Jankevicius, F., &amp; </w:t>
      </w:r>
      <w:proofErr w:type="spellStart"/>
      <w:r w:rsidRPr="00B06723">
        <w:t>Jarmalaite</w:t>
      </w:r>
      <w:proofErr w:type="spellEnd"/>
      <w:r w:rsidRPr="00B06723">
        <w:t xml:space="preserve">, S. (2016). The utility of urine-circulating miRNAs for detection of prostate cancer. British Journal of Cancer, 115(6), 707–715. </w:t>
      </w:r>
      <w:hyperlink r:id="rId102" w:history="1">
        <w:r w:rsidR="006D6952" w:rsidRPr="00B06723">
          <w:rPr>
            <w:rStyle w:val="Hyperlink"/>
          </w:rPr>
          <w:t>https://doi.org/10.1038/bjc.2016.233</w:t>
        </w:r>
      </w:hyperlink>
    </w:p>
    <w:p w14:paraId="7EAF8116" w14:textId="77777777" w:rsidR="006D6952" w:rsidRPr="00B06723" w:rsidRDefault="006D6952" w:rsidP="006D6952">
      <w:pPr>
        <w:pStyle w:val="Body"/>
        <w:spacing w:after="0"/>
      </w:pPr>
    </w:p>
    <w:p w14:paraId="7C8C053A" w14:textId="44B9429C" w:rsidR="00F56A4B" w:rsidRPr="00B06723" w:rsidRDefault="00F56A4B" w:rsidP="006D6952">
      <w:pPr>
        <w:pStyle w:val="Body"/>
        <w:spacing w:after="0"/>
        <w:rPr>
          <w:lang w:val="fr-FR"/>
        </w:rPr>
      </w:pPr>
      <w:proofErr w:type="spellStart"/>
      <w:r w:rsidRPr="00B06723">
        <w:t>Stuopelytė</w:t>
      </w:r>
      <w:proofErr w:type="spellEnd"/>
      <w:r w:rsidRPr="00B06723">
        <w:t xml:space="preserve">, K., </w:t>
      </w:r>
      <w:proofErr w:type="spellStart"/>
      <w:r w:rsidRPr="00B06723">
        <w:t>Daniūnaitė</w:t>
      </w:r>
      <w:proofErr w:type="spellEnd"/>
      <w:r w:rsidRPr="00B06723">
        <w:t xml:space="preserve">, K., Jankevičius, F., &amp; </w:t>
      </w:r>
      <w:proofErr w:type="spellStart"/>
      <w:r w:rsidRPr="00B06723">
        <w:t>Jarmalaitė</w:t>
      </w:r>
      <w:proofErr w:type="spellEnd"/>
      <w:r w:rsidRPr="00B06723">
        <w:t xml:space="preserve">, S. (2016). Detection of miRNAs in urine of prostate cancer patients. Medicina (Kaunas, Lithuania), 52(2), 116–124. </w:t>
      </w:r>
      <w:hyperlink r:id="rId103" w:history="1">
        <w:r w:rsidR="006D6952" w:rsidRPr="00B06723">
          <w:rPr>
            <w:rStyle w:val="Hyperlink"/>
            <w:lang w:val="fr-FR"/>
          </w:rPr>
          <w:t>https://doi.org/10.1016/j.medici.2016.02.007</w:t>
        </w:r>
      </w:hyperlink>
    </w:p>
    <w:p w14:paraId="05DCADB1" w14:textId="77777777" w:rsidR="006D6952" w:rsidRPr="00B06723" w:rsidRDefault="006D6952" w:rsidP="006D6952">
      <w:pPr>
        <w:pStyle w:val="Body"/>
        <w:spacing w:after="0"/>
        <w:rPr>
          <w:lang w:val="fr-FR"/>
        </w:rPr>
      </w:pPr>
    </w:p>
    <w:p w14:paraId="22B17457" w14:textId="238C28D1" w:rsidR="00F56A4B" w:rsidRPr="00B06723" w:rsidRDefault="00F56A4B" w:rsidP="006D6952">
      <w:pPr>
        <w:pStyle w:val="Body"/>
        <w:spacing w:after="0"/>
      </w:pPr>
      <w:r w:rsidRPr="00B06723">
        <w:rPr>
          <w:lang w:val="fr-FR"/>
        </w:rPr>
        <w:t xml:space="preserve">Wei, J. T., </w:t>
      </w:r>
      <w:proofErr w:type="spellStart"/>
      <w:r w:rsidRPr="00B06723">
        <w:rPr>
          <w:lang w:val="fr-FR"/>
        </w:rPr>
        <w:t>Barocas</w:t>
      </w:r>
      <w:proofErr w:type="spellEnd"/>
      <w:r w:rsidRPr="00B06723">
        <w:rPr>
          <w:lang w:val="fr-FR"/>
        </w:rPr>
        <w:t xml:space="preserve">, D., Carlsson, S., </w:t>
      </w:r>
      <w:proofErr w:type="spellStart"/>
      <w:r w:rsidRPr="00B06723">
        <w:rPr>
          <w:lang w:val="fr-FR"/>
        </w:rPr>
        <w:t>Coakley</w:t>
      </w:r>
      <w:proofErr w:type="spellEnd"/>
      <w:r w:rsidRPr="00B06723">
        <w:rPr>
          <w:lang w:val="fr-FR"/>
        </w:rPr>
        <w:t xml:space="preserve">, F., </w:t>
      </w:r>
      <w:proofErr w:type="spellStart"/>
      <w:r w:rsidRPr="00B06723">
        <w:rPr>
          <w:lang w:val="fr-FR"/>
        </w:rPr>
        <w:t>Eggener</w:t>
      </w:r>
      <w:proofErr w:type="spellEnd"/>
      <w:r w:rsidRPr="00B06723">
        <w:rPr>
          <w:lang w:val="fr-FR"/>
        </w:rPr>
        <w:t xml:space="preserve">, S., </w:t>
      </w:r>
      <w:proofErr w:type="spellStart"/>
      <w:r w:rsidRPr="00B06723">
        <w:rPr>
          <w:lang w:val="fr-FR"/>
        </w:rPr>
        <w:t>Etzioni</w:t>
      </w:r>
      <w:proofErr w:type="spellEnd"/>
      <w:r w:rsidRPr="00B06723">
        <w:rPr>
          <w:lang w:val="fr-FR"/>
        </w:rPr>
        <w:t xml:space="preserve">, R., </w:t>
      </w:r>
      <w:r w:rsidR="005A7FA1" w:rsidRPr="00B06723">
        <w:rPr>
          <w:lang w:val="fr-FR"/>
        </w:rPr>
        <w:t>et al.</w:t>
      </w:r>
      <w:r w:rsidRPr="00B06723">
        <w:rPr>
          <w:lang w:val="fr-FR"/>
        </w:rPr>
        <w:t xml:space="preserve"> </w:t>
      </w:r>
      <w:r w:rsidRPr="00B06723">
        <w:t xml:space="preserve">(2023). Early Detection of Prostate Cancer: AUA/SUO Guideline Part I: Prostate Cancer Screening. The Journal of Urology, 210(1), 46–53. </w:t>
      </w:r>
      <w:hyperlink r:id="rId104" w:history="1">
        <w:r w:rsidR="006D6952" w:rsidRPr="00B06723">
          <w:rPr>
            <w:rStyle w:val="Hyperlink"/>
          </w:rPr>
          <w:t>https://doi.org/10.1097/JU.0000000000003491</w:t>
        </w:r>
      </w:hyperlink>
    </w:p>
    <w:p w14:paraId="716E9FEE" w14:textId="77777777" w:rsidR="006D6952" w:rsidRPr="00B06723" w:rsidRDefault="006D6952" w:rsidP="006D6952">
      <w:pPr>
        <w:pStyle w:val="Body"/>
        <w:spacing w:after="0"/>
      </w:pPr>
    </w:p>
    <w:p w14:paraId="0CC8E13C" w14:textId="5FCEC780" w:rsidR="00F56A4B" w:rsidRPr="00B06723" w:rsidRDefault="00F56A4B" w:rsidP="006D6952">
      <w:pPr>
        <w:pStyle w:val="Body"/>
        <w:spacing w:after="0"/>
      </w:pPr>
      <w:r w:rsidRPr="00B06723">
        <w:t xml:space="preserve">Whiting, P. F., </w:t>
      </w:r>
      <w:proofErr w:type="spellStart"/>
      <w:r w:rsidRPr="00B06723">
        <w:t>Rutjes</w:t>
      </w:r>
      <w:proofErr w:type="spellEnd"/>
      <w:r w:rsidRPr="00B06723">
        <w:t xml:space="preserve">, A. W. S., Westwood, M. E., Mallett, S., Deeks, J. J., Reitsma, J. B., Leeflang, M. M. G., </w:t>
      </w:r>
      <w:r w:rsidR="005A7FA1" w:rsidRPr="00B06723">
        <w:t>et al</w:t>
      </w:r>
      <w:r w:rsidRPr="00B06723">
        <w:t xml:space="preserve">. (2011). QUADAS-2: A revised tool for the quality assessment of diagnostic accuracy studies. Annals of Internal Medicine, 155(8), 529–536. </w:t>
      </w:r>
      <w:hyperlink r:id="rId105" w:history="1">
        <w:r w:rsidR="006D6952" w:rsidRPr="00B06723">
          <w:rPr>
            <w:rStyle w:val="Hyperlink"/>
          </w:rPr>
          <w:t>https://doi.org/10.7326/0003-4819-155-8-201110180-00009</w:t>
        </w:r>
      </w:hyperlink>
    </w:p>
    <w:p w14:paraId="6BC181A0" w14:textId="77777777" w:rsidR="006D6952" w:rsidRPr="00B06723" w:rsidRDefault="006D6952" w:rsidP="006D6952">
      <w:pPr>
        <w:pStyle w:val="Body"/>
        <w:spacing w:after="0"/>
      </w:pPr>
    </w:p>
    <w:p w14:paraId="1175740C" w14:textId="16755646" w:rsidR="00F56A4B" w:rsidRPr="00B06723" w:rsidRDefault="00F56A4B" w:rsidP="006D6952">
      <w:pPr>
        <w:pStyle w:val="Body"/>
        <w:spacing w:after="0"/>
      </w:pPr>
      <w:r w:rsidRPr="00B06723">
        <w:t xml:space="preserve">Yaman Agaoglu, F., </w:t>
      </w:r>
      <w:proofErr w:type="spellStart"/>
      <w:r w:rsidRPr="00B06723">
        <w:t>Kovancilar</w:t>
      </w:r>
      <w:proofErr w:type="spellEnd"/>
      <w:r w:rsidRPr="00B06723">
        <w:t xml:space="preserve">, M., Dizdar, Y., </w:t>
      </w:r>
      <w:proofErr w:type="spellStart"/>
      <w:r w:rsidRPr="00B06723">
        <w:t>Darendeliler</w:t>
      </w:r>
      <w:proofErr w:type="spellEnd"/>
      <w:r w:rsidRPr="00B06723">
        <w:t xml:space="preserve">, E., </w:t>
      </w:r>
      <w:proofErr w:type="spellStart"/>
      <w:r w:rsidRPr="00B06723">
        <w:t>Holdenrieder</w:t>
      </w:r>
      <w:proofErr w:type="spellEnd"/>
      <w:r w:rsidRPr="00B06723">
        <w:t xml:space="preserve">, S., Dalay, N., </w:t>
      </w:r>
      <w:r w:rsidR="005A7FA1" w:rsidRPr="00B06723">
        <w:t>et al.</w:t>
      </w:r>
      <w:r w:rsidRPr="00B06723">
        <w:t xml:space="preserve"> (2011). Investigation of miR-21, miR-141, and miR-221 in blood circulation of patients with prostate cancer. </w:t>
      </w:r>
      <w:proofErr w:type="spellStart"/>
      <w:r w:rsidRPr="00B06723">
        <w:t>Tumour</w:t>
      </w:r>
      <w:proofErr w:type="spellEnd"/>
      <w:r w:rsidRPr="00B06723">
        <w:t xml:space="preserve"> Biology: The Journal of the International Society for </w:t>
      </w:r>
      <w:proofErr w:type="spellStart"/>
      <w:r w:rsidRPr="00B06723">
        <w:t>Oncodevelopmental</w:t>
      </w:r>
      <w:proofErr w:type="spellEnd"/>
      <w:r w:rsidRPr="00B06723">
        <w:t xml:space="preserve"> Biology and Medicine, 32(3), 583–588. </w:t>
      </w:r>
      <w:hyperlink r:id="rId106" w:history="1">
        <w:r w:rsidR="006D6952" w:rsidRPr="00B06723">
          <w:rPr>
            <w:rStyle w:val="Hyperlink"/>
          </w:rPr>
          <w:t>https://doi.org/10.1007/s13277-011-0154-9</w:t>
        </w:r>
      </w:hyperlink>
    </w:p>
    <w:p w14:paraId="6175909B" w14:textId="77777777" w:rsidR="006D6952" w:rsidRPr="00B06723" w:rsidRDefault="006D6952" w:rsidP="006D6952">
      <w:pPr>
        <w:pStyle w:val="Body"/>
        <w:spacing w:after="0"/>
      </w:pPr>
    </w:p>
    <w:p w14:paraId="61F19B24" w14:textId="714D5517" w:rsidR="00F56A4B" w:rsidRPr="00B06723" w:rsidRDefault="00F56A4B" w:rsidP="006D6952">
      <w:pPr>
        <w:pStyle w:val="Body"/>
        <w:spacing w:after="0"/>
      </w:pPr>
      <w:r w:rsidRPr="00B06723">
        <w:t xml:space="preserve">Yang, B., Liu, Z., Ning, H., Zhang, K., Pan, D., Ding, K., </w:t>
      </w:r>
      <w:r w:rsidR="005A7FA1" w:rsidRPr="00B06723">
        <w:t>et al.</w:t>
      </w:r>
      <w:r w:rsidRPr="00B06723">
        <w:t xml:space="preserve"> (2016). MicroRNA-21 in peripheral blood mononuclear cells as a novel biomarker in the diagnosis and prognosis of </w:t>
      </w:r>
      <w:r w:rsidRPr="00B06723">
        <w:lastRenderedPageBreak/>
        <w:t xml:space="preserve">prostate cancer. Cancer Biomarkers: Section A of Disease Markers, 17(2), 223–230. </w:t>
      </w:r>
      <w:hyperlink r:id="rId107" w:history="1">
        <w:r w:rsidR="006D6952" w:rsidRPr="00B06723">
          <w:rPr>
            <w:rStyle w:val="Hyperlink"/>
          </w:rPr>
          <w:t>https://doi.org/10.3233/CBM-160634</w:t>
        </w:r>
      </w:hyperlink>
    </w:p>
    <w:p w14:paraId="6167CDC1" w14:textId="77777777" w:rsidR="006D6952" w:rsidRPr="00B06723" w:rsidRDefault="006D6952" w:rsidP="006D6952">
      <w:pPr>
        <w:pStyle w:val="Body"/>
        <w:spacing w:after="0"/>
      </w:pPr>
    </w:p>
    <w:p w14:paraId="0CD9A96B" w14:textId="2DB40C10" w:rsidR="00F56A4B" w:rsidRPr="00B06723" w:rsidRDefault="00F56A4B" w:rsidP="006D6952">
      <w:pPr>
        <w:pStyle w:val="Body"/>
        <w:spacing w:after="0"/>
      </w:pPr>
      <w:r w:rsidRPr="00B06723">
        <w:t xml:space="preserve">Ye, Y., Yuan, X.-H., Wang, J.-J., Wang, Y.-C., &amp; Li, S.-L. (2020). The diagnostic value of miRNA-141 in prostate cancer: A systematic review and PRISMA-compliant meta-analysis. Medicine, 99(22), e19993. </w:t>
      </w:r>
      <w:hyperlink r:id="rId108" w:history="1">
        <w:r w:rsidR="006D6952" w:rsidRPr="00B06723">
          <w:rPr>
            <w:rStyle w:val="Hyperlink"/>
          </w:rPr>
          <w:t>https://doi.org/10.1097/MD.0000000000019993</w:t>
        </w:r>
      </w:hyperlink>
    </w:p>
    <w:p w14:paraId="52756E9E" w14:textId="77777777" w:rsidR="006D6952" w:rsidRPr="00B06723" w:rsidRDefault="006D6952" w:rsidP="006D6952">
      <w:pPr>
        <w:pStyle w:val="Body"/>
        <w:spacing w:after="0"/>
      </w:pPr>
    </w:p>
    <w:p w14:paraId="15453295" w14:textId="3C9B7895" w:rsidR="00F56A4B" w:rsidRPr="00B06723" w:rsidRDefault="00F56A4B" w:rsidP="006D6952">
      <w:pPr>
        <w:pStyle w:val="Body"/>
        <w:spacing w:after="0"/>
      </w:pPr>
      <w:r w:rsidRPr="00B06723">
        <w:t xml:space="preserve">Yin, C., Fang, C., Weng, H., Yuan, C., &amp; Wang, F. (2016). Circulating microRNAs as novel biomarkers in the diagnosis of prostate cancer: A systematic review and meta-analysis. International Urology and Nephrology, 48(7), 1087–1095. </w:t>
      </w:r>
      <w:hyperlink r:id="rId109" w:history="1">
        <w:r w:rsidR="006D6952" w:rsidRPr="00B06723">
          <w:rPr>
            <w:rStyle w:val="Hyperlink"/>
          </w:rPr>
          <w:t>https://doi.org/10.1007/s11255-016-1281-4</w:t>
        </w:r>
      </w:hyperlink>
    </w:p>
    <w:p w14:paraId="1BCF1632" w14:textId="77777777" w:rsidR="006D6952" w:rsidRPr="00B06723" w:rsidRDefault="006D6952" w:rsidP="006D6952">
      <w:pPr>
        <w:pStyle w:val="Body"/>
        <w:spacing w:after="0"/>
      </w:pPr>
    </w:p>
    <w:p w14:paraId="1AB24743" w14:textId="28D4A9EE" w:rsidR="00F56A4B" w:rsidRPr="00B06723" w:rsidRDefault="00F56A4B" w:rsidP="006D6952">
      <w:pPr>
        <w:pStyle w:val="Body"/>
        <w:spacing w:after="0"/>
      </w:pPr>
      <w:r w:rsidRPr="00B06723">
        <w:t xml:space="preserve">Zabegina, L., Nazarova, I., Nikiforova, N., </w:t>
      </w:r>
      <w:proofErr w:type="spellStart"/>
      <w:r w:rsidRPr="00B06723">
        <w:t>Slyusarenko</w:t>
      </w:r>
      <w:proofErr w:type="spellEnd"/>
      <w:r w:rsidRPr="00B06723">
        <w:t xml:space="preserve">, M., </w:t>
      </w:r>
      <w:proofErr w:type="spellStart"/>
      <w:r w:rsidRPr="00B06723">
        <w:t>Sidina</w:t>
      </w:r>
      <w:proofErr w:type="spellEnd"/>
      <w:r w:rsidRPr="00B06723">
        <w:t xml:space="preserve">, E., Knyazeva, M., </w:t>
      </w:r>
      <w:r w:rsidR="005A7FA1" w:rsidRPr="00B06723">
        <w:t>et al.</w:t>
      </w:r>
      <w:r w:rsidRPr="00B06723">
        <w:t xml:space="preserve"> (2021). A New Approach for Prostate Cancer Diagnosis by miRNA Profiling of Prostate-Derived Plasma Small Extracellular Vesicles. Cells, 10(9), 2372. </w:t>
      </w:r>
      <w:hyperlink r:id="rId110" w:history="1">
        <w:r w:rsidR="006D6952" w:rsidRPr="00B06723">
          <w:rPr>
            <w:rStyle w:val="Hyperlink"/>
          </w:rPr>
          <w:t>https://doi.org/10.3390/cells10092372</w:t>
        </w:r>
      </w:hyperlink>
    </w:p>
    <w:p w14:paraId="295592EC" w14:textId="77777777" w:rsidR="006D6952" w:rsidRPr="00B06723" w:rsidRDefault="006D6952" w:rsidP="006D6952">
      <w:pPr>
        <w:pStyle w:val="Body"/>
        <w:spacing w:after="0"/>
      </w:pPr>
    </w:p>
    <w:p w14:paraId="1AE6FF30" w14:textId="47F424AD" w:rsidR="006D6952" w:rsidRPr="00B06723" w:rsidRDefault="00F56A4B" w:rsidP="006D6952">
      <w:pPr>
        <w:pStyle w:val="Body"/>
        <w:spacing w:after="0"/>
        <w:rPr>
          <w:lang w:val="fr-FR"/>
        </w:rPr>
      </w:pPr>
      <w:r w:rsidRPr="00B06723">
        <w:t xml:space="preserve">Zhang, W. T., Zhang, G. X., Zhao, R. Z., &amp; Gao, S. S. (2022). The potential diagnostic accuracy of circulating microRNAs for prostate cancer: A meta-analysis. </w:t>
      </w:r>
      <w:r w:rsidRPr="00B06723">
        <w:rPr>
          <w:lang w:val="fr-FR"/>
        </w:rPr>
        <w:t xml:space="preserve">Actas </w:t>
      </w:r>
      <w:proofErr w:type="spellStart"/>
      <w:r w:rsidRPr="00B06723">
        <w:rPr>
          <w:lang w:val="fr-FR"/>
        </w:rPr>
        <w:t>Urologicas</w:t>
      </w:r>
      <w:proofErr w:type="spellEnd"/>
      <w:r w:rsidRPr="00B06723">
        <w:rPr>
          <w:lang w:val="fr-FR"/>
        </w:rPr>
        <w:t xml:space="preserve"> </w:t>
      </w:r>
      <w:proofErr w:type="spellStart"/>
      <w:r w:rsidRPr="00B06723">
        <w:rPr>
          <w:lang w:val="fr-FR"/>
        </w:rPr>
        <w:t>Espanolas</w:t>
      </w:r>
      <w:proofErr w:type="spellEnd"/>
      <w:r w:rsidRPr="00B06723">
        <w:rPr>
          <w:lang w:val="fr-FR"/>
        </w:rPr>
        <w:t xml:space="preserve">, 46(3), 138–149. </w:t>
      </w:r>
      <w:hyperlink r:id="rId111" w:history="1">
        <w:r w:rsidR="006D6952" w:rsidRPr="00B06723">
          <w:rPr>
            <w:rStyle w:val="Hyperlink"/>
            <w:lang w:val="fr-FR"/>
          </w:rPr>
          <w:t>https://doi.org/10.1016/j.acuroe.2021.05.005</w:t>
        </w:r>
      </w:hyperlink>
      <w:r w:rsidR="006D6952" w:rsidRPr="00B06723">
        <w:rPr>
          <w:lang w:val="fr-FR"/>
        </w:rPr>
        <w:t>.</w:t>
      </w:r>
    </w:p>
    <w:p w14:paraId="6008CABF" w14:textId="77777777" w:rsidR="006D6952" w:rsidRPr="00B06723" w:rsidRDefault="006D6952" w:rsidP="006D6952">
      <w:pPr>
        <w:pStyle w:val="Body"/>
        <w:spacing w:after="0"/>
        <w:rPr>
          <w:lang w:val="fr-FR"/>
        </w:rPr>
      </w:pPr>
    </w:p>
    <w:p w14:paraId="5472EB83" w14:textId="6B344C61" w:rsidR="00F56A4B" w:rsidRDefault="00F56A4B" w:rsidP="006D6952">
      <w:pPr>
        <w:pStyle w:val="Body"/>
        <w:spacing w:after="0"/>
      </w:pPr>
      <w:r w:rsidRPr="00B06723">
        <w:rPr>
          <w:lang w:val="fr-FR"/>
        </w:rPr>
        <w:t xml:space="preserve">Zhou, H., &amp; Zhu, X. (2019). </w:t>
      </w:r>
      <w:r w:rsidRPr="00B06723">
        <w:t xml:space="preserve">MicroRNA-21 and microRNA-30c as diagnostic biomarkers for prostate cancer: A meta-analysis. Cancer Management and Research, 11, 2039–2050. </w:t>
      </w:r>
      <w:hyperlink r:id="rId112" w:history="1">
        <w:r w:rsidR="006D6952" w:rsidRPr="00B06723">
          <w:rPr>
            <w:rStyle w:val="Hyperlink"/>
          </w:rPr>
          <w:t>https://doi.org/10.2147/CMAR.S189026</w:t>
        </w:r>
      </w:hyperlink>
      <w:r w:rsidR="006D6952" w:rsidRPr="00B06723">
        <w:t>.</w:t>
      </w:r>
    </w:p>
    <w:p w14:paraId="6FE818F7" w14:textId="60AB7F2F" w:rsidR="00D31521" w:rsidRPr="00D31521" w:rsidRDefault="00D31521" w:rsidP="00D31521">
      <w:pPr>
        <w:sectPr w:rsidR="00D31521" w:rsidRPr="00D31521" w:rsidSect="00DA1151">
          <w:headerReference w:type="even" r:id="rId113"/>
          <w:headerReference w:type="default" r:id="rId114"/>
          <w:footerReference w:type="default" r:id="rId115"/>
          <w:headerReference w:type="first" r:id="rId116"/>
          <w:type w:val="continuous"/>
          <w:pgSz w:w="12240" w:h="15840"/>
          <w:pgMar w:top="1440" w:right="2016" w:bottom="1843" w:left="2016" w:header="720" w:footer="1123" w:gutter="0"/>
          <w:cols w:space="720"/>
          <w:docGrid w:linePitch="272"/>
        </w:sectPr>
      </w:pPr>
    </w:p>
    <w:p w14:paraId="3612B08B" w14:textId="757C3830" w:rsidR="00B01FCD" w:rsidRPr="005E119D" w:rsidRDefault="00B01FCD" w:rsidP="00441B6F">
      <w:pPr>
        <w:pStyle w:val="Appendix"/>
        <w:spacing w:after="0"/>
        <w:jc w:val="both"/>
        <w:rPr>
          <w:rFonts w:ascii="Arial" w:hAnsi="Arial" w:cs="Arial"/>
          <w:b w:val="0"/>
          <w:lang w:val="fr-FR"/>
        </w:rPr>
      </w:pPr>
    </w:p>
    <w:sectPr w:rsidR="00B01FCD" w:rsidRPr="005E119D" w:rsidSect="00DA1151">
      <w:headerReference w:type="even" r:id="rId117"/>
      <w:headerReference w:type="default" r:id="rId118"/>
      <w:headerReference w:type="first" r:id="rId1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AD02B" w14:textId="77777777" w:rsidR="00A0058F" w:rsidRDefault="00A0058F" w:rsidP="00C37E61">
      <w:r>
        <w:separator/>
      </w:r>
    </w:p>
  </w:endnote>
  <w:endnote w:type="continuationSeparator" w:id="0">
    <w:p w14:paraId="7B4AF7AF" w14:textId="77777777" w:rsidR="00A0058F" w:rsidRDefault="00A0058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C55C" w14:textId="77777777" w:rsidR="00CF6BCB" w:rsidRDefault="00CF6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BEBB" w14:textId="77777777" w:rsidR="00CF6BCB" w:rsidRPr="00C37E61" w:rsidRDefault="00CF6BCB"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7971" w14:textId="77777777" w:rsidR="00CF6BCB" w:rsidRDefault="00CF6B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637D" w14:textId="77777777" w:rsidR="00CF6BCB" w:rsidRPr="00C37E61" w:rsidRDefault="00CF6BC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B8A50" w14:textId="77777777" w:rsidR="00A0058F" w:rsidRDefault="00A0058F" w:rsidP="00C37E61">
      <w:r>
        <w:separator/>
      </w:r>
    </w:p>
  </w:footnote>
  <w:footnote w:type="continuationSeparator" w:id="0">
    <w:p w14:paraId="5AC3C8F0" w14:textId="77777777" w:rsidR="00A0058F" w:rsidRDefault="00A0058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B7F8A" w14:textId="063FD634" w:rsidR="00CF6BCB" w:rsidRDefault="00CF6BCB">
    <w:pPr>
      <w:pStyle w:val="Header"/>
    </w:pPr>
    <w:r>
      <w:rPr>
        <w:noProof/>
      </w:rPr>
      <w:pict w14:anchorId="58711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AF576" w14:textId="13F9CF7F" w:rsidR="00CF6BCB" w:rsidRDefault="00CF6BCB">
    <w:pPr>
      <w:pStyle w:val="Header"/>
    </w:pPr>
    <w:r>
      <w:rPr>
        <w:noProof/>
      </w:rPr>
      <w:pict w14:anchorId="345DF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1"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2EBA7" w14:textId="55EFA0A7" w:rsidR="00CF6BCB" w:rsidRDefault="00CF6BCB">
    <w:pPr>
      <w:pStyle w:val="Header"/>
    </w:pPr>
    <w:r>
      <w:rPr>
        <w:noProof/>
      </w:rPr>
      <w:pict w14:anchorId="4D627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2"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147A4" w14:textId="1D239031" w:rsidR="00CF6BCB" w:rsidRDefault="00CF6BCB">
    <w:pPr>
      <w:pStyle w:val="Header"/>
    </w:pPr>
    <w:r>
      <w:rPr>
        <w:noProof/>
      </w:rPr>
      <w:pict w14:anchorId="7F132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0"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DBCC" w14:textId="4CF5481E" w:rsidR="00CF6BCB" w:rsidRDefault="00CF6BCB">
    <w:pPr>
      <w:pStyle w:val="Header"/>
    </w:pPr>
    <w:r>
      <w:rPr>
        <w:noProof/>
      </w:rPr>
      <w:pict w14:anchorId="78115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545A4" w14:textId="3F161772" w:rsidR="00CF6BCB" w:rsidRDefault="00CF6BCB">
    <w:pPr>
      <w:pStyle w:val="Header"/>
    </w:pPr>
    <w:r>
      <w:rPr>
        <w:noProof/>
      </w:rPr>
      <w:pict w14:anchorId="15642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25C3C" w14:textId="52D4111E" w:rsidR="00CF6BCB" w:rsidRDefault="00CF6BCB">
    <w:pPr>
      <w:pStyle w:val="Header"/>
    </w:pPr>
    <w:r>
      <w:rPr>
        <w:noProof/>
      </w:rPr>
      <w:pict w14:anchorId="1DBC1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3116" w14:textId="3C6E4675" w:rsidR="00CF6BCB" w:rsidRDefault="00CF6BCB">
    <w:pPr>
      <w:pStyle w:val="Header"/>
    </w:pPr>
    <w:r>
      <w:rPr>
        <w:noProof/>
      </w:rPr>
      <w:pict w14:anchorId="3F3A5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6413" w14:textId="1770D96F" w:rsidR="00CF6BCB" w:rsidRDefault="00CF6BCB">
    <w:pPr>
      <w:pStyle w:val="Header"/>
    </w:pPr>
    <w:r>
      <w:rPr>
        <w:noProof/>
      </w:rPr>
      <w:pict w14:anchorId="56124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3ABC4" w14:textId="46961D2A" w:rsidR="00CF6BCB" w:rsidRDefault="00CF6BCB">
    <w:pPr>
      <w:pStyle w:val="Header"/>
    </w:pPr>
    <w:r>
      <w:rPr>
        <w:noProof/>
      </w:rPr>
      <w:pict w14:anchorId="6FCA7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8"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4BF8E" w14:textId="0E011C74" w:rsidR="00CF6BCB" w:rsidRDefault="00CF6BCB">
    <w:pPr>
      <w:pStyle w:val="Header"/>
    </w:pPr>
    <w:r>
      <w:rPr>
        <w:noProof/>
      </w:rPr>
      <w:pict w14:anchorId="2D1EB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9"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D925" w14:textId="76A1D370" w:rsidR="00CF6BCB" w:rsidRDefault="00CF6BCB">
    <w:pPr>
      <w:pStyle w:val="Header"/>
    </w:pPr>
    <w:r>
      <w:rPr>
        <w:noProof/>
      </w:rPr>
      <w:pict w14:anchorId="73614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7"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5F02"/>
    <w:multiLevelType w:val="hybridMultilevel"/>
    <w:tmpl w:val="9BCC5EE6"/>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1DC003E4"/>
    <w:multiLevelType w:val="hybridMultilevel"/>
    <w:tmpl w:val="E63C1D28"/>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3DD25190"/>
    <w:multiLevelType w:val="hybridMultilevel"/>
    <w:tmpl w:val="2126F85C"/>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41385370"/>
    <w:multiLevelType w:val="multilevel"/>
    <w:tmpl w:val="8AB6CA3C"/>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917AB9"/>
    <w:multiLevelType w:val="hybridMultilevel"/>
    <w:tmpl w:val="6570D344"/>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5"/>
  </w:num>
  <w:num w:numId="2">
    <w:abstractNumId w:val="4"/>
  </w:num>
  <w:num w:numId="3">
    <w:abstractNumId w:val="2"/>
  </w:num>
  <w:num w:numId="4">
    <w:abstractNumId w:val="0"/>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CAC"/>
    <w:rsid w:val="0000574D"/>
    <w:rsid w:val="00030174"/>
    <w:rsid w:val="0004579C"/>
    <w:rsid w:val="00067738"/>
    <w:rsid w:val="000A33EA"/>
    <w:rsid w:val="000A47FA"/>
    <w:rsid w:val="000A65D3"/>
    <w:rsid w:val="000B1E33"/>
    <w:rsid w:val="000C62B3"/>
    <w:rsid w:val="000D689F"/>
    <w:rsid w:val="000E47FB"/>
    <w:rsid w:val="000E5932"/>
    <w:rsid w:val="000E6AD7"/>
    <w:rsid w:val="000E7B7B"/>
    <w:rsid w:val="000E7D62"/>
    <w:rsid w:val="00102C22"/>
    <w:rsid w:val="00103357"/>
    <w:rsid w:val="001058A7"/>
    <w:rsid w:val="00122785"/>
    <w:rsid w:val="00123C9F"/>
    <w:rsid w:val="00126190"/>
    <w:rsid w:val="00130F17"/>
    <w:rsid w:val="001320BF"/>
    <w:rsid w:val="00163BC4"/>
    <w:rsid w:val="001829B7"/>
    <w:rsid w:val="00191062"/>
    <w:rsid w:val="00192B72"/>
    <w:rsid w:val="001960A1"/>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2583"/>
    <w:rsid w:val="002556F6"/>
    <w:rsid w:val="00283105"/>
    <w:rsid w:val="00284C4C"/>
    <w:rsid w:val="00287E68"/>
    <w:rsid w:val="00296529"/>
    <w:rsid w:val="002B27FB"/>
    <w:rsid w:val="002B685A"/>
    <w:rsid w:val="002C57D2"/>
    <w:rsid w:val="002E0D56"/>
    <w:rsid w:val="002F45CA"/>
    <w:rsid w:val="00312231"/>
    <w:rsid w:val="00315186"/>
    <w:rsid w:val="0033343E"/>
    <w:rsid w:val="003512C2"/>
    <w:rsid w:val="00371FB6"/>
    <w:rsid w:val="003763C1"/>
    <w:rsid w:val="00376BBE"/>
    <w:rsid w:val="0039224F"/>
    <w:rsid w:val="003A43A4"/>
    <w:rsid w:val="003A7E18"/>
    <w:rsid w:val="003C4C86"/>
    <w:rsid w:val="003C6258"/>
    <w:rsid w:val="003E2904"/>
    <w:rsid w:val="00401927"/>
    <w:rsid w:val="004051DD"/>
    <w:rsid w:val="00406B0B"/>
    <w:rsid w:val="0041027F"/>
    <w:rsid w:val="00410922"/>
    <w:rsid w:val="00412475"/>
    <w:rsid w:val="00421B97"/>
    <w:rsid w:val="00423789"/>
    <w:rsid w:val="00440F43"/>
    <w:rsid w:val="00441B6F"/>
    <w:rsid w:val="00446221"/>
    <w:rsid w:val="00450E62"/>
    <w:rsid w:val="004539DB"/>
    <w:rsid w:val="004707BC"/>
    <w:rsid w:val="00471A80"/>
    <w:rsid w:val="004A428E"/>
    <w:rsid w:val="004D305E"/>
    <w:rsid w:val="004D4277"/>
    <w:rsid w:val="004D4729"/>
    <w:rsid w:val="004D593F"/>
    <w:rsid w:val="004E216A"/>
    <w:rsid w:val="005004F0"/>
    <w:rsid w:val="00502516"/>
    <w:rsid w:val="00505F06"/>
    <w:rsid w:val="00506828"/>
    <w:rsid w:val="00510C3B"/>
    <w:rsid w:val="0053009B"/>
    <w:rsid w:val="0053056E"/>
    <w:rsid w:val="00554FDA"/>
    <w:rsid w:val="005715ED"/>
    <w:rsid w:val="005A74DF"/>
    <w:rsid w:val="005A7FA1"/>
    <w:rsid w:val="005C784C"/>
    <w:rsid w:val="005D17F6"/>
    <w:rsid w:val="005E119D"/>
    <w:rsid w:val="005E5539"/>
    <w:rsid w:val="005F2586"/>
    <w:rsid w:val="00602BF5"/>
    <w:rsid w:val="00607B6A"/>
    <w:rsid w:val="00617FDD"/>
    <w:rsid w:val="00633614"/>
    <w:rsid w:val="00633F68"/>
    <w:rsid w:val="00636EB2"/>
    <w:rsid w:val="006375B8"/>
    <w:rsid w:val="00647EC3"/>
    <w:rsid w:val="006537AE"/>
    <w:rsid w:val="0066510A"/>
    <w:rsid w:val="00671876"/>
    <w:rsid w:val="00673F9F"/>
    <w:rsid w:val="00686953"/>
    <w:rsid w:val="00687DEA"/>
    <w:rsid w:val="00687E67"/>
    <w:rsid w:val="006967F7"/>
    <w:rsid w:val="006A250C"/>
    <w:rsid w:val="006A4312"/>
    <w:rsid w:val="006B21D3"/>
    <w:rsid w:val="006B57D0"/>
    <w:rsid w:val="006D30FF"/>
    <w:rsid w:val="006D6940"/>
    <w:rsid w:val="006D6952"/>
    <w:rsid w:val="006D7CAE"/>
    <w:rsid w:val="006E079D"/>
    <w:rsid w:val="006F11EC"/>
    <w:rsid w:val="0070082C"/>
    <w:rsid w:val="007369E6"/>
    <w:rsid w:val="00746E59"/>
    <w:rsid w:val="00754C9A"/>
    <w:rsid w:val="0075599A"/>
    <w:rsid w:val="00761D52"/>
    <w:rsid w:val="0077749E"/>
    <w:rsid w:val="00781B85"/>
    <w:rsid w:val="00790ADA"/>
    <w:rsid w:val="00797A6E"/>
    <w:rsid w:val="007D2288"/>
    <w:rsid w:val="007E088F"/>
    <w:rsid w:val="007F7B32"/>
    <w:rsid w:val="00804BC2"/>
    <w:rsid w:val="0081431A"/>
    <w:rsid w:val="00827094"/>
    <w:rsid w:val="0083216F"/>
    <w:rsid w:val="00860000"/>
    <w:rsid w:val="00863BD3"/>
    <w:rsid w:val="008641ED"/>
    <w:rsid w:val="008667F4"/>
    <w:rsid w:val="00866D66"/>
    <w:rsid w:val="008671C6"/>
    <w:rsid w:val="00875803"/>
    <w:rsid w:val="008B459E"/>
    <w:rsid w:val="008C59AD"/>
    <w:rsid w:val="008D247F"/>
    <w:rsid w:val="008E13AE"/>
    <w:rsid w:val="008E1506"/>
    <w:rsid w:val="008E710C"/>
    <w:rsid w:val="008F5B7F"/>
    <w:rsid w:val="008F69D6"/>
    <w:rsid w:val="009001FB"/>
    <w:rsid w:val="00902823"/>
    <w:rsid w:val="00915CA6"/>
    <w:rsid w:val="00927834"/>
    <w:rsid w:val="009500A6"/>
    <w:rsid w:val="00957C18"/>
    <w:rsid w:val="009659BA"/>
    <w:rsid w:val="00965E44"/>
    <w:rsid w:val="00983040"/>
    <w:rsid w:val="00993AFD"/>
    <w:rsid w:val="009B2787"/>
    <w:rsid w:val="009B3FB9"/>
    <w:rsid w:val="009C035F"/>
    <w:rsid w:val="009C2465"/>
    <w:rsid w:val="009D1126"/>
    <w:rsid w:val="009D35A0"/>
    <w:rsid w:val="009D7EB7"/>
    <w:rsid w:val="009E048A"/>
    <w:rsid w:val="009E08E9"/>
    <w:rsid w:val="009E3DB9"/>
    <w:rsid w:val="009E6E35"/>
    <w:rsid w:val="009F0EDA"/>
    <w:rsid w:val="00A0058F"/>
    <w:rsid w:val="00A00A98"/>
    <w:rsid w:val="00A01954"/>
    <w:rsid w:val="00A03B96"/>
    <w:rsid w:val="00A05B19"/>
    <w:rsid w:val="00A1134E"/>
    <w:rsid w:val="00A24E7E"/>
    <w:rsid w:val="00A258C3"/>
    <w:rsid w:val="00A3404A"/>
    <w:rsid w:val="00A347C0"/>
    <w:rsid w:val="00A45E1B"/>
    <w:rsid w:val="00A51431"/>
    <w:rsid w:val="00A539AD"/>
    <w:rsid w:val="00A94063"/>
    <w:rsid w:val="00AA6219"/>
    <w:rsid w:val="00AA74E0"/>
    <w:rsid w:val="00AB703F"/>
    <w:rsid w:val="00AC6BB8"/>
    <w:rsid w:val="00AD67AC"/>
    <w:rsid w:val="00AE008F"/>
    <w:rsid w:val="00AE19FB"/>
    <w:rsid w:val="00B00B61"/>
    <w:rsid w:val="00B01FCD"/>
    <w:rsid w:val="00B06723"/>
    <w:rsid w:val="00B1776C"/>
    <w:rsid w:val="00B52583"/>
    <w:rsid w:val="00B52896"/>
    <w:rsid w:val="00B8131E"/>
    <w:rsid w:val="00B833CE"/>
    <w:rsid w:val="00B95236"/>
    <w:rsid w:val="00B96BD9"/>
    <w:rsid w:val="00BA1B01"/>
    <w:rsid w:val="00BA2641"/>
    <w:rsid w:val="00BB18CF"/>
    <w:rsid w:val="00BB37AA"/>
    <w:rsid w:val="00BC53A0"/>
    <w:rsid w:val="00BE62AD"/>
    <w:rsid w:val="00BF1214"/>
    <w:rsid w:val="00BF121F"/>
    <w:rsid w:val="00BF1F80"/>
    <w:rsid w:val="00BF62CF"/>
    <w:rsid w:val="00C12CF0"/>
    <w:rsid w:val="00C166EF"/>
    <w:rsid w:val="00C17EB0"/>
    <w:rsid w:val="00C21A3D"/>
    <w:rsid w:val="00C27F5F"/>
    <w:rsid w:val="00C30A0F"/>
    <w:rsid w:val="00C37E61"/>
    <w:rsid w:val="00C70F1B"/>
    <w:rsid w:val="00C71A47"/>
    <w:rsid w:val="00C7464C"/>
    <w:rsid w:val="00C85588"/>
    <w:rsid w:val="00CC4CDD"/>
    <w:rsid w:val="00CC63E9"/>
    <w:rsid w:val="00CD592B"/>
    <w:rsid w:val="00CD6755"/>
    <w:rsid w:val="00CD6856"/>
    <w:rsid w:val="00CE0089"/>
    <w:rsid w:val="00CE793C"/>
    <w:rsid w:val="00CF193C"/>
    <w:rsid w:val="00CF6BCB"/>
    <w:rsid w:val="00D173F1"/>
    <w:rsid w:val="00D209D0"/>
    <w:rsid w:val="00D26E02"/>
    <w:rsid w:val="00D31521"/>
    <w:rsid w:val="00D74CB0"/>
    <w:rsid w:val="00D8295D"/>
    <w:rsid w:val="00D84949"/>
    <w:rsid w:val="00DA1151"/>
    <w:rsid w:val="00DB6BB5"/>
    <w:rsid w:val="00DC2A65"/>
    <w:rsid w:val="00DD324D"/>
    <w:rsid w:val="00DD38EA"/>
    <w:rsid w:val="00DE15F0"/>
    <w:rsid w:val="00DE5663"/>
    <w:rsid w:val="00DE78AA"/>
    <w:rsid w:val="00DF4ABF"/>
    <w:rsid w:val="00E053D0"/>
    <w:rsid w:val="00E15994"/>
    <w:rsid w:val="00E3114E"/>
    <w:rsid w:val="00E31A70"/>
    <w:rsid w:val="00E3469A"/>
    <w:rsid w:val="00E35B02"/>
    <w:rsid w:val="00E66496"/>
    <w:rsid w:val="00E66B35"/>
    <w:rsid w:val="00E66E10"/>
    <w:rsid w:val="00E769F6"/>
    <w:rsid w:val="00E8407C"/>
    <w:rsid w:val="00E84D7D"/>
    <w:rsid w:val="00E84F3C"/>
    <w:rsid w:val="00E9679E"/>
    <w:rsid w:val="00EA012C"/>
    <w:rsid w:val="00EA641D"/>
    <w:rsid w:val="00EB4C0D"/>
    <w:rsid w:val="00EC07D0"/>
    <w:rsid w:val="00EC6A55"/>
    <w:rsid w:val="00ED0288"/>
    <w:rsid w:val="00ED14C3"/>
    <w:rsid w:val="00ED1625"/>
    <w:rsid w:val="00EE52CB"/>
    <w:rsid w:val="00EF581D"/>
    <w:rsid w:val="00EF7FD8"/>
    <w:rsid w:val="00F05AE6"/>
    <w:rsid w:val="00F06F59"/>
    <w:rsid w:val="00F17988"/>
    <w:rsid w:val="00F21EDD"/>
    <w:rsid w:val="00F45D2A"/>
    <w:rsid w:val="00F469F0"/>
    <w:rsid w:val="00F53273"/>
    <w:rsid w:val="00F56A4B"/>
    <w:rsid w:val="00F57477"/>
    <w:rsid w:val="00F64948"/>
    <w:rsid w:val="00F669DC"/>
    <w:rsid w:val="00F703D8"/>
    <w:rsid w:val="00F755E4"/>
    <w:rsid w:val="00F77D02"/>
    <w:rsid w:val="00FB1BDF"/>
    <w:rsid w:val="00FB3A86"/>
    <w:rsid w:val="00FD36C8"/>
    <w:rsid w:val="00FE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7DD927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26E02"/>
    <w:pPr>
      <w:spacing w:after="160" w:line="259" w:lineRule="auto"/>
      <w:ind w:left="720"/>
      <w:contextualSpacing/>
    </w:pPr>
    <w:rPr>
      <w:rFonts w:asciiTheme="minorHAnsi" w:eastAsiaTheme="minorHAnsi" w:hAnsiTheme="minorHAnsi" w:cstheme="minorBidi"/>
      <w:sz w:val="22"/>
      <w:szCs w:val="22"/>
      <w:lang w:val="fr-FR"/>
    </w:rPr>
  </w:style>
  <w:style w:type="paragraph" w:styleId="Bibliography">
    <w:name w:val="Bibliography"/>
    <w:basedOn w:val="Normal"/>
    <w:next w:val="Normal"/>
    <w:uiPriority w:val="37"/>
    <w:unhideWhenUsed/>
    <w:rsid w:val="00F21EDD"/>
    <w:pPr>
      <w:spacing w:line="480" w:lineRule="auto"/>
      <w:ind w:left="720" w:hanging="720"/>
    </w:pPr>
    <w:rPr>
      <w:rFonts w:asciiTheme="minorHAnsi" w:eastAsiaTheme="minorHAnsi" w:hAnsiTheme="minorHAnsi" w:cstheme="minorBidi"/>
      <w:sz w:val="22"/>
      <w:szCs w:val="22"/>
      <w:lang w:val="fr-FR"/>
    </w:rPr>
  </w:style>
  <w:style w:type="character" w:customStyle="1" w:styleId="HeaderChar">
    <w:name w:val="Header Char"/>
    <w:basedOn w:val="DefaultParagraphFont"/>
    <w:link w:val="Header"/>
    <w:uiPriority w:val="99"/>
    <w:rsid w:val="00F21EDD"/>
    <w:rPr>
      <w:rFonts w:ascii="Helvetica" w:hAnsi="Helvetica"/>
    </w:rPr>
  </w:style>
  <w:style w:type="character" w:customStyle="1" w:styleId="FooterChar">
    <w:name w:val="Footer Char"/>
    <w:basedOn w:val="DefaultParagraphFont"/>
    <w:link w:val="Footer"/>
    <w:uiPriority w:val="99"/>
    <w:rsid w:val="00F21EDD"/>
    <w:rPr>
      <w:rFonts w:ascii="Helvetica" w:hAnsi="Helvetica"/>
    </w:rPr>
  </w:style>
  <w:style w:type="numbering" w:customStyle="1" w:styleId="Aucuneliste1">
    <w:name w:val="Aucune liste1"/>
    <w:next w:val="NoList"/>
    <w:uiPriority w:val="99"/>
    <w:semiHidden/>
    <w:unhideWhenUsed/>
    <w:rsid w:val="00F21EDD"/>
  </w:style>
  <w:style w:type="paragraph" w:customStyle="1" w:styleId="msonormal0">
    <w:name w:val="msonormal"/>
    <w:basedOn w:val="Normal"/>
    <w:rsid w:val="00F21EDD"/>
    <w:pPr>
      <w:spacing w:before="100" w:beforeAutospacing="1" w:after="100" w:afterAutospacing="1"/>
    </w:pPr>
    <w:rPr>
      <w:rFonts w:ascii="Times New Roman" w:hAnsi="Times New Roman"/>
      <w:sz w:val="24"/>
      <w:szCs w:val="24"/>
      <w:lang w:val="fr-FR" w:eastAsia="fr-FR"/>
    </w:rPr>
  </w:style>
  <w:style w:type="paragraph" w:customStyle="1" w:styleId="xl63">
    <w:name w:val="xl63"/>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4">
    <w:name w:val="xl64"/>
    <w:basedOn w:val="Normal"/>
    <w:rsid w:val="00F21EDD"/>
    <w:pPr>
      <w:spacing w:before="100" w:beforeAutospacing="1" w:after="100" w:afterAutospacing="1"/>
      <w:jc w:val="center"/>
    </w:pPr>
    <w:rPr>
      <w:rFonts w:ascii="Times New Roman" w:hAnsi="Times New Roman"/>
      <w:b/>
      <w:bCs/>
      <w:sz w:val="24"/>
      <w:szCs w:val="24"/>
      <w:lang w:val="fr-FR" w:eastAsia="fr-FR"/>
    </w:rPr>
  </w:style>
  <w:style w:type="paragraph" w:customStyle="1" w:styleId="xl65">
    <w:name w:val="xl65"/>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6">
    <w:name w:val="xl66"/>
    <w:basedOn w:val="Normal"/>
    <w:rsid w:val="00F21EDD"/>
    <w:pPr>
      <w:spacing w:before="100" w:beforeAutospacing="1" w:after="100" w:afterAutospacing="1"/>
      <w:jc w:val="center"/>
    </w:pPr>
    <w:rPr>
      <w:rFonts w:ascii="Times New Roman" w:hAnsi="Times New Roman"/>
      <w:b/>
      <w:bCs/>
      <w:sz w:val="24"/>
      <w:szCs w:val="24"/>
      <w:lang w:val="fr-FR" w:eastAsia="fr-FR"/>
    </w:rPr>
  </w:style>
  <w:style w:type="paragraph" w:customStyle="1" w:styleId="xl67">
    <w:name w:val="xl67"/>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8">
    <w:name w:val="xl68"/>
    <w:basedOn w:val="Normal"/>
    <w:rsid w:val="00F21EDD"/>
    <w:pPr>
      <w:shd w:val="clear" w:color="000000" w:fill="FFFF00"/>
      <w:spacing w:before="100" w:beforeAutospacing="1" w:after="100" w:afterAutospacing="1"/>
      <w:jc w:val="center"/>
    </w:pPr>
    <w:rPr>
      <w:rFonts w:ascii="Times New Roman" w:hAnsi="Times New Roman"/>
      <w:sz w:val="24"/>
      <w:szCs w:val="24"/>
      <w:lang w:val="fr-FR" w:eastAsia="fr-FR"/>
    </w:rPr>
  </w:style>
  <w:style w:type="paragraph" w:customStyle="1" w:styleId="xl69">
    <w:name w:val="xl69"/>
    <w:basedOn w:val="Normal"/>
    <w:rsid w:val="00F21EDD"/>
    <w:pPr>
      <w:shd w:val="clear" w:color="000000" w:fill="FFFF00"/>
      <w:spacing w:before="100" w:beforeAutospacing="1" w:after="100" w:afterAutospacing="1"/>
      <w:jc w:val="center"/>
    </w:pPr>
    <w:rPr>
      <w:rFonts w:ascii="Times New Roman" w:hAnsi="Times New Roman"/>
      <w:sz w:val="24"/>
      <w:szCs w:val="24"/>
      <w:lang w:val="fr-FR" w:eastAsia="fr-FR"/>
    </w:rPr>
  </w:style>
  <w:style w:type="paragraph" w:customStyle="1" w:styleId="xl70">
    <w:name w:val="xl70"/>
    <w:basedOn w:val="Normal"/>
    <w:rsid w:val="00F21EDD"/>
    <w:pPr>
      <w:shd w:val="clear" w:color="000000" w:fill="92D050"/>
      <w:spacing w:before="100" w:beforeAutospacing="1" w:after="100" w:afterAutospacing="1"/>
      <w:jc w:val="center"/>
    </w:pPr>
    <w:rPr>
      <w:rFonts w:ascii="Times New Roman" w:hAnsi="Times New Roman"/>
      <w:sz w:val="24"/>
      <w:szCs w:val="24"/>
      <w:lang w:val="fr-FR" w:eastAsia="fr-FR"/>
    </w:rPr>
  </w:style>
  <w:style w:type="paragraph" w:customStyle="1" w:styleId="xl71">
    <w:name w:val="xl71"/>
    <w:basedOn w:val="Normal"/>
    <w:rsid w:val="00F21EDD"/>
    <w:pPr>
      <w:shd w:val="clear" w:color="000000" w:fill="92D050"/>
      <w:spacing w:before="100" w:beforeAutospacing="1" w:after="100" w:afterAutospacing="1"/>
      <w:jc w:val="center"/>
    </w:pPr>
    <w:rPr>
      <w:rFonts w:ascii="Times New Roman" w:hAnsi="Times New Roman"/>
      <w:sz w:val="24"/>
      <w:szCs w:val="24"/>
      <w:lang w:val="fr-FR" w:eastAsia="fr-FR"/>
    </w:rPr>
  </w:style>
  <w:style w:type="paragraph" w:customStyle="1" w:styleId="xl72">
    <w:name w:val="xl72"/>
    <w:basedOn w:val="Normal"/>
    <w:rsid w:val="00F21EDD"/>
    <w:pPr>
      <w:shd w:val="clear" w:color="000000" w:fill="00B0F0"/>
      <w:spacing w:before="100" w:beforeAutospacing="1" w:after="100" w:afterAutospacing="1"/>
      <w:jc w:val="center"/>
    </w:pPr>
    <w:rPr>
      <w:rFonts w:ascii="Times New Roman" w:hAnsi="Times New Roman"/>
      <w:sz w:val="24"/>
      <w:szCs w:val="24"/>
      <w:lang w:val="fr-FR" w:eastAsia="fr-FR"/>
    </w:rPr>
  </w:style>
  <w:style w:type="paragraph" w:customStyle="1" w:styleId="xl73">
    <w:name w:val="xl73"/>
    <w:basedOn w:val="Normal"/>
    <w:rsid w:val="00F21EDD"/>
    <w:pPr>
      <w:shd w:val="clear" w:color="000000" w:fill="00B0F0"/>
      <w:spacing w:before="100" w:beforeAutospacing="1" w:after="100" w:afterAutospacing="1"/>
      <w:jc w:val="center"/>
    </w:pPr>
    <w:rPr>
      <w:rFonts w:ascii="Times New Roman" w:hAnsi="Times New Roman"/>
      <w:sz w:val="24"/>
      <w:szCs w:val="24"/>
      <w:lang w:val="fr-FR" w:eastAsia="fr-FR"/>
    </w:rPr>
  </w:style>
  <w:style w:type="paragraph" w:customStyle="1" w:styleId="xl74">
    <w:name w:val="xl74"/>
    <w:basedOn w:val="Normal"/>
    <w:rsid w:val="00F21EDD"/>
    <w:pPr>
      <w:shd w:val="clear" w:color="000000" w:fill="FFD966"/>
      <w:spacing w:before="100" w:beforeAutospacing="1" w:after="100" w:afterAutospacing="1"/>
      <w:jc w:val="center"/>
    </w:pPr>
    <w:rPr>
      <w:rFonts w:ascii="Times New Roman" w:hAnsi="Times New Roman"/>
      <w:sz w:val="24"/>
      <w:szCs w:val="24"/>
      <w:lang w:val="fr-FR" w:eastAsia="fr-FR"/>
    </w:rPr>
  </w:style>
  <w:style w:type="paragraph" w:customStyle="1" w:styleId="xl75">
    <w:name w:val="xl75"/>
    <w:basedOn w:val="Normal"/>
    <w:rsid w:val="00F21EDD"/>
    <w:pPr>
      <w:shd w:val="clear" w:color="000000" w:fill="FFD966"/>
      <w:spacing w:before="100" w:beforeAutospacing="1" w:after="100" w:afterAutospacing="1"/>
      <w:jc w:val="center"/>
    </w:pPr>
    <w:rPr>
      <w:rFonts w:ascii="Times New Roman" w:hAnsi="Times New Roman"/>
      <w:sz w:val="24"/>
      <w:szCs w:val="24"/>
      <w:lang w:val="fr-FR" w:eastAsia="fr-FR"/>
    </w:rPr>
  </w:style>
  <w:style w:type="paragraph" w:styleId="CommentSubject">
    <w:name w:val="annotation subject"/>
    <w:basedOn w:val="CommentText"/>
    <w:next w:val="CommentText"/>
    <w:link w:val="CommentSubjectChar"/>
    <w:uiPriority w:val="99"/>
    <w:semiHidden/>
    <w:unhideWhenUsed/>
    <w:rsid w:val="00F21EDD"/>
    <w:pPr>
      <w:spacing w:after="160"/>
    </w:pPr>
    <w:rPr>
      <w:rFonts w:asciiTheme="minorHAnsi" w:eastAsiaTheme="minorHAnsi" w:hAnsiTheme="minorHAnsi" w:cstheme="minorBidi"/>
      <w:b/>
      <w:bCs/>
      <w:lang w:val="fr-FR" w:eastAsia="en-US"/>
    </w:rPr>
  </w:style>
  <w:style w:type="character" w:customStyle="1" w:styleId="CommentSubjectChar">
    <w:name w:val="Comment Subject Char"/>
    <w:basedOn w:val="CommentTextChar"/>
    <w:link w:val="CommentSubject"/>
    <w:uiPriority w:val="99"/>
    <w:semiHidden/>
    <w:rsid w:val="00F21EDD"/>
    <w:rPr>
      <w:rFonts w:asciiTheme="minorHAnsi" w:eastAsiaTheme="minorHAnsi" w:hAnsiTheme="minorHAnsi" w:cstheme="minorBidi"/>
      <w:b/>
      <w:bCs/>
      <w:lang w:val="fr-FR" w:eastAsia="nb-NO"/>
    </w:rPr>
  </w:style>
  <w:style w:type="paragraph" w:styleId="Revision">
    <w:name w:val="Revision"/>
    <w:hidden/>
    <w:uiPriority w:val="99"/>
    <w:semiHidden/>
    <w:rsid w:val="00F21EDD"/>
    <w:rPr>
      <w:rFonts w:asciiTheme="minorHAnsi" w:eastAsiaTheme="minorHAnsi" w:hAnsiTheme="minorHAnsi" w:cstheme="minorBidi"/>
      <w:sz w:val="22"/>
      <w:szCs w:val="22"/>
      <w:lang w:val="fr-FR"/>
    </w:rPr>
  </w:style>
  <w:style w:type="paragraph" w:styleId="HTMLPreformatted">
    <w:name w:val="HTML Preformatted"/>
    <w:basedOn w:val="Normal"/>
    <w:link w:val="HTMLPreformattedChar"/>
    <w:uiPriority w:val="99"/>
    <w:semiHidden/>
    <w:unhideWhenUsed/>
    <w:rsid w:val="00F21EDD"/>
    <w:rPr>
      <w:rFonts w:ascii="Consolas" w:eastAsiaTheme="minorHAnsi" w:hAnsi="Consolas" w:cstheme="minorBidi"/>
      <w:lang w:val="fr-FR"/>
    </w:rPr>
  </w:style>
  <w:style w:type="character" w:customStyle="1" w:styleId="HTMLPreformattedChar">
    <w:name w:val="HTML Preformatted Char"/>
    <w:basedOn w:val="DefaultParagraphFont"/>
    <w:link w:val="HTMLPreformatted"/>
    <w:uiPriority w:val="99"/>
    <w:semiHidden/>
    <w:rsid w:val="00F21EDD"/>
    <w:rPr>
      <w:rFonts w:ascii="Consolas" w:eastAsiaTheme="minorHAnsi" w:hAnsi="Consolas" w:cstheme="minorBidi"/>
      <w:lang w:val="fr-FR"/>
    </w:rPr>
  </w:style>
  <w:style w:type="paragraph" w:styleId="NormalWeb">
    <w:name w:val="Normal (Web)"/>
    <w:basedOn w:val="Normal"/>
    <w:uiPriority w:val="99"/>
    <w:semiHidden/>
    <w:unhideWhenUsed/>
    <w:rsid w:val="00F21EDD"/>
    <w:pPr>
      <w:spacing w:after="160" w:line="259" w:lineRule="auto"/>
    </w:pPr>
    <w:rPr>
      <w:rFonts w:ascii="Times New Roman" w:eastAsiaTheme="minorHAnsi" w:hAnsi="Times New Roman"/>
      <w:sz w:val="24"/>
      <w:szCs w:val="24"/>
      <w:lang w:val="fr-FR"/>
    </w:rPr>
  </w:style>
  <w:style w:type="numbering" w:customStyle="1" w:styleId="Listeactuelle1">
    <w:name w:val="Liste actuelle1"/>
    <w:uiPriority w:val="99"/>
    <w:rsid w:val="00F21EDD"/>
    <w:pPr>
      <w:numPr>
        <w:numId w:val="6"/>
      </w:numPr>
    </w:pPr>
  </w:style>
  <w:style w:type="table" w:styleId="PlainTable4">
    <w:name w:val="Plain Table 4"/>
    <w:aliases w:val="Tableau liste 1 clair"/>
    <w:basedOn w:val="ListTable1Light-Accent6"/>
    <w:uiPriority w:val="44"/>
    <w:rsid w:val="00F21EDD"/>
    <w:tblPr/>
    <w:tcPr>
      <w:shd w:val="clear" w:color="auto" w:fill="auto"/>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F21EDD"/>
    <w:rPr>
      <w:rFonts w:asciiTheme="minorHAnsi" w:eastAsiaTheme="minorHAnsi" w:hAnsiTheme="minorHAnsi" w:cstheme="minorBidi"/>
      <w:sz w:val="22"/>
      <w:szCs w:val="22"/>
      <w:lang w:val="fr-FR"/>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
    <w:name w:val="List Table 1 Light"/>
    <w:basedOn w:val="TableNormal"/>
    <w:uiPriority w:val="46"/>
    <w:rsid w:val="00F21EDD"/>
    <w:rPr>
      <w:rFonts w:asciiTheme="minorHAnsi" w:eastAsiaTheme="minorHAnsi" w:hAnsiTheme="minorHAnsi" w:cstheme="minorBidi"/>
      <w:sz w:val="22"/>
      <w:szCs w:val="22"/>
      <w:lang w:val="fr-F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F21EDD"/>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10.xml"/><Relationship Id="rId21" Type="http://schemas.openxmlformats.org/officeDocument/2006/relationships/image" Target="media/image5.png"/><Relationship Id="rId42" Type="http://schemas.openxmlformats.org/officeDocument/2006/relationships/hyperlink" Target="https://doi.org/10.1186/s13643-023-02184-7" TargetMode="External"/><Relationship Id="rId47" Type="http://schemas.openxmlformats.org/officeDocument/2006/relationships/hyperlink" Target="https://doi.org/10.1016/j.eururo.2016.08.004" TargetMode="External"/><Relationship Id="rId63" Type="http://schemas.openxmlformats.org/officeDocument/2006/relationships/hyperlink" Target="https://doi.org/10.1002/pros.23714" TargetMode="External"/><Relationship Id="rId68" Type="http://schemas.openxmlformats.org/officeDocument/2006/relationships/hyperlink" Target="https://doi.org/10.1007/s11255-018-2009-4" TargetMode="External"/><Relationship Id="rId84" Type="http://schemas.openxmlformats.org/officeDocument/2006/relationships/hyperlink" Target="https://doi.org/10.1186/1756-9966-32-96" TargetMode="External"/><Relationship Id="rId89" Type="http://schemas.openxmlformats.org/officeDocument/2006/relationships/hyperlink" Target="https://doi.org/10.1111/jcmm.12236" TargetMode="External"/><Relationship Id="rId112" Type="http://schemas.openxmlformats.org/officeDocument/2006/relationships/hyperlink" Target="https://doi.org/10.2147/CMAR.S189026" TargetMode="External"/><Relationship Id="rId16" Type="http://schemas.openxmlformats.org/officeDocument/2006/relationships/header" Target="header5.xml"/><Relationship Id="rId107" Type="http://schemas.openxmlformats.org/officeDocument/2006/relationships/hyperlink" Target="https://doi.org/10.3233/CBM-160634" TargetMode="Externa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hyperlink" Target="https://doi.org/10.3390/cancers13092068" TargetMode="External"/><Relationship Id="rId53" Type="http://schemas.openxmlformats.org/officeDocument/2006/relationships/hyperlink" Target="https://doi.org/10.3390/ijms21165667" TargetMode="External"/><Relationship Id="rId58" Type="http://schemas.openxmlformats.org/officeDocument/2006/relationships/hyperlink" Target="https://doi.org/10.1515/tjb-2018-0198" TargetMode="External"/><Relationship Id="rId74" Type="http://schemas.openxmlformats.org/officeDocument/2006/relationships/hyperlink" Target="https://doi.org/10.3389/fgene.2023.1065757" TargetMode="External"/><Relationship Id="rId79" Type="http://schemas.openxmlformats.org/officeDocument/2006/relationships/hyperlink" Target="https://doi.org/10.1371/journal.pone.0262017" TargetMode="External"/><Relationship Id="rId102" Type="http://schemas.openxmlformats.org/officeDocument/2006/relationships/hyperlink" Target="https://doi.org/10.1038/bjc.2016.233" TargetMode="External"/><Relationship Id="rId5" Type="http://schemas.openxmlformats.org/officeDocument/2006/relationships/webSettings" Target="webSettings.xml"/><Relationship Id="rId90" Type="http://schemas.openxmlformats.org/officeDocument/2006/relationships/hyperlink" Target="https://doi.org/10.5958/0976-5506.2019.01791.1" TargetMode="External"/><Relationship Id="rId95" Type="http://schemas.openxmlformats.org/officeDocument/2006/relationships/hyperlink" Target="https://doi.org/10.1007/978-3-319-42044-8_2"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doi.org/10.3390/ijms17030421" TargetMode="External"/><Relationship Id="rId48" Type="http://schemas.openxmlformats.org/officeDocument/2006/relationships/hyperlink" Target="https://doi.org/10.3322/caac.21834" TargetMode="External"/><Relationship Id="rId64" Type="http://schemas.openxmlformats.org/officeDocument/2006/relationships/hyperlink" Target="https://doi.org/10.1186/s13046-021-01875-0" TargetMode="External"/><Relationship Id="rId69" Type="http://schemas.openxmlformats.org/officeDocument/2006/relationships/hyperlink" Target="https://doi.org/10.1007/s13346-013-0169-4" TargetMode="External"/><Relationship Id="rId113" Type="http://schemas.openxmlformats.org/officeDocument/2006/relationships/header" Target="header7.xml"/><Relationship Id="rId118" Type="http://schemas.openxmlformats.org/officeDocument/2006/relationships/header" Target="header11.xml"/><Relationship Id="rId80" Type="http://schemas.openxmlformats.org/officeDocument/2006/relationships/hyperlink" Target="https://doi.org/10.1007/s13277-014-2584-7" TargetMode="External"/><Relationship Id="rId85" Type="http://schemas.openxmlformats.org/officeDocument/2006/relationships/hyperlink" Target="https://doi.org/10.1038/nature03702" TargetMode="Externa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image" Target="media/image17.png"/><Relationship Id="rId38" Type="http://schemas.openxmlformats.org/officeDocument/2006/relationships/hyperlink" Target="https://doi.org/10.1016/S0140-6736(16)32401-1" TargetMode="External"/><Relationship Id="rId59" Type="http://schemas.openxmlformats.org/officeDocument/2006/relationships/hyperlink" Target="https://doi.org/10.5812/ijcm.110014" TargetMode="External"/><Relationship Id="rId103" Type="http://schemas.openxmlformats.org/officeDocument/2006/relationships/hyperlink" Target="https://doi.org/10.1016/j.medici.2016.02.007" TargetMode="External"/><Relationship Id="rId108" Type="http://schemas.openxmlformats.org/officeDocument/2006/relationships/hyperlink" Target="https://doi.org/10.1097/MD.0000000000019993" TargetMode="External"/><Relationship Id="rId54" Type="http://schemas.openxmlformats.org/officeDocument/2006/relationships/hyperlink" Target="https://doi.org/10.1016/j.urolonc.2020.03.007" TargetMode="External"/><Relationship Id="rId70" Type="http://schemas.openxmlformats.org/officeDocument/2006/relationships/hyperlink" Target="https://doi.org/10.3906/sag-2010-183" TargetMode="External"/><Relationship Id="rId75" Type="http://schemas.openxmlformats.org/officeDocument/2006/relationships/hyperlink" Target="https://doi.org/10.1155/2020/5873056" TargetMode="External"/><Relationship Id="rId91" Type="http://schemas.openxmlformats.org/officeDocument/2006/relationships/hyperlink" Target="https://doi.org/10.35995/tmj20220204" TargetMode="External"/><Relationship Id="rId96" Type="http://schemas.openxmlformats.org/officeDocument/2006/relationships/hyperlink" Target="https://doi.org/10.1371/journal.pmed.100358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doi.org/10.1371/journal.pone.0215003" TargetMode="External"/><Relationship Id="rId114" Type="http://schemas.openxmlformats.org/officeDocument/2006/relationships/header" Target="header8.xml"/><Relationship Id="rId119" Type="http://schemas.openxmlformats.org/officeDocument/2006/relationships/header" Target="header12.xml"/><Relationship Id="rId44" Type="http://schemas.openxmlformats.org/officeDocument/2006/relationships/hyperlink" Target="https://doi.org/10.3389/fonc.2019.00900" TargetMode="External"/><Relationship Id="rId60" Type="http://schemas.openxmlformats.org/officeDocument/2006/relationships/hyperlink" Target="https://doi.org/10.1186/s12885-017-3737-z" TargetMode="External"/><Relationship Id="rId65" Type="http://schemas.openxmlformats.org/officeDocument/2006/relationships/hyperlink" Target="https://doi.org/10.1002/pros.23187" TargetMode="External"/><Relationship Id="rId81" Type="http://schemas.openxmlformats.org/officeDocument/2006/relationships/hyperlink" Target="https://doi.org/10.2147/CMAR.S272140" TargetMode="External"/><Relationship Id="rId86" Type="http://schemas.openxmlformats.org/officeDocument/2006/relationships/hyperlink" Target="https://doi.org/10.1016/j.prnil.2023.06.002"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hyperlink" Target="https://doi.org/10.1016/j.afju.2018.11.006" TargetMode="External"/><Relationship Id="rId109" Type="http://schemas.openxmlformats.org/officeDocument/2006/relationships/hyperlink" Target="https://doi.org/10.1007/s11255-016-1281-4" TargetMode="External"/><Relationship Id="rId34" Type="http://schemas.openxmlformats.org/officeDocument/2006/relationships/image" Target="media/image18.png"/><Relationship Id="rId50" Type="http://schemas.openxmlformats.org/officeDocument/2006/relationships/hyperlink" Target="https://doi.org/10.1016/j.prnil.2021.11.003" TargetMode="External"/><Relationship Id="rId55" Type="http://schemas.openxmlformats.org/officeDocument/2006/relationships/hyperlink" Target="https://doi.org/10.7314/apjcp.2014.15.22.9575" TargetMode="External"/><Relationship Id="rId76" Type="http://schemas.openxmlformats.org/officeDocument/2006/relationships/hyperlink" Target="https://doi.org/10.3390/genes13122320" TargetMode="External"/><Relationship Id="rId97" Type="http://schemas.openxmlformats.org/officeDocument/2006/relationships/hyperlink" Target="https://doi.org/10.1016/j.eururo.2021.07.024" TargetMode="External"/><Relationship Id="rId104" Type="http://schemas.openxmlformats.org/officeDocument/2006/relationships/hyperlink" Target="https://doi.org/10.1097/JU.0000000000003491"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02/sim.1186" TargetMode="External"/><Relationship Id="rId92" Type="http://schemas.openxmlformats.org/officeDocument/2006/relationships/hyperlink" Target="https://doi.org/10.3390/medicina58040529"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doi.org/10.9734/jamps/2023/v25i6624" TargetMode="External"/><Relationship Id="rId45" Type="http://schemas.openxmlformats.org/officeDocument/2006/relationships/hyperlink" Target="https://doi.org/10.1016/j.tranon.2022.101542" TargetMode="External"/><Relationship Id="rId66" Type="http://schemas.openxmlformats.org/officeDocument/2006/relationships/hyperlink" Target="https://doi.org/10.3390/cancers15123140" TargetMode="External"/><Relationship Id="rId87" Type="http://schemas.openxmlformats.org/officeDocument/2006/relationships/hyperlink" Target="https://doi.org/10.1111/bju.14707" TargetMode="External"/><Relationship Id="rId110" Type="http://schemas.openxmlformats.org/officeDocument/2006/relationships/hyperlink" Target="https://doi.org/10.3390/cells10092372" TargetMode="External"/><Relationship Id="rId115" Type="http://schemas.openxmlformats.org/officeDocument/2006/relationships/footer" Target="footer4.xml"/><Relationship Id="rId61" Type="http://schemas.openxmlformats.org/officeDocument/2006/relationships/hyperlink" Target="https://doi.org/10.1002/pros.23295" TargetMode="External"/><Relationship Id="rId82" Type="http://schemas.openxmlformats.org/officeDocument/2006/relationships/hyperlink" Target="https://doi.org/10.2147/OTT.S95565" TargetMode="External"/><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doi.org/10.1016/j.jclinepi.2005.01.016" TargetMode="External"/><Relationship Id="rId77" Type="http://schemas.openxmlformats.org/officeDocument/2006/relationships/hyperlink" Target="https://doi.org/10.1089/dna.2014.2663" TargetMode="External"/><Relationship Id="rId100" Type="http://schemas.openxmlformats.org/officeDocument/2006/relationships/hyperlink" Target="https://www.cochrane.org/authors/handbooks-and-manuals/style-manual/references/reference-types/software?utm_source=chatgpt.com" TargetMode="External"/><Relationship Id="rId105" Type="http://schemas.openxmlformats.org/officeDocument/2006/relationships/hyperlink" Target="https://doi.org/10.7326/0003-4819-155-8-201110180-00009" TargetMode="External"/><Relationship Id="rId8" Type="http://schemas.openxmlformats.org/officeDocument/2006/relationships/image" Target="media/image1.tiff"/><Relationship Id="rId51" Type="http://schemas.openxmlformats.org/officeDocument/2006/relationships/hyperlink" Target="https://doi.org/10.23750/abm.v93i3.11642" TargetMode="External"/><Relationship Id="rId72" Type="http://schemas.openxmlformats.org/officeDocument/2006/relationships/hyperlink" Target="https://doi.org/10.1089/gtmb.2015.0088" TargetMode="External"/><Relationship Id="rId93" Type="http://schemas.openxmlformats.org/officeDocument/2006/relationships/hyperlink" Target="https://doi.org/10.1016/j.gene.2024.149186" TargetMode="External"/><Relationship Id="rId98" Type="http://schemas.openxmlformats.org/officeDocument/2006/relationships/hyperlink" Target="https://doi.org/10.1007/s11255-018-1938-2"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doi.org/10.1093/jnci/djn255" TargetMode="External"/><Relationship Id="rId67" Type="http://schemas.openxmlformats.org/officeDocument/2006/relationships/hyperlink" Target="https://doi.org/10.31557/APJCP.2023.24.3.1095" TargetMode="External"/><Relationship Id="rId116" Type="http://schemas.openxmlformats.org/officeDocument/2006/relationships/header" Target="header9.xml"/><Relationship Id="rId20" Type="http://schemas.openxmlformats.org/officeDocument/2006/relationships/image" Target="media/image4.png"/><Relationship Id="rId41" Type="http://schemas.openxmlformats.org/officeDocument/2006/relationships/hyperlink" Target="https://doi.org/10.3390/jpm11040296" TargetMode="External"/><Relationship Id="rId62" Type="http://schemas.openxmlformats.org/officeDocument/2006/relationships/hyperlink" Target="https://doi.org/10.4149/neo_2016_417" TargetMode="External"/><Relationship Id="rId83" Type="http://schemas.openxmlformats.org/officeDocument/2006/relationships/hyperlink" Target="https://doi.org/10.3892/ijo.2025.5773" TargetMode="External"/><Relationship Id="rId88" Type="http://schemas.openxmlformats.org/officeDocument/2006/relationships/hyperlink" Target="https://doi.org/10.1073/pnas.0804549105" TargetMode="External"/><Relationship Id="rId111" Type="http://schemas.openxmlformats.org/officeDocument/2006/relationships/hyperlink" Target="https://doi.org/10.1016/j.acuroe.2021.05.005" TargetMode="External"/><Relationship Id="rId15" Type="http://schemas.openxmlformats.org/officeDocument/2006/relationships/header" Target="header4.xml"/><Relationship Id="rId36" Type="http://schemas.openxmlformats.org/officeDocument/2006/relationships/image" Target="media/image20.png"/><Relationship Id="rId57" Type="http://schemas.openxmlformats.org/officeDocument/2006/relationships/hyperlink" Target="https://doi.org/10.1146/annurev-pathol-012513-104715" TargetMode="External"/><Relationship Id="rId106" Type="http://schemas.openxmlformats.org/officeDocument/2006/relationships/hyperlink" Target="https://doi.org/10.1007/s13277-011-0154-9" TargetMode="External"/><Relationship Id="rId10" Type="http://schemas.openxmlformats.org/officeDocument/2006/relationships/header" Target="header2.xml"/><Relationship Id="rId31" Type="http://schemas.openxmlformats.org/officeDocument/2006/relationships/image" Target="media/image15.png"/><Relationship Id="rId52" Type="http://schemas.openxmlformats.org/officeDocument/2006/relationships/hyperlink" Target="https://doi.org/10.1371/journal.pone.0069239" TargetMode="External"/><Relationship Id="rId73" Type="http://schemas.openxmlformats.org/officeDocument/2006/relationships/hyperlink" Target="https://doi.org/10.1111/and.13384" TargetMode="External"/><Relationship Id="rId78" Type="http://schemas.openxmlformats.org/officeDocument/2006/relationships/hyperlink" Target="https://doi.org/10.3390/jcm4071369" TargetMode="External"/><Relationship Id="rId94" Type="http://schemas.openxmlformats.org/officeDocument/2006/relationships/hyperlink" Target="https://doi.org/10.1590/s1677-55382009000500003" TargetMode="External"/><Relationship Id="rId99" Type="http://schemas.openxmlformats.org/officeDocument/2006/relationships/hyperlink" Target="https://doi.org/10.1016/j.jclinepi.2005.02.022" TargetMode="External"/><Relationship Id="rId101" Type="http://schemas.openxmlformats.org/officeDocument/2006/relationships/hyperlink" Target="https://doi.org/10.1136/bmj.d789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D3234-7F62-4571-8C09-2788573C3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1716</TotalTime>
  <Pages>34</Pages>
  <Words>56799</Words>
  <Characters>323756</Characters>
  <Application>Microsoft Office Word</Application>
  <DocSecurity>0</DocSecurity>
  <Lines>2697</Lines>
  <Paragraphs>759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379796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22</cp:revision>
  <cp:lastPrinted>1999-07-06T11:00:00Z</cp:lastPrinted>
  <dcterms:created xsi:type="dcterms:W3CDTF">2025-08-25T12:48:00Z</dcterms:created>
  <dcterms:modified xsi:type="dcterms:W3CDTF">2025-09-05T11:41:00Z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zotero-version="7.0.20"&gt;&lt;session id="u1uVHO97"/&gt;&lt;style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